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sz w:val="52"/>
          <w:szCs w:val="21"/>
        </w:rPr>
      </w:pPr>
      <w:r>
        <w:rPr>
          <w:color w:val="auto"/>
        </w:rPr>
        <w:drawing>
          <wp:anchor distT="0" distB="0" distL="114300" distR="114300" simplePos="0" relativeHeight="251655168" behindDoc="1" locked="0" layoutInCell="1" allowOverlap="1">
            <wp:simplePos x="0" y="0"/>
            <wp:positionH relativeFrom="column">
              <wp:posOffset>-1028700</wp:posOffset>
            </wp:positionH>
            <wp:positionV relativeFrom="paragraph">
              <wp:posOffset>-470535</wp:posOffset>
            </wp:positionV>
            <wp:extent cx="1561465" cy="1706880"/>
            <wp:effectExtent l="0" t="0" r="0" b="0"/>
            <wp:wrapNone/>
            <wp:docPr id="1" name="图片 25" descr="科联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5" descr="科联标志"/>
                    <pic:cNvPicPr>
                      <a:picLocks noChangeAspect="1"/>
                    </pic:cNvPicPr>
                  </pic:nvPicPr>
                  <pic:blipFill>
                    <a:blip r:embed="rId12"/>
                    <a:stretch>
                      <a:fillRect/>
                    </a:stretch>
                  </pic:blipFill>
                  <pic:spPr>
                    <a:xfrm>
                      <a:off x="0" y="0"/>
                      <a:ext cx="1561465" cy="1706880"/>
                    </a:xfrm>
                    <a:prstGeom prst="rect">
                      <a:avLst/>
                    </a:prstGeom>
                    <a:noFill/>
                    <a:ln>
                      <a:noFill/>
                    </a:ln>
                  </pic:spPr>
                </pic:pic>
              </a:graphicData>
            </a:graphic>
          </wp:anchor>
        </w:drawing>
      </w:r>
      <w:r>
        <w:rPr>
          <w:rFonts w:hint="eastAsia"/>
          <w:color w:val="auto"/>
          <w:sz w:val="52"/>
          <w:szCs w:val="21"/>
        </w:rPr>
        <w:t>广西科联招标中心有限公司</w:t>
      </w:r>
    </w:p>
    <w:p>
      <w:pPr>
        <w:jc w:val="center"/>
        <w:rPr>
          <w:color w:val="auto"/>
          <w:sz w:val="24"/>
        </w:rPr>
      </w:pPr>
      <w:r>
        <w:rPr>
          <w:color w:val="auto"/>
          <w:sz w:val="24"/>
        </w:rPr>
        <w:t>GUANGXI   KELIAN  ZHAOBIAO   ZHONGXIN  YOUXIAN  GONGSI</w:t>
      </w:r>
    </w:p>
    <w:p>
      <w:pPr>
        <w:rPr>
          <w:color w:val="auto"/>
          <w:sz w:val="32"/>
          <w:u w:val="single"/>
        </w:rPr>
      </w:pPr>
      <w:r>
        <w:rPr>
          <w:color w:val="auto"/>
          <w:sz w:val="32"/>
          <w:u w:val="single"/>
        </w:rPr>
        <w:t xml:space="preserve">                                                          </w:t>
      </w:r>
    </w:p>
    <w:p>
      <w:pPr>
        <w:rPr>
          <w:color w:val="auto"/>
          <w:sz w:val="84"/>
        </w:rPr>
      </w:pPr>
    </w:p>
    <w:p>
      <w:pPr>
        <w:jc w:val="center"/>
        <w:rPr>
          <w:bCs/>
          <w:color w:val="auto"/>
          <w:sz w:val="96"/>
          <w:szCs w:val="144"/>
        </w:rPr>
      </w:pPr>
    </w:p>
    <w:p>
      <w:pPr>
        <w:jc w:val="center"/>
        <w:rPr>
          <w:bCs/>
          <w:color w:val="auto"/>
          <w:sz w:val="84"/>
          <w:szCs w:val="56"/>
        </w:rPr>
      </w:pPr>
      <w:r>
        <w:rPr>
          <w:rFonts w:hint="eastAsia"/>
          <w:bCs/>
          <w:color w:val="auto"/>
          <w:sz w:val="96"/>
          <w:szCs w:val="144"/>
        </w:rPr>
        <w:t>招</w:t>
      </w:r>
      <w:r>
        <w:rPr>
          <w:bCs/>
          <w:color w:val="auto"/>
          <w:sz w:val="96"/>
          <w:szCs w:val="144"/>
        </w:rPr>
        <w:t xml:space="preserve"> </w:t>
      </w:r>
      <w:r>
        <w:rPr>
          <w:rFonts w:hint="eastAsia"/>
          <w:bCs/>
          <w:color w:val="auto"/>
          <w:sz w:val="96"/>
          <w:szCs w:val="144"/>
        </w:rPr>
        <w:t>标</w:t>
      </w:r>
      <w:r>
        <w:rPr>
          <w:bCs/>
          <w:color w:val="auto"/>
          <w:sz w:val="96"/>
          <w:szCs w:val="144"/>
        </w:rPr>
        <w:t xml:space="preserve"> </w:t>
      </w:r>
      <w:r>
        <w:rPr>
          <w:rFonts w:hint="eastAsia"/>
          <w:bCs/>
          <w:color w:val="auto"/>
          <w:sz w:val="96"/>
          <w:szCs w:val="144"/>
        </w:rPr>
        <w:t>文</w:t>
      </w:r>
      <w:r>
        <w:rPr>
          <w:bCs/>
          <w:color w:val="auto"/>
          <w:sz w:val="96"/>
          <w:szCs w:val="144"/>
        </w:rPr>
        <w:t xml:space="preserve"> </w:t>
      </w:r>
      <w:r>
        <w:rPr>
          <w:rFonts w:hint="eastAsia"/>
          <w:bCs/>
          <w:color w:val="auto"/>
          <w:sz w:val="96"/>
          <w:szCs w:val="144"/>
        </w:rPr>
        <w:t>件</w:t>
      </w:r>
    </w:p>
    <w:p>
      <w:pPr>
        <w:pStyle w:val="23"/>
        <w:spacing w:line="360" w:lineRule="exact"/>
        <w:ind w:firstLine="640" w:firstLineChars="200"/>
        <w:jc w:val="center"/>
        <w:rPr>
          <w:rFonts w:hAnsi="宋体"/>
          <w:color w:val="auto"/>
          <w:sz w:val="32"/>
          <w:szCs w:val="32"/>
        </w:rPr>
      </w:pPr>
    </w:p>
    <w:p>
      <w:pPr>
        <w:pStyle w:val="23"/>
        <w:spacing w:line="360" w:lineRule="exact"/>
        <w:ind w:firstLine="640" w:firstLineChars="200"/>
        <w:jc w:val="center"/>
        <w:rPr>
          <w:rFonts w:hAnsi="宋体"/>
          <w:color w:val="auto"/>
          <w:sz w:val="32"/>
          <w:szCs w:val="32"/>
        </w:rPr>
      </w:pPr>
    </w:p>
    <w:p>
      <w:pPr>
        <w:pStyle w:val="23"/>
        <w:spacing w:line="360" w:lineRule="exact"/>
        <w:ind w:firstLine="640" w:firstLineChars="200"/>
        <w:jc w:val="center"/>
        <w:rPr>
          <w:rFonts w:hAnsi="宋体"/>
          <w:color w:val="auto"/>
          <w:sz w:val="32"/>
          <w:szCs w:val="32"/>
        </w:rPr>
      </w:pPr>
    </w:p>
    <w:p>
      <w:pPr>
        <w:pStyle w:val="23"/>
        <w:spacing w:line="360" w:lineRule="exact"/>
        <w:ind w:firstLine="640" w:firstLineChars="200"/>
        <w:jc w:val="center"/>
        <w:rPr>
          <w:rFonts w:hAnsi="宋体"/>
          <w:color w:val="auto"/>
          <w:sz w:val="32"/>
          <w:szCs w:val="32"/>
        </w:rPr>
      </w:pPr>
    </w:p>
    <w:p>
      <w:pPr>
        <w:pStyle w:val="23"/>
        <w:spacing w:line="360" w:lineRule="exact"/>
        <w:ind w:firstLine="640" w:firstLineChars="200"/>
        <w:jc w:val="center"/>
        <w:rPr>
          <w:rFonts w:hAnsi="宋体"/>
          <w:color w:val="auto"/>
          <w:sz w:val="32"/>
          <w:szCs w:val="32"/>
        </w:rPr>
      </w:pPr>
    </w:p>
    <w:p>
      <w:pPr>
        <w:pStyle w:val="23"/>
        <w:spacing w:line="360" w:lineRule="exact"/>
        <w:jc w:val="center"/>
        <w:rPr>
          <w:color w:val="auto"/>
          <w:sz w:val="32"/>
          <w:szCs w:val="32"/>
        </w:rPr>
      </w:pPr>
      <w:r>
        <w:rPr>
          <w:rFonts w:hint="eastAsia" w:hAnsi="宋体"/>
          <w:color w:val="auto"/>
          <w:sz w:val="32"/>
          <w:szCs w:val="32"/>
        </w:rPr>
        <w:t>项目名称：防城港市医疗废物处置中心设备升级改造生产线设备采购</w:t>
      </w:r>
    </w:p>
    <w:p>
      <w:pPr>
        <w:jc w:val="center"/>
        <w:rPr>
          <w:rFonts w:hAnsi="宋体"/>
          <w:color w:val="auto"/>
          <w:sz w:val="32"/>
          <w:szCs w:val="32"/>
        </w:rPr>
      </w:pPr>
    </w:p>
    <w:p>
      <w:pPr>
        <w:jc w:val="center"/>
        <w:rPr>
          <w:rFonts w:hAnsi="宋体"/>
          <w:color w:val="auto"/>
          <w:sz w:val="32"/>
          <w:szCs w:val="32"/>
        </w:rPr>
      </w:pPr>
      <w:r>
        <w:rPr>
          <w:rFonts w:hint="eastAsia" w:hAnsi="宋体"/>
          <w:color w:val="auto"/>
          <w:sz w:val="32"/>
          <w:szCs w:val="32"/>
        </w:rPr>
        <w:t>项目编号：FCZC2020-G1-10007-KLZB</w:t>
      </w:r>
    </w:p>
    <w:p>
      <w:pPr>
        <w:jc w:val="center"/>
        <w:rPr>
          <w:rFonts w:hAnsi="宋体"/>
          <w:color w:val="auto"/>
          <w:sz w:val="32"/>
          <w:szCs w:val="32"/>
        </w:rPr>
      </w:pPr>
    </w:p>
    <w:p>
      <w:pPr>
        <w:rPr>
          <w:color w:val="auto"/>
          <w:sz w:val="32"/>
          <w:szCs w:val="18"/>
        </w:rPr>
      </w:pPr>
    </w:p>
    <w:p>
      <w:pPr>
        <w:jc w:val="center"/>
        <w:rPr>
          <w:color w:val="auto"/>
          <w:sz w:val="40"/>
          <w:szCs w:val="21"/>
        </w:rPr>
      </w:pPr>
      <w:r>
        <w:rPr>
          <w:rFonts w:hint="eastAsia"/>
          <w:color w:val="auto"/>
          <w:sz w:val="32"/>
          <w:szCs w:val="18"/>
        </w:rPr>
        <w:t>采购代理机构：广西科联招标中心有限公司</w:t>
      </w:r>
    </w:p>
    <w:p>
      <w:pPr>
        <w:pStyle w:val="55"/>
        <w:jc w:val="center"/>
        <w:rPr>
          <w:color w:val="auto"/>
          <w:sz w:val="32"/>
        </w:rPr>
      </w:pPr>
      <w:r>
        <w:rPr>
          <w:rFonts w:hint="eastAsia"/>
          <w:color w:val="auto"/>
          <w:sz w:val="32"/>
        </w:rPr>
        <w:t>采  购  人：防城港市环境卫生管理处</w:t>
      </w:r>
    </w:p>
    <w:p>
      <w:pPr>
        <w:jc w:val="center"/>
        <w:rPr>
          <w:color w:val="auto"/>
          <w:sz w:val="32"/>
        </w:rPr>
      </w:pPr>
    </w:p>
    <w:p>
      <w:pPr>
        <w:pStyle w:val="55"/>
        <w:jc w:val="center"/>
        <w:rPr>
          <w:color w:val="auto"/>
          <w:sz w:val="32"/>
        </w:rPr>
      </w:pPr>
      <w:r>
        <w:rPr>
          <w:color w:val="auto"/>
          <w:sz w:val="32"/>
        </w:rPr>
        <w:t>2020</w:t>
      </w:r>
      <w:r>
        <w:rPr>
          <w:rFonts w:hint="eastAsia"/>
          <w:color w:val="auto"/>
          <w:sz w:val="32"/>
        </w:rPr>
        <w:t>年12月</w:t>
      </w:r>
    </w:p>
    <w:p>
      <w:pPr>
        <w:pStyle w:val="55"/>
        <w:rPr>
          <w:color w:val="auto"/>
          <w:sz w:val="32"/>
        </w:rPr>
      </w:pPr>
    </w:p>
    <w:p>
      <w:pPr>
        <w:pStyle w:val="23"/>
        <w:spacing w:before="120" w:after="120" w:line="360" w:lineRule="auto"/>
        <w:rPr>
          <w:rFonts w:ascii="仿宋_GB2312" w:hAnsi="宋体" w:eastAsia="仿宋_GB2312"/>
          <w:color w:val="auto"/>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pPr>
    </w:p>
    <w:p>
      <w:pPr>
        <w:pStyle w:val="23"/>
        <w:spacing w:before="120" w:after="120" w:line="360" w:lineRule="auto"/>
        <w:jc w:val="center"/>
        <w:rPr>
          <w:rFonts w:ascii="仿宋_GB2312" w:hAnsi="宋体" w:eastAsia="仿宋_GB2312"/>
          <w:color w:val="auto"/>
          <w:sz w:val="44"/>
          <w:szCs w:val="44"/>
        </w:rPr>
      </w:pPr>
      <w:r>
        <w:rPr>
          <w:rFonts w:hint="eastAsia" w:ascii="仿宋_GB2312" w:hAnsi="宋体" w:eastAsia="仿宋_GB2312"/>
          <w:color w:val="auto"/>
          <w:sz w:val="44"/>
          <w:szCs w:val="44"/>
        </w:rPr>
        <w:t>目</w:t>
      </w:r>
      <w:r>
        <w:rPr>
          <w:rFonts w:ascii="仿宋_GB2312" w:hAnsi="宋体" w:eastAsia="仿宋_GB2312"/>
          <w:color w:val="auto"/>
          <w:sz w:val="44"/>
          <w:szCs w:val="44"/>
        </w:rPr>
        <w:t xml:space="preserve">    </w:t>
      </w:r>
      <w:r>
        <w:rPr>
          <w:rFonts w:hint="eastAsia" w:ascii="仿宋_GB2312" w:hAnsi="宋体" w:eastAsia="仿宋_GB2312"/>
          <w:color w:val="auto"/>
          <w:sz w:val="44"/>
          <w:szCs w:val="44"/>
        </w:rPr>
        <w:t>录</w:t>
      </w:r>
    </w:p>
    <w:p>
      <w:pPr>
        <w:pStyle w:val="29"/>
        <w:tabs>
          <w:tab w:val="right" w:leader="dot" w:pos="8730"/>
          <w:tab w:val="clear" w:pos="9360"/>
        </w:tabs>
        <w:rPr>
          <w:color w:val="auto"/>
        </w:rPr>
      </w:pPr>
      <w:r>
        <w:rPr>
          <w:rFonts w:cs="宋体"/>
          <w:color w:val="auto"/>
        </w:rPr>
        <w:fldChar w:fldCharType="begin"/>
      </w:r>
      <w:r>
        <w:rPr>
          <w:rFonts w:cs="宋体"/>
          <w:color w:val="auto"/>
        </w:rPr>
        <w:instrText xml:space="preserve"> TOC \o "1-2" \u </w:instrText>
      </w:r>
      <w:r>
        <w:rPr>
          <w:rFonts w:cs="宋体"/>
          <w:color w:val="auto"/>
        </w:rPr>
        <w:fldChar w:fldCharType="separate"/>
      </w:r>
      <w:r>
        <w:rPr>
          <w:rFonts w:hint="eastAsia"/>
          <w:color w:val="auto"/>
          <w:szCs w:val="36"/>
        </w:rPr>
        <w:t>第一章</w:t>
      </w:r>
      <w:r>
        <w:rPr>
          <w:color w:val="auto"/>
          <w:szCs w:val="36"/>
        </w:rPr>
        <w:t xml:space="preserve">  </w:t>
      </w:r>
      <w:r>
        <w:rPr>
          <w:rFonts w:hint="eastAsia"/>
          <w:color w:val="auto"/>
          <w:szCs w:val="36"/>
        </w:rPr>
        <w:t>招标公告</w:t>
      </w:r>
      <w:r>
        <w:rPr>
          <w:color w:val="auto"/>
        </w:rPr>
        <w:tab/>
      </w:r>
      <w:r>
        <w:rPr>
          <w:color w:val="auto"/>
        </w:rPr>
        <w:fldChar w:fldCharType="begin"/>
      </w:r>
      <w:r>
        <w:rPr>
          <w:color w:val="auto"/>
        </w:rPr>
        <w:instrText xml:space="preserve"> PAGEREF _Toc602 </w:instrText>
      </w:r>
      <w:r>
        <w:rPr>
          <w:color w:val="auto"/>
        </w:rPr>
        <w:fldChar w:fldCharType="separate"/>
      </w:r>
      <w:r>
        <w:rPr>
          <w:color w:val="auto"/>
        </w:rPr>
        <w:t>2</w:t>
      </w:r>
      <w:r>
        <w:rPr>
          <w:color w:val="auto"/>
        </w:rPr>
        <w:fldChar w:fldCharType="end"/>
      </w:r>
    </w:p>
    <w:p>
      <w:pPr>
        <w:pStyle w:val="29"/>
        <w:tabs>
          <w:tab w:val="right" w:leader="dot" w:pos="8730"/>
          <w:tab w:val="clear" w:pos="9360"/>
        </w:tabs>
        <w:rPr>
          <w:color w:val="auto"/>
        </w:rPr>
      </w:pPr>
      <w:r>
        <w:rPr>
          <w:rFonts w:hint="eastAsia"/>
          <w:color w:val="auto"/>
          <w:szCs w:val="36"/>
        </w:rPr>
        <w:t>第二章</w:t>
      </w:r>
      <w:r>
        <w:rPr>
          <w:color w:val="auto"/>
          <w:szCs w:val="36"/>
        </w:rPr>
        <w:t xml:space="preserve"> </w:t>
      </w:r>
      <w:r>
        <w:rPr>
          <w:rFonts w:hint="eastAsia"/>
          <w:color w:val="auto"/>
          <w:szCs w:val="36"/>
        </w:rPr>
        <w:t>招标项目采购需求</w:t>
      </w:r>
      <w:r>
        <w:rPr>
          <w:color w:val="auto"/>
        </w:rPr>
        <w:tab/>
      </w:r>
      <w:r>
        <w:rPr>
          <w:color w:val="auto"/>
        </w:rPr>
        <w:fldChar w:fldCharType="begin"/>
      </w:r>
      <w:r>
        <w:rPr>
          <w:color w:val="auto"/>
        </w:rPr>
        <w:instrText xml:space="preserve"> PAGEREF _Toc16610 </w:instrText>
      </w:r>
      <w:r>
        <w:rPr>
          <w:color w:val="auto"/>
        </w:rPr>
        <w:fldChar w:fldCharType="separate"/>
      </w:r>
      <w:r>
        <w:rPr>
          <w:color w:val="auto"/>
        </w:rPr>
        <w:t>5</w:t>
      </w:r>
      <w:r>
        <w:rPr>
          <w:color w:val="auto"/>
        </w:rPr>
        <w:fldChar w:fldCharType="end"/>
      </w:r>
    </w:p>
    <w:p>
      <w:pPr>
        <w:pStyle w:val="29"/>
        <w:tabs>
          <w:tab w:val="right" w:leader="dot" w:pos="8730"/>
          <w:tab w:val="clear" w:pos="9360"/>
        </w:tabs>
        <w:rPr>
          <w:color w:val="auto"/>
        </w:rPr>
      </w:pPr>
      <w:r>
        <w:rPr>
          <w:rFonts w:hint="eastAsia"/>
          <w:color w:val="auto"/>
          <w:szCs w:val="36"/>
        </w:rPr>
        <w:t>第三章</w:t>
      </w:r>
      <w:r>
        <w:rPr>
          <w:color w:val="auto"/>
          <w:szCs w:val="36"/>
        </w:rPr>
        <w:t xml:space="preserve">  </w:t>
      </w:r>
      <w:r>
        <w:rPr>
          <w:rFonts w:hint="eastAsia"/>
          <w:color w:val="auto"/>
          <w:szCs w:val="36"/>
        </w:rPr>
        <w:t>投标人须知</w:t>
      </w:r>
      <w:r>
        <w:rPr>
          <w:color w:val="auto"/>
        </w:rPr>
        <w:tab/>
      </w:r>
      <w:r>
        <w:rPr>
          <w:color w:val="auto"/>
        </w:rPr>
        <w:fldChar w:fldCharType="begin"/>
      </w:r>
      <w:r>
        <w:rPr>
          <w:color w:val="auto"/>
        </w:rPr>
        <w:instrText xml:space="preserve"> PAGEREF _Toc25502 </w:instrText>
      </w:r>
      <w:r>
        <w:rPr>
          <w:color w:val="auto"/>
        </w:rPr>
        <w:fldChar w:fldCharType="separate"/>
      </w:r>
      <w:r>
        <w:rPr>
          <w:color w:val="auto"/>
        </w:rPr>
        <w:t>19</w:t>
      </w:r>
      <w:r>
        <w:rPr>
          <w:color w:val="auto"/>
        </w:rPr>
        <w:fldChar w:fldCharType="end"/>
      </w:r>
    </w:p>
    <w:p>
      <w:pPr>
        <w:pStyle w:val="29"/>
        <w:tabs>
          <w:tab w:val="right" w:leader="dot" w:pos="8730"/>
          <w:tab w:val="clear" w:pos="9360"/>
        </w:tabs>
        <w:rPr>
          <w:color w:val="auto"/>
        </w:rPr>
      </w:pPr>
      <w:r>
        <w:rPr>
          <w:rFonts w:hint="eastAsia"/>
          <w:color w:val="auto"/>
          <w:szCs w:val="36"/>
        </w:rPr>
        <w:t>第四章</w:t>
      </w:r>
      <w:r>
        <w:rPr>
          <w:color w:val="auto"/>
          <w:szCs w:val="36"/>
        </w:rPr>
        <w:t xml:space="preserve">  </w:t>
      </w:r>
      <w:r>
        <w:rPr>
          <w:rFonts w:hint="eastAsia"/>
          <w:color w:val="auto"/>
          <w:szCs w:val="36"/>
        </w:rPr>
        <w:t>评标办法及评分标准</w:t>
      </w:r>
      <w:r>
        <w:rPr>
          <w:color w:val="auto"/>
        </w:rPr>
        <w:tab/>
      </w:r>
      <w:r>
        <w:rPr>
          <w:color w:val="auto"/>
        </w:rPr>
        <w:fldChar w:fldCharType="begin"/>
      </w:r>
      <w:r>
        <w:rPr>
          <w:color w:val="auto"/>
        </w:rPr>
        <w:instrText xml:space="preserve"> PAGEREF _Toc22507 </w:instrText>
      </w:r>
      <w:r>
        <w:rPr>
          <w:color w:val="auto"/>
        </w:rPr>
        <w:fldChar w:fldCharType="separate"/>
      </w:r>
      <w:r>
        <w:rPr>
          <w:color w:val="auto"/>
        </w:rPr>
        <w:t>33</w:t>
      </w:r>
      <w:r>
        <w:rPr>
          <w:color w:val="auto"/>
        </w:rPr>
        <w:fldChar w:fldCharType="end"/>
      </w:r>
    </w:p>
    <w:p>
      <w:pPr>
        <w:pStyle w:val="29"/>
        <w:tabs>
          <w:tab w:val="right" w:leader="dot" w:pos="8730"/>
          <w:tab w:val="clear" w:pos="9360"/>
        </w:tabs>
        <w:rPr>
          <w:color w:val="auto"/>
        </w:rPr>
      </w:pPr>
      <w:r>
        <w:rPr>
          <w:rFonts w:hint="eastAsia"/>
          <w:color w:val="auto"/>
          <w:szCs w:val="36"/>
        </w:rPr>
        <w:t>第五章</w:t>
      </w:r>
      <w:r>
        <w:rPr>
          <w:color w:val="auto"/>
          <w:szCs w:val="36"/>
        </w:rPr>
        <w:t xml:space="preserve">  </w:t>
      </w:r>
      <w:r>
        <w:rPr>
          <w:rFonts w:hint="eastAsia"/>
          <w:color w:val="auto"/>
          <w:szCs w:val="36"/>
        </w:rPr>
        <w:t>合同主要条款格式</w:t>
      </w:r>
      <w:r>
        <w:rPr>
          <w:color w:val="auto"/>
        </w:rPr>
        <w:tab/>
      </w:r>
      <w:r>
        <w:rPr>
          <w:color w:val="auto"/>
        </w:rPr>
        <w:fldChar w:fldCharType="begin"/>
      </w:r>
      <w:r>
        <w:rPr>
          <w:color w:val="auto"/>
        </w:rPr>
        <w:instrText xml:space="preserve"> PAGEREF _Toc32131 </w:instrText>
      </w:r>
      <w:r>
        <w:rPr>
          <w:color w:val="auto"/>
        </w:rPr>
        <w:fldChar w:fldCharType="separate"/>
      </w:r>
      <w:r>
        <w:rPr>
          <w:color w:val="auto"/>
        </w:rPr>
        <w:t>37</w:t>
      </w:r>
      <w:r>
        <w:rPr>
          <w:color w:val="auto"/>
        </w:rPr>
        <w:fldChar w:fldCharType="end"/>
      </w:r>
    </w:p>
    <w:p>
      <w:pPr>
        <w:pStyle w:val="29"/>
        <w:tabs>
          <w:tab w:val="right" w:leader="dot" w:pos="8730"/>
          <w:tab w:val="clear" w:pos="9360"/>
        </w:tabs>
        <w:rPr>
          <w:color w:val="auto"/>
        </w:rPr>
      </w:pPr>
      <w:r>
        <w:rPr>
          <w:rFonts w:hint="eastAsia"/>
          <w:color w:val="auto"/>
          <w:szCs w:val="36"/>
        </w:rPr>
        <w:t>第六章　投标文件格式</w:t>
      </w:r>
      <w:r>
        <w:rPr>
          <w:color w:val="auto"/>
        </w:rPr>
        <w:tab/>
      </w:r>
      <w:r>
        <w:rPr>
          <w:color w:val="auto"/>
        </w:rPr>
        <w:t>63</w:t>
      </w:r>
    </w:p>
    <w:p>
      <w:pPr>
        <w:pStyle w:val="37"/>
        <w:rPr>
          <w:rFonts w:ascii="华文中宋" w:hAnsi="华文中宋" w:eastAsia="华文中宋"/>
          <w:color w:val="auto"/>
        </w:rPr>
      </w:pPr>
      <w:r>
        <w:rPr>
          <w:rFonts w:ascii="宋体" w:cs="宋体"/>
          <w:color w:val="auto"/>
        </w:rPr>
        <w:br w:type="page"/>
      </w:r>
      <w:r>
        <w:rPr>
          <w:rFonts w:cs="宋体"/>
          <w:color w:val="auto"/>
        </w:rPr>
        <w:fldChar w:fldCharType="end"/>
      </w:r>
      <w:bookmarkStart w:id="0" w:name="_Toc254970489"/>
      <w:bookmarkStart w:id="1" w:name="_Toc254970630"/>
      <w:bookmarkStart w:id="2" w:name="_Toc602"/>
      <w:bookmarkStart w:id="3" w:name="_Toc327735634"/>
      <w:r>
        <w:rPr>
          <w:rFonts w:hint="eastAsia"/>
          <w:color w:val="auto"/>
          <w:sz w:val="36"/>
          <w:szCs w:val="36"/>
        </w:rPr>
        <w:t>第一章</w:t>
      </w:r>
      <w:r>
        <w:rPr>
          <w:color w:val="auto"/>
          <w:sz w:val="36"/>
          <w:szCs w:val="36"/>
        </w:rPr>
        <w:t xml:space="preserve">  </w:t>
      </w:r>
      <w:r>
        <w:rPr>
          <w:rFonts w:hint="eastAsia"/>
          <w:color w:val="auto"/>
          <w:sz w:val="36"/>
          <w:szCs w:val="36"/>
        </w:rPr>
        <w:t>招标公告</w:t>
      </w:r>
      <w:bookmarkEnd w:id="0"/>
      <w:bookmarkEnd w:id="1"/>
      <w:bookmarkEnd w:id="2"/>
      <w:bookmarkEnd w:id="3"/>
    </w:p>
    <w:p>
      <w:pPr>
        <w:spacing w:line="400" w:lineRule="exact"/>
        <w:ind w:firstLine="420" w:firstLineChars="200"/>
        <w:rPr>
          <w:rFonts w:ascii="宋体" w:hAnsi="宋体" w:cs="宋体"/>
          <w:color w:val="auto"/>
          <w:szCs w:val="21"/>
        </w:rPr>
      </w:pPr>
      <w:r>
        <w:rPr>
          <w:rFonts w:hint="eastAsia" w:ascii="宋体" w:hAnsi="宋体" w:cs="宋体"/>
          <w:color w:val="auto"/>
          <w:szCs w:val="21"/>
        </w:rPr>
        <w:t>项目概况</w:t>
      </w:r>
    </w:p>
    <w:p>
      <w:pPr>
        <w:spacing w:line="400" w:lineRule="exact"/>
        <w:ind w:firstLine="420" w:firstLineChars="200"/>
        <w:rPr>
          <w:rFonts w:ascii="宋体" w:hAnsi="宋体" w:cs="宋体"/>
          <w:color w:val="auto"/>
          <w:szCs w:val="21"/>
        </w:rPr>
      </w:pPr>
      <w:r>
        <w:rPr>
          <w:rFonts w:hint="eastAsia" w:ascii="宋体" w:hAnsi="宋体" w:cs="宋体"/>
          <w:color w:val="auto"/>
          <w:szCs w:val="21"/>
        </w:rPr>
        <w:t>防城港市医疗废物处置中心设备升级改造生产线设备采购招标项目的潜在投标人应在政采云平台上获取招标文件，并于</w:t>
      </w:r>
      <w:r>
        <w:rPr>
          <w:rFonts w:hint="eastAsia" w:ascii="宋体" w:hAnsi="宋体" w:cs="宋体"/>
          <w:color w:val="auto"/>
          <w:szCs w:val="21"/>
          <w:lang w:eastAsia="zh-CN"/>
        </w:rPr>
        <w:t>2020年12月30日9点30分整</w:t>
      </w:r>
      <w:r>
        <w:rPr>
          <w:rFonts w:hint="eastAsia" w:ascii="宋体" w:hAnsi="宋体" w:cs="宋体"/>
          <w:color w:val="auto"/>
          <w:szCs w:val="21"/>
        </w:rPr>
        <w:t>（北京时间）前递交投标文件。</w:t>
      </w:r>
    </w:p>
    <w:p>
      <w:pPr>
        <w:spacing w:line="400" w:lineRule="exact"/>
        <w:ind w:firstLine="420" w:firstLineChars="200"/>
        <w:rPr>
          <w:rFonts w:ascii="宋体" w:hAnsi="宋体" w:cs="宋体"/>
          <w:color w:val="auto"/>
          <w:szCs w:val="21"/>
        </w:rPr>
      </w:pPr>
      <w:bookmarkStart w:id="4" w:name="_Toc28359079"/>
      <w:bookmarkStart w:id="5" w:name="_Toc35393790"/>
      <w:bookmarkStart w:id="6" w:name="_Toc35393621"/>
      <w:bookmarkStart w:id="7" w:name="_Toc28359002"/>
      <w:bookmarkStart w:id="8" w:name="_Hlk24379207"/>
      <w:r>
        <w:rPr>
          <w:rFonts w:hint="eastAsia" w:ascii="宋体" w:hAnsi="宋体" w:cs="宋体"/>
          <w:color w:val="auto"/>
          <w:szCs w:val="21"/>
        </w:rPr>
        <w:t>一、项目基本情况</w:t>
      </w:r>
      <w:bookmarkEnd w:id="4"/>
      <w:bookmarkEnd w:id="5"/>
      <w:bookmarkEnd w:id="6"/>
      <w:bookmarkEnd w:id="7"/>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项目编号：FCZC2020-G1-10007-KLZB </w:t>
      </w:r>
    </w:p>
    <w:p>
      <w:pPr>
        <w:spacing w:line="400" w:lineRule="exact"/>
        <w:ind w:firstLine="420" w:firstLineChars="200"/>
        <w:rPr>
          <w:rFonts w:ascii="宋体" w:hAnsi="宋体" w:cs="宋体"/>
          <w:color w:val="auto"/>
          <w:szCs w:val="21"/>
        </w:rPr>
      </w:pPr>
      <w:r>
        <w:rPr>
          <w:rFonts w:hint="eastAsia" w:ascii="宋体" w:hAnsi="宋体" w:cs="宋体"/>
          <w:color w:val="auto"/>
          <w:szCs w:val="21"/>
        </w:rPr>
        <w:t>项目名称：防城港市医疗废物处置中心设备升级改造生产线设备采购</w:t>
      </w:r>
    </w:p>
    <w:bookmarkEnd w:id="8"/>
    <w:p>
      <w:pPr>
        <w:spacing w:line="400" w:lineRule="exact"/>
        <w:ind w:firstLine="420" w:firstLineChars="200"/>
        <w:rPr>
          <w:rFonts w:ascii="宋体" w:hAnsi="宋体" w:cs="宋体"/>
          <w:color w:val="auto"/>
          <w:szCs w:val="21"/>
        </w:rPr>
      </w:pPr>
      <w:r>
        <w:rPr>
          <w:rFonts w:hint="eastAsia" w:ascii="宋体" w:hAnsi="宋体" w:cs="宋体"/>
          <w:color w:val="auto"/>
          <w:szCs w:val="21"/>
        </w:rPr>
        <w:t>预算金额：人民币伍佰陆拾万元整（￥5600000.00）</w:t>
      </w:r>
    </w:p>
    <w:p>
      <w:pPr>
        <w:spacing w:line="400" w:lineRule="exact"/>
        <w:ind w:firstLine="420" w:firstLineChars="200"/>
        <w:rPr>
          <w:rFonts w:ascii="宋体" w:hAnsi="宋体" w:cs="宋体"/>
          <w:color w:val="auto"/>
          <w:szCs w:val="21"/>
        </w:rPr>
      </w:pPr>
      <w:r>
        <w:rPr>
          <w:rFonts w:hint="eastAsia" w:ascii="宋体" w:hAnsi="宋体" w:cs="宋体"/>
          <w:color w:val="auto"/>
          <w:szCs w:val="21"/>
        </w:rPr>
        <w:t>最高限价（如有）：同采购预算</w:t>
      </w:r>
    </w:p>
    <w:p>
      <w:pPr>
        <w:spacing w:line="400" w:lineRule="exact"/>
        <w:ind w:firstLine="420" w:firstLineChars="200"/>
        <w:rPr>
          <w:rFonts w:ascii="宋体" w:hAnsi="宋体" w:cs="宋体"/>
          <w:color w:val="auto"/>
          <w:szCs w:val="21"/>
        </w:rPr>
      </w:pPr>
      <w:r>
        <w:rPr>
          <w:rFonts w:hint="eastAsia" w:ascii="宋体" w:hAnsi="宋体" w:cs="宋体"/>
          <w:color w:val="auto"/>
          <w:szCs w:val="21"/>
        </w:rPr>
        <w:t>采购需求：防城港市医疗废物处置中心设备升级改造生产线设备1批，具体详见采购需求。</w:t>
      </w:r>
    </w:p>
    <w:p>
      <w:pPr>
        <w:spacing w:line="400" w:lineRule="exact"/>
        <w:ind w:firstLine="420" w:firstLineChars="200"/>
        <w:rPr>
          <w:rFonts w:ascii="宋体" w:hAnsi="宋体" w:cs="宋体"/>
          <w:color w:val="auto"/>
          <w:szCs w:val="21"/>
        </w:rPr>
      </w:pPr>
      <w:r>
        <w:rPr>
          <w:rFonts w:hint="eastAsia" w:ascii="宋体" w:hAnsi="宋体" w:cs="宋体"/>
          <w:color w:val="auto"/>
          <w:szCs w:val="21"/>
        </w:rPr>
        <w:t>合同履行期限：自合同签订之日起90天内交付使用。</w:t>
      </w:r>
    </w:p>
    <w:p>
      <w:pPr>
        <w:spacing w:line="400" w:lineRule="exact"/>
        <w:ind w:firstLine="420" w:firstLineChars="200"/>
        <w:rPr>
          <w:rFonts w:ascii="宋体" w:hAnsi="宋体" w:cs="宋体"/>
          <w:color w:val="auto"/>
          <w:szCs w:val="21"/>
        </w:rPr>
      </w:pPr>
      <w:r>
        <w:rPr>
          <w:rFonts w:hint="eastAsia" w:ascii="宋体" w:hAnsi="宋体" w:cs="宋体"/>
          <w:color w:val="auto"/>
          <w:szCs w:val="21"/>
        </w:rPr>
        <w:t>本项目不接受联合体投标。</w:t>
      </w:r>
    </w:p>
    <w:p>
      <w:pPr>
        <w:spacing w:line="400" w:lineRule="exact"/>
        <w:ind w:firstLine="420" w:firstLineChars="200"/>
        <w:rPr>
          <w:rFonts w:ascii="宋体" w:hAnsi="宋体" w:cs="宋体"/>
          <w:color w:val="auto"/>
          <w:szCs w:val="21"/>
        </w:rPr>
      </w:pPr>
      <w:bookmarkStart w:id="9" w:name="_Toc35393791"/>
      <w:bookmarkStart w:id="10" w:name="_Toc35393622"/>
      <w:bookmarkStart w:id="11" w:name="_Toc28359080"/>
      <w:bookmarkStart w:id="12" w:name="_Toc28359003"/>
      <w:r>
        <w:rPr>
          <w:rFonts w:hint="eastAsia" w:ascii="宋体" w:hAnsi="宋体" w:cs="宋体"/>
          <w:color w:val="auto"/>
          <w:szCs w:val="21"/>
        </w:rPr>
        <w:t>二、投标人的资格要求：</w:t>
      </w:r>
      <w:bookmarkEnd w:id="9"/>
      <w:bookmarkEnd w:id="10"/>
      <w:bookmarkEnd w:id="11"/>
      <w:bookmarkEnd w:id="12"/>
    </w:p>
    <w:p>
      <w:pPr>
        <w:spacing w:line="400" w:lineRule="exact"/>
        <w:ind w:firstLine="420" w:firstLineChars="200"/>
        <w:rPr>
          <w:rFonts w:ascii="宋体" w:hAnsi="宋体" w:cs="宋体"/>
          <w:color w:val="auto"/>
          <w:szCs w:val="21"/>
        </w:rPr>
      </w:pPr>
      <w:r>
        <w:rPr>
          <w:rFonts w:hint="eastAsia" w:ascii="宋体" w:hAnsi="宋体" w:cs="宋体"/>
          <w:color w:val="auto"/>
          <w:szCs w:val="21"/>
        </w:rPr>
        <w:t>1.满足《中华人民共和国政府采购法》第二十二条规定；</w:t>
      </w:r>
    </w:p>
    <w:p>
      <w:pPr>
        <w:spacing w:line="400" w:lineRule="exact"/>
        <w:ind w:firstLine="420" w:firstLineChars="200"/>
        <w:rPr>
          <w:rFonts w:ascii="宋体" w:hAnsi="宋体" w:cs="宋体"/>
          <w:color w:val="auto"/>
          <w:szCs w:val="21"/>
        </w:rPr>
      </w:pPr>
      <w:bookmarkStart w:id="13" w:name="_Toc28359081"/>
      <w:bookmarkStart w:id="14" w:name="_Toc28359004"/>
      <w:r>
        <w:rPr>
          <w:rFonts w:hint="eastAsia" w:ascii="宋体" w:hAnsi="宋体" w:cs="宋体"/>
          <w:color w:val="auto"/>
          <w:szCs w:val="21"/>
        </w:rPr>
        <w:t>2.国内注册（指按国家有关规定要求注册的），能提供本次采购货物的供应商；</w:t>
      </w:r>
    </w:p>
    <w:p>
      <w:pPr>
        <w:spacing w:line="400" w:lineRule="exact"/>
        <w:ind w:firstLine="420" w:firstLineChars="200"/>
        <w:rPr>
          <w:rFonts w:ascii="宋体" w:hAnsi="宋体" w:cs="宋体"/>
          <w:color w:val="auto"/>
          <w:szCs w:val="21"/>
        </w:rPr>
      </w:pPr>
      <w:r>
        <w:rPr>
          <w:rFonts w:hint="eastAsia" w:ascii="宋体" w:hAnsi="宋体" w:cs="宋体"/>
          <w:color w:val="auto"/>
          <w:szCs w:val="21"/>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firstLineChars="200"/>
        <w:rPr>
          <w:rFonts w:ascii="宋体" w:hAnsi="宋体" w:cs="宋体"/>
          <w:color w:val="auto"/>
          <w:szCs w:val="21"/>
        </w:rPr>
      </w:pPr>
      <w:r>
        <w:rPr>
          <w:rFonts w:hint="eastAsia" w:ascii="宋体" w:hAnsi="宋体" w:cs="宋体"/>
          <w:color w:val="auto"/>
          <w:szCs w:val="21"/>
        </w:rPr>
        <w:t>4.对在“信用中国”网站、中国政府采购网等渠道列入失信被执行人、重大税收违法案件当事人名单、政府采购严重违法失信行为记录名单不得参与政府采购活动；</w:t>
      </w:r>
    </w:p>
    <w:p>
      <w:pPr>
        <w:spacing w:line="400" w:lineRule="exact"/>
        <w:ind w:firstLine="420" w:firstLineChars="200"/>
        <w:rPr>
          <w:rFonts w:ascii="宋体" w:hAnsi="宋体" w:cs="宋体"/>
          <w:color w:val="auto"/>
          <w:szCs w:val="21"/>
        </w:rPr>
      </w:pPr>
      <w:r>
        <w:rPr>
          <w:rFonts w:hint="eastAsia" w:ascii="宋体" w:hAnsi="宋体" w:cs="宋体"/>
          <w:color w:val="auto"/>
          <w:szCs w:val="21"/>
        </w:rPr>
        <w:t>5.落实政府采购政策需满足的资格要求：无。</w:t>
      </w:r>
    </w:p>
    <w:p>
      <w:pPr>
        <w:spacing w:line="400" w:lineRule="exact"/>
        <w:ind w:firstLine="420" w:firstLineChars="200"/>
        <w:rPr>
          <w:rFonts w:ascii="宋体" w:hAnsi="宋体" w:cs="宋体"/>
          <w:color w:val="auto"/>
          <w:szCs w:val="21"/>
        </w:rPr>
      </w:pPr>
      <w:r>
        <w:rPr>
          <w:rFonts w:hint="eastAsia" w:ascii="宋体" w:hAnsi="宋体" w:cs="宋体"/>
          <w:color w:val="auto"/>
          <w:szCs w:val="21"/>
        </w:rPr>
        <w:t>6.本项目的特定资格要求：</w:t>
      </w:r>
    </w:p>
    <w:p>
      <w:pPr>
        <w:spacing w:line="400" w:lineRule="exact"/>
        <w:ind w:firstLine="420" w:firstLineChars="200"/>
        <w:rPr>
          <w:rFonts w:ascii="宋体" w:hAnsi="宋体" w:cs="宋体"/>
          <w:color w:val="auto"/>
          <w:szCs w:val="21"/>
        </w:rPr>
      </w:pPr>
      <w:r>
        <w:rPr>
          <w:rFonts w:hint="eastAsia" w:ascii="宋体" w:hAnsi="宋体" w:cs="宋体"/>
          <w:color w:val="auto"/>
          <w:szCs w:val="21"/>
        </w:rPr>
        <w:t>(1)具有质量技术监督部门颁发的特种设备制造许可证（压力容器） 或特种设备安装改造维修许可证（压力容器）；</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（2）具有质量技术监督部门颁发的特种设备设计许可证（压力管道）和质量技术监督部门颁发的特种设备安装改造维修许可证（压力管道）或质量技术监督部门颁发的特种设备生产许可证（工业管道安装）；</w:t>
      </w:r>
    </w:p>
    <w:p>
      <w:pPr>
        <w:spacing w:line="400" w:lineRule="exact"/>
        <w:ind w:firstLine="420" w:firstLineChars="200"/>
        <w:rPr>
          <w:rFonts w:ascii="宋体" w:hAnsi="宋体" w:cs="宋体"/>
          <w:color w:val="auto"/>
          <w:szCs w:val="21"/>
        </w:rPr>
      </w:pPr>
      <w:r>
        <w:rPr>
          <w:rFonts w:hint="eastAsia" w:ascii="宋体" w:hAnsi="宋体" w:cs="宋体"/>
          <w:color w:val="auto"/>
          <w:szCs w:val="21"/>
        </w:rPr>
        <w:t>(3)具备履行合同所必须的专业技术能力，须具有建设主管部门颁发的建筑机电安装工程专业承包三级及以上资质。</w:t>
      </w:r>
    </w:p>
    <w:p>
      <w:pPr>
        <w:spacing w:line="400" w:lineRule="exact"/>
        <w:ind w:firstLine="420" w:firstLineChars="200"/>
        <w:rPr>
          <w:rFonts w:ascii="宋体" w:hAnsi="宋体" w:cs="宋体"/>
          <w:color w:val="auto"/>
          <w:szCs w:val="21"/>
        </w:rPr>
      </w:pPr>
      <w:bookmarkStart w:id="15" w:name="_Toc35393792"/>
      <w:bookmarkStart w:id="16" w:name="_Toc35393623"/>
      <w:r>
        <w:rPr>
          <w:rFonts w:hint="eastAsia" w:ascii="宋体" w:hAnsi="宋体" w:cs="宋体"/>
          <w:color w:val="auto"/>
          <w:szCs w:val="21"/>
        </w:rPr>
        <w:t>三、获取招标文件</w:t>
      </w:r>
      <w:bookmarkEnd w:id="13"/>
      <w:bookmarkEnd w:id="14"/>
      <w:bookmarkEnd w:id="15"/>
      <w:bookmarkEnd w:id="16"/>
    </w:p>
    <w:p>
      <w:pPr>
        <w:spacing w:line="400" w:lineRule="exact"/>
        <w:ind w:firstLine="420" w:firstLineChars="200"/>
        <w:rPr>
          <w:rFonts w:ascii="宋体" w:hAnsi="宋体" w:cs="宋体"/>
          <w:color w:val="auto"/>
          <w:szCs w:val="21"/>
        </w:rPr>
      </w:pPr>
      <w:r>
        <w:rPr>
          <w:rFonts w:hint="eastAsia" w:ascii="宋体" w:hAnsi="宋体" w:cs="宋体"/>
          <w:color w:val="auto"/>
          <w:szCs w:val="21"/>
        </w:rPr>
        <w:t>1.时间：2020年12月</w:t>
      </w:r>
      <w:r>
        <w:rPr>
          <w:rFonts w:hint="eastAsia" w:ascii="宋体" w:hAnsi="宋体" w:cs="宋体"/>
          <w:color w:val="auto"/>
          <w:szCs w:val="21"/>
          <w:lang w:val="en-US" w:eastAsia="zh-CN"/>
        </w:rPr>
        <w:t>9</w:t>
      </w:r>
      <w:r>
        <w:rPr>
          <w:rFonts w:hint="eastAsia" w:ascii="宋体" w:hAnsi="宋体" w:cs="宋体"/>
          <w:color w:val="auto"/>
          <w:szCs w:val="21"/>
        </w:rPr>
        <w:t>日至2020年12月</w:t>
      </w:r>
      <w:r>
        <w:rPr>
          <w:rFonts w:hint="eastAsia" w:ascii="宋体" w:hAnsi="宋体" w:cs="宋体"/>
          <w:color w:val="auto"/>
          <w:szCs w:val="21"/>
          <w:lang w:val="en-US" w:eastAsia="zh-CN"/>
        </w:rPr>
        <w:t>16</w:t>
      </w:r>
      <w:r>
        <w:rPr>
          <w:rFonts w:hint="eastAsia" w:ascii="宋体" w:hAnsi="宋体" w:cs="宋体"/>
          <w:color w:val="auto"/>
          <w:szCs w:val="21"/>
        </w:rPr>
        <w:t>日，每天上午8时00分至12时00分，下午3时00分至6时00分（北京时间，法定节假日除外）</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2.地点：政采云平台</w:t>
      </w:r>
    </w:p>
    <w:p>
      <w:pPr>
        <w:spacing w:line="400" w:lineRule="exact"/>
        <w:ind w:firstLine="420" w:firstLineChars="200"/>
        <w:rPr>
          <w:rFonts w:ascii="宋体" w:hAnsi="宋体" w:cs="宋体"/>
          <w:color w:val="auto"/>
          <w:szCs w:val="21"/>
        </w:rPr>
      </w:pPr>
      <w:r>
        <w:rPr>
          <w:rFonts w:hint="eastAsia" w:ascii="宋体" w:hAnsi="宋体" w:cs="宋体"/>
          <w:color w:val="auto"/>
          <w:szCs w:val="21"/>
        </w:rPr>
        <w:t>3.方式：本项目由潜在投标人登陆政采云平台下载招标文件电子版，并根据招标文件规定的投标文件递交截止时间和地点提交投标文件。未注册的供应商可登录政采云平台进行注册（政采云平台-商家入驻-注册），如在操作过程中遇到问题或者需要技术支持，请致电政采云客服热线：400-881-7190。</w:t>
      </w:r>
    </w:p>
    <w:p>
      <w:pPr>
        <w:spacing w:line="400" w:lineRule="exact"/>
        <w:ind w:firstLine="420" w:firstLineChars="200"/>
        <w:rPr>
          <w:rFonts w:ascii="宋体" w:hAnsi="宋体" w:cs="宋体"/>
          <w:color w:val="auto"/>
          <w:szCs w:val="21"/>
        </w:rPr>
      </w:pPr>
      <w:r>
        <w:rPr>
          <w:rFonts w:hint="eastAsia" w:ascii="宋体" w:hAnsi="宋体" w:cs="宋体"/>
          <w:color w:val="auto"/>
          <w:szCs w:val="21"/>
        </w:rPr>
        <w:t>4.售价：0元</w:t>
      </w:r>
    </w:p>
    <w:p>
      <w:pPr>
        <w:spacing w:line="400" w:lineRule="exact"/>
        <w:ind w:firstLine="420" w:firstLineChars="200"/>
        <w:rPr>
          <w:rFonts w:ascii="宋体" w:hAnsi="宋体" w:cs="宋体"/>
          <w:color w:val="auto"/>
          <w:szCs w:val="21"/>
        </w:rPr>
      </w:pPr>
      <w:bookmarkStart w:id="17" w:name="_Toc28359005"/>
      <w:bookmarkStart w:id="18" w:name="_Toc28359082"/>
      <w:bookmarkStart w:id="19" w:name="_Toc35393624"/>
      <w:bookmarkStart w:id="20" w:name="_Toc35393793"/>
      <w:r>
        <w:rPr>
          <w:rFonts w:hint="eastAsia" w:ascii="宋体" w:hAnsi="宋体" w:cs="宋体"/>
          <w:color w:val="auto"/>
          <w:szCs w:val="21"/>
        </w:rPr>
        <w:t>四、提交投标文件</w:t>
      </w:r>
      <w:bookmarkEnd w:id="17"/>
      <w:bookmarkEnd w:id="18"/>
      <w:r>
        <w:rPr>
          <w:rFonts w:hint="eastAsia" w:ascii="宋体" w:hAnsi="宋体" w:cs="宋体"/>
          <w:color w:val="auto"/>
          <w:szCs w:val="21"/>
        </w:rPr>
        <w:t>截止时间、开标时间和地点</w:t>
      </w:r>
      <w:bookmarkEnd w:id="19"/>
      <w:bookmarkEnd w:id="20"/>
    </w:p>
    <w:p>
      <w:pPr>
        <w:spacing w:line="400" w:lineRule="exact"/>
        <w:ind w:firstLine="420" w:firstLineChars="200"/>
        <w:rPr>
          <w:rFonts w:ascii="宋体" w:hAnsi="宋体" w:cs="宋体"/>
          <w:color w:val="auto"/>
          <w:szCs w:val="21"/>
        </w:rPr>
      </w:pPr>
      <w:r>
        <w:rPr>
          <w:rFonts w:hint="eastAsia" w:ascii="宋体" w:hAnsi="宋体" w:cs="宋体"/>
          <w:color w:val="auto"/>
          <w:szCs w:val="21"/>
        </w:rPr>
        <w:t>时间：</w:t>
      </w:r>
      <w:r>
        <w:rPr>
          <w:rFonts w:hint="eastAsia" w:ascii="宋体" w:hAnsi="宋体" w:cs="宋体"/>
          <w:color w:val="auto"/>
          <w:szCs w:val="21"/>
        </w:rPr>
        <w:t>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w:t>
      </w:r>
      <w:r>
        <w:rPr>
          <w:rFonts w:hint="eastAsia" w:ascii="宋体" w:hAnsi="宋体" w:cs="宋体"/>
          <w:color w:val="auto"/>
          <w:szCs w:val="21"/>
          <w:lang w:val="en-US" w:eastAsia="zh-CN"/>
        </w:rPr>
        <w:t>9</w:t>
      </w:r>
      <w:r>
        <w:rPr>
          <w:rFonts w:hint="eastAsia" w:ascii="宋体" w:hAnsi="宋体" w:cs="宋体"/>
          <w:color w:val="auto"/>
          <w:szCs w:val="21"/>
        </w:rPr>
        <w:t>点</w:t>
      </w:r>
      <w:r>
        <w:rPr>
          <w:rFonts w:hint="eastAsia" w:ascii="宋体" w:hAnsi="宋体" w:cs="宋体"/>
          <w:color w:val="auto"/>
          <w:szCs w:val="21"/>
          <w:lang w:val="en-US" w:eastAsia="zh-CN"/>
        </w:rPr>
        <w:t>30</w:t>
      </w:r>
      <w:r>
        <w:rPr>
          <w:rFonts w:hint="eastAsia" w:ascii="宋体" w:hAnsi="宋体" w:cs="宋体"/>
          <w:color w:val="auto"/>
          <w:szCs w:val="21"/>
        </w:rPr>
        <w:t>分整</w:t>
      </w:r>
      <w:r>
        <w:rPr>
          <w:rFonts w:hint="eastAsia" w:ascii="宋体" w:hAnsi="宋体" w:cs="宋体"/>
          <w:color w:val="auto"/>
          <w:szCs w:val="21"/>
        </w:rPr>
        <w:t>（北京时间）</w:t>
      </w:r>
    </w:p>
    <w:p>
      <w:pPr>
        <w:spacing w:line="400" w:lineRule="exact"/>
        <w:ind w:firstLine="420" w:firstLineChars="200"/>
        <w:rPr>
          <w:rFonts w:ascii="宋体" w:hAnsi="宋体" w:cs="宋体"/>
          <w:color w:val="auto"/>
          <w:szCs w:val="21"/>
        </w:rPr>
      </w:pPr>
      <w:r>
        <w:rPr>
          <w:rFonts w:hint="eastAsia" w:ascii="宋体" w:hAnsi="宋体" w:cs="宋体"/>
          <w:color w:val="auto"/>
          <w:szCs w:val="21"/>
        </w:rPr>
        <w:t>地点：防城港市公共资源交易中心（防城港市迎宾路红树林大厦东塔）（具体开标厅根据防城港市公共资源交易中心网站公示或防城港市迎宾路红树林大厦东塔6楼电子屏幕显示的安排）</w:t>
      </w:r>
    </w:p>
    <w:p>
      <w:pPr>
        <w:spacing w:line="400" w:lineRule="exact"/>
        <w:ind w:firstLine="420" w:firstLineChars="200"/>
        <w:rPr>
          <w:rFonts w:ascii="宋体" w:hAnsi="宋体" w:cs="宋体"/>
          <w:color w:val="auto"/>
          <w:szCs w:val="21"/>
        </w:rPr>
      </w:pPr>
      <w:r>
        <w:rPr>
          <w:rFonts w:hint="eastAsia" w:ascii="宋体" w:hAnsi="宋体" w:cs="宋体"/>
          <w:color w:val="auto"/>
          <w:szCs w:val="21"/>
        </w:rPr>
        <w:t>逾期送达或未按要求密封的将予以拒收（或作无效投标文件处理）</w:t>
      </w:r>
    </w:p>
    <w:p>
      <w:pPr>
        <w:spacing w:line="400" w:lineRule="exact"/>
        <w:ind w:firstLine="420" w:firstLineChars="200"/>
        <w:rPr>
          <w:rFonts w:ascii="宋体" w:hAnsi="宋体" w:cs="宋体"/>
          <w:color w:val="auto"/>
          <w:szCs w:val="21"/>
        </w:rPr>
      </w:pPr>
      <w:bookmarkStart w:id="21" w:name="_Toc28359084"/>
      <w:bookmarkStart w:id="22" w:name="_Toc35393625"/>
      <w:bookmarkStart w:id="23" w:name="_Toc28359007"/>
      <w:bookmarkStart w:id="24" w:name="_Toc35393794"/>
      <w:r>
        <w:rPr>
          <w:rFonts w:hint="eastAsia" w:ascii="宋体" w:hAnsi="宋体" w:cs="宋体"/>
          <w:color w:val="auto"/>
          <w:szCs w:val="21"/>
        </w:rPr>
        <w:t>五、公告期限</w:t>
      </w:r>
      <w:bookmarkEnd w:id="21"/>
      <w:bookmarkEnd w:id="22"/>
      <w:bookmarkEnd w:id="23"/>
      <w:bookmarkEnd w:id="24"/>
    </w:p>
    <w:p>
      <w:pPr>
        <w:spacing w:line="400" w:lineRule="exact"/>
        <w:ind w:firstLine="420" w:firstLineChars="200"/>
        <w:rPr>
          <w:rFonts w:ascii="宋体" w:hAnsi="宋体" w:cs="宋体"/>
          <w:color w:val="auto"/>
          <w:szCs w:val="21"/>
        </w:rPr>
      </w:pPr>
      <w:r>
        <w:rPr>
          <w:rFonts w:hint="eastAsia" w:ascii="宋体" w:hAnsi="宋体" w:cs="宋体"/>
          <w:color w:val="auto"/>
          <w:szCs w:val="21"/>
        </w:rPr>
        <w:t>自本公告发布之日起5个工作日。</w:t>
      </w:r>
    </w:p>
    <w:p>
      <w:pPr>
        <w:spacing w:line="400" w:lineRule="exact"/>
        <w:ind w:firstLine="420" w:firstLineChars="200"/>
        <w:rPr>
          <w:rFonts w:ascii="宋体" w:hAnsi="宋体" w:cs="宋体"/>
          <w:color w:val="auto"/>
          <w:szCs w:val="21"/>
        </w:rPr>
      </w:pPr>
      <w:bookmarkStart w:id="25" w:name="_Toc35393795"/>
      <w:bookmarkStart w:id="26" w:name="_Toc35393626"/>
      <w:r>
        <w:rPr>
          <w:rFonts w:hint="eastAsia" w:ascii="宋体" w:hAnsi="宋体" w:cs="宋体"/>
          <w:color w:val="auto"/>
          <w:szCs w:val="21"/>
        </w:rPr>
        <w:t>六、其他补充事宜</w:t>
      </w:r>
      <w:bookmarkEnd w:id="25"/>
      <w:bookmarkEnd w:id="26"/>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1.网上查询地址：中国政府采购网、广西壮族自治区政府采购网、广西防城港政府采购网站、防城港市公共资源交易中心网。</w:t>
      </w:r>
    </w:p>
    <w:p>
      <w:pPr>
        <w:spacing w:line="400" w:lineRule="exact"/>
        <w:ind w:firstLine="420" w:firstLineChars="200"/>
        <w:rPr>
          <w:rFonts w:ascii="宋体" w:hAnsi="宋体" w:cs="宋体"/>
          <w:color w:val="auto"/>
          <w:szCs w:val="21"/>
        </w:rPr>
      </w:pPr>
      <w:r>
        <w:rPr>
          <w:rFonts w:hint="eastAsia" w:ascii="宋体" w:hAnsi="宋体" w:cs="宋体"/>
          <w:color w:val="auto"/>
          <w:szCs w:val="21"/>
        </w:rPr>
        <w:t>2.本项目需要落实的政府采购政策：</w:t>
      </w:r>
    </w:p>
    <w:p>
      <w:pPr>
        <w:spacing w:line="400" w:lineRule="exact"/>
        <w:ind w:firstLine="420" w:firstLineChars="200"/>
        <w:rPr>
          <w:rFonts w:ascii="宋体" w:hAnsi="宋体" w:cs="宋体"/>
          <w:color w:val="auto"/>
          <w:szCs w:val="21"/>
        </w:rPr>
      </w:pPr>
      <w:r>
        <w:rPr>
          <w:rFonts w:hint="eastAsia" w:ascii="宋体" w:hAnsi="宋体" w:cs="宋体"/>
          <w:color w:val="auto"/>
          <w:szCs w:val="21"/>
        </w:rPr>
        <w:t>（1）政府采购促进中小企业发展。</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（2）政府采购支持采用本国产品的政策。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（3）强制采购、优先采购环境标志产品、节能产品。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（4）支持监狱企业发展政策。 </w:t>
      </w:r>
    </w:p>
    <w:p>
      <w:pPr>
        <w:spacing w:line="400" w:lineRule="exact"/>
        <w:ind w:firstLine="420" w:firstLineChars="200"/>
        <w:rPr>
          <w:rFonts w:ascii="宋体" w:hAnsi="宋体" w:cs="宋体"/>
          <w:color w:val="auto"/>
          <w:szCs w:val="21"/>
        </w:rPr>
      </w:pPr>
      <w:r>
        <w:rPr>
          <w:rFonts w:hint="eastAsia" w:ascii="宋体" w:hAnsi="宋体" w:cs="宋体"/>
          <w:color w:val="auto"/>
          <w:szCs w:val="21"/>
        </w:rPr>
        <w:t>（5）政府采购促进残疾人就业政策。</w:t>
      </w:r>
    </w:p>
    <w:p>
      <w:pPr>
        <w:spacing w:line="400" w:lineRule="exact"/>
        <w:ind w:firstLine="420" w:firstLineChars="200"/>
        <w:rPr>
          <w:rFonts w:ascii="宋体" w:hAnsi="宋体" w:cs="宋体"/>
          <w:color w:val="auto"/>
          <w:szCs w:val="21"/>
        </w:rPr>
      </w:pPr>
      <w:r>
        <w:rPr>
          <w:rFonts w:hint="eastAsia" w:ascii="宋体" w:hAnsi="宋体" w:cs="宋体"/>
          <w:color w:val="auto"/>
          <w:szCs w:val="21"/>
        </w:rPr>
        <w:t>3.投标保证金：不收取投标保证金。</w:t>
      </w:r>
    </w:p>
    <w:p>
      <w:pPr>
        <w:spacing w:line="400" w:lineRule="exact"/>
        <w:ind w:firstLine="420" w:firstLineChars="200"/>
        <w:rPr>
          <w:rFonts w:ascii="宋体" w:hAnsi="宋体" w:cs="宋体"/>
          <w:color w:val="auto"/>
          <w:szCs w:val="21"/>
        </w:rPr>
      </w:pPr>
      <w:bookmarkStart w:id="27" w:name="_Toc28359008"/>
      <w:bookmarkStart w:id="28" w:name="_Toc28359085"/>
      <w:bookmarkStart w:id="29" w:name="_Toc35393627"/>
      <w:bookmarkStart w:id="30" w:name="_Toc35393796"/>
      <w:r>
        <w:rPr>
          <w:rFonts w:hint="eastAsia" w:ascii="宋体" w:hAnsi="宋体" w:cs="宋体"/>
          <w:color w:val="auto"/>
          <w:szCs w:val="21"/>
        </w:rPr>
        <w:t>七、对本次招标提出询问，请按以下方式联系。</w:t>
      </w:r>
      <w:bookmarkEnd w:id="27"/>
      <w:bookmarkEnd w:id="28"/>
      <w:bookmarkEnd w:id="29"/>
      <w:bookmarkEnd w:id="30"/>
    </w:p>
    <w:p>
      <w:pPr>
        <w:spacing w:line="400" w:lineRule="exact"/>
        <w:ind w:firstLine="420" w:firstLineChars="200"/>
        <w:rPr>
          <w:rFonts w:ascii="宋体" w:hAnsi="宋体" w:cs="宋体"/>
          <w:color w:val="auto"/>
          <w:szCs w:val="21"/>
        </w:rPr>
      </w:pPr>
      <w:r>
        <w:rPr>
          <w:rFonts w:hint="eastAsia" w:ascii="宋体" w:hAnsi="宋体" w:cs="宋体"/>
          <w:color w:val="auto"/>
          <w:szCs w:val="21"/>
        </w:rPr>
        <w:t>1.采购人信息</w:t>
      </w:r>
    </w:p>
    <w:p>
      <w:pPr>
        <w:spacing w:line="400" w:lineRule="exact"/>
        <w:ind w:firstLine="420" w:firstLineChars="200"/>
        <w:rPr>
          <w:rFonts w:ascii="宋体" w:hAnsi="宋体" w:cs="宋体"/>
          <w:color w:val="auto"/>
          <w:szCs w:val="21"/>
        </w:rPr>
      </w:pPr>
      <w:r>
        <w:rPr>
          <w:rFonts w:hint="eastAsia" w:ascii="宋体" w:hAnsi="宋体" w:cs="宋体"/>
          <w:color w:val="auto"/>
          <w:szCs w:val="21"/>
        </w:rPr>
        <w:t>名称：防城港市环境卫生管理处；</w:t>
      </w:r>
    </w:p>
    <w:p>
      <w:pPr>
        <w:spacing w:line="400" w:lineRule="exact"/>
        <w:ind w:firstLine="420" w:firstLineChars="200"/>
        <w:rPr>
          <w:rFonts w:ascii="宋体" w:hAnsi="宋体" w:cs="宋体"/>
          <w:color w:val="auto"/>
          <w:szCs w:val="21"/>
        </w:rPr>
      </w:pPr>
      <w:r>
        <w:rPr>
          <w:rFonts w:hint="eastAsia" w:ascii="宋体" w:hAnsi="宋体" w:cs="宋体"/>
          <w:color w:val="auto"/>
          <w:szCs w:val="21"/>
        </w:rPr>
        <w:t>地址：广西防城港市港口区凯乐路33号6栋；</w:t>
      </w:r>
    </w:p>
    <w:p>
      <w:pPr>
        <w:spacing w:line="400" w:lineRule="exact"/>
        <w:ind w:firstLine="420" w:firstLineChars="200"/>
        <w:rPr>
          <w:rFonts w:ascii="宋体" w:hAnsi="宋体" w:cs="宋体"/>
          <w:color w:val="auto"/>
          <w:szCs w:val="21"/>
        </w:rPr>
      </w:pPr>
      <w:r>
        <w:rPr>
          <w:rFonts w:hint="eastAsia" w:ascii="宋体" w:hAnsi="宋体" w:cs="宋体"/>
          <w:color w:val="auto"/>
          <w:szCs w:val="21"/>
        </w:rPr>
        <w:t>联系方式：0770-2838138，13097703666；</w:t>
      </w:r>
    </w:p>
    <w:p>
      <w:pPr>
        <w:spacing w:line="400" w:lineRule="exact"/>
        <w:ind w:firstLine="420" w:firstLineChars="200"/>
        <w:rPr>
          <w:rFonts w:ascii="宋体" w:hAnsi="宋体" w:cs="宋体"/>
          <w:color w:val="auto"/>
          <w:szCs w:val="21"/>
        </w:rPr>
      </w:pPr>
      <w:r>
        <w:rPr>
          <w:rFonts w:hint="eastAsia" w:ascii="宋体" w:hAnsi="宋体" w:cs="宋体"/>
          <w:color w:val="auto"/>
          <w:szCs w:val="21"/>
        </w:rPr>
        <w:t>联系人：潘兴</w:t>
      </w:r>
      <w:bookmarkStart w:id="31" w:name="_Toc28359086"/>
      <w:bookmarkStart w:id="32" w:name="_Toc28359009"/>
    </w:p>
    <w:p>
      <w:pPr>
        <w:spacing w:line="400" w:lineRule="exact"/>
        <w:ind w:firstLine="420" w:firstLineChars="200"/>
        <w:rPr>
          <w:rFonts w:ascii="宋体" w:hAnsi="宋体" w:cs="宋体"/>
          <w:color w:val="auto"/>
          <w:szCs w:val="21"/>
        </w:rPr>
      </w:pPr>
      <w:r>
        <w:rPr>
          <w:rFonts w:hint="eastAsia" w:ascii="宋体" w:hAnsi="宋体" w:cs="宋体"/>
          <w:color w:val="auto"/>
          <w:szCs w:val="21"/>
        </w:rPr>
        <w:t>2.采购代理机构信息</w:t>
      </w:r>
      <w:bookmarkEnd w:id="31"/>
      <w:bookmarkEnd w:id="32"/>
    </w:p>
    <w:p>
      <w:pPr>
        <w:spacing w:line="400" w:lineRule="exact"/>
        <w:ind w:firstLine="420" w:firstLineChars="200"/>
        <w:rPr>
          <w:rFonts w:ascii="宋体" w:hAnsi="宋体" w:cs="宋体"/>
          <w:color w:val="auto"/>
          <w:szCs w:val="21"/>
        </w:rPr>
      </w:pPr>
      <w:r>
        <w:rPr>
          <w:rFonts w:hint="eastAsia" w:ascii="宋体" w:hAnsi="宋体" w:cs="宋体"/>
          <w:color w:val="auto"/>
          <w:szCs w:val="21"/>
        </w:rPr>
        <w:t>名称：广西科联招标中心有限公司；</w:t>
      </w:r>
    </w:p>
    <w:p>
      <w:pPr>
        <w:spacing w:line="400" w:lineRule="exact"/>
        <w:ind w:firstLine="420" w:firstLineChars="200"/>
        <w:rPr>
          <w:rFonts w:ascii="宋体" w:hAnsi="宋体" w:cs="宋体"/>
          <w:color w:val="auto"/>
          <w:szCs w:val="21"/>
        </w:rPr>
      </w:pPr>
      <w:r>
        <w:rPr>
          <w:rFonts w:hint="eastAsia" w:ascii="宋体" w:hAnsi="宋体" w:cs="宋体"/>
          <w:color w:val="auto"/>
          <w:szCs w:val="21"/>
        </w:rPr>
        <w:t>地址：防城港市港口区桃花湾广场珍珠路6号桂海东盟新城9＃（H栋）605号房</w:t>
      </w:r>
    </w:p>
    <w:p>
      <w:pPr>
        <w:spacing w:line="400" w:lineRule="exact"/>
        <w:ind w:firstLine="420" w:firstLineChars="200"/>
        <w:rPr>
          <w:rFonts w:ascii="宋体" w:hAnsi="宋体" w:cs="宋体"/>
          <w:color w:val="auto"/>
          <w:szCs w:val="21"/>
        </w:rPr>
      </w:pPr>
      <w:r>
        <w:rPr>
          <w:rFonts w:hint="eastAsia" w:ascii="宋体" w:hAnsi="宋体" w:cs="宋体"/>
          <w:color w:val="auto"/>
          <w:szCs w:val="21"/>
        </w:rPr>
        <w:t>联系方式：</w:t>
      </w:r>
      <w:bookmarkStart w:id="33" w:name="_Toc28359010"/>
      <w:bookmarkStart w:id="34" w:name="_Toc28359087"/>
      <w:r>
        <w:rPr>
          <w:rFonts w:hint="eastAsia" w:ascii="宋体" w:hAnsi="宋体" w:cs="宋体"/>
          <w:color w:val="auto"/>
          <w:szCs w:val="21"/>
        </w:rPr>
        <w:t>0770-2821504</w:t>
      </w:r>
    </w:p>
    <w:bookmarkEnd w:id="33"/>
    <w:bookmarkEnd w:id="34"/>
    <w:p>
      <w:pPr>
        <w:snapToGrid w:val="0"/>
        <w:spacing w:line="380" w:lineRule="exact"/>
        <w:ind w:firstLine="420" w:firstLineChars="200"/>
        <w:rPr>
          <w:rFonts w:ascii="宋体" w:hAnsi="宋体" w:cs="宋体"/>
          <w:color w:val="auto"/>
          <w:kern w:val="0"/>
          <w:szCs w:val="21"/>
        </w:rPr>
      </w:pPr>
      <w:r>
        <w:rPr>
          <w:rFonts w:hint="eastAsia" w:ascii="宋体" w:hAnsi="宋体" w:cs="宋体"/>
          <w:color w:val="auto"/>
          <w:kern w:val="0"/>
          <w:szCs w:val="21"/>
        </w:rPr>
        <w:t>3.项目联系方式</w:t>
      </w:r>
    </w:p>
    <w:p>
      <w:pPr>
        <w:snapToGrid w:val="0"/>
        <w:spacing w:line="380" w:lineRule="exact"/>
        <w:ind w:firstLine="420" w:firstLineChars="200"/>
        <w:rPr>
          <w:rFonts w:ascii="宋体" w:hAnsi="宋体" w:cs="宋体"/>
          <w:color w:val="auto"/>
          <w:kern w:val="0"/>
          <w:szCs w:val="21"/>
        </w:rPr>
      </w:pPr>
      <w:r>
        <w:rPr>
          <w:rFonts w:hint="eastAsia" w:ascii="宋体" w:hAnsi="宋体" w:cs="宋体"/>
          <w:color w:val="auto"/>
          <w:kern w:val="0"/>
          <w:szCs w:val="21"/>
        </w:rPr>
        <w:t>项目联系人：梁莉萍</w:t>
      </w:r>
    </w:p>
    <w:p>
      <w:pPr>
        <w:snapToGrid w:val="0"/>
        <w:spacing w:line="380" w:lineRule="exact"/>
        <w:ind w:firstLine="420" w:firstLineChars="200"/>
        <w:rPr>
          <w:rFonts w:ascii="宋体" w:hAnsi="宋体" w:cs="宋体"/>
          <w:color w:val="auto"/>
          <w:kern w:val="0"/>
          <w:szCs w:val="21"/>
        </w:rPr>
      </w:pPr>
      <w:r>
        <w:rPr>
          <w:rFonts w:hint="eastAsia" w:ascii="宋体" w:hAnsi="宋体" w:cs="宋体"/>
          <w:color w:val="auto"/>
          <w:kern w:val="0"/>
          <w:szCs w:val="21"/>
        </w:rPr>
        <w:t>电话：0770-2821504</w:t>
      </w:r>
    </w:p>
    <w:p>
      <w:pPr>
        <w:snapToGrid w:val="0"/>
        <w:spacing w:line="380" w:lineRule="exact"/>
        <w:ind w:firstLine="420" w:firstLineChars="200"/>
        <w:rPr>
          <w:rFonts w:ascii="宋体" w:hAnsi="宋体" w:cs="宋体"/>
          <w:color w:val="auto"/>
          <w:kern w:val="0"/>
          <w:szCs w:val="21"/>
        </w:rPr>
      </w:pPr>
      <w:r>
        <w:rPr>
          <w:rFonts w:hint="eastAsia" w:ascii="宋体" w:hAnsi="宋体" w:cs="宋体"/>
          <w:color w:val="auto"/>
          <w:kern w:val="0"/>
          <w:szCs w:val="21"/>
        </w:rPr>
        <w:t>4.政府采购监督管理部门</w:t>
      </w:r>
    </w:p>
    <w:p>
      <w:pPr>
        <w:snapToGrid w:val="0"/>
        <w:spacing w:line="380" w:lineRule="exact"/>
        <w:ind w:firstLine="420" w:firstLineChars="200"/>
        <w:rPr>
          <w:rFonts w:ascii="宋体" w:hAnsi="宋体" w:cs="宋体"/>
          <w:color w:val="auto"/>
          <w:kern w:val="0"/>
          <w:szCs w:val="21"/>
        </w:rPr>
      </w:pPr>
      <w:r>
        <w:rPr>
          <w:rFonts w:hint="eastAsia" w:ascii="宋体" w:hAnsi="宋体" w:cs="宋体"/>
          <w:color w:val="auto"/>
          <w:kern w:val="0"/>
          <w:szCs w:val="21"/>
        </w:rPr>
        <w:t>名称：防城港市政府采购管理中心</w:t>
      </w:r>
    </w:p>
    <w:p>
      <w:pPr>
        <w:snapToGrid w:val="0"/>
        <w:spacing w:line="380" w:lineRule="exact"/>
        <w:ind w:firstLine="420" w:firstLineChars="200"/>
        <w:rPr>
          <w:rFonts w:ascii="宋体" w:hAnsi="宋体" w:cs="宋体"/>
          <w:color w:val="auto"/>
          <w:kern w:val="0"/>
          <w:szCs w:val="21"/>
        </w:rPr>
      </w:pPr>
      <w:r>
        <w:rPr>
          <w:rFonts w:hint="eastAsia" w:ascii="宋体" w:hAnsi="宋体" w:cs="宋体"/>
          <w:color w:val="auto"/>
          <w:kern w:val="0"/>
          <w:szCs w:val="21"/>
        </w:rPr>
        <w:t>电话：0770-6102319</w:t>
      </w:r>
    </w:p>
    <w:p>
      <w:pPr>
        <w:snapToGrid w:val="0"/>
        <w:spacing w:line="340" w:lineRule="exact"/>
        <w:ind w:left="238"/>
        <w:jc w:val="right"/>
        <w:rPr>
          <w:rFonts w:ascii="宋体" w:hAnsi="宋体" w:cs="宋体"/>
          <w:color w:val="auto"/>
          <w:szCs w:val="21"/>
        </w:rPr>
      </w:pPr>
      <w:r>
        <w:rPr>
          <w:rFonts w:hint="eastAsia" w:ascii="宋体" w:hAnsi="宋体" w:cs="宋体"/>
          <w:color w:val="auto"/>
          <w:szCs w:val="21"/>
        </w:rPr>
        <w:t xml:space="preserve">   广西科联招标中心有限公司  </w:t>
      </w:r>
    </w:p>
    <w:p>
      <w:pPr>
        <w:jc w:val="right"/>
        <w:rPr>
          <w:rFonts w:ascii="宋体" w:hAnsi="宋体" w:cs="宋体"/>
          <w:color w:val="auto"/>
          <w:szCs w:val="21"/>
        </w:rPr>
      </w:pPr>
      <w:r>
        <w:rPr>
          <w:rFonts w:hint="eastAsia" w:ascii="宋体" w:hAnsi="宋体" w:cs="宋体"/>
          <w:color w:val="auto"/>
          <w:szCs w:val="21"/>
        </w:rPr>
        <w:t>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9</w:t>
      </w:r>
      <w:r>
        <w:rPr>
          <w:rFonts w:hint="eastAsia" w:ascii="宋体" w:hAnsi="宋体" w:cs="宋体"/>
          <w:color w:val="auto"/>
          <w:szCs w:val="21"/>
        </w:rPr>
        <w:t>日</w:t>
      </w:r>
    </w:p>
    <w:p>
      <w:pPr>
        <w:pStyle w:val="2"/>
        <w:rPr>
          <w:rFonts w:ascii="宋体" w:hAnsi="宋体"/>
          <w:b w:val="0"/>
          <w:bCs w:val="0"/>
          <w:color w:val="auto"/>
          <w:szCs w:val="21"/>
        </w:rPr>
      </w:pPr>
    </w:p>
    <w:p>
      <w:pPr>
        <w:rPr>
          <w:rFonts w:ascii="宋体" w:hAnsi="宋体"/>
          <w:color w:val="auto"/>
          <w:szCs w:val="21"/>
        </w:rPr>
      </w:pPr>
    </w:p>
    <w:p>
      <w:pPr>
        <w:pStyle w:val="2"/>
        <w:rPr>
          <w:rFonts w:ascii="宋体" w:hAnsi="宋体"/>
          <w:b w:val="0"/>
          <w:bCs w:val="0"/>
          <w:color w:val="auto"/>
          <w:szCs w:val="21"/>
        </w:rPr>
      </w:pPr>
    </w:p>
    <w:p>
      <w:pPr>
        <w:rPr>
          <w:rFonts w:ascii="宋体" w:hAnsi="宋体"/>
          <w:color w:val="auto"/>
          <w:szCs w:val="21"/>
        </w:rPr>
      </w:pPr>
    </w:p>
    <w:p>
      <w:pPr>
        <w:pStyle w:val="2"/>
        <w:rPr>
          <w:rFonts w:ascii="宋体" w:hAnsi="宋体"/>
          <w:b w:val="0"/>
          <w:bCs w:val="0"/>
          <w:color w:val="auto"/>
          <w:szCs w:val="21"/>
        </w:rPr>
      </w:pPr>
    </w:p>
    <w:p>
      <w:pPr>
        <w:rPr>
          <w:rFonts w:ascii="宋体" w:hAnsi="宋体"/>
          <w:color w:val="auto"/>
          <w:szCs w:val="21"/>
        </w:rPr>
      </w:pPr>
    </w:p>
    <w:p>
      <w:pPr>
        <w:pStyle w:val="2"/>
        <w:rPr>
          <w:rFonts w:ascii="宋体" w:hAnsi="宋体"/>
          <w:b w:val="0"/>
          <w:bCs w:val="0"/>
          <w:color w:val="auto"/>
          <w:szCs w:val="21"/>
        </w:rPr>
      </w:pPr>
    </w:p>
    <w:p>
      <w:pPr>
        <w:rPr>
          <w:rFonts w:ascii="宋体" w:hAnsi="宋体"/>
          <w:color w:val="auto"/>
          <w:szCs w:val="21"/>
        </w:rPr>
      </w:pPr>
    </w:p>
    <w:p>
      <w:pPr>
        <w:pStyle w:val="2"/>
        <w:rPr>
          <w:rFonts w:ascii="宋体" w:hAnsi="宋体"/>
          <w:b w:val="0"/>
          <w:bCs w:val="0"/>
          <w:color w:val="auto"/>
          <w:szCs w:val="21"/>
        </w:rPr>
      </w:pPr>
    </w:p>
    <w:p>
      <w:pPr>
        <w:rPr>
          <w:rFonts w:ascii="宋体" w:hAnsi="宋体"/>
          <w:color w:val="auto"/>
          <w:szCs w:val="21"/>
        </w:rPr>
      </w:pPr>
    </w:p>
    <w:p>
      <w:pPr>
        <w:pStyle w:val="2"/>
        <w:rPr>
          <w:rFonts w:ascii="宋体" w:hAnsi="宋体"/>
          <w:b w:val="0"/>
          <w:bCs w:val="0"/>
          <w:color w:val="auto"/>
          <w:szCs w:val="21"/>
        </w:rPr>
      </w:pPr>
    </w:p>
    <w:p>
      <w:pPr>
        <w:pStyle w:val="2"/>
        <w:rPr>
          <w:color w:val="auto"/>
        </w:rPr>
      </w:pPr>
    </w:p>
    <w:p>
      <w:pPr>
        <w:rPr>
          <w:color w:val="auto"/>
        </w:rPr>
      </w:pPr>
    </w:p>
    <w:p>
      <w:pPr>
        <w:pStyle w:val="3"/>
        <w:numPr>
          <w:ilvl w:val="0"/>
          <w:numId w:val="3"/>
        </w:numPr>
        <w:spacing w:line="240" w:lineRule="auto"/>
        <w:jc w:val="center"/>
        <w:rPr>
          <w:color w:val="auto"/>
          <w:sz w:val="36"/>
          <w:szCs w:val="36"/>
        </w:rPr>
      </w:pPr>
      <w:bookmarkStart w:id="35" w:name="_Toc327735635"/>
      <w:bookmarkStart w:id="36" w:name="_Toc16610"/>
      <w:r>
        <w:rPr>
          <w:rFonts w:hint="eastAsia"/>
          <w:color w:val="auto"/>
          <w:sz w:val="36"/>
          <w:szCs w:val="36"/>
        </w:rPr>
        <w:t>招标项目采购需求</w:t>
      </w:r>
      <w:bookmarkEnd w:id="35"/>
      <w:bookmarkEnd w:id="36"/>
    </w:p>
    <w:p>
      <w:pPr>
        <w:spacing w:line="360" w:lineRule="auto"/>
        <w:rPr>
          <w:rFonts w:ascii="宋体" w:cs="宋体"/>
          <w:b/>
          <w:bCs/>
          <w:color w:val="auto"/>
        </w:rPr>
      </w:pPr>
      <w:bookmarkStart w:id="37" w:name="_Toc327735652"/>
      <w:r>
        <w:rPr>
          <w:rFonts w:hint="eastAsia" w:ascii="宋体" w:hAnsi="宋体" w:cs="宋体"/>
          <w:b/>
          <w:bCs/>
          <w:color w:val="auto"/>
        </w:rPr>
        <w:t>说明：</w:t>
      </w:r>
    </w:p>
    <w:p>
      <w:pPr>
        <w:spacing w:line="360" w:lineRule="auto"/>
        <w:ind w:firstLine="411" w:firstLineChars="195"/>
        <w:rPr>
          <w:rFonts w:ascii="宋体" w:cs="宋体"/>
          <w:b/>
          <w:bCs/>
          <w:color w:val="auto"/>
        </w:rPr>
      </w:pPr>
      <w:r>
        <w:rPr>
          <w:rFonts w:ascii="宋体" w:hAnsi="宋体" w:cs="宋体"/>
          <w:b/>
          <w:color w:val="auto"/>
          <w:szCs w:val="21"/>
        </w:rPr>
        <w:t>1</w:t>
      </w:r>
      <w:r>
        <w:rPr>
          <w:rFonts w:hint="eastAsia" w:ascii="宋体" w:hAnsi="宋体" w:cs="宋体"/>
          <w:b/>
          <w:color w:val="auto"/>
          <w:szCs w:val="21"/>
        </w:rPr>
        <w:t>、</w:t>
      </w:r>
      <w:r>
        <w:rPr>
          <w:rFonts w:hint="eastAsia" w:ascii="宋体" w:hAnsi="宋体" w:cs="宋体"/>
          <w:b/>
          <w:bCs/>
          <w:color w:val="auto"/>
          <w:szCs w:val="21"/>
        </w:rPr>
        <w:t>根据《国务院办公厅关于建立政府强制采购节能产品制度的通知》（国办发〔</w:t>
      </w:r>
      <w:r>
        <w:rPr>
          <w:rFonts w:ascii="宋体" w:hAnsi="宋体" w:cs="宋体"/>
          <w:b/>
          <w:bCs/>
          <w:color w:val="auto"/>
          <w:szCs w:val="21"/>
        </w:rPr>
        <w:t>2007</w:t>
      </w:r>
      <w:r>
        <w:rPr>
          <w:rFonts w:hint="eastAsia" w:ascii="宋体" w:hAnsi="宋体" w:cs="宋体"/>
          <w:b/>
          <w:bCs/>
          <w:color w:val="auto"/>
          <w:szCs w:val="21"/>
        </w:rPr>
        <w:t>〕</w:t>
      </w:r>
      <w:r>
        <w:rPr>
          <w:rFonts w:ascii="宋体" w:hAnsi="宋体" w:cs="宋体"/>
          <w:b/>
          <w:bCs/>
          <w:color w:val="auto"/>
          <w:szCs w:val="21"/>
        </w:rPr>
        <w:t>51</w:t>
      </w:r>
      <w:r>
        <w:rPr>
          <w:rFonts w:hint="eastAsia" w:ascii="宋体" w:hAnsi="宋体" w:cs="宋体"/>
          <w:b/>
          <w:bCs/>
          <w:color w:val="auto"/>
          <w:szCs w:val="21"/>
        </w:rPr>
        <w:t>号）和财政部、国家发展改革委发布的《节能产品政府采购实施意见》（财库〔</w:t>
      </w:r>
      <w:r>
        <w:rPr>
          <w:rFonts w:ascii="宋体" w:hAnsi="宋体" w:cs="宋体"/>
          <w:b/>
          <w:bCs/>
          <w:color w:val="auto"/>
          <w:szCs w:val="21"/>
        </w:rPr>
        <w:t>2004</w:t>
      </w:r>
      <w:r>
        <w:rPr>
          <w:rFonts w:hint="eastAsia" w:ascii="宋体" w:hAnsi="宋体" w:cs="宋体"/>
          <w:b/>
          <w:bCs/>
          <w:color w:val="auto"/>
          <w:szCs w:val="21"/>
        </w:rPr>
        <w:t>〕</w:t>
      </w:r>
      <w:r>
        <w:rPr>
          <w:rFonts w:ascii="宋体" w:hAnsi="宋体" w:cs="宋体"/>
          <w:b/>
          <w:bCs/>
          <w:color w:val="auto"/>
          <w:szCs w:val="21"/>
        </w:rPr>
        <w:t>185</w:t>
      </w:r>
      <w:r>
        <w:rPr>
          <w:rFonts w:hint="eastAsia" w:ascii="宋体" w:hAnsi="宋体" w:cs="宋体"/>
          <w:b/>
          <w:bCs/>
          <w:color w:val="auto"/>
          <w:szCs w:val="21"/>
        </w:rPr>
        <w:t>号）的规定，采购需求中凡列入国家财政部在中国政府采购网上公布的最新一期节能产品政府采购清单的产品，投标人投标时必须于投标文件中提供所投产品属于强制采购最新一期节能产品清单的证明。</w:t>
      </w:r>
    </w:p>
    <w:p>
      <w:pPr>
        <w:spacing w:line="360" w:lineRule="auto"/>
        <w:ind w:firstLine="411" w:firstLineChars="195"/>
        <w:rPr>
          <w:rFonts w:ascii="宋体" w:cs="宋体"/>
          <w:b/>
          <w:bCs/>
          <w:color w:val="auto"/>
        </w:rPr>
      </w:pPr>
      <w:r>
        <w:rPr>
          <w:rFonts w:ascii="宋体" w:hAnsi="宋体" w:cs="宋体"/>
          <w:b/>
          <w:bCs/>
          <w:color w:val="auto"/>
        </w:rPr>
        <w:t>2</w:t>
      </w:r>
      <w:r>
        <w:rPr>
          <w:rFonts w:hint="eastAsia" w:ascii="宋体" w:hAnsi="宋体" w:cs="宋体"/>
          <w:b/>
          <w:bCs/>
          <w:color w:val="auto"/>
        </w:rPr>
        <w:t>、</w:t>
      </w:r>
      <w:r>
        <w:rPr>
          <w:rFonts w:hint="eastAsia" w:ascii="宋体" w:hAnsi="宋体" w:cs="宋体"/>
          <w:b/>
          <w:color w:val="auto"/>
          <w:szCs w:val="21"/>
        </w:rPr>
        <w:t>投标人应对投标内容所涉及的专利承担法律责任，并负责保护业主的利益不受任何损害。一切由于文字、商标、技术和软件专利授权引起的法律裁决、诉讼和赔偿费用均由中标人负责。</w:t>
      </w:r>
      <w:r>
        <w:rPr>
          <w:rFonts w:hint="eastAsia" w:ascii="宋体" w:hAnsi="宋体" w:cs="宋体"/>
          <w:b/>
          <w:color w:val="auto"/>
        </w:rPr>
        <w:t>同时，具有产品专利的投标人应在其投标文件中提供与其自有产品专利相关的有效证明材料，否则，</w:t>
      </w:r>
      <w:r>
        <w:rPr>
          <w:rFonts w:hint="eastAsia" w:ascii="宋体" w:hAnsi="宋体" w:cs="宋体"/>
          <w:b/>
          <w:bCs/>
          <w:color w:val="auto"/>
        </w:rPr>
        <w:t>不能就其产品的专利在本项目投标过程中被侵权问题而提出异议。</w:t>
      </w:r>
    </w:p>
    <w:p>
      <w:pPr>
        <w:spacing w:line="360" w:lineRule="auto"/>
        <w:ind w:firstLine="411" w:firstLineChars="195"/>
        <w:rPr>
          <w:rFonts w:ascii="宋体" w:cs="宋体"/>
          <w:b/>
          <w:bCs/>
          <w:color w:val="auto"/>
          <w:szCs w:val="21"/>
        </w:rPr>
      </w:pPr>
      <w:r>
        <w:rPr>
          <w:rFonts w:ascii="宋体" w:hAnsi="宋体" w:cs="宋体"/>
          <w:b/>
          <w:bCs/>
          <w:color w:val="auto"/>
        </w:rPr>
        <w:t>3</w:t>
      </w:r>
      <w:r>
        <w:rPr>
          <w:rFonts w:hint="eastAsia" w:ascii="宋体" w:hAnsi="宋体" w:cs="宋体"/>
          <w:b/>
          <w:bCs/>
          <w:color w:val="auto"/>
        </w:rPr>
        <w:t>、</w:t>
      </w:r>
      <w:r>
        <w:rPr>
          <w:rFonts w:hint="eastAsia" w:ascii="宋体" w:hAnsi="宋体" w:cs="宋体"/>
          <w:b/>
          <w:bCs/>
          <w:color w:val="auto"/>
          <w:szCs w:val="21"/>
        </w:rPr>
        <w:t>根据《关于信息安全产品实施政府采购的通知》（财库</w:t>
      </w:r>
      <w:r>
        <w:rPr>
          <w:rFonts w:ascii="宋体" w:hAnsi="宋体" w:cs="宋体"/>
          <w:b/>
          <w:bCs/>
          <w:color w:val="auto"/>
          <w:szCs w:val="21"/>
        </w:rPr>
        <w:t>[2010]48</w:t>
      </w:r>
      <w:r>
        <w:rPr>
          <w:rFonts w:hint="eastAsia" w:ascii="宋体" w:hAnsi="宋体" w:cs="宋体"/>
          <w:b/>
          <w:bCs/>
          <w:color w:val="auto"/>
          <w:szCs w:val="21"/>
        </w:rPr>
        <w:t>号）的规定，如采购需求中有涉及信息安全产品的设备，必须提供由中国信息安全认证中心按国家标准认证颁发的有效认证证书复印件。</w:t>
      </w:r>
    </w:p>
    <w:p>
      <w:pPr>
        <w:spacing w:line="360" w:lineRule="auto"/>
        <w:ind w:firstLine="422" w:firstLineChars="200"/>
        <w:jc w:val="left"/>
        <w:rPr>
          <w:rFonts w:ascii="宋体" w:cs="宋体"/>
          <w:b/>
          <w:bCs/>
          <w:color w:val="auto"/>
          <w:szCs w:val="21"/>
        </w:rPr>
      </w:pPr>
      <w:r>
        <w:rPr>
          <w:rFonts w:ascii="宋体" w:hAnsi="宋体" w:cs="宋体"/>
          <w:b/>
          <w:bCs/>
          <w:color w:val="auto"/>
          <w:szCs w:val="21"/>
        </w:rPr>
        <w:t>4</w:t>
      </w:r>
      <w:r>
        <w:rPr>
          <w:rFonts w:hint="eastAsia" w:ascii="宋体" w:hAnsi="宋体" w:cs="宋体"/>
          <w:b/>
          <w:bCs/>
          <w:color w:val="auto"/>
          <w:szCs w:val="21"/>
        </w:rPr>
        <w:t>、投标人应注意下列内容：</w:t>
      </w:r>
    </w:p>
    <w:p>
      <w:pPr>
        <w:spacing w:line="360" w:lineRule="auto"/>
        <w:ind w:firstLine="422" w:firstLineChars="200"/>
        <w:jc w:val="left"/>
        <w:rPr>
          <w:rFonts w:ascii="宋体" w:cs="宋体"/>
          <w:b/>
          <w:bCs/>
          <w:color w:val="auto"/>
          <w:szCs w:val="21"/>
        </w:rPr>
      </w:pPr>
      <w:r>
        <w:rPr>
          <w:rFonts w:ascii="宋体" w:hAnsi="宋体" w:cs="宋体"/>
          <w:b/>
          <w:bCs/>
          <w:color w:val="auto"/>
          <w:szCs w:val="21"/>
        </w:rPr>
        <w:t>1</w:t>
      </w:r>
      <w:r>
        <w:rPr>
          <w:rFonts w:hint="eastAsia" w:ascii="宋体" w:hAnsi="宋体" w:cs="宋体"/>
          <w:b/>
          <w:bCs/>
          <w:color w:val="auto"/>
          <w:szCs w:val="21"/>
        </w:rPr>
        <w:t>）招标文件中带“</w:t>
      </w:r>
      <w:r>
        <w:rPr>
          <w:rFonts w:hint="eastAsia" w:ascii="宋体" w:hAnsi="宋体" w:cs="宋体"/>
          <w:color w:val="auto"/>
          <w:szCs w:val="21"/>
        </w:rPr>
        <w:t>★</w:t>
      </w:r>
      <w:r>
        <w:rPr>
          <w:rFonts w:hint="eastAsia" w:ascii="宋体" w:hAnsi="宋体" w:cs="宋体"/>
          <w:b/>
          <w:bCs/>
          <w:color w:val="auto"/>
          <w:kern w:val="0"/>
        </w:rPr>
        <w:t>”</w:t>
      </w:r>
      <w:r>
        <w:rPr>
          <w:rFonts w:hint="eastAsia" w:ascii="宋体" w:hAnsi="宋体" w:cs="宋体"/>
          <w:b/>
          <w:bCs/>
          <w:color w:val="auto"/>
          <w:szCs w:val="21"/>
        </w:rPr>
        <w:t>的条款为本次采购的实质性的商务、技术或服务要求，投标人须满足或响应，若无法完全满足，将会被认定为无效投标。</w:t>
      </w:r>
    </w:p>
    <w:p>
      <w:pPr>
        <w:spacing w:line="360" w:lineRule="auto"/>
        <w:ind w:firstLine="422" w:firstLineChars="200"/>
        <w:jc w:val="left"/>
        <w:rPr>
          <w:rFonts w:ascii="宋体" w:cs="宋体"/>
          <w:b/>
          <w:bCs/>
          <w:color w:val="auto"/>
          <w:szCs w:val="21"/>
        </w:rPr>
      </w:pPr>
      <w:r>
        <w:rPr>
          <w:rFonts w:ascii="宋体" w:hAnsi="宋体" w:cs="宋体"/>
          <w:b/>
          <w:bCs/>
          <w:color w:val="auto"/>
          <w:szCs w:val="21"/>
        </w:rPr>
        <w:t>2</w:t>
      </w:r>
      <w:r>
        <w:rPr>
          <w:rFonts w:hint="eastAsia" w:ascii="宋体" w:hAnsi="宋体" w:cs="宋体"/>
          <w:b/>
          <w:bCs/>
          <w:color w:val="auto"/>
          <w:szCs w:val="21"/>
        </w:rPr>
        <w:t>）投标人须在投标文件中填写</w:t>
      </w:r>
      <w:r>
        <w:rPr>
          <w:rFonts w:ascii="宋体" w:hAnsi="宋体" w:cs="宋体"/>
          <w:b/>
          <w:bCs/>
          <w:color w:val="auto"/>
          <w:szCs w:val="21"/>
        </w:rPr>
        <w:t>/</w:t>
      </w:r>
      <w:r>
        <w:rPr>
          <w:rFonts w:hint="eastAsia" w:ascii="宋体" w:hAnsi="宋体" w:cs="宋体"/>
          <w:b/>
          <w:bCs/>
          <w:color w:val="auto"/>
          <w:szCs w:val="21"/>
        </w:rPr>
        <w:t>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作出说明。</w:t>
      </w:r>
    </w:p>
    <w:p>
      <w:pPr>
        <w:spacing w:line="360" w:lineRule="auto"/>
        <w:ind w:firstLine="422" w:firstLineChars="200"/>
        <w:jc w:val="left"/>
        <w:rPr>
          <w:rFonts w:ascii="宋体" w:cs="宋体"/>
          <w:b/>
          <w:bCs/>
          <w:color w:val="auto"/>
          <w:szCs w:val="21"/>
        </w:rPr>
      </w:pPr>
      <w:r>
        <w:rPr>
          <w:rFonts w:ascii="宋体" w:hAnsi="宋体" w:cs="宋体"/>
          <w:b/>
          <w:bCs/>
          <w:color w:val="auto"/>
          <w:szCs w:val="21"/>
        </w:rPr>
        <w:t>3</w:t>
      </w:r>
      <w:r>
        <w:rPr>
          <w:rFonts w:hint="eastAsia" w:ascii="宋体" w:hAnsi="宋体" w:cs="宋体"/>
          <w:b/>
          <w:bCs/>
          <w:color w:val="auto"/>
          <w:szCs w:val="21"/>
        </w:rPr>
        <w:t>）本货物需求一览表中所列的品牌、型号仅起参考作用，供应商可选用其他品牌、型号替代，但替代的品牌、型号在实质性要求和条件上要相当于或优于参考品牌、型号。</w:t>
      </w:r>
    </w:p>
    <w:p>
      <w:pPr>
        <w:adjustRightInd w:val="0"/>
        <w:snapToGrid w:val="0"/>
        <w:spacing w:line="360" w:lineRule="auto"/>
        <w:ind w:firstLine="422" w:firstLineChars="200"/>
        <w:rPr>
          <w:rFonts w:ascii="宋体" w:cs="宋体"/>
          <w:b/>
          <w:bCs/>
          <w:color w:val="auto"/>
          <w:szCs w:val="21"/>
        </w:rPr>
      </w:pPr>
      <w:r>
        <w:rPr>
          <w:rFonts w:ascii="宋体" w:hAnsi="宋体" w:cs="宋体"/>
          <w:b/>
          <w:bCs/>
          <w:color w:val="auto"/>
          <w:szCs w:val="21"/>
        </w:rPr>
        <w:t>5</w:t>
      </w:r>
      <w:r>
        <w:rPr>
          <w:rFonts w:hint="eastAsia" w:ascii="宋体" w:hAnsi="宋体" w:cs="宋体"/>
          <w:b/>
          <w:bCs/>
          <w:color w:val="auto"/>
          <w:szCs w:val="21"/>
        </w:rPr>
        <w:t>、投标人投标产品中的主要设备需提供有关产品说明书或产品彩页，这些资料文件应以附件形式在投标文件中列出。若提供的产品说明书或产品彩页与投标文件中响应的同一技术指标不一致时，应由生产厂商出具相关说明，否则以产品说明书或产品彩页为准。</w:t>
      </w:r>
    </w:p>
    <w:p>
      <w:pPr>
        <w:adjustRightInd w:val="0"/>
        <w:snapToGrid w:val="0"/>
        <w:spacing w:line="360" w:lineRule="auto"/>
        <w:ind w:firstLine="422" w:firstLineChars="200"/>
        <w:rPr>
          <w:rFonts w:ascii="宋体" w:cs="宋体"/>
          <w:b/>
          <w:bCs/>
          <w:color w:val="auto"/>
        </w:rPr>
      </w:pPr>
      <w:bookmarkStart w:id="38" w:name="工期要求"/>
      <w:bookmarkEnd w:id="38"/>
      <w:r>
        <w:rPr>
          <w:rFonts w:ascii="宋体" w:hAnsi="宋体" w:cs="宋体"/>
          <w:b/>
          <w:bCs/>
          <w:color w:val="auto"/>
          <w:szCs w:val="21"/>
        </w:rPr>
        <w:t>6</w:t>
      </w:r>
      <w:r>
        <w:rPr>
          <w:rFonts w:hint="eastAsia" w:ascii="宋体" w:hAnsi="宋体" w:cs="宋体"/>
          <w:b/>
          <w:bCs/>
          <w:color w:val="auto"/>
          <w:szCs w:val="21"/>
        </w:rPr>
        <w:t>、投标人应承诺投标文件中提供的证明材料和资质文件真实，如出现虚假应标情况，投标人除了应接受有关部门的处罚外，还应</w:t>
      </w:r>
      <w:r>
        <w:rPr>
          <w:rFonts w:hint="eastAsia" w:ascii="宋体" w:hAnsi="宋体" w:cs="宋体"/>
          <w:b/>
          <w:bCs/>
          <w:color w:val="auto"/>
        </w:rPr>
        <w:t>依据《中华人民共和国合同法》的相关条款来确定赔偿金额</w:t>
      </w:r>
    </w:p>
    <w:tbl>
      <w:tblPr>
        <w:tblStyle w:val="4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588"/>
        <w:gridCol w:w="5050"/>
        <w:gridCol w:w="825"/>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98"/>
              <w:ind w:firstLine="0" w:firstLineChars="0"/>
              <w:jc w:val="center"/>
              <w:rPr>
                <w:rFonts w:ascii="宋体" w:hAnsi="宋体" w:cs="宋体"/>
                <w:b/>
                <w:bCs/>
                <w:color w:val="auto"/>
                <w:szCs w:val="21"/>
              </w:rPr>
            </w:pPr>
            <w:r>
              <w:rPr>
                <w:rFonts w:hint="eastAsia" w:ascii="宋体" w:hAnsi="宋体" w:cs="宋体"/>
                <w:color w:val="auto"/>
                <w:szCs w:val="21"/>
              </w:rPr>
              <w:t>序号</w:t>
            </w:r>
          </w:p>
        </w:tc>
        <w:tc>
          <w:tcPr>
            <w:tcW w:w="1588" w:type="dxa"/>
            <w:vAlign w:val="center"/>
          </w:tcPr>
          <w:p>
            <w:pPr>
              <w:pStyle w:val="98"/>
              <w:ind w:firstLine="0" w:firstLineChars="0"/>
              <w:jc w:val="center"/>
              <w:rPr>
                <w:rFonts w:ascii="宋体" w:hAnsi="宋体" w:cs="宋体"/>
                <w:b/>
                <w:bCs/>
                <w:color w:val="auto"/>
                <w:szCs w:val="21"/>
              </w:rPr>
            </w:pPr>
            <w:r>
              <w:rPr>
                <w:rFonts w:hint="eastAsia" w:ascii="宋体" w:hAnsi="宋体" w:cs="宋体"/>
                <w:color w:val="auto"/>
                <w:szCs w:val="21"/>
              </w:rPr>
              <w:t>名称</w:t>
            </w:r>
          </w:p>
        </w:tc>
        <w:tc>
          <w:tcPr>
            <w:tcW w:w="5050" w:type="dxa"/>
            <w:vAlign w:val="center"/>
          </w:tcPr>
          <w:p>
            <w:pPr>
              <w:pStyle w:val="98"/>
              <w:ind w:firstLine="0" w:firstLineChars="0"/>
              <w:jc w:val="center"/>
              <w:rPr>
                <w:rFonts w:ascii="宋体" w:hAnsi="宋体" w:cs="宋体"/>
                <w:b/>
                <w:bCs/>
                <w:color w:val="auto"/>
                <w:szCs w:val="21"/>
              </w:rPr>
            </w:pPr>
            <w:r>
              <w:rPr>
                <w:rFonts w:hint="eastAsia" w:ascii="宋体" w:hAnsi="宋体" w:cs="宋体"/>
                <w:color w:val="auto"/>
                <w:szCs w:val="21"/>
              </w:rPr>
              <w:t>技术要求</w:t>
            </w:r>
          </w:p>
        </w:tc>
        <w:tc>
          <w:tcPr>
            <w:tcW w:w="825" w:type="dxa"/>
            <w:vAlign w:val="center"/>
          </w:tcPr>
          <w:p>
            <w:pPr>
              <w:pStyle w:val="98"/>
              <w:ind w:firstLine="0" w:firstLineChars="0"/>
              <w:jc w:val="center"/>
              <w:rPr>
                <w:rFonts w:ascii="宋体" w:hAnsi="宋体" w:cs="宋体"/>
                <w:b/>
                <w:bCs/>
                <w:color w:val="auto"/>
                <w:szCs w:val="21"/>
              </w:rPr>
            </w:pPr>
            <w:r>
              <w:rPr>
                <w:rFonts w:hint="eastAsia" w:ascii="宋体" w:hAnsi="宋体" w:cs="宋体"/>
                <w:color w:val="auto"/>
                <w:szCs w:val="21"/>
              </w:rPr>
              <w:t>单位</w:t>
            </w:r>
          </w:p>
        </w:tc>
        <w:tc>
          <w:tcPr>
            <w:tcW w:w="816" w:type="dxa"/>
            <w:vAlign w:val="center"/>
          </w:tcPr>
          <w:p>
            <w:pPr>
              <w:pStyle w:val="98"/>
              <w:ind w:firstLine="0" w:firstLineChars="0"/>
              <w:jc w:val="center"/>
              <w:rPr>
                <w:rFonts w:ascii="宋体" w:hAnsi="宋体" w:cs="宋体"/>
                <w:color w:val="auto"/>
                <w:szCs w:val="21"/>
              </w:rPr>
            </w:pPr>
            <w:r>
              <w:rPr>
                <w:rFonts w:hint="eastAsia" w:ascii="宋体" w:hAnsi="宋体" w:cs="宋体"/>
                <w:color w:val="auto"/>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98"/>
              <w:ind w:firstLine="0" w:firstLineChars="0"/>
              <w:jc w:val="center"/>
              <w:rPr>
                <w:rFonts w:ascii="宋体" w:hAnsi="宋体" w:cs="宋体"/>
                <w:color w:val="auto"/>
                <w:szCs w:val="21"/>
              </w:rPr>
            </w:pPr>
            <w:r>
              <w:rPr>
                <w:rFonts w:hint="eastAsia" w:ascii="宋体" w:hAnsi="宋体" w:cs="宋体"/>
                <w:b/>
                <w:bCs/>
                <w:color w:val="auto"/>
                <w:szCs w:val="21"/>
              </w:rPr>
              <w:t>一</w:t>
            </w:r>
          </w:p>
        </w:tc>
        <w:tc>
          <w:tcPr>
            <w:tcW w:w="8279" w:type="dxa"/>
            <w:gridSpan w:val="4"/>
            <w:vAlign w:val="center"/>
          </w:tcPr>
          <w:p>
            <w:pPr>
              <w:pStyle w:val="98"/>
              <w:ind w:firstLine="0" w:firstLineChars="0"/>
              <w:jc w:val="center"/>
              <w:rPr>
                <w:rFonts w:ascii="宋体" w:hAnsi="宋体" w:cs="宋体"/>
                <w:color w:val="auto"/>
                <w:szCs w:val="21"/>
              </w:rPr>
            </w:pPr>
            <w:r>
              <w:rPr>
                <w:rFonts w:hint="eastAsia" w:ascii="宋体" w:hAnsi="宋体" w:cs="宋体"/>
                <w:b/>
                <w:bCs/>
                <w:color w:val="auto"/>
                <w:szCs w:val="21"/>
              </w:rPr>
              <w:t>高温蒸汽灭菌系统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98"/>
              <w:ind w:firstLine="0" w:firstLineChars="0"/>
              <w:jc w:val="center"/>
              <w:rPr>
                <w:rFonts w:ascii="宋体" w:hAnsi="宋体" w:cs="宋体"/>
                <w:color w:val="auto"/>
                <w:kern w:val="0"/>
                <w:szCs w:val="21"/>
              </w:rPr>
            </w:pPr>
            <w:r>
              <w:rPr>
                <w:rFonts w:hint="eastAsia" w:ascii="宋体" w:hAnsi="宋体" w:cs="宋体"/>
                <w:bCs/>
                <w:color w:val="auto"/>
                <w:szCs w:val="21"/>
              </w:rPr>
              <w:t>1.1</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医疗废物高温蒸汽灭菌器</w:t>
            </w:r>
          </w:p>
        </w:tc>
        <w:tc>
          <w:tcPr>
            <w:tcW w:w="5050" w:type="dxa"/>
            <w:vAlign w:val="center"/>
          </w:tcPr>
          <w:p>
            <w:pPr>
              <w:rPr>
                <w:rFonts w:ascii="宋体" w:hAnsi="宋体" w:cs="宋体"/>
                <w:color w:val="auto"/>
                <w:szCs w:val="21"/>
              </w:rPr>
            </w:pPr>
            <w:r>
              <w:rPr>
                <w:rFonts w:hint="eastAsia" w:ascii="宋体" w:hAnsi="宋体" w:cs="宋体"/>
                <w:color w:val="auto"/>
                <w:szCs w:val="21"/>
              </w:rPr>
              <w:t>★1）处理量≥4t/d/台（每天16小时运行）。</w:t>
            </w:r>
          </w:p>
          <w:p>
            <w:pPr>
              <w:rPr>
                <w:rFonts w:ascii="宋体" w:hAnsi="宋体" w:cs="宋体"/>
                <w:color w:val="auto"/>
                <w:szCs w:val="21"/>
              </w:rPr>
            </w:pPr>
            <w:r>
              <w:rPr>
                <w:rFonts w:hint="eastAsia" w:ascii="宋体" w:hAnsi="宋体" w:cs="宋体"/>
                <w:color w:val="auto"/>
                <w:szCs w:val="21"/>
              </w:rPr>
              <w:t>★2）灭菌温度≥134℃，灭菌压力≥220Kpa（表压），灭菌时间≥45分钟。</w:t>
            </w:r>
          </w:p>
          <w:p>
            <w:pPr>
              <w:rPr>
                <w:rFonts w:ascii="宋体" w:hAnsi="宋体" w:cs="宋体"/>
                <w:color w:val="auto"/>
                <w:szCs w:val="21"/>
              </w:rPr>
            </w:pPr>
            <w:r>
              <w:rPr>
                <w:rFonts w:hint="eastAsia" w:ascii="宋体" w:hAnsi="宋体" w:cs="宋体"/>
                <w:color w:val="auto"/>
                <w:szCs w:val="21"/>
              </w:rPr>
              <w:t>★3）主体结构应为矩形卧式带夹层，内室材质应不低于316L不锈钢，厚度≥8mm。</w:t>
            </w:r>
          </w:p>
          <w:p>
            <w:pPr>
              <w:rPr>
                <w:rFonts w:ascii="宋体" w:hAnsi="宋体" w:cs="宋体"/>
                <w:color w:val="auto"/>
                <w:szCs w:val="21"/>
              </w:rPr>
            </w:pPr>
            <w:r>
              <w:rPr>
                <w:rFonts w:hint="eastAsia" w:ascii="宋体" w:hAnsi="宋体" w:cs="宋体"/>
                <w:color w:val="auto"/>
                <w:szCs w:val="21"/>
              </w:rPr>
              <w:t>4）主体外表面应采用优质保温材料包裹，保温隔热。</w:t>
            </w:r>
          </w:p>
          <w:p>
            <w:pPr>
              <w:rPr>
                <w:rFonts w:ascii="宋体" w:hAnsi="宋体" w:cs="宋体"/>
                <w:color w:val="auto"/>
                <w:szCs w:val="21"/>
              </w:rPr>
            </w:pPr>
            <w:r>
              <w:rPr>
                <w:rFonts w:hint="eastAsia" w:ascii="宋体" w:hAnsi="宋体" w:cs="宋体"/>
                <w:color w:val="auto"/>
                <w:szCs w:val="21"/>
              </w:rPr>
              <w:t>5）设备进料口和出料口应分开设置（前后门分开设置），密封门材质应不低于304不锈钢，密封形式应采用气动密封结构。</w:t>
            </w:r>
          </w:p>
          <w:p>
            <w:pPr>
              <w:rPr>
                <w:rFonts w:ascii="宋体" w:hAnsi="宋体" w:cs="宋体"/>
                <w:color w:val="auto"/>
                <w:szCs w:val="21"/>
              </w:rPr>
            </w:pPr>
            <w:r>
              <w:rPr>
                <w:rFonts w:hint="eastAsia" w:ascii="宋体" w:hAnsi="宋体" w:cs="宋体"/>
                <w:color w:val="auto"/>
                <w:szCs w:val="21"/>
              </w:rPr>
              <w:t>6）密封门上应装有安全联锁装置，当门没有关闭、密封时，不会对灭菌室进行加热升温、升压；灭菌室压力没有完全释放时，密封门不能开启。</w:t>
            </w:r>
          </w:p>
          <w:p>
            <w:pPr>
              <w:rPr>
                <w:rFonts w:ascii="宋体" w:hAnsi="宋体" w:cs="宋体"/>
                <w:color w:val="auto"/>
                <w:szCs w:val="21"/>
              </w:rPr>
            </w:pPr>
            <w:r>
              <w:rPr>
                <w:rFonts w:hint="eastAsia" w:ascii="宋体" w:hAnsi="宋体" w:cs="宋体"/>
                <w:color w:val="auto"/>
                <w:szCs w:val="21"/>
              </w:rPr>
              <w:t>7）抽真空形式应采用脉动真空形式，真空泵应采用水环式真空泵，脉动次数≥3次（可调），灭菌室内冷空气排除率≥98%。</w:t>
            </w:r>
          </w:p>
          <w:p>
            <w:pPr>
              <w:rPr>
                <w:rFonts w:ascii="宋体" w:hAnsi="宋体" w:cs="宋体"/>
                <w:color w:val="auto"/>
                <w:szCs w:val="21"/>
              </w:rPr>
            </w:pPr>
            <w:r>
              <w:rPr>
                <w:rFonts w:hint="eastAsia" w:ascii="宋体" w:hAnsi="宋体" w:cs="宋体"/>
                <w:color w:val="auto"/>
                <w:szCs w:val="21"/>
              </w:rPr>
              <w:t>8）过滤装置应采用疏水性介孔材料，满足耐温要求，过滤孔径≤0.2μm，微生物、挥发性有机物（VOCs）等污染物的去除率≥99.99％。</w:t>
            </w:r>
          </w:p>
          <w:p>
            <w:pPr>
              <w:rPr>
                <w:rFonts w:ascii="宋体" w:hAnsi="宋体" w:cs="宋体"/>
                <w:color w:val="auto"/>
                <w:szCs w:val="21"/>
              </w:rPr>
            </w:pPr>
            <w:r>
              <w:rPr>
                <w:rFonts w:hint="eastAsia" w:ascii="宋体" w:hAnsi="宋体" w:cs="宋体"/>
                <w:color w:val="auto"/>
                <w:szCs w:val="21"/>
              </w:rPr>
              <w:t>9）设备应装有安全阀，在达到设定压力时或在设备工作过程中出现故障时可自动打开进行泄压。</w:t>
            </w:r>
          </w:p>
          <w:p>
            <w:pPr>
              <w:rPr>
                <w:rFonts w:ascii="宋体" w:hAnsi="宋体" w:cs="宋体"/>
                <w:color w:val="auto"/>
                <w:szCs w:val="21"/>
              </w:rPr>
            </w:pPr>
            <w:r>
              <w:rPr>
                <w:rFonts w:hint="eastAsia" w:ascii="宋体" w:hAnsi="宋体" w:cs="宋体"/>
                <w:color w:val="auto"/>
                <w:szCs w:val="21"/>
              </w:rPr>
              <w:t>10）管路管件应采用304不锈钢，各焊接处和接头的密闭性均应能满足设备加压和抽真空的要求。</w:t>
            </w:r>
          </w:p>
          <w:p>
            <w:pPr>
              <w:rPr>
                <w:rFonts w:ascii="宋体" w:hAnsi="宋体" w:cs="宋体"/>
                <w:color w:val="auto"/>
                <w:szCs w:val="21"/>
              </w:rPr>
            </w:pPr>
            <w:r>
              <w:rPr>
                <w:rFonts w:hint="eastAsia" w:ascii="宋体" w:hAnsi="宋体" w:cs="宋体"/>
                <w:color w:val="auto"/>
                <w:szCs w:val="21"/>
              </w:rPr>
              <w:t>11）设备设计、制造、监督检验、检测和使用均应符合有关压力容器的安全标准要求和国家有关规定，技术要求应完全符合《医疗废物高温蒸汽集中处置技术规范》（试行）（HJT 276－2006）。</w:t>
            </w:r>
          </w:p>
          <w:p>
            <w:pPr>
              <w:rPr>
                <w:rFonts w:ascii="宋体" w:hAnsi="宋体" w:cs="宋体"/>
                <w:color w:val="auto"/>
                <w:szCs w:val="21"/>
              </w:rPr>
            </w:pPr>
            <w:r>
              <w:rPr>
                <w:rFonts w:hint="eastAsia" w:ascii="宋体" w:hAnsi="宋体" w:cs="宋体"/>
                <w:color w:val="auto"/>
                <w:szCs w:val="21"/>
              </w:rPr>
              <w:t>12）控制系统应采用PLC可编程控制器，对整个处理过程进行自动控制。</w:t>
            </w:r>
          </w:p>
          <w:p>
            <w:pPr>
              <w:rPr>
                <w:rFonts w:ascii="宋体" w:hAnsi="宋体" w:cs="宋体"/>
                <w:color w:val="auto"/>
                <w:szCs w:val="21"/>
              </w:rPr>
            </w:pPr>
            <w:r>
              <w:rPr>
                <w:rFonts w:hint="eastAsia" w:ascii="宋体" w:hAnsi="宋体" w:cs="宋体"/>
                <w:color w:val="auto"/>
                <w:szCs w:val="21"/>
              </w:rPr>
              <w:t>13）控制系统应具有但不限于的功能：</w:t>
            </w:r>
          </w:p>
          <w:p>
            <w:pPr>
              <w:rPr>
                <w:rFonts w:ascii="宋体" w:hAnsi="宋体" w:cs="宋体"/>
                <w:color w:val="auto"/>
                <w:szCs w:val="21"/>
              </w:rPr>
            </w:pPr>
            <w:r>
              <w:rPr>
                <w:rFonts w:hint="eastAsia" w:ascii="宋体" w:hAnsi="宋体" w:cs="宋体"/>
                <w:color w:val="auto"/>
                <w:szCs w:val="21"/>
              </w:rPr>
              <w:t>①空气排除效果、设备密封性能及灭菌质量自检功能；</w:t>
            </w:r>
          </w:p>
          <w:p>
            <w:pPr>
              <w:rPr>
                <w:rFonts w:ascii="宋体" w:hAnsi="宋体" w:cs="宋体"/>
                <w:color w:val="auto"/>
                <w:szCs w:val="21"/>
              </w:rPr>
            </w:pPr>
            <w:r>
              <w:rPr>
                <w:rFonts w:hint="eastAsia" w:ascii="宋体" w:hAnsi="宋体" w:cs="宋体"/>
                <w:color w:val="auto"/>
                <w:szCs w:val="21"/>
              </w:rPr>
              <w:t>②处理过程状态实时显示功能；</w:t>
            </w:r>
          </w:p>
          <w:p>
            <w:pPr>
              <w:rPr>
                <w:rFonts w:ascii="宋体" w:hAnsi="宋体" w:cs="宋体"/>
                <w:color w:val="auto"/>
                <w:szCs w:val="21"/>
              </w:rPr>
            </w:pPr>
            <w:r>
              <w:rPr>
                <w:rFonts w:hint="eastAsia" w:ascii="宋体" w:hAnsi="宋体" w:cs="宋体"/>
                <w:color w:val="auto"/>
                <w:szCs w:val="21"/>
              </w:rPr>
              <w:t>③运行过程中主要参数值的实时显示、记录、保存及打印功能；</w:t>
            </w:r>
          </w:p>
          <w:p>
            <w:pPr>
              <w:rPr>
                <w:rFonts w:ascii="宋体" w:hAnsi="宋体" w:cs="宋体"/>
                <w:color w:val="auto"/>
                <w:szCs w:val="21"/>
              </w:rPr>
            </w:pPr>
            <w:r>
              <w:rPr>
                <w:rFonts w:hint="eastAsia" w:ascii="宋体" w:hAnsi="宋体" w:cs="宋体"/>
                <w:color w:val="auto"/>
                <w:szCs w:val="21"/>
              </w:rPr>
              <w:t>④人工操作模式功能，且在人工操作模式下，不可简化或回避任何处理环节；</w:t>
            </w:r>
          </w:p>
          <w:p>
            <w:pPr>
              <w:rPr>
                <w:rFonts w:ascii="宋体" w:hAnsi="宋体" w:cs="宋体"/>
                <w:color w:val="auto"/>
                <w:szCs w:val="21"/>
              </w:rPr>
            </w:pPr>
            <w:r>
              <w:rPr>
                <w:rFonts w:hint="eastAsia" w:ascii="宋体" w:hAnsi="宋体" w:cs="宋体"/>
                <w:color w:val="auto"/>
                <w:szCs w:val="21"/>
              </w:rPr>
              <w:t>⑤操作号的记录功能及三级密码管理制度功能；</w:t>
            </w:r>
          </w:p>
          <w:p>
            <w:pPr>
              <w:rPr>
                <w:rFonts w:ascii="宋体" w:hAnsi="宋体" w:cs="宋体"/>
                <w:color w:val="auto"/>
                <w:szCs w:val="21"/>
              </w:rPr>
            </w:pPr>
            <w:r>
              <w:rPr>
                <w:rFonts w:hint="eastAsia" w:ascii="宋体" w:hAnsi="宋体" w:cs="宋体"/>
                <w:color w:val="auto"/>
                <w:szCs w:val="21"/>
              </w:rPr>
              <w:t>⑥处理参数修改限制功能；</w:t>
            </w:r>
          </w:p>
          <w:p>
            <w:pPr>
              <w:rPr>
                <w:rFonts w:ascii="宋体" w:hAnsi="宋体" w:cs="宋体"/>
                <w:color w:val="auto"/>
                <w:szCs w:val="21"/>
              </w:rPr>
            </w:pPr>
            <w:r>
              <w:rPr>
                <w:rFonts w:hint="eastAsia" w:ascii="宋体" w:hAnsi="宋体" w:cs="宋体"/>
                <w:color w:val="auto"/>
                <w:szCs w:val="21"/>
              </w:rPr>
              <w:t>⑦应急保护功能；</w:t>
            </w:r>
          </w:p>
          <w:p>
            <w:pPr>
              <w:rPr>
                <w:rFonts w:ascii="宋体" w:hAnsi="宋体" w:cs="宋体"/>
                <w:color w:val="auto"/>
                <w:szCs w:val="21"/>
              </w:rPr>
            </w:pPr>
            <w:r>
              <w:rPr>
                <w:rFonts w:hint="eastAsia" w:ascii="宋体" w:hAnsi="宋体" w:cs="宋体"/>
                <w:color w:val="auto"/>
                <w:szCs w:val="21"/>
              </w:rPr>
              <w:t>⑧远程监控、自动控制和操作功能；</w:t>
            </w:r>
          </w:p>
          <w:p>
            <w:pPr>
              <w:rPr>
                <w:rFonts w:ascii="宋体" w:hAnsi="宋体" w:cs="宋体"/>
                <w:color w:val="auto"/>
                <w:szCs w:val="21"/>
              </w:rPr>
            </w:pPr>
            <w:r>
              <w:rPr>
                <w:rFonts w:hint="eastAsia" w:ascii="宋体" w:hAnsi="宋体" w:cs="宋体"/>
                <w:color w:val="auto"/>
                <w:szCs w:val="21"/>
              </w:rPr>
              <w:t>⑨控制精度：温度的控制精度≤±0.5℃,压力控制精度≤±1.6%,时间控制精度≤±1%。</w:t>
            </w:r>
          </w:p>
        </w:tc>
        <w:tc>
          <w:tcPr>
            <w:tcW w:w="825"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ind w:firstLine="210" w:firstLineChars="100"/>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98"/>
              <w:ind w:firstLine="0" w:firstLineChars="0"/>
              <w:jc w:val="center"/>
              <w:rPr>
                <w:rFonts w:ascii="宋体" w:hAnsi="宋体" w:cs="宋体"/>
                <w:color w:val="auto"/>
                <w:kern w:val="0"/>
                <w:szCs w:val="21"/>
              </w:rPr>
            </w:pPr>
            <w:r>
              <w:rPr>
                <w:rFonts w:hint="eastAsia" w:ascii="宋体" w:hAnsi="宋体" w:cs="宋体"/>
                <w:bCs/>
                <w:color w:val="auto"/>
                <w:szCs w:val="21"/>
              </w:rPr>
              <w:t>1.2</w:t>
            </w:r>
          </w:p>
        </w:tc>
        <w:tc>
          <w:tcPr>
            <w:tcW w:w="1588" w:type="dxa"/>
            <w:vAlign w:val="center"/>
          </w:tcPr>
          <w:p>
            <w:pPr>
              <w:jc w:val="center"/>
              <w:rPr>
                <w:rFonts w:ascii="宋体" w:hAnsi="宋体" w:cs="宋体"/>
                <w:color w:val="auto"/>
                <w:szCs w:val="21"/>
              </w:rPr>
            </w:pPr>
            <w:r>
              <w:rPr>
                <w:rFonts w:hint="eastAsia" w:ascii="宋体" w:hAnsi="宋体" w:cs="宋体"/>
                <w:bCs/>
                <w:color w:val="auto"/>
                <w:szCs w:val="21"/>
              </w:rPr>
              <w:t>灭菌小车</w:t>
            </w:r>
          </w:p>
        </w:tc>
        <w:tc>
          <w:tcPr>
            <w:tcW w:w="5050" w:type="dxa"/>
            <w:vAlign w:val="center"/>
          </w:tcPr>
          <w:p>
            <w:pPr>
              <w:rPr>
                <w:rFonts w:ascii="宋体" w:hAnsi="宋体" w:cs="宋体"/>
                <w:color w:val="auto"/>
                <w:szCs w:val="21"/>
              </w:rPr>
            </w:pPr>
            <w:r>
              <w:rPr>
                <w:rFonts w:hint="eastAsia" w:ascii="宋体" w:hAnsi="宋体" w:cs="宋体"/>
                <w:color w:val="auto"/>
                <w:szCs w:val="21"/>
              </w:rPr>
              <w:t>1）应采用全不锈钢结构，材质不低于304不锈钢，厚度为≥3mm，容积≥0.54m</w:t>
            </w:r>
            <w:r>
              <w:rPr>
                <w:rFonts w:hint="eastAsia" w:ascii="宋体" w:hAnsi="宋体" w:cs="宋体"/>
                <w:color w:val="auto"/>
                <w:szCs w:val="21"/>
                <w:vertAlign w:val="superscript"/>
              </w:rPr>
              <w:t>3</w:t>
            </w:r>
            <w:r>
              <w:rPr>
                <w:rFonts w:hint="eastAsia" w:ascii="宋体" w:hAnsi="宋体" w:cs="宋体"/>
                <w:color w:val="auto"/>
                <w:szCs w:val="21"/>
              </w:rPr>
              <w:t>，可承受蒸汽处理过程中的温度和压力变化。</w:t>
            </w:r>
          </w:p>
          <w:p>
            <w:pPr>
              <w:rPr>
                <w:rFonts w:ascii="宋体" w:hAnsi="宋体" w:cs="宋体"/>
                <w:color w:val="auto"/>
                <w:szCs w:val="21"/>
              </w:rPr>
            </w:pPr>
            <w:r>
              <w:rPr>
                <w:rFonts w:hint="eastAsia" w:ascii="宋体" w:hAnsi="宋体" w:cs="宋体"/>
                <w:color w:val="auto"/>
                <w:szCs w:val="21"/>
              </w:rPr>
              <w:t>2）应有防止医疗垃圾黏连内壁的有效措施 。</w:t>
            </w:r>
          </w:p>
        </w:tc>
        <w:tc>
          <w:tcPr>
            <w:tcW w:w="825"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jc w:val="center"/>
              <w:rPr>
                <w:rFonts w:ascii="宋体" w:hAnsi="宋体" w:cs="宋体"/>
                <w:color w:val="auto"/>
                <w:szCs w:val="21"/>
              </w:rPr>
            </w:pPr>
            <w:r>
              <w:rPr>
                <w:rFonts w:hint="eastAsia" w:ascii="宋体" w:hAnsi="宋体" w:cs="宋体"/>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szCs w:val="21"/>
              </w:rPr>
            </w:pPr>
            <w:r>
              <w:rPr>
                <w:rFonts w:hint="eastAsia" w:ascii="宋体" w:hAnsi="宋体" w:cs="宋体"/>
                <w:b/>
                <w:bCs/>
                <w:color w:val="auto"/>
                <w:szCs w:val="21"/>
              </w:rPr>
              <w:t>二</w:t>
            </w:r>
          </w:p>
        </w:tc>
        <w:tc>
          <w:tcPr>
            <w:tcW w:w="8279" w:type="dxa"/>
            <w:gridSpan w:val="4"/>
            <w:vAlign w:val="center"/>
          </w:tcPr>
          <w:p>
            <w:pPr>
              <w:widowControl/>
              <w:jc w:val="left"/>
              <w:rPr>
                <w:rFonts w:ascii="宋体" w:hAnsi="宋体" w:cs="宋体"/>
                <w:color w:val="auto"/>
                <w:szCs w:val="21"/>
              </w:rPr>
            </w:pPr>
            <w:r>
              <w:rPr>
                <w:rFonts w:hint="eastAsia" w:ascii="宋体" w:hAnsi="宋体" w:cs="宋体"/>
                <w:b/>
                <w:bCs/>
                <w:color w:val="auto"/>
                <w:szCs w:val="21"/>
              </w:rPr>
              <w:t>周转箱自动搬运清洗系统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widowControl/>
              <w:jc w:val="center"/>
              <w:rPr>
                <w:rFonts w:ascii="宋体" w:hAnsi="宋体" w:cs="宋体"/>
                <w:color w:val="auto"/>
                <w:szCs w:val="21"/>
              </w:rPr>
            </w:pPr>
            <w:r>
              <w:rPr>
                <w:rFonts w:hint="eastAsia" w:ascii="宋体" w:hAnsi="宋体" w:cs="宋体"/>
                <w:color w:val="auto"/>
                <w:szCs w:val="21"/>
              </w:rPr>
              <w:t>2.1</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直线输送单元</w:t>
            </w:r>
          </w:p>
        </w:tc>
        <w:tc>
          <w:tcPr>
            <w:tcW w:w="5050" w:type="dxa"/>
            <w:vAlign w:val="center"/>
          </w:tcPr>
          <w:p>
            <w:pPr>
              <w:rPr>
                <w:rFonts w:ascii="宋体" w:hAnsi="宋体" w:cs="宋体"/>
                <w:color w:val="auto"/>
                <w:szCs w:val="21"/>
              </w:rPr>
            </w:pPr>
            <w:r>
              <w:rPr>
                <w:rFonts w:hint="eastAsia" w:ascii="宋体" w:hAnsi="宋体" w:cs="宋体"/>
                <w:color w:val="auto"/>
                <w:szCs w:val="21"/>
              </w:rPr>
              <w:t>直线输送单元主要用于周转箱的直线输送，采用链式传动，整个过程自动完成，无需人工干预。</w:t>
            </w:r>
          </w:p>
          <w:p>
            <w:pPr>
              <w:rPr>
                <w:rFonts w:ascii="宋体" w:hAnsi="宋体" w:cs="宋体"/>
                <w:color w:val="auto"/>
                <w:szCs w:val="21"/>
              </w:rPr>
            </w:pPr>
            <w:r>
              <w:rPr>
                <w:rFonts w:hint="eastAsia" w:ascii="宋体" w:hAnsi="宋体" w:cs="宋体"/>
                <w:color w:val="auto"/>
                <w:szCs w:val="21"/>
              </w:rPr>
              <w:t>输送电机功率：≤0.2kw</w:t>
            </w:r>
          </w:p>
          <w:p>
            <w:pPr>
              <w:rPr>
                <w:rFonts w:ascii="宋体" w:hAnsi="宋体" w:cs="宋体"/>
                <w:color w:val="auto"/>
                <w:szCs w:val="21"/>
              </w:rPr>
            </w:pPr>
            <w:r>
              <w:rPr>
                <w:rFonts w:hint="eastAsia" w:ascii="宋体" w:hAnsi="宋体" w:cs="宋体"/>
                <w:color w:val="auto"/>
                <w:szCs w:val="21"/>
              </w:rPr>
              <w:t>额定最高输送速度：≥11m/min</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szCs w:val="21"/>
              </w:rPr>
            </w:pPr>
            <w:r>
              <w:rPr>
                <w:rFonts w:hint="eastAsia" w:ascii="宋体" w:hAnsi="宋体" w:cs="宋体"/>
                <w:color w:val="auto"/>
                <w:szCs w:val="21"/>
              </w:rPr>
              <w:t>2.2</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往复升降机</w:t>
            </w:r>
          </w:p>
        </w:tc>
        <w:tc>
          <w:tcPr>
            <w:tcW w:w="5050" w:type="dxa"/>
            <w:vAlign w:val="center"/>
          </w:tcPr>
          <w:p>
            <w:pPr>
              <w:rPr>
                <w:rFonts w:ascii="宋体" w:hAnsi="宋体" w:cs="宋体"/>
                <w:color w:val="auto"/>
                <w:szCs w:val="21"/>
              </w:rPr>
            </w:pPr>
            <w:r>
              <w:rPr>
                <w:rFonts w:hint="eastAsia" w:ascii="宋体" w:hAnsi="宋体" w:cs="宋体"/>
                <w:color w:val="auto"/>
                <w:szCs w:val="21"/>
              </w:rPr>
              <w:t>往复升降机主要用于周转箱提升或降落，满足工位不同高度的需求，采用链式传动，整个过程自动完成，无需人工干预。</w:t>
            </w:r>
          </w:p>
          <w:p>
            <w:pPr>
              <w:rPr>
                <w:rFonts w:ascii="宋体" w:hAnsi="宋体" w:cs="宋体"/>
                <w:color w:val="auto"/>
                <w:szCs w:val="21"/>
              </w:rPr>
            </w:pPr>
            <w:r>
              <w:rPr>
                <w:rFonts w:hint="eastAsia" w:ascii="宋体" w:hAnsi="宋体" w:cs="宋体"/>
                <w:color w:val="auto"/>
                <w:szCs w:val="21"/>
              </w:rPr>
              <w:t>输送电机功率：≤0.4kw</w:t>
            </w:r>
          </w:p>
          <w:p>
            <w:pPr>
              <w:rPr>
                <w:rFonts w:ascii="宋体" w:hAnsi="宋体" w:cs="宋体"/>
                <w:color w:val="auto"/>
                <w:szCs w:val="21"/>
              </w:rPr>
            </w:pPr>
            <w:r>
              <w:rPr>
                <w:rFonts w:hint="eastAsia" w:ascii="宋体" w:hAnsi="宋体" w:cs="宋体"/>
                <w:color w:val="auto"/>
                <w:szCs w:val="21"/>
              </w:rPr>
              <w:t>提升电机功率：≤0.4kw</w:t>
            </w:r>
          </w:p>
          <w:p>
            <w:pPr>
              <w:rPr>
                <w:rFonts w:ascii="宋体" w:hAnsi="宋体" w:cs="宋体"/>
                <w:color w:val="auto"/>
                <w:szCs w:val="21"/>
              </w:rPr>
            </w:pPr>
            <w:r>
              <w:rPr>
                <w:rFonts w:hint="eastAsia" w:ascii="宋体" w:hAnsi="宋体" w:cs="宋体"/>
                <w:color w:val="auto"/>
                <w:szCs w:val="21"/>
              </w:rPr>
              <w:t>额定最高输送速度：≥11m/min</w:t>
            </w:r>
          </w:p>
        </w:tc>
        <w:tc>
          <w:tcPr>
            <w:tcW w:w="825"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ind w:firstLine="210" w:firstLineChars="100"/>
              <w:rPr>
                <w:rFonts w:ascii="宋体" w:hAnsi="宋体" w:cs="宋体"/>
                <w:color w:val="auto"/>
                <w:szCs w:val="21"/>
              </w:rPr>
            </w:pPr>
            <w:r>
              <w:rPr>
                <w:rFonts w:hint="eastAsia" w:ascii="宋体" w:hAnsi="宋体" w:cs="宋体"/>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szCs w:val="21"/>
              </w:rPr>
            </w:pPr>
            <w:r>
              <w:rPr>
                <w:rFonts w:hint="eastAsia" w:ascii="宋体" w:hAnsi="宋体" w:cs="宋体"/>
                <w:color w:val="auto"/>
                <w:szCs w:val="21"/>
              </w:rPr>
              <w:t>2.3</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液压快速上料机</w:t>
            </w:r>
          </w:p>
        </w:tc>
        <w:tc>
          <w:tcPr>
            <w:tcW w:w="5050" w:type="dxa"/>
            <w:vAlign w:val="center"/>
          </w:tcPr>
          <w:p>
            <w:pPr>
              <w:rPr>
                <w:rFonts w:ascii="宋体" w:hAnsi="宋体" w:cs="宋体"/>
                <w:color w:val="auto"/>
                <w:szCs w:val="21"/>
              </w:rPr>
            </w:pPr>
            <w:r>
              <w:rPr>
                <w:rFonts w:hint="eastAsia" w:ascii="宋体" w:hAnsi="宋体" w:cs="宋体"/>
                <w:color w:val="auto"/>
                <w:szCs w:val="21"/>
              </w:rPr>
              <w:t>液压快速上料机对周转箱进行提升旋转，实现物料的倾倒。周转箱在升降过程被锁紧机构牢牢夹紧，可靠性极高，当周转箱提升到极限位置时，机构对箱体施加一冲击力，将箱体内物料完全倾倒入压料机料仓及灭菌车内，往复时间在20S以内，整个倒料过程实现完全自动化。</w:t>
            </w:r>
          </w:p>
          <w:p>
            <w:pPr>
              <w:rPr>
                <w:rFonts w:ascii="宋体" w:hAnsi="宋体" w:cs="宋体"/>
                <w:color w:val="auto"/>
                <w:szCs w:val="21"/>
              </w:rPr>
            </w:pPr>
            <w:r>
              <w:rPr>
                <w:rFonts w:hint="eastAsia" w:ascii="宋体" w:hAnsi="宋体" w:cs="宋体"/>
                <w:color w:val="auto"/>
                <w:szCs w:val="21"/>
              </w:rPr>
              <w:t>提升内容：满足400×500×600mm周转箱尺寸</w:t>
            </w:r>
          </w:p>
          <w:p>
            <w:pPr>
              <w:rPr>
                <w:rFonts w:ascii="宋体" w:hAnsi="宋体" w:cs="宋体"/>
                <w:color w:val="auto"/>
                <w:szCs w:val="21"/>
              </w:rPr>
            </w:pPr>
            <w:r>
              <w:rPr>
                <w:rFonts w:hint="eastAsia" w:ascii="宋体" w:hAnsi="宋体" w:cs="宋体"/>
                <w:color w:val="auto"/>
                <w:szCs w:val="21"/>
              </w:rPr>
              <w:t>液压缸缸径：≥50mm</w:t>
            </w:r>
          </w:p>
          <w:p>
            <w:pPr>
              <w:rPr>
                <w:rFonts w:ascii="宋体" w:hAnsi="宋体" w:cs="宋体"/>
                <w:color w:val="auto"/>
                <w:szCs w:val="21"/>
              </w:rPr>
            </w:pPr>
            <w:r>
              <w:rPr>
                <w:rFonts w:hint="eastAsia" w:ascii="宋体" w:hAnsi="宋体" w:cs="宋体"/>
                <w:color w:val="auto"/>
                <w:szCs w:val="21"/>
              </w:rPr>
              <w:t>往复时间：≤20S</w:t>
            </w:r>
          </w:p>
          <w:p>
            <w:pPr>
              <w:rPr>
                <w:rFonts w:ascii="宋体" w:hAnsi="宋体" w:cs="宋体"/>
                <w:color w:val="auto"/>
                <w:szCs w:val="21"/>
              </w:rPr>
            </w:pPr>
            <w:r>
              <w:rPr>
                <w:rFonts w:hint="eastAsia" w:ascii="宋体" w:hAnsi="宋体" w:cs="宋体"/>
                <w:color w:val="auto"/>
                <w:szCs w:val="21"/>
              </w:rPr>
              <w:t>功率：≤6kw</w:t>
            </w:r>
          </w:p>
        </w:tc>
        <w:tc>
          <w:tcPr>
            <w:tcW w:w="825"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ind w:firstLine="210" w:firstLineChars="100"/>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szCs w:val="21"/>
              </w:rPr>
            </w:pPr>
            <w:r>
              <w:rPr>
                <w:rFonts w:hint="eastAsia" w:ascii="宋体" w:hAnsi="宋体" w:cs="宋体"/>
                <w:color w:val="auto"/>
                <w:szCs w:val="21"/>
              </w:rPr>
              <w:t>2.4</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气动翻转机</w:t>
            </w:r>
          </w:p>
        </w:tc>
        <w:tc>
          <w:tcPr>
            <w:tcW w:w="5050" w:type="dxa"/>
            <w:vAlign w:val="center"/>
          </w:tcPr>
          <w:p>
            <w:pPr>
              <w:rPr>
                <w:rFonts w:ascii="宋体" w:hAnsi="宋体" w:cs="宋体"/>
                <w:color w:val="auto"/>
                <w:szCs w:val="21"/>
              </w:rPr>
            </w:pPr>
            <w:r>
              <w:rPr>
                <w:rFonts w:hint="eastAsia" w:ascii="宋体" w:hAnsi="宋体" w:cs="宋体"/>
                <w:color w:val="auto"/>
                <w:szCs w:val="21"/>
              </w:rPr>
              <w:t>气动翻转机在传输线上实现将空的周转箱翻转180°，以便于周转箱在自动清洗机内的清洗，结构紧凑、运行平稳、定位准确、维修方便。</w:t>
            </w:r>
          </w:p>
          <w:p>
            <w:pPr>
              <w:rPr>
                <w:rFonts w:ascii="宋体" w:hAnsi="宋体" w:cs="宋体"/>
                <w:color w:val="auto"/>
                <w:szCs w:val="21"/>
              </w:rPr>
            </w:pPr>
            <w:r>
              <w:rPr>
                <w:rFonts w:hint="eastAsia" w:ascii="宋体" w:hAnsi="宋体" w:cs="宋体"/>
                <w:color w:val="auto"/>
                <w:szCs w:val="21"/>
              </w:rPr>
              <w:t>气缸数量：3（升降气缸、夹紧气缸、翻转气缸）</w:t>
            </w:r>
          </w:p>
          <w:p>
            <w:pPr>
              <w:rPr>
                <w:rFonts w:ascii="宋体" w:hAnsi="宋体" w:cs="宋体"/>
                <w:color w:val="auto"/>
                <w:szCs w:val="21"/>
              </w:rPr>
            </w:pPr>
            <w:r>
              <w:rPr>
                <w:rFonts w:hint="eastAsia" w:ascii="宋体" w:hAnsi="宋体" w:cs="宋体"/>
                <w:color w:val="auto"/>
                <w:szCs w:val="21"/>
              </w:rPr>
              <w:t>升降气缸缸径：≥40mm</w:t>
            </w:r>
          </w:p>
          <w:p>
            <w:pPr>
              <w:rPr>
                <w:rFonts w:ascii="宋体" w:hAnsi="宋体" w:cs="宋体"/>
                <w:color w:val="auto"/>
                <w:szCs w:val="21"/>
              </w:rPr>
            </w:pPr>
            <w:r>
              <w:rPr>
                <w:rFonts w:hint="eastAsia" w:ascii="宋体" w:hAnsi="宋体" w:cs="宋体"/>
                <w:color w:val="auto"/>
                <w:szCs w:val="21"/>
              </w:rPr>
              <w:t>升降气缸行程：≥300mm</w:t>
            </w:r>
          </w:p>
          <w:p>
            <w:pPr>
              <w:rPr>
                <w:rFonts w:ascii="宋体" w:hAnsi="宋体" w:cs="宋体"/>
                <w:color w:val="auto"/>
                <w:szCs w:val="21"/>
              </w:rPr>
            </w:pPr>
            <w:r>
              <w:rPr>
                <w:rFonts w:hint="eastAsia" w:ascii="宋体" w:hAnsi="宋体" w:cs="宋体"/>
                <w:color w:val="auto"/>
                <w:szCs w:val="21"/>
              </w:rPr>
              <w:t>夹紧气缸缸径：≥25mm</w:t>
            </w:r>
          </w:p>
          <w:p>
            <w:pPr>
              <w:rPr>
                <w:rFonts w:ascii="宋体" w:hAnsi="宋体" w:cs="宋体"/>
                <w:color w:val="auto"/>
                <w:szCs w:val="21"/>
              </w:rPr>
            </w:pPr>
            <w:r>
              <w:rPr>
                <w:rFonts w:hint="eastAsia" w:ascii="宋体" w:hAnsi="宋体" w:cs="宋体"/>
                <w:color w:val="auto"/>
                <w:szCs w:val="21"/>
              </w:rPr>
              <w:t>夹紧气缸行程：≥50mm</w:t>
            </w:r>
          </w:p>
        </w:tc>
        <w:tc>
          <w:tcPr>
            <w:tcW w:w="825"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szCs w:val="21"/>
              </w:rPr>
            </w:pPr>
            <w:r>
              <w:rPr>
                <w:rFonts w:hint="eastAsia" w:ascii="宋体" w:hAnsi="宋体" w:cs="宋体"/>
                <w:color w:val="auto"/>
                <w:szCs w:val="21"/>
              </w:rPr>
              <w:t>2.5</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周转箱自动清洗机</w:t>
            </w:r>
          </w:p>
        </w:tc>
        <w:tc>
          <w:tcPr>
            <w:tcW w:w="5050" w:type="dxa"/>
            <w:vAlign w:val="center"/>
          </w:tcPr>
          <w:p>
            <w:pPr>
              <w:rPr>
                <w:rFonts w:ascii="宋体" w:hAnsi="宋体" w:cs="宋体"/>
                <w:color w:val="auto"/>
                <w:szCs w:val="21"/>
              </w:rPr>
            </w:pPr>
            <w:r>
              <w:rPr>
                <w:rFonts w:hint="eastAsia" w:ascii="宋体" w:hAnsi="宋体" w:cs="宋体"/>
                <w:color w:val="auto"/>
                <w:szCs w:val="21"/>
              </w:rPr>
              <w:t>清洗机主要是由机架、外罩、水箱喷淋系统、输送系统、电气控制系统等组成，实现周转箱的自动清洗及消毒。</w:t>
            </w:r>
          </w:p>
          <w:p>
            <w:pPr>
              <w:rPr>
                <w:rFonts w:ascii="宋体" w:hAnsi="宋体" w:cs="宋体"/>
                <w:color w:val="auto"/>
                <w:szCs w:val="21"/>
              </w:rPr>
            </w:pPr>
            <w:r>
              <w:rPr>
                <w:rFonts w:hint="eastAsia" w:ascii="宋体" w:hAnsi="宋体" w:cs="宋体"/>
                <w:color w:val="auto"/>
                <w:szCs w:val="21"/>
              </w:rPr>
              <w:t>材质：不低于304不锈钢</w:t>
            </w:r>
          </w:p>
          <w:p>
            <w:pPr>
              <w:rPr>
                <w:rFonts w:ascii="宋体" w:hAnsi="宋体" w:cs="宋体"/>
                <w:color w:val="auto"/>
                <w:szCs w:val="21"/>
              </w:rPr>
            </w:pPr>
            <w:r>
              <w:rPr>
                <w:rFonts w:hint="eastAsia" w:ascii="宋体" w:hAnsi="宋体" w:cs="宋体"/>
                <w:color w:val="auto"/>
                <w:szCs w:val="21"/>
              </w:rPr>
              <w:t>传送方式：链式传动</w:t>
            </w:r>
          </w:p>
          <w:p>
            <w:pPr>
              <w:rPr>
                <w:rFonts w:ascii="宋体" w:hAnsi="宋体" w:cs="宋体"/>
                <w:color w:val="auto"/>
                <w:szCs w:val="21"/>
              </w:rPr>
            </w:pPr>
            <w:r>
              <w:rPr>
                <w:rFonts w:hint="eastAsia" w:ascii="宋体" w:hAnsi="宋体" w:cs="宋体"/>
                <w:color w:val="auto"/>
                <w:szCs w:val="21"/>
              </w:rPr>
              <w:t>传送速度：≥1.5-4.0m/min</w:t>
            </w:r>
          </w:p>
          <w:p>
            <w:pPr>
              <w:rPr>
                <w:rFonts w:ascii="宋体" w:hAnsi="宋体" w:cs="宋体"/>
                <w:color w:val="auto"/>
                <w:szCs w:val="21"/>
              </w:rPr>
            </w:pPr>
            <w:r>
              <w:rPr>
                <w:rFonts w:hint="eastAsia" w:ascii="宋体" w:hAnsi="宋体" w:cs="宋体"/>
                <w:color w:val="auto"/>
                <w:szCs w:val="21"/>
              </w:rPr>
              <w:t>通过清洗周转箱尺寸：400×500×600mm</w:t>
            </w:r>
          </w:p>
          <w:p>
            <w:pPr>
              <w:rPr>
                <w:rFonts w:ascii="宋体" w:hAnsi="宋体" w:cs="宋体"/>
                <w:color w:val="auto"/>
                <w:szCs w:val="21"/>
              </w:rPr>
            </w:pPr>
            <w:r>
              <w:rPr>
                <w:rFonts w:hint="eastAsia" w:ascii="宋体" w:hAnsi="宋体" w:cs="宋体"/>
                <w:color w:val="auto"/>
                <w:szCs w:val="21"/>
              </w:rPr>
              <w:t>水箱数量：≥2个（清洗及消毒水箱）</w:t>
            </w:r>
          </w:p>
          <w:p>
            <w:pPr>
              <w:rPr>
                <w:rFonts w:ascii="宋体" w:hAnsi="宋体" w:cs="宋体"/>
                <w:color w:val="auto"/>
                <w:szCs w:val="21"/>
              </w:rPr>
            </w:pPr>
            <w:r>
              <w:rPr>
                <w:rFonts w:hint="eastAsia" w:ascii="宋体" w:hAnsi="宋体" w:cs="宋体"/>
                <w:color w:val="auto"/>
                <w:szCs w:val="21"/>
              </w:rPr>
              <w:t>工艺流程：上料--消毒液清洗--清水冲洗---人工下料</w:t>
            </w:r>
          </w:p>
        </w:tc>
        <w:tc>
          <w:tcPr>
            <w:tcW w:w="825"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widowControl/>
              <w:jc w:val="center"/>
              <w:rPr>
                <w:rFonts w:ascii="宋体" w:hAnsi="宋体" w:cs="宋体"/>
                <w:color w:val="auto"/>
                <w:kern w:val="0"/>
                <w:szCs w:val="21"/>
              </w:rPr>
            </w:pPr>
            <w:r>
              <w:rPr>
                <w:rFonts w:hint="eastAsia" w:ascii="宋体" w:hAnsi="宋体" w:cs="宋体"/>
                <w:b/>
                <w:bCs/>
                <w:color w:val="auto"/>
                <w:szCs w:val="21"/>
              </w:rPr>
              <w:t>三</w:t>
            </w:r>
          </w:p>
        </w:tc>
        <w:tc>
          <w:tcPr>
            <w:tcW w:w="8279" w:type="dxa"/>
            <w:gridSpan w:val="4"/>
            <w:vAlign w:val="center"/>
          </w:tcPr>
          <w:p>
            <w:pPr>
              <w:widowControl/>
              <w:jc w:val="left"/>
              <w:rPr>
                <w:rFonts w:ascii="宋体" w:hAnsi="宋体" w:cs="宋体"/>
                <w:color w:val="auto"/>
                <w:szCs w:val="21"/>
              </w:rPr>
            </w:pPr>
            <w:r>
              <w:rPr>
                <w:rFonts w:hint="eastAsia" w:ascii="宋体" w:hAnsi="宋体" w:cs="宋体"/>
                <w:b/>
                <w:color w:val="auto"/>
                <w:szCs w:val="21"/>
              </w:rPr>
              <w:t>灭菌车自动搬运系统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szCs w:val="21"/>
              </w:rPr>
            </w:pPr>
            <w:r>
              <w:rPr>
                <w:rFonts w:hint="eastAsia" w:ascii="宋体" w:hAnsi="宋体" w:cs="宋体"/>
                <w:color w:val="auto"/>
                <w:szCs w:val="21"/>
              </w:rPr>
              <w:t>3.1</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压料机</w:t>
            </w:r>
          </w:p>
        </w:tc>
        <w:tc>
          <w:tcPr>
            <w:tcW w:w="5050" w:type="dxa"/>
            <w:vAlign w:val="center"/>
          </w:tcPr>
          <w:p>
            <w:pPr>
              <w:rPr>
                <w:rFonts w:ascii="宋体" w:hAnsi="宋体" w:cs="宋体"/>
                <w:color w:val="auto"/>
                <w:szCs w:val="21"/>
              </w:rPr>
            </w:pPr>
            <w:r>
              <w:rPr>
                <w:rFonts w:hint="eastAsia" w:ascii="宋体" w:hAnsi="宋体" w:cs="宋体"/>
                <w:color w:val="auto"/>
                <w:szCs w:val="21"/>
              </w:rPr>
              <w:t>压料机用于连接周转箱上料机和灭菌车，将倒入灭菌车内的物料压实，避免操作人员与医疗废物直接接触，降低感染风险，提高产能。</w:t>
            </w:r>
          </w:p>
          <w:p>
            <w:pPr>
              <w:pStyle w:val="7"/>
              <w:ind w:firstLine="0"/>
              <w:rPr>
                <w:rFonts w:ascii="宋体" w:hAnsi="宋体" w:cs="宋体"/>
                <w:color w:val="auto"/>
                <w:szCs w:val="21"/>
              </w:rPr>
            </w:pPr>
            <w:r>
              <w:rPr>
                <w:rFonts w:hint="eastAsia" w:ascii="宋体" w:hAnsi="宋体" w:cs="宋体"/>
                <w:color w:val="auto"/>
                <w:szCs w:val="21"/>
              </w:rPr>
              <w:t>动力来源：气缸</w:t>
            </w:r>
          </w:p>
          <w:p>
            <w:pPr>
              <w:pStyle w:val="7"/>
              <w:ind w:firstLine="0"/>
              <w:rPr>
                <w:rFonts w:ascii="宋体" w:hAnsi="宋体" w:cs="宋体"/>
                <w:color w:val="auto"/>
                <w:szCs w:val="21"/>
              </w:rPr>
            </w:pPr>
            <w:r>
              <w:rPr>
                <w:rFonts w:hint="eastAsia" w:ascii="宋体" w:hAnsi="宋体" w:cs="宋体"/>
                <w:color w:val="auto"/>
                <w:szCs w:val="21"/>
              </w:rPr>
              <w:t>气缸数量：2（行走气缸+下压气缸）</w:t>
            </w:r>
          </w:p>
          <w:p>
            <w:pPr>
              <w:pStyle w:val="7"/>
              <w:ind w:firstLine="0"/>
              <w:rPr>
                <w:rFonts w:ascii="宋体" w:hAnsi="宋体" w:cs="宋体"/>
                <w:color w:val="auto"/>
                <w:szCs w:val="21"/>
              </w:rPr>
            </w:pPr>
            <w:r>
              <w:rPr>
                <w:rFonts w:hint="eastAsia" w:ascii="宋体" w:hAnsi="宋体" w:cs="宋体"/>
                <w:color w:val="auto"/>
                <w:szCs w:val="21"/>
              </w:rPr>
              <w:t>行走气缸缸径：≥80mm</w:t>
            </w:r>
          </w:p>
          <w:p>
            <w:pPr>
              <w:pStyle w:val="7"/>
              <w:ind w:firstLine="0"/>
              <w:rPr>
                <w:rFonts w:ascii="宋体" w:hAnsi="宋体" w:cs="宋体"/>
                <w:color w:val="auto"/>
                <w:szCs w:val="21"/>
              </w:rPr>
            </w:pPr>
            <w:r>
              <w:rPr>
                <w:rFonts w:hint="eastAsia" w:ascii="宋体" w:hAnsi="宋体" w:cs="宋体"/>
                <w:color w:val="auto"/>
                <w:szCs w:val="21"/>
              </w:rPr>
              <w:t>行走气缸行程：≥900 mm</w:t>
            </w:r>
          </w:p>
          <w:p>
            <w:pPr>
              <w:pStyle w:val="7"/>
              <w:ind w:firstLine="0"/>
              <w:rPr>
                <w:rFonts w:ascii="宋体" w:hAnsi="宋体" w:cs="宋体"/>
                <w:color w:val="auto"/>
                <w:szCs w:val="21"/>
              </w:rPr>
            </w:pPr>
            <w:r>
              <w:rPr>
                <w:rFonts w:hint="eastAsia" w:ascii="宋体" w:hAnsi="宋体" w:cs="宋体"/>
                <w:color w:val="auto"/>
                <w:szCs w:val="21"/>
              </w:rPr>
              <w:t>下压气缸缸径：≥160/100 mm（两级气缸）</w:t>
            </w:r>
          </w:p>
          <w:p>
            <w:pPr>
              <w:pStyle w:val="7"/>
              <w:ind w:firstLine="0"/>
              <w:rPr>
                <w:rFonts w:ascii="宋体" w:hAnsi="宋体" w:cs="宋体"/>
                <w:color w:val="auto"/>
                <w:szCs w:val="21"/>
              </w:rPr>
            </w:pPr>
            <w:r>
              <w:rPr>
                <w:rFonts w:hint="eastAsia" w:ascii="宋体" w:hAnsi="宋体" w:cs="宋体"/>
                <w:color w:val="auto"/>
                <w:szCs w:val="21"/>
              </w:rPr>
              <w:t>下压气缸行程：≥416/534 mm（两级气缸）</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widowControl/>
              <w:jc w:val="center"/>
              <w:rPr>
                <w:rFonts w:ascii="宋体" w:hAnsi="宋体" w:cs="宋体"/>
                <w:color w:val="auto"/>
                <w:szCs w:val="21"/>
              </w:rPr>
            </w:pPr>
            <w:r>
              <w:rPr>
                <w:rFonts w:hint="eastAsia" w:ascii="宋体" w:hAnsi="宋体" w:cs="宋体"/>
                <w:color w:val="auto"/>
                <w:szCs w:val="21"/>
              </w:rPr>
              <w:t>3.2</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1000单工位直线辊子输送单元</w:t>
            </w:r>
          </w:p>
        </w:tc>
        <w:tc>
          <w:tcPr>
            <w:tcW w:w="5050" w:type="dxa"/>
            <w:vAlign w:val="center"/>
          </w:tcPr>
          <w:p>
            <w:pPr>
              <w:rPr>
                <w:rFonts w:ascii="宋体" w:hAnsi="宋体" w:cs="宋体"/>
                <w:color w:val="auto"/>
                <w:szCs w:val="21"/>
              </w:rPr>
            </w:pPr>
            <w:r>
              <w:rPr>
                <w:rFonts w:hint="eastAsia" w:ascii="宋体" w:hAnsi="宋体" w:cs="宋体"/>
                <w:color w:val="auto"/>
                <w:szCs w:val="21"/>
              </w:rPr>
              <w:t>辊道式输送机用于运送灭菌车实现直线传送，具有结构紧凑、外形美观、维修方便的特点。</w:t>
            </w:r>
          </w:p>
          <w:p>
            <w:pPr>
              <w:rPr>
                <w:rFonts w:ascii="宋体" w:hAnsi="宋体" w:cs="宋体"/>
                <w:color w:val="auto"/>
                <w:szCs w:val="21"/>
              </w:rPr>
            </w:pPr>
            <w:r>
              <w:rPr>
                <w:rFonts w:hint="eastAsia" w:ascii="宋体" w:hAnsi="宋体" w:cs="宋体"/>
                <w:color w:val="auto"/>
                <w:szCs w:val="21"/>
              </w:rPr>
              <w:t>外型尺寸：≥1000×1060×725</w:t>
            </w:r>
          </w:p>
          <w:p>
            <w:pPr>
              <w:rPr>
                <w:rFonts w:ascii="宋体" w:hAnsi="宋体" w:cs="宋体"/>
                <w:color w:val="auto"/>
                <w:szCs w:val="21"/>
              </w:rPr>
            </w:pPr>
            <w:r>
              <w:rPr>
                <w:rFonts w:hint="eastAsia" w:ascii="宋体" w:hAnsi="宋体" w:cs="宋体"/>
                <w:color w:val="auto"/>
                <w:szCs w:val="21"/>
              </w:rPr>
              <w:t>辊子直径：≥45mm</w:t>
            </w:r>
          </w:p>
          <w:p>
            <w:pPr>
              <w:rPr>
                <w:rFonts w:ascii="宋体" w:hAnsi="宋体" w:cs="宋体"/>
                <w:color w:val="auto"/>
                <w:szCs w:val="21"/>
              </w:rPr>
            </w:pPr>
            <w:r>
              <w:rPr>
                <w:rFonts w:hint="eastAsia" w:ascii="宋体" w:hAnsi="宋体" w:cs="宋体"/>
                <w:color w:val="auto"/>
                <w:szCs w:val="21"/>
              </w:rPr>
              <w:t>辊子轴径：≥15mm</w:t>
            </w:r>
          </w:p>
          <w:p>
            <w:pPr>
              <w:rPr>
                <w:rFonts w:ascii="宋体" w:hAnsi="宋体" w:cs="宋体"/>
                <w:color w:val="auto"/>
                <w:szCs w:val="21"/>
              </w:rPr>
            </w:pPr>
            <w:r>
              <w:rPr>
                <w:rFonts w:hint="eastAsia" w:ascii="宋体" w:hAnsi="宋体" w:cs="宋体"/>
                <w:color w:val="auto"/>
                <w:szCs w:val="21"/>
              </w:rPr>
              <w:t>辊子间距：≥152.4mm</w:t>
            </w:r>
          </w:p>
          <w:p>
            <w:pPr>
              <w:rPr>
                <w:rFonts w:ascii="宋体" w:hAnsi="宋体" w:cs="宋体"/>
                <w:color w:val="auto"/>
                <w:szCs w:val="21"/>
              </w:rPr>
            </w:pPr>
            <w:r>
              <w:rPr>
                <w:rFonts w:hint="eastAsia" w:ascii="宋体" w:hAnsi="宋体" w:cs="宋体"/>
                <w:color w:val="auto"/>
                <w:szCs w:val="21"/>
              </w:rPr>
              <w:t>辊子有效宽：≥850mm</w:t>
            </w:r>
          </w:p>
          <w:p>
            <w:pPr>
              <w:rPr>
                <w:rFonts w:ascii="宋体" w:hAnsi="宋体" w:cs="宋体"/>
                <w:color w:val="auto"/>
                <w:szCs w:val="21"/>
              </w:rPr>
            </w:pPr>
            <w:r>
              <w:rPr>
                <w:rFonts w:hint="eastAsia" w:ascii="宋体" w:hAnsi="宋体" w:cs="宋体"/>
                <w:color w:val="auto"/>
                <w:szCs w:val="21"/>
              </w:rPr>
              <w:t>链条节距：≥12.7mm（08B）</w:t>
            </w:r>
          </w:p>
          <w:p>
            <w:pPr>
              <w:rPr>
                <w:rFonts w:ascii="宋体" w:hAnsi="宋体" w:cs="宋体"/>
                <w:color w:val="auto"/>
                <w:szCs w:val="21"/>
              </w:rPr>
            </w:pPr>
            <w:r>
              <w:rPr>
                <w:rFonts w:hint="eastAsia" w:ascii="宋体" w:hAnsi="宋体" w:cs="宋体"/>
                <w:color w:val="auto"/>
                <w:szCs w:val="21"/>
              </w:rPr>
              <w:t>辊子材质：不锈钢</w:t>
            </w:r>
          </w:p>
          <w:p>
            <w:pPr>
              <w:rPr>
                <w:rFonts w:ascii="宋体" w:hAnsi="宋体" w:cs="宋体"/>
                <w:color w:val="auto"/>
                <w:szCs w:val="21"/>
              </w:rPr>
            </w:pPr>
            <w:r>
              <w:rPr>
                <w:rFonts w:hint="eastAsia" w:ascii="宋体" w:hAnsi="宋体" w:cs="宋体"/>
                <w:color w:val="auto"/>
                <w:szCs w:val="21"/>
              </w:rPr>
              <w:t>功率：≤0.4kw</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widowControl/>
              <w:jc w:val="center"/>
              <w:rPr>
                <w:rFonts w:ascii="宋体" w:hAnsi="宋体" w:cs="宋体"/>
                <w:color w:val="auto"/>
                <w:szCs w:val="21"/>
              </w:rPr>
            </w:pPr>
            <w:r>
              <w:rPr>
                <w:rFonts w:hint="eastAsia" w:ascii="宋体" w:hAnsi="宋体" w:cs="宋体"/>
                <w:color w:val="auto"/>
                <w:szCs w:val="21"/>
              </w:rPr>
              <w:t>3.3</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1300单工位直线辊子输送单元</w:t>
            </w:r>
          </w:p>
        </w:tc>
        <w:tc>
          <w:tcPr>
            <w:tcW w:w="5050" w:type="dxa"/>
            <w:vAlign w:val="center"/>
          </w:tcPr>
          <w:p>
            <w:pPr>
              <w:rPr>
                <w:rFonts w:ascii="宋体" w:hAnsi="宋体" w:cs="宋体"/>
                <w:color w:val="auto"/>
                <w:szCs w:val="21"/>
              </w:rPr>
            </w:pPr>
            <w:r>
              <w:rPr>
                <w:rFonts w:hint="eastAsia" w:ascii="宋体" w:hAnsi="宋体" w:cs="宋体"/>
                <w:color w:val="auto"/>
                <w:szCs w:val="21"/>
              </w:rPr>
              <w:t>辊道式输送机用于运送灭菌车实现直线传送，具有结构紧凑、外形美观、维修方便的特点。</w:t>
            </w:r>
          </w:p>
          <w:p>
            <w:pPr>
              <w:rPr>
                <w:rFonts w:ascii="宋体" w:hAnsi="宋体" w:cs="宋体"/>
                <w:color w:val="auto"/>
                <w:szCs w:val="21"/>
              </w:rPr>
            </w:pPr>
            <w:r>
              <w:rPr>
                <w:rFonts w:hint="eastAsia" w:ascii="宋体" w:hAnsi="宋体" w:cs="宋体"/>
                <w:color w:val="auto"/>
                <w:szCs w:val="21"/>
              </w:rPr>
              <w:t>外型尺寸：≥1300×1060×725</w:t>
            </w:r>
          </w:p>
          <w:p>
            <w:pPr>
              <w:rPr>
                <w:rFonts w:ascii="宋体" w:hAnsi="宋体" w:cs="宋体"/>
                <w:color w:val="auto"/>
                <w:szCs w:val="21"/>
              </w:rPr>
            </w:pPr>
            <w:r>
              <w:rPr>
                <w:rFonts w:hint="eastAsia" w:ascii="宋体" w:hAnsi="宋体" w:cs="宋体"/>
                <w:color w:val="auto"/>
                <w:szCs w:val="21"/>
              </w:rPr>
              <w:t>辊子直径：≥45mm</w:t>
            </w:r>
          </w:p>
          <w:p>
            <w:pPr>
              <w:rPr>
                <w:rFonts w:ascii="宋体" w:hAnsi="宋体" w:cs="宋体"/>
                <w:color w:val="auto"/>
                <w:szCs w:val="21"/>
              </w:rPr>
            </w:pPr>
            <w:r>
              <w:rPr>
                <w:rFonts w:hint="eastAsia" w:ascii="宋体" w:hAnsi="宋体" w:cs="宋体"/>
                <w:color w:val="auto"/>
                <w:szCs w:val="21"/>
              </w:rPr>
              <w:t>辊子轴径：≥15mm</w:t>
            </w:r>
          </w:p>
          <w:p>
            <w:pPr>
              <w:rPr>
                <w:rFonts w:ascii="宋体" w:hAnsi="宋体" w:cs="宋体"/>
                <w:color w:val="auto"/>
                <w:szCs w:val="21"/>
              </w:rPr>
            </w:pPr>
            <w:r>
              <w:rPr>
                <w:rFonts w:hint="eastAsia" w:ascii="宋体" w:hAnsi="宋体" w:cs="宋体"/>
                <w:color w:val="auto"/>
                <w:szCs w:val="21"/>
              </w:rPr>
              <w:t>辊子间距：≥152.4mm</w:t>
            </w:r>
          </w:p>
          <w:p>
            <w:pPr>
              <w:rPr>
                <w:rFonts w:ascii="宋体" w:hAnsi="宋体" w:cs="宋体"/>
                <w:color w:val="auto"/>
                <w:szCs w:val="21"/>
              </w:rPr>
            </w:pPr>
            <w:r>
              <w:rPr>
                <w:rFonts w:hint="eastAsia" w:ascii="宋体" w:hAnsi="宋体" w:cs="宋体"/>
                <w:color w:val="auto"/>
                <w:szCs w:val="21"/>
              </w:rPr>
              <w:t>辊子有效宽：≥850mm</w:t>
            </w:r>
          </w:p>
          <w:p>
            <w:pPr>
              <w:rPr>
                <w:rFonts w:ascii="宋体" w:hAnsi="宋体" w:cs="宋体"/>
                <w:color w:val="auto"/>
                <w:szCs w:val="21"/>
              </w:rPr>
            </w:pPr>
            <w:r>
              <w:rPr>
                <w:rFonts w:hint="eastAsia" w:ascii="宋体" w:hAnsi="宋体" w:cs="宋体"/>
                <w:color w:val="auto"/>
                <w:szCs w:val="21"/>
              </w:rPr>
              <w:t>链条节距：≥12.7mm（08B）</w:t>
            </w:r>
          </w:p>
          <w:p>
            <w:pPr>
              <w:rPr>
                <w:rFonts w:ascii="宋体" w:hAnsi="宋体" w:cs="宋体"/>
                <w:color w:val="auto"/>
                <w:szCs w:val="21"/>
              </w:rPr>
            </w:pPr>
            <w:r>
              <w:rPr>
                <w:rFonts w:hint="eastAsia" w:ascii="宋体" w:hAnsi="宋体" w:cs="宋体"/>
                <w:color w:val="auto"/>
                <w:szCs w:val="21"/>
              </w:rPr>
              <w:t>辊子材质：不锈钢</w:t>
            </w:r>
          </w:p>
          <w:p>
            <w:pPr>
              <w:rPr>
                <w:rFonts w:ascii="宋体" w:hAnsi="宋体" w:cs="宋体"/>
                <w:color w:val="auto"/>
                <w:szCs w:val="21"/>
              </w:rPr>
            </w:pPr>
            <w:r>
              <w:rPr>
                <w:rFonts w:hint="eastAsia" w:ascii="宋体" w:hAnsi="宋体" w:cs="宋体"/>
                <w:color w:val="auto"/>
                <w:szCs w:val="21"/>
              </w:rPr>
              <w:t>功率：≤0.4kw</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szCs w:val="21"/>
              </w:rPr>
            </w:pPr>
            <w:r>
              <w:rPr>
                <w:rFonts w:hint="eastAsia" w:ascii="宋体" w:hAnsi="宋体" w:cs="宋体"/>
                <w:color w:val="auto"/>
                <w:szCs w:val="21"/>
              </w:rPr>
              <w:t>3.4</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2000单工位直线辊子输送单元</w:t>
            </w:r>
          </w:p>
        </w:tc>
        <w:tc>
          <w:tcPr>
            <w:tcW w:w="5050" w:type="dxa"/>
            <w:vAlign w:val="center"/>
          </w:tcPr>
          <w:p>
            <w:pPr>
              <w:rPr>
                <w:rFonts w:ascii="宋体" w:hAnsi="宋体" w:cs="宋体"/>
                <w:color w:val="auto"/>
                <w:szCs w:val="21"/>
              </w:rPr>
            </w:pPr>
            <w:r>
              <w:rPr>
                <w:rFonts w:hint="eastAsia" w:ascii="宋体" w:hAnsi="宋体" w:cs="宋体"/>
                <w:color w:val="auto"/>
                <w:szCs w:val="21"/>
              </w:rPr>
              <w:t>辊道式输送机用于运送灭菌车实现直线传送，具有结构紧凑、外形美观、维修方便的特点。</w:t>
            </w:r>
          </w:p>
          <w:p>
            <w:pPr>
              <w:rPr>
                <w:rFonts w:ascii="宋体" w:hAnsi="宋体" w:cs="宋体"/>
                <w:color w:val="auto"/>
                <w:szCs w:val="21"/>
              </w:rPr>
            </w:pPr>
            <w:r>
              <w:rPr>
                <w:rFonts w:hint="eastAsia" w:ascii="宋体" w:hAnsi="宋体" w:cs="宋体"/>
                <w:color w:val="auto"/>
                <w:szCs w:val="21"/>
              </w:rPr>
              <w:t>外型尺寸:≥ 2000×1060×725</w:t>
            </w:r>
          </w:p>
          <w:p>
            <w:pPr>
              <w:rPr>
                <w:rFonts w:ascii="宋体" w:hAnsi="宋体" w:cs="宋体"/>
                <w:color w:val="auto"/>
                <w:szCs w:val="21"/>
              </w:rPr>
            </w:pPr>
            <w:r>
              <w:rPr>
                <w:rFonts w:hint="eastAsia" w:ascii="宋体" w:hAnsi="宋体" w:cs="宋体"/>
                <w:color w:val="auto"/>
                <w:szCs w:val="21"/>
              </w:rPr>
              <w:t>辊子直径：≥45mm</w:t>
            </w:r>
          </w:p>
          <w:p>
            <w:pPr>
              <w:rPr>
                <w:rFonts w:ascii="宋体" w:hAnsi="宋体" w:cs="宋体"/>
                <w:color w:val="auto"/>
                <w:szCs w:val="21"/>
              </w:rPr>
            </w:pPr>
            <w:r>
              <w:rPr>
                <w:rFonts w:hint="eastAsia" w:ascii="宋体" w:hAnsi="宋体" w:cs="宋体"/>
                <w:color w:val="auto"/>
                <w:szCs w:val="21"/>
              </w:rPr>
              <w:t>辊子轴径：≥15mm</w:t>
            </w:r>
          </w:p>
          <w:p>
            <w:pPr>
              <w:rPr>
                <w:rFonts w:ascii="宋体" w:hAnsi="宋体" w:cs="宋体"/>
                <w:color w:val="auto"/>
                <w:szCs w:val="21"/>
              </w:rPr>
            </w:pPr>
            <w:r>
              <w:rPr>
                <w:rFonts w:hint="eastAsia" w:ascii="宋体" w:hAnsi="宋体" w:cs="宋体"/>
                <w:color w:val="auto"/>
                <w:szCs w:val="21"/>
              </w:rPr>
              <w:t>辊子间距：≥152.4mm</w:t>
            </w:r>
          </w:p>
          <w:p>
            <w:pPr>
              <w:rPr>
                <w:rFonts w:ascii="宋体" w:hAnsi="宋体" w:cs="宋体"/>
                <w:color w:val="auto"/>
                <w:szCs w:val="21"/>
              </w:rPr>
            </w:pPr>
            <w:r>
              <w:rPr>
                <w:rFonts w:hint="eastAsia" w:ascii="宋体" w:hAnsi="宋体" w:cs="宋体"/>
                <w:color w:val="auto"/>
                <w:szCs w:val="21"/>
              </w:rPr>
              <w:t>辊子有效宽：≥850mm</w:t>
            </w:r>
          </w:p>
          <w:p>
            <w:pPr>
              <w:rPr>
                <w:rFonts w:ascii="宋体" w:hAnsi="宋体" w:cs="宋体"/>
                <w:color w:val="auto"/>
                <w:szCs w:val="21"/>
              </w:rPr>
            </w:pPr>
            <w:r>
              <w:rPr>
                <w:rFonts w:hint="eastAsia" w:ascii="宋体" w:hAnsi="宋体" w:cs="宋体"/>
                <w:color w:val="auto"/>
                <w:szCs w:val="21"/>
              </w:rPr>
              <w:t>链条节距：≥12.7mm（08B）</w:t>
            </w:r>
          </w:p>
          <w:p>
            <w:pPr>
              <w:rPr>
                <w:rFonts w:ascii="宋体" w:hAnsi="宋体" w:cs="宋体"/>
                <w:color w:val="auto"/>
                <w:szCs w:val="21"/>
              </w:rPr>
            </w:pPr>
            <w:r>
              <w:rPr>
                <w:rFonts w:hint="eastAsia" w:ascii="宋体" w:hAnsi="宋体" w:cs="宋体"/>
                <w:color w:val="auto"/>
                <w:szCs w:val="21"/>
              </w:rPr>
              <w:t>辊子材质：不锈钢</w:t>
            </w:r>
          </w:p>
          <w:p>
            <w:pPr>
              <w:rPr>
                <w:rFonts w:ascii="宋体" w:hAnsi="宋体" w:cs="宋体"/>
                <w:color w:val="auto"/>
                <w:szCs w:val="21"/>
              </w:rPr>
            </w:pPr>
            <w:r>
              <w:rPr>
                <w:rFonts w:hint="eastAsia" w:ascii="宋体" w:hAnsi="宋体" w:cs="宋体"/>
                <w:color w:val="auto"/>
                <w:szCs w:val="21"/>
              </w:rPr>
              <w:t>功率：≤0.4kw</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szCs w:val="21"/>
              </w:rPr>
            </w:pPr>
            <w:r>
              <w:rPr>
                <w:rFonts w:hint="eastAsia" w:ascii="宋体" w:hAnsi="宋体" w:cs="宋体"/>
                <w:color w:val="auto"/>
                <w:szCs w:val="21"/>
              </w:rPr>
              <w:t>3.5</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2000双工位直线辊子输送单元</w:t>
            </w:r>
          </w:p>
        </w:tc>
        <w:tc>
          <w:tcPr>
            <w:tcW w:w="5050" w:type="dxa"/>
            <w:vAlign w:val="center"/>
          </w:tcPr>
          <w:p>
            <w:pPr>
              <w:rPr>
                <w:rFonts w:ascii="宋体" w:hAnsi="宋体" w:cs="宋体"/>
                <w:color w:val="auto"/>
                <w:szCs w:val="21"/>
              </w:rPr>
            </w:pPr>
            <w:r>
              <w:rPr>
                <w:rFonts w:hint="eastAsia" w:ascii="宋体" w:hAnsi="宋体" w:cs="宋体"/>
                <w:color w:val="auto"/>
                <w:szCs w:val="21"/>
              </w:rPr>
              <w:t>辊道式输送机用于运送灭菌车实现直线传送，具有结构紧凑、外形美观、维修方便的特点。</w:t>
            </w:r>
          </w:p>
          <w:p>
            <w:pPr>
              <w:rPr>
                <w:rFonts w:ascii="宋体" w:hAnsi="宋体" w:cs="宋体"/>
                <w:color w:val="auto"/>
                <w:szCs w:val="21"/>
              </w:rPr>
            </w:pPr>
            <w:r>
              <w:rPr>
                <w:rFonts w:hint="eastAsia" w:ascii="宋体" w:hAnsi="宋体" w:cs="宋体"/>
                <w:color w:val="auto"/>
                <w:szCs w:val="21"/>
              </w:rPr>
              <w:t>外型尺寸:≥ 2000×1060×725</w:t>
            </w:r>
          </w:p>
          <w:p>
            <w:pPr>
              <w:rPr>
                <w:rFonts w:ascii="宋体" w:hAnsi="宋体" w:cs="宋体"/>
                <w:color w:val="auto"/>
                <w:szCs w:val="21"/>
              </w:rPr>
            </w:pPr>
            <w:r>
              <w:rPr>
                <w:rFonts w:hint="eastAsia" w:ascii="宋体" w:hAnsi="宋体" w:cs="宋体"/>
                <w:color w:val="auto"/>
                <w:szCs w:val="21"/>
              </w:rPr>
              <w:t>辊子直径：≥45mm</w:t>
            </w:r>
          </w:p>
          <w:p>
            <w:pPr>
              <w:rPr>
                <w:rFonts w:ascii="宋体" w:hAnsi="宋体" w:cs="宋体"/>
                <w:color w:val="auto"/>
                <w:szCs w:val="21"/>
              </w:rPr>
            </w:pPr>
            <w:r>
              <w:rPr>
                <w:rFonts w:hint="eastAsia" w:ascii="宋体" w:hAnsi="宋体" w:cs="宋体"/>
                <w:color w:val="auto"/>
                <w:szCs w:val="21"/>
              </w:rPr>
              <w:t>辊子轴径：≥15mm</w:t>
            </w:r>
          </w:p>
          <w:p>
            <w:pPr>
              <w:rPr>
                <w:rFonts w:ascii="宋体" w:hAnsi="宋体" w:cs="宋体"/>
                <w:color w:val="auto"/>
                <w:szCs w:val="21"/>
              </w:rPr>
            </w:pPr>
            <w:r>
              <w:rPr>
                <w:rFonts w:hint="eastAsia" w:ascii="宋体" w:hAnsi="宋体" w:cs="宋体"/>
                <w:color w:val="auto"/>
                <w:szCs w:val="21"/>
              </w:rPr>
              <w:t>辊子间距：≥152.4mm</w:t>
            </w:r>
          </w:p>
          <w:p>
            <w:pPr>
              <w:rPr>
                <w:rFonts w:ascii="宋体" w:hAnsi="宋体" w:cs="宋体"/>
                <w:color w:val="auto"/>
                <w:szCs w:val="21"/>
              </w:rPr>
            </w:pPr>
            <w:r>
              <w:rPr>
                <w:rFonts w:hint="eastAsia" w:ascii="宋体" w:hAnsi="宋体" w:cs="宋体"/>
                <w:color w:val="auto"/>
                <w:szCs w:val="21"/>
              </w:rPr>
              <w:t>辊子有效宽：≥850mm</w:t>
            </w:r>
          </w:p>
          <w:p>
            <w:pPr>
              <w:rPr>
                <w:rFonts w:ascii="宋体" w:hAnsi="宋体" w:cs="宋体"/>
                <w:color w:val="auto"/>
                <w:szCs w:val="21"/>
              </w:rPr>
            </w:pPr>
            <w:r>
              <w:rPr>
                <w:rFonts w:hint="eastAsia" w:ascii="宋体" w:hAnsi="宋体" w:cs="宋体"/>
                <w:color w:val="auto"/>
                <w:szCs w:val="21"/>
              </w:rPr>
              <w:t>链条节距：≥12.7mm（08B）</w:t>
            </w:r>
          </w:p>
          <w:p>
            <w:pPr>
              <w:rPr>
                <w:rFonts w:ascii="宋体" w:hAnsi="宋体" w:cs="宋体"/>
                <w:color w:val="auto"/>
                <w:szCs w:val="21"/>
              </w:rPr>
            </w:pPr>
            <w:r>
              <w:rPr>
                <w:rFonts w:hint="eastAsia" w:ascii="宋体" w:hAnsi="宋体" w:cs="宋体"/>
                <w:color w:val="auto"/>
                <w:szCs w:val="21"/>
              </w:rPr>
              <w:t>辊子材质：不锈钢</w:t>
            </w:r>
          </w:p>
          <w:p>
            <w:pPr>
              <w:rPr>
                <w:rFonts w:ascii="宋体" w:hAnsi="宋体" w:cs="宋体"/>
                <w:color w:val="auto"/>
                <w:szCs w:val="21"/>
              </w:rPr>
            </w:pPr>
            <w:r>
              <w:rPr>
                <w:rFonts w:hint="eastAsia" w:ascii="宋体" w:hAnsi="宋体" w:cs="宋体"/>
                <w:color w:val="auto"/>
                <w:szCs w:val="21"/>
              </w:rPr>
              <w:t>功率：≤0.8kw</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szCs w:val="21"/>
              </w:rPr>
            </w:pPr>
            <w:r>
              <w:rPr>
                <w:rFonts w:hint="eastAsia" w:ascii="宋体" w:hAnsi="宋体" w:cs="宋体"/>
                <w:color w:val="auto"/>
                <w:szCs w:val="21"/>
              </w:rPr>
              <w:t>3.6</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2850单工位直线辊子输送单元</w:t>
            </w:r>
          </w:p>
        </w:tc>
        <w:tc>
          <w:tcPr>
            <w:tcW w:w="5050" w:type="dxa"/>
            <w:vAlign w:val="center"/>
          </w:tcPr>
          <w:p>
            <w:pPr>
              <w:rPr>
                <w:rFonts w:ascii="宋体" w:hAnsi="宋体" w:cs="宋体"/>
                <w:color w:val="auto"/>
                <w:szCs w:val="21"/>
              </w:rPr>
            </w:pPr>
            <w:r>
              <w:rPr>
                <w:rFonts w:hint="eastAsia" w:ascii="宋体" w:hAnsi="宋体" w:cs="宋体"/>
                <w:color w:val="auto"/>
                <w:szCs w:val="21"/>
              </w:rPr>
              <w:t>辊道式输送机用于运送灭菌车实现直线传送，具有结构紧凑、外形美观、维修方便的特点。</w:t>
            </w:r>
          </w:p>
          <w:p>
            <w:pPr>
              <w:rPr>
                <w:rFonts w:ascii="宋体" w:hAnsi="宋体" w:cs="宋体"/>
                <w:color w:val="auto"/>
                <w:szCs w:val="21"/>
              </w:rPr>
            </w:pPr>
            <w:r>
              <w:rPr>
                <w:rFonts w:hint="eastAsia" w:ascii="宋体" w:hAnsi="宋体" w:cs="宋体"/>
                <w:color w:val="auto"/>
                <w:szCs w:val="21"/>
              </w:rPr>
              <w:t>外型尺寸:≥ 2850×1060×725</w:t>
            </w:r>
          </w:p>
          <w:p>
            <w:pPr>
              <w:rPr>
                <w:rFonts w:ascii="宋体" w:hAnsi="宋体" w:cs="宋体"/>
                <w:color w:val="auto"/>
                <w:szCs w:val="21"/>
              </w:rPr>
            </w:pPr>
            <w:r>
              <w:rPr>
                <w:rFonts w:hint="eastAsia" w:ascii="宋体" w:hAnsi="宋体" w:cs="宋体"/>
                <w:color w:val="auto"/>
                <w:szCs w:val="21"/>
              </w:rPr>
              <w:t>辊子直径：≥45mm</w:t>
            </w:r>
          </w:p>
          <w:p>
            <w:pPr>
              <w:rPr>
                <w:rFonts w:ascii="宋体" w:hAnsi="宋体" w:cs="宋体"/>
                <w:color w:val="auto"/>
                <w:szCs w:val="21"/>
              </w:rPr>
            </w:pPr>
            <w:r>
              <w:rPr>
                <w:rFonts w:hint="eastAsia" w:ascii="宋体" w:hAnsi="宋体" w:cs="宋体"/>
                <w:color w:val="auto"/>
                <w:szCs w:val="21"/>
              </w:rPr>
              <w:t>辊子轴径：≥15mm</w:t>
            </w:r>
          </w:p>
          <w:p>
            <w:pPr>
              <w:rPr>
                <w:rFonts w:ascii="宋体" w:hAnsi="宋体" w:cs="宋体"/>
                <w:color w:val="auto"/>
                <w:szCs w:val="21"/>
              </w:rPr>
            </w:pPr>
            <w:r>
              <w:rPr>
                <w:rFonts w:hint="eastAsia" w:ascii="宋体" w:hAnsi="宋体" w:cs="宋体"/>
                <w:color w:val="auto"/>
                <w:szCs w:val="21"/>
              </w:rPr>
              <w:t>辊子间距：≥152.4mm</w:t>
            </w:r>
          </w:p>
          <w:p>
            <w:pPr>
              <w:rPr>
                <w:rFonts w:ascii="宋体" w:hAnsi="宋体" w:cs="宋体"/>
                <w:color w:val="auto"/>
                <w:szCs w:val="21"/>
              </w:rPr>
            </w:pPr>
            <w:r>
              <w:rPr>
                <w:rFonts w:hint="eastAsia" w:ascii="宋体" w:hAnsi="宋体" w:cs="宋体"/>
                <w:color w:val="auto"/>
                <w:szCs w:val="21"/>
              </w:rPr>
              <w:t>辊子有效宽：≥850mm</w:t>
            </w:r>
          </w:p>
          <w:p>
            <w:pPr>
              <w:rPr>
                <w:rFonts w:ascii="宋体" w:hAnsi="宋体" w:cs="宋体"/>
                <w:color w:val="auto"/>
                <w:szCs w:val="21"/>
              </w:rPr>
            </w:pPr>
            <w:r>
              <w:rPr>
                <w:rFonts w:hint="eastAsia" w:ascii="宋体" w:hAnsi="宋体" w:cs="宋体"/>
                <w:color w:val="auto"/>
                <w:szCs w:val="21"/>
              </w:rPr>
              <w:t>链条节距：≥12.7mm（08B）</w:t>
            </w:r>
          </w:p>
          <w:p>
            <w:pPr>
              <w:rPr>
                <w:rFonts w:ascii="宋体" w:hAnsi="宋体" w:cs="宋体"/>
                <w:color w:val="auto"/>
                <w:szCs w:val="21"/>
              </w:rPr>
            </w:pPr>
            <w:r>
              <w:rPr>
                <w:rFonts w:hint="eastAsia" w:ascii="宋体" w:hAnsi="宋体" w:cs="宋体"/>
                <w:color w:val="auto"/>
                <w:szCs w:val="21"/>
              </w:rPr>
              <w:t>辊子材质：不锈钢</w:t>
            </w:r>
          </w:p>
          <w:p>
            <w:pPr>
              <w:rPr>
                <w:rFonts w:ascii="宋体" w:hAnsi="宋体" w:cs="宋体"/>
                <w:color w:val="auto"/>
                <w:szCs w:val="21"/>
              </w:rPr>
            </w:pPr>
            <w:r>
              <w:rPr>
                <w:rFonts w:hint="eastAsia" w:ascii="宋体" w:hAnsi="宋体" w:cs="宋体"/>
                <w:color w:val="auto"/>
                <w:szCs w:val="21"/>
              </w:rPr>
              <w:t>功率：≤0.4kw</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kern w:val="0"/>
                <w:szCs w:val="21"/>
              </w:rPr>
            </w:pPr>
            <w:r>
              <w:rPr>
                <w:rFonts w:hint="eastAsia" w:ascii="宋体" w:hAnsi="宋体" w:cs="宋体"/>
                <w:color w:val="auto"/>
                <w:szCs w:val="21"/>
              </w:rPr>
              <w:t>3.7</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灭菌车旋转输送台</w:t>
            </w:r>
          </w:p>
        </w:tc>
        <w:tc>
          <w:tcPr>
            <w:tcW w:w="5050" w:type="dxa"/>
            <w:vAlign w:val="center"/>
          </w:tcPr>
          <w:p>
            <w:pPr>
              <w:rPr>
                <w:rFonts w:ascii="宋体" w:hAnsi="宋体" w:cs="宋体"/>
                <w:color w:val="auto"/>
                <w:szCs w:val="21"/>
              </w:rPr>
            </w:pPr>
            <w:r>
              <w:rPr>
                <w:rFonts w:hint="eastAsia" w:ascii="宋体" w:hAnsi="宋体" w:cs="宋体"/>
                <w:color w:val="auto"/>
                <w:szCs w:val="21"/>
              </w:rPr>
              <w:t>旋转输送台用于灭菌车输送过程中的转向，旋转角度为90°，具有结构紧凑、外形美观、维修方便的特点，其输送部分为辊道。</w:t>
            </w:r>
          </w:p>
          <w:p>
            <w:pPr>
              <w:rPr>
                <w:rFonts w:ascii="宋体" w:hAnsi="宋体" w:cs="宋体"/>
                <w:color w:val="auto"/>
                <w:szCs w:val="21"/>
              </w:rPr>
            </w:pPr>
            <w:r>
              <w:rPr>
                <w:rFonts w:hint="eastAsia" w:ascii="宋体" w:hAnsi="宋体" w:cs="宋体"/>
                <w:color w:val="auto"/>
                <w:szCs w:val="21"/>
              </w:rPr>
              <w:t>辊子直径：≥45mm</w:t>
            </w:r>
          </w:p>
          <w:p>
            <w:pPr>
              <w:rPr>
                <w:rFonts w:ascii="宋体" w:hAnsi="宋体" w:cs="宋体"/>
                <w:color w:val="auto"/>
                <w:szCs w:val="21"/>
              </w:rPr>
            </w:pPr>
            <w:r>
              <w:rPr>
                <w:rFonts w:hint="eastAsia" w:ascii="宋体" w:hAnsi="宋体" w:cs="宋体"/>
                <w:color w:val="auto"/>
                <w:szCs w:val="21"/>
              </w:rPr>
              <w:t>辊子轴径：≥15mm</w:t>
            </w:r>
          </w:p>
          <w:p>
            <w:pPr>
              <w:rPr>
                <w:rFonts w:ascii="宋体" w:hAnsi="宋体" w:cs="宋体"/>
                <w:color w:val="auto"/>
                <w:szCs w:val="21"/>
              </w:rPr>
            </w:pPr>
            <w:r>
              <w:rPr>
                <w:rFonts w:hint="eastAsia" w:ascii="宋体" w:hAnsi="宋体" w:cs="宋体"/>
                <w:color w:val="auto"/>
                <w:szCs w:val="21"/>
              </w:rPr>
              <w:t>辊子间距：≥152.4mm</w:t>
            </w:r>
          </w:p>
          <w:p>
            <w:pPr>
              <w:rPr>
                <w:rFonts w:ascii="宋体" w:hAnsi="宋体" w:cs="宋体"/>
                <w:color w:val="auto"/>
                <w:szCs w:val="21"/>
              </w:rPr>
            </w:pPr>
            <w:r>
              <w:rPr>
                <w:rFonts w:hint="eastAsia" w:ascii="宋体" w:hAnsi="宋体" w:cs="宋体"/>
                <w:color w:val="auto"/>
                <w:szCs w:val="21"/>
              </w:rPr>
              <w:t>辊子有效宽：≥850mm</w:t>
            </w:r>
          </w:p>
          <w:p>
            <w:pPr>
              <w:rPr>
                <w:rFonts w:ascii="宋体" w:hAnsi="宋体" w:cs="宋体"/>
                <w:color w:val="auto"/>
                <w:szCs w:val="21"/>
              </w:rPr>
            </w:pPr>
            <w:r>
              <w:rPr>
                <w:rFonts w:hint="eastAsia" w:ascii="宋体" w:hAnsi="宋体" w:cs="宋体"/>
                <w:color w:val="auto"/>
                <w:szCs w:val="21"/>
              </w:rPr>
              <w:t>链条节距：≥12.7mm（08B）</w:t>
            </w:r>
          </w:p>
          <w:p>
            <w:pPr>
              <w:rPr>
                <w:rFonts w:ascii="宋体" w:hAnsi="宋体" w:cs="宋体"/>
                <w:color w:val="auto"/>
                <w:szCs w:val="21"/>
              </w:rPr>
            </w:pPr>
            <w:r>
              <w:rPr>
                <w:rFonts w:hint="eastAsia" w:ascii="宋体" w:hAnsi="宋体" w:cs="宋体"/>
                <w:color w:val="auto"/>
                <w:szCs w:val="21"/>
              </w:rPr>
              <w:t>辊道电机功率：≤0.4kw</w:t>
            </w:r>
          </w:p>
          <w:p>
            <w:pPr>
              <w:rPr>
                <w:rFonts w:ascii="宋体" w:hAnsi="宋体" w:cs="宋体"/>
                <w:color w:val="auto"/>
                <w:szCs w:val="21"/>
              </w:rPr>
            </w:pPr>
            <w:r>
              <w:rPr>
                <w:rFonts w:hint="eastAsia" w:ascii="宋体" w:hAnsi="宋体" w:cs="宋体"/>
                <w:color w:val="auto"/>
                <w:szCs w:val="21"/>
              </w:rPr>
              <w:t>转向电机功率：≤0.37kw</w:t>
            </w:r>
          </w:p>
          <w:p>
            <w:pPr>
              <w:rPr>
                <w:rFonts w:ascii="宋体" w:hAnsi="宋体" w:cs="宋体"/>
                <w:color w:val="auto"/>
                <w:szCs w:val="21"/>
              </w:rPr>
            </w:pPr>
            <w:r>
              <w:rPr>
                <w:rFonts w:hint="eastAsia" w:ascii="宋体" w:hAnsi="宋体" w:cs="宋体"/>
                <w:color w:val="auto"/>
                <w:szCs w:val="21"/>
              </w:rPr>
              <w:t>辊子材质：不锈钢</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kern w:val="0"/>
                <w:szCs w:val="21"/>
              </w:rPr>
            </w:pPr>
            <w:r>
              <w:rPr>
                <w:rFonts w:hint="eastAsia" w:ascii="宋体" w:hAnsi="宋体" w:cs="宋体"/>
                <w:color w:val="auto"/>
                <w:szCs w:val="21"/>
              </w:rPr>
              <w:t>3.8</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自动进出装置</w:t>
            </w:r>
          </w:p>
        </w:tc>
        <w:tc>
          <w:tcPr>
            <w:tcW w:w="5050" w:type="dxa"/>
            <w:vAlign w:val="center"/>
          </w:tcPr>
          <w:p>
            <w:pPr>
              <w:rPr>
                <w:rFonts w:ascii="宋体" w:hAnsi="宋体" w:cs="宋体"/>
                <w:color w:val="auto"/>
                <w:szCs w:val="21"/>
              </w:rPr>
            </w:pPr>
            <w:r>
              <w:rPr>
                <w:rFonts w:hint="eastAsia" w:ascii="宋体" w:hAnsi="宋体" w:cs="宋体"/>
                <w:color w:val="auto"/>
                <w:szCs w:val="21"/>
              </w:rPr>
              <w:t>自动进出装置用于将灭菌车推进或勾出灭菌器内，实现无人操作。采用齿轮齿条啮合传动输出动力，结构紧凑、运行平稳、定位准确、维修方便。</w:t>
            </w:r>
          </w:p>
          <w:p>
            <w:pPr>
              <w:rPr>
                <w:rFonts w:ascii="宋体" w:hAnsi="宋体" w:cs="宋体"/>
                <w:color w:val="auto"/>
                <w:szCs w:val="21"/>
              </w:rPr>
            </w:pPr>
            <w:r>
              <w:rPr>
                <w:rFonts w:hint="eastAsia" w:ascii="宋体" w:hAnsi="宋体" w:cs="宋体"/>
                <w:color w:val="auto"/>
                <w:szCs w:val="21"/>
              </w:rPr>
              <w:t>辊子直径 ：≥45mm</w:t>
            </w:r>
          </w:p>
          <w:p>
            <w:pPr>
              <w:rPr>
                <w:rFonts w:ascii="宋体" w:hAnsi="宋体" w:cs="宋体"/>
                <w:color w:val="auto"/>
                <w:szCs w:val="21"/>
              </w:rPr>
            </w:pPr>
            <w:r>
              <w:rPr>
                <w:rFonts w:hint="eastAsia" w:ascii="宋体" w:hAnsi="宋体" w:cs="宋体"/>
                <w:color w:val="auto"/>
                <w:szCs w:val="21"/>
              </w:rPr>
              <w:t>辊子轴径 ：≥15mm</w:t>
            </w:r>
          </w:p>
          <w:p>
            <w:pPr>
              <w:rPr>
                <w:rFonts w:ascii="宋体" w:hAnsi="宋体" w:cs="宋体"/>
                <w:color w:val="auto"/>
                <w:szCs w:val="21"/>
              </w:rPr>
            </w:pPr>
            <w:r>
              <w:rPr>
                <w:rFonts w:hint="eastAsia" w:ascii="宋体" w:hAnsi="宋体" w:cs="宋体"/>
                <w:color w:val="auto"/>
                <w:szCs w:val="21"/>
              </w:rPr>
              <w:t>辊子间距 ：≥152.4mm</w:t>
            </w:r>
          </w:p>
          <w:p>
            <w:pPr>
              <w:rPr>
                <w:rFonts w:ascii="宋体" w:hAnsi="宋体" w:cs="宋体"/>
                <w:color w:val="auto"/>
                <w:szCs w:val="21"/>
              </w:rPr>
            </w:pPr>
            <w:r>
              <w:rPr>
                <w:rFonts w:hint="eastAsia" w:ascii="宋体" w:hAnsi="宋体" w:cs="宋体"/>
                <w:color w:val="auto"/>
                <w:szCs w:val="21"/>
              </w:rPr>
              <w:t>辊子有效宽 ：≥850mm</w:t>
            </w:r>
          </w:p>
          <w:p>
            <w:pPr>
              <w:rPr>
                <w:rFonts w:ascii="宋体" w:hAnsi="宋体" w:cs="宋体"/>
                <w:color w:val="auto"/>
                <w:szCs w:val="21"/>
              </w:rPr>
            </w:pPr>
            <w:r>
              <w:rPr>
                <w:rFonts w:hint="eastAsia" w:ascii="宋体" w:hAnsi="宋体" w:cs="宋体"/>
                <w:color w:val="auto"/>
                <w:szCs w:val="21"/>
              </w:rPr>
              <w:t>链条节距 ：≥12.7mm（10A）</w:t>
            </w:r>
          </w:p>
          <w:p>
            <w:pPr>
              <w:rPr>
                <w:rFonts w:ascii="宋体" w:hAnsi="宋体" w:cs="宋体"/>
                <w:color w:val="auto"/>
                <w:szCs w:val="21"/>
              </w:rPr>
            </w:pPr>
            <w:r>
              <w:rPr>
                <w:rFonts w:hint="eastAsia" w:ascii="宋体" w:hAnsi="宋体" w:cs="宋体"/>
                <w:color w:val="auto"/>
                <w:szCs w:val="21"/>
              </w:rPr>
              <w:t>辊道电机功率：≤0.4kw</w:t>
            </w:r>
          </w:p>
          <w:p>
            <w:pPr>
              <w:rPr>
                <w:rFonts w:ascii="宋体" w:hAnsi="宋体" w:cs="宋体"/>
                <w:color w:val="auto"/>
                <w:szCs w:val="21"/>
              </w:rPr>
            </w:pPr>
            <w:r>
              <w:rPr>
                <w:rFonts w:hint="eastAsia" w:ascii="宋体" w:hAnsi="宋体" w:cs="宋体"/>
                <w:color w:val="auto"/>
                <w:szCs w:val="21"/>
              </w:rPr>
              <w:t>推进电机功率：≤0.75kw</w:t>
            </w:r>
          </w:p>
          <w:p>
            <w:pPr>
              <w:rPr>
                <w:rFonts w:ascii="宋体" w:hAnsi="宋体" w:cs="宋体"/>
                <w:color w:val="auto"/>
                <w:szCs w:val="21"/>
              </w:rPr>
            </w:pPr>
            <w:r>
              <w:rPr>
                <w:rFonts w:hint="eastAsia" w:ascii="宋体" w:hAnsi="宋体" w:cs="宋体"/>
                <w:color w:val="auto"/>
                <w:szCs w:val="21"/>
              </w:rPr>
              <w:t>辊子材质：不锈钢</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kern w:val="0"/>
                <w:szCs w:val="21"/>
              </w:rPr>
            </w:pPr>
            <w:r>
              <w:rPr>
                <w:rFonts w:hint="eastAsia" w:ascii="宋体" w:hAnsi="宋体" w:cs="宋体"/>
                <w:color w:val="auto"/>
                <w:szCs w:val="21"/>
              </w:rPr>
              <w:t>3.9</w:t>
            </w:r>
          </w:p>
        </w:tc>
        <w:tc>
          <w:tcPr>
            <w:tcW w:w="1588" w:type="dxa"/>
            <w:vAlign w:val="center"/>
          </w:tcPr>
          <w:p>
            <w:pPr>
              <w:widowControl/>
              <w:jc w:val="center"/>
              <w:rPr>
                <w:rFonts w:ascii="宋体" w:hAnsi="宋体" w:cs="宋体"/>
                <w:color w:val="auto"/>
                <w:szCs w:val="21"/>
              </w:rPr>
            </w:pPr>
            <w:r>
              <w:rPr>
                <w:rFonts w:hint="eastAsia" w:ascii="宋体" w:hAnsi="宋体" w:cs="宋体"/>
                <w:color w:val="auto"/>
                <w:szCs w:val="21"/>
              </w:rPr>
              <w:t>松料装置</w:t>
            </w:r>
          </w:p>
        </w:tc>
        <w:tc>
          <w:tcPr>
            <w:tcW w:w="5050" w:type="dxa"/>
            <w:vAlign w:val="center"/>
          </w:tcPr>
          <w:p>
            <w:pPr>
              <w:rPr>
                <w:rFonts w:ascii="宋体" w:hAnsi="宋体" w:cs="宋体"/>
                <w:color w:val="auto"/>
                <w:szCs w:val="21"/>
              </w:rPr>
            </w:pPr>
            <w:r>
              <w:rPr>
                <w:rFonts w:hint="eastAsia" w:ascii="宋体" w:hAnsi="宋体" w:cs="宋体"/>
                <w:color w:val="auto"/>
                <w:szCs w:val="21"/>
              </w:rPr>
              <w:t>自动松料机构设置于卸料机前面工位，用于将灭菌车内框提升一定高度，使车内物料与内壁剥离，彻底解决物料粘连难题，该机构采用双气缸左右顶升结构，顶升力度大，行程可靠，无需操作人员干预。</w:t>
            </w:r>
          </w:p>
          <w:p>
            <w:pPr>
              <w:pStyle w:val="7"/>
              <w:ind w:firstLine="0"/>
              <w:rPr>
                <w:rFonts w:ascii="宋体" w:hAnsi="宋体" w:cs="宋体"/>
                <w:color w:val="auto"/>
                <w:szCs w:val="21"/>
              </w:rPr>
            </w:pPr>
            <w:r>
              <w:rPr>
                <w:rFonts w:hint="eastAsia" w:ascii="宋体" w:hAnsi="宋体" w:cs="宋体"/>
                <w:color w:val="auto"/>
                <w:szCs w:val="21"/>
              </w:rPr>
              <w:t>动力来源：气缸</w:t>
            </w:r>
          </w:p>
          <w:p>
            <w:pPr>
              <w:pStyle w:val="7"/>
              <w:ind w:firstLine="0"/>
              <w:rPr>
                <w:rFonts w:ascii="宋体" w:hAnsi="宋体" w:cs="宋体"/>
                <w:color w:val="auto"/>
                <w:szCs w:val="21"/>
              </w:rPr>
            </w:pPr>
            <w:r>
              <w:rPr>
                <w:rFonts w:hint="eastAsia" w:ascii="宋体" w:hAnsi="宋体" w:cs="宋体"/>
                <w:color w:val="auto"/>
                <w:szCs w:val="21"/>
              </w:rPr>
              <w:t>气缸数量：2</w:t>
            </w:r>
          </w:p>
          <w:p>
            <w:pPr>
              <w:pStyle w:val="7"/>
              <w:ind w:firstLine="0"/>
              <w:rPr>
                <w:rFonts w:ascii="宋体" w:hAnsi="宋体" w:cs="宋体"/>
                <w:color w:val="auto"/>
                <w:szCs w:val="21"/>
              </w:rPr>
            </w:pPr>
            <w:r>
              <w:rPr>
                <w:rFonts w:hint="eastAsia" w:ascii="宋体" w:hAnsi="宋体" w:cs="宋体"/>
                <w:color w:val="auto"/>
                <w:szCs w:val="21"/>
              </w:rPr>
              <w:t>气缸缸径：≥100mm</w:t>
            </w:r>
          </w:p>
          <w:p>
            <w:pPr>
              <w:pStyle w:val="7"/>
              <w:ind w:firstLine="0"/>
              <w:rPr>
                <w:rFonts w:ascii="宋体" w:hAnsi="宋体" w:cs="宋体"/>
                <w:color w:val="auto"/>
                <w:szCs w:val="21"/>
              </w:rPr>
            </w:pPr>
            <w:r>
              <w:rPr>
                <w:rFonts w:hint="eastAsia" w:ascii="宋体" w:hAnsi="宋体" w:cs="宋体"/>
                <w:color w:val="auto"/>
                <w:szCs w:val="21"/>
              </w:rPr>
              <w:t>气缸行程：≥450mm</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kern w:val="0"/>
                <w:szCs w:val="21"/>
              </w:rPr>
            </w:pPr>
            <w:r>
              <w:rPr>
                <w:rFonts w:hint="eastAsia" w:ascii="宋体" w:hAnsi="宋体" w:cs="宋体"/>
                <w:color w:val="auto"/>
                <w:szCs w:val="21"/>
              </w:rPr>
              <w:t>3.10</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自动进出车卸料提升机</w:t>
            </w:r>
          </w:p>
        </w:tc>
        <w:tc>
          <w:tcPr>
            <w:tcW w:w="5050" w:type="dxa"/>
            <w:vAlign w:val="center"/>
          </w:tcPr>
          <w:p>
            <w:pPr>
              <w:rPr>
                <w:rFonts w:ascii="宋体" w:hAnsi="宋体" w:cs="宋体"/>
                <w:color w:val="auto"/>
                <w:szCs w:val="21"/>
              </w:rPr>
            </w:pPr>
            <w:r>
              <w:rPr>
                <w:rFonts w:hint="eastAsia" w:ascii="宋体" w:hAnsi="宋体" w:cs="宋体"/>
                <w:color w:val="auto"/>
                <w:szCs w:val="21"/>
              </w:rPr>
              <w:t>自动进出车卸料提升机实现灭菌车的提升及翻转，将车内物料倒入破碎机料斗内。提升筐上装有输送设备，与出入口输送设备相配合，使输送过程实现完全自动化。</w:t>
            </w:r>
          </w:p>
          <w:p>
            <w:pPr>
              <w:rPr>
                <w:rFonts w:ascii="宋体" w:hAnsi="宋体" w:cs="宋体"/>
                <w:color w:val="auto"/>
                <w:szCs w:val="21"/>
              </w:rPr>
            </w:pPr>
            <w:r>
              <w:rPr>
                <w:rFonts w:hint="eastAsia" w:ascii="宋体" w:hAnsi="宋体" w:cs="宋体"/>
                <w:color w:val="auto"/>
                <w:szCs w:val="21"/>
              </w:rPr>
              <w:t>链条节距：≥25.4mm</w:t>
            </w:r>
          </w:p>
          <w:p>
            <w:pPr>
              <w:rPr>
                <w:rFonts w:ascii="宋体" w:hAnsi="宋体" w:cs="宋体"/>
                <w:color w:val="auto"/>
                <w:szCs w:val="21"/>
              </w:rPr>
            </w:pPr>
            <w:r>
              <w:rPr>
                <w:rFonts w:hint="eastAsia" w:ascii="宋体" w:hAnsi="宋体" w:cs="宋体"/>
                <w:color w:val="auto"/>
                <w:szCs w:val="21"/>
              </w:rPr>
              <w:t>额定最高输送速度：≥9m/min</w:t>
            </w:r>
          </w:p>
          <w:p>
            <w:pPr>
              <w:rPr>
                <w:rFonts w:ascii="宋体" w:hAnsi="宋体" w:cs="宋体"/>
                <w:color w:val="auto"/>
                <w:szCs w:val="21"/>
              </w:rPr>
            </w:pPr>
            <w:r>
              <w:rPr>
                <w:rFonts w:hint="eastAsia" w:ascii="宋体" w:hAnsi="宋体" w:cs="宋体"/>
                <w:color w:val="auto"/>
                <w:szCs w:val="21"/>
              </w:rPr>
              <w:t>辊道电机功率：≤0.4kw</w:t>
            </w:r>
          </w:p>
          <w:p>
            <w:pPr>
              <w:rPr>
                <w:rFonts w:ascii="宋体" w:hAnsi="宋体" w:cs="宋体"/>
                <w:color w:val="auto"/>
                <w:szCs w:val="21"/>
              </w:rPr>
            </w:pPr>
            <w:r>
              <w:rPr>
                <w:rFonts w:hint="eastAsia" w:ascii="宋体" w:hAnsi="宋体" w:cs="宋体"/>
                <w:color w:val="auto"/>
                <w:szCs w:val="21"/>
              </w:rPr>
              <w:t>提升电机功率：≤2.2kw</w:t>
            </w:r>
          </w:p>
          <w:p>
            <w:pPr>
              <w:rPr>
                <w:rFonts w:ascii="宋体" w:hAnsi="宋体" w:cs="宋体"/>
                <w:color w:val="auto"/>
                <w:szCs w:val="21"/>
              </w:rPr>
            </w:pPr>
            <w:r>
              <w:rPr>
                <w:rFonts w:hint="eastAsia" w:ascii="宋体" w:hAnsi="宋体" w:cs="宋体"/>
                <w:color w:val="auto"/>
                <w:szCs w:val="21"/>
              </w:rPr>
              <w:t>提升高度为：3.0-5米</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kern w:val="0"/>
                <w:szCs w:val="21"/>
              </w:rPr>
            </w:pPr>
            <w:r>
              <w:rPr>
                <w:rFonts w:hint="eastAsia" w:ascii="宋体" w:hAnsi="宋体" w:cs="宋体"/>
                <w:color w:val="auto"/>
                <w:szCs w:val="21"/>
              </w:rPr>
              <w:t>3.11</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钢梯</w:t>
            </w:r>
          </w:p>
        </w:tc>
        <w:tc>
          <w:tcPr>
            <w:tcW w:w="5050" w:type="dxa"/>
            <w:vAlign w:val="center"/>
          </w:tcPr>
          <w:p>
            <w:pPr>
              <w:rPr>
                <w:rFonts w:ascii="宋体" w:hAnsi="宋体" w:cs="宋体"/>
                <w:color w:val="auto"/>
                <w:szCs w:val="21"/>
              </w:rPr>
            </w:pPr>
            <w:r>
              <w:rPr>
                <w:rFonts w:hint="eastAsia" w:ascii="宋体" w:hAnsi="宋体" w:cs="宋体"/>
                <w:color w:val="auto"/>
                <w:szCs w:val="21"/>
              </w:rPr>
              <w:t>实现车间内自动轨道之间的跨越，为检修维护提供便利，踏板应采用轧花钢板，外观应美观，与系统色调一致。</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套</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kern w:val="0"/>
                <w:szCs w:val="21"/>
              </w:rPr>
            </w:pPr>
            <w:r>
              <w:rPr>
                <w:rFonts w:hint="eastAsia" w:ascii="宋体" w:hAnsi="宋体" w:cs="宋体"/>
                <w:color w:val="auto"/>
                <w:szCs w:val="21"/>
              </w:rPr>
              <w:t>3.12</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电气控制系统</w:t>
            </w:r>
          </w:p>
        </w:tc>
        <w:tc>
          <w:tcPr>
            <w:tcW w:w="5050" w:type="dxa"/>
            <w:vAlign w:val="center"/>
          </w:tcPr>
          <w:p>
            <w:pPr>
              <w:rPr>
                <w:rFonts w:ascii="宋体" w:hAnsi="宋体" w:cs="宋体"/>
                <w:color w:val="auto"/>
                <w:szCs w:val="21"/>
              </w:rPr>
            </w:pPr>
            <w:r>
              <w:rPr>
                <w:rFonts w:hint="eastAsia" w:ascii="宋体" w:hAnsi="宋体" w:cs="宋体"/>
                <w:color w:val="auto"/>
                <w:szCs w:val="21"/>
              </w:rPr>
              <w:t>控制系统由可编程控制器PLC、手动装置、传感元件、高灵敏的温度与压力探测装置、调节控制阀、报警装置、电气部件、测控部件、上位机、自动记录及数据打印系统等设备组成。</w:t>
            </w:r>
          </w:p>
          <w:p>
            <w:pPr>
              <w:rPr>
                <w:rFonts w:ascii="宋体" w:hAnsi="宋体" w:cs="宋体"/>
                <w:color w:val="auto"/>
                <w:szCs w:val="21"/>
              </w:rPr>
            </w:pPr>
            <w:r>
              <w:rPr>
                <w:rFonts w:hint="eastAsia" w:ascii="宋体" w:hAnsi="宋体" w:cs="宋体"/>
                <w:color w:val="auto"/>
                <w:szCs w:val="21"/>
              </w:rPr>
              <w:t>上位机、下位机采用高可靠性耐用元器件。操作部位设有应急按钮，采用单独控制柜安装，所有的控制仪表的技术指标、精度与寿命均符合相应的国家标准或行业标准的规定。</w:t>
            </w:r>
          </w:p>
          <w:p>
            <w:pPr>
              <w:rPr>
                <w:rFonts w:ascii="宋体" w:hAnsi="宋体" w:cs="宋体"/>
                <w:color w:val="auto"/>
                <w:szCs w:val="21"/>
              </w:rPr>
            </w:pPr>
            <w:r>
              <w:rPr>
                <w:rFonts w:hint="eastAsia" w:ascii="宋体" w:hAnsi="宋体" w:cs="宋体"/>
                <w:color w:val="auto"/>
                <w:szCs w:val="21"/>
              </w:rPr>
              <w:t>控制系统应具有但不限于的功能：</w:t>
            </w:r>
          </w:p>
          <w:p>
            <w:pPr>
              <w:rPr>
                <w:rFonts w:ascii="宋体" w:hAnsi="宋体" w:cs="宋体"/>
                <w:color w:val="auto"/>
                <w:szCs w:val="21"/>
              </w:rPr>
            </w:pPr>
            <w:r>
              <w:rPr>
                <w:rFonts w:hint="eastAsia" w:ascii="宋体" w:hAnsi="宋体" w:cs="宋体"/>
                <w:color w:val="auto"/>
                <w:szCs w:val="21"/>
              </w:rPr>
              <w:t>①整个工艺流程和各技术过程的全自动控制。</w:t>
            </w:r>
          </w:p>
          <w:p>
            <w:pPr>
              <w:rPr>
                <w:rFonts w:ascii="宋体" w:hAnsi="宋体" w:cs="宋体"/>
                <w:color w:val="auto"/>
                <w:szCs w:val="21"/>
              </w:rPr>
            </w:pPr>
            <w:r>
              <w:rPr>
                <w:rFonts w:hint="eastAsia" w:ascii="宋体" w:hAnsi="宋体" w:cs="宋体"/>
                <w:color w:val="auto"/>
                <w:szCs w:val="21"/>
              </w:rPr>
              <w:t>②处置过程状态显示与异常状态警示功能。</w:t>
            </w:r>
          </w:p>
          <w:p>
            <w:pPr>
              <w:rPr>
                <w:rFonts w:ascii="宋体" w:hAnsi="宋体" w:cs="宋体"/>
                <w:color w:val="auto"/>
                <w:szCs w:val="21"/>
              </w:rPr>
            </w:pPr>
            <w:r>
              <w:rPr>
                <w:rFonts w:hint="eastAsia" w:ascii="宋体" w:hAnsi="宋体" w:cs="宋体"/>
                <w:color w:val="auto"/>
                <w:szCs w:val="21"/>
              </w:rPr>
              <w:t>③消毒灭菌处理各个阶段的人工操作模式功能。</w:t>
            </w:r>
          </w:p>
          <w:p>
            <w:pPr>
              <w:rPr>
                <w:rFonts w:ascii="宋体" w:hAnsi="宋体" w:cs="宋体"/>
                <w:color w:val="auto"/>
                <w:szCs w:val="21"/>
              </w:rPr>
            </w:pPr>
            <w:r>
              <w:rPr>
                <w:rFonts w:hint="eastAsia" w:ascii="宋体" w:hAnsi="宋体" w:cs="宋体"/>
                <w:color w:val="auto"/>
                <w:szCs w:val="21"/>
              </w:rPr>
              <w:t>④远程在线监控功能。</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套</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widowControl/>
              <w:jc w:val="center"/>
              <w:rPr>
                <w:rFonts w:ascii="宋体" w:hAnsi="宋体" w:cs="宋体"/>
                <w:color w:val="auto"/>
                <w:kern w:val="0"/>
                <w:szCs w:val="21"/>
              </w:rPr>
            </w:pPr>
            <w:r>
              <w:rPr>
                <w:rFonts w:hint="eastAsia" w:ascii="宋体" w:hAnsi="宋体" w:cs="宋体"/>
                <w:b/>
                <w:bCs/>
                <w:color w:val="auto"/>
                <w:szCs w:val="21"/>
              </w:rPr>
              <w:t>四</w:t>
            </w:r>
          </w:p>
        </w:tc>
        <w:tc>
          <w:tcPr>
            <w:tcW w:w="8279" w:type="dxa"/>
            <w:gridSpan w:val="4"/>
            <w:vAlign w:val="center"/>
          </w:tcPr>
          <w:p>
            <w:pPr>
              <w:widowControl/>
              <w:jc w:val="left"/>
              <w:rPr>
                <w:rFonts w:ascii="宋体" w:hAnsi="宋体" w:cs="宋体"/>
                <w:color w:val="auto"/>
                <w:szCs w:val="21"/>
              </w:rPr>
            </w:pPr>
            <w:r>
              <w:rPr>
                <w:rFonts w:hint="eastAsia" w:ascii="宋体" w:hAnsi="宋体" w:cs="宋体"/>
                <w:b/>
                <w:color w:val="auto"/>
                <w:szCs w:val="21"/>
              </w:rPr>
              <w:t>破碎传输系统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kern w:val="0"/>
                <w:szCs w:val="21"/>
              </w:rPr>
            </w:pPr>
            <w:r>
              <w:rPr>
                <w:rFonts w:hint="eastAsia" w:ascii="宋体" w:hAnsi="宋体" w:cs="宋体"/>
                <w:color w:val="auto"/>
                <w:szCs w:val="21"/>
              </w:rPr>
              <w:t>4.1</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医疗废物专用破碎机</w:t>
            </w:r>
          </w:p>
        </w:tc>
        <w:tc>
          <w:tcPr>
            <w:tcW w:w="5050" w:type="dxa"/>
            <w:vAlign w:val="center"/>
          </w:tcPr>
          <w:p>
            <w:pPr>
              <w:rPr>
                <w:rFonts w:ascii="宋体" w:hAnsi="宋体" w:cs="宋体"/>
                <w:color w:val="auto"/>
                <w:szCs w:val="21"/>
              </w:rPr>
            </w:pPr>
            <w:r>
              <w:rPr>
                <w:rFonts w:hint="eastAsia" w:ascii="宋体" w:hAnsi="宋体" w:cs="宋体"/>
                <w:color w:val="auto"/>
                <w:szCs w:val="21"/>
              </w:rPr>
              <w:t>1）设备应满足医疗废物成分复杂、工况条件差的特点，不论对软质的物料（如纱布、包装袋、纸类废物等）还是硬质物料（如玻璃、针头、手术刀等）都有同样的破碎毁形效果。</w:t>
            </w:r>
          </w:p>
          <w:p>
            <w:pPr>
              <w:rPr>
                <w:rFonts w:ascii="宋体" w:hAnsi="宋体" w:cs="宋体"/>
                <w:color w:val="auto"/>
                <w:szCs w:val="21"/>
              </w:rPr>
            </w:pPr>
            <w:r>
              <w:rPr>
                <w:rFonts w:hint="eastAsia" w:ascii="宋体" w:hAnsi="宋体" w:cs="宋体"/>
                <w:color w:val="auto"/>
                <w:szCs w:val="21"/>
              </w:rPr>
              <w:t>2）采用双轴回转剪切式破碎机，处理量≥2t/h，功率≤22kw。</w:t>
            </w:r>
          </w:p>
          <w:p>
            <w:pPr>
              <w:rPr>
                <w:rFonts w:ascii="宋体" w:hAnsi="宋体" w:cs="宋体"/>
                <w:color w:val="auto"/>
                <w:szCs w:val="21"/>
              </w:rPr>
            </w:pPr>
            <w:r>
              <w:rPr>
                <w:rFonts w:hint="eastAsia" w:ascii="宋体" w:hAnsi="宋体" w:cs="宋体"/>
                <w:color w:val="auto"/>
                <w:szCs w:val="21"/>
              </w:rPr>
              <w:t>3）刀片材质应不低于高合金钢，并经过热处理，具有高韧性及耐磨性，使用寿命≥2年，刀片数：≥21，刀片厚度：≥40mm，每片刀片刀齿数：≥5</w:t>
            </w:r>
          </w:p>
          <w:p>
            <w:pPr>
              <w:rPr>
                <w:rFonts w:ascii="宋体" w:hAnsi="宋体" w:cs="宋体"/>
                <w:color w:val="auto"/>
                <w:szCs w:val="21"/>
              </w:rPr>
            </w:pPr>
            <w:r>
              <w:rPr>
                <w:rFonts w:hint="eastAsia" w:ascii="宋体" w:hAnsi="宋体" w:cs="宋体"/>
                <w:color w:val="auto"/>
                <w:szCs w:val="21"/>
              </w:rPr>
              <w:t>4）具有过载保护功能，一旦遇到不可破物或很难破碎的物料，破碎机的过载保护系统可以有效地保护机器。</w:t>
            </w:r>
          </w:p>
          <w:p>
            <w:pPr>
              <w:rPr>
                <w:rFonts w:ascii="宋体" w:hAnsi="宋体" w:cs="宋体"/>
                <w:color w:val="auto"/>
                <w:szCs w:val="21"/>
              </w:rPr>
            </w:pPr>
            <w:r>
              <w:rPr>
                <w:rFonts w:hint="eastAsia" w:ascii="宋体" w:hAnsi="宋体" w:cs="宋体"/>
                <w:color w:val="auto"/>
                <w:szCs w:val="21"/>
              </w:rPr>
              <w:t>5）机架应喷涂防腐漆，可根据转运车的大小、高度进行定制。</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szCs w:val="21"/>
              </w:rPr>
            </w:pPr>
            <w:r>
              <w:rPr>
                <w:rFonts w:hint="eastAsia" w:ascii="宋体" w:hAnsi="宋体" w:cs="宋体"/>
                <w:b/>
                <w:bCs/>
                <w:color w:val="auto"/>
                <w:szCs w:val="21"/>
              </w:rPr>
              <w:t>五</w:t>
            </w:r>
          </w:p>
        </w:tc>
        <w:tc>
          <w:tcPr>
            <w:tcW w:w="8279" w:type="dxa"/>
            <w:gridSpan w:val="4"/>
            <w:vAlign w:val="center"/>
          </w:tcPr>
          <w:p>
            <w:pPr>
              <w:widowControl/>
              <w:jc w:val="center"/>
              <w:rPr>
                <w:rFonts w:ascii="宋体" w:hAnsi="宋体" w:cs="宋体"/>
                <w:color w:val="auto"/>
                <w:szCs w:val="21"/>
              </w:rPr>
            </w:pPr>
            <w:r>
              <w:rPr>
                <w:rFonts w:hint="eastAsia" w:ascii="宋体" w:hAnsi="宋体" w:cs="宋体"/>
                <w:b/>
                <w:bCs/>
                <w:color w:val="auto"/>
                <w:szCs w:val="21"/>
              </w:rPr>
              <w:t>冷却循环辅助系统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widowControl/>
              <w:jc w:val="center"/>
              <w:rPr>
                <w:rFonts w:ascii="宋体" w:hAnsi="宋体" w:cs="宋体"/>
                <w:color w:val="auto"/>
                <w:szCs w:val="21"/>
              </w:rPr>
            </w:pPr>
            <w:r>
              <w:rPr>
                <w:rFonts w:hint="eastAsia" w:ascii="宋体" w:hAnsi="宋体" w:cs="宋体"/>
                <w:color w:val="auto"/>
                <w:szCs w:val="21"/>
              </w:rPr>
              <w:t>5.1</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管道泵</w:t>
            </w:r>
          </w:p>
        </w:tc>
        <w:tc>
          <w:tcPr>
            <w:tcW w:w="5050" w:type="dxa"/>
            <w:vAlign w:val="center"/>
          </w:tcPr>
          <w:p>
            <w:pPr>
              <w:rPr>
                <w:rFonts w:ascii="宋体" w:hAnsi="宋体" w:cs="宋体"/>
                <w:color w:val="auto"/>
                <w:szCs w:val="21"/>
              </w:rPr>
            </w:pPr>
            <w:r>
              <w:rPr>
                <w:rFonts w:hint="eastAsia" w:ascii="宋体" w:hAnsi="宋体" w:cs="宋体"/>
                <w:color w:val="auto"/>
                <w:szCs w:val="21"/>
              </w:rPr>
              <w:t>流量：≥11.7m</w:t>
            </w:r>
            <w:r>
              <w:rPr>
                <w:rFonts w:hint="eastAsia" w:ascii="宋体" w:hAnsi="宋体" w:cs="宋体"/>
                <w:color w:val="auto"/>
                <w:szCs w:val="21"/>
                <w:vertAlign w:val="superscript"/>
              </w:rPr>
              <w:t>3</w:t>
            </w:r>
            <w:r>
              <w:rPr>
                <w:rFonts w:hint="eastAsia" w:ascii="宋体" w:hAnsi="宋体" w:cs="宋体"/>
                <w:color w:val="auto"/>
                <w:szCs w:val="21"/>
              </w:rPr>
              <w:t>/h</w:t>
            </w:r>
          </w:p>
          <w:p>
            <w:pPr>
              <w:rPr>
                <w:rFonts w:ascii="宋体" w:hAnsi="宋体" w:cs="宋体"/>
                <w:color w:val="auto"/>
                <w:szCs w:val="21"/>
              </w:rPr>
            </w:pPr>
            <w:r>
              <w:rPr>
                <w:rFonts w:hint="eastAsia" w:ascii="宋体" w:hAnsi="宋体" w:cs="宋体"/>
                <w:color w:val="auto"/>
                <w:szCs w:val="21"/>
              </w:rPr>
              <w:t>扬程：≥28m</w:t>
            </w:r>
          </w:p>
          <w:p>
            <w:pPr>
              <w:rPr>
                <w:rFonts w:ascii="宋体" w:hAnsi="宋体" w:cs="宋体"/>
                <w:color w:val="auto"/>
                <w:szCs w:val="21"/>
              </w:rPr>
            </w:pPr>
            <w:r>
              <w:rPr>
                <w:rFonts w:hint="eastAsia" w:ascii="宋体" w:hAnsi="宋体" w:cs="宋体"/>
                <w:color w:val="auto"/>
                <w:szCs w:val="21"/>
              </w:rPr>
              <w:t>功率：≤2.2Kw</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szCs w:val="21"/>
              </w:rPr>
            </w:pPr>
            <w:r>
              <w:rPr>
                <w:rFonts w:hint="eastAsia" w:ascii="宋体" w:hAnsi="宋体" w:cs="宋体"/>
                <w:color w:val="auto"/>
                <w:szCs w:val="21"/>
              </w:rPr>
              <w:t>5.2</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冷却塔</w:t>
            </w:r>
          </w:p>
        </w:tc>
        <w:tc>
          <w:tcPr>
            <w:tcW w:w="5050" w:type="dxa"/>
            <w:vAlign w:val="center"/>
          </w:tcPr>
          <w:p>
            <w:pPr>
              <w:rPr>
                <w:rFonts w:ascii="宋体" w:hAnsi="宋体" w:cs="宋体"/>
                <w:color w:val="auto"/>
                <w:szCs w:val="21"/>
              </w:rPr>
            </w:pPr>
            <w:r>
              <w:rPr>
                <w:rFonts w:hint="eastAsia" w:ascii="宋体" w:hAnsi="宋体" w:cs="宋体"/>
                <w:color w:val="auto"/>
                <w:szCs w:val="21"/>
              </w:rPr>
              <w:t>处理量：20m</w:t>
            </w:r>
            <w:r>
              <w:rPr>
                <w:rFonts w:hint="eastAsia" w:ascii="宋体" w:hAnsi="宋体" w:cs="宋体"/>
                <w:color w:val="auto"/>
                <w:szCs w:val="21"/>
                <w:vertAlign w:val="superscript"/>
              </w:rPr>
              <w:t>3</w:t>
            </w:r>
            <w:r>
              <w:rPr>
                <w:rFonts w:hint="eastAsia" w:ascii="宋体" w:hAnsi="宋体" w:cs="宋体"/>
                <w:color w:val="auto"/>
                <w:szCs w:val="21"/>
              </w:rPr>
              <w:t>/h</w:t>
            </w:r>
          </w:p>
          <w:p>
            <w:pPr>
              <w:rPr>
                <w:rFonts w:ascii="宋体" w:hAnsi="宋体" w:cs="宋体"/>
                <w:color w:val="auto"/>
                <w:szCs w:val="21"/>
              </w:rPr>
            </w:pPr>
            <w:r>
              <w:rPr>
                <w:rFonts w:hint="eastAsia" w:ascii="宋体" w:hAnsi="宋体" w:cs="宋体"/>
                <w:color w:val="auto"/>
                <w:szCs w:val="21"/>
              </w:rPr>
              <w:t>功率：≤0.75kw</w:t>
            </w:r>
          </w:p>
          <w:p>
            <w:pPr>
              <w:rPr>
                <w:rFonts w:ascii="宋体" w:hAnsi="宋体" w:cs="宋体"/>
                <w:color w:val="auto"/>
                <w:szCs w:val="21"/>
              </w:rPr>
            </w:pPr>
            <w:r>
              <w:rPr>
                <w:rFonts w:hint="eastAsia" w:ascii="宋体" w:hAnsi="宋体" w:cs="宋体"/>
                <w:color w:val="auto"/>
                <w:szCs w:val="21"/>
              </w:rPr>
              <w:t>材质：玻璃钢</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szCs w:val="21"/>
              </w:rPr>
            </w:pPr>
            <w:r>
              <w:rPr>
                <w:rFonts w:hint="eastAsia" w:ascii="宋体" w:hAnsi="宋体" w:cs="宋体"/>
                <w:color w:val="auto"/>
                <w:szCs w:val="21"/>
              </w:rPr>
              <w:t>5.3</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软水机</w:t>
            </w:r>
          </w:p>
        </w:tc>
        <w:tc>
          <w:tcPr>
            <w:tcW w:w="5050" w:type="dxa"/>
            <w:vAlign w:val="center"/>
          </w:tcPr>
          <w:p>
            <w:pPr>
              <w:rPr>
                <w:rFonts w:ascii="宋体" w:hAnsi="宋体" w:cs="宋体"/>
                <w:color w:val="auto"/>
                <w:szCs w:val="21"/>
              </w:rPr>
            </w:pPr>
            <w:r>
              <w:rPr>
                <w:rFonts w:hint="eastAsia" w:ascii="宋体" w:hAnsi="宋体" w:cs="宋体"/>
                <w:color w:val="auto"/>
                <w:szCs w:val="21"/>
              </w:rPr>
              <w:t>再生过程时间：120分钟；</w:t>
            </w:r>
          </w:p>
          <w:p>
            <w:pPr>
              <w:rPr>
                <w:rFonts w:ascii="宋体" w:hAnsi="宋体" w:cs="宋体"/>
                <w:color w:val="auto"/>
                <w:szCs w:val="21"/>
              </w:rPr>
            </w:pPr>
            <w:r>
              <w:rPr>
                <w:rFonts w:hint="eastAsia" w:ascii="宋体" w:hAnsi="宋体" w:cs="宋体"/>
                <w:color w:val="auto"/>
                <w:szCs w:val="21"/>
              </w:rPr>
              <w:t>最大额定流量：≥1.5吨/小时；</w:t>
            </w:r>
          </w:p>
          <w:p>
            <w:pPr>
              <w:rPr>
                <w:rFonts w:ascii="宋体" w:hAnsi="宋体" w:cs="宋体"/>
                <w:color w:val="auto"/>
                <w:szCs w:val="21"/>
              </w:rPr>
            </w:pPr>
            <w:r>
              <w:rPr>
                <w:rFonts w:hint="eastAsia" w:ascii="宋体" w:hAnsi="宋体" w:cs="宋体"/>
                <w:color w:val="auto"/>
                <w:szCs w:val="21"/>
              </w:rPr>
              <w:t>最佳工作压力：0.15-0.3兆帕；</w:t>
            </w:r>
          </w:p>
          <w:p>
            <w:pPr>
              <w:rPr>
                <w:rFonts w:ascii="宋体" w:hAnsi="宋体" w:cs="宋体"/>
                <w:color w:val="auto"/>
                <w:szCs w:val="21"/>
              </w:rPr>
            </w:pPr>
            <w:r>
              <w:rPr>
                <w:rFonts w:hint="eastAsia" w:ascii="宋体" w:hAnsi="宋体" w:cs="宋体"/>
                <w:color w:val="auto"/>
                <w:szCs w:val="21"/>
              </w:rPr>
              <w:t>进水温度要求：1-42℃；</w:t>
            </w:r>
          </w:p>
          <w:p>
            <w:pPr>
              <w:rPr>
                <w:rFonts w:ascii="宋体" w:hAnsi="宋体" w:cs="宋体"/>
                <w:color w:val="auto"/>
                <w:szCs w:val="21"/>
              </w:rPr>
            </w:pPr>
            <w:r>
              <w:rPr>
                <w:rFonts w:hint="eastAsia" w:ascii="宋体" w:hAnsi="宋体" w:cs="宋体"/>
                <w:color w:val="auto"/>
                <w:szCs w:val="21"/>
              </w:rPr>
              <w:t>电源：交流220V/50Hz；</w:t>
            </w:r>
          </w:p>
          <w:p>
            <w:pPr>
              <w:rPr>
                <w:rFonts w:ascii="宋体" w:hAnsi="宋体" w:cs="宋体"/>
                <w:color w:val="auto"/>
                <w:szCs w:val="21"/>
              </w:rPr>
            </w:pPr>
            <w:r>
              <w:rPr>
                <w:rFonts w:hint="eastAsia" w:ascii="宋体" w:hAnsi="宋体" w:cs="宋体"/>
                <w:color w:val="auto"/>
                <w:szCs w:val="21"/>
              </w:rPr>
              <w:t>树脂装填量：≥140升</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szCs w:val="21"/>
              </w:rPr>
            </w:pPr>
            <w:r>
              <w:rPr>
                <w:rFonts w:hint="eastAsia" w:ascii="宋体" w:hAnsi="宋体" w:cs="宋体"/>
                <w:color w:val="auto"/>
                <w:szCs w:val="21"/>
              </w:rPr>
              <w:t>5.4</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软水箱</w:t>
            </w:r>
          </w:p>
        </w:tc>
        <w:tc>
          <w:tcPr>
            <w:tcW w:w="5050" w:type="dxa"/>
            <w:vAlign w:val="center"/>
          </w:tcPr>
          <w:p>
            <w:pPr>
              <w:rPr>
                <w:rFonts w:ascii="宋体" w:hAnsi="宋体" w:cs="宋体"/>
                <w:color w:val="auto"/>
                <w:szCs w:val="21"/>
              </w:rPr>
            </w:pPr>
            <w:r>
              <w:rPr>
                <w:rFonts w:hint="eastAsia" w:ascii="宋体" w:hAnsi="宋体" w:cs="宋体"/>
                <w:color w:val="auto"/>
                <w:szCs w:val="21"/>
              </w:rPr>
              <w:t>容积：4m</w:t>
            </w:r>
            <w:r>
              <w:rPr>
                <w:rFonts w:hint="eastAsia" w:ascii="宋体" w:hAnsi="宋体" w:cs="宋体"/>
                <w:color w:val="auto"/>
                <w:szCs w:val="21"/>
                <w:vertAlign w:val="superscript"/>
              </w:rPr>
              <w:t>3</w:t>
            </w:r>
          </w:p>
          <w:p>
            <w:pPr>
              <w:rPr>
                <w:rFonts w:ascii="宋体" w:hAnsi="宋体" w:cs="宋体"/>
                <w:color w:val="auto"/>
                <w:szCs w:val="21"/>
              </w:rPr>
            </w:pPr>
            <w:r>
              <w:rPr>
                <w:rFonts w:hint="eastAsia" w:ascii="宋体" w:hAnsi="宋体" w:cs="宋体"/>
                <w:color w:val="auto"/>
                <w:szCs w:val="21"/>
              </w:rPr>
              <w:t>外形尺寸：≥2m×1m×2m</w:t>
            </w:r>
          </w:p>
          <w:p>
            <w:pPr>
              <w:rPr>
                <w:rFonts w:ascii="宋体" w:hAnsi="宋体" w:cs="宋体"/>
                <w:color w:val="auto"/>
                <w:szCs w:val="21"/>
              </w:rPr>
            </w:pPr>
            <w:r>
              <w:rPr>
                <w:rFonts w:hint="eastAsia" w:ascii="宋体" w:hAnsi="宋体" w:cs="宋体"/>
                <w:color w:val="auto"/>
                <w:szCs w:val="21"/>
              </w:rPr>
              <w:t>材质：全不锈钢</w:t>
            </w:r>
          </w:p>
          <w:p>
            <w:pPr>
              <w:rPr>
                <w:rFonts w:ascii="宋体" w:hAnsi="宋体" w:cs="宋体"/>
                <w:color w:val="auto"/>
                <w:szCs w:val="21"/>
              </w:rPr>
            </w:pPr>
            <w:r>
              <w:rPr>
                <w:rFonts w:hint="eastAsia" w:ascii="宋体" w:hAnsi="宋体" w:cs="宋体"/>
                <w:color w:val="auto"/>
                <w:szCs w:val="21"/>
              </w:rPr>
              <w:t>箱底厚度：≥2mm，箱壁厚度：≥1.2mm</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宋体" w:hAnsi="宋体" w:cs="宋体"/>
                <w:color w:val="auto"/>
                <w:szCs w:val="21"/>
              </w:rPr>
            </w:pPr>
            <w:r>
              <w:rPr>
                <w:rFonts w:hint="eastAsia" w:ascii="宋体" w:hAnsi="宋体" w:cs="宋体"/>
                <w:color w:val="auto"/>
                <w:szCs w:val="21"/>
              </w:rPr>
              <w:t>5.5</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空压机</w:t>
            </w:r>
          </w:p>
        </w:tc>
        <w:tc>
          <w:tcPr>
            <w:tcW w:w="5050" w:type="dxa"/>
            <w:vAlign w:val="center"/>
          </w:tcPr>
          <w:p>
            <w:pPr>
              <w:widowControl/>
              <w:rPr>
                <w:rFonts w:ascii="宋体" w:hAnsi="宋体" w:cs="宋体"/>
                <w:color w:val="auto"/>
                <w:szCs w:val="21"/>
              </w:rPr>
            </w:pPr>
            <w:r>
              <w:rPr>
                <w:rFonts w:hint="eastAsia" w:ascii="宋体" w:hAnsi="宋体" w:cs="宋体"/>
                <w:color w:val="auto"/>
                <w:szCs w:val="21"/>
              </w:rPr>
              <w:t xml:space="preserve">压缩方式：活塞式，全无油 </w:t>
            </w:r>
          </w:p>
          <w:p>
            <w:pPr>
              <w:widowControl/>
              <w:rPr>
                <w:rFonts w:ascii="宋体" w:hAnsi="宋体" w:cs="宋体"/>
                <w:color w:val="auto"/>
                <w:szCs w:val="21"/>
              </w:rPr>
            </w:pPr>
            <w:r>
              <w:rPr>
                <w:rFonts w:hint="eastAsia" w:ascii="宋体" w:hAnsi="宋体" w:cs="宋体"/>
                <w:color w:val="auto"/>
                <w:szCs w:val="21"/>
              </w:rPr>
              <w:t xml:space="preserve">排气量：≥0.67m3/min </w:t>
            </w:r>
          </w:p>
          <w:p>
            <w:pPr>
              <w:widowControl/>
              <w:rPr>
                <w:rFonts w:ascii="宋体" w:hAnsi="宋体" w:cs="宋体"/>
                <w:color w:val="auto"/>
                <w:szCs w:val="21"/>
              </w:rPr>
            </w:pPr>
            <w:r>
              <w:rPr>
                <w:rFonts w:hint="eastAsia" w:ascii="宋体" w:hAnsi="宋体" w:cs="宋体"/>
                <w:color w:val="auto"/>
                <w:szCs w:val="21"/>
              </w:rPr>
              <w:t xml:space="preserve">排气压力：≥1.0mpa </w:t>
            </w:r>
          </w:p>
          <w:p>
            <w:pPr>
              <w:widowControl/>
              <w:rPr>
                <w:rFonts w:ascii="宋体" w:hAnsi="宋体" w:cs="宋体"/>
                <w:color w:val="auto"/>
                <w:szCs w:val="21"/>
              </w:rPr>
            </w:pPr>
            <w:r>
              <w:rPr>
                <w:rFonts w:hint="eastAsia" w:ascii="宋体" w:hAnsi="宋体" w:cs="宋体"/>
                <w:color w:val="auto"/>
                <w:szCs w:val="21"/>
              </w:rPr>
              <w:t>配套动力：≤11kw</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台</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widowControl/>
              <w:jc w:val="center"/>
              <w:rPr>
                <w:rFonts w:ascii="宋体" w:hAnsi="宋体" w:cs="宋体"/>
                <w:b/>
                <w:bCs/>
                <w:color w:val="auto"/>
                <w:szCs w:val="21"/>
              </w:rPr>
            </w:pPr>
            <w:r>
              <w:rPr>
                <w:rFonts w:hint="eastAsia" w:ascii="宋体" w:hAnsi="宋体" w:cs="宋体"/>
                <w:b/>
                <w:bCs/>
                <w:color w:val="auto"/>
                <w:szCs w:val="21"/>
              </w:rPr>
              <w:t>六</w:t>
            </w:r>
          </w:p>
        </w:tc>
        <w:tc>
          <w:tcPr>
            <w:tcW w:w="8279" w:type="dxa"/>
            <w:gridSpan w:val="4"/>
            <w:vAlign w:val="center"/>
          </w:tcPr>
          <w:p>
            <w:pPr>
              <w:widowControl/>
              <w:jc w:val="center"/>
              <w:rPr>
                <w:rFonts w:ascii="宋体" w:hAnsi="宋体" w:cs="宋体"/>
                <w:b/>
                <w:bCs/>
                <w:color w:val="auto"/>
                <w:szCs w:val="21"/>
              </w:rPr>
            </w:pPr>
            <w:r>
              <w:rPr>
                <w:rFonts w:hint="eastAsia" w:ascii="宋体" w:hAnsi="宋体" w:cs="宋体"/>
                <w:b/>
                <w:bCs/>
                <w:color w:val="auto"/>
                <w:szCs w:val="21"/>
              </w:rPr>
              <w:t>蒸汽供应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widowControl/>
              <w:jc w:val="center"/>
              <w:rPr>
                <w:rFonts w:ascii="宋体" w:hAnsi="宋体" w:cs="宋体"/>
                <w:color w:val="auto"/>
                <w:szCs w:val="21"/>
              </w:rPr>
            </w:pPr>
            <w:r>
              <w:rPr>
                <w:rFonts w:hint="eastAsia" w:ascii="宋体" w:hAnsi="宋体" w:cs="宋体"/>
                <w:color w:val="auto"/>
                <w:szCs w:val="21"/>
              </w:rPr>
              <w:t>6.1</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蒸汽锅炉</w:t>
            </w:r>
          </w:p>
        </w:tc>
        <w:tc>
          <w:tcPr>
            <w:tcW w:w="5050" w:type="dxa"/>
            <w:vAlign w:val="center"/>
          </w:tcPr>
          <w:p>
            <w:pPr>
              <w:rPr>
                <w:rFonts w:ascii="宋体" w:hAnsi="宋体" w:cs="宋体"/>
                <w:color w:val="auto"/>
                <w:szCs w:val="21"/>
              </w:rPr>
            </w:pPr>
            <w:r>
              <w:rPr>
                <w:rFonts w:hint="eastAsia" w:ascii="宋体" w:hAnsi="宋体" w:cs="宋体"/>
                <w:color w:val="auto"/>
                <w:szCs w:val="21"/>
              </w:rPr>
              <w:t>额定蒸发量：340kg/h  热效率≥93%</w:t>
            </w:r>
          </w:p>
          <w:p>
            <w:pPr>
              <w:rPr>
                <w:rFonts w:ascii="宋体" w:hAnsi="宋体" w:cs="宋体"/>
                <w:color w:val="auto"/>
                <w:szCs w:val="21"/>
              </w:rPr>
            </w:pPr>
            <w:r>
              <w:rPr>
                <w:rFonts w:hint="eastAsia" w:ascii="宋体" w:hAnsi="宋体" w:cs="宋体"/>
                <w:color w:val="auto"/>
                <w:szCs w:val="21"/>
              </w:rPr>
              <w:t>额定压力：1.0Mpa</w:t>
            </w:r>
          </w:p>
          <w:p>
            <w:pPr>
              <w:rPr>
                <w:rFonts w:ascii="宋体" w:hAnsi="宋体" w:cs="宋体"/>
                <w:color w:val="auto"/>
                <w:szCs w:val="21"/>
              </w:rPr>
            </w:pPr>
            <w:r>
              <w:rPr>
                <w:rFonts w:hint="eastAsia" w:ascii="宋体" w:hAnsi="宋体" w:cs="宋体"/>
                <w:color w:val="auto"/>
                <w:szCs w:val="21"/>
              </w:rPr>
              <w:t>饱和蒸汽温度：185摄氏度</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套</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widowControl/>
              <w:jc w:val="center"/>
              <w:rPr>
                <w:rFonts w:ascii="宋体" w:hAnsi="宋体" w:cs="宋体"/>
                <w:b/>
                <w:bCs/>
                <w:color w:val="auto"/>
                <w:szCs w:val="21"/>
              </w:rPr>
            </w:pPr>
            <w:r>
              <w:rPr>
                <w:rFonts w:hint="eastAsia" w:ascii="宋体" w:hAnsi="宋体" w:cs="宋体"/>
                <w:b/>
                <w:bCs/>
                <w:color w:val="auto"/>
                <w:szCs w:val="21"/>
              </w:rPr>
              <w:t>七</w:t>
            </w:r>
          </w:p>
        </w:tc>
        <w:tc>
          <w:tcPr>
            <w:tcW w:w="8279" w:type="dxa"/>
            <w:gridSpan w:val="4"/>
            <w:vAlign w:val="center"/>
          </w:tcPr>
          <w:p>
            <w:pPr>
              <w:widowControl/>
              <w:jc w:val="center"/>
              <w:rPr>
                <w:rFonts w:ascii="宋体" w:hAnsi="宋体" w:cs="宋体"/>
                <w:b/>
                <w:bCs/>
                <w:color w:val="auto"/>
                <w:szCs w:val="21"/>
              </w:rPr>
            </w:pPr>
            <w:r>
              <w:rPr>
                <w:rFonts w:hint="eastAsia" w:ascii="宋体" w:hAnsi="宋体" w:cs="宋体"/>
                <w:b/>
                <w:bCs/>
                <w:color w:val="auto"/>
                <w:szCs w:val="21"/>
              </w:rPr>
              <w:t>尾气处理设备（除臭设备）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atLeast"/>
        </w:trPr>
        <w:tc>
          <w:tcPr>
            <w:tcW w:w="667" w:type="dxa"/>
            <w:vAlign w:val="center"/>
          </w:tcPr>
          <w:p>
            <w:pPr>
              <w:widowControl/>
              <w:jc w:val="center"/>
              <w:rPr>
                <w:rFonts w:ascii="宋体" w:hAnsi="宋体" w:cs="宋体"/>
                <w:color w:val="auto"/>
                <w:szCs w:val="21"/>
              </w:rPr>
            </w:pPr>
            <w:r>
              <w:rPr>
                <w:rFonts w:hint="eastAsia" w:ascii="宋体" w:hAnsi="宋体" w:cs="宋体"/>
                <w:color w:val="auto"/>
                <w:szCs w:val="21"/>
              </w:rPr>
              <w:t>7.1</w:t>
            </w:r>
          </w:p>
        </w:tc>
        <w:tc>
          <w:tcPr>
            <w:tcW w:w="1588" w:type="dxa"/>
            <w:vAlign w:val="center"/>
          </w:tcPr>
          <w:p>
            <w:pPr>
              <w:jc w:val="center"/>
              <w:rPr>
                <w:rFonts w:ascii="宋体" w:hAnsi="宋体" w:cs="宋体"/>
                <w:color w:val="auto"/>
                <w:szCs w:val="21"/>
              </w:rPr>
            </w:pPr>
            <w:r>
              <w:rPr>
                <w:rFonts w:hint="eastAsia" w:ascii="宋体" w:hAnsi="宋体" w:cs="宋体"/>
                <w:color w:val="auto"/>
                <w:szCs w:val="21"/>
              </w:rPr>
              <w:t>尾气处理设备（除臭设备）</w:t>
            </w:r>
          </w:p>
        </w:tc>
        <w:tc>
          <w:tcPr>
            <w:tcW w:w="5050" w:type="dxa"/>
            <w:vAlign w:val="center"/>
          </w:tcPr>
          <w:p>
            <w:pPr>
              <w:rPr>
                <w:rFonts w:ascii="宋体" w:hAnsi="宋体" w:cs="宋体"/>
                <w:color w:val="auto"/>
                <w:szCs w:val="21"/>
              </w:rPr>
            </w:pPr>
            <w:r>
              <w:rPr>
                <w:rFonts w:hint="eastAsia" w:ascii="宋体" w:hAnsi="宋体" w:cs="宋体"/>
                <w:color w:val="auto"/>
                <w:szCs w:val="21"/>
              </w:rPr>
              <w:t>1）车间废气采用局部收集+光催化氧化+活性炭过滤的处理工艺</w:t>
            </w:r>
          </w:p>
          <w:p>
            <w:pPr>
              <w:rPr>
                <w:rFonts w:ascii="宋体" w:hAnsi="宋体" w:cs="宋体"/>
                <w:color w:val="auto"/>
                <w:szCs w:val="21"/>
              </w:rPr>
            </w:pPr>
            <w:r>
              <w:rPr>
                <w:rFonts w:hint="eastAsia" w:ascii="宋体" w:hAnsi="宋体" w:cs="宋体"/>
                <w:color w:val="auto"/>
                <w:szCs w:val="21"/>
              </w:rPr>
              <w:t>2）集中收集点包括上料区、灭菌器出口处、破碎区</w:t>
            </w:r>
          </w:p>
          <w:p>
            <w:pPr>
              <w:rPr>
                <w:rFonts w:ascii="宋体" w:hAnsi="宋体" w:cs="宋体"/>
                <w:color w:val="auto"/>
                <w:szCs w:val="21"/>
              </w:rPr>
            </w:pPr>
            <w:r>
              <w:rPr>
                <w:rFonts w:hint="eastAsia" w:ascii="宋体" w:hAnsi="宋体" w:cs="宋体"/>
                <w:color w:val="auto"/>
                <w:szCs w:val="21"/>
              </w:rPr>
              <w:t>3）风量≥5000m3/h</w:t>
            </w:r>
          </w:p>
          <w:p>
            <w:pPr>
              <w:rPr>
                <w:rFonts w:ascii="宋体" w:hAnsi="宋体" w:cs="宋体"/>
                <w:color w:val="auto"/>
                <w:szCs w:val="21"/>
              </w:rPr>
            </w:pPr>
            <w:r>
              <w:rPr>
                <w:rFonts w:hint="eastAsia" w:ascii="宋体" w:hAnsi="宋体" w:cs="宋体"/>
                <w:color w:val="auto"/>
                <w:szCs w:val="21"/>
              </w:rPr>
              <w:t>4）风罩及风管采用PP材质，布局美观合理，便于维修</w:t>
            </w:r>
          </w:p>
          <w:p>
            <w:pPr>
              <w:rPr>
                <w:rFonts w:ascii="宋体" w:hAnsi="宋体" w:cs="宋体"/>
                <w:color w:val="auto"/>
                <w:szCs w:val="21"/>
              </w:rPr>
            </w:pPr>
            <w:r>
              <w:rPr>
                <w:rFonts w:hint="eastAsia" w:ascii="宋体" w:hAnsi="宋体" w:cs="宋体"/>
                <w:color w:val="auto"/>
                <w:szCs w:val="21"/>
              </w:rPr>
              <w:t>5）废气处理排放满足《大气污染物综合排放标准》（GB16297-1996），《恶臭污染物排放标准》（GB14554-1993）。</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套</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widowControl/>
              <w:jc w:val="center"/>
              <w:rPr>
                <w:rFonts w:ascii="宋体" w:hAnsi="宋体" w:cs="宋体"/>
                <w:b/>
                <w:bCs/>
                <w:color w:val="auto"/>
                <w:szCs w:val="21"/>
              </w:rPr>
            </w:pPr>
            <w:r>
              <w:rPr>
                <w:rFonts w:hint="eastAsia" w:ascii="宋体" w:hAnsi="宋体" w:cs="宋体"/>
                <w:b/>
                <w:bCs/>
                <w:color w:val="auto"/>
                <w:szCs w:val="21"/>
              </w:rPr>
              <w:t>八</w:t>
            </w:r>
          </w:p>
        </w:tc>
        <w:tc>
          <w:tcPr>
            <w:tcW w:w="8279" w:type="dxa"/>
            <w:gridSpan w:val="4"/>
            <w:vAlign w:val="center"/>
          </w:tcPr>
          <w:p>
            <w:pPr>
              <w:widowControl/>
              <w:jc w:val="center"/>
              <w:rPr>
                <w:rFonts w:ascii="宋体" w:hAnsi="宋体" w:cs="宋体"/>
                <w:b/>
                <w:bCs/>
                <w:color w:val="auto"/>
                <w:szCs w:val="21"/>
              </w:rPr>
            </w:pPr>
            <w:r>
              <w:rPr>
                <w:rFonts w:hint="eastAsia" w:ascii="宋体" w:hAnsi="宋体" w:cs="宋体"/>
                <w:b/>
                <w:bCs/>
                <w:color w:val="auto"/>
                <w:szCs w:val="21"/>
              </w:rPr>
              <w:t>污水处理系统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trPr>
        <w:tc>
          <w:tcPr>
            <w:tcW w:w="667" w:type="dxa"/>
            <w:vAlign w:val="center"/>
          </w:tcPr>
          <w:p>
            <w:pPr>
              <w:widowControl/>
              <w:jc w:val="center"/>
              <w:rPr>
                <w:rFonts w:ascii="宋体" w:hAnsi="宋体" w:cs="宋体"/>
                <w:color w:val="auto"/>
                <w:szCs w:val="21"/>
              </w:rPr>
            </w:pPr>
            <w:r>
              <w:rPr>
                <w:rFonts w:hint="eastAsia" w:ascii="宋体" w:hAnsi="宋体" w:cs="宋体"/>
                <w:color w:val="auto"/>
                <w:szCs w:val="21"/>
              </w:rPr>
              <w:t>8.1</w:t>
            </w:r>
          </w:p>
        </w:tc>
        <w:tc>
          <w:tcPr>
            <w:tcW w:w="1588" w:type="dxa"/>
            <w:vAlign w:val="center"/>
          </w:tcPr>
          <w:p>
            <w:pPr>
              <w:rPr>
                <w:rFonts w:ascii="宋体" w:hAnsi="宋体" w:cs="宋体"/>
                <w:color w:val="auto"/>
              </w:rPr>
            </w:pPr>
            <w:r>
              <w:rPr>
                <w:rFonts w:hint="eastAsia" w:ascii="宋体" w:hAnsi="宋体" w:cs="宋体"/>
                <w:color w:val="auto"/>
              </w:rPr>
              <w:t>污水处理系统</w:t>
            </w:r>
          </w:p>
        </w:tc>
        <w:tc>
          <w:tcPr>
            <w:tcW w:w="5050" w:type="dxa"/>
            <w:vAlign w:val="center"/>
          </w:tcPr>
          <w:p>
            <w:pPr>
              <w:numPr>
                <w:ilvl w:val="0"/>
                <w:numId w:val="4"/>
              </w:numPr>
              <w:rPr>
                <w:rFonts w:ascii="宋体" w:hAnsi="宋体" w:cs="宋体"/>
                <w:color w:val="auto"/>
              </w:rPr>
            </w:pPr>
            <w:r>
              <w:rPr>
                <w:rFonts w:hint="eastAsia" w:ascii="宋体" w:hAnsi="宋体" w:cs="宋体"/>
                <w:color w:val="auto"/>
              </w:rPr>
              <w:t>初雨调蓄池</w:t>
            </w:r>
          </w:p>
          <w:p>
            <w:pPr>
              <w:rPr>
                <w:rFonts w:ascii="宋体" w:hAnsi="宋体" w:cs="宋体"/>
                <w:color w:val="auto"/>
              </w:rPr>
            </w:pPr>
            <w:r>
              <w:rPr>
                <w:rFonts w:hint="eastAsia" w:ascii="宋体" w:hAnsi="宋体" w:cs="宋体"/>
                <w:color w:val="auto"/>
              </w:rPr>
              <w:t>1.1池体7.6×6.6×5.5m，304不锈钢材质，数量1座；</w:t>
            </w:r>
          </w:p>
          <w:p>
            <w:pPr>
              <w:rPr>
                <w:rFonts w:ascii="宋体" w:hAnsi="宋体" w:cs="宋体"/>
                <w:color w:val="auto"/>
              </w:rPr>
            </w:pPr>
            <w:r>
              <w:rPr>
                <w:rFonts w:hint="eastAsia" w:ascii="宋体" w:hAnsi="宋体" w:cs="宋体"/>
                <w:color w:val="auto"/>
              </w:rPr>
              <w:t>1.2提升泵：潜水泵，Q=10m3/h，H=8m，P=1.5kW，数量2台；</w:t>
            </w:r>
          </w:p>
          <w:p>
            <w:pPr>
              <w:rPr>
                <w:rFonts w:ascii="宋体" w:hAnsi="宋体" w:cs="宋体"/>
                <w:color w:val="auto"/>
              </w:rPr>
            </w:pPr>
            <w:r>
              <w:rPr>
                <w:rFonts w:hint="eastAsia" w:ascii="宋体" w:hAnsi="宋体" w:cs="宋体"/>
                <w:color w:val="auto"/>
              </w:rPr>
              <w:t>2、絮凝沉淀设备</w:t>
            </w:r>
          </w:p>
          <w:p>
            <w:pPr>
              <w:rPr>
                <w:rFonts w:ascii="宋体" w:hAnsi="宋体" w:cs="宋体"/>
                <w:color w:val="auto"/>
              </w:rPr>
            </w:pPr>
            <w:r>
              <w:rPr>
                <w:rFonts w:hint="eastAsia" w:ascii="宋体" w:hAnsi="宋体" w:cs="宋体"/>
                <w:color w:val="auto"/>
              </w:rPr>
              <w:t>2.1 壳体：5.0×3.0×3.5m，304不锈钢材质，含絮凝区、沉淀区，数量1个。</w:t>
            </w:r>
          </w:p>
          <w:p>
            <w:pPr>
              <w:rPr>
                <w:rFonts w:ascii="宋体" w:hAnsi="宋体" w:cs="宋体"/>
                <w:color w:val="auto"/>
              </w:rPr>
            </w:pPr>
            <w:r>
              <w:rPr>
                <w:rFonts w:hint="eastAsia" w:ascii="宋体" w:hAnsi="宋体" w:cs="宋体"/>
                <w:color w:val="auto"/>
              </w:rPr>
              <w:t>2.2 立式搅拌器：P=0.2kW，数量2台。</w:t>
            </w:r>
          </w:p>
          <w:p>
            <w:pPr>
              <w:rPr>
                <w:rFonts w:ascii="宋体" w:hAnsi="宋体" w:cs="宋体"/>
                <w:color w:val="auto"/>
              </w:rPr>
            </w:pPr>
            <w:r>
              <w:rPr>
                <w:rFonts w:hint="eastAsia" w:ascii="宋体" w:hAnsi="宋体" w:cs="宋体"/>
                <w:color w:val="auto"/>
              </w:rPr>
              <w:t>2.3 蜂窝填料：安装角度60°，数量16m³。</w:t>
            </w:r>
          </w:p>
          <w:p>
            <w:pPr>
              <w:rPr>
                <w:rFonts w:ascii="宋体" w:hAnsi="宋体" w:cs="宋体"/>
                <w:color w:val="auto"/>
              </w:rPr>
            </w:pPr>
            <w:r>
              <w:rPr>
                <w:rFonts w:hint="eastAsia" w:ascii="宋体" w:hAnsi="宋体" w:cs="宋体"/>
                <w:color w:val="auto"/>
              </w:rPr>
              <w:t>3、PAC加药系统：加药量25mg/L，壳体PP，数量1套；</w:t>
            </w:r>
          </w:p>
          <w:p>
            <w:pPr>
              <w:rPr>
                <w:rFonts w:ascii="宋体" w:hAnsi="宋体" w:cs="宋体"/>
                <w:color w:val="auto"/>
              </w:rPr>
            </w:pPr>
            <w:r>
              <w:rPr>
                <w:rFonts w:hint="eastAsia" w:ascii="宋体" w:hAnsi="宋体" w:cs="宋体"/>
                <w:color w:val="auto"/>
              </w:rPr>
              <w:t>4、二氧化氯发生器：有效氯0.2kg/h，数量1套。</w:t>
            </w:r>
          </w:p>
        </w:tc>
        <w:tc>
          <w:tcPr>
            <w:tcW w:w="825" w:type="dxa"/>
            <w:vAlign w:val="center"/>
          </w:tcPr>
          <w:p>
            <w:pPr>
              <w:widowControl/>
              <w:jc w:val="center"/>
              <w:rPr>
                <w:rFonts w:ascii="宋体" w:hAnsi="宋体" w:cs="宋体"/>
                <w:color w:val="auto"/>
                <w:szCs w:val="21"/>
              </w:rPr>
            </w:pPr>
            <w:r>
              <w:rPr>
                <w:rFonts w:hint="eastAsia" w:ascii="宋体" w:hAnsi="宋体" w:cs="宋体"/>
                <w:color w:val="auto"/>
                <w:szCs w:val="21"/>
              </w:rPr>
              <w:t>套</w:t>
            </w:r>
          </w:p>
        </w:tc>
        <w:tc>
          <w:tcPr>
            <w:tcW w:w="816" w:type="dxa"/>
            <w:vAlign w:val="center"/>
          </w:tcPr>
          <w:p>
            <w:pPr>
              <w:widowControl/>
              <w:jc w:val="center"/>
              <w:rPr>
                <w:rFonts w:ascii="宋体" w:hAnsi="宋体" w:cs="宋体"/>
                <w:color w:val="auto"/>
                <w:szCs w:val="21"/>
              </w:rPr>
            </w:pP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gridSpan w:val="5"/>
            <w:vAlign w:val="center"/>
          </w:tcPr>
          <w:p>
            <w:pPr>
              <w:pStyle w:val="23"/>
              <w:snapToGrid w:val="0"/>
              <w:spacing w:line="400" w:lineRule="exact"/>
              <w:outlineLvl w:val="0"/>
              <w:rPr>
                <w:rFonts w:hAnsi="宋体" w:cs="宋体"/>
                <w:color w:val="auto"/>
                <w:sz w:val="21"/>
              </w:rPr>
            </w:pPr>
            <w:r>
              <w:rPr>
                <w:rFonts w:hint="eastAsia" w:hAnsi="宋体" w:cs="宋体"/>
                <w:color w:val="auto"/>
                <w:sz w:val="21"/>
              </w:rPr>
              <w:t>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255" w:type="dxa"/>
            <w:gridSpan w:val="2"/>
            <w:vAlign w:val="center"/>
          </w:tcPr>
          <w:p>
            <w:pPr>
              <w:snapToGrid w:val="0"/>
              <w:jc w:val="center"/>
              <w:rPr>
                <w:rFonts w:ascii="宋体" w:hAnsi="宋体" w:cs="宋体"/>
                <w:color w:val="auto"/>
                <w:szCs w:val="21"/>
              </w:rPr>
            </w:pPr>
            <w:r>
              <w:rPr>
                <w:rFonts w:hint="eastAsia" w:ascii="宋体" w:hAnsi="宋体" w:cs="宋体"/>
                <w:b/>
                <w:color w:val="auto"/>
                <w:szCs w:val="21"/>
              </w:rPr>
              <w:t>项目交货地点及交货期</w:t>
            </w:r>
          </w:p>
        </w:tc>
        <w:tc>
          <w:tcPr>
            <w:tcW w:w="6691" w:type="dxa"/>
            <w:gridSpan w:val="3"/>
            <w:vAlign w:val="center"/>
          </w:tcPr>
          <w:p>
            <w:pPr>
              <w:spacing w:line="360" w:lineRule="exact"/>
              <w:rPr>
                <w:rFonts w:ascii="宋体" w:hAnsi="宋体" w:cs="宋体"/>
                <w:color w:val="auto"/>
                <w:szCs w:val="21"/>
              </w:rPr>
            </w:pPr>
            <w:r>
              <w:rPr>
                <w:rFonts w:hint="eastAsia" w:ascii="宋体" w:hAnsi="宋体" w:cs="宋体"/>
                <w:color w:val="auto"/>
                <w:szCs w:val="21"/>
              </w:rPr>
              <w:t>1、交货地点：广西壮族自治区防城港市内采购人指定地点。</w:t>
            </w:r>
          </w:p>
          <w:p>
            <w:pPr>
              <w:spacing w:line="360" w:lineRule="exact"/>
              <w:rPr>
                <w:rFonts w:ascii="宋体" w:hAnsi="宋体" w:cs="宋体"/>
                <w:color w:val="auto"/>
                <w:szCs w:val="21"/>
              </w:rPr>
            </w:pPr>
            <w:r>
              <w:rPr>
                <w:rFonts w:hint="eastAsia" w:ascii="宋体" w:hAnsi="宋体" w:cs="宋体"/>
                <w:color w:val="auto"/>
                <w:szCs w:val="21"/>
              </w:rPr>
              <w:t>2、交货期：自合同签订之日起90天内交付使用。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5" w:type="dxa"/>
            <w:gridSpan w:val="2"/>
            <w:vAlign w:val="center"/>
          </w:tcPr>
          <w:p>
            <w:pPr>
              <w:spacing w:line="360" w:lineRule="exact"/>
              <w:jc w:val="center"/>
              <w:rPr>
                <w:rFonts w:ascii="宋体" w:hAnsi="宋体" w:cs="宋体"/>
                <w:color w:val="auto"/>
                <w:szCs w:val="21"/>
              </w:rPr>
            </w:pPr>
            <w:r>
              <w:rPr>
                <w:rFonts w:hint="eastAsia" w:ascii="宋体" w:hAnsi="宋体" w:cs="宋体"/>
                <w:b/>
                <w:color w:val="auto"/>
                <w:szCs w:val="21"/>
              </w:rPr>
              <w:t>质保期</w:t>
            </w:r>
          </w:p>
        </w:tc>
        <w:tc>
          <w:tcPr>
            <w:tcW w:w="6691" w:type="dxa"/>
            <w:gridSpan w:val="3"/>
          </w:tcPr>
          <w:p>
            <w:pPr>
              <w:spacing w:line="360" w:lineRule="exact"/>
              <w:rPr>
                <w:rFonts w:ascii="宋体" w:hAnsi="宋体" w:cs="宋体"/>
                <w:b/>
                <w:color w:val="auto"/>
                <w:szCs w:val="21"/>
              </w:rPr>
            </w:pPr>
            <w:r>
              <w:rPr>
                <w:rFonts w:hint="eastAsia" w:ascii="宋体" w:hAnsi="宋体" w:cs="宋体"/>
                <w:color w:val="auto"/>
                <w:szCs w:val="21"/>
              </w:rPr>
              <w:t>除特别说明外，交货验收合格之日起，产品质保期</w:t>
            </w:r>
            <w:r>
              <w:rPr>
                <w:rFonts w:hint="eastAsia" w:ascii="宋体" w:hAnsi="宋体" w:cs="宋体"/>
                <w:color w:val="auto"/>
                <w:kern w:val="0"/>
                <w:szCs w:val="21"/>
              </w:rPr>
              <w:t>2</w:t>
            </w:r>
            <w:r>
              <w:rPr>
                <w:rFonts w:hint="eastAsia" w:ascii="宋体" w:hAnsi="宋体" w:cs="宋体"/>
                <w:color w:val="auto"/>
                <w:szCs w:val="21"/>
              </w:rPr>
              <w:t>年，质保期内全免费上门维修、免费更换零部件。</w:t>
            </w:r>
            <w:bookmarkStart w:id="597" w:name="_GoBack"/>
            <w:bookmarkEnd w:id="5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5" w:type="dxa"/>
            <w:gridSpan w:val="2"/>
            <w:vAlign w:val="center"/>
          </w:tcPr>
          <w:p>
            <w:pPr>
              <w:spacing w:line="360" w:lineRule="exact"/>
              <w:jc w:val="center"/>
              <w:rPr>
                <w:rFonts w:ascii="宋体" w:cs="宋体"/>
                <w:color w:val="auto"/>
                <w:szCs w:val="21"/>
              </w:rPr>
            </w:pPr>
            <w:r>
              <w:rPr>
                <w:rFonts w:hint="eastAsia" w:ascii="宋体" w:hAnsi="宋体" w:cs="宋体"/>
                <w:b/>
                <w:color w:val="auto"/>
                <w:szCs w:val="21"/>
              </w:rPr>
              <w:t>售后服务要求</w:t>
            </w:r>
          </w:p>
        </w:tc>
        <w:tc>
          <w:tcPr>
            <w:tcW w:w="6691" w:type="dxa"/>
            <w:gridSpan w:val="3"/>
          </w:tcPr>
          <w:p>
            <w:pPr>
              <w:spacing w:line="360" w:lineRule="exact"/>
              <w:rPr>
                <w:rFonts w:ascii="宋体" w:cs="宋体"/>
                <w:color w:val="auto"/>
                <w:spacing w:val="4"/>
                <w:szCs w:val="21"/>
              </w:rPr>
            </w:pPr>
            <w:r>
              <w:rPr>
                <w:rFonts w:hint="eastAsia" w:ascii="宋体" w:cs="宋体"/>
                <w:color w:val="auto"/>
                <w:spacing w:val="4"/>
                <w:szCs w:val="21"/>
              </w:rPr>
              <w:t>1.设备调试完成后，提供相关技术资料和操作手册（包括：设备的操作和保养程序、日常检查和维修方案、紧急情况应急预案等）。</w:t>
            </w:r>
          </w:p>
          <w:p>
            <w:pPr>
              <w:spacing w:line="360" w:lineRule="exact"/>
              <w:rPr>
                <w:rFonts w:ascii="宋体" w:cs="宋体"/>
                <w:color w:val="auto"/>
                <w:spacing w:val="4"/>
                <w:szCs w:val="21"/>
              </w:rPr>
            </w:pPr>
            <w:r>
              <w:rPr>
                <w:rFonts w:hint="eastAsia" w:ascii="宋体" w:cs="宋体"/>
                <w:color w:val="auto"/>
                <w:spacing w:val="4"/>
                <w:szCs w:val="21"/>
              </w:rPr>
              <w:t>2.保修期内免收全部维修费用，保修期后设备发生故障，免费进行维修，只收取损零抨件的费用。</w:t>
            </w:r>
          </w:p>
          <w:p>
            <w:pPr>
              <w:spacing w:line="360" w:lineRule="exact"/>
              <w:rPr>
                <w:rFonts w:ascii="宋体" w:cs="宋体"/>
                <w:color w:val="auto"/>
                <w:spacing w:val="4"/>
                <w:szCs w:val="21"/>
              </w:rPr>
            </w:pPr>
            <w:r>
              <w:rPr>
                <w:rFonts w:hint="eastAsia" w:ascii="宋体" w:cs="宋体"/>
                <w:color w:val="auto"/>
                <w:spacing w:val="4"/>
                <w:szCs w:val="21"/>
              </w:rPr>
              <w:t>3.负责对买方工作人员进行全套设备的培训并提供培训资料，培训内容主要包括供货设备及系统的工作原理、操作、运行及维护等方面的知识，直至对方能独立熟练操作、运行、维护，理论及实际操作的培训时间各不少于一周。</w:t>
            </w:r>
          </w:p>
          <w:p>
            <w:pPr>
              <w:spacing w:line="360" w:lineRule="exact"/>
              <w:rPr>
                <w:rFonts w:ascii="宋体" w:cs="宋体"/>
                <w:color w:val="auto"/>
                <w:spacing w:val="4"/>
                <w:szCs w:val="21"/>
              </w:rPr>
            </w:pPr>
            <w:r>
              <w:rPr>
                <w:rFonts w:hint="eastAsia" w:ascii="宋体" w:cs="宋体"/>
                <w:color w:val="auto"/>
                <w:spacing w:val="4"/>
                <w:szCs w:val="21"/>
              </w:rPr>
              <w:t>4.对设备进行跟踪服务，保修期内每年6次保修期外每年4次免费巡查，就设备、管线使用情况进行定期检查。</w:t>
            </w:r>
          </w:p>
          <w:p>
            <w:pPr>
              <w:spacing w:line="360" w:lineRule="exact"/>
              <w:rPr>
                <w:rFonts w:ascii="宋体" w:cs="宋体"/>
                <w:color w:val="auto"/>
                <w:spacing w:val="4"/>
                <w:szCs w:val="21"/>
              </w:rPr>
            </w:pPr>
            <w:r>
              <w:rPr>
                <w:rFonts w:hint="eastAsia" w:ascii="宋体" w:cs="宋体"/>
                <w:color w:val="auto"/>
                <w:spacing w:val="4"/>
                <w:szCs w:val="21"/>
              </w:rPr>
              <w:t>5.为买方提供7×24小时全天候服务，对买方的服务需求迅速作出响应，设备发生故障时，保证在接到故障电话后立即响应，30分钟内由专业技术人员给予答复；对一般性技术问题通过电话或网络技术支持在2小时解决；对通过电话或网络技术支持不能解决的较大问题应2小时内响应，12小时内到达现场解决；对现场无法修复的设备，采用同类完好设备进行应急替换，替换设备发送、安装、调试时间不超过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255" w:type="dxa"/>
            <w:gridSpan w:val="2"/>
            <w:vAlign w:val="center"/>
          </w:tcPr>
          <w:p>
            <w:pPr>
              <w:snapToGrid w:val="0"/>
              <w:jc w:val="center"/>
              <w:rPr>
                <w:rFonts w:ascii="宋体" w:cs="宋体"/>
                <w:color w:val="auto"/>
                <w:szCs w:val="21"/>
              </w:rPr>
            </w:pPr>
            <w:r>
              <w:rPr>
                <w:rFonts w:hint="eastAsia" w:ascii="宋体" w:hAnsi="宋体" w:cs="宋体"/>
                <w:b/>
                <w:color w:val="auto"/>
                <w:szCs w:val="21"/>
              </w:rPr>
              <w:t>合同签订期</w:t>
            </w:r>
          </w:p>
        </w:tc>
        <w:tc>
          <w:tcPr>
            <w:tcW w:w="6691" w:type="dxa"/>
            <w:gridSpan w:val="3"/>
            <w:vAlign w:val="center"/>
          </w:tcPr>
          <w:p>
            <w:pPr>
              <w:snapToGrid w:val="0"/>
              <w:rPr>
                <w:rFonts w:ascii="宋体" w:cs="宋体"/>
                <w:color w:val="auto"/>
                <w:szCs w:val="21"/>
              </w:rPr>
            </w:pPr>
            <w:r>
              <w:rPr>
                <w:rFonts w:hint="eastAsia" w:ascii="宋体" w:hAnsi="宋体" w:cs="宋体"/>
                <w:color w:val="auto"/>
                <w:szCs w:val="21"/>
              </w:rPr>
              <w:t>自中标通知书发出之日起5天内，超过时间不签订合同的，采购人有权作自动放弃中标资格处理。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255" w:type="dxa"/>
            <w:gridSpan w:val="2"/>
            <w:vAlign w:val="center"/>
          </w:tcPr>
          <w:p>
            <w:pPr>
              <w:snapToGrid w:val="0"/>
              <w:jc w:val="center"/>
              <w:rPr>
                <w:rFonts w:ascii="宋体" w:cs="宋体"/>
                <w:color w:val="auto"/>
                <w:szCs w:val="21"/>
              </w:rPr>
            </w:pPr>
            <w:r>
              <w:rPr>
                <w:rFonts w:hint="eastAsia" w:ascii="宋体" w:hAnsi="宋体" w:cs="宋体"/>
                <w:b/>
                <w:color w:val="auto"/>
                <w:szCs w:val="21"/>
              </w:rPr>
              <w:t>付款条件</w:t>
            </w:r>
          </w:p>
        </w:tc>
        <w:tc>
          <w:tcPr>
            <w:tcW w:w="6691" w:type="dxa"/>
            <w:gridSpan w:val="3"/>
            <w:vAlign w:val="center"/>
          </w:tcPr>
          <w:p>
            <w:pPr>
              <w:snapToGrid w:val="0"/>
              <w:rPr>
                <w:rFonts w:ascii="宋体" w:cs="宋体"/>
                <w:color w:val="auto"/>
                <w:szCs w:val="21"/>
              </w:rPr>
            </w:pPr>
            <w:r>
              <w:rPr>
                <w:rFonts w:hint="eastAsia" w:ascii="宋体" w:cs="宋体"/>
                <w:color w:val="auto"/>
                <w:szCs w:val="21"/>
              </w:rPr>
              <w:t>合同签订后15个工作日内，甲方支付合同价款30%，所采购设备全部运输到现场，经初步验收后支付至合同价款的50%，安装调试完成支付至合同价款的70%，验收合格支付至合同价款的95%，余款作为质保金，在质保期满后，根据质保履行情况支付，每次支付时间期限为15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255" w:type="dxa"/>
            <w:gridSpan w:val="2"/>
            <w:vAlign w:val="center"/>
          </w:tcPr>
          <w:p>
            <w:pPr>
              <w:snapToGrid w:val="0"/>
              <w:jc w:val="center"/>
              <w:rPr>
                <w:rFonts w:ascii="宋体" w:cs="宋体"/>
                <w:color w:val="auto"/>
                <w:szCs w:val="21"/>
              </w:rPr>
            </w:pPr>
            <w:r>
              <w:rPr>
                <w:rFonts w:hint="eastAsia" w:ascii="宋体" w:hAnsi="宋体" w:cs="宋体"/>
                <w:b/>
                <w:color w:val="auto"/>
                <w:szCs w:val="21"/>
              </w:rPr>
              <w:t>核心产品</w:t>
            </w:r>
          </w:p>
        </w:tc>
        <w:tc>
          <w:tcPr>
            <w:tcW w:w="6691" w:type="dxa"/>
            <w:gridSpan w:val="3"/>
            <w:vAlign w:val="center"/>
          </w:tcPr>
          <w:p>
            <w:pPr>
              <w:tabs>
                <w:tab w:val="center" w:pos="3345"/>
              </w:tabs>
              <w:snapToGrid w:val="0"/>
              <w:rPr>
                <w:rFonts w:ascii="宋体" w:cs="宋体"/>
                <w:color w:val="auto"/>
                <w:szCs w:val="21"/>
              </w:rPr>
            </w:pPr>
            <w:r>
              <w:rPr>
                <w:rFonts w:hint="eastAsia" w:ascii="宋体" w:cs="宋体"/>
                <w:b/>
                <w:bCs/>
                <w:color w:val="auto"/>
                <w:szCs w:val="21"/>
              </w:rPr>
              <w:t>医疗废物高温蒸汽灭菌器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5" w:type="dxa"/>
            <w:gridSpan w:val="2"/>
            <w:vAlign w:val="center"/>
          </w:tcPr>
          <w:p>
            <w:pPr>
              <w:snapToGrid w:val="0"/>
              <w:jc w:val="center"/>
              <w:rPr>
                <w:rFonts w:ascii="宋体" w:cs="宋体"/>
                <w:color w:val="auto"/>
                <w:szCs w:val="21"/>
              </w:rPr>
            </w:pPr>
            <w:r>
              <w:rPr>
                <w:rFonts w:hint="eastAsia" w:ascii="宋体" w:cs="宋体"/>
                <w:color w:val="auto"/>
                <w:szCs w:val="21"/>
              </w:rPr>
              <w:t>设备安装要求</w:t>
            </w:r>
          </w:p>
        </w:tc>
        <w:tc>
          <w:tcPr>
            <w:tcW w:w="6691" w:type="dxa"/>
            <w:gridSpan w:val="3"/>
            <w:vAlign w:val="center"/>
          </w:tcPr>
          <w:p>
            <w:pPr>
              <w:spacing w:line="360" w:lineRule="exact"/>
              <w:rPr>
                <w:rFonts w:ascii="宋体" w:cs="宋体"/>
                <w:color w:val="auto"/>
                <w:spacing w:val="4"/>
                <w:szCs w:val="21"/>
              </w:rPr>
            </w:pPr>
            <w:r>
              <w:rPr>
                <w:rFonts w:hint="eastAsia" w:ascii="宋体" w:cs="宋体"/>
                <w:color w:val="auto"/>
                <w:spacing w:val="4"/>
                <w:szCs w:val="21"/>
              </w:rPr>
              <w:t>1、负责所有采购设备的安装及调试，设备安装达到“合格”标准。</w:t>
            </w:r>
          </w:p>
          <w:p>
            <w:pPr>
              <w:spacing w:line="360" w:lineRule="exact"/>
              <w:rPr>
                <w:rFonts w:ascii="宋体" w:cs="宋体"/>
                <w:color w:val="auto"/>
                <w:spacing w:val="4"/>
                <w:szCs w:val="21"/>
              </w:rPr>
            </w:pPr>
            <w:r>
              <w:rPr>
                <w:rFonts w:hint="eastAsia" w:ascii="宋体" w:cs="宋体"/>
                <w:color w:val="auto"/>
                <w:spacing w:val="4"/>
                <w:szCs w:val="21"/>
              </w:rPr>
              <w:t>2、灭菌器安装应按照相关技术规范的要求，建立质量保证体系并有效运行。</w:t>
            </w:r>
          </w:p>
          <w:p>
            <w:pPr>
              <w:spacing w:line="360" w:lineRule="exact"/>
              <w:rPr>
                <w:rFonts w:ascii="宋体" w:cs="宋体"/>
                <w:color w:val="auto"/>
                <w:spacing w:val="4"/>
                <w:szCs w:val="21"/>
              </w:rPr>
            </w:pPr>
            <w:r>
              <w:rPr>
                <w:rFonts w:hint="eastAsia" w:ascii="宋体" w:cs="宋体"/>
                <w:color w:val="auto"/>
                <w:spacing w:val="4"/>
                <w:szCs w:val="21"/>
              </w:rPr>
              <w:t>3、安装时向买方提供安装施工方案、图纸、施工质量证明文件等技术资料（含电子版资料），成套电器设备要提供二次接线图纸资料。</w:t>
            </w:r>
          </w:p>
          <w:p>
            <w:pPr>
              <w:spacing w:line="360" w:lineRule="exact"/>
              <w:rPr>
                <w:rFonts w:ascii="宋体" w:cs="宋体"/>
                <w:color w:val="auto"/>
                <w:spacing w:val="4"/>
                <w:szCs w:val="21"/>
              </w:rPr>
            </w:pPr>
            <w:r>
              <w:rPr>
                <w:rFonts w:hint="eastAsia" w:ascii="宋体" w:cs="宋体"/>
                <w:color w:val="auto"/>
                <w:spacing w:val="4"/>
                <w:szCs w:val="21"/>
              </w:rPr>
              <w:t>4、所有需要现场组装的设备应细致安装、配合精密，各螺栓、定位销等须安装到位并紧固，不可漏装、少装。</w:t>
            </w:r>
          </w:p>
          <w:p>
            <w:pPr>
              <w:spacing w:line="360" w:lineRule="exact"/>
              <w:rPr>
                <w:rFonts w:hAnsi="宋体" w:cs="宋体"/>
                <w:color w:val="auto"/>
                <w:szCs w:val="21"/>
              </w:rPr>
            </w:pPr>
            <w:r>
              <w:rPr>
                <w:rFonts w:hint="eastAsia" w:ascii="宋体" w:cs="宋体"/>
                <w:color w:val="auto"/>
                <w:spacing w:val="4"/>
                <w:szCs w:val="21"/>
              </w:rPr>
              <w:t>5、负责灭菌车间内配套预留的水、电、气等相关的</w:t>
            </w:r>
            <w:r>
              <w:rPr>
                <w:color w:val="auto"/>
              </w:rPr>
              <w:fldChar w:fldCharType="begin"/>
            </w:r>
            <w:r>
              <w:rPr>
                <w:color w:val="auto"/>
              </w:rPr>
              <w:instrText xml:space="preserve"> HYPERLINK "https://baike.baidu.com/item/%E7%BA%BF%E8%B7%AF/1005992" \t "https://baike.baidu.com/item/%E5%BB%BA%E7%AD%91%E5%B7%A5%E7%A8%8B/_blank" </w:instrText>
            </w:r>
            <w:r>
              <w:rPr>
                <w:color w:val="auto"/>
              </w:rPr>
              <w:fldChar w:fldCharType="separate"/>
            </w:r>
            <w:r>
              <w:rPr>
                <w:rFonts w:hint="eastAsia" w:ascii="宋体" w:cs="宋体"/>
                <w:color w:val="auto"/>
                <w:spacing w:val="4"/>
                <w:szCs w:val="21"/>
              </w:rPr>
              <w:t>线路</w:t>
            </w:r>
            <w:r>
              <w:rPr>
                <w:rFonts w:hint="eastAsia" w:ascii="宋体" w:cs="宋体"/>
                <w:color w:val="auto"/>
                <w:spacing w:val="4"/>
                <w:szCs w:val="21"/>
              </w:rPr>
              <w:fldChar w:fldCharType="end"/>
            </w:r>
            <w:r>
              <w:rPr>
                <w:rFonts w:hint="eastAsia" w:ascii="宋体" w:cs="宋体"/>
                <w:color w:val="auto"/>
                <w:spacing w:val="4"/>
                <w:szCs w:val="21"/>
              </w:rPr>
              <w:t>、</w:t>
            </w:r>
            <w:r>
              <w:rPr>
                <w:color w:val="auto"/>
              </w:rPr>
              <w:fldChar w:fldCharType="begin"/>
            </w:r>
            <w:r>
              <w:rPr>
                <w:color w:val="auto"/>
              </w:rPr>
              <w:instrText xml:space="preserve"> HYPERLINK "https://baike.baidu.com/item/%E7%AE%A1%E9%81%93/476943" \t "https://baike.baidu.com/item/%E5%BB%BA%E7%AD%91%E5%B7%A5%E7%A8%8B/_blank" </w:instrText>
            </w:r>
            <w:r>
              <w:rPr>
                <w:color w:val="auto"/>
              </w:rPr>
              <w:fldChar w:fldCharType="separate"/>
            </w:r>
            <w:r>
              <w:rPr>
                <w:rFonts w:hint="eastAsia" w:ascii="宋体" w:cs="宋体"/>
                <w:color w:val="auto"/>
                <w:spacing w:val="4"/>
                <w:szCs w:val="21"/>
              </w:rPr>
              <w:t>管道</w:t>
            </w:r>
            <w:r>
              <w:rPr>
                <w:rFonts w:hint="eastAsia" w:ascii="宋体" w:cs="宋体"/>
                <w:color w:val="auto"/>
                <w:spacing w:val="4"/>
                <w:szCs w:val="21"/>
              </w:rPr>
              <w:fldChar w:fldCharType="end"/>
            </w:r>
            <w:r>
              <w:rPr>
                <w:rFonts w:hint="eastAsia" w:ascii="宋体" w:cs="宋体"/>
                <w:color w:val="auto"/>
                <w:spacing w:val="4"/>
                <w:szCs w:val="21"/>
              </w:rPr>
              <w:t>、设备等与采购设备的连接，所有连接的管道须整齐美观，各水、电、气接口须连接紧固到位，不能出现渗漏现象。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5" w:type="dxa"/>
            <w:gridSpan w:val="2"/>
            <w:vAlign w:val="center"/>
          </w:tcPr>
          <w:p>
            <w:pPr>
              <w:snapToGrid w:val="0"/>
              <w:jc w:val="center"/>
              <w:rPr>
                <w:rFonts w:ascii="宋体" w:cs="宋体"/>
                <w:color w:val="auto"/>
                <w:szCs w:val="21"/>
              </w:rPr>
            </w:pPr>
            <w:r>
              <w:rPr>
                <w:rFonts w:hint="eastAsia" w:ascii="宋体" w:cs="宋体"/>
                <w:color w:val="auto"/>
                <w:szCs w:val="21"/>
              </w:rPr>
              <w:t>其他要求</w:t>
            </w:r>
          </w:p>
        </w:tc>
        <w:tc>
          <w:tcPr>
            <w:tcW w:w="6691" w:type="dxa"/>
            <w:gridSpan w:val="3"/>
            <w:vAlign w:val="center"/>
          </w:tcPr>
          <w:p>
            <w:pPr>
              <w:keepNext/>
              <w:suppressAutoHyphens/>
              <w:topLinePunct/>
              <w:autoSpaceDE w:val="0"/>
              <w:autoSpaceDN w:val="0"/>
              <w:spacing w:line="320" w:lineRule="exact"/>
              <w:jc w:val="left"/>
              <w:outlineLvl w:val="0"/>
              <w:rPr>
                <w:rFonts w:ascii="宋体" w:hAnsi="宋体" w:cs="宋体"/>
                <w:b/>
                <w:color w:val="auto"/>
                <w:kern w:val="0"/>
                <w:szCs w:val="21"/>
              </w:rPr>
            </w:pPr>
            <w:r>
              <w:rPr>
                <w:rFonts w:hint="eastAsia" w:ascii="宋体" w:hAnsi="宋体" w:cs="宋体"/>
                <w:b/>
                <w:color w:val="auto"/>
                <w:kern w:val="0"/>
                <w:szCs w:val="21"/>
              </w:rPr>
              <w:t>1、技术资料和交付进度</w:t>
            </w:r>
          </w:p>
          <w:p>
            <w:pPr>
              <w:keepNext/>
              <w:suppressAutoHyphens/>
              <w:topLinePunct/>
              <w:autoSpaceDE w:val="0"/>
              <w:autoSpaceDN w:val="0"/>
              <w:spacing w:line="320" w:lineRule="exact"/>
              <w:jc w:val="left"/>
              <w:outlineLvl w:val="1"/>
              <w:rPr>
                <w:rFonts w:ascii="宋体" w:hAnsi="宋体" w:cs="宋体"/>
                <w:b/>
                <w:color w:val="auto"/>
                <w:kern w:val="0"/>
                <w:szCs w:val="21"/>
              </w:rPr>
            </w:pPr>
            <w:bookmarkStart w:id="39" w:name="_Toc49860355"/>
            <w:bookmarkStart w:id="40" w:name="_Toc10017"/>
            <w:bookmarkStart w:id="41" w:name="_Toc534350503"/>
            <w:bookmarkStart w:id="42" w:name="_Toc59887855"/>
            <w:bookmarkStart w:id="43" w:name="_Toc59877274"/>
            <w:bookmarkStart w:id="44" w:name="_Toc57116757"/>
            <w:bookmarkStart w:id="45" w:name="_Toc59877217"/>
            <w:bookmarkStart w:id="46" w:name="_Toc86034917"/>
            <w:r>
              <w:rPr>
                <w:rFonts w:hint="eastAsia" w:ascii="宋体" w:hAnsi="宋体" w:cs="宋体"/>
                <w:b/>
                <w:color w:val="auto"/>
                <w:kern w:val="0"/>
                <w:szCs w:val="21"/>
              </w:rPr>
              <w:t>1.1　一般要求</w:t>
            </w:r>
            <w:bookmarkEnd w:id="39"/>
            <w:bookmarkEnd w:id="40"/>
            <w:bookmarkEnd w:id="41"/>
            <w:bookmarkEnd w:id="42"/>
            <w:bookmarkEnd w:id="43"/>
            <w:bookmarkEnd w:id="44"/>
            <w:bookmarkEnd w:id="45"/>
            <w:bookmarkEnd w:id="46"/>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1.1.1 所有资料分为合同签订阶段，配合设计阶段，设备监造检验、施工调试试运、性能试验验收和运行维护等四个方面。中标人根据计划和工程的进展更新所有资料，并根据总的合同条件提交所有最终资料。</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1.1.2 对于其它没有列入合同技术资料清单，却是工程所必需文件和资料，一经发现，中标人及时免费提供。后续设备有改进时，中标人也应及时免费提供新的技术资料。</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1.1.3 中标人配合采购人，及时提供与合同设备设计制造有关的资料。</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1.1.4 在相关的图纸和设计资料被最终认可之前，中标人不进行设备的装运。超出合同范围的图纸和设计资料的修改不作为调整合同价格变动的依据。</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1.1.5 中标人所提供的资料使用国家法定单位制即国际单位制(文字为中文)，进口部件的外文图纸及文件由中标人免费翻译成中文。图纸采用AutoCAD2004版本，文字资料采用Word2003版本。</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1.1.6 资料的组织结构清晰、逻辑性强。资料内容正确、准确、一致、清晰完整，满足工程要求。</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1.1.7 所有资料和图纸的改变做明确的标记，以便清楚地找到改变之处。</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1.1.8 中标人资料的提交及时、充分，满足工程进度要求。</w:t>
            </w:r>
          </w:p>
          <w:p>
            <w:pPr>
              <w:keepNext/>
              <w:suppressAutoHyphens/>
              <w:topLinePunct/>
              <w:autoSpaceDE w:val="0"/>
              <w:autoSpaceDN w:val="0"/>
              <w:spacing w:line="320" w:lineRule="exact"/>
              <w:jc w:val="left"/>
              <w:outlineLvl w:val="1"/>
              <w:rPr>
                <w:rFonts w:ascii="宋体" w:hAnsi="宋体" w:cs="宋体"/>
                <w:b/>
                <w:color w:val="auto"/>
                <w:kern w:val="0"/>
                <w:szCs w:val="21"/>
              </w:rPr>
            </w:pPr>
            <w:bookmarkStart w:id="47" w:name="_Toc49860356"/>
            <w:bookmarkStart w:id="48" w:name="_Toc10917"/>
            <w:bookmarkStart w:id="49" w:name="_Toc86034918"/>
            <w:bookmarkStart w:id="50" w:name="_Toc59877218"/>
            <w:bookmarkStart w:id="51" w:name="_Toc534350504"/>
            <w:bookmarkStart w:id="52" w:name="_Toc57116758"/>
            <w:bookmarkStart w:id="53" w:name="_Toc59877275"/>
            <w:bookmarkStart w:id="54" w:name="_Toc59887856"/>
            <w:r>
              <w:rPr>
                <w:rFonts w:hint="eastAsia" w:ascii="宋体" w:hAnsi="宋体" w:cs="宋体"/>
                <w:b/>
                <w:color w:val="auto"/>
                <w:kern w:val="0"/>
                <w:szCs w:val="21"/>
              </w:rPr>
              <w:t>1.2　技术资料内容和交付进度</w:t>
            </w:r>
            <w:bookmarkEnd w:id="47"/>
            <w:bookmarkEnd w:id="48"/>
            <w:bookmarkEnd w:id="49"/>
            <w:bookmarkEnd w:id="50"/>
            <w:bookmarkEnd w:id="51"/>
            <w:bookmarkEnd w:id="52"/>
            <w:bookmarkEnd w:id="53"/>
            <w:bookmarkEnd w:id="54"/>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1.2.1技术协议签订后的资料和图纸</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技术协议签订后7天之内向采购人提交全部设计用技术资料2份。</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1.2.2设备发运同时中标人向采购人提供（采购人收到的时间为第一批设备到达现场前）：</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（1）维护保养及操作手册</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（2）工艺管路安装图</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(3)电器仪表控制原理图、接线图</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(4)压力容器检验报告和材质报告（发货后两周内提供）</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(5)主要部件的技术资料</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(6)随机备品备件、专用工具明细单</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1.2.3 设备监造检查所需要的技术资料；</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1.2.4 施工、调试、试运、机组性能试验和运行维护所需的技术资料，随设备发货。</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1.2.5 中标人提供的其它技术资料随设备发货。</w:t>
            </w:r>
            <w:bookmarkStart w:id="55" w:name="_Toc24225"/>
            <w:bookmarkStart w:id="56" w:name="_Toc59887857"/>
            <w:bookmarkStart w:id="57" w:name="_Toc57116759"/>
            <w:bookmarkStart w:id="58" w:name="_Toc59877219"/>
            <w:bookmarkStart w:id="59" w:name="_Toc49860357"/>
            <w:bookmarkStart w:id="60" w:name="_Toc534350505"/>
            <w:bookmarkStart w:id="61" w:name="_Toc59877276"/>
            <w:bookmarkStart w:id="62" w:name="_Toc102032484"/>
            <w:bookmarkStart w:id="63" w:name="_Toc86034919"/>
          </w:p>
          <w:p>
            <w:pPr>
              <w:autoSpaceDE w:val="0"/>
              <w:autoSpaceDN w:val="0"/>
              <w:spacing w:line="320" w:lineRule="exact"/>
              <w:jc w:val="left"/>
              <w:rPr>
                <w:rFonts w:ascii="宋体" w:hAnsi="宋体" w:cs="宋体"/>
                <w:b/>
                <w:color w:val="auto"/>
                <w:kern w:val="0"/>
                <w:szCs w:val="21"/>
              </w:rPr>
            </w:pPr>
            <w:r>
              <w:rPr>
                <w:rFonts w:hint="eastAsia" w:ascii="宋体" w:hAnsi="宋体" w:cs="宋体"/>
                <w:b/>
                <w:color w:val="auto"/>
                <w:kern w:val="0"/>
                <w:szCs w:val="21"/>
              </w:rPr>
              <w:t>2　进度</w:t>
            </w:r>
            <w:bookmarkEnd w:id="55"/>
            <w:bookmarkEnd w:id="56"/>
            <w:bookmarkEnd w:id="57"/>
            <w:bookmarkEnd w:id="58"/>
            <w:bookmarkEnd w:id="59"/>
            <w:bookmarkEnd w:id="60"/>
            <w:bookmarkEnd w:id="61"/>
            <w:bookmarkEnd w:id="62"/>
            <w:bookmarkEnd w:id="63"/>
          </w:p>
          <w:p>
            <w:pPr>
              <w:overflowPunct w:val="0"/>
              <w:autoSpaceDE w:val="0"/>
              <w:autoSpaceDN w:val="0"/>
              <w:adjustRightInd w:val="0"/>
              <w:spacing w:line="320" w:lineRule="exact"/>
              <w:jc w:val="left"/>
              <w:rPr>
                <w:rFonts w:ascii="宋体" w:hAnsi="宋体" w:cs="宋体"/>
                <w:color w:val="auto"/>
                <w:kern w:val="0"/>
                <w:szCs w:val="21"/>
              </w:rPr>
            </w:pPr>
            <w:bookmarkStart w:id="64" w:name="_Toc59877280"/>
            <w:bookmarkStart w:id="65" w:name="_Toc534350509"/>
            <w:bookmarkStart w:id="66" w:name="_Toc59887861"/>
            <w:bookmarkStart w:id="67" w:name="_Toc86034920"/>
            <w:bookmarkStart w:id="68" w:name="_Toc57116763"/>
            <w:bookmarkStart w:id="69" w:name="_Toc59877223"/>
            <w:r>
              <w:rPr>
                <w:rFonts w:hint="eastAsia" w:ascii="宋体" w:hAnsi="宋体" w:cs="宋体"/>
                <w:color w:val="auto"/>
                <w:kern w:val="0"/>
                <w:szCs w:val="21"/>
              </w:rPr>
              <w:t>2.1 交货</w:t>
            </w:r>
            <w:bookmarkEnd w:id="64"/>
            <w:bookmarkEnd w:id="65"/>
            <w:bookmarkEnd w:id="66"/>
            <w:bookmarkEnd w:id="67"/>
            <w:bookmarkEnd w:id="68"/>
            <w:bookmarkEnd w:id="69"/>
          </w:p>
          <w:p>
            <w:pPr>
              <w:overflowPunct w:val="0"/>
              <w:autoSpaceDE w:val="0"/>
              <w:autoSpaceDN w:val="0"/>
              <w:adjustRightInd w:val="0"/>
              <w:spacing w:line="320" w:lineRule="exact"/>
              <w:ind w:firstLine="399" w:firstLineChars="190"/>
              <w:jc w:val="left"/>
              <w:rPr>
                <w:rFonts w:ascii="宋体" w:hAnsi="宋体" w:cs="宋体"/>
                <w:color w:val="auto"/>
                <w:kern w:val="0"/>
                <w:szCs w:val="21"/>
              </w:rPr>
            </w:pPr>
            <w:r>
              <w:rPr>
                <w:rFonts w:hint="eastAsia" w:ascii="宋体" w:hAnsi="宋体" w:cs="宋体"/>
                <w:color w:val="auto"/>
                <w:kern w:val="0"/>
                <w:szCs w:val="21"/>
              </w:rPr>
              <w:t>交货地点：广西壮族自治区防城港市内采购人指定地点。交货时间：自合同签订之日起90天内交付使用，调试完毕且具备生产条件。</w:t>
            </w:r>
          </w:p>
          <w:p>
            <w:pPr>
              <w:keepNext/>
              <w:suppressAutoHyphens/>
              <w:topLinePunct/>
              <w:autoSpaceDE w:val="0"/>
              <w:autoSpaceDN w:val="0"/>
              <w:spacing w:line="320" w:lineRule="exact"/>
              <w:jc w:val="left"/>
              <w:outlineLvl w:val="0"/>
              <w:rPr>
                <w:rFonts w:ascii="宋体" w:hAnsi="宋体" w:cs="宋体"/>
                <w:b/>
                <w:color w:val="auto"/>
                <w:kern w:val="0"/>
                <w:szCs w:val="21"/>
              </w:rPr>
            </w:pPr>
            <w:bookmarkStart w:id="70" w:name="_Toc59877283"/>
            <w:bookmarkStart w:id="71" w:name="_Toc59887864"/>
            <w:bookmarkStart w:id="72" w:name="_Toc102032485"/>
            <w:bookmarkStart w:id="73" w:name="_Toc86034921"/>
            <w:bookmarkStart w:id="74" w:name="_Toc534350512"/>
            <w:bookmarkStart w:id="75" w:name="_Toc57116766"/>
            <w:bookmarkStart w:id="76" w:name="_Toc49860358"/>
            <w:bookmarkStart w:id="77" w:name="_Toc29383"/>
            <w:bookmarkStart w:id="78" w:name="_Toc59877226"/>
            <w:r>
              <w:rPr>
                <w:rFonts w:hint="eastAsia" w:ascii="宋体" w:hAnsi="宋体" w:cs="宋体"/>
                <w:b/>
                <w:color w:val="auto"/>
                <w:kern w:val="0"/>
                <w:szCs w:val="21"/>
              </w:rPr>
              <w:t>3 监造、工厂检查和性能验收试验</w:t>
            </w:r>
            <w:bookmarkEnd w:id="70"/>
            <w:bookmarkEnd w:id="71"/>
            <w:bookmarkEnd w:id="72"/>
            <w:bookmarkEnd w:id="73"/>
            <w:bookmarkEnd w:id="74"/>
            <w:bookmarkEnd w:id="75"/>
            <w:bookmarkEnd w:id="76"/>
            <w:bookmarkEnd w:id="77"/>
            <w:bookmarkEnd w:id="78"/>
          </w:p>
          <w:p>
            <w:pPr>
              <w:keepNext/>
              <w:suppressAutoHyphens/>
              <w:topLinePunct/>
              <w:autoSpaceDE w:val="0"/>
              <w:autoSpaceDN w:val="0"/>
              <w:spacing w:line="320" w:lineRule="exact"/>
              <w:jc w:val="left"/>
              <w:outlineLvl w:val="1"/>
              <w:rPr>
                <w:rFonts w:ascii="宋体" w:hAnsi="宋体" w:cs="宋体"/>
                <w:b/>
                <w:color w:val="auto"/>
                <w:kern w:val="0"/>
                <w:szCs w:val="21"/>
              </w:rPr>
            </w:pPr>
            <w:bookmarkStart w:id="79" w:name="_Toc59877227"/>
            <w:bookmarkStart w:id="80" w:name="_Toc8948"/>
            <w:bookmarkStart w:id="81" w:name="_Toc59877284"/>
            <w:bookmarkStart w:id="82" w:name="_Toc49860359"/>
            <w:bookmarkStart w:id="83" w:name="_Toc86034922"/>
            <w:bookmarkStart w:id="84" w:name="_Toc534350513"/>
            <w:bookmarkStart w:id="85" w:name="_Toc59887865"/>
            <w:r>
              <w:rPr>
                <w:rFonts w:hint="eastAsia" w:ascii="宋体" w:hAnsi="宋体" w:cs="宋体"/>
                <w:b/>
                <w:color w:val="auto"/>
                <w:kern w:val="0"/>
                <w:szCs w:val="21"/>
              </w:rPr>
              <w:t>3.1 概述</w:t>
            </w:r>
            <w:bookmarkEnd w:id="79"/>
            <w:bookmarkEnd w:id="80"/>
            <w:bookmarkEnd w:id="81"/>
            <w:bookmarkEnd w:id="82"/>
            <w:bookmarkEnd w:id="83"/>
            <w:bookmarkEnd w:id="84"/>
            <w:bookmarkEnd w:id="85"/>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本章节用于合同执行期间对中标人所提供的设备(包括对分包外购设备)进行监造、检查和性能验收试验，确保中标人所提供的设备符合采购相关</w:t>
            </w:r>
            <w:r>
              <w:rPr>
                <w:rFonts w:hint="eastAsia" w:ascii="宋体" w:hAnsi="宋体" w:cs="宋体"/>
                <w:color w:val="auto"/>
                <w:szCs w:val="21"/>
              </w:rPr>
              <w:t>技术</w:t>
            </w:r>
            <w:r>
              <w:rPr>
                <w:rFonts w:hint="eastAsia" w:ascii="宋体" w:hAnsi="宋体" w:cs="宋体"/>
                <w:color w:val="auto"/>
                <w:kern w:val="0"/>
                <w:szCs w:val="21"/>
              </w:rPr>
              <w:t>规定的要求。</w:t>
            </w:r>
          </w:p>
          <w:p>
            <w:pPr>
              <w:keepNext/>
              <w:suppressAutoHyphens/>
              <w:topLinePunct/>
              <w:autoSpaceDE w:val="0"/>
              <w:autoSpaceDN w:val="0"/>
              <w:spacing w:line="320" w:lineRule="exact"/>
              <w:jc w:val="left"/>
              <w:outlineLvl w:val="1"/>
              <w:rPr>
                <w:rFonts w:ascii="宋体" w:hAnsi="宋体" w:cs="宋体"/>
                <w:b/>
                <w:color w:val="auto"/>
                <w:kern w:val="0"/>
                <w:szCs w:val="21"/>
              </w:rPr>
            </w:pPr>
            <w:bookmarkStart w:id="86" w:name="_Toc86034923"/>
            <w:bookmarkStart w:id="87" w:name="_Toc59877228"/>
            <w:bookmarkStart w:id="88" w:name="_Toc59887866"/>
            <w:bookmarkStart w:id="89" w:name="_Toc49860360"/>
            <w:bookmarkStart w:id="90" w:name="_Toc5565"/>
            <w:bookmarkStart w:id="91" w:name="_Toc59877285"/>
            <w:bookmarkStart w:id="92" w:name="_Toc57116768"/>
            <w:bookmarkStart w:id="93" w:name="_Toc534350514"/>
            <w:r>
              <w:rPr>
                <w:rFonts w:hint="eastAsia" w:ascii="宋体" w:hAnsi="宋体" w:cs="宋体"/>
                <w:b/>
                <w:color w:val="auto"/>
                <w:kern w:val="0"/>
                <w:szCs w:val="21"/>
              </w:rPr>
              <w:t>3.2监造</w:t>
            </w:r>
            <w:bookmarkEnd w:id="86"/>
            <w:bookmarkEnd w:id="87"/>
            <w:bookmarkEnd w:id="88"/>
            <w:bookmarkEnd w:id="89"/>
            <w:bookmarkEnd w:id="90"/>
            <w:bookmarkEnd w:id="91"/>
            <w:bookmarkEnd w:id="92"/>
            <w:bookmarkEnd w:id="93"/>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3.2.1监造依据</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参照相关规范标准</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3.2.2监造方式</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3.2.3.1中标人有配合采购人监造的义务，并及时提供相关资料，并不由此发生任何费用。中标人必须为采购人委托的驻厂代表和监造代表的监造检验提供食宿方便：</w:t>
            </w:r>
          </w:p>
          <w:p>
            <w:pPr>
              <w:autoSpaceDE w:val="0"/>
              <w:autoSpaceDN w:val="0"/>
              <w:spacing w:line="320" w:lineRule="exact"/>
              <w:ind w:firstLine="399" w:firstLineChars="190"/>
              <w:jc w:val="left"/>
              <w:rPr>
                <w:rFonts w:ascii="宋体" w:hAnsi="宋体" w:cs="宋体"/>
                <w:color w:val="auto"/>
                <w:kern w:val="0"/>
                <w:szCs w:val="21"/>
              </w:rPr>
            </w:pPr>
            <w:r>
              <w:rPr>
                <w:rFonts w:hint="eastAsia" w:ascii="宋体" w:hAnsi="宋体" w:cs="宋体"/>
                <w:color w:val="auto"/>
                <w:kern w:val="0"/>
                <w:szCs w:val="21"/>
              </w:rPr>
              <w:t>·驻厂代表可以查阅与本合同设备监造有关的标准（包括工厂标准）、图纸、资料、工艺及实际工艺过程和检验记录（包括中间检验记录和／或不一致性报告）及技术规定书规定的有关文件以及复印件，中标人提供由特种设备检验监督机构出具的质量证明书。</w:t>
            </w:r>
          </w:p>
          <w:p>
            <w:pPr>
              <w:keepNext/>
              <w:suppressAutoHyphens/>
              <w:topLinePunct/>
              <w:autoSpaceDE w:val="0"/>
              <w:autoSpaceDN w:val="0"/>
              <w:spacing w:line="320" w:lineRule="exact"/>
              <w:jc w:val="left"/>
              <w:outlineLvl w:val="1"/>
              <w:rPr>
                <w:rFonts w:ascii="宋体" w:hAnsi="宋体" w:cs="宋体"/>
                <w:b/>
                <w:color w:val="auto"/>
                <w:kern w:val="0"/>
                <w:szCs w:val="21"/>
              </w:rPr>
            </w:pPr>
            <w:bookmarkStart w:id="94" w:name="_Toc49860361"/>
            <w:bookmarkStart w:id="95" w:name="_Toc59877229"/>
            <w:bookmarkStart w:id="96" w:name="_Toc57116769"/>
            <w:bookmarkStart w:id="97" w:name="_Toc534350515"/>
            <w:bookmarkStart w:id="98" w:name="_Toc59887867"/>
            <w:bookmarkStart w:id="99" w:name="_Toc59877286"/>
            <w:bookmarkStart w:id="100" w:name="_Toc6119"/>
            <w:bookmarkStart w:id="101" w:name="_Toc86034924"/>
            <w:bookmarkStart w:id="102" w:name="_Toc11761794"/>
            <w:bookmarkStart w:id="103" w:name="_Toc86034925"/>
            <w:bookmarkStart w:id="104" w:name="_Toc534350516"/>
            <w:bookmarkStart w:id="105" w:name="_Toc57036767"/>
            <w:bookmarkStart w:id="106" w:name="_Toc519863010"/>
            <w:bookmarkStart w:id="107" w:name="_Toc59887868"/>
            <w:bookmarkStart w:id="108" w:name="_Toc59877287"/>
            <w:bookmarkStart w:id="109" w:name="_Toc59877230"/>
            <w:bookmarkStart w:id="110" w:name="_Toc11762029"/>
            <w:r>
              <w:rPr>
                <w:rFonts w:hint="eastAsia" w:ascii="宋体" w:hAnsi="宋体" w:cs="宋体"/>
                <w:b/>
                <w:color w:val="auto"/>
                <w:kern w:val="0"/>
                <w:szCs w:val="21"/>
              </w:rPr>
              <w:t>3.3 工厂检查</w:t>
            </w:r>
            <w:bookmarkEnd w:id="94"/>
            <w:bookmarkEnd w:id="95"/>
            <w:bookmarkEnd w:id="96"/>
            <w:bookmarkEnd w:id="97"/>
            <w:bookmarkEnd w:id="98"/>
            <w:bookmarkEnd w:id="99"/>
            <w:bookmarkEnd w:id="100"/>
            <w:bookmarkEnd w:id="101"/>
          </w:p>
          <w:p>
            <w:pPr>
              <w:tabs>
                <w:tab w:val="left" w:pos="210"/>
              </w:tabs>
              <w:autoSpaceDE w:val="0"/>
              <w:autoSpaceDN w:val="0"/>
              <w:spacing w:line="320" w:lineRule="exact"/>
              <w:jc w:val="left"/>
              <w:outlineLvl w:val="2"/>
              <w:rPr>
                <w:rFonts w:ascii="宋体" w:hAnsi="宋体" w:cs="宋体"/>
                <w:b/>
                <w:color w:val="auto"/>
                <w:kern w:val="0"/>
                <w:szCs w:val="21"/>
              </w:rPr>
            </w:pPr>
            <w:bookmarkStart w:id="111" w:name="_Toc5259"/>
            <w:bookmarkStart w:id="112" w:name="_Toc49860362"/>
            <w:r>
              <w:rPr>
                <w:rFonts w:hint="eastAsia" w:ascii="宋体" w:hAnsi="宋体" w:cs="宋体"/>
                <w:b/>
                <w:color w:val="auto"/>
                <w:kern w:val="0"/>
                <w:szCs w:val="21"/>
              </w:rPr>
              <w:t>3.3.1总则</w:t>
            </w:r>
            <w:bookmarkEnd w:id="111"/>
            <w:bookmarkEnd w:id="112"/>
          </w:p>
          <w:p>
            <w:pPr>
              <w:autoSpaceDE w:val="0"/>
              <w:autoSpaceDN w:val="0"/>
              <w:spacing w:line="320" w:lineRule="exact"/>
              <w:ind w:firstLine="413" w:firstLineChars="197"/>
              <w:jc w:val="left"/>
              <w:rPr>
                <w:rFonts w:ascii="宋体" w:hAnsi="宋体" w:cs="宋体"/>
                <w:color w:val="auto"/>
                <w:kern w:val="0"/>
                <w:szCs w:val="21"/>
              </w:rPr>
            </w:pPr>
            <w:r>
              <w:rPr>
                <w:rFonts w:hint="eastAsia" w:ascii="宋体" w:hAnsi="宋体" w:cs="宋体"/>
                <w:color w:val="auto"/>
                <w:kern w:val="0"/>
                <w:szCs w:val="21"/>
              </w:rPr>
              <w:t>工厂检查是质量控制的一个重要组成部分。中标人严格进行厂内各生产环节的检查和试验。中标人提供的合同设备签发质量证明、检验记录和测试报告，并且作为交货时质量证明文件的组成部分。</w:t>
            </w:r>
          </w:p>
          <w:p>
            <w:pPr>
              <w:autoSpaceDE w:val="0"/>
              <w:autoSpaceDN w:val="0"/>
              <w:spacing w:line="320" w:lineRule="exact"/>
              <w:ind w:firstLine="413" w:firstLineChars="197"/>
              <w:jc w:val="left"/>
              <w:rPr>
                <w:rFonts w:ascii="宋体" w:hAnsi="宋体" w:cs="宋体"/>
                <w:color w:val="auto"/>
                <w:kern w:val="0"/>
                <w:szCs w:val="21"/>
              </w:rPr>
            </w:pPr>
            <w:r>
              <w:rPr>
                <w:rFonts w:hint="eastAsia" w:ascii="宋体" w:hAnsi="宋体" w:cs="宋体"/>
                <w:color w:val="auto"/>
                <w:kern w:val="0"/>
                <w:szCs w:val="21"/>
              </w:rPr>
              <w:t>检查范围包括原材料和元器件的进厂，部件的加工、组装、试验、出厂试验。</w:t>
            </w:r>
          </w:p>
          <w:p>
            <w:pPr>
              <w:autoSpaceDE w:val="0"/>
              <w:autoSpaceDN w:val="0"/>
              <w:spacing w:line="320" w:lineRule="exact"/>
              <w:ind w:firstLine="413" w:firstLineChars="197"/>
              <w:jc w:val="left"/>
              <w:rPr>
                <w:rFonts w:ascii="宋体" w:hAnsi="宋体" w:cs="宋体"/>
                <w:color w:val="auto"/>
                <w:kern w:val="0"/>
                <w:szCs w:val="21"/>
              </w:rPr>
            </w:pPr>
            <w:r>
              <w:rPr>
                <w:rFonts w:hint="eastAsia" w:ascii="宋体" w:hAnsi="宋体" w:cs="宋体"/>
                <w:color w:val="auto"/>
                <w:kern w:val="0"/>
                <w:szCs w:val="21"/>
              </w:rPr>
              <w:t>中标人检查的结果满足相关</w:t>
            </w:r>
            <w:r>
              <w:rPr>
                <w:rFonts w:hint="eastAsia" w:ascii="宋体" w:hAnsi="宋体" w:cs="宋体"/>
                <w:color w:val="auto"/>
                <w:szCs w:val="21"/>
              </w:rPr>
              <w:t>技术规定</w:t>
            </w:r>
            <w:r>
              <w:rPr>
                <w:rFonts w:hint="eastAsia" w:ascii="宋体" w:hAnsi="宋体" w:cs="宋体"/>
                <w:color w:val="auto"/>
                <w:kern w:val="0"/>
                <w:szCs w:val="21"/>
              </w:rPr>
              <w:t>的要求，如有不符之处或达不到标准要求，中标人采取措施处理直至满足要求，同时向采购人提交不一致性报告。中标人发生重大质量问题时将情况及时通知采购人。</w:t>
            </w:r>
          </w:p>
          <w:p>
            <w:pPr>
              <w:autoSpaceDE w:val="0"/>
              <w:autoSpaceDN w:val="0"/>
              <w:spacing w:line="320" w:lineRule="exact"/>
              <w:ind w:firstLine="413" w:firstLineChars="197"/>
              <w:jc w:val="left"/>
              <w:rPr>
                <w:rFonts w:ascii="宋体" w:hAnsi="宋体" w:cs="宋体"/>
                <w:color w:val="auto"/>
                <w:kern w:val="0"/>
                <w:szCs w:val="21"/>
              </w:rPr>
            </w:pPr>
            <w:r>
              <w:rPr>
                <w:rFonts w:hint="eastAsia" w:ascii="宋体" w:hAnsi="宋体" w:cs="宋体"/>
                <w:color w:val="auto"/>
                <w:kern w:val="0"/>
                <w:szCs w:val="21"/>
              </w:rPr>
              <w:t>由中标人供的所有合同设备／部件（包括分包与外购），在生产过程中都须进行严格的检验和试验，出厂前须进行部套和／或整机总装和试验。所有检验、试验和总装（装配）必须有正式的记录文件。以上工作完成之后，合格者才能出厂发运。所有这些正式的记录文件及合格证作为技术资料的一部分邮寄给采购人存档。此外，中标人在随机文件中提供合格证和质量证明文件。</w:t>
            </w:r>
          </w:p>
          <w:p>
            <w:pPr>
              <w:autoSpaceDE w:val="0"/>
              <w:autoSpaceDN w:val="0"/>
              <w:spacing w:line="320" w:lineRule="exact"/>
              <w:ind w:firstLine="413" w:firstLineChars="197"/>
              <w:jc w:val="left"/>
              <w:rPr>
                <w:rFonts w:ascii="宋体" w:hAnsi="宋体" w:cs="宋体"/>
                <w:color w:val="auto"/>
                <w:kern w:val="0"/>
                <w:szCs w:val="21"/>
              </w:rPr>
            </w:pPr>
            <w:r>
              <w:rPr>
                <w:rFonts w:hint="eastAsia" w:ascii="宋体" w:hAnsi="宋体" w:cs="宋体"/>
                <w:color w:val="auto"/>
                <w:kern w:val="0"/>
                <w:szCs w:val="21"/>
              </w:rPr>
              <w:t>国内工厂检查的所有费用包括在合同总价之中。</w:t>
            </w:r>
          </w:p>
          <w:p>
            <w:pPr>
              <w:keepNext/>
              <w:suppressAutoHyphens/>
              <w:topLinePunct/>
              <w:autoSpaceDE w:val="0"/>
              <w:autoSpaceDN w:val="0"/>
              <w:spacing w:line="320" w:lineRule="exact"/>
              <w:jc w:val="left"/>
              <w:outlineLvl w:val="1"/>
              <w:rPr>
                <w:rFonts w:ascii="宋体" w:hAnsi="宋体" w:cs="宋体"/>
                <w:b/>
                <w:color w:val="auto"/>
                <w:kern w:val="0"/>
                <w:szCs w:val="21"/>
              </w:rPr>
            </w:pPr>
            <w:bookmarkStart w:id="113" w:name="_Toc49860363"/>
            <w:bookmarkStart w:id="114" w:name="_Toc12250"/>
            <w:r>
              <w:rPr>
                <w:rFonts w:hint="eastAsia" w:ascii="宋体" w:hAnsi="宋体" w:cs="宋体"/>
                <w:b/>
                <w:color w:val="auto"/>
                <w:kern w:val="0"/>
                <w:szCs w:val="21"/>
              </w:rPr>
              <w:t>3</w:t>
            </w:r>
            <w:r>
              <w:rPr>
                <w:rFonts w:hint="eastAsia" w:ascii="宋体" w:hAnsi="宋体" w:cs="宋体"/>
                <w:b/>
                <w:color w:val="auto"/>
                <w:kern w:val="0"/>
                <w:szCs w:val="21"/>
                <w:lang w:eastAsia="en-US"/>
              </w:rPr>
              <w:t>.4</w:t>
            </w:r>
            <w:bookmarkStart w:id="115" w:name="_Toc45668097"/>
            <w:bookmarkStart w:id="116" w:name="_Toc21480"/>
            <w:bookmarkStart w:id="117" w:name="_Toc32322"/>
            <w:r>
              <w:rPr>
                <w:rFonts w:hint="eastAsia" w:ascii="宋体" w:hAnsi="宋体" w:cs="宋体"/>
                <w:b/>
                <w:bCs/>
                <w:color w:val="auto"/>
                <w:kern w:val="0"/>
                <w:szCs w:val="21"/>
                <w:lang w:eastAsia="en-US"/>
              </w:rPr>
              <w:t>安装</w:t>
            </w:r>
            <w:bookmarkEnd w:id="113"/>
            <w:bookmarkEnd w:id="115"/>
            <w:bookmarkEnd w:id="116"/>
            <w:bookmarkEnd w:id="117"/>
          </w:p>
          <w:p>
            <w:pPr>
              <w:keepNext/>
              <w:numPr>
                <w:ilvl w:val="0"/>
                <w:numId w:val="5"/>
              </w:numPr>
              <w:spacing w:before="120" w:after="120" w:line="320" w:lineRule="exact"/>
              <w:outlineLvl w:val="3"/>
              <w:rPr>
                <w:rFonts w:ascii="宋体" w:hAnsi="宋体" w:cs="宋体"/>
                <w:b/>
                <w:bCs/>
                <w:color w:val="auto"/>
                <w:szCs w:val="21"/>
                <w:lang w:eastAsia="en-US"/>
              </w:rPr>
            </w:pPr>
            <w:r>
              <w:rPr>
                <w:rFonts w:hint="eastAsia" w:ascii="宋体" w:hAnsi="宋体" w:cs="宋体"/>
                <w:b/>
                <w:bCs/>
                <w:color w:val="auto"/>
                <w:szCs w:val="21"/>
                <w:lang w:eastAsia="en-US"/>
              </w:rPr>
              <w:t xml:space="preserve">安装要求 </w:t>
            </w:r>
          </w:p>
          <w:p>
            <w:pPr>
              <w:autoSpaceDE w:val="0"/>
              <w:autoSpaceDN w:val="0"/>
              <w:spacing w:line="320" w:lineRule="exact"/>
              <w:ind w:firstLine="413" w:firstLineChars="197"/>
              <w:jc w:val="left"/>
              <w:rPr>
                <w:rFonts w:ascii="宋体" w:hAnsi="宋体" w:cs="宋体"/>
                <w:color w:val="auto"/>
                <w:kern w:val="0"/>
                <w:szCs w:val="21"/>
              </w:rPr>
            </w:pPr>
            <w:r>
              <w:rPr>
                <w:rFonts w:hint="eastAsia" w:ascii="宋体" w:hAnsi="宋体" w:cs="宋体"/>
                <w:color w:val="auto"/>
                <w:kern w:val="0"/>
                <w:szCs w:val="21"/>
              </w:rPr>
              <w:t>中标方负责医废高温蒸汽灭菌处理系统成套设备的安装与调试工作。</w:t>
            </w:r>
          </w:p>
          <w:p>
            <w:pPr>
              <w:autoSpaceDE w:val="0"/>
              <w:autoSpaceDN w:val="0"/>
              <w:spacing w:line="320" w:lineRule="exact"/>
              <w:ind w:firstLine="413" w:firstLineChars="197"/>
              <w:jc w:val="left"/>
              <w:rPr>
                <w:rFonts w:ascii="宋体" w:hAnsi="宋体" w:cs="宋体"/>
                <w:color w:val="auto"/>
                <w:kern w:val="0"/>
                <w:szCs w:val="21"/>
              </w:rPr>
            </w:pPr>
            <w:r>
              <w:rPr>
                <w:rFonts w:hint="eastAsia" w:ascii="宋体" w:hAnsi="宋体" w:cs="宋体"/>
                <w:color w:val="auto"/>
                <w:kern w:val="0"/>
                <w:szCs w:val="21"/>
              </w:rPr>
              <w:t>安装工程包括工艺系统设备、管道、阀门的安装；电气设备的安装；控制设备的安装；供货设备水、电、气与外部管线连接的安装。</w:t>
            </w:r>
          </w:p>
          <w:p>
            <w:pPr>
              <w:autoSpaceDE w:val="0"/>
              <w:autoSpaceDN w:val="0"/>
              <w:spacing w:line="320" w:lineRule="exact"/>
              <w:ind w:firstLine="413" w:firstLineChars="197"/>
              <w:jc w:val="left"/>
              <w:rPr>
                <w:rFonts w:ascii="宋体" w:hAnsi="宋体" w:cs="宋体"/>
                <w:color w:val="auto"/>
                <w:kern w:val="0"/>
                <w:szCs w:val="21"/>
              </w:rPr>
            </w:pPr>
            <w:r>
              <w:rPr>
                <w:rFonts w:hint="eastAsia" w:ascii="宋体" w:hAnsi="宋体" w:cs="宋体"/>
                <w:color w:val="auto"/>
                <w:kern w:val="0"/>
                <w:szCs w:val="21"/>
              </w:rPr>
              <w:t>设备安装期的水费、电费由甲方承担。</w:t>
            </w:r>
          </w:p>
          <w:p>
            <w:pPr>
              <w:autoSpaceDE w:val="0"/>
              <w:autoSpaceDN w:val="0"/>
              <w:spacing w:line="320" w:lineRule="exact"/>
              <w:ind w:firstLine="413" w:firstLineChars="197"/>
              <w:jc w:val="left"/>
              <w:rPr>
                <w:rFonts w:ascii="宋体" w:hAnsi="宋体" w:cs="宋体"/>
                <w:color w:val="auto"/>
                <w:kern w:val="0"/>
                <w:szCs w:val="21"/>
              </w:rPr>
            </w:pPr>
            <w:r>
              <w:rPr>
                <w:rFonts w:hint="eastAsia" w:ascii="宋体" w:hAnsi="宋体" w:cs="宋体"/>
                <w:color w:val="auto"/>
                <w:kern w:val="0"/>
                <w:szCs w:val="21"/>
              </w:rPr>
              <w:t>设备标志标牌的做法执行甲方统一规定。</w:t>
            </w:r>
          </w:p>
          <w:p>
            <w:pPr>
              <w:keepNext/>
              <w:numPr>
                <w:ilvl w:val="0"/>
                <w:numId w:val="5"/>
              </w:numPr>
              <w:spacing w:before="120" w:after="120" w:line="320" w:lineRule="exact"/>
              <w:outlineLvl w:val="3"/>
              <w:rPr>
                <w:rFonts w:ascii="宋体" w:hAnsi="宋体" w:cs="宋体"/>
                <w:b/>
                <w:bCs/>
                <w:color w:val="auto"/>
                <w:szCs w:val="21"/>
                <w:lang w:eastAsia="en-US"/>
              </w:rPr>
            </w:pPr>
            <w:r>
              <w:rPr>
                <w:rFonts w:hint="eastAsia" w:ascii="宋体" w:hAnsi="宋体" w:cs="宋体"/>
                <w:b/>
                <w:bCs/>
                <w:color w:val="auto"/>
                <w:szCs w:val="21"/>
                <w:lang w:eastAsia="en-US"/>
              </w:rPr>
              <w:t>安装接口</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1）工程现场的水、电、蒸汽条件由采购人负责。接口为电气电缆到设备用电位置，水、蒸汽送至设备接口位置。</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2）设备的安装、调试由中标人负责，包括设备内部的管线连接（水电管线），甲方负责按提资图要求将所需预留管线敷设至相应位置。</w:t>
            </w:r>
          </w:p>
          <w:p>
            <w:pPr>
              <w:keepNext/>
              <w:suppressAutoHyphens/>
              <w:topLinePunct/>
              <w:autoSpaceDE w:val="0"/>
              <w:autoSpaceDN w:val="0"/>
              <w:spacing w:line="320" w:lineRule="exact"/>
              <w:jc w:val="left"/>
              <w:outlineLvl w:val="1"/>
              <w:rPr>
                <w:rFonts w:ascii="宋体" w:hAnsi="宋体" w:cs="宋体"/>
                <w:b/>
                <w:color w:val="auto"/>
                <w:kern w:val="0"/>
                <w:szCs w:val="21"/>
              </w:rPr>
            </w:pPr>
            <w:bookmarkStart w:id="118" w:name="_Toc49860364"/>
            <w:r>
              <w:rPr>
                <w:rFonts w:hint="eastAsia" w:ascii="宋体" w:hAnsi="宋体" w:cs="宋体"/>
                <w:b/>
                <w:color w:val="auto"/>
                <w:kern w:val="0"/>
                <w:szCs w:val="21"/>
              </w:rPr>
              <w:t>3.5调试</w:t>
            </w:r>
            <w:bookmarkEnd w:id="118"/>
          </w:p>
          <w:p>
            <w:pPr>
              <w:tabs>
                <w:tab w:val="left" w:pos="840"/>
              </w:tabs>
              <w:autoSpaceDE w:val="0"/>
              <w:autoSpaceDN w:val="0"/>
              <w:spacing w:line="320" w:lineRule="exact"/>
              <w:ind w:left="-36" w:firstLine="420" w:firstLineChars="200"/>
              <w:jc w:val="left"/>
              <w:rPr>
                <w:rFonts w:ascii="宋体" w:hAnsi="宋体" w:cs="宋体"/>
                <w:color w:val="auto"/>
                <w:kern w:val="0"/>
                <w:szCs w:val="21"/>
              </w:rPr>
            </w:pPr>
            <w:r>
              <w:rPr>
                <w:rFonts w:hint="eastAsia" w:ascii="宋体" w:hAnsi="宋体" w:cs="宋体"/>
                <w:color w:val="auto"/>
                <w:kern w:val="0"/>
                <w:szCs w:val="21"/>
              </w:rPr>
              <w:t>供货范围内所有设备和材料的运输和卸货，由中标人负责。</w:t>
            </w:r>
          </w:p>
          <w:p>
            <w:pPr>
              <w:tabs>
                <w:tab w:val="left" w:pos="840"/>
              </w:tabs>
              <w:autoSpaceDE w:val="0"/>
              <w:autoSpaceDN w:val="0"/>
              <w:spacing w:line="320" w:lineRule="exact"/>
              <w:ind w:left="-36" w:firstLine="420" w:firstLineChars="200"/>
              <w:jc w:val="left"/>
              <w:rPr>
                <w:rFonts w:ascii="宋体" w:hAnsi="宋体" w:cs="宋体"/>
                <w:color w:val="auto"/>
                <w:kern w:val="0"/>
                <w:szCs w:val="21"/>
              </w:rPr>
            </w:pPr>
            <w:r>
              <w:rPr>
                <w:rFonts w:hint="eastAsia" w:ascii="宋体" w:hAnsi="宋体" w:cs="宋体"/>
                <w:color w:val="auto"/>
                <w:kern w:val="0"/>
                <w:szCs w:val="21"/>
              </w:rPr>
              <w:t>供货范围内所有设备和材料的安装和调试均由中标人负责。</w:t>
            </w:r>
          </w:p>
          <w:p>
            <w:pPr>
              <w:tabs>
                <w:tab w:val="left" w:pos="840"/>
              </w:tabs>
              <w:autoSpaceDE w:val="0"/>
              <w:autoSpaceDN w:val="0"/>
              <w:spacing w:line="320" w:lineRule="exact"/>
              <w:ind w:left="-36" w:firstLine="420" w:firstLineChars="200"/>
              <w:jc w:val="left"/>
              <w:rPr>
                <w:rFonts w:ascii="宋体" w:hAnsi="宋体" w:cs="宋体"/>
                <w:color w:val="auto"/>
                <w:kern w:val="0"/>
                <w:szCs w:val="21"/>
              </w:rPr>
            </w:pPr>
            <w:r>
              <w:rPr>
                <w:rFonts w:hint="eastAsia" w:ascii="宋体" w:hAnsi="宋体" w:cs="宋体"/>
                <w:color w:val="auto"/>
                <w:kern w:val="0"/>
                <w:szCs w:val="21"/>
              </w:rPr>
              <w:t>设备调试分为单机调试与联机调试。系统各子单元设备安装完成后，可进行单机调试，单机调试主要包括辅助单元调试、灭菌器调试、破碎机调试、自动轨调试。</w:t>
            </w:r>
          </w:p>
          <w:p>
            <w:pPr>
              <w:tabs>
                <w:tab w:val="left" w:pos="840"/>
              </w:tabs>
              <w:autoSpaceDE w:val="0"/>
              <w:autoSpaceDN w:val="0"/>
              <w:spacing w:line="320" w:lineRule="exact"/>
              <w:ind w:left="-36" w:firstLine="420" w:firstLineChars="200"/>
              <w:jc w:val="left"/>
              <w:rPr>
                <w:rFonts w:ascii="宋体" w:hAnsi="宋体" w:cs="宋体"/>
                <w:color w:val="auto"/>
                <w:kern w:val="0"/>
                <w:szCs w:val="21"/>
              </w:rPr>
            </w:pPr>
            <w:r>
              <w:rPr>
                <w:rFonts w:hint="eastAsia" w:ascii="宋体" w:hAnsi="宋体" w:cs="宋体"/>
                <w:color w:val="auto"/>
                <w:kern w:val="0"/>
                <w:szCs w:val="21"/>
              </w:rPr>
              <w:t>辅助单元主要为循环水及空压设备，现场安装完成且水电条件具备后，依次进行点动测试、自动测试、进水测试、回水测试、反洗测试、冷却效果测试。</w:t>
            </w:r>
          </w:p>
          <w:p>
            <w:pPr>
              <w:tabs>
                <w:tab w:val="left" w:pos="840"/>
              </w:tabs>
              <w:autoSpaceDE w:val="0"/>
              <w:autoSpaceDN w:val="0"/>
              <w:spacing w:line="320" w:lineRule="exact"/>
              <w:ind w:left="-36" w:firstLine="420" w:firstLineChars="200"/>
              <w:jc w:val="left"/>
              <w:rPr>
                <w:rFonts w:ascii="宋体" w:hAnsi="宋体" w:cs="宋体"/>
                <w:color w:val="auto"/>
                <w:kern w:val="0"/>
                <w:szCs w:val="21"/>
              </w:rPr>
            </w:pPr>
            <w:r>
              <w:rPr>
                <w:rFonts w:hint="eastAsia" w:ascii="宋体" w:hAnsi="宋体" w:cs="宋体"/>
                <w:color w:val="auto"/>
                <w:kern w:val="0"/>
                <w:szCs w:val="21"/>
              </w:rPr>
              <w:t>灭菌器出厂时已完成厂内调试，现场安装完成且自来水、循环水、电、压缩空气、蒸汽、排水、排汽等条件均具备后，依次进行输入点核对、输出点核对、传感器核对、执行器核对、门动作测试、密封性测试、抽空能力测试、空载标准程序测试。</w:t>
            </w:r>
          </w:p>
          <w:p>
            <w:pPr>
              <w:tabs>
                <w:tab w:val="left" w:pos="840"/>
              </w:tabs>
              <w:autoSpaceDE w:val="0"/>
              <w:autoSpaceDN w:val="0"/>
              <w:spacing w:line="320" w:lineRule="exact"/>
              <w:ind w:left="-36" w:firstLine="420" w:firstLineChars="200"/>
              <w:jc w:val="left"/>
              <w:rPr>
                <w:rFonts w:ascii="宋体" w:hAnsi="宋体" w:cs="宋体"/>
                <w:color w:val="auto"/>
                <w:kern w:val="0"/>
                <w:szCs w:val="21"/>
              </w:rPr>
            </w:pPr>
            <w:r>
              <w:rPr>
                <w:rFonts w:hint="eastAsia" w:ascii="宋体" w:hAnsi="宋体" w:cs="宋体"/>
                <w:color w:val="auto"/>
                <w:kern w:val="0"/>
                <w:szCs w:val="21"/>
              </w:rPr>
              <w:t>破碎机出厂时已完成厂内调试，现场安装完成且电气条件具备后，依次进行输入点核对、输出点核对、传感器核对、执行器核对、变频器参数核对、手动运行测试、自动运行测试、过载保护测试。</w:t>
            </w:r>
          </w:p>
          <w:p>
            <w:pPr>
              <w:tabs>
                <w:tab w:val="left" w:pos="840"/>
              </w:tabs>
              <w:autoSpaceDE w:val="0"/>
              <w:autoSpaceDN w:val="0"/>
              <w:spacing w:line="320" w:lineRule="exact"/>
              <w:ind w:left="-36" w:firstLine="420" w:firstLineChars="200"/>
              <w:jc w:val="left"/>
              <w:rPr>
                <w:rFonts w:ascii="宋体" w:hAnsi="宋体" w:cs="宋体"/>
                <w:color w:val="auto"/>
                <w:kern w:val="0"/>
                <w:szCs w:val="21"/>
              </w:rPr>
            </w:pPr>
            <w:r>
              <w:rPr>
                <w:rFonts w:hint="eastAsia" w:ascii="宋体" w:hAnsi="宋体" w:cs="宋体"/>
                <w:color w:val="auto"/>
                <w:kern w:val="0"/>
                <w:szCs w:val="21"/>
              </w:rPr>
              <w:t>自动轨道安装完成且电气条件具备后，按区域依次进行输入点核对、输出点核对、传感器核对、执行器核对、单机测试、单机联动测试、系统联动测试。</w:t>
            </w:r>
          </w:p>
          <w:p>
            <w:pPr>
              <w:autoSpaceDE w:val="0"/>
              <w:autoSpaceDN w:val="0"/>
              <w:spacing w:line="320" w:lineRule="exact"/>
              <w:ind w:firstLine="420" w:firstLineChars="200"/>
              <w:jc w:val="left"/>
              <w:rPr>
                <w:rFonts w:ascii="宋体" w:hAnsi="宋体" w:cs="宋体"/>
                <w:b/>
                <w:color w:val="auto"/>
                <w:kern w:val="0"/>
                <w:szCs w:val="21"/>
              </w:rPr>
            </w:pPr>
            <w:r>
              <w:rPr>
                <w:rFonts w:hint="eastAsia" w:ascii="宋体" w:hAnsi="宋体" w:cs="宋体"/>
                <w:color w:val="auto"/>
                <w:kern w:val="0"/>
                <w:szCs w:val="21"/>
              </w:rPr>
              <w:t>系统各子单元单机调试完成后，将进行系统联机调试，分为空载调试为带负载调试，空载调试流程同正常工作流程一致，用于测试空载条件下系统各单元协调联动能力。空载调试完成且其他条件具备后，设备进行带负载调试，直至设备可正常运行。</w:t>
            </w:r>
          </w:p>
          <w:p>
            <w:pPr>
              <w:keepNext/>
              <w:suppressAutoHyphens/>
              <w:topLinePunct/>
              <w:autoSpaceDE w:val="0"/>
              <w:autoSpaceDN w:val="0"/>
              <w:spacing w:line="320" w:lineRule="exact"/>
              <w:jc w:val="left"/>
              <w:outlineLvl w:val="1"/>
              <w:rPr>
                <w:rFonts w:ascii="宋体" w:hAnsi="宋体" w:cs="宋体"/>
                <w:b/>
                <w:color w:val="auto"/>
                <w:kern w:val="0"/>
                <w:szCs w:val="21"/>
              </w:rPr>
            </w:pPr>
            <w:bookmarkStart w:id="119" w:name="_Toc49860365"/>
            <w:r>
              <w:rPr>
                <w:rFonts w:hint="eastAsia" w:ascii="宋体" w:hAnsi="宋体" w:cs="宋体"/>
                <w:b/>
                <w:color w:val="auto"/>
                <w:kern w:val="0"/>
                <w:szCs w:val="21"/>
              </w:rPr>
              <w:t>3.6 性能验收试验</w:t>
            </w:r>
            <w:bookmarkEnd w:id="102"/>
            <w:bookmarkEnd w:id="103"/>
            <w:bookmarkEnd w:id="104"/>
            <w:bookmarkEnd w:id="105"/>
            <w:bookmarkEnd w:id="106"/>
            <w:bookmarkEnd w:id="107"/>
            <w:bookmarkEnd w:id="108"/>
            <w:bookmarkEnd w:id="109"/>
            <w:bookmarkEnd w:id="110"/>
            <w:bookmarkEnd w:id="114"/>
            <w:bookmarkEnd w:id="119"/>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3.6.1性能验收试验的地点由合同确定。</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3.6.2性能验收试验的时间：性能试验一般在系统稳定投运后3天内进行，具体试验时间由供需双方协商确定。性能试验时间为16*2小时。</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3.6.3性能验收试验所需的测点、一次元件和就地仪表的装设由中标人提供，参加方配合,并应符合有关规程、规范和标准的规定，并经采购人确认。中标人也要提供试验所需的技术配合和人员配合。</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3.6.4 性能验收试验至少包括以下内容，但不限于此：</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验收检测标准首先达到高温蒸汽灭菌技术协议要求。当技术要求没有明确约定按照 相关的国家规范、行业规范为标准。</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（1）灭菌柜主体耐压检测</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标准： GB /T150.01~04-2011     钢制一类压力容器</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压力容器安全技术监察规程（提供生产所在地特检院出具的质量证明书）</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（2）B-D检测</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设备试运转时进行B-D检测</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双方认定使用试纸由中标人负责进行检测及所需材料，性能试验期间每天至少一次。</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（3）真空密封检测</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真空测试是为了保证设备脉动真空灭菌装置在使用时无泄漏，能达到要求的真空度，测试方法参见本协议性能保证值有关约定。</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 化学检测</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在性能测试期间，每天至少测试一次。</w:t>
            </w:r>
          </w:p>
          <w:p>
            <w:pPr>
              <w:numPr>
                <w:ilvl w:val="0"/>
                <w:numId w:val="6"/>
              </w:numPr>
              <w:spacing w:line="320" w:lineRule="exact"/>
              <w:ind w:firstLine="420" w:firstLineChars="200"/>
              <w:rPr>
                <w:rFonts w:ascii="宋体" w:hAnsi="宋体" w:cs="宋体"/>
                <w:color w:val="auto"/>
                <w:kern w:val="0"/>
                <w:szCs w:val="21"/>
                <w:lang w:eastAsia="en-US"/>
              </w:rPr>
            </w:pPr>
            <w:r>
              <w:rPr>
                <w:rFonts w:hint="eastAsia" w:ascii="宋体" w:hAnsi="宋体" w:cs="宋体"/>
                <w:color w:val="auto"/>
                <w:kern w:val="0"/>
                <w:szCs w:val="21"/>
                <w:lang w:eastAsia="en-US"/>
              </w:rPr>
              <w:t>化学指示卡(管)</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将既能指示蒸汽温度，又能指示温度持续时间的化学指示管(卡)放入大包和难以消毒部位的物品包中央，经一个灭菌周期后，取出指示管(卡)，根据其颜色及性状的改变判断是否达到灭菌条件。</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2）化学指示胶带监测法</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将化学指示胶带粘贴于每一待灭菌物品包外，经一个灭菌周期后，观察其颜色的改变，以指示是否经过灭菌处理。</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3）结果判定</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检测时，所放置的指示管(卡)、胶带的性状或颜色均变至规定的条件，判为灭菌合格;若其中之一末达到规定的条件，则灭菌过程不合格。</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4）注意事项</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监测所用化学指示物须经行政职能部门批准，并在有效期内使用。</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3.6.5性能验收试验由采购人主持，中标人及相关部门参加。试验大纲由采购人提供，与中标人讨论后确定。具体试验由采购人、中标人双方认可的测试部门完成。如试验在现场进行，中标人进行配合；如试验在工厂进行，试验所需的人力和财力等由中标人提供。</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3.6.6性能验收试验结果的确认</w:t>
            </w:r>
          </w:p>
          <w:p>
            <w:pPr>
              <w:spacing w:line="320" w:lineRule="exact"/>
              <w:ind w:firstLine="420" w:firstLineChars="200"/>
              <w:rPr>
                <w:rFonts w:ascii="宋体" w:hAnsi="宋体" w:cs="宋体"/>
                <w:color w:val="auto"/>
                <w:szCs w:val="21"/>
              </w:rPr>
            </w:pPr>
            <w:r>
              <w:rPr>
                <w:rFonts w:hint="eastAsia" w:ascii="宋体" w:hAnsi="宋体" w:cs="宋体"/>
                <w:color w:val="auto"/>
                <w:szCs w:val="21"/>
              </w:rPr>
              <w:t>性能验收试验报告由测试单位编写，报告结论采购人、中标人双方均承认。如双方对试验的结果有不一致意见，双方协商解决；如仍不能达成一致，则提交项目所在地项目主管部门处理。</w:t>
            </w:r>
          </w:p>
          <w:p>
            <w:pPr>
              <w:spacing w:line="320" w:lineRule="exact"/>
              <w:ind w:firstLine="420" w:firstLineChars="200"/>
              <w:rPr>
                <w:rFonts w:ascii="宋体" w:hAnsi="宋体" w:cs="宋体"/>
                <w:color w:val="auto"/>
                <w:szCs w:val="21"/>
              </w:rPr>
            </w:pPr>
            <w:r>
              <w:rPr>
                <w:rFonts w:hint="eastAsia" w:ascii="宋体" w:hAnsi="宋体" w:cs="宋体"/>
                <w:color w:val="auto"/>
                <w:szCs w:val="21"/>
              </w:rPr>
              <w:t>进行性能验收试验时，一方接到另一方试验通知而不派人参加试验，则被视为对验收试验结果的同意。</w:t>
            </w:r>
          </w:p>
          <w:p>
            <w:pPr>
              <w:keepNext/>
              <w:suppressAutoHyphens/>
              <w:topLinePunct/>
              <w:autoSpaceDE w:val="0"/>
              <w:autoSpaceDN w:val="0"/>
              <w:spacing w:line="320" w:lineRule="exact"/>
              <w:jc w:val="left"/>
              <w:outlineLvl w:val="0"/>
              <w:rPr>
                <w:rFonts w:ascii="宋体" w:hAnsi="宋体" w:cs="宋体"/>
                <w:b/>
                <w:color w:val="auto"/>
                <w:kern w:val="0"/>
                <w:szCs w:val="21"/>
              </w:rPr>
            </w:pPr>
            <w:bookmarkStart w:id="120" w:name="_Toc49860367"/>
            <w:bookmarkStart w:id="121" w:name="_Toc59887869"/>
            <w:bookmarkStart w:id="122" w:name="_Toc86034926"/>
            <w:bookmarkStart w:id="123" w:name="_Toc102032486"/>
            <w:bookmarkStart w:id="124" w:name="_Toc534350517"/>
            <w:bookmarkStart w:id="125" w:name="_Toc14742"/>
            <w:bookmarkStart w:id="126" w:name="_Toc59877288"/>
            <w:bookmarkStart w:id="127" w:name="_Toc59877231"/>
            <w:bookmarkStart w:id="128" w:name="_Toc57116771"/>
            <w:r>
              <w:rPr>
                <w:rFonts w:hint="eastAsia" w:ascii="宋体" w:hAnsi="宋体" w:cs="宋体"/>
                <w:b/>
                <w:color w:val="auto"/>
                <w:kern w:val="0"/>
                <w:szCs w:val="21"/>
              </w:rPr>
              <w:t>4 技术服务和联络</w:t>
            </w:r>
            <w:bookmarkEnd w:id="120"/>
            <w:bookmarkEnd w:id="121"/>
            <w:bookmarkEnd w:id="122"/>
            <w:bookmarkEnd w:id="123"/>
            <w:bookmarkEnd w:id="124"/>
            <w:bookmarkEnd w:id="125"/>
            <w:bookmarkEnd w:id="126"/>
            <w:bookmarkEnd w:id="127"/>
            <w:bookmarkEnd w:id="128"/>
          </w:p>
          <w:p>
            <w:pPr>
              <w:keepNext/>
              <w:suppressAutoHyphens/>
              <w:topLinePunct/>
              <w:autoSpaceDE w:val="0"/>
              <w:autoSpaceDN w:val="0"/>
              <w:spacing w:line="320" w:lineRule="exact"/>
              <w:jc w:val="left"/>
              <w:outlineLvl w:val="1"/>
              <w:rPr>
                <w:rFonts w:ascii="宋体" w:hAnsi="宋体" w:cs="宋体"/>
                <w:b/>
                <w:color w:val="auto"/>
                <w:kern w:val="0"/>
                <w:szCs w:val="21"/>
              </w:rPr>
            </w:pPr>
            <w:bookmarkStart w:id="129" w:name="_Toc49860368"/>
            <w:bookmarkStart w:id="130" w:name="_Toc57116772"/>
            <w:bookmarkStart w:id="131" w:name="_Toc86034927"/>
            <w:bookmarkStart w:id="132" w:name="_Toc16550"/>
            <w:bookmarkStart w:id="133" w:name="_Toc59887870"/>
            <w:bookmarkStart w:id="134" w:name="_Toc534350518"/>
            <w:bookmarkStart w:id="135" w:name="_Toc59877289"/>
            <w:bookmarkStart w:id="136" w:name="_Toc59877232"/>
            <w:r>
              <w:rPr>
                <w:rFonts w:hint="eastAsia" w:ascii="宋体" w:hAnsi="宋体" w:cs="宋体"/>
                <w:b/>
                <w:color w:val="auto"/>
                <w:kern w:val="0"/>
                <w:szCs w:val="21"/>
              </w:rPr>
              <w:t>4.1 中标人现场技术服务</w:t>
            </w:r>
            <w:bookmarkEnd w:id="129"/>
            <w:bookmarkEnd w:id="130"/>
            <w:bookmarkEnd w:id="131"/>
            <w:bookmarkEnd w:id="132"/>
            <w:bookmarkEnd w:id="133"/>
            <w:bookmarkEnd w:id="134"/>
            <w:bookmarkEnd w:id="135"/>
            <w:bookmarkEnd w:id="136"/>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4.1.1中标人配备现场服务人员的目的是使所供设备安全、正常投运。中标人要派合格的现场服务人员。在投标阶段应提供包括服务人日数的现场服务计划表。如果此人日数不能满足正常工程需要，中标人要追加人日数，但采购人无须为此支付任何额外费用。</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4.1.2中标人现场服务人员具有下列资格：</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4.1.2.1遵守法纪，遵守现场的各项规章和制度；</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4.1.2.2有较强的责任感和事业心，按时到位；</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4.1.2.3了解合同设备的设计，熟悉其结构，有相同或相近机组的现场工作经验，能够正确地进行现场指导；</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4.1.2.4身体健康，适应现场工作的条件；</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4.1.2.5中标人须更换采购人认为不合格的中标人现场服务人员。</w:t>
            </w:r>
          </w:p>
          <w:p>
            <w:pPr>
              <w:autoSpaceDE w:val="0"/>
              <w:autoSpaceDN w:val="0"/>
              <w:spacing w:line="320" w:lineRule="exact"/>
              <w:jc w:val="left"/>
              <w:rPr>
                <w:rFonts w:ascii="宋体" w:hAnsi="宋体" w:cs="宋体"/>
                <w:color w:val="auto"/>
                <w:kern w:val="0"/>
                <w:szCs w:val="21"/>
              </w:rPr>
            </w:pPr>
            <w:r>
              <w:rPr>
                <w:rFonts w:hint="eastAsia" w:ascii="宋体" w:hAnsi="宋体" w:cs="宋体"/>
                <w:color w:val="auto"/>
                <w:kern w:val="0"/>
                <w:szCs w:val="21"/>
              </w:rPr>
              <w:t>4.1.3中标人现场服务人员的职责</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4.1.3.1中标人现场服务人员的任务主要包括设备催交、货物的开箱检验、设备质量问题的处理、指导安装和调试、参加试运和性能验收试验。</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4.1.3.2在安装和调试前，中标人技术服务人员应向采购人进行技术交底，讲解和示范将要进行的程序和方法。对重要工序中标人技术人员要对施工情况进行确认和签证，否则采购人不能进行下一道工序。经中标人确认和签证的工序如因中标人技术服务人员指导错误而发生问题，中标人负全部责任。</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4.1.3.3中标人现场服务人员有权全权处理现场出现的一切技术和商务问题。如现场发生质量问题，中标人现场人员要在采购人规定的时间内处理解决。如中标人委托采购人进行处理，中标人现场服务人员要出委托书并承担相应的经济责任。</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4.1.3.4中标人对其现场服务人员的一切行为负全部责任。</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4.1.3.5中标人现场服务人员的正常来去和更换应事先与采购人协商。</w:t>
            </w:r>
          </w:p>
          <w:p>
            <w:pPr>
              <w:spacing w:line="320" w:lineRule="exact"/>
              <w:ind w:firstLine="420" w:firstLineChars="200"/>
              <w:rPr>
                <w:rFonts w:ascii="宋体" w:hAnsi="宋体" w:cs="宋体"/>
                <w:color w:val="auto"/>
                <w:szCs w:val="21"/>
              </w:rPr>
            </w:pPr>
            <w:r>
              <w:rPr>
                <w:rFonts w:hint="eastAsia" w:ascii="宋体" w:hAnsi="宋体" w:cs="宋体"/>
                <w:color w:val="auto"/>
                <w:szCs w:val="21"/>
              </w:rPr>
              <w:t>4.1.4调试</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调试分单机调试、冷态调试、性能保证调试及系统性能调试。单机调试：指设备的手动转动；冷态调试：指通电后设备运转调试；性能保证调试：指设备达到性能保证要求的调试；系统性能调试。</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在机械安装、保温及现场检验和试验工作都完成之后，进行装置的启动和调试。单机调试、冷态调试、热态调试由中标人指导并主持，采购人协助，系统性能调试由采购人负责完成、中标人协助，中标人对调试结果负责。调试在仅只需少量校正和优化工作时才能开始。</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在调试阶段之前，中标人须向采购人提交一份详细的调试程序及调试时间，以便采购人协助调试。采购人负责为调试和试运行准备并提供所有的试验仪器和工具。若设备存在缺陷或错误功能，中标人在采购人同意的时间内消除。根据消除故障时间，设备的接收推迟。由中标人引起的试运行的中断，将相应延长试运行时间，如果必要，需重新开始试验。在调试和试运行成功结束时，中标人提交报告取得采购人审查。</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4.1.5采购人的义务</w:t>
            </w:r>
          </w:p>
          <w:p>
            <w:pPr>
              <w:autoSpaceDE w:val="0"/>
              <w:autoSpaceDN w:val="0"/>
              <w:spacing w:line="320" w:lineRule="exact"/>
              <w:ind w:firstLine="382" w:firstLineChars="182"/>
              <w:jc w:val="left"/>
              <w:rPr>
                <w:rFonts w:ascii="宋体" w:hAnsi="宋体" w:cs="宋体"/>
                <w:color w:val="auto"/>
                <w:kern w:val="0"/>
                <w:szCs w:val="21"/>
              </w:rPr>
            </w:pPr>
            <w:r>
              <w:rPr>
                <w:rFonts w:hint="eastAsia" w:ascii="宋体" w:hAnsi="宋体" w:cs="宋体"/>
                <w:color w:val="auto"/>
                <w:kern w:val="0"/>
                <w:szCs w:val="21"/>
              </w:rPr>
              <w:t>采购人要配合中标人安装现场服务人员的工作，并在生活、交通和通讯上提供方便。安装调试期间，采购人指定专人配合中标人工作。</w:t>
            </w:r>
          </w:p>
          <w:p>
            <w:pPr>
              <w:keepNext/>
              <w:suppressAutoHyphens/>
              <w:topLinePunct/>
              <w:autoSpaceDE w:val="0"/>
              <w:autoSpaceDN w:val="0"/>
              <w:spacing w:line="320" w:lineRule="exact"/>
              <w:ind w:firstLine="422" w:firstLineChars="200"/>
              <w:jc w:val="left"/>
              <w:outlineLvl w:val="1"/>
              <w:rPr>
                <w:rFonts w:ascii="宋体" w:hAnsi="宋体" w:cs="宋体"/>
                <w:b/>
                <w:color w:val="auto"/>
                <w:kern w:val="0"/>
                <w:szCs w:val="21"/>
              </w:rPr>
            </w:pPr>
            <w:bookmarkStart w:id="137" w:name="_Toc57116773"/>
            <w:bookmarkStart w:id="138" w:name="_Toc86034928"/>
            <w:bookmarkStart w:id="139" w:name="_Toc59877233"/>
            <w:bookmarkStart w:id="140" w:name="_Toc59887871"/>
            <w:bookmarkStart w:id="141" w:name="_Toc16794"/>
            <w:bookmarkStart w:id="142" w:name="_Toc59877290"/>
            <w:bookmarkStart w:id="143" w:name="_Toc49860369"/>
            <w:bookmarkStart w:id="144" w:name="_Toc534350519"/>
            <w:r>
              <w:rPr>
                <w:rFonts w:hint="eastAsia" w:ascii="宋体" w:hAnsi="宋体" w:cs="宋体"/>
                <w:b/>
                <w:color w:val="auto"/>
                <w:kern w:val="0"/>
                <w:szCs w:val="21"/>
              </w:rPr>
              <w:t>4.2　培训</w:t>
            </w:r>
            <w:bookmarkEnd w:id="137"/>
            <w:bookmarkEnd w:id="138"/>
            <w:bookmarkEnd w:id="139"/>
            <w:bookmarkEnd w:id="140"/>
            <w:bookmarkEnd w:id="141"/>
            <w:bookmarkEnd w:id="142"/>
            <w:bookmarkEnd w:id="143"/>
            <w:bookmarkEnd w:id="144"/>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4.2.1为使合同设备能正常安装、调试、运行、维护及检修，中标人有责任提供相应的技术培训。培训内容应与工程进度相一致。</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4.2.2培训计划和内容由采购人、中标人双方商定。</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4.2.3培训的时间、人数、地点等具体内容由采购人、中标人双方商定。</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4.2.4对于工厂培训，中标人为采购人培训人员提供设备、场地、资料等培训条件，并提供食宿和交通；对于现场培训，采购人为中标人培训人员提供设备、场地等培训条件，并提供食宿和交通方便。</w:t>
            </w:r>
          </w:p>
          <w:p>
            <w:pPr>
              <w:keepNext/>
              <w:suppressAutoHyphens/>
              <w:topLinePunct/>
              <w:autoSpaceDE w:val="0"/>
              <w:autoSpaceDN w:val="0"/>
              <w:spacing w:line="320" w:lineRule="exact"/>
              <w:ind w:firstLine="422" w:firstLineChars="200"/>
              <w:jc w:val="left"/>
              <w:outlineLvl w:val="1"/>
              <w:rPr>
                <w:rFonts w:ascii="宋体" w:hAnsi="宋体" w:cs="宋体"/>
                <w:b/>
                <w:color w:val="auto"/>
                <w:kern w:val="0"/>
                <w:szCs w:val="21"/>
              </w:rPr>
            </w:pPr>
            <w:bookmarkStart w:id="145" w:name="_Toc86034929"/>
            <w:bookmarkStart w:id="146" w:name="_Toc57116774"/>
            <w:bookmarkStart w:id="147" w:name="_Toc59877234"/>
            <w:bookmarkStart w:id="148" w:name="_Toc534350520"/>
            <w:bookmarkStart w:id="149" w:name="_Toc13188"/>
            <w:bookmarkStart w:id="150" w:name="_Toc59887872"/>
            <w:bookmarkStart w:id="151" w:name="_Toc49860370"/>
            <w:bookmarkStart w:id="152" w:name="_Toc59877291"/>
            <w:r>
              <w:rPr>
                <w:rFonts w:hint="eastAsia" w:ascii="宋体" w:hAnsi="宋体" w:cs="宋体"/>
                <w:b/>
                <w:color w:val="auto"/>
                <w:kern w:val="0"/>
                <w:szCs w:val="21"/>
              </w:rPr>
              <w:t>4.3　设计联络会</w:t>
            </w:r>
            <w:bookmarkEnd w:id="145"/>
            <w:bookmarkEnd w:id="146"/>
            <w:bookmarkEnd w:id="147"/>
            <w:bookmarkEnd w:id="148"/>
            <w:bookmarkEnd w:id="149"/>
            <w:bookmarkEnd w:id="150"/>
            <w:bookmarkEnd w:id="151"/>
            <w:bookmarkEnd w:id="152"/>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有关设计联络的计划、时间、地点和内容由采购人、中标人双方商定。</w:t>
            </w:r>
          </w:p>
          <w:p>
            <w:pPr>
              <w:keepNext/>
              <w:suppressAutoHyphens/>
              <w:topLinePunct/>
              <w:autoSpaceDE w:val="0"/>
              <w:autoSpaceDN w:val="0"/>
              <w:spacing w:line="320" w:lineRule="exact"/>
              <w:ind w:firstLine="422" w:firstLineChars="200"/>
              <w:jc w:val="left"/>
              <w:outlineLvl w:val="1"/>
              <w:rPr>
                <w:rFonts w:ascii="宋体" w:hAnsi="宋体" w:cs="宋体"/>
                <w:b/>
                <w:color w:val="auto"/>
                <w:kern w:val="0"/>
                <w:szCs w:val="21"/>
              </w:rPr>
            </w:pPr>
            <w:bookmarkStart w:id="153" w:name="_Toc534350521"/>
            <w:bookmarkStart w:id="154" w:name="_Toc59887873"/>
            <w:bookmarkStart w:id="155" w:name="_Toc49860371"/>
            <w:bookmarkStart w:id="156" w:name="_Toc6634"/>
            <w:bookmarkStart w:id="157" w:name="_Toc57116775"/>
            <w:bookmarkStart w:id="158" w:name="_Toc86034930"/>
            <w:bookmarkStart w:id="159" w:name="_Toc59877235"/>
            <w:bookmarkStart w:id="160" w:name="_Toc59877292"/>
            <w:r>
              <w:rPr>
                <w:rFonts w:hint="eastAsia" w:ascii="宋体" w:hAnsi="宋体" w:cs="宋体"/>
                <w:b/>
                <w:color w:val="auto"/>
                <w:kern w:val="0"/>
                <w:szCs w:val="21"/>
              </w:rPr>
              <w:t>4.4　售后服务</w:t>
            </w:r>
            <w:bookmarkEnd w:id="153"/>
            <w:bookmarkEnd w:id="154"/>
            <w:bookmarkEnd w:id="155"/>
            <w:bookmarkEnd w:id="156"/>
            <w:bookmarkEnd w:id="157"/>
            <w:bookmarkEnd w:id="158"/>
            <w:bookmarkEnd w:id="159"/>
            <w:bookmarkEnd w:id="160"/>
          </w:p>
          <w:p>
            <w:pPr>
              <w:keepNext/>
              <w:keepLines/>
              <w:spacing w:line="320" w:lineRule="exact"/>
              <w:ind w:firstLine="422" w:firstLineChars="200"/>
              <w:outlineLvl w:val="2"/>
              <w:rPr>
                <w:rFonts w:ascii="宋体" w:hAnsi="宋体" w:cs="宋体"/>
                <w:b/>
                <w:bCs/>
                <w:color w:val="auto"/>
                <w:szCs w:val="21"/>
              </w:rPr>
            </w:pPr>
            <w:bookmarkStart w:id="161" w:name="_Toc49860372"/>
            <w:bookmarkStart w:id="162" w:name="_Toc7411"/>
            <w:bookmarkStart w:id="163" w:name="_Toc500594182"/>
            <w:r>
              <w:rPr>
                <w:rFonts w:hint="eastAsia" w:ascii="宋体" w:hAnsi="宋体" w:cs="宋体"/>
                <w:b/>
                <w:bCs/>
                <w:color w:val="auto"/>
                <w:szCs w:val="21"/>
              </w:rPr>
              <w:t>4.4.1售后服务承诺书</w:t>
            </w:r>
            <w:bookmarkEnd w:id="161"/>
            <w:bookmarkEnd w:id="162"/>
            <w:bookmarkEnd w:id="163"/>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a.提供售后服务承诺书</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b.设备到货且具备安装条件后，中标人应派有经验的专业技术人员到现场免费进行指导安装调试，直至设备能够正常运转。</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c.设备调试完成后，中标人应提供相关技术资料和操作手册（包括：设备的操作和保养程序、日常检查和维修方案、紧急情况应急预案等）。</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d.中标人应保证所提供的设备、材料是全新的、合格的，如发现质量问题，将立即以同品牌同样型号的设备在7日内予以更换。</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e.产品自安装验收合格交付使用之日起，质保期2年。在保修期内免收全部维修费用，且在使用期内保证能提供所需配件及耗材。保修期后如果设备发生故障，中标人应免费进行维修，只收取损坏元件的费用。</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f.在质保期内，中标人应保证系统正常运行并免费提供技术指导和人员培训。若在此期间发生质量问题，中标人应负责免费更换或维修。</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g.中标人应在全国各省都设有办事处和售后服务中心。设备发生故障时，中标人应保证在接到用户故障电话后立即响应，半小时内由专业技术人员给予答复，48小时内维修人员到达现场，并在48小时内恢复正常生产。</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h.中标人应特派有经验的专业技术人员负责对采购人工作人员进行全套设备的培训，并提供培训资料，培训内容主要包括供货设备及系统的工作原理、操作、运行及维护等方面的知识，直至采购人能独立熟练操作、运行、维护。理论及实际操作的培训时间各不少于一周。材料预加工时，在公司所在地免费（含差旅费）培训采购人工程师2名，时间一周。</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i.中标人应对该设备进行跟踪服务，保修期内每年6次保修期外每年4次免费走访，就设备、管线使用情况进行定期检查，使用户达到最满意的效果。</w:t>
            </w:r>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j.设备安装调试后，由供、需双方组织有关人员按照有关标准进行现场验收，确保工程的施工质量，由供、需双方签署验收书。</w:t>
            </w:r>
          </w:p>
          <w:p>
            <w:pPr>
              <w:keepNext/>
              <w:keepLines/>
              <w:spacing w:line="320" w:lineRule="exact"/>
              <w:outlineLvl w:val="2"/>
              <w:rPr>
                <w:rFonts w:ascii="宋体" w:hAnsi="宋体" w:cs="宋体"/>
                <w:b/>
                <w:bCs/>
                <w:color w:val="auto"/>
                <w:szCs w:val="21"/>
              </w:rPr>
            </w:pPr>
            <w:bookmarkStart w:id="164" w:name="_Toc500594186"/>
            <w:bookmarkStart w:id="165" w:name="_Toc12897"/>
            <w:bookmarkStart w:id="166" w:name="_Toc630"/>
            <w:bookmarkStart w:id="167" w:name="_Toc49860375"/>
            <w:bookmarkStart w:id="168" w:name="_Toc1103"/>
            <w:r>
              <w:rPr>
                <w:rFonts w:hint="eastAsia" w:ascii="宋体" w:hAnsi="宋体" w:cs="宋体"/>
                <w:b/>
                <w:bCs/>
                <w:color w:val="auto"/>
                <w:szCs w:val="21"/>
              </w:rPr>
              <w:t>4.4.2培训方案</w:t>
            </w:r>
            <w:bookmarkEnd w:id="164"/>
            <w:bookmarkEnd w:id="165"/>
            <w:bookmarkEnd w:id="166"/>
            <w:bookmarkEnd w:id="167"/>
            <w:bookmarkEnd w:id="168"/>
          </w:p>
          <w:p>
            <w:pPr>
              <w:keepNext/>
              <w:keepLines/>
              <w:autoSpaceDE w:val="0"/>
              <w:autoSpaceDN w:val="0"/>
              <w:spacing w:line="320" w:lineRule="exact"/>
              <w:outlineLvl w:val="3"/>
              <w:rPr>
                <w:rFonts w:ascii="宋体" w:hAnsi="宋体" w:cs="宋体"/>
                <w:b/>
                <w:bCs/>
                <w:color w:val="auto"/>
                <w:szCs w:val="21"/>
              </w:rPr>
            </w:pPr>
            <w:bookmarkStart w:id="169" w:name="_Toc4734"/>
            <w:bookmarkStart w:id="170" w:name="_Toc15753"/>
            <w:bookmarkStart w:id="171" w:name="_Toc30567"/>
            <w:bookmarkStart w:id="172" w:name="_Toc803"/>
            <w:bookmarkStart w:id="173" w:name="_Toc12434"/>
            <w:bookmarkStart w:id="174" w:name="_Toc23882"/>
            <w:bookmarkStart w:id="175" w:name="_Toc22788"/>
            <w:bookmarkStart w:id="176" w:name="_Toc32460"/>
            <w:bookmarkStart w:id="177" w:name="_Toc4777"/>
            <w:r>
              <w:rPr>
                <w:rFonts w:hint="eastAsia" w:ascii="宋体" w:hAnsi="宋体" w:cs="宋体"/>
                <w:b/>
                <w:bCs/>
                <w:color w:val="auto"/>
                <w:szCs w:val="21"/>
              </w:rPr>
              <w:t>（1）培训地点</w:t>
            </w:r>
            <w:bookmarkEnd w:id="169"/>
            <w:bookmarkEnd w:id="170"/>
            <w:bookmarkEnd w:id="171"/>
            <w:bookmarkEnd w:id="172"/>
            <w:bookmarkEnd w:id="173"/>
            <w:bookmarkEnd w:id="174"/>
            <w:bookmarkEnd w:id="175"/>
            <w:bookmarkEnd w:id="176"/>
            <w:bookmarkEnd w:id="177"/>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可根据采购人的需要在中标人工厂或采购人所在地进行培训。</w:t>
            </w:r>
          </w:p>
          <w:p>
            <w:pPr>
              <w:keepNext/>
              <w:keepLines/>
              <w:autoSpaceDE w:val="0"/>
              <w:autoSpaceDN w:val="0"/>
              <w:spacing w:line="320" w:lineRule="exact"/>
              <w:outlineLvl w:val="3"/>
              <w:rPr>
                <w:rFonts w:ascii="宋体" w:hAnsi="宋体" w:cs="宋体"/>
                <w:b/>
                <w:bCs/>
                <w:color w:val="auto"/>
                <w:szCs w:val="21"/>
              </w:rPr>
            </w:pPr>
            <w:bookmarkStart w:id="178" w:name="_Toc12894"/>
            <w:bookmarkStart w:id="179" w:name="_Toc289"/>
            <w:bookmarkStart w:id="180" w:name="_Toc1995"/>
            <w:bookmarkStart w:id="181" w:name="_Toc21975"/>
            <w:bookmarkStart w:id="182" w:name="_Toc20680"/>
            <w:bookmarkStart w:id="183" w:name="_Toc5086"/>
            <w:bookmarkStart w:id="184" w:name="_Toc757"/>
            <w:bookmarkStart w:id="185" w:name="_Toc16966"/>
            <w:bookmarkStart w:id="186" w:name="_Toc13505"/>
            <w:r>
              <w:rPr>
                <w:rFonts w:hint="eastAsia" w:ascii="宋体" w:hAnsi="宋体" w:cs="宋体"/>
                <w:b/>
                <w:bCs/>
                <w:color w:val="auto"/>
                <w:szCs w:val="21"/>
              </w:rPr>
              <w:t>（2）培训内容</w:t>
            </w:r>
            <w:bookmarkEnd w:id="178"/>
            <w:bookmarkEnd w:id="179"/>
            <w:bookmarkEnd w:id="180"/>
            <w:bookmarkEnd w:id="181"/>
            <w:bookmarkEnd w:id="182"/>
            <w:bookmarkEnd w:id="183"/>
            <w:bookmarkEnd w:id="184"/>
            <w:bookmarkEnd w:id="185"/>
            <w:bookmarkEnd w:id="186"/>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对本系统设备的操作人员、设备维修人员进行设备基本原理、设备性能、机械常识、操作规程、设备运行及维护以及使用说明书中的内容进行培训。</w:t>
            </w:r>
          </w:p>
          <w:p>
            <w:pPr>
              <w:keepNext/>
              <w:keepLines/>
              <w:autoSpaceDE w:val="0"/>
              <w:autoSpaceDN w:val="0"/>
              <w:spacing w:line="320" w:lineRule="exact"/>
              <w:outlineLvl w:val="3"/>
              <w:rPr>
                <w:rFonts w:ascii="宋体" w:hAnsi="宋体" w:cs="宋体"/>
                <w:b/>
                <w:bCs/>
                <w:color w:val="auto"/>
                <w:szCs w:val="21"/>
              </w:rPr>
            </w:pPr>
            <w:bookmarkStart w:id="187" w:name="_Toc12199"/>
            <w:bookmarkStart w:id="188" w:name="_Toc18580"/>
            <w:bookmarkStart w:id="189" w:name="_Toc17075"/>
            <w:bookmarkStart w:id="190" w:name="_Toc10093"/>
            <w:bookmarkStart w:id="191" w:name="_Toc22997"/>
            <w:bookmarkStart w:id="192" w:name="_Toc19115"/>
            <w:bookmarkStart w:id="193" w:name="_Toc3545"/>
            <w:bookmarkStart w:id="194" w:name="_Toc31317"/>
            <w:bookmarkStart w:id="195" w:name="_Toc21547"/>
            <w:r>
              <w:rPr>
                <w:rFonts w:hint="eastAsia" w:ascii="宋体" w:hAnsi="宋体" w:cs="宋体"/>
                <w:b/>
                <w:bCs/>
                <w:color w:val="auto"/>
                <w:szCs w:val="21"/>
              </w:rPr>
              <w:t>（3）培训进度</w:t>
            </w:r>
            <w:bookmarkEnd w:id="187"/>
            <w:bookmarkEnd w:id="188"/>
            <w:bookmarkEnd w:id="189"/>
            <w:bookmarkEnd w:id="190"/>
            <w:bookmarkEnd w:id="191"/>
            <w:bookmarkEnd w:id="192"/>
            <w:bookmarkEnd w:id="193"/>
            <w:bookmarkEnd w:id="194"/>
            <w:bookmarkEnd w:id="195"/>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中标人应负责培训的技术人员，将在设备安装调试期间完成培训工作，培训时间自安装之日起。</w:t>
            </w:r>
          </w:p>
          <w:p>
            <w:pPr>
              <w:keepNext/>
              <w:keepLines/>
              <w:autoSpaceDE w:val="0"/>
              <w:autoSpaceDN w:val="0"/>
              <w:spacing w:line="320" w:lineRule="exact"/>
              <w:outlineLvl w:val="3"/>
              <w:rPr>
                <w:rFonts w:ascii="宋体" w:hAnsi="宋体" w:cs="宋体"/>
                <w:b/>
                <w:bCs/>
                <w:color w:val="auto"/>
                <w:szCs w:val="21"/>
              </w:rPr>
            </w:pPr>
            <w:bookmarkStart w:id="196" w:name="_Toc24303"/>
            <w:bookmarkStart w:id="197" w:name="_Toc9094"/>
            <w:bookmarkStart w:id="198" w:name="_Toc437844936"/>
            <w:bookmarkStart w:id="199" w:name="_Toc7665"/>
            <w:bookmarkStart w:id="200" w:name="_Toc12303"/>
            <w:bookmarkStart w:id="201" w:name="_Toc16256"/>
            <w:bookmarkStart w:id="202" w:name="_Toc466394283"/>
            <w:bookmarkStart w:id="203" w:name="_Toc12743"/>
            <w:bookmarkStart w:id="204" w:name="_Toc20240"/>
            <w:bookmarkStart w:id="205" w:name="_Toc13459"/>
            <w:bookmarkStart w:id="206" w:name="_Toc483077685"/>
            <w:bookmarkStart w:id="207" w:name="_Toc7329"/>
            <w:r>
              <w:rPr>
                <w:rFonts w:hint="eastAsia" w:ascii="宋体" w:hAnsi="宋体" w:cs="宋体"/>
                <w:b/>
                <w:bCs/>
                <w:color w:val="auto"/>
                <w:szCs w:val="21"/>
              </w:rPr>
              <w:t>（4）对操作人员的水平要求</w:t>
            </w:r>
            <w:bookmarkEnd w:id="196"/>
            <w:bookmarkEnd w:id="197"/>
            <w:bookmarkEnd w:id="198"/>
            <w:bookmarkEnd w:id="199"/>
            <w:bookmarkEnd w:id="200"/>
            <w:bookmarkEnd w:id="201"/>
            <w:bookmarkEnd w:id="202"/>
            <w:bookmarkEnd w:id="203"/>
            <w:bookmarkEnd w:id="204"/>
            <w:bookmarkEnd w:id="205"/>
            <w:bookmarkEnd w:id="206"/>
            <w:bookmarkEnd w:id="207"/>
          </w:p>
          <w:p>
            <w:pPr>
              <w:autoSpaceDE w:val="0"/>
              <w:autoSpaceDN w:val="0"/>
              <w:spacing w:line="32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设备操作和维修人员应参与设备的安装和调试。</w:t>
            </w:r>
          </w:p>
          <w:p>
            <w:pPr>
              <w:keepNext/>
              <w:keepLines/>
              <w:autoSpaceDE w:val="0"/>
              <w:autoSpaceDN w:val="0"/>
              <w:spacing w:line="320" w:lineRule="exact"/>
              <w:outlineLvl w:val="3"/>
              <w:rPr>
                <w:rFonts w:ascii="宋体" w:hAnsi="宋体" w:cs="宋体"/>
                <w:b/>
                <w:bCs/>
                <w:color w:val="auto"/>
                <w:szCs w:val="21"/>
              </w:rPr>
            </w:pPr>
            <w:r>
              <w:rPr>
                <w:rFonts w:hint="eastAsia" w:ascii="宋体" w:hAnsi="宋体" w:cs="宋体"/>
                <w:b/>
                <w:bCs/>
                <w:color w:val="auto"/>
                <w:szCs w:val="21"/>
              </w:rPr>
              <w:t>设备操作人员和维修人员应具备中级以上机械、电气技术知识和水平。</w:t>
            </w:r>
            <w:bookmarkStart w:id="208" w:name="_Toc27630"/>
            <w:bookmarkStart w:id="209" w:name="_Toc22426"/>
            <w:bookmarkStart w:id="210" w:name="_Toc21631"/>
            <w:bookmarkStart w:id="211" w:name="_Toc17549"/>
            <w:bookmarkStart w:id="212" w:name="_Toc8289"/>
            <w:bookmarkStart w:id="213" w:name="_Toc27960"/>
            <w:bookmarkStart w:id="214" w:name="_Toc437844937"/>
            <w:bookmarkStart w:id="215" w:name="_Toc6162"/>
            <w:bookmarkStart w:id="216" w:name="_Toc483077686"/>
            <w:bookmarkStart w:id="217" w:name="_Toc466394284"/>
            <w:bookmarkStart w:id="218" w:name="_Toc20626"/>
            <w:bookmarkStart w:id="219" w:name="_Toc12562"/>
            <w:bookmarkStart w:id="220" w:name="_Toc18107"/>
          </w:p>
          <w:bookmarkEnd w:id="208"/>
          <w:bookmarkEnd w:id="209"/>
          <w:bookmarkEnd w:id="210"/>
          <w:bookmarkEnd w:id="211"/>
          <w:bookmarkEnd w:id="212"/>
          <w:bookmarkEnd w:id="213"/>
          <w:bookmarkEnd w:id="214"/>
          <w:bookmarkEnd w:id="215"/>
          <w:bookmarkEnd w:id="216"/>
          <w:bookmarkEnd w:id="217"/>
          <w:bookmarkEnd w:id="218"/>
          <w:bookmarkEnd w:id="219"/>
          <w:bookmarkEnd w:id="220"/>
          <w:p>
            <w:pPr>
              <w:keepNext/>
              <w:keepLines/>
              <w:autoSpaceDE w:val="0"/>
              <w:autoSpaceDN w:val="0"/>
              <w:spacing w:line="320" w:lineRule="exact"/>
              <w:outlineLvl w:val="3"/>
              <w:rPr>
                <w:rFonts w:ascii="宋体" w:hAnsi="宋体" w:cs="宋体"/>
                <w:b/>
                <w:bCs/>
                <w:color w:val="auto"/>
                <w:szCs w:val="21"/>
              </w:rPr>
            </w:pPr>
            <w:bookmarkStart w:id="221" w:name="_Toc437844938"/>
            <w:bookmarkStart w:id="222" w:name="_Toc466394285"/>
            <w:bookmarkStart w:id="223" w:name="_Toc4039"/>
            <w:bookmarkStart w:id="224" w:name="_Toc24957"/>
            <w:bookmarkStart w:id="225" w:name="_Toc483077687"/>
            <w:bookmarkStart w:id="226" w:name="_Toc18744"/>
            <w:bookmarkStart w:id="227" w:name="_Toc4063"/>
            <w:bookmarkStart w:id="228" w:name="_Toc6112"/>
            <w:bookmarkStart w:id="229" w:name="_Toc9785"/>
            <w:bookmarkStart w:id="230" w:name="_Toc1068"/>
            <w:bookmarkStart w:id="231" w:name="_Toc10562"/>
            <w:bookmarkStart w:id="232" w:name="_Toc1287"/>
            <w:r>
              <w:rPr>
                <w:rFonts w:hint="eastAsia" w:ascii="宋体" w:hAnsi="宋体" w:cs="宋体"/>
                <w:b/>
                <w:bCs/>
                <w:color w:val="auto"/>
                <w:szCs w:val="21"/>
              </w:rPr>
              <w:t>（5）培训目标</w:t>
            </w:r>
            <w:bookmarkEnd w:id="221"/>
            <w:bookmarkEnd w:id="222"/>
            <w:bookmarkEnd w:id="223"/>
            <w:bookmarkEnd w:id="224"/>
            <w:bookmarkEnd w:id="225"/>
            <w:bookmarkEnd w:id="226"/>
            <w:bookmarkEnd w:id="227"/>
            <w:bookmarkEnd w:id="228"/>
            <w:bookmarkEnd w:id="229"/>
            <w:bookmarkEnd w:id="230"/>
            <w:bookmarkEnd w:id="231"/>
            <w:bookmarkEnd w:id="232"/>
          </w:p>
          <w:p>
            <w:pPr>
              <w:autoSpaceDE w:val="0"/>
              <w:autoSpaceDN w:val="0"/>
              <w:spacing w:line="320" w:lineRule="exact"/>
              <w:ind w:firstLine="420" w:firstLineChars="200"/>
              <w:jc w:val="left"/>
              <w:rPr>
                <w:rFonts w:ascii="宋体" w:cs="宋体"/>
                <w:color w:val="auto"/>
                <w:spacing w:val="4"/>
                <w:szCs w:val="21"/>
              </w:rPr>
            </w:pPr>
            <w:r>
              <w:rPr>
                <w:rFonts w:hint="eastAsia" w:ascii="宋体" w:hAnsi="宋体" w:cs="宋体"/>
                <w:color w:val="auto"/>
                <w:kern w:val="0"/>
                <w:szCs w:val="21"/>
              </w:rPr>
              <w:t>本系统设备的操作人员可以熟练操作设备，设备维修人员可以进行设备的日常维护以及简单故障的处理。</w:t>
            </w:r>
          </w:p>
        </w:tc>
      </w:tr>
    </w:tbl>
    <w:p>
      <w:pPr>
        <w:pStyle w:val="37"/>
        <w:rPr>
          <w:color w:val="auto"/>
          <w:sz w:val="36"/>
          <w:szCs w:val="36"/>
        </w:rPr>
      </w:pPr>
      <w:bookmarkStart w:id="233" w:name="_Toc25502"/>
      <w:r>
        <w:rPr>
          <w:rFonts w:hint="eastAsia"/>
          <w:color w:val="auto"/>
          <w:sz w:val="36"/>
          <w:szCs w:val="36"/>
        </w:rPr>
        <w:t>第三章</w:t>
      </w:r>
      <w:r>
        <w:rPr>
          <w:color w:val="auto"/>
          <w:sz w:val="36"/>
          <w:szCs w:val="36"/>
        </w:rPr>
        <w:t xml:space="preserve">  </w:t>
      </w:r>
      <w:r>
        <w:rPr>
          <w:rFonts w:hint="eastAsia"/>
          <w:color w:val="auto"/>
          <w:sz w:val="36"/>
          <w:szCs w:val="36"/>
        </w:rPr>
        <w:t>投标人须知</w:t>
      </w:r>
      <w:bookmarkEnd w:id="37"/>
      <w:bookmarkEnd w:id="233"/>
    </w:p>
    <w:p>
      <w:pPr>
        <w:snapToGrid w:val="0"/>
        <w:spacing w:beforeLines="50" w:afterLines="50"/>
        <w:ind w:left="238"/>
        <w:jc w:val="center"/>
        <w:outlineLvl w:val="1"/>
        <w:rPr>
          <w:rFonts w:ascii="宋体"/>
          <w:b/>
          <w:color w:val="auto"/>
          <w:sz w:val="28"/>
          <w:szCs w:val="28"/>
        </w:rPr>
      </w:pPr>
      <w:bookmarkStart w:id="234" w:name="_Toc254970667"/>
      <w:bookmarkStart w:id="235" w:name="_Toc3682"/>
      <w:bookmarkStart w:id="236" w:name="_Toc327735653"/>
      <w:bookmarkStart w:id="237" w:name="_Toc254970526"/>
      <w:r>
        <w:rPr>
          <w:rFonts w:hint="eastAsia" w:ascii="宋体" w:hAnsi="宋体"/>
          <w:b/>
          <w:color w:val="auto"/>
          <w:sz w:val="28"/>
          <w:szCs w:val="28"/>
        </w:rPr>
        <w:t>前</w:t>
      </w:r>
      <w:r>
        <w:rPr>
          <w:rFonts w:ascii="宋体" w:hAnsi="宋体"/>
          <w:b/>
          <w:color w:val="auto"/>
          <w:sz w:val="28"/>
          <w:szCs w:val="28"/>
        </w:rPr>
        <w:t xml:space="preserve">  </w:t>
      </w:r>
      <w:r>
        <w:rPr>
          <w:rFonts w:hint="eastAsia" w:ascii="宋体" w:hAnsi="宋体"/>
          <w:b/>
          <w:color w:val="auto"/>
          <w:sz w:val="28"/>
          <w:szCs w:val="28"/>
        </w:rPr>
        <w:t>附</w:t>
      </w:r>
      <w:r>
        <w:rPr>
          <w:rFonts w:ascii="宋体" w:hAnsi="宋体"/>
          <w:b/>
          <w:color w:val="auto"/>
          <w:sz w:val="28"/>
          <w:szCs w:val="28"/>
        </w:rPr>
        <w:t xml:space="preserve">  </w:t>
      </w:r>
      <w:r>
        <w:rPr>
          <w:rFonts w:hint="eastAsia" w:ascii="宋体" w:hAnsi="宋体"/>
          <w:b/>
          <w:color w:val="auto"/>
          <w:sz w:val="28"/>
          <w:szCs w:val="28"/>
        </w:rPr>
        <w:t>表</w:t>
      </w:r>
      <w:bookmarkEnd w:id="234"/>
      <w:bookmarkEnd w:id="235"/>
      <w:bookmarkEnd w:id="236"/>
      <w:bookmarkEnd w:id="237"/>
    </w:p>
    <w:tbl>
      <w:tblPr>
        <w:tblStyle w:val="40"/>
        <w:tblW w:w="900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1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hint="eastAsia" w:ascii="宋体" w:hAnsi="宋体" w:cs="宋体"/>
                <w:color w:val="auto"/>
                <w:szCs w:val="21"/>
              </w:rPr>
              <w:t>序号</w:t>
            </w:r>
          </w:p>
        </w:tc>
        <w:tc>
          <w:tcPr>
            <w:tcW w:w="8131" w:type="dxa"/>
            <w:tcBorders>
              <w:top w:val="single" w:color="auto" w:sz="4" w:space="0"/>
              <w:left w:val="single" w:color="auto" w:sz="4" w:space="0"/>
              <w:bottom w:val="single" w:color="auto" w:sz="4" w:space="0"/>
            </w:tcBorders>
            <w:vAlign w:val="center"/>
          </w:tcPr>
          <w:p>
            <w:pPr>
              <w:snapToGrid w:val="0"/>
              <w:spacing w:line="410" w:lineRule="exact"/>
              <w:jc w:val="center"/>
              <w:rPr>
                <w:rFonts w:ascii="宋体"/>
                <w:color w:val="auto"/>
                <w:sz w:val="22"/>
                <w:szCs w:val="22"/>
              </w:rPr>
            </w:pPr>
            <w:r>
              <w:rPr>
                <w:rFonts w:hint="eastAsia" w:ascii="宋体" w:hAnsi="宋体" w:cs="宋体"/>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0"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ascii="宋体"/>
                <w:color w:val="auto"/>
                <w:sz w:val="22"/>
                <w:szCs w:val="22"/>
              </w:rPr>
            </w:pPr>
            <w:r>
              <w:rPr>
                <w:rFonts w:hint="eastAsia" w:ascii="宋体" w:hAnsi="宋体"/>
                <w:color w:val="auto"/>
                <w:sz w:val="22"/>
                <w:szCs w:val="22"/>
              </w:rPr>
              <w:t>项目名称：防城港市医疗废物处置中心设备升级改造生产线设备采购</w:t>
            </w:r>
          </w:p>
          <w:p>
            <w:pPr>
              <w:snapToGrid w:val="0"/>
              <w:spacing w:line="410" w:lineRule="exact"/>
              <w:rPr>
                <w:rFonts w:ascii="宋体"/>
                <w:color w:val="auto"/>
                <w:sz w:val="22"/>
                <w:szCs w:val="22"/>
              </w:rPr>
            </w:pPr>
            <w:r>
              <w:rPr>
                <w:rFonts w:hint="eastAsia" w:ascii="宋体" w:hAnsi="宋体"/>
                <w:color w:val="auto"/>
                <w:sz w:val="22"/>
                <w:szCs w:val="22"/>
              </w:rPr>
              <w:t>项目编号：FCZC2020-G1-10007-KLZB</w:t>
            </w:r>
            <w:r>
              <w:rPr>
                <w:rFonts w:ascii="宋体" w:hAnsi="宋体"/>
                <w:color w:val="auto"/>
                <w:sz w:val="22"/>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9"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2</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ascii="宋体"/>
                <w:color w:val="auto"/>
                <w:sz w:val="22"/>
                <w:szCs w:val="22"/>
              </w:rPr>
            </w:pPr>
            <w:r>
              <w:rPr>
                <w:rFonts w:hint="eastAsia" w:ascii="宋体" w:hAnsi="宋体" w:cs="宋体"/>
                <w:b/>
                <w:color w:val="auto"/>
                <w:szCs w:val="21"/>
              </w:rPr>
              <w:t>投标报价及费用</w:t>
            </w:r>
            <w:r>
              <w:rPr>
                <w:rFonts w:hint="eastAsia" w:ascii="宋体" w:hAnsi="宋体" w:cs="宋体"/>
                <w:color w:val="auto"/>
                <w:szCs w:val="21"/>
              </w:rPr>
              <w:t>：</w:t>
            </w:r>
            <w:r>
              <w:rPr>
                <w:rFonts w:ascii="宋体" w:hAnsi="宋体" w:cs="宋体"/>
                <w:color w:val="auto"/>
                <w:szCs w:val="21"/>
              </w:rPr>
              <w:t>1.</w:t>
            </w:r>
            <w:r>
              <w:rPr>
                <w:rFonts w:hint="eastAsia" w:ascii="宋体" w:hAnsi="宋体" w:cs="宋体"/>
                <w:b/>
                <w:color w:val="auto"/>
                <w:szCs w:val="21"/>
              </w:rPr>
              <w:t>投标人须对《项目需求》中所有货物及服务内容作完全响应；</w:t>
            </w:r>
            <w:r>
              <w:rPr>
                <w:rFonts w:ascii="宋体" w:hAnsi="宋体" w:cs="宋体"/>
                <w:color w:val="auto"/>
                <w:szCs w:val="21"/>
              </w:rPr>
              <w:t xml:space="preserve">2. </w:t>
            </w:r>
            <w:r>
              <w:rPr>
                <w:rFonts w:hint="eastAsia" w:ascii="宋体" w:hAnsi="宋体" w:cs="宋体"/>
                <w:color w:val="auto"/>
                <w:szCs w:val="21"/>
              </w:rPr>
              <w:t>不论投标结果如何，投标人均应自行承担所有与投标有关的全部费用；</w:t>
            </w:r>
            <w:r>
              <w:rPr>
                <w:rFonts w:ascii="宋体" w:hAnsi="宋体" w:cs="宋体"/>
                <w:color w:val="auto"/>
                <w:szCs w:val="21"/>
              </w:rPr>
              <w:t>3.</w:t>
            </w:r>
            <w:r>
              <w:rPr>
                <w:rFonts w:hint="eastAsia" w:ascii="宋体" w:hAnsi="宋体" w:cs="宋体"/>
                <w:color w:val="auto"/>
                <w:szCs w:val="21"/>
              </w:rPr>
              <w:t>本项目代理服务费参照桂价费〔</w:t>
            </w:r>
            <w:r>
              <w:rPr>
                <w:rFonts w:ascii="宋体" w:hAnsi="宋体" w:cs="宋体"/>
                <w:color w:val="auto"/>
                <w:szCs w:val="21"/>
              </w:rPr>
              <w:t>2011</w:t>
            </w:r>
            <w:r>
              <w:rPr>
                <w:rFonts w:hint="eastAsia" w:ascii="宋体" w:hAnsi="宋体" w:cs="宋体"/>
                <w:color w:val="auto"/>
                <w:szCs w:val="21"/>
              </w:rPr>
              <w:t>〕</w:t>
            </w:r>
            <w:r>
              <w:rPr>
                <w:rFonts w:ascii="宋体" w:hAnsi="宋体" w:cs="宋体"/>
                <w:color w:val="auto"/>
                <w:szCs w:val="21"/>
              </w:rPr>
              <w:t>55</w:t>
            </w:r>
            <w:r>
              <w:rPr>
                <w:rFonts w:hint="eastAsia" w:ascii="宋体" w:hAnsi="宋体" w:cs="宋体"/>
                <w:color w:val="auto"/>
                <w:szCs w:val="21"/>
              </w:rPr>
              <w:t>号文件规定（货物招标类）标准执行，详见《总则》第八条规定，由中标供应商向采购代理机构一次性付清。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3</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ascii="宋体" w:hAnsi="宋体" w:cs="宋体"/>
                <w:color w:val="auto"/>
                <w:szCs w:val="21"/>
              </w:rPr>
            </w:pPr>
            <w:r>
              <w:rPr>
                <w:rFonts w:hint="eastAsia" w:ascii="宋体" w:hAnsi="宋体" w:cs="宋体"/>
                <w:color w:val="auto"/>
                <w:szCs w:val="21"/>
              </w:rPr>
              <w:t>采购预算：人民币560万元</w:t>
            </w:r>
          </w:p>
          <w:p>
            <w:pPr>
              <w:snapToGrid w:val="0"/>
              <w:spacing w:line="410" w:lineRule="exact"/>
              <w:rPr>
                <w:rFonts w:ascii="宋体"/>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4"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4</w:t>
            </w:r>
          </w:p>
        </w:tc>
        <w:tc>
          <w:tcPr>
            <w:tcW w:w="8131" w:type="dxa"/>
            <w:tcBorders>
              <w:top w:val="single" w:color="auto" w:sz="4" w:space="0"/>
              <w:left w:val="single" w:color="auto" w:sz="4" w:space="0"/>
              <w:bottom w:val="single" w:color="auto" w:sz="4" w:space="0"/>
            </w:tcBorders>
            <w:vAlign w:val="center"/>
          </w:tcPr>
          <w:p>
            <w:pPr>
              <w:rPr>
                <w:color w:val="auto"/>
              </w:rPr>
            </w:pPr>
            <w:r>
              <w:rPr>
                <w:rFonts w:hint="eastAsia" w:ascii="宋体" w:hAnsi="宋体" w:cs="宋体"/>
                <w:color w:val="auto"/>
                <w:szCs w:val="21"/>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5</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ascii="宋体" w:cs="宋体"/>
                <w:b/>
                <w:bCs/>
                <w:color w:val="auto"/>
              </w:rPr>
            </w:pPr>
            <w:r>
              <w:rPr>
                <w:rFonts w:hint="eastAsia" w:ascii="宋体" w:hAnsi="宋体" w:cs="宋体"/>
                <w:bCs/>
                <w:color w:val="auto"/>
              </w:rPr>
              <w:t>功能及效果演示：</w:t>
            </w:r>
            <w:r>
              <w:rPr>
                <w:rFonts w:ascii="宋体" w:hAnsi="宋体" w:cs="宋体"/>
                <w:bCs/>
                <w:color w:val="auto"/>
              </w:rPr>
              <w:t xml:space="preserve"> </w:t>
            </w:r>
            <w:r>
              <w:rPr>
                <w:rFonts w:hint="eastAsia" w:ascii="宋体" w:hAnsi="宋体" w:cs="宋体"/>
                <w:bCs/>
                <w:color w:val="auto"/>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7"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6</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ascii="宋体"/>
                <w:color w:val="auto"/>
                <w:sz w:val="22"/>
                <w:szCs w:val="22"/>
              </w:rPr>
            </w:pPr>
            <w:r>
              <w:rPr>
                <w:rFonts w:hint="eastAsia" w:ascii="宋体" w:hAnsi="宋体" w:cs="宋体"/>
                <w:color w:val="auto"/>
                <w:szCs w:val="21"/>
              </w:rPr>
              <w:t>答疑与澄清：投标人如认为招标文件表述不清晰、存在歧视性、排他性或者其他违法内容的，应当于</w:t>
            </w:r>
            <w:r>
              <w:rPr>
                <w:rFonts w:hint="eastAsia" w:ascii="宋体" w:hAnsi="宋体" w:cs="宋体"/>
                <w:bCs/>
                <w:color w:val="auto"/>
                <w:szCs w:val="21"/>
              </w:rPr>
              <w:t>收到招标文件之日起</w:t>
            </w:r>
            <w:r>
              <w:rPr>
                <w:rFonts w:ascii="宋体" w:hAnsi="宋体" w:cs="宋体"/>
                <w:bCs/>
                <w:color w:val="auto"/>
                <w:szCs w:val="21"/>
              </w:rPr>
              <w:t>7</w:t>
            </w:r>
            <w:r>
              <w:rPr>
                <w:rFonts w:hint="eastAsia" w:ascii="宋体" w:hAnsi="宋体" w:cs="宋体"/>
                <w:bCs/>
                <w:color w:val="auto"/>
                <w:szCs w:val="21"/>
              </w:rPr>
              <w:t>个工作日内</w:t>
            </w:r>
            <w:r>
              <w:rPr>
                <w:rFonts w:hint="eastAsia" w:ascii="宋体" w:hAnsi="宋体" w:cs="宋体"/>
                <w:color w:val="auto"/>
                <w:szCs w:val="21"/>
              </w:rPr>
              <w:t>，以书面形式要求招标采购单位作出书面解释、澄清或者向招标采购单位提出书面质疑；答疑内容是招标文件的组成部份，并将以书面形式送达所有已报名的投标人；招标采购单位可以视采购具体情况，延长投标截止时间和开标时间，但应当在招标文件要求提交投标文件的截止时间前，将变更时间书面通知所有招标文件的收受人，并在财政部门指定的政府采购信息发布媒体上发布变更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1" w:hRule="atLeas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7</w:t>
            </w:r>
          </w:p>
        </w:tc>
        <w:tc>
          <w:tcPr>
            <w:tcW w:w="8131" w:type="dxa"/>
            <w:tcBorders>
              <w:top w:val="single" w:color="auto" w:sz="4" w:space="0"/>
              <w:left w:val="single" w:color="auto" w:sz="4" w:space="0"/>
              <w:bottom w:val="single" w:color="auto" w:sz="4" w:space="0"/>
            </w:tcBorders>
            <w:vAlign w:val="center"/>
          </w:tcPr>
          <w:p>
            <w:pPr>
              <w:autoSpaceDE w:val="0"/>
              <w:autoSpaceDN w:val="0"/>
              <w:snapToGrid w:val="0"/>
              <w:spacing w:line="410" w:lineRule="exact"/>
              <w:textAlignment w:val="bottom"/>
              <w:rPr>
                <w:rFonts w:ascii="宋体" w:cs="宋体"/>
                <w:color w:val="auto"/>
                <w:szCs w:val="21"/>
              </w:rPr>
            </w:pPr>
            <w:r>
              <w:rPr>
                <w:rFonts w:hint="eastAsia" w:ascii="宋体" w:hAnsi="宋体" w:cs="宋体"/>
                <w:color w:val="auto"/>
                <w:szCs w:val="21"/>
              </w:rPr>
              <w:t>投标文件组成和装订要求：</w:t>
            </w:r>
          </w:p>
          <w:p>
            <w:pPr>
              <w:numPr>
                <w:ilvl w:val="0"/>
                <w:numId w:val="7"/>
              </w:numPr>
              <w:autoSpaceDE w:val="0"/>
              <w:autoSpaceDN w:val="0"/>
              <w:snapToGrid w:val="0"/>
              <w:spacing w:line="410" w:lineRule="exact"/>
              <w:textAlignment w:val="bottom"/>
              <w:rPr>
                <w:rFonts w:ascii="宋体" w:cs="宋体"/>
                <w:b/>
                <w:bCs/>
                <w:color w:val="auto"/>
                <w:szCs w:val="21"/>
              </w:rPr>
            </w:pPr>
            <w:r>
              <w:rPr>
                <w:rFonts w:hint="eastAsia" w:ascii="宋体" w:hAnsi="宋体" w:cs="宋体"/>
                <w:b/>
                <w:bCs/>
                <w:color w:val="auto"/>
                <w:szCs w:val="21"/>
              </w:rPr>
              <w:t>装订要求：资格部分单独装订成册，封面注明投标文件（资格部分）（“正本”或“副本”），数量：正本</w:t>
            </w:r>
            <w:r>
              <w:rPr>
                <w:rFonts w:ascii="宋体" w:hAnsi="宋体" w:cs="宋体"/>
                <w:b/>
                <w:bCs/>
                <w:color w:val="auto"/>
                <w:szCs w:val="21"/>
                <w:u w:val="single"/>
              </w:rPr>
              <w:t>1</w:t>
            </w:r>
            <w:r>
              <w:rPr>
                <w:rFonts w:hint="eastAsia" w:ascii="宋体" w:hAnsi="宋体" w:cs="宋体"/>
                <w:b/>
                <w:bCs/>
                <w:color w:val="auto"/>
                <w:szCs w:val="21"/>
              </w:rPr>
              <w:t>份，副本</w:t>
            </w:r>
            <w:r>
              <w:rPr>
                <w:rFonts w:ascii="宋体" w:hAnsi="宋体" w:cs="宋体"/>
                <w:b/>
                <w:bCs/>
                <w:color w:val="auto"/>
                <w:szCs w:val="21"/>
                <w:u w:val="single"/>
              </w:rPr>
              <w:t>4</w:t>
            </w:r>
            <w:r>
              <w:rPr>
                <w:rFonts w:hint="eastAsia" w:ascii="宋体" w:hAnsi="宋体" w:cs="宋体"/>
                <w:b/>
                <w:bCs/>
                <w:color w:val="auto"/>
                <w:szCs w:val="21"/>
              </w:rPr>
              <w:t>份；商务及技术部分、报价部分合并装订成册，封面注明投标文件（商务及技术部分、报价部分）（“正本”或“副本”），数量：正本</w:t>
            </w:r>
            <w:r>
              <w:rPr>
                <w:rFonts w:ascii="宋体" w:hAnsi="宋体" w:cs="宋体"/>
                <w:b/>
                <w:bCs/>
                <w:color w:val="auto"/>
                <w:szCs w:val="21"/>
                <w:u w:val="single"/>
              </w:rPr>
              <w:t>1</w:t>
            </w:r>
            <w:r>
              <w:rPr>
                <w:rFonts w:hint="eastAsia" w:ascii="宋体" w:hAnsi="宋体" w:cs="宋体"/>
                <w:b/>
                <w:bCs/>
                <w:color w:val="auto"/>
                <w:szCs w:val="21"/>
              </w:rPr>
              <w:t>份；副本</w:t>
            </w:r>
            <w:r>
              <w:rPr>
                <w:rFonts w:ascii="宋体" w:hAnsi="宋体" w:cs="宋体"/>
                <w:b/>
                <w:bCs/>
                <w:color w:val="auto"/>
                <w:szCs w:val="21"/>
                <w:u w:val="single"/>
              </w:rPr>
              <w:t>4</w:t>
            </w:r>
            <w:r>
              <w:rPr>
                <w:rFonts w:hint="eastAsia" w:ascii="宋体" w:hAnsi="宋体" w:cs="宋体"/>
                <w:b/>
                <w:bCs/>
                <w:color w:val="auto"/>
                <w:szCs w:val="21"/>
              </w:rPr>
              <w:t>份；</w:t>
            </w:r>
            <w:r>
              <w:rPr>
                <w:rFonts w:hint="eastAsia" w:ascii="宋体" w:hAnsi="宋体"/>
                <w:b/>
                <w:bCs/>
                <w:color w:val="auto"/>
                <w:szCs w:val="21"/>
              </w:rPr>
              <w:t>投标文件均应标注页码，装订应牢固，不易拆散和换页（</w:t>
            </w:r>
            <w:r>
              <w:rPr>
                <w:rFonts w:ascii="宋体" w:hAnsi="宋体"/>
                <w:b/>
                <w:bCs/>
                <w:color w:val="auto"/>
                <w:szCs w:val="21"/>
              </w:rPr>
              <w:t>A4</w:t>
            </w:r>
            <w:r>
              <w:rPr>
                <w:rFonts w:hint="eastAsia" w:ascii="宋体" w:hAnsi="宋体"/>
                <w:b/>
                <w:bCs/>
                <w:color w:val="auto"/>
                <w:szCs w:val="21"/>
              </w:rPr>
              <w:t>标准纸装订）</w:t>
            </w:r>
            <w:r>
              <w:rPr>
                <w:rFonts w:hint="eastAsia" w:ascii="宋体" w:hAnsi="宋体" w:cs="宋体"/>
                <w:b/>
                <w:bCs/>
                <w:color w:val="auto"/>
                <w:szCs w:val="21"/>
              </w:rPr>
              <w:t>。</w:t>
            </w:r>
          </w:p>
          <w:p>
            <w:pPr>
              <w:autoSpaceDE w:val="0"/>
              <w:autoSpaceDN w:val="0"/>
              <w:snapToGrid w:val="0"/>
              <w:spacing w:line="410" w:lineRule="exact"/>
              <w:textAlignment w:val="bottom"/>
              <w:rPr>
                <w:rFonts w:ascii="宋体" w:cs="宋体"/>
                <w:b/>
                <w:bCs/>
                <w:color w:val="auto"/>
                <w:szCs w:val="21"/>
              </w:rPr>
            </w:pPr>
            <w:r>
              <w:rPr>
                <w:rFonts w:ascii="宋体" w:hAnsi="宋体" w:cs="宋体"/>
                <w:b/>
                <w:bCs/>
                <w:color w:val="auto"/>
                <w:szCs w:val="21"/>
              </w:rPr>
              <w:t>2</w:t>
            </w:r>
            <w:r>
              <w:rPr>
                <w:rFonts w:hint="eastAsia" w:ascii="宋体" w:hAnsi="宋体" w:cs="宋体"/>
                <w:b/>
                <w:bCs/>
                <w:color w:val="auto"/>
                <w:szCs w:val="21"/>
              </w:rPr>
              <w:t>）投标文件组成：所有投标文件（资格部分、商务及技术部分、报价部分）正本</w:t>
            </w:r>
            <w:r>
              <w:rPr>
                <w:rFonts w:ascii="宋体" w:hAnsi="宋体" w:cs="宋体"/>
                <w:b/>
                <w:bCs/>
                <w:color w:val="auto"/>
                <w:szCs w:val="21"/>
                <w:u w:val="single"/>
              </w:rPr>
              <w:t xml:space="preserve"> 1 </w:t>
            </w:r>
            <w:r>
              <w:rPr>
                <w:rFonts w:hint="eastAsia" w:ascii="宋体" w:hAnsi="宋体" w:cs="宋体"/>
                <w:b/>
                <w:bCs/>
                <w:color w:val="auto"/>
                <w:szCs w:val="21"/>
              </w:rPr>
              <w:t>份，副本</w:t>
            </w:r>
            <w:r>
              <w:rPr>
                <w:rFonts w:ascii="宋体" w:hAnsi="宋体" w:cs="宋体"/>
                <w:b/>
                <w:bCs/>
                <w:color w:val="auto"/>
                <w:szCs w:val="21"/>
                <w:u w:val="single"/>
              </w:rPr>
              <w:t>4</w:t>
            </w:r>
            <w:r>
              <w:rPr>
                <w:rFonts w:hint="eastAsia" w:ascii="宋体" w:hAnsi="宋体" w:cs="宋体"/>
                <w:b/>
                <w:bCs/>
                <w:color w:val="auto"/>
                <w:szCs w:val="21"/>
              </w:rPr>
              <w:t>份一并密封封装在一个投标文件袋（盒、箱）中</w:t>
            </w:r>
            <w:r>
              <w:rPr>
                <w:rFonts w:hint="eastAsia" w:hAnsi="宋体"/>
                <w:b/>
                <w:bCs/>
                <w:color w:val="auto"/>
                <w:spacing w:val="-2"/>
                <w:szCs w:val="21"/>
              </w:rPr>
              <w:t>（要求文件袋无明显缝隙露出袋内文件）</w:t>
            </w:r>
            <w:r>
              <w:rPr>
                <w:rFonts w:hint="eastAsia" w:ascii="宋体" w:hAnsi="宋体" w:cs="宋体"/>
                <w:b/>
                <w:bCs/>
                <w:color w:val="auto"/>
                <w:szCs w:val="21"/>
              </w:rPr>
              <w:t>，并在密封处密封签章（加盖投标人公章或由法定代表人（委托代理人）盖章或签字）；开标一览表、投标函各</w:t>
            </w:r>
            <w:r>
              <w:rPr>
                <w:rFonts w:ascii="宋体" w:hAnsi="宋体" w:cs="宋体"/>
                <w:b/>
                <w:bCs/>
                <w:color w:val="auto"/>
                <w:szCs w:val="21"/>
                <w:u w:val="single"/>
              </w:rPr>
              <w:t xml:space="preserve"> 1 </w:t>
            </w:r>
            <w:r>
              <w:rPr>
                <w:rFonts w:hint="eastAsia" w:ascii="宋体" w:hAnsi="宋体" w:cs="宋体"/>
                <w:b/>
                <w:bCs/>
                <w:color w:val="auto"/>
                <w:szCs w:val="21"/>
              </w:rPr>
              <w:t>份，必须一并密封封装在一个信封中</w:t>
            </w:r>
            <w:r>
              <w:rPr>
                <w:rFonts w:hint="eastAsia" w:hAnsi="宋体"/>
                <w:b/>
                <w:bCs/>
                <w:color w:val="auto"/>
                <w:spacing w:val="-2"/>
                <w:szCs w:val="21"/>
              </w:rPr>
              <w:t>（要求文件袋无明显缝隙露出袋内文件）</w:t>
            </w:r>
            <w:r>
              <w:rPr>
                <w:rFonts w:hint="eastAsia" w:ascii="宋体" w:hAnsi="宋体" w:cs="宋体"/>
                <w:b/>
                <w:bCs/>
                <w:color w:val="auto"/>
                <w:szCs w:val="21"/>
              </w:rPr>
              <w:t>，</w:t>
            </w:r>
            <w:r>
              <w:rPr>
                <w:rFonts w:hint="eastAsia" w:ascii="宋体" w:hAnsi="宋体"/>
                <w:b/>
                <w:bCs/>
                <w:color w:val="auto"/>
                <w:szCs w:val="21"/>
              </w:rPr>
              <w:t>并在密封处密封签章（加盖投标人公章或由法定代表人（委托代理人）盖章或签字）</w:t>
            </w:r>
            <w:r>
              <w:rPr>
                <w:rFonts w:hint="eastAsia" w:ascii="宋体" w:hAnsi="宋体" w:cs="宋体"/>
                <w:b/>
                <w:bCs/>
                <w:color w:val="auto"/>
                <w:szCs w:val="21"/>
              </w:rPr>
              <w:t>，单独提交。</w:t>
            </w:r>
          </w:p>
          <w:p>
            <w:pPr>
              <w:autoSpaceDE w:val="0"/>
              <w:autoSpaceDN w:val="0"/>
              <w:snapToGrid w:val="0"/>
              <w:spacing w:line="410" w:lineRule="exact"/>
              <w:textAlignment w:val="bottom"/>
              <w:rPr>
                <w:rFonts w:ascii="宋体" w:cs="宋体"/>
                <w:b/>
                <w:bCs/>
                <w:color w:val="auto"/>
                <w:szCs w:val="21"/>
              </w:rPr>
            </w:pPr>
            <w:r>
              <w:rPr>
                <w:rFonts w:hint="eastAsia" w:ascii="宋体" w:hAnsi="宋体" w:cs="宋体"/>
                <w:b/>
                <w:bCs/>
                <w:color w:val="auto"/>
                <w:szCs w:val="21"/>
              </w:rPr>
              <w:t>投标文件及信封的外包装封面上均应注明投标人名称、投标人地址、投标项目名称、项目编号及“开标时启封”字样，并加盖投标人公章。</w:t>
            </w:r>
          </w:p>
          <w:p>
            <w:pPr>
              <w:autoSpaceDE w:val="0"/>
              <w:autoSpaceDN w:val="0"/>
              <w:snapToGrid w:val="0"/>
              <w:spacing w:line="410" w:lineRule="exact"/>
              <w:textAlignment w:val="bottom"/>
              <w:rPr>
                <w:rFonts w:ascii="宋体"/>
                <w:b/>
                <w:color w:val="auto"/>
                <w:sz w:val="22"/>
                <w:szCs w:val="22"/>
                <w:u w:val="single"/>
              </w:rPr>
            </w:pPr>
            <w:r>
              <w:rPr>
                <w:rFonts w:hint="eastAsia" w:ascii="宋体" w:hAnsi="宋体" w:cs="宋体"/>
                <w:b/>
                <w:bCs/>
                <w:color w:val="auto"/>
                <w:szCs w:val="21"/>
              </w:rPr>
              <w:t>投标文件必须包边装订，使用活页夹、订书钉等可能导致投标文件散落或脱页方式装订的将被视为无效投标文件。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9"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8</w:t>
            </w:r>
          </w:p>
        </w:tc>
        <w:tc>
          <w:tcPr>
            <w:tcW w:w="8131" w:type="dxa"/>
            <w:tcBorders>
              <w:top w:val="single" w:color="auto" w:sz="4" w:space="0"/>
              <w:left w:val="single" w:color="auto" w:sz="4" w:space="0"/>
              <w:bottom w:val="single" w:color="auto" w:sz="4" w:space="0"/>
            </w:tcBorders>
            <w:vAlign w:val="center"/>
          </w:tcPr>
          <w:p>
            <w:pPr>
              <w:snapToGrid w:val="0"/>
              <w:spacing w:line="360" w:lineRule="exact"/>
              <w:rPr>
                <w:rFonts w:hint="eastAsia" w:ascii="宋体" w:eastAsia="宋体" w:cs="宋体"/>
                <w:color w:val="auto"/>
                <w:szCs w:val="21"/>
                <w:lang w:eastAsia="zh-CN"/>
              </w:rPr>
            </w:pPr>
            <w:r>
              <w:rPr>
                <w:rFonts w:hint="eastAsia" w:ascii="宋体" w:hAnsi="宋体" w:cs="宋体"/>
                <w:color w:val="auto"/>
                <w:szCs w:val="21"/>
              </w:rPr>
              <w:t>投标文件递交截止时间：</w:t>
            </w:r>
            <w:r>
              <w:rPr>
                <w:rFonts w:hint="eastAsia" w:ascii="宋体" w:hAnsi="宋体" w:cs="宋体"/>
                <w:color w:val="auto"/>
                <w:szCs w:val="21"/>
                <w:lang w:eastAsia="zh-CN"/>
              </w:rPr>
              <w:t>2020年12月30日9点30分整</w:t>
            </w:r>
          </w:p>
          <w:p>
            <w:pPr>
              <w:snapToGrid w:val="0"/>
              <w:spacing w:line="360" w:lineRule="exact"/>
              <w:rPr>
                <w:rFonts w:ascii="宋体" w:cs="宋体"/>
                <w:color w:val="auto"/>
                <w:szCs w:val="21"/>
              </w:rPr>
            </w:pPr>
            <w:r>
              <w:rPr>
                <w:rFonts w:hint="eastAsia" w:ascii="宋体" w:hAnsi="宋体" w:cs="宋体"/>
                <w:color w:val="auto"/>
                <w:szCs w:val="21"/>
              </w:rPr>
              <w:t>投标文件递交地点：防城港市公共资源交易中心（防城港市迎宾路红树林大厦东塔）（具体开标厅根据防城港市公共资源交易中心网站公示或防城港市迎宾路红树林大厦东塔</w:t>
            </w:r>
            <w:r>
              <w:rPr>
                <w:rFonts w:ascii="宋体" w:hAnsi="宋体" w:cs="宋体"/>
                <w:color w:val="auto"/>
                <w:szCs w:val="21"/>
              </w:rPr>
              <w:t>6</w:t>
            </w:r>
            <w:r>
              <w:rPr>
                <w:rFonts w:hint="eastAsia" w:ascii="宋体" w:hAnsi="宋体" w:cs="宋体"/>
                <w:color w:val="auto"/>
                <w:szCs w:val="21"/>
              </w:rPr>
              <w:t>楼电子屏幕显示的安排）</w:t>
            </w:r>
          </w:p>
          <w:p>
            <w:pPr>
              <w:snapToGrid w:val="0"/>
              <w:spacing w:line="360" w:lineRule="exact"/>
              <w:rPr>
                <w:rFonts w:ascii="宋体" w:cs="宋体"/>
                <w:color w:val="auto"/>
                <w:szCs w:val="21"/>
              </w:rPr>
            </w:pPr>
            <w:r>
              <w:rPr>
                <w:rFonts w:hint="eastAsia" w:ascii="宋体" w:hAnsi="宋体" w:cs="宋体"/>
                <w:color w:val="auto"/>
                <w:szCs w:val="21"/>
              </w:rPr>
              <w:t>逾期送达或未按要求密封的将予以拒收（或作无效投标文件处理）</w:t>
            </w:r>
          </w:p>
          <w:p>
            <w:pPr>
              <w:snapToGrid w:val="0"/>
              <w:spacing w:line="360" w:lineRule="exact"/>
              <w:rPr>
                <w:rFonts w:ascii="宋体"/>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3"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9</w:t>
            </w:r>
          </w:p>
        </w:tc>
        <w:tc>
          <w:tcPr>
            <w:tcW w:w="8131" w:type="dxa"/>
            <w:tcBorders>
              <w:top w:val="single" w:color="auto" w:sz="4" w:space="0"/>
              <w:left w:val="single" w:color="auto" w:sz="4" w:space="0"/>
              <w:bottom w:val="single" w:color="auto" w:sz="4" w:space="0"/>
            </w:tcBorders>
            <w:vAlign w:val="center"/>
          </w:tcPr>
          <w:p>
            <w:pPr>
              <w:snapToGrid w:val="0"/>
              <w:spacing w:line="360" w:lineRule="exact"/>
              <w:rPr>
                <w:rFonts w:hint="eastAsia" w:ascii="宋体" w:eastAsia="宋体" w:cs="宋体"/>
                <w:color w:val="auto"/>
                <w:szCs w:val="21"/>
                <w:lang w:eastAsia="zh-CN"/>
              </w:rPr>
            </w:pPr>
            <w:r>
              <w:rPr>
                <w:rFonts w:hint="eastAsia" w:ascii="宋体" w:hAnsi="宋体" w:cs="宋体"/>
                <w:color w:val="auto"/>
                <w:szCs w:val="21"/>
              </w:rPr>
              <w:t>开标时间：</w:t>
            </w:r>
            <w:r>
              <w:rPr>
                <w:rFonts w:hint="eastAsia" w:ascii="宋体" w:hAnsi="宋体" w:cs="宋体"/>
                <w:color w:val="auto"/>
                <w:szCs w:val="21"/>
                <w:lang w:eastAsia="zh-CN"/>
              </w:rPr>
              <w:t>2020年12月30日9点30分整</w:t>
            </w:r>
          </w:p>
          <w:p>
            <w:pPr>
              <w:snapToGrid w:val="0"/>
              <w:spacing w:line="360" w:lineRule="exact"/>
              <w:rPr>
                <w:rFonts w:ascii="宋体" w:cs="宋体"/>
                <w:color w:val="auto"/>
                <w:szCs w:val="21"/>
              </w:rPr>
            </w:pPr>
            <w:r>
              <w:rPr>
                <w:rFonts w:hint="eastAsia" w:ascii="宋体" w:hAnsi="宋体" w:cs="宋体"/>
                <w:color w:val="auto"/>
                <w:szCs w:val="21"/>
              </w:rPr>
              <w:t>开标地点：防城港市公共资源交易中心开标厅（防城港市迎宾路红树林大厦东塔）（具体开标厅根据防城港市公共资源交易中心网站公示或防城港市迎宾路红树林大厦东塔</w:t>
            </w:r>
            <w:r>
              <w:rPr>
                <w:rFonts w:ascii="宋体" w:hAnsi="宋体" w:cs="宋体"/>
                <w:color w:val="auto"/>
                <w:szCs w:val="21"/>
              </w:rPr>
              <w:t>6</w:t>
            </w:r>
            <w:r>
              <w:rPr>
                <w:rFonts w:hint="eastAsia" w:ascii="宋体" w:hAnsi="宋体" w:cs="宋体"/>
                <w:color w:val="auto"/>
                <w:szCs w:val="21"/>
              </w:rPr>
              <w:t>楼电子屏幕显示的安排）</w:t>
            </w:r>
          </w:p>
          <w:p>
            <w:pPr>
              <w:snapToGrid w:val="0"/>
              <w:spacing w:line="360" w:lineRule="exact"/>
              <w:rPr>
                <w:rFonts w:ascii="宋体"/>
                <w:b/>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0"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10</w:t>
            </w:r>
          </w:p>
        </w:tc>
        <w:tc>
          <w:tcPr>
            <w:tcW w:w="8131" w:type="dxa"/>
            <w:tcBorders>
              <w:top w:val="single" w:color="auto" w:sz="4" w:space="0"/>
              <w:left w:val="single" w:color="auto" w:sz="4" w:space="0"/>
              <w:bottom w:val="single" w:color="auto" w:sz="4" w:space="0"/>
            </w:tcBorders>
            <w:vAlign w:val="center"/>
          </w:tcPr>
          <w:p>
            <w:pPr>
              <w:autoSpaceDE w:val="0"/>
              <w:autoSpaceDN w:val="0"/>
              <w:snapToGrid w:val="0"/>
              <w:spacing w:line="410" w:lineRule="exact"/>
              <w:textAlignment w:val="bottom"/>
              <w:rPr>
                <w:rFonts w:ascii="宋体" w:cs="宋体"/>
                <w:color w:val="auto"/>
                <w:szCs w:val="21"/>
              </w:rPr>
            </w:pPr>
            <w:r>
              <w:rPr>
                <w:rFonts w:hint="eastAsia" w:ascii="宋体" w:hAnsi="宋体" w:cs="宋体"/>
                <w:color w:val="auto"/>
                <w:szCs w:val="21"/>
              </w:rPr>
              <w:t>评分标准：综合评分法</w:t>
            </w:r>
          </w:p>
          <w:p>
            <w:pPr>
              <w:autoSpaceDE w:val="0"/>
              <w:autoSpaceDN w:val="0"/>
              <w:snapToGrid w:val="0"/>
              <w:spacing w:line="410" w:lineRule="exact"/>
              <w:textAlignment w:val="bottom"/>
              <w:rPr>
                <w:rFonts w:ascii="宋体"/>
                <w:color w:val="auto"/>
                <w:sz w:val="22"/>
                <w:szCs w:val="22"/>
              </w:rPr>
            </w:pPr>
            <w:r>
              <w:rPr>
                <w:rFonts w:hint="eastAsia" w:ascii="宋体" w:hAnsi="宋体" w:cs="宋体"/>
                <w:color w:val="auto"/>
                <w:szCs w:val="21"/>
              </w:rPr>
              <w:t>评标委员会组成：本招标采购项目的评委由采购人代表、政府采购评审专家库中随机抽取的专家共</w:t>
            </w:r>
            <w:r>
              <w:rPr>
                <w:rFonts w:ascii="宋体" w:hAnsi="宋体" w:cs="宋体"/>
                <w:color w:val="auto"/>
                <w:szCs w:val="21"/>
              </w:rPr>
              <w:t>5</w:t>
            </w:r>
            <w:r>
              <w:rPr>
                <w:rFonts w:hint="eastAsia" w:ascii="宋体" w:hAnsi="宋体" w:cs="宋体"/>
                <w:color w:val="auto"/>
                <w:szCs w:val="21"/>
              </w:rPr>
              <w:t>人以上（含</w:t>
            </w:r>
            <w:r>
              <w:rPr>
                <w:rFonts w:ascii="宋体" w:hAnsi="宋体" w:cs="宋体"/>
                <w:color w:val="auto"/>
                <w:szCs w:val="21"/>
              </w:rPr>
              <w:t>5</w:t>
            </w:r>
            <w:r>
              <w:rPr>
                <w:rFonts w:hint="eastAsia" w:ascii="宋体" w:hAnsi="宋体" w:cs="宋体"/>
                <w:color w:val="auto"/>
                <w:szCs w:val="21"/>
              </w:rPr>
              <w:t>人）单数构成，其中专家人数不少于成员总数的三分之二。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4"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11</w:t>
            </w:r>
          </w:p>
        </w:tc>
        <w:tc>
          <w:tcPr>
            <w:tcW w:w="8131" w:type="dxa"/>
            <w:tcBorders>
              <w:top w:val="single" w:color="auto" w:sz="4" w:space="0"/>
              <w:left w:val="single" w:color="auto" w:sz="4" w:space="0"/>
              <w:bottom w:val="single" w:color="auto" w:sz="4" w:space="0"/>
            </w:tcBorders>
            <w:vAlign w:val="center"/>
          </w:tcPr>
          <w:p>
            <w:pPr>
              <w:autoSpaceDE w:val="0"/>
              <w:autoSpaceDN w:val="0"/>
              <w:snapToGrid w:val="0"/>
              <w:spacing w:line="410" w:lineRule="exact"/>
              <w:textAlignment w:val="bottom"/>
              <w:rPr>
                <w:rFonts w:ascii="宋体"/>
                <w:color w:val="auto"/>
                <w:sz w:val="22"/>
                <w:szCs w:val="22"/>
              </w:rPr>
            </w:pPr>
            <w:r>
              <w:rPr>
                <w:rFonts w:hint="eastAsia" w:ascii="宋体" w:hAnsi="宋体" w:cs="宋体"/>
                <w:color w:val="auto"/>
                <w:szCs w:val="21"/>
              </w:rPr>
              <w:t>公告发布媒体：中国政府采购网（</w:t>
            </w:r>
            <w:r>
              <w:rPr>
                <w:rFonts w:ascii="宋体" w:hAnsi="宋体" w:cs="宋体"/>
                <w:color w:val="auto"/>
                <w:szCs w:val="21"/>
              </w:rPr>
              <w:t>http://www.ccgp.gov.cn</w:t>
            </w:r>
            <w:r>
              <w:rPr>
                <w:rFonts w:hint="eastAsia" w:ascii="宋体" w:hAnsi="宋体" w:cs="宋体"/>
                <w:color w:val="auto"/>
                <w:szCs w:val="21"/>
              </w:rPr>
              <w:t>）、广西壮族自治区政府采购网（</w:t>
            </w:r>
            <w:r>
              <w:rPr>
                <w:rFonts w:ascii="宋体" w:hAnsi="宋体" w:cs="宋体"/>
                <w:color w:val="auto"/>
                <w:szCs w:val="21"/>
              </w:rPr>
              <w:t>http://www.gxzfcg.gov.cn</w:t>
            </w:r>
            <w:r>
              <w:rPr>
                <w:rFonts w:hint="eastAsia" w:ascii="宋体" w:hAnsi="宋体" w:cs="宋体"/>
                <w:color w:val="auto"/>
                <w:szCs w:val="21"/>
              </w:rPr>
              <w:t>）、广西防城港政府采购网站（</w:t>
            </w:r>
            <w:r>
              <w:rPr>
                <w:rFonts w:ascii="宋体" w:hAnsi="宋体" w:cs="宋体"/>
                <w:color w:val="auto"/>
                <w:szCs w:val="21"/>
              </w:rPr>
              <w:t>http://zfcg.fcgs.gov.cn</w:t>
            </w:r>
            <w:r>
              <w:rPr>
                <w:rFonts w:hint="eastAsia" w:ascii="宋体" w:hAnsi="宋体" w:cs="宋体"/>
                <w:color w:val="auto"/>
                <w:szCs w:val="21"/>
              </w:rPr>
              <w:t>）、防城港市公共资源交易中心网（</w:t>
            </w:r>
            <w:r>
              <w:rPr>
                <w:rFonts w:ascii="宋体" w:hAnsi="宋体" w:cs="宋体"/>
                <w:color w:val="auto"/>
                <w:szCs w:val="21"/>
              </w:rPr>
              <w:t>http://www.fcgggzy.cn</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12</w:t>
            </w:r>
          </w:p>
        </w:tc>
        <w:tc>
          <w:tcPr>
            <w:tcW w:w="8131" w:type="dxa"/>
            <w:tcBorders>
              <w:top w:val="single" w:color="auto" w:sz="4" w:space="0"/>
              <w:left w:val="single" w:color="auto" w:sz="4" w:space="0"/>
              <w:bottom w:val="single" w:color="auto" w:sz="4" w:space="0"/>
            </w:tcBorders>
            <w:vAlign w:val="center"/>
          </w:tcPr>
          <w:p>
            <w:pPr>
              <w:autoSpaceDE w:val="0"/>
              <w:autoSpaceDN w:val="0"/>
              <w:snapToGrid w:val="0"/>
              <w:spacing w:line="410" w:lineRule="exact"/>
              <w:textAlignment w:val="bottom"/>
              <w:rPr>
                <w:rFonts w:ascii="宋体"/>
                <w:color w:val="auto"/>
                <w:sz w:val="22"/>
                <w:szCs w:val="22"/>
              </w:rPr>
            </w:pPr>
            <w:r>
              <w:rPr>
                <w:rFonts w:hint="eastAsia" w:ascii="宋体" w:hAnsi="宋体" w:cs="宋体"/>
                <w:color w:val="auto"/>
                <w:szCs w:val="21"/>
              </w:rPr>
              <w:t>履约保证金的收取</w:t>
            </w:r>
            <w:r>
              <w:rPr>
                <w:rFonts w:ascii="宋体" w:hAnsi="宋体" w:cs="宋体"/>
                <w:color w:val="auto"/>
                <w:szCs w:val="21"/>
              </w:rPr>
              <w:t>:</w:t>
            </w:r>
            <w:r>
              <w:rPr>
                <w:rFonts w:hint="eastAsia" w:ascii="宋体" w:hAnsi="宋体" w:cs="宋体"/>
                <w:color w:val="auto"/>
                <w:szCs w:val="21"/>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13</w:t>
            </w:r>
          </w:p>
        </w:tc>
        <w:tc>
          <w:tcPr>
            <w:tcW w:w="8131" w:type="dxa"/>
            <w:tcBorders>
              <w:top w:val="single" w:color="auto" w:sz="4" w:space="0"/>
              <w:left w:val="single" w:color="auto" w:sz="4" w:space="0"/>
              <w:bottom w:val="single" w:color="auto" w:sz="4" w:space="0"/>
            </w:tcBorders>
            <w:vAlign w:val="center"/>
          </w:tcPr>
          <w:p>
            <w:pPr>
              <w:autoSpaceDE w:val="0"/>
              <w:autoSpaceDN w:val="0"/>
              <w:snapToGrid w:val="0"/>
              <w:spacing w:line="410" w:lineRule="exact"/>
              <w:textAlignment w:val="bottom"/>
              <w:rPr>
                <w:rFonts w:ascii="宋体"/>
                <w:color w:val="auto"/>
                <w:sz w:val="22"/>
                <w:szCs w:val="22"/>
              </w:rPr>
            </w:pPr>
            <w:r>
              <w:rPr>
                <w:rFonts w:hint="eastAsia" w:ascii="宋体" w:hAnsi="宋体" w:cs="宋体"/>
                <w:color w:val="auto"/>
                <w:szCs w:val="21"/>
              </w:rPr>
              <w:t>签订合同时间：应当在中标通知书发出后</w:t>
            </w:r>
            <w:r>
              <w:rPr>
                <w:rFonts w:hint="eastAsia" w:ascii="宋体" w:hAnsi="宋体" w:cs="宋体"/>
                <w:color w:val="auto"/>
                <w:szCs w:val="21"/>
                <w:lang w:val="en-US" w:eastAsia="zh-CN"/>
              </w:rPr>
              <w:t>5</w:t>
            </w:r>
            <w:r>
              <w:rPr>
                <w:rFonts w:hint="eastAsia" w:ascii="宋体" w:hAnsi="宋体" w:cs="宋体"/>
                <w:color w:val="auto"/>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14</w:t>
            </w:r>
          </w:p>
        </w:tc>
        <w:tc>
          <w:tcPr>
            <w:tcW w:w="8131" w:type="dxa"/>
            <w:tcBorders>
              <w:top w:val="single" w:color="auto" w:sz="4" w:space="0"/>
              <w:left w:val="single" w:color="auto" w:sz="4" w:space="0"/>
              <w:bottom w:val="single" w:color="auto" w:sz="4" w:space="0"/>
            </w:tcBorders>
            <w:vAlign w:val="center"/>
          </w:tcPr>
          <w:p>
            <w:pPr>
              <w:autoSpaceDE w:val="0"/>
              <w:autoSpaceDN w:val="0"/>
              <w:snapToGrid w:val="0"/>
              <w:spacing w:line="410" w:lineRule="exact"/>
              <w:textAlignment w:val="bottom"/>
              <w:rPr>
                <w:rFonts w:ascii="宋体"/>
                <w:color w:val="auto"/>
                <w:sz w:val="22"/>
                <w:szCs w:val="22"/>
              </w:rPr>
            </w:pPr>
            <w:r>
              <w:rPr>
                <w:rFonts w:hint="eastAsia" w:ascii="宋体" w:hAnsi="宋体" w:cs="宋体"/>
                <w:color w:val="auto"/>
                <w:szCs w:val="21"/>
              </w:rPr>
              <w:t>采购资金来源：一般公共预算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15</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ascii="宋体"/>
                <w:color w:val="auto"/>
                <w:sz w:val="22"/>
                <w:szCs w:val="22"/>
              </w:rPr>
            </w:pPr>
            <w:r>
              <w:rPr>
                <w:rFonts w:hint="eastAsia" w:ascii="宋体" w:hAnsi="宋体" w:cs="宋体"/>
                <w:color w:val="auto"/>
                <w:szCs w:val="21"/>
              </w:rPr>
              <w:t>投标文件有效期：自投标截止之日起</w:t>
            </w:r>
            <w:r>
              <w:rPr>
                <w:rFonts w:ascii="宋体" w:hAnsi="宋体" w:cs="宋体"/>
                <w:color w:val="auto"/>
                <w:szCs w:val="21"/>
              </w:rPr>
              <w:t>60</w:t>
            </w:r>
            <w:r>
              <w:rPr>
                <w:rFonts w:hint="eastAsia" w:ascii="宋体" w:hAnsi="宋体" w:cs="宋体"/>
                <w:color w:val="auto"/>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exact"/>
        </w:trPr>
        <w:tc>
          <w:tcPr>
            <w:tcW w:w="869" w:type="dxa"/>
            <w:tcBorders>
              <w:top w:val="single" w:color="auto" w:sz="4" w:space="0"/>
              <w:bottom w:val="single" w:color="auto" w:sz="4" w:space="0"/>
              <w:right w:val="single" w:color="auto" w:sz="4" w:space="0"/>
            </w:tcBorders>
            <w:vAlign w:val="center"/>
          </w:tcPr>
          <w:p>
            <w:pPr>
              <w:snapToGrid w:val="0"/>
              <w:spacing w:line="410" w:lineRule="exact"/>
              <w:jc w:val="center"/>
              <w:rPr>
                <w:rFonts w:ascii="宋体"/>
                <w:color w:val="auto"/>
                <w:sz w:val="22"/>
                <w:szCs w:val="22"/>
              </w:rPr>
            </w:pPr>
            <w:r>
              <w:rPr>
                <w:rFonts w:ascii="宋体" w:hAnsi="宋体" w:cs="宋体"/>
                <w:color w:val="auto"/>
                <w:szCs w:val="21"/>
              </w:rPr>
              <w:t>16</w:t>
            </w:r>
          </w:p>
        </w:tc>
        <w:tc>
          <w:tcPr>
            <w:tcW w:w="8131" w:type="dxa"/>
            <w:tcBorders>
              <w:top w:val="single" w:color="auto" w:sz="4" w:space="0"/>
              <w:left w:val="single" w:color="auto" w:sz="4" w:space="0"/>
              <w:bottom w:val="single" w:color="auto" w:sz="4" w:space="0"/>
            </w:tcBorders>
            <w:vAlign w:val="center"/>
          </w:tcPr>
          <w:p>
            <w:pPr>
              <w:snapToGrid w:val="0"/>
              <w:spacing w:line="410" w:lineRule="exact"/>
              <w:rPr>
                <w:rFonts w:ascii="宋体"/>
                <w:color w:val="auto"/>
                <w:sz w:val="22"/>
                <w:szCs w:val="22"/>
              </w:rPr>
            </w:pPr>
            <w:r>
              <w:rPr>
                <w:rFonts w:hint="eastAsia" w:ascii="宋体" w:hAnsi="宋体" w:cs="宋体"/>
                <w:color w:val="auto"/>
                <w:szCs w:val="21"/>
              </w:rPr>
              <w:t>解释：本招标文件的解释权属于招标采购单位</w:t>
            </w:r>
          </w:p>
        </w:tc>
      </w:tr>
    </w:tbl>
    <w:p>
      <w:pPr>
        <w:snapToGrid w:val="0"/>
        <w:rPr>
          <w:rFonts w:ascii="宋体"/>
          <w:color w:val="auto"/>
          <w:sz w:val="22"/>
          <w:szCs w:val="22"/>
        </w:rPr>
      </w:pPr>
    </w:p>
    <w:p>
      <w:pPr>
        <w:pStyle w:val="55"/>
        <w:rPr>
          <w:rFonts w:ascii="宋体"/>
          <w:color w:val="auto"/>
          <w:sz w:val="22"/>
          <w:szCs w:val="22"/>
        </w:rPr>
      </w:pPr>
    </w:p>
    <w:p>
      <w:pPr>
        <w:pStyle w:val="55"/>
        <w:rPr>
          <w:rFonts w:ascii="宋体"/>
          <w:color w:val="auto"/>
          <w:sz w:val="22"/>
          <w:szCs w:val="22"/>
        </w:rPr>
      </w:pPr>
    </w:p>
    <w:p>
      <w:pPr>
        <w:pStyle w:val="55"/>
        <w:rPr>
          <w:rFonts w:ascii="宋体"/>
          <w:color w:val="auto"/>
          <w:sz w:val="22"/>
          <w:szCs w:val="22"/>
        </w:rPr>
      </w:pPr>
    </w:p>
    <w:p>
      <w:pPr>
        <w:pStyle w:val="55"/>
        <w:rPr>
          <w:rFonts w:ascii="宋体"/>
          <w:color w:val="auto"/>
          <w:sz w:val="22"/>
          <w:szCs w:val="22"/>
        </w:rPr>
      </w:pPr>
    </w:p>
    <w:p>
      <w:pPr>
        <w:pStyle w:val="55"/>
        <w:rPr>
          <w:rFonts w:ascii="宋体"/>
          <w:color w:val="auto"/>
          <w:sz w:val="22"/>
          <w:szCs w:val="22"/>
        </w:rPr>
      </w:pPr>
    </w:p>
    <w:p>
      <w:pPr>
        <w:pStyle w:val="55"/>
        <w:rPr>
          <w:rFonts w:ascii="宋体"/>
          <w:color w:val="auto"/>
          <w:sz w:val="22"/>
          <w:szCs w:val="22"/>
        </w:rPr>
      </w:pPr>
    </w:p>
    <w:p>
      <w:pPr>
        <w:pStyle w:val="55"/>
        <w:rPr>
          <w:rFonts w:ascii="宋体"/>
          <w:color w:val="auto"/>
          <w:sz w:val="22"/>
          <w:szCs w:val="22"/>
        </w:rPr>
      </w:pPr>
    </w:p>
    <w:p>
      <w:pPr>
        <w:pStyle w:val="55"/>
        <w:rPr>
          <w:rFonts w:ascii="宋体"/>
          <w:color w:val="auto"/>
          <w:sz w:val="22"/>
          <w:szCs w:val="22"/>
        </w:rPr>
      </w:pPr>
    </w:p>
    <w:p>
      <w:pPr>
        <w:pStyle w:val="55"/>
        <w:rPr>
          <w:rFonts w:ascii="宋体"/>
          <w:color w:val="auto"/>
          <w:sz w:val="22"/>
          <w:szCs w:val="22"/>
        </w:rPr>
      </w:pPr>
    </w:p>
    <w:p>
      <w:pPr>
        <w:pStyle w:val="55"/>
        <w:rPr>
          <w:rFonts w:ascii="宋体"/>
          <w:color w:val="auto"/>
          <w:sz w:val="22"/>
          <w:szCs w:val="22"/>
        </w:rPr>
      </w:pPr>
    </w:p>
    <w:p>
      <w:pPr>
        <w:pStyle w:val="55"/>
        <w:rPr>
          <w:rFonts w:ascii="宋体"/>
          <w:color w:val="auto"/>
          <w:sz w:val="22"/>
          <w:szCs w:val="22"/>
        </w:rPr>
      </w:pPr>
    </w:p>
    <w:p>
      <w:pPr>
        <w:pStyle w:val="55"/>
        <w:rPr>
          <w:rFonts w:ascii="宋体"/>
          <w:color w:val="auto"/>
          <w:sz w:val="22"/>
          <w:szCs w:val="22"/>
        </w:rPr>
      </w:pPr>
    </w:p>
    <w:p>
      <w:pPr>
        <w:pStyle w:val="55"/>
        <w:rPr>
          <w:rFonts w:ascii="宋体"/>
          <w:color w:val="auto"/>
          <w:sz w:val="22"/>
          <w:szCs w:val="22"/>
        </w:rPr>
      </w:pPr>
    </w:p>
    <w:p>
      <w:pPr>
        <w:pStyle w:val="23"/>
        <w:snapToGrid w:val="0"/>
        <w:spacing w:before="120" w:after="120" w:line="400" w:lineRule="exact"/>
        <w:ind w:firstLine="517" w:firstLineChars="245"/>
        <w:rPr>
          <w:rFonts w:hAnsi="宋体" w:cs="宋体"/>
          <w:b/>
          <w:color w:val="auto"/>
          <w:sz w:val="21"/>
        </w:rPr>
      </w:pPr>
      <w:bookmarkStart w:id="238" w:name="_Toc254970548"/>
      <w:bookmarkStart w:id="239" w:name="_Toc327735672"/>
      <w:bookmarkStart w:id="240" w:name="_Toc254970689"/>
      <w:r>
        <w:rPr>
          <w:rFonts w:hint="eastAsia" w:hAnsi="宋体" w:cs="宋体"/>
          <w:b/>
          <w:color w:val="auto"/>
          <w:sz w:val="21"/>
        </w:rPr>
        <w:t>一、总</w:t>
      </w:r>
      <w:r>
        <w:rPr>
          <w:rFonts w:hAnsi="宋体" w:cs="宋体"/>
          <w:b/>
          <w:color w:val="auto"/>
          <w:sz w:val="21"/>
        </w:rPr>
        <w:t xml:space="preserve">  </w:t>
      </w:r>
      <w:r>
        <w:rPr>
          <w:rFonts w:hint="eastAsia" w:hAnsi="宋体" w:cs="宋体"/>
          <w:b/>
          <w:color w:val="auto"/>
          <w:sz w:val="21"/>
        </w:rPr>
        <w:t>则</w:t>
      </w:r>
    </w:p>
    <w:p>
      <w:pPr>
        <w:snapToGrid w:val="0"/>
        <w:spacing w:line="400" w:lineRule="exact"/>
        <w:ind w:firstLine="411" w:firstLineChars="195"/>
        <w:jc w:val="left"/>
        <w:outlineLvl w:val="1"/>
        <w:rPr>
          <w:rFonts w:ascii="宋体" w:cs="宋体"/>
          <w:b/>
          <w:color w:val="auto"/>
          <w:szCs w:val="21"/>
        </w:rPr>
      </w:pPr>
      <w:bookmarkStart w:id="241" w:name="_Toc482864534"/>
      <w:bookmarkStart w:id="242" w:name="_Toc293863036"/>
      <w:bookmarkStart w:id="243" w:name="_Toc293863303"/>
      <w:bookmarkStart w:id="244" w:name="_Toc254970527"/>
      <w:bookmarkStart w:id="245" w:name="_Toc482865305"/>
      <w:bookmarkStart w:id="246" w:name="_Toc400465696"/>
      <w:bookmarkStart w:id="247" w:name="_Toc483327794"/>
      <w:bookmarkStart w:id="248" w:name="_Toc2910"/>
      <w:bookmarkStart w:id="249" w:name="_Toc445223663"/>
      <w:bookmarkStart w:id="250" w:name="_Toc254970668"/>
      <w:bookmarkStart w:id="251" w:name="_Toc308018660"/>
      <w:bookmarkStart w:id="252" w:name="_Toc448421125"/>
      <w:bookmarkStart w:id="253" w:name="_Toc482865135"/>
      <w:r>
        <w:rPr>
          <w:rFonts w:hint="eastAsia" w:ascii="宋体" w:hAnsi="宋体" w:cs="宋体"/>
          <w:b/>
          <w:color w:val="auto"/>
          <w:szCs w:val="21"/>
        </w:rPr>
        <w:t>（一）</w:t>
      </w:r>
      <w:r>
        <w:rPr>
          <w:rFonts w:ascii="宋体" w:hAnsi="宋体" w:cs="宋体"/>
          <w:b/>
          <w:color w:val="auto"/>
          <w:szCs w:val="21"/>
        </w:rPr>
        <w:t xml:space="preserve"> </w:t>
      </w:r>
      <w:r>
        <w:rPr>
          <w:rFonts w:hint="eastAsia" w:ascii="宋体" w:hAnsi="宋体" w:cs="宋体"/>
          <w:b/>
          <w:color w:val="auto"/>
          <w:szCs w:val="21"/>
        </w:rPr>
        <w:t>适用范围</w:t>
      </w:r>
      <w:bookmarkEnd w:id="241"/>
      <w:bookmarkEnd w:id="242"/>
      <w:bookmarkEnd w:id="243"/>
      <w:bookmarkEnd w:id="244"/>
      <w:bookmarkEnd w:id="245"/>
      <w:bookmarkEnd w:id="246"/>
      <w:bookmarkEnd w:id="247"/>
      <w:bookmarkEnd w:id="248"/>
      <w:bookmarkEnd w:id="249"/>
      <w:bookmarkEnd w:id="250"/>
      <w:bookmarkEnd w:id="251"/>
      <w:bookmarkEnd w:id="252"/>
      <w:bookmarkEnd w:id="253"/>
    </w:p>
    <w:p>
      <w:pPr>
        <w:snapToGrid w:val="0"/>
        <w:spacing w:line="400" w:lineRule="exact"/>
        <w:ind w:firstLine="409" w:firstLineChars="195"/>
        <w:jc w:val="left"/>
        <w:rPr>
          <w:rFonts w:ascii="宋体" w:cs="宋体"/>
          <w:color w:val="auto"/>
          <w:szCs w:val="21"/>
        </w:rPr>
      </w:pPr>
      <w:r>
        <w:rPr>
          <w:rFonts w:hint="eastAsia" w:ascii="宋体" w:hAnsi="宋体" w:cs="宋体"/>
          <w:color w:val="auto"/>
          <w:szCs w:val="21"/>
        </w:rPr>
        <w:t>本招标文件适用于防城港市医疗废物处置中心设备升级改造生产线设备采购的招标、投标、评标、定标、验收、合同履约、付款等行为（法律、法规另有规定的，从其规定）。</w:t>
      </w:r>
    </w:p>
    <w:p>
      <w:pPr>
        <w:snapToGrid w:val="0"/>
        <w:spacing w:beforeLines="50" w:line="400" w:lineRule="exact"/>
        <w:ind w:firstLine="411" w:firstLineChars="195"/>
        <w:jc w:val="left"/>
        <w:outlineLvl w:val="1"/>
        <w:rPr>
          <w:rFonts w:ascii="宋体" w:cs="宋体"/>
          <w:b/>
          <w:color w:val="auto"/>
          <w:szCs w:val="21"/>
        </w:rPr>
      </w:pPr>
      <w:bookmarkStart w:id="254" w:name="_Toc293863037"/>
      <w:bookmarkStart w:id="255" w:name="_Toc400465697"/>
      <w:bookmarkStart w:id="256" w:name="_Toc483327795"/>
      <w:bookmarkStart w:id="257" w:name="_Toc254970528"/>
      <w:bookmarkStart w:id="258" w:name="_Toc293863304"/>
      <w:bookmarkStart w:id="259" w:name="_Toc445223664"/>
      <w:bookmarkStart w:id="260" w:name="_Toc482864535"/>
      <w:bookmarkStart w:id="261" w:name="_Toc254970669"/>
      <w:bookmarkStart w:id="262" w:name="_Toc308018661"/>
      <w:bookmarkStart w:id="263" w:name="_Toc482865136"/>
      <w:bookmarkStart w:id="264" w:name="_Toc14848"/>
      <w:bookmarkStart w:id="265" w:name="_Toc482865306"/>
      <w:bookmarkStart w:id="266" w:name="_Toc448421126"/>
      <w:r>
        <w:rPr>
          <w:rFonts w:hint="eastAsia" w:ascii="宋体" w:hAnsi="宋体" w:cs="宋体"/>
          <w:b/>
          <w:color w:val="auto"/>
          <w:szCs w:val="21"/>
        </w:rPr>
        <w:t>（二）定义</w:t>
      </w:r>
      <w:bookmarkEnd w:id="254"/>
      <w:bookmarkEnd w:id="255"/>
      <w:bookmarkEnd w:id="256"/>
      <w:bookmarkEnd w:id="257"/>
      <w:bookmarkEnd w:id="258"/>
      <w:bookmarkEnd w:id="259"/>
      <w:bookmarkEnd w:id="260"/>
      <w:bookmarkEnd w:id="261"/>
      <w:bookmarkEnd w:id="262"/>
      <w:bookmarkEnd w:id="263"/>
      <w:bookmarkEnd w:id="264"/>
      <w:bookmarkEnd w:id="265"/>
      <w:bookmarkEnd w:id="266"/>
    </w:p>
    <w:p>
      <w:pPr>
        <w:snapToGrid w:val="0"/>
        <w:spacing w:line="360" w:lineRule="exact"/>
        <w:ind w:firstLine="409" w:firstLineChars="195"/>
        <w:jc w:val="left"/>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招标采购单位系指组织本次招标的采购人及采购代理机构。</w:t>
      </w:r>
    </w:p>
    <w:p>
      <w:pPr>
        <w:snapToGrid w:val="0"/>
        <w:spacing w:line="360" w:lineRule="exact"/>
        <w:ind w:firstLine="409" w:firstLineChars="195"/>
        <w:jc w:val="left"/>
        <w:rPr>
          <w:rFonts w:ascii="宋体" w:cs="宋体"/>
          <w:color w:val="auto"/>
          <w:szCs w:val="21"/>
        </w:rPr>
      </w:pPr>
      <w:r>
        <w:rPr>
          <w:rFonts w:ascii="宋体" w:hAnsi="宋体" w:cs="宋体"/>
          <w:color w:val="auto"/>
          <w:szCs w:val="21"/>
        </w:rPr>
        <w:t>2.</w:t>
      </w:r>
      <w:r>
        <w:rPr>
          <w:rFonts w:hint="eastAsia" w:ascii="宋体" w:hAnsi="宋体" w:cs="宋体"/>
          <w:color w:val="auto"/>
          <w:szCs w:val="21"/>
        </w:rPr>
        <w:t>“投标人”系指向招标采购单位提交投标文件的法人、其他组织或者自然人。</w:t>
      </w:r>
    </w:p>
    <w:p>
      <w:pPr>
        <w:snapToGrid w:val="0"/>
        <w:spacing w:line="360" w:lineRule="exact"/>
        <w:ind w:firstLine="409" w:firstLineChars="195"/>
        <w:jc w:val="left"/>
        <w:rPr>
          <w:rFonts w:ascii="宋体" w:cs="宋体"/>
          <w:color w:val="auto"/>
          <w:szCs w:val="21"/>
        </w:rPr>
      </w:pPr>
      <w:r>
        <w:rPr>
          <w:rFonts w:ascii="宋体" w:hAnsi="宋体" w:cs="宋体"/>
          <w:color w:val="auto"/>
          <w:szCs w:val="21"/>
        </w:rPr>
        <w:t>3.</w:t>
      </w:r>
      <w:r>
        <w:rPr>
          <w:rFonts w:hint="eastAsia" w:ascii="宋体" w:hAnsi="宋体" w:cs="宋体"/>
          <w:color w:val="auto"/>
          <w:szCs w:val="21"/>
        </w:rPr>
        <w:t>“产品”系指投标人按招标文件规定，须向采购人提供的一切设备、货物、保险、税金、备品备件、工具、手册及其它有关技术资料和材料。</w:t>
      </w:r>
    </w:p>
    <w:p>
      <w:pPr>
        <w:snapToGrid w:val="0"/>
        <w:spacing w:line="360" w:lineRule="exact"/>
        <w:ind w:firstLine="409" w:firstLineChars="195"/>
        <w:jc w:val="left"/>
        <w:rPr>
          <w:rFonts w:ascii="宋体" w:cs="宋体"/>
          <w:color w:val="auto"/>
          <w:szCs w:val="21"/>
        </w:rPr>
      </w:pPr>
      <w:r>
        <w:rPr>
          <w:rFonts w:ascii="宋体" w:hAnsi="宋体" w:cs="宋体"/>
          <w:color w:val="auto"/>
          <w:szCs w:val="21"/>
        </w:rPr>
        <w:t>4.</w:t>
      </w:r>
      <w:r>
        <w:rPr>
          <w:rFonts w:hint="eastAsia" w:ascii="宋体" w:hAnsi="宋体" w:cs="宋体"/>
          <w:color w:val="auto"/>
          <w:szCs w:val="21"/>
        </w:rPr>
        <w:t>“服务”系指招标文件规定投标人须承担的技术服务或设备安装、调试、技术协助、校准、培训、技术指导以及其他类似的义务。</w:t>
      </w:r>
    </w:p>
    <w:p>
      <w:pPr>
        <w:snapToGrid w:val="0"/>
        <w:spacing w:line="360" w:lineRule="exact"/>
        <w:ind w:firstLine="409" w:firstLineChars="195"/>
        <w:jc w:val="left"/>
        <w:rPr>
          <w:rFonts w:ascii="宋体" w:cs="宋体"/>
          <w:color w:val="auto"/>
          <w:szCs w:val="21"/>
        </w:rPr>
      </w:pPr>
      <w:r>
        <w:rPr>
          <w:rFonts w:ascii="宋体" w:hAnsi="宋体" w:cs="宋体"/>
          <w:color w:val="auto"/>
          <w:szCs w:val="21"/>
        </w:rPr>
        <w:t>5.</w:t>
      </w:r>
      <w:r>
        <w:rPr>
          <w:rFonts w:hint="eastAsia" w:ascii="宋体" w:hAnsi="宋体" w:cs="宋体"/>
          <w:color w:val="auto"/>
          <w:szCs w:val="21"/>
        </w:rPr>
        <w:t>“项目”系指投标人按招标文件规定向采购人提供的产品和服务。</w:t>
      </w:r>
    </w:p>
    <w:p>
      <w:pPr>
        <w:snapToGrid w:val="0"/>
        <w:spacing w:line="360" w:lineRule="exact"/>
        <w:ind w:firstLine="409" w:firstLineChars="195"/>
        <w:jc w:val="left"/>
        <w:rPr>
          <w:rFonts w:ascii="宋体" w:cs="宋体"/>
          <w:color w:val="auto"/>
          <w:szCs w:val="21"/>
        </w:rPr>
      </w:pPr>
      <w:r>
        <w:rPr>
          <w:rFonts w:ascii="宋体" w:hAnsi="宋体" w:cs="宋体"/>
          <w:color w:val="auto"/>
          <w:szCs w:val="21"/>
        </w:rPr>
        <w:t>6.</w:t>
      </w:r>
      <w:r>
        <w:rPr>
          <w:rFonts w:hint="eastAsia" w:ascii="宋体" w:hAnsi="宋体" w:cs="宋体"/>
          <w:color w:val="auto"/>
          <w:szCs w:val="21"/>
        </w:rPr>
        <w:t>“书面形式”包括信函、传真、电报等。</w:t>
      </w:r>
    </w:p>
    <w:p>
      <w:pPr>
        <w:tabs>
          <w:tab w:val="left" w:pos="7605"/>
        </w:tabs>
        <w:snapToGrid w:val="0"/>
        <w:spacing w:line="360" w:lineRule="exact"/>
        <w:ind w:firstLine="409" w:firstLineChars="195"/>
        <w:jc w:val="left"/>
        <w:rPr>
          <w:rFonts w:ascii="宋体" w:cs="宋体"/>
          <w:color w:val="auto"/>
          <w:szCs w:val="21"/>
        </w:rPr>
      </w:pPr>
      <w:r>
        <w:rPr>
          <w:rFonts w:ascii="宋体" w:hAnsi="宋体" w:cs="宋体"/>
          <w:color w:val="auto"/>
          <w:szCs w:val="21"/>
        </w:rPr>
        <w:t>7.</w:t>
      </w:r>
      <w:r>
        <w:rPr>
          <w:rFonts w:hint="eastAsia" w:ascii="宋体" w:hAnsi="宋体" w:cs="宋体"/>
          <w:color w:val="auto"/>
          <w:szCs w:val="21"/>
        </w:rPr>
        <w:t>“★”系指实质性要求条款。</w:t>
      </w:r>
      <w:r>
        <w:rPr>
          <w:rFonts w:ascii="宋体" w:cs="宋体"/>
          <w:color w:val="auto"/>
          <w:szCs w:val="21"/>
        </w:rPr>
        <w:tab/>
      </w:r>
    </w:p>
    <w:p>
      <w:pPr>
        <w:snapToGrid w:val="0"/>
        <w:spacing w:beforeLines="50" w:line="400" w:lineRule="exact"/>
        <w:ind w:firstLine="411" w:firstLineChars="195"/>
        <w:jc w:val="left"/>
        <w:outlineLvl w:val="1"/>
        <w:rPr>
          <w:rFonts w:ascii="宋体" w:cs="宋体"/>
          <w:b/>
          <w:color w:val="auto"/>
          <w:szCs w:val="21"/>
        </w:rPr>
      </w:pPr>
      <w:bookmarkStart w:id="267" w:name="_Toc254970529"/>
      <w:bookmarkStart w:id="268" w:name="_Toc483327796"/>
      <w:bookmarkStart w:id="269" w:name="_Toc400465698"/>
      <w:bookmarkStart w:id="270" w:name="_Toc482864536"/>
      <w:bookmarkStart w:id="271" w:name="_Toc254970670"/>
      <w:bookmarkStart w:id="272" w:name="_Toc308018662"/>
      <w:bookmarkStart w:id="273" w:name="_Toc448421127"/>
      <w:bookmarkStart w:id="274" w:name="_Toc482865307"/>
      <w:bookmarkStart w:id="275" w:name="_Toc293863038"/>
      <w:bookmarkStart w:id="276" w:name="_Toc482865137"/>
      <w:bookmarkStart w:id="277" w:name="_Toc445223665"/>
      <w:bookmarkStart w:id="278" w:name="_Toc293863305"/>
      <w:bookmarkStart w:id="279" w:name="_Toc9481"/>
      <w:r>
        <w:rPr>
          <w:rFonts w:hint="eastAsia" w:ascii="宋体" w:hAnsi="宋体" w:cs="宋体"/>
          <w:b/>
          <w:color w:val="auto"/>
          <w:szCs w:val="21"/>
        </w:rPr>
        <w:t>（三）招标方式</w:t>
      </w:r>
      <w:bookmarkEnd w:id="267"/>
      <w:bookmarkEnd w:id="268"/>
      <w:bookmarkEnd w:id="269"/>
      <w:bookmarkEnd w:id="270"/>
      <w:bookmarkEnd w:id="271"/>
      <w:bookmarkEnd w:id="272"/>
      <w:bookmarkEnd w:id="273"/>
      <w:bookmarkEnd w:id="274"/>
      <w:bookmarkEnd w:id="275"/>
      <w:bookmarkEnd w:id="276"/>
      <w:bookmarkEnd w:id="277"/>
      <w:bookmarkEnd w:id="278"/>
      <w:bookmarkEnd w:id="279"/>
    </w:p>
    <w:p>
      <w:pPr>
        <w:snapToGrid w:val="0"/>
        <w:spacing w:line="400" w:lineRule="exact"/>
        <w:ind w:firstLine="409" w:firstLineChars="195"/>
        <w:jc w:val="left"/>
        <w:rPr>
          <w:rFonts w:ascii="宋体" w:cs="宋体"/>
          <w:color w:val="auto"/>
          <w:szCs w:val="21"/>
        </w:rPr>
      </w:pPr>
      <w:r>
        <w:rPr>
          <w:rFonts w:hint="eastAsia" w:ascii="宋体" w:hAnsi="宋体" w:cs="宋体"/>
          <w:color w:val="auto"/>
          <w:szCs w:val="21"/>
        </w:rPr>
        <w:t>公开招标方式。</w:t>
      </w:r>
    </w:p>
    <w:p>
      <w:pPr>
        <w:snapToGrid w:val="0"/>
        <w:spacing w:beforeLines="50" w:line="400" w:lineRule="exact"/>
        <w:ind w:firstLine="413" w:firstLineChars="196"/>
        <w:jc w:val="left"/>
        <w:outlineLvl w:val="1"/>
        <w:rPr>
          <w:rFonts w:ascii="宋体" w:cs="宋体"/>
          <w:b/>
          <w:color w:val="auto"/>
          <w:szCs w:val="21"/>
        </w:rPr>
      </w:pPr>
      <w:bookmarkStart w:id="280" w:name="_Toc448421128"/>
      <w:bookmarkStart w:id="281" w:name="_Toc482864537"/>
      <w:bookmarkStart w:id="282" w:name="_Toc293863306"/>
      <w:bookmarkStart w:id="283" w:name="_Toc2069"/>
      <w:bookmarkStart w:id="284" w:name="_Toc482865308"/>
      <w:bookmarkStart w:id="285" w:name="_Toc400465699"/>
      <w:bookmarkStart w:id="286" w:name="_Toc254970671"/>
      <w:bookmarkStart w:id="287" w:name="_Toc482865138"/>
      <w:bookmarkStart w:id="288" w:name="_Toc293863039"/>
      <w:bookmarkStart w:id="289" w:name="_Toc445223666"/>
      <w:bookmarkStart w:id="290" w:name="_Toc254970530"/>
      <w:bookmarkStart w:id="291" w:name="_Toc483327797"/>
      <w:bookmarkStart w:id="292" w:name="_Toc308018663"/>
      <w:r>
        <w:rPr>
          <w:rFonts w:hint="eastAsia" w:ascii="宋体" w:hAnsi="宋体" w:cs="宋体"/>
          <w:b/>
          <w:color w:val="auto"/>
          <w:szCs w:val="21"/>
        </w:rPr>
        <w:t>（四）投标委托</w:t>
      </w:r>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20"/>
        <w:snapToGrid w:val="0"/>
        <w:spacing w:line="400" w:lineRule="exact"/>
        <w:ind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投标人代表须携带有效身份证件。如投标人代表不是法定代表人，须有法定代表人出具的授权委托书（正本用原件，副本用复印件，格式见第六章）。</w:t>
      </w:r>
    </w:p>
    <w:p>
      <w:pPr>
        <w:snapToGrid w:val="0"/>
        <w:spacing w:beforeLines="50" w:line="400" w:lineRule="exact"/>
        <w:ind w:firstLine="422" w:firstLineChars="200"/>
        <w:jc w:val="left"/>
        <w:outlineLvl w:val="1"/>
        <w:rPr>
          <w:rFonts w:ascii="宋体" w:cs="宋体"/>
          <w:b/>
          <w:color w:val="auto"/>
          <w:szCs w:val="21"/>
        </w:rPr>
      </w:pPr>
      <w:bookmarkStart w:id="293" w:name="_Toc254970672"/>
      <w:bookmarkStart w:id="294" w:name="_Toc448421129"/>
      <w:bookmarkStart w:id="295" w:name="_Toc445223667"/>
      <w:bookmarkStart w:id="296" w:name="_Toc293863040"/>
      <w:bookmarkStart w:id="297" w:name="_Toc308018664"/>
      <w:bookmarkStart w:id="298" w:name="_Toc483327798"/>
      <w:bookmarkStart w:id="299" w:name="_Toc254970531"/>
      <w:bookmarkStart w:id="300" w:name="_Toc482865309"/>
      <w:bookmarkStart w:id="301" w:name="_Toc482864538"/>
      <w:bookmarkStart w:id="302" w:name="_Toc400465700"/>
      <w:bookmarkStart w:id="303" w:name="_Toc293863307"/>
      <w:bookmarkStart w:id="304" w:name="_Toc482865139"/>
      <w:bookmarkStart w:id="305" w:name="_Toc6056"/>
      <w:r>
        <w:rPr>
          <w:rFonts w:hint="eastAsia" w:ascii="宋体" w:hAnsi="宋体" w:cs="宋体"/>
          <w:b/>
          <w:color w:val="auto"/>
          <w:szCs w:val="21"/>
        </w:rPr>
        <w:t>（五）投标费用</w:t>
      </w:r>
      <w:bookmarkEnd w:id="293"/>
      <w:bookmarkEnd w:id="294"/>
      <w:bookmarkEnd w:id="295"/>
      <w:bookmarkEnd w:id="296"/>
      <w:bookmarkEnd w:id="297"/>
      <w:bookmarkEnd w:id="298"/>
      <w:bookmarkEnd w:id="299"/>
      <w:bookmarkEnd w:id="300"/>
      <w:bookmarkEnd w:id="301"/>
      <w:bookmarkEnd w:id="302"/>
      <w:bookmarkEnd w:id="303"/>
      <w:bookmarkEnd w:id="304"/>
      <w:bookmarkEnd w:id="305"/>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投标人均应自行承担所有与投标有关的全部费用（招标文件有相关规定的除外）。</w:t>
      </w:r>
    </w:p>
    <w:p>
      <w:pPr>
        <w:numPr>
          <w:ilvl w:val="0"/>
          <w:numId w:val="8"/>
        </w:numPr>
        <w:snapToGrid w:val="0"/>
        <w:spacing w:beforeLines="50" w:line="400" w:lineRule="exact"/>
        <w:ind w:firstLine="422" w:firstLineChars="200"/>
        <w:jc w:val="left"/>
        <w:rPr>
          <w:rFonts w:ascii="宋体" w:cs="宋体"/>
          <w:b/>
          <w:color w:val="auto"/>
          <w:szCs w:val="21"/>
        </w:rPr>
      </w:pPr>
      <w:r>
        <w:rPr>
          <w:rFonts w:hint="eastAsia" w:ascii="宋体" w:hAnsi="宋体" w:cs="宋体"/>
          <w:b/>
          <w:color w:val="auto"/>
          <w:szCs w:val="21"/>
        </w:rPr>
        <w:t>联合体投标</w:t>
      </w:r>
    </w:p>
    <w:p>
      <w:pPr>
        <w:snapToGrid w:val="0"/>
        <w:spacing w:line="400" w:lineRule="exact"/>
        <w:ind w:firstLine="420" w:firstLineChars="200"/>
        <w:jc w:val="left"/>
        <w:rPr>
          <w:color w:val="auto"/>
        </w:rPr>
      </w:pPr>
      <w:r>
        <w:rPr>
          <w:rFonts w:hint="eastAsia"/>
          <w:color w:val="auto"/>
        </w:rPr>
        <w:t>本项目不</w:t>
      </w:r>
      <w:r>
        <w:rPr>
          <w:rFonts w:hint="eastAsia" w:ascii="宋体" w:hAnsi="宋体" w:cs="宋体"/>
          <w:color w:val="auto"/>
          <w:szCs w:val="21"/>
        </w:rPr>
        <w:t>接受联合体投标。</w:t>
      </w:r>
    </w:p>
    <w:p>
      <w:pPr>
        <w:snapToGrid w:val="0"/>
        <w:spacing w:beforeLines="50" w:line="400" w:lineRule="exact"/>
        <w:ind w:firstLine="413" w:firstLineChars="196"/>
        <w:rPr>
          <w:rFonts w:ascii="宋体" w:cs="宋体"/>
          <w:b/>
          <w:color w:val="auto"/>
          <w:kern w:val="0"/>
          <w:szCs w:val="21"/>
        </w:rPr>
      </w:pPr>
      <w:r>
        <w:rPr>
          <w:rFonts w:hint="eastAsia" w:ascii="宋体" w:hAnsi="宋体" w:cs="宋体"/>
          <w:b/>
          <w:color w:val="auto"/>
          <w:szCs w:val="21"/>
        </w:rPr>
        <w:t>（七）</w:t>
      </w:r>
      <w:r>
        <w:rPr>
          <w:rFonts w:hint="eastAsia" w:ascii="宋体" w:hAnsi="宋体" w:cs="宋体"/>
          <w:b/>
          <w:color w:val="auto"/>
          <w:kern w:val="0"/>
          <w:szCs w:val="21"/>
        </w:rPr>
        <w:t>转包与分包</w:t>
      </w:r>
      <w:r>
        <w:rPr>
          <w:rFonts w:ascii="宋体" w:hAnsi="宋体" w:cs="宋体"/>
          <w:b/>
          <w:color w:val="auto"/>
          <w:kern w:val="0"/>
          <w:szCs w:val="21"/>
        </w:rPr>
        <w:t xml:space="preserve">             </w:t>
      </w:r>
    </w:p>
    <w:p>
      <w:pPr>
        <w:snapToGrid w:val="0"/>
        <w:spacing w:line="400" w:lineRule="exact"/>
        <w:ind w:firstLine="420" w:firstLineChars="200"/>
        <w:rPr>
          <w:rFonts w:asci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本项目不允许转包。</w:t>
      </w:r>
    </w:p>
    <w:p>
      <w:pPr>
        <w:snapToGrid w:val="0"/>
        <w:spacing w:line="400" w:lineRule="exact"/>
        <w:ind w:firstLine="420" w:firstLineChars="200"/>
        <w:rPr>
          <w:rFonts w:ascii="宋体" w:cs="宋体"/>
          <w:color w:val="auto"/>
          <w:szCs w:val="21"/>
        </w:rPr>
      </w:pPr>
      <w:r>
        <w:rPr>
          <w:rFonts w:ascii="宋体" w:hAnsi="宋体" w:cs="宋体"/>
          <w:color w:val="auto"/>
          <w:kern w:val="0"/>
          <w:szCs w:val="21"/>
        </w:rPr>
        <w:t>2.</w:t>
      </w:r>
      <w:r>
        <w:rPr>
          <w:rFonts w:hint="eastAsia" w:ascii="宋体" w:hAnsi="宋体" w:cs="宋体"/>
          <w:color w:val="auto"/>
          <w:kern w:val="0"/>
          <w:szCs w:val="21"/>
        </w:rPr>
        <w:t>本项目不允许分包。</w:t>
      </w:r>
    </w:p>
    <w:p>
      <w:pPr>
        <w:snapToGrid w:val="0"/>
        <w:spacing w:beforeLines="50" w:line="400" w:lineRule="exact"/>
        <w:ind w:firstLine="413" w:firstLineChars="196"/>
        <w:jc w:val="left"/>
        <w:outlineLvl w:val="1"/>
        <w:rPr>
          <w:rFonts w:ascii="宋体" w:cs="宋体"/>
          <w:b/>
          <w:color w:val="auto"/>
          <w:szCs w:val="21"/>
        </w:rPr>
      </w:pPr>
      <w:bookmarkStart w:id="306" w:name="_Toc400465701"/>
      <w:bookmarkStart w:id="307" w:name="_Toc293863041"/>
      <w:bookmarkStart w:id="308" w:name="_Toc254970532"/>
      <w:bookmarkStart w:id="309" w:name="_Toc3891"/>
      <w:bookmarkStart w:id="310" w:name="_Toc293863308"/>
      <w:bookmarkStart w:id="311" w:name="_Toc448421130"/>
      <w:bookmarkStart w:id="312" w:name="_Toc482865310"/>
      <w:bookmarkStart w:id="313" w:name="_Toc483327799"/>
      <w:bookmarkStart w:id="314" w:name="_Toc482864539"/>
      <w:bookmarkStart w:id="315" w:name="_Toc482865140"/>
      <w:bookmarkStart w:id="316" w:name="_Toc445223668"/>
      <w:bookmarkStart w:id="317" w:name="_Toc308018665"/>
      <w:bookmarkStart w:id="318" w:name="_Toc254970673"/>
      <w:r>
        <w:rPr>
          <w:rFonts w:hint="eastAsia" w:ascii="宋体" w:hAnsi="宋体" w:cs="宋体"/>
          <w:b/>
          <w:color w:val="auto"/>
          <w:szCs w:val="21"/>
        </w:rPr>
        <w:t>（八）特别说明</w:t>
      </w:r>
      <w:bookmarkEnd w:id="306"/>
      <w:bookmarkEnd w:id="307"/>
      <w:bookmarkEnd w:id="308"/>
      <w:bookmarkEnd w:id="309"/>
      <w:bookmarkEnd w:id="310"/>
      <w:bookmarkEnd w:id="311"/>
      <w:bookmarkEnd w:id="312"/>
      <w:bookmarkEnd w:id="313"/>
      <w:bookmarkEnd w:id="314"/>
      <w:bookmarkEnd w:id="315"/>
      <w:bookmarkEnd w:id="316"/>
      <w:bookmarkEnd w:id="317"/>
      <w:bookmarkEnd w:id="318"/>
    </w:p>
    <w:p>
      <w:pPr>
        <w:widowControl/>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1. </w:t>
      </w:r>
      <w:r>
        <w:rPr>
          <w:rFonts w:hint="eastAsia" w:ascii="宋体" w:hAnsi="宋体" w:cs="宋体"/>
          <w:color w:val="auto"/>
          <w:szCs w:val="21"/>
        </w:rPr>
        <w:t>单位负责人为同一人或者存在直接控股、管理关系的不同供应商，不得参加同一合同项下的政府采购活动。</w:t>
      </w:r>
    </w:p>
    <w:p>
      <w:pPr>
        <w:widowControl/>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2. </w:t>
      </w:r>
      <w:r>
        <w:rPr>
          <w:rFonts w:hint="eastAsia" w:ascii="宋体" w:hAnsi="宋体" w:cs="宋体"/>
          <w:color w:val="auto"/>
          <w:szCs w:val="21"/>
        </w:rPr>
        <w:t>投标人投标所使用的资格、信誉、荣誉、业绩与企业认证必须为本法人所拥有。</w:t>
      </w:r>
    </w:p>
    <w:p>
      <w:pPr>
        <w:widowControl/>
        <w:spacing w:line="36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line="360" w:lineRule="exact"/>
        <w:ind w:firstLine="420" w:firstLineChars="200"/>
        <w:jc w:val="left"/>
        <w:rPr>
          <w:rFonts w:ascii="宋体" w:cs="宋体"/>
          <w:color w:val="auto"/>
          <w:szCs w:val="21"/>
        </w:rPr>
      </w:pPr>
      <w:r>
        <w:rPr>
          <w:rFonts w:hint="eastAsia" w:ascii="宋体" w:hAnsi="宋体" w:cs="宋体"/>
          <w:color w:val="auto"/>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360" w:lineRule="exact"/>
        <w:ind w:firstLine="420" w:firstLineChars="200"/>
        <w:jc w:val="left"/>
        <w:rPr>
          <w:rFonts w:ascii="宋体" w:cs="宋体"/>
          <w:color w:val="auto"/>
          <w:szCs w:val="21"/>
        </w:rPr>
      </w:pPr>
      <w:r>
        <w:rPr>
          <w:rFonts w:hint="eastAsia" w:ascii="宋体" w:hAnsi="宋体" w:cs="宋体"/>
          <w:color w:val="auto"/>
          <w:szCs w:val="21"/>
        </w:rPr>
        <w:t>非单一产品采购项目，采购人应当根据采购项目技术构成、产品价格比重等合理确定核心产品，并在招标文件中载明。多家投标人提供的核心产品品牌相同的，按前两款规定处理。</w:t>
      </w:r>
    </w:p>
    <w:p>
      <w:pPr>
        <w:pStyle w:val="23"/>
        <w:snapToGrid w:val="0"/>
        <w:spacing w:line="360" w:lineRule="exact"/>
        <w:ind w:left="2" w:leftChars="1" w:firstLine="400" w:firstLineChars="200"/>
        <w:rPr>
          <w:rFonts w:hAnsi="宋体" w:cs="宋体"/>
          <w:color w:val="auto"/>
          <w:sz w:val="21"/>
        </w:rPr>
      </w:pPr>
      <w:r>
        <w:rPr>
          <w:rFonts w:hint="eastAsia" w:hAnsi="宋体" w:cs="宋体"/>
          <w:color w:val="auto"/>
        </w:rPr>
        <w:t>★</w:t>
      </w:r>
      <w:r>
        <w:rPr>
          <w:rFonts w:hAnsi="宋体" w:cs="宋体"/>
          <w:color w:val="auto"/>
          <w:sz w:val="21"/>
        </w:rPr>
        <w:t xml:space="preserve">4. </w:t>
      </w:r>
      <w:r>
        <w:rPr>
          <w:rFonts w:hint="eastAsia" w:hAnsi="宋体" w:cs="宋体"/>
          <w:color w:val="auto"/>
          <w:sz w:val="21"/>
        </w:rPr>
        <w:t>投标人应仔细阅读招标文件的所有内容，按照招标文件的要求提交投标文件，并对所提供的全部资料的真实性承担法律责任。</w:t>
      </w:r>
    </w:p>
    <w:p>
      <w:pPr>
        <w:widowControl/>
        <w:spacing w:line="36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5. </w:t>
      </w:r>
      <w:r>
        <w:rPr>
          <w:rFonts w:hint="eastAsia" w:ascii="宋体" w:hAnsi="宋体" w:cs="宋体"/>
          <w:color w:val="auto"/>
          <w:szCs w:val="21"/>
        </w:rPr>
        <w:t>投标人在投标活动中提供任何虚假材料，其投标无效，并报监管部门查处；中标后发现的，中标人须依照《中华人民共和国合同法》之规定赔偿采购人，且民事赔偿并不免除违法投标人的行政与刑事责任。</w:t>
      </w:r>
    </w:p>
    <w:p>
      <w:pPr>
        <w:widowControl/>
        <w:spacing w:line="360" w:lineRule="exact"/>
        <w:ind w:firstLine="420" w:firstLineChars="200"/>
        <w:jc w:val="left"/>
        <w:rPr>
          <w:rFonts w:ascii="宋体" w:cs="宋体"/>
          <w:color w:val="auto"/>
          <w:szCs w:val="21"/>
        </w:rPr>
      </w:pPr>
      <w:bookmarkStart w:id="319" w:name="_Toc483327800"/>
      <w:bookmarkStart w:id="320" w:name="_Toc482865311"/>
      <w:bookmarkStart w:id="321" w:name="_Toc400465702"/>
      <w:bookmarkStart w:id="322" w:name="_Toc308018666"/>
      <w:bookmarkStart w:id="323" w:name="_Toc254970533"/>
      <w:bookmarkStart w:id="324" w:name="_Toc293863309"/>
      <w:bookmarkStart w:id="325" w:name="_Toc293863042"/>
      <w:bookmarkStart w:id="326" w:name="_Toc448421131"/>
      <w:bookmarkStart w:id="327" w:name="_Toc445223669"/>
      <w:bookmarkStart w:id="328" w:name="_Toc482864540"/>
      <w:bookmarkStart w:id="329" w:name="_Toc254970674"/>
      <w:bookmarkStart w:id="330" w:name="_Toc482865141"/>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本文件中描述投标人的“公章”是指根据我国对公章的管理规定，用投标人法定主体行为名称制作的印章，除本文件有特殊规定外，投标人的财务章、部门章、分公司章、工会章、合同章、投标专用章、业务专用章及银行的转账章、现金收讫章、现金付讫章等其它形式印章均不能代替公章。</w:t>
      </w:r>
      <w:r>
        <w:rPr>
          <w:rFonts w:ascii="宋体" w:hAnsi="宋体" w:cs="宋体"/>
          <w:color w:val="auto"/>
          <w:szCs w:val="21"/>
        </w:rPr>
        <w:t xml:space="preserve"> </w:t>
      </w:r>
      <w:r>
        <w:rPr>
          <w:rFonts w:ascii="宋体" w:hAnsi="宋体" w:cs="宋体"/>
          <w:color w:val="auto"/>
          <w:szCs w:val="21"/>
        </w:rPr>
        <w:br w:type="textWrapping"/>
      </w:r>
      <w:r>
        <w:rPr>
          <w:rFonts w:ascii="宋体" w:hAnsi="宋体" w:cs="宋体"/>
          <w:color w:val="auto"/>
          <w:szCs w:val="21"/>
        </w:rPr>
        <w:t xml:space="preserve">    </w:t>
      </w: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、本文件中描述投标人的“签字”是指投标人的法定代表人或被授权人亲自在文件规定签署处亲笔写上个人的名字的行为，私章、签字章、印鉴、影印等其它形式均不能代替亲笔签字。</w:t>
      </w:r>
      <w:r>
        <w:rPr>
          <w:rFonts w:ascii="宋体" w:hAnsi="宋体" w:cs="宋体"/>
          <w:color w:val="auto"/>
          <w:szCs w:val="21"/>
        </w:rPr>
        <w:t xml:space="preserve"> </w:t>
      </w:r>
    </w:p>
    <w:p>
      <w:pPr>
        <w:pStyle w:val="23"/>
        <w:snapToGrid w:val="0"/>
        <w:spacing w:line="360" w:lineRule="exact"/>
        <w:ind w:firstLine="413" w:firstLineChars="196"/>
        <w:outlineLvl w:val="1"/>
        <w:rPr>
          <w:rFonts w:hAnsi="宋体" w:cs="宋体"/>
          <w:b/>
          <w:bCs/>
          <w:color w:val="auto"/>
          <w:sz w:val="21"/>
        </w:rPr>
      </w:pPr>
      <w:bookmarkStart w:id="331" w:name="_Toc1143"/>
      <w:r>
        <w:rPr>
          <w:rFonts w:hint="eastAsia" w:hAnsi="宋体" w:cs="宋体"/>
          <w:b/>
          <w:bCs/>
          <w:color w:val="auto"/>
          <w:sz w:val="21"/>
        </w:rPr>
        <w:t>（九）质疑和投诉</w:t>
      </w:r>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23"/>
        <w:snapToGrid w:val="0"/>
        <w:spacing w:line="360" w:lineRule="exact"/>
        <w:ind w:firstLine="420" w:firstLineChars="200"/>
        <w:rPr>
          <w:rFonts w:hAnsi="宋体" w:cs="宋体"/>
          <w:bCs/>
          <w:color w:val="auto"/>
          <w:sz w:val="21"/>
        </w:rPr>
      </w:pPr>
      <w:r>
        <w:rPr>
          <w:rFonts w:hAnsi="宋体" w:cs="宋体"/>
          <w:bCs/>
          <w:color w:val="auto"/>
          <w:sz w:val="21"/>
        </w:rPr>
        <w:t xml:space="preserve">1. </w:t>
      </w:r>
      <w:r>
        <w:rPr>
          <w:rFonts w:hint="eastAsia" w:hAnsi="宋体" w:cs="宋体"/>
          <w:bCs/>
          <w:color w:val="auto"/>
          <w:sz w:val="21"/>
        </w:rPr>
        <w:t>投标人认为招标文件使自己的合法权益受到损害的，应当在收到招标文件之日起</w:t>
      </w:r>
      <w:r>
        <w:rPr>
          <w:rFonts w:hAnsi="宋体" w:cs="宋体"/>
          <w:bCs/>
          <w:color w:val="auto"/>
          <w:sz w:val="21"/>
        </w:rPr>
        <w:t>7</w:t>
      </w:r>
      <w:r>
        <w:rPr>
          <w:rFonts w:hint="eastAsia" w:hAnsi="宋体" w:cs="宋体"/>
          <w:bCs/>
          <w:color w:val="auto"/>
          <w:sz w:val="21"/>
        </w:rPr>
        <w:t>个工作日内，以书面形式向采购人、采购代理机构提出质疑。投标人认为招标过程使自己的合法权益受到损害的，应当在各采购程序环节结束之日起</w:t>
      </w:r>
      <w:r>
        <w:rPr>
          <w:rFonts w:hAnsi="宋体" w:cs="宋体"/>
          <w:bCs/>
          <w:color w:val="auto"/>
          <w:sz w:val="21"/>
        </w:rPr>
        <w:t>7</w:t>
      </w:r>
      <w:r>
        <w:rPr>
          <w:rFonts w:hint="eastAsia" w:hAnsi="宋体" w:cs="宋体"/>
          <w:bCs/>
          <w:color w:val="auto"/>
          <w:sz w:val="21"/>
        </w:rPr>
        <w:t>个工作日内，以书面形式向采购人、采购代理机构提出质疑。投标人认为中标结果使自己的合法权益受到损害的，应当在中标结果公告期限（中标结果公告期限为</w:t>
      </w:r>
      <w:r>
        <w:rPr>
          <w:rFonts w:hAnsi="宋体" w:cs="宋体"/>
          <w:bCs/>
          <w:color w:val="auto"/>
          <w:sz w:val="21"/>
        </w:rPr>
        <w:t>1</w:t>
      </w:r>
      <w:r>
        <w:rPr>
          <w:rFonts w:hint="eastAsia" w:hAnsi="宋体" w:cs="宋体"/>
          <w:bCs/>
          <w:color w:val="auto"/>
          <w:sz w:val="21"/>
        </w:rPr>
        <w:t>个工作日）届满之日起</w:t>
      </w:r>
      <w:r>
        <w:rPr>
          <w:rFonts w:hAnsi="宋体" w:cs="宋体"/>
          <w:bCs/>
          <w:color w:val="auto"/>
          <w:sz w:val="21"/>
        </w:rPr>
        <w:t>7</w:t>
      </w:r>
      <w:r>
        <w:rPr>
          <w:rFonts w:hint="eastAsia" w:hAnsi="宋体" w:cs="宋体"/>
          <w:bCs/>
          <w:color w:val="auto"/>
          <w:sz w:val="21"/>
        </w:rPr>
        <w:t>个工作日内，以书面形式向采购人、采购代理机构提出质疑。投标人对招标采购单位的质疑答复不满意或者招标采购单位未在规定时间内作出答复的，可以在答复期满后</w:t>
      </w:r>
      <w:r>
        <w:rPr>
          <w:rFonts w:hAnsi="宋体" w:cs="宋体"/>
          <w:bCs/>
          <w:color w:val="auto"/>
          <w:sz w:val="21"/>
        </w:rPr>
        <w:t>15</w:t>
      </w:r>
      <w:r>
        <w:rPr>
          <w:rFonts w:hint="eastAsia" w:hAnsi="宋体" w:cs="宋体"/>
          <w:bCs/>
          <w:color w:val="auto"/>
          <w:sz w:val="21"/>
        </w:rPr>
        <w:t>个工作日内向同级政府采购监督管理部门投诉。</w:t>
      </w:r>
    </w:p>
    <w:p>
      <w:pPr>
        <w:pStyle w:val="23"/>
        <w:snapToGrid w:val="0"/>
        <w:spacing w:line="360" w:lineRule="exact"/>
        <w:ind w:firstLine="420" w:firstLineChars="200"/>
        <w:rPr>
          <w:rFonts w:hAnsi="宋体" w:cs="宋体"/>
          <w:bCs/>
          <w:color w:val="auto"/>
          <w:sz w:val="21"/>
        </w:rPr>
      </w:pPr>
      <w:r>
        <w:rPr>
          <w:rFonts w:hAnsi="宋体" w:cs="宋体"/>
          <w:bCs/>
          <w:color w:val="auto"/>
          <w:sz w:val="21"/>
        </w:rPr>
        <w:t xml:space="preserve">2. </w:t>
      </w:r>
      <w:bookmarkStart w:id="332" w:name="_Toc400465703"/>
      <w:bookmarkStart w:id="333" w:name="_Toc254970675"/>
      <w:bookmarkStart w:id="334" w:name="_Toc448421132"/>
      <w:bookmarkStart w:id="335" w:name="_Toc293863310"/>
      <w:bookmarkStart w:id="336" w:name="_Toc254970534"/>
      <w:bookmarkStart w:id="337" w:name="_Toc483327801"/>
      <w:bookmarkStart w:id="338" w:name="_Toc482864541"/>
      <w:bookmarkStart w:id="339" w:name="_Toc293863043"/>
      <w:bookmarkStart w:id="340" w:name="_Toc482865312"/>
      <w:bookmarkStart w:id="341" w:name="_Toc482865142"/>
      <w:bookmarkStart w:id="342" w:name="_Toc445223670"/>
      <w:bookmarkStart w:id="343" w:name="_Toc308018667"/>
      <w:r>
        <w:rPr>
          <w:rFonts w:hint="eastAsia" w:hAnsi="宋体" w:cs="宋体"/>
          <w:bCs/>
          <w:color w:val="auto"/>
          <w:sz w:val="21"/>
        </w:rPr>
        <w:t>投标人提出质疑、投诉，应当遵守中华人民共和国财政部令第</w:t>
      </w:r>
      <w:r>
        <w:rPr>
          <w:rFonts w:hAnsi="宋体" w:cs="宋体"/>
          <w:bCs/>
          <w:color w:val="auto"/>
          <w:sz w:val="21"/>
        </w:rPr>
        <w:t>94</w:t>
      </w:r>
      <w:r>
        <w:rPr>
          <w:rFonts w:hint="eastAsia" w:hAnsi="宋体" w:cs="宋体"/>
          <w:bCs/>
          <w:color w:val="auto"/>
          <w:sz w:val="21"/>
        </w:rPr>
        <w:t>号《政府采购质疑和投诉办法》的相关规定，且采用书面形式。质疑书、投诉书均应明确阐述招标文件、招标过程或中标结果中使自己合法权益受到损害的实质性内容，并提供相关事实、依据和证据及其来源。</w:t>
      </w:r>
    </w:p>
    <w:p>
      <w:pPr>
        <w:pStyle w:val="23"/>
        <w:snapToGrid w:val="0"/>
        <w:spacing w:line="360" w:lineRule="exact"/>
        <w:ind w:firstLine="420" w:firstLineChars="200"/>
        <w:rPr>
          <w:rFonts w:hAnsi="宋体" w:cs="宋体"/>
          <w:bCs/>
          <w:color w:val="auto"/>
          <w:sz w:val="21"/>
        </w:rPr>
      </w:pPr>
      <w:r>
        <w:rPr>
          <w:rFonts w:hAnsi="宋体" w:cs="宋体"/>
          <w:bCs/>
          <w:color w:val="auto"/>
          <w:sz w:val="21"/>
        </w:rPr>
        <w:t>3.</w:t>
      </w:r>
      <w:r>
        <w:rPr>
          <w:rFonts w:hint="eastAsia" w:hAnsi="宋体" w:cs="宋体"/>
          <w:bCs/>
          <w:color w:val="auto"/>
          <w:sz w:val="21"/>
        </w:rPr>
        <w:t>递交质疑函的联系事项：</w:t>
      </w:r>
    </w:p>
    <w:p>
      <w:pPr>
        <w:pStyle w:val="23"/>
        <w:snapToGrid w:val="0"/>
        <w:spacing w:line="360" w:lineRule="exact"/>
        <w:ind w:firstLine="420" w:firstLineChars="200"/>
        <w:rPr>
          <w:rFonts w:hAnsi="宋体" w:cs="宋体"/>
          <w:bCs/>
          <w:color w:val="auto"/>
          <w:sz w:val="21"/>
        </w:rPr>
      </w:pPr>
      <w:r>
        <w:rPr>
          <w:rFonts w:hint="eastAsia" w:hAnsi="宋体" w:cs="宋体"/>
          <w:bCs/>
          <w:color w:val="auto"/>
          <w:sz w:val="21"/>
        </w:rPr>
        <w:t>广西科联招标中心有限公司防城港分公司</w:t>
      </w:r>
    </w:p>
    <w:p>
      <w:pPr>
        <w:pStyle w:val="23"/>
        <w:snapToGrid w:val="0"/>
        <w:spacing w:line="360" w:lineRule="exact"/>
        <w:ind w:firstLine="420" w:firstLineChars="200"/>
        <w:rPr>
          <w:rFonts w:hAnsi="宋体" w:cs="宋体"/>
          <w:bCs/>
          <w:color w:val="auto"/>
          <w:sz w:val="21"/>
        </w:rPr>
      </w:pPr>
      <w:r>
        <w:rPr>
          <w:rFonts w:hint="eastAsia" w:hAnsi="宋体" w:cs="宋体"/>
          <w:bCs/>
          <w:color w:val="auto"/>
          <w:sz w:val="21"/>
        </w:rPr>
        <w:t>联系人：梁莉萍；联系电话：</w:t>
      </w:r>
      <w:r>
        <w:rPr>
          <w:rFonts w:hAnsi="宋体" w:cs="宋体"/>
          <w:bCs/>
          <w:color w:val="auto"/>
          <w:sz w:val="21"/>
        </w:rPr>
        <w:t xml:space="preserve">0770-2821504    </w:t>
      </w:r>
    </w:p>
    <w:p>
      <w:pPr>
        <w:pStyle w:val="23"/>
        <w:snapToGrid w:val="0"/>
        <w:spacing w:line="360" w:lineRule="exact"/>
        <w:ind w:firstLine="420" w:firstLineChars="200"/>
        <w:rPr>
          <w:rFonts w:hAnsi="宋体" w:cs="宋体"/>
          <w:bCs/>
          <w:color w:val="auto"/>
          <w:sz w:val="21"/>
        </w:rPr>
      </w:pPr>
      <w:r>
        <w:rPr>
          <w:rFonts w:hint="eastAsia" w:hAnsi="宋体" w:cs="宋体"/>
          <w:bCs/>
          <w:color w:val="auto"/>
          <w:sz w:val="21"/>
        </w:rPr>
        <w:t>地址：防城港市港口区桃花湾广场珍珠路</w:t>
      </w:r>
      <w:r>
        <w:rPr>
          <w:rFonts w:hAnsi="宋体" w:cs="宋体"/>
          <w:bCs/>
          <w:color w:val="auto"/>
          <w:sz w:val="21"/>
        </w:rPr>
        <w:t>6</w:t>
      </w:r>
      <w:r>
        <w:rPr>
          <w:rFonts w:hint="eastAsia" w:hAnsi="宋体" w:cs="宋体"/>
          <w:bCs/>
          <w:color w:val="auto"/>
          <w:sz w:val="21"/>
        </w:rPr>
        <w:t>号桂海东盟新城</w:t>
      </w:r>
      <w:r>
        <w:rPr>
          <w:rFonts w:hAnsi="宋体" w:cs="宋体"/>
          <w:bCs/>
          <w:color w:val="auto"/>
          <w:sz w:val="21"/>
        </w:rPr>
        <w:t>9</w:t>
      </w:r>
      <w:r>
        <w:rPr>
          <w:rFonts w:hint="eastAsia" w:hAnsi="宋体" w:cs="宋体"/>
          <w:bCs/>
          <w:color w:val="auto"/>
          <w:sz w:val="21"/>
        </w:rPr>
        <w:t>＃（</w:t>
      </w:r>
      <w:r>
        <w:rPr>
          <w:rFonts w:hAnsi="宋体" w:cs="宋体"/>
          <w:bCs/>
          <w:color w:val="auto"/>
          <w:sz w:val="21"/>
        </w:rPr>
        <w:t>H</w:t>
      </w:r>
      <w:r>
        <w:rPr>
          <w:rFonts w:hint="eastAsia" w:hAnsi="宋体" w:cs="宋体"/>
          <w:bCs/>
          <w:color w:val="auto"/>
          <w:sz w:val="21"/>
        </w:rPr>
        <w:t>栋）</w:t>
      </w:r>
      <w:r>
        <w:rPr>
          <w:rFonts w:hAnsi="宋体" w:cs="宋体"/>
          <w:bCs/>
          <w:color w:val="auto"/>
          <w:sz w:val="21"/>
        </w:rPr>
        <w:t>605</w:t>
      </w:r>
      <w:r>
        <w:rPr>
          <w:rFonts w:hint="eastAsia" w:hAnsi="宋体" w:cs="宋体"/>
          <w:bCs/>
          <w:color w:val="auto"/>
          <w:sz w:val="21"/>
        </w:rPr>
        <w:t>号房</w:t>
      </w:r>
    </w:p>
    <w:p>
      <w:pPr>
        <w:pStyle w:val="23"/>
        <w:snapToGrid w:val="0"/>
        <w:spacing w:line="360" w:lineRule="exact"/>
        <w:ind w:firstLine="422" w:firstLineChars="200"/>
        <w:rPr>
          <w:rFonts w:hAnsi="宋体" w:cs="宋体"/>
          <w:b/>
          <w:color w:val="auto"/>
          <w:sz w:val="21"/>
        </w:rPr>
      </w:pPr>
    </w:p>
    <w:p>
      <w:pPr>
        <w:pStyle w:val="23"/>
        <w:snapToGrid w:val="0"/>
        <w:spacing w:line="360" w:lineRule="exact"/>
        <w:ind w:firstLine="413" w:firstLineChars="196"/>
        <w:outlineLvl w:val="0"/>
        <w:rPr>
          <w:rFonts w:hAnsi="宋体" w:cs="宋体"/>
          <w:b/>
          <w:color w:val="auto"/>
          <w:sz w:val="21"/>
        </w:rPr>
      </w:pPr>
      <w:bookmarkStart w:id="344" w:name="_Toc25839"/>
      <w:r>
        <w:rPr>
          <w:rFonts w:hint="eastAsia" w:hAnsi="宋体" w:cs="宋体"/>
          <w:b/>
          <w:color w:val="auto"/>
          <w:sz w:val="21"/>
        </w:rPr>
        <w:t>二、招标文件</w:t>
      </w:r>
      <w:bookmarkEnd w:id="332"/>
      <w:bookmarkEnd w:id="333"/>
      <w:bookmarkEnd w:id="334"/>
      <w:bookmarkEnd w:id="335"/>
      <w:bookmarkEnd w:id="336"/>
      <w:bookmarkEnd w:id="337"/>
      <w:bookmarkEnd w:id="338"/>
      <w:bookmarkEnd w:id="339"/>
      <w:bookmarkEnd w:id="340"/>
      <w:bookmarkEnd w:id="341"/>
      <w:bookmarkEnd w:id="342"/>
      <w:bookmarkEnd w:id="343"/>
      <w:bookmarkEnd w:id="344"/>
    </w:p>
    <w:p>
      <w:pPr>
        <w:snapToGrid w:val="0"/>
        <w:spacing w:line="400" w:lineRule="exact"/>
        <w:ind w:firstLine="413" w:firstLineChars="196"/>
        <w:jc w:val="left"/>
        <w:rPr>
          <w:rFonts w:ascii="宋体" w:cs="宋体"/>
          <w:b/>
          <w:color w:val="auto"/>
          <w:szCs w:val="21"/>
        </w:rPr>
      </w:pPr>
      <w:r>
        <w:rPr>
          <w:rFonts w:hint="eastAsia" w:ascii="宋体" w:hAnsi="宋体" w:cs="宋体"/>
          <w:b/>
          <w:color w:val="auto"/>
          <w:szCs w:val="21"/>
        </w:rPr>
        <w:t>（一）招标文件的构成</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招标公告；</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2. </w:t>
      </w:r>
      <w:r>
        <w:rPr>
          <w:rFonts w:hint="eastAsia" w:ascii="宋体" w:hAnsi="宋体" w:cs="宋体"/>
          <w:color w:val="auto"/>
          <w:szCs w:val="21"/>
        </w:rPr>
        <w:t>招标项目采购需求；</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3. </w:t>
      </w:r>
      <w:r>
        <w:rPr>
          <w:rFonts w:hint="eastAsia" w:ascii="宋体" w:hAnsi="宋体" w:cs="宋体"/>
          <w:color w:val="auto"/>
          <w:szCs w:val="21"/>
        </w:rPr>
        <w:t>投标人须知；</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4. </w:t>
      </w:r>
      <w:r>
        <w:rPr>
          <w:rFonts w:hint="eastAsia" w:ascii="宋体" w:hAnsi="宋体" w:cs="宋体"/>
          <w:color w:val="auto"/>
          <w:szCs w:val="21"/>
        </w:rPr>
        <w:t>评标原则及评分标准；</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5. </w:t>
      </w:r>
      <w:r>
        <w:rPr>
          <w:rFonts w:hint="eastAsia" w:ascii="宋体" w:hAnsi="宋体" w:cs="宋体"/>
          <w:color w:val="auto"/>
          <w:szCs w:val="21"/>
        </w:rPr>
        <w:t>合同主要条款格式；</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6. </w:t>
      </w:r>
      <w:r>
        <w:rPr>
          <w:rFonts w:hint="eastAsia" w:ascii="宋体" w:hAnsi="宋体" w:cs="宋体"/>
          <w:color w:val="auto"/>
          <w:szCs w:val="21"/>
        </w:rPr>
        <w:t>投标文件格式。</w:t>
      </w:r>
    </w:p>
    <w:p>
      <w:pPr>
        <w:snapToGrid w:val="0"/>
        <w:spacing w:beforeLines="50" w:line="400" w:lineRule="exact"/>
        <w:ind w:firstLine="413" w:firstLineChars="196"/>
        <w:jc w:val="left"/>
        <w:rPr>
          <w:rFonts w:ascii="宋体" w:cs="宋体"/>
          <w:b/>
          <w:color w:val="auto"/>
          <w:szCs w:val="21"/>
        </w:rPr>
      </w:pPr>
      <w:r>
        <w:rPr>
          <w:rFonts w:hint="eastAsia" w:ascii="宋体" w:hAnsi="宋体" w:cs="宋体"/>
          <w:b/>
          <w:color w:val="auto"/>
          <w:szCs w:val="21"/>
        </w:rPr>
        <w:t>（二）投标人的风险</w:t>
      </w:r>
    </w:p>
    <w:p>
      <w:pPr>
        <w:pStyle w:val="23"/>
        <w:snapToGrid w:val="0"/>
        <w:spacing w:line="400" w:lineRule="exact"/>
        <w:ind w:firstLine="420" w:firstLineChars="200"/>
        <w:rPr>
          <w:rFonts w:hAnsi="宋体" w:cs="宋体"/>
          <w:color w:val="auto"/>
          <w:sz w:val="21"/>
        </w:rPr>
      </w:pPr>
      <w:r>
        <w:rPr>
          <w:rFonts w:hint="eastAsia" w:hAnsi="宋体" w:cs="宋体"/>
          <w:color w:val="auto"/>
          <w:sz w:val="21"/>
        </w:rPr>
        <w:t>投标人没有按照招标文件要求提供全部资料，或者投标人没有对招标文件在各方面作出实质性响应是投标人的风险，并可能导致其投标被拒绝。</w:t>
      </w:r>
    </w:p>
    <w:p>
      <w:pPr>
        <w:pStyle w:val="13"/>
        <w:widowControl w:val="0"/>
        <w:tabs>
          <w:tab w:val="clear" w:pos="454"/>
        </w:tabs>
        <w:snapToGrid w:val="0"/>
        <w:spacing w:beforeLines="50" w:afterLines="0" w:line="400" w:lineRule="exact"/>
        <w:ind w:left="0" w:firstLine="413" w:firstLineChars="196"/>
        <w:rPr>
          <w:rFonts w:ascii="宋体" w:cs="宋体"/>
          <w:b/>
          <w:color w:val="auto"/>
          <w:sz w:val="21"/>
          <w:szCs w:val="21"/>
        </w:rPr>
      </w:pPr>
      <w:r>
        <w:rPr>
          <w:rFonts w:hint="eastAsia" w:ascii="宋体" w:hAnsi="宋体" w:cs="宋体"/>
          <w:b/>
          <w:color w:val="auto"/>
          <w:sz w:val="21"/>
          <w:szCs w:val="21"/>
        </w:rPr>
        <w:t>（三）招标文件的澄清和修改</w:t>
      </w:r>
      <w:r>
        <w:rPr>
          <w:rFonts w:ascii="宋体" w:hAnsi="宋体" w:cs="宋体"/>
          <w:b/>
          <w:color w:val="auto"/>
          <w:sz w:val="21"/>
          <w:szCs w:val="21"/>
        </w:rPr>
        <w:t xml:space="preserve"> </w:t>
      </w:r>
    </w:p>
    <w:p>
      <w:pPr>
        <w:pStyle w:val="23"/>
        <w:snapToGrid w:val="0"/>
        <w:spacing w:line="400" w:lineRule="exact"/>
        <w:ind w:firstLine="420" w:firstLineChars="200"/>
        <w:rPr>
          <w:rFonts w:hAnsi="宋体" w:cs="宋体"/>
          <w:color w:val="auto"/>
          <w:sz w:val="21"/>
        </w:rPr>
      </w:pPr>
      <w:r>
        <w:rPr>
          <w:rFonts w:hAnsi="宋体" w:cs="宋体"/>
          <w:color w:val="auto"/>
          <w:sz w:val="21"/>
        </w:rPr>
        <w:t xml:space="preserve">1. </w:t>
      </w:r>
      <w:r>
        <w:rPr>
          <w:rFonts w:hint="eastAsia" w:hAnsi="宋体" w:cs="宋体"/>
          <w:color w:val="auto"/>
          <w:sz w:val="21"/>
        </w:rPr>
        <w:t>采购代理机构可以对已发出的招标文件进行必要的澄清或修改。澄清或修改的内容可能影响投标文件编制的，应当在招标文件要求提交投标文件截止时间</w:t>
      </w:r>
      <w:r>
        <w:rPr>
          <w:rFonts w:hAnsi="宋体" w:cs="宋体"/>
          <w:color w:val="auto"/>
          <w:sz w:val="21"/>
        </w:rPr>
        <w:t>15</w:t>
      </w:r>
      <w:r>
        <w:rPr>
          <w:rFonts w:hint="eastAsia" w:hAnsi="宋体" w:cs="宋体"/>
          <w:color w:val="auto"/>
          <w:sz w:val="21"/>
        </w:rPr>
        <w:t>日前，在财政部门指定的政府采购信息发布媒体上发布更正公告，并以书面形式通知所有招标文件收受人。</w:t>
      </w:r>
    </w:p>
    <w:p>
      <w:pPr>
        <w:pStyle w:val="23"/>
        <w:snapToGrid w:val="0"/>
        <w:spacing w:line="400" w:lineRule="exact"/>
        <w:ind w:firstLine="420" w:firstLineChars="200"/>
        <w:rPr>
          <w:rFonts w:hAnsi="宋体" w:cs="宋体"/>
          <w:color w:val="auto"/>
          <w:sz w:val="21"/>
        </w:rPr>
      </w:pPr>
      <w:r>
        <w:rPr>
          <w:rFonts w:hAnsi="宋体" w:cs="宋体"/>
          <w:color w:val="auto"/>
          <w:sz w:val="21"/>
        </w:rPr>
        <w:t xml:space="preserve">2. </w:t>
      </w:r>
      <w:r>
        <w:rPr>
          <w:rFonts w:hint="eastAsia" w:hAnsi="宋体" w:cs="宋体"/>
          <w:color w:val="auto"/>
          <w:sz w:val="21"/>
        </w:rPr>
        <w:t>招标文件澄清、修改的内容为招标文件的组成部分。当招标文件与招标文件的澄清、修改通知就同一内容的表述不一致时，以最后发出的书面文件为准。</w:t>
      </w:r>
    </w:p>
    <w:p>
      <w:pPr>
        <w:pStyle w:val="23"/>
        <w:snapToGrid w:val="0"/>
        <w:spacing w:line="400" w:lineRule="exact"/>
        <w:ind w:firstLine="420" w:firstLineChars="200"/>
        <w:rPr>
          <w:rFonts w:hAnsi="宋体" w:cs="宋体"/>
          <w:color w:val="auto"/>
          <w:sz w:val="21"/>
        </w:rPr>
      </w:pPr>
      <w:r>
        <w:rPr>
          <w:rFonts w:hAnsi="宋体" w:cs="宋体"/>
          <w:color w:val="auto"/>
          <w:sz w:val="21"/>
        </w:rPr>
        <w:t xml:space="preserve">3. </w:t>
      </w:r>
      <w:r>
        <w:rPr>
          <w:rFonts w:hint="eastAsia" w:hAnsi="宋体" w:cs="宋体"/>
          <w:color w:val="auto"/>
          <w:sz w:val="21"/>
        </w:rPr>
        <w:t>招标文件的澄清、修改都应该通过本采购代理机构以法定形式发布，采购人非通过本机构，不得擅自答复、修改招标文件。</w:t>
      </w:r>
    </w:p>
    <w:p>
      <w:pPr>
        <w:pStyle w:val="23"/>
        <w:snapToGrid w:val="0"/>
        <w:spacing w:beforeLines="50" w:line="400" w:lineRule="exact"/>
        <w:ind w:firstLine="413" w:firstLineChars="196"/>
        <w:outlineLvl w:val="1"/>
        <w:rPr>
          <w:rFonts w:hAnsi="宋体" w:cs="宋体"/>
          <w:b/>
          <w:color w:val="auto"/>
          <w:sz w:val="21"/>
        </w:rPr>
      </w:pPr>
      <w:bookmarkStart w:id="345" w:name="_Toc482865143"/>
      <w:bookmarkStart w:id="346" w:name="_Toc400465704"/>
      <w:bookmarkStart w:id="347" w:name="_Toc293863311"/>
      <w:bookmarkStart w:id="348" w:name="_Toc445223671"/>
      <w:bookmarkStart w:id="349" w:name="_Toc18157"/>
      <w:bookmarkStart w:id="350" w:name="_Toc483327802"/>
      <w:bookmarkStart w:id="351" w:name="_Toc293863044"/>
      <w:bookmarkStart w:id="352" w:name="_Toc308018668"/>
      <w:bookmarkStart w:id="353" w:name="_Toc254970676"/>
      <w:bookmarkStart w:id="354" w:name="_Toc482864542"/>
      <w:bookmarkStart w:id="355" w:name="_Toc254970535"/>
      <w:bookmarkStart w:id="356" w:name="_Toc448421133"/>
      <w:bookmarkStart w:id="357" w:name="_Toc482865313"/>
      <w:r>
        <w:rPr>
          <w:rFonts w:hint="eastAsia" w:hAnsi="宋体" w:cs="宋体"/>
          <w:b/>
          <w:color w:val="auto"/>
          <w:sz w:val="21"/>
        </w:rPr>
        <w:t>三、投标文件的编制</w:t>
      </w:r>
      <w:bookmarkEnd w:id="345"/>
      <w:bookmarkEnd w:id="346"/>
      <w:bookmarkEnd w:id="347"/>
      <w:bookmarkEnd w:id="348"/>
      <w:bookmarkEnd w:id="349"/>
      <w:bookmarkEnd w:id="350"/>
      <w:bookmarkEnd w:id="351"/>
      <w:bookmarkEnd w:id="352"/>
      <w:bookmarkEnd w:id="353"/>
      <w:bookmarkEnd w:id="354"/>
      <w:bookmarkEnd w:id="355"/>
      <w:bookmarkEnd w:id="356"/>
      <w:bookmarkEnd w:id="357"/>
    </w:p>
    <w:p>
      <w:pPr>
        <w:snapToGrid w:val="0"/>
        <w:spacing w:beforeLines="50" w:line="400" w:lineRule="exact"/>
        <w:ind w:firstLine="413" w:firstLineChars="196"/>
        <w:jc w:val="left"/>
        <w:outlineLvl w:val="0"/>
        <w:rPr>
          <w:rFonts w:ascii="宋体" w:cs="宋体"/>
          <w:b/>
          <w:color w:val="auto"/>
          <w:szCs w:val="21"/>
        </w:rPr>
      </w:pPr>
      <w:bookmarkStart w:id="358" w:name="_Toc448421134"/>
      <w:bookmarkStart w:id="359" w:name="_Toc293863045"/>
      <w:bookmarkStart w:id="360" w:name="_Toc445223672"/>
      <w:bookmarkStart w:id="361" w:name="_Toc482864543"/>
      <w:bookmarkStart w:id="362" w:name="_Toc400465705"/>
      <w:bookmarkStart w:id="363" w:name="_Toc2609"/>
      <w:bookmarkStart w:id="364" w:name="_Toc308018669"/>
      <w:bookmarkStart w:id="365" w:name="_Toc254970536"/>
      <w:bookmarkStart w:id="366" w:name="_Toc482865144"/>
      <w:bookmarkStart w:id="367" w:name="_Toc293863312"/>
      <w:bookmarkStart w:id="368" w:name="_Toc483327803"/>
      <w:bookmarkStart w:id="369" w:name="_Toc482865314"/>
      <w:bookmarkStart w:id="370" w:name="_Toc254970677"/>
      <w:r>
        <w:rPr>
          <w:rFonts w:hint="eastAsia" w:ascii="宋体" w:hAnsi="宋体" w:cs="宋体"/>
          <w:b/>
          <w:color w:val="auto"/>
          <w:szCs w:val="21"/>
        </w:rPr>
        <w:t>（一）投标文件的组成</w:t>
      </w:r>
      <w:bookmarkEnd w:id="358"/>
      <w:bookmarkEnd w:id="359"/>
      <w:bookmarkEnd w:id="360"/>
      <w:bookmarkEnd w:id="361"/>
      <w:bookmarkEnd w:id="362"/>
      <w:bookmarkEnd w:id="363"/>
      <w:bookmarkEnd w:id="364"/>
      <w:bookmarkEnd w:id="365"/>
      <w:bookmarkEnd w:id="366"/>
      <w:bookmarkEnd w:id="367"/>
      <w:bookmarkEnd w:id="368"/>
      <w:bookmarkEnd w:id="369"/>
      <w:bookmarkEnd w:id="370"/>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投标文件由资格部分、商务及技术部分、投标报价部分三部份组成。</w:t>
      </w:r>
    </w:p>
    <w:p>
      <w:pPr>
        <w:snapToGrid w:val="0"/>
        <w:spacing w:line="400" w:lineRule="exact"/>
        <w:ind w:firstLine="413" w:firstLineChars="196"/>
        <w:jc w:val="left"/>
        <w:rPr>
          <w:rFonts w:ascii="宋体" w:cs="宋体"/>
          <w:b/>
          <w:color w:val="auto"/>
          <w:szCs w:val="21"/>
        </w:rPr>
      </w:pPr>
      <w:r>
        <w:rPr>
          <w:rFonts w:ascii="宋体" w:hAnsi="宋体" w:cs="宋体"/>
          <w:b/>
          <w:color w:val="auto"/>
          <w:szCs w:val="21"/>
        </w:rPr>
        <w:t>1.</w:t>
      </w:r>
      <w:r>
        <w:rPr>
          <w:rFonts w:ascii="宋体" w:hAnsi="宋体" w:cs="宋体"/>
          <w:color w:val="auto"/>
          <w:szCs w:val="21"/>
        </w:rPr>
        <w:t xml:space="preserve"> </w:t>
      </w:r>
      <w:r>
        <w:rPr>
          <w:rFonts w:hint="eastAsia" w:ascii="宋体" w:hAnsi="宋体" w:cs="宋体"/>
          <w:b/>
          <w:color w:val="auto"/>
          <w:szCs w:val="21"/>
        </w:rPr>
        <w:t>资格部分：</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）有效的营业执照副本复印件（必须提供，同时要加盖单位公章，不是三证合一的营业执照还必须提供有效的组织机构代码证副本、税务登记证副本复印件）；</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w:t>
      </w:r>
      <w:r>
        <w:rPr>
          <w:rFonts w:hint="eastAsia"/>
          <w:color w:val="auto"/>
        </w:rPr>
        <w:t>建设主管部门颁发的建筑机电安装工程专业承包三级及以上资质复印件</w:t>
      </w:r>
      <w:r>
        <w:rPr>
          <w:rFonts w:hint="eastAsia" w:ascii="宋体" w:hAnsi="宋体" w:cs="宋体"/>
          <w:color w:val="auto"/>
          <w:szCs w:val="21"/>
        </w:rPr>
        <w:t>；</w:t>
      </w:r>
    </w:p>
    <w:p>
      <w:pPr>
        <w:spacing w:line="400" w:lineRule="exact"/>
        <w:ind w:firstLine="420" w:firstLineChars="200"/>
        <w:rPr>
          <w:color w:val="auto"/>
        </w:rPr>
      </w:pPr>
      <w:r>
        <w:rPr>
          <w:rFonts w:hint="eastAsia" w:ascii="宋体" w:hAnsi="宋体" w:cs="宋体"/>
          <w:color w:val="auto"/>
          <w:szCs w:val="21"/>
        </w:rPr>
        <w:t>★（3）</w:t>
      </w:r>
      <w:r>
        <w:rPr>
          <w:rFonts w:hint="eastAsia"/>
          <w:color w:val="auto"/>
        </w:rPr>
        <w:t>具有质量技术监督部门颁发的特种设备制造许可证（压力容器） 或特种设备安装改造维修许可证（压力容器）复印件；</w:t>
      </w:r>
    </w:p>
    <w:p>
      <w:pPr>
        <w:spacing w:line="400" w:lineRule="exact"/>
        <w:ind w:firstLine="420" w:firstLineChars="200"/>
        <w:rPr>
          <w:color w:val="auto"/>
        </w:rPr>
      </w:pPr>
      <w:r>
        <w:rPr>
          <w:rFonts w:hint="eastAsia" w:ascii="宋体" w:hAnsi="宋体" w:cs="宋体"/>
          <w:color w:val="auto"/>
          <w:szCs w:val="21"/>
        </w:rPr>
        <w:t>★</w:t>
      </w:r>
      <w:r>
        <w:rPr>
          <w:rFonts w:hint="eastAsia"/>
          <w:color w:val="auto"/>
        </w:rPr>
        <w:t>（4）具有质量技术监督部门颁发的特种设备设计许可证（压力管道）和质量技术监督部门颁发的特种设备安装改造维修许可证（压力管道）或质量技术监督部门颁发的特种设备生产许可证（工业管道安装）复印件</w:t>
      </w:r>
      <w:r>
        <w:rPr>
          <w:rFonts w:hint="eastAsia" w:ascii="宋体" w:hAnsi="宋体" w:cs="宋体"/>
          <w:color w:val="auto"/>
          <w:w w:val="95"/>
          <w:sz w:val="24"/>
        </w:rPr>
        <w:t>；</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★（5）法定代表人完整有效的身份证复印件（第二代身份证必须提供正反面复印件，同时要加盖单位公章）；</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★（6）法定代表人授权委托书</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 xml:space="preserve">) </w:t>
      </w:r>
      <w:r>
        <w:rPr>
          <w:rFonts w:hint="eastAsia" w:ascii="宋体" w:hAnsi="宋体" w:cs="宋体"/>
          <w:color w:val="auto"/>
          <w:szCs w:val="21"/>
        </w:rPr>
        <w:t>和委托代理人完整有效的身份证复印件（委托代理时必须提供。第二代身份证必须提供正反面复印件，同时要加盖单位公章）；</w:t>
      </w:r>
    </w:p>
    <w:p>
      <w:pPr>
        <w:snapToGrid w:val="0"/>
        <w:spacing w:line="400" w:lineRule="exact"/>
        <w:ind w:firstLine="420"/>
        <w:jc w:val="left"/>
        <w:rPr>
          <w:rFonts w:ascii="宋体" w:cs="宋体"/>
          <w:color w:val="auto"/>
          <w:szCs w:val="21"/>
        </w:rPr>
      </w:pPr>
      <w:r>
        <w:rPr>
          <w:rFonts w:hint="eastAsia" w:ascii="宋体" w:hAnsi="宋体" w:cs="宋体"/>
          <w:color w:val="auto"/>
          <w:szCs w:val="21"/>
        </w:rPr>
        <w:t>★（7）截标时间前半年内，连续三个月投标人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r>
        <w:rPr>
          <w:rFonts w:hint="eastAsia" w:ascii="宋体" w:hAnsi="宋体"/>
          <w:color w:val="auto"/>
          <w:szCs w:val="21"/>
        </w:rPr>
        <w:t>（成立不足3个月的供应商按实际情况提供）</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8）截标时间前半年内，连续三个月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r>
        <w:rPr>
          <w:rFonts w:hint="eastAsia" w:ascii="宋体" w:hAnsi="宋体"/>
          <w:color w:val="auto"/>
          <w:szCs w:val="21"/>
        </w:rPr>
        <w:t>（成立不足3个月的供应商按实际情况提供）</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★（9）参加政府采购活动前</w:t>
      </w:r>
      <w:r>
        <w:rPr>
          <w:rFonts w:ascii="宋体" w:hAnsi="宋体" w:cs="宋体"/>
          <w:color w:val="auto"/>
          <w:szCs w:val="21"/>
        </w:rPr>
        <w:t>3</w:t>
      </w:r>
      <w:r>
        <w:rPr>
          <w:rFonts w:hint="eastAsia" w:ascii="宋体" w:hAnsi="宋体" w:cs="宋体"/>
          <w:color w:val="auto"/>
          <w:szCs w:val="21"/>
        </w:rPr>
        <w:t>年内在经营活动中没有重大违法记录的书面声明；</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★（10）信用记录网站〔“信用中国”网站(www.creditchina.gov.cn)、中国政府采购网(www.ccgp.gov.cn/cr/list)〕查询结果信用声明函（格式见第六章）；</w:t>
      </w:r>
    </w:p>
    <w:p>
      <w:pPr>
        <w:snapToGrid w:val="0"/>
        <w:spacing w:line="400" w:lineRule="exact"/>
        <w:ind w:firstLine="420" w:firstLineChars="200"/>
        <w:jc w:val="left"/>
        <w:rPr>
          <w:rFonts w:ascii="宋体" w:cs="宋体"/>
          <w:b/>
          <w:bCs/>
          <w:color w:val="auto"/>
          <w:szCs w:val="21"/>
        </w:rPr>
      </w:pPr>
      <w:r>
        <w:rPr>
          <w:rFonts w:hint="eastAsia" w:ascii="宋体" w:hAnsi="宋体" w:cs="宋体"/>
          <w:color w:val="auto"/>
          <w:szCs w:val="21"/>
        </w:rPr>
        <w:t>★（11）投标人近期财务状况报告</w:t>
      </w:r>
      <w:r>
        <w:rPr>
          <w:rFonts w:hint="eastAsia" w:ascii="宋体" w:hAnsi="宋体" w:cs="宋体"/>
          <w:b/>
          <w:bCs/>
          <w:color w:val="auto"/>
          <w:szCs w:val="21"/>
        </w:rPr>
        <w:t>（上一年度经第三方审计的财务报告；或截标时间前半年内能反映财务状况的报表；或投标人自拟的截标时间前半年内的财务情况说明）。</w:t>
      </w:r>
    </w:p>
    <w:p>
      <w:pPr>
        <w:snapToGrid w:val="0"/>
        <w:spacing w:line="440" w:lineRule="exact"/>
        <w:ind w:firstLine="420" w:firstLineChars="200"/>
        <w:jc w:val="left"/>
        <w:rPr>
          <w:rFonts w:ascii="宋体" w:cs="宋体"/>
          <w:b/>
          <w:color w:val="auto"/>
          <w:szCs w:val="21"/>
        </w:rPr>
      </w:pPr>
      <w:r>
        <w:rPr>
          <w:rFonts w:hint="eastAsia" w:ascii="宋体" w:hAnsi="宋体" w:cs="宋体"/>
          <w:color w:val="auto"/>
          <w:szCs w:val="21"/>
        </w:rPr>
        <w:t>★</w:t>
      </w:r>
      <w:r>
        <w:rPr>
          <w:rFonts w:hint="eastAsia" w:ascii="宋体" w:hAnsi="宋体" w:cs="宋体"/>
          <w:b/>
          <w:bCs/>
          <w:color w:val="auto"/>
          <w:szCs w:val="21"/>
        </w:rPr>
        <w:t>注：</w:t>
      </w:r>
      <w:r>
        <w:rPr>
          <w:rFonts w:hint="eastAsia" w:ascii="宋体" w:hAnsi="宋体" w:cs="宋体"/>
          <w:color w:val="auto"/>
          <w:szCs w:val="21"/>
        </w:rPr>
        <w:t>上述提交的材料必须加盖投标人单位公章。</w:t>
      </w:r>
    </w:p>
    <w:p>
      <w:pPr>
        <w:snapToGrid w:val="0"/>
        <w:spacing w:line="440" w:lineRule="exact"/>
        <w:ind w:firstLine="413" w:firstLineChars="196"/>
        <w:jc w:val="left"/>
        <w:rPr>
          <w:rFonts w:ascii="宋体" w:cs="宋体"/>
          <w:b/>
          <w:bCs/>
          <w:color w:val="auto"/>
          <w:szCs w:val="21"/>
        </w:rPr>
      </w:pPr>
      <w:r>
        <w:rPr>
          <w:rFonts w:ascii="宋体" w:hAnsi="宋体" w:cs="宋体"/>
          <w:b/>
          <w:bCs/>
          <w:color w:val="auto"/>
          <w:szCs w:val="21"/>
        </w:rPr>
        <w:t>2.</w:t>
      </w:r>
      <w:r>
        <w:rPr>
          <w:rFonts w:hint="eastAsia" w:ascii="宋体" w:hAnsi="宋体" w:cs="宋体"/>
          <w:b/>
          <w:bCs/>
          <w:color w:val="auto"/>
          <w:szCs w:val="21"/>
        </w:rPr>
        <w:t>商务及技术部分</w:t>
      </w:r>
    </w:p>
    <w:p>
      <w:pPr>
        <w:snapToGrid w:val="0"/>
        <w:spacing w:line="440" w:lineRule="exact"/>
        <w:ind w:firstLine="422" w:firstLineChars="200"/>
        <w:jc w:val="left"/>
        <w:rPr>
          <w:rFonts w:ascii="宋体" w:cs="宋体"/>
          <w:b/>
          <w:bCs/>
          <w:color w:val="auto"/>
          <w:szCs w:val="21"/>
        </w:rPr>
      </w:pPr>
      <w:r>
        <w:rPr>
          <w:rFonts w:hint="eastAsia" w:ascii="宋体" w:hAnsi="宋体" w:cs="宋体"/>
          <w:b/>
          <w:bCs/>
          <w:color w:val="auto"/>
          <w:szCs w:val="21"/>
        </w:rPr>
        <w:t>商务部分</w:t>
      </w:r>
    </w:p>
    <w:p>
      <w:pPr>
        <w:snapToGrid w:val="0"/>
        <w:spacing w:line="44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）投标声明书</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hint="eastAsia" w:ascii="宋体" w:hAnsi="宋体" w:cs="宋体"/>
          <w:color w:val="auto"/>
          <w:szCs w:val="21"/>
        </w:rPr>
        <w:t>；</w:t>
      </w:r>
    </w:p>
    <w:p>
      <w:pPr>
        <w:snapToGrid w:val="0"/>
        <w:spacing w:line="44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）投标人情况介绍；</w:t>
      </w:r>
    </w:p>
    <w:p>
      <w:pPr>
        <w:snapToGrid w:val="0"/>
        <w:spacing w:line="44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w:t>
      </w:r>
      <w:r>
        <w:rPr>
          <w:rFonts w:ascii="宋体" w:hAnsi="宋体" w:cs="宋体"/>
          <w:color w:val="auto"/>
          <w:szCs w:val="21"/>
        </w:rPr>
        <w:t xml:space="preserve"> </w:t>
      </w:r>
      <w:r>
        <w:rPr>
          <w:rFonts w:hint="eastAsia" w:ascii="宋体" w:hAnsi="宋体" w:cs="宋体"/>
          <w:color w:val="auto"/>
          <w:szCs w:val="21"/>
        </w:rPr>
        <w:t>属于投标人的资质及信誉等方面的证书或材料；</w:t>
      </w:r>
    </w:p>
    <w:p>
      <w:pPr>
        <w:snapToGrid w:val="0"/>
        <w:spacing w:line="44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）商务响应表</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hint="eastAsia" w:ascii="宋体" w:hAnsi="宋体" w:cs="宋体"/>
          <w:color w:val="auto"/>
          <w:szCs w:val="21"/>
        </w:rPr>
        <w:t>；</w:t>
      </w:r>
    </w:p>
    <w:p>
      <w:pPr>
        <w:snapToGrid w:val="0"/>
        <w:spacing w:line="40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w:t>
      </w:r>
      <w:r>
        <w:rPr>
          <w:rFonts w:hint="eastAsia" w:ascii="宋体" w:hAnsi="宋体" w:cs="宋体"/>
          <w:color w:val="auto"/>
        </w:rPr>
        <w:t>投标人需要说明的其他文件和说明</w:t>
      </w:r>
      <w:r>
        <w:rPr>
          <w:rFonts w:hint="eastAsia" w:ascii="宋体" w:hAnsi="宋体" w:cs="宋体"/>
          <w:color w:val="auto"/>
          <w:szCs w:val="21"/>
        </w:rPr>
        <w:t>；</w:t>
      </w:r>
    </w:p>
    <w:p>
      <w:pPr>
        <w:snapToGrid w:val="0"/>
        <w:spacing w:line="40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）投标人的类似成功案例的业绩证明文件</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hint="eastAsia" w:ascii="宋体" w:hAnsi="宋体" w:cs="宋体"/>
          <w:color w:val="auto"/>
          <w:szCs w:val="21"/>
        </w:rPr>
        <w:t>；</w:t>
      </w:r>
    </w:p>
    <w:p>
      <w:pPr>
        <w:snapToGrid w:val="0"/>
        <w:spacing w:line="400" w:lineRule="exact"/>
        <w:ind w:firstLine="621" w:firstLineChars="296"/>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）投标人符合中小企业划型标准的，按《政府采购促进中小企业发展暂行办法》（财库〔</w:t>
      </w:r>
      <w:r>
        <w:rPr>
          <w:rFonts w:ascii="宋体" w:hAnsi="宋体" w:cs="宋体"/>
          <w:color w:val="auto"/>
          <w:szCs w:val="21"/>
        </w:rPr>
        <w:t>2011</w:t>
      </w:r>
      <w:r>
        <w:rPr>
          <w:rFonts w:hint="eastAsia" w:ascii="宋体" w:hAnsi="宋体" w:cs="宋体"/>
          <w:color w:val="auto"/>
          <w:szCs w:val="21"/>
        </w:rPr>
        <w:t>〕</w:t>
      </w:r>
      <w:r>
        <w:rPr>
          <w:rFonts w:ascii="宋体" w:hAnsi="宋体" w:cs="宋体"/>
          <w:color w:val="auto"/>
          <w:szCs w:val="21"/>
        </w:rPr>
        <w:t>181</w:t>
      </w:r>
      <w:r>
        <w:rPr>
          <w:rFonts w:hint="eastAsia" w:ascii="宋体" w:hAnsi="宋体" w:cs="宋体"/>
          <w:color w:val="auto"/>
          <w:szCs w:val="21"/>
        </w:rPr>
        <w:t>号）要求，提供中小企业声明函。监</w:t>
      </w:r>
      <w:r>
        <w:rPr>
          <w:rFonts w:hint="eastAsia" w:ascii="宋体" w:hAnsi="宋体"/>
          <w:color w:val="auto"/>
          <w:szCs w:val="21"/>
        </w:rPr>
        <w:t>狱企业参加政府采购活动时，应当提供由省级以上监狱管理局、戒毒管理局（含新疆生产建设兵团）出具的属于监狱企业的证明文件。</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hint="eastAsia" w:ascii="宋体" w:hAnsi="宋体" w:cs="宋体"/>
          <w:color w:val="auto"/>
          <w:szCs w:val="21"/>
        </w:rPr>
        <w:t>；</w:t>
      </w:r>
    </w:p>
    <w:p>
      <w:pPr>
        <w:snapToGrid w:val="0"/>
        <w:spacing w:line="400" w:lineRule="exact"/>
        <w:ind w:firstLine="621" w:firstLineChars="296"/>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8</w:t>
      </w:r>
      <w:r>
        <w:rPr>
          <w:rFonts w:hint="eastAsia" w:ascii="宋体" w:hAnsi="宋体" w:cs="宋体"/>
          <w:color w:val="auto"/>
          <w:szCs w:val="21"/>
        </w:rPr>
        <w:t>）投标产品符合</w:t>
      </w:r>
      <w:r>
        <w:rPr>
          <w:rFonts w:hint="eastAsia" w:ascii="宋体" w:hAnsi="宋体" w:cs="宋体"/>
          <w:bCs/>
          <w:color w:val="auto"/>
        </w:rPr>
        <w:t>《招标采购促进广西工业产品产销对接实施细则的通知》（桂政办发【</w:t>
      </w:r>
      <w:r>
        <w:rPr>
          <w:rFonts w:ascii="宋体" w:hAnsi="宋体" w:cs="宋体"/>
          <w:bCs/>
          <w:color w:val="auto"/>
        </w:rPr>
        <w:t>2015</w:t>
      </w:r>
      <w:r>
        <w:rPr>
          <w:rFonts w:hint="eastAsia" w:ascii="宋体" w:hAnsi="宋体" w:cs="宋体"/>
          <w:bCs/>
          <w:color w:val="auto"/>
        </w:rPr>
        <w:t>】</w:t>
      </w:r>
      <w:r>
        <w:rPr>
          <w:rFonts w:ascii="宋体" w:hAnsi="宋体" w:cs="宋体"/>
          <w:bCs/>
          <w:color w:val="auto"/>
        </w:rPr>
        <w:t>78</w:t>
      </w:r>
      <w:r>
        <w:rPr>
          <w:rFonts w:hint="eastAsia" w:ascii="宋体" w:hAnsi="宋体" w:cs="宋体"/>
          <w:bCs/>
          <w:color w:val="auto"/>
        </w:rPr>
        <w:t>号）</w:t>
      </w:r>
      <w:r>
        <w:rPr>
          <w:rFonts w:hint="eastAsia" w:ascii="宋体" w:hAnsi="宋体" w:cs="宋体"/>
          <w:color w:val="auto"/>
          <w:szCs w:val="21"/>
        </w:rPr>
        <w:t>要求</w:t>
      </w:r>
      <w:r>
        <w:rPr>
          <w:rFonts w:hint="eastAsia" w:ascii="宋体" w:hAnsi="宋体" w:cs="宋体"/>
          <w:bCs/>
          <w:color w:val="auto"/>
        </w:rPr>
        <w:t>的，</w:t>
      </w:r>
      <w:r>
        <w:rPr>
          <w:rFonts w:hint="eastAsia" w:ascii="宋体" w:hAnsi="宋体" w:cs="宋体"/>
          <w:color w:val="auto"/>
          <w:szCs w:val="21"/>
        </w:rPr>
        <w:t>提供广西工业产品声明函</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hint="eastAsia" w:ascii="宋体" w:hAnsi="宋体" w:cs="宋体"/>
          <w:color w:val="auto"/>
          <w:szCs w:val="21"/>
        </w:rPr>
        <w:t>；</w:t>
      </w:r>
    </w:p>
    <w:p>
      <w:pPr>
        <w:snapToGrid w:val="0"/>
        <w:spacing w:line="400" w:lineRule="exact"/>
        <w:ind w:firstLine="621" w:firstLineChars="296"/>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9</w:t>
      </w:r>
      <w:r>
        <w:rPr>
          <w:rFonts w:hint="eastAsia" w:ascii="宋体" w:hAnsi="宋体" w:cs="宋体"/>
          <w:color w:val="auto"/>
          <w:szCs w:val="21"/>
        </w:rPr>
        <w:t>）</w:t>
      </w:r>
      <w:r>
        <w:rPr>
          <w:rFonts w:hint="eastAsia" w:ascii="宋体" w:hAnsi="宋体"/>
          <w:color w:val="auto"/>
          <w:szCs w:val="21"/>
        </w:rPr>
        <w:t>投标产品提供单位按《关于促进残疾人就业政府采购政策的通知》</w:t>
      </w:r>
      <w:r>
        <w:rPr>
          <w:rFonts w:ascii="宋体" w:hAnsi="宋体"/>
          <w:color w:val="auto"/>
          <w:szCs w:val="21"/>
        </w:rPr>
        <w:t>(</w:t>
      </w:r>
      <w:r>
        <w:rPr>
          <w:rFonts w:hint="eastAsia" w:ascii="宋体" w:hAnsi="宋体"/>
          <w:color w:val="auto"/>
          <w:szCs w:val="21"/>
        </w:rPr>
        <w:t>财库〔</w:t>
      </w:r>
      <w:r>
        <w:rPr>
          <w:rFonts w:ascii="宋体" w:hAnsi="宋体"/>
          <w:color w:val="auto"/>
          <w:szCs w:val="21"/>
        </w:rPr>
        <w:t>2017</w:t>
      </w:r>
      <w:r>
        <w:rPr>
          <w:rFonts w:hint="eastAsia" w:ascii="宋体" w:hAnsi="宋体"/>
          <w:color w:val="auto"/>
          <w:szCs w:val="21"/>
        </w:rPr>
        <w:t>〕</w:t>
      </w:r>
      <w:r>
        <w:rPr>
          <w:rFonts w:ascii="宋体" w:hAnsi="宋体"/>
          <w:color w:val="auto"/>
          <w:szCs w:val="21"/>
        </w:rPr>
        <w:t>141</w:t>
      </w:r>
      <w:r>
        <w:rPr>
          <w:rFonts w:hint="eastAsia" w:ascii="宋体" w:hAnsi="宋体"/>
          <w:color w:val="auto"/>
          <w:szCs w:val="21"/>
        </w:rPr>
        <w:t>号</w:t>
      </w:r>
      <w:r>
        <w:rPr>
          <w:rFonts w:ascii="宋体" w:hAnsi="宋体"/>
          <w:color w:val="auto"/>
          <w:szCs w:val="21"/>
        </w:rPr>
        <w:t>)</w:t>
      </w:r>
      <w:r>
        <w:rPr>
          <w:rFonts w:hint="eastAsia" w:ascii="宋体" w:hAnsi="宋体"/>
          <w:color w:val="auto"/>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hint="eastAsia" w:ascii="宋体" w:hAnsi="宋体"/>
          <w:color w:val="auto"/>
          <w:szCs w:val="21"/>
        </w:rPr>
        <w:t>。</w:t>
      </w:r>
    </w:p>
    <w:p>
      <w:pPr>
        <w:snapToGrid w:val="0"/>
        <w:spacing w:line="400" w:lineRule="exact"/>
        <w:ind w:firstLine="413" w:firstLineChars="196"/>
        <w:jc w:val="left"/>
        <w:rPr>
          <w:rFonts w:ascii="宋体" w:cs="宋体"/>
          <w:b/>
          <w:color w:val="auto"/>
          <w:szCs w:val="21"/>
        </w:rPr>
      </w:pPr>
    </w:p>
    <w:p>
      <w:pPr>
        <w:snapToGrid w:val="0"/>
        <w:spacing w:line="400" w:lineRule="exact"/>
        <w:ind w:firstLine="413" w:firstLineChars="196"/>
        <w:jc w:val="left"/>
        <w:rPr>
          <w:rFonts w:ascii="宋体" w:cs="宋体"/>
          <w:b/>
          <w:color w:val="auto"/>
          <w:szCs w:val="21"/>
        </w:rPr>
      </w:pPr>
      <w:r>
        <w:rPr>
          <w:rFonts w:hint="eastAsia" w:ascii="宋体" w:hAnsi="宋体" w:cs="宋体"/>
          <w:b/>
          <w:color w:val="auto"/>
          <w:szCs w:val="21"/>
        </w:rPr>
        <w:t>技术部分</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rPr>
        <w:t>（</w:t>
      </w:r>
      <w:r>
        <w:rPr>
          <w:rFonts w:ascii="宋体" w:hAnsi="宋体" w:cs="宋体"/>
          <w:color w:val="auto"/>
        </w:rPr>
        <w:t>1</w:t>
      </w:r>
      <w:r>
        <w:rPr>
          <w:rFonts w:hint="eastAsia" w:ascii="宋体" w:hAnsi="宋体" w:cs="宋体"/>
          <w:color w:val="auto"/>
        </w:rPr>
        <w:t>）</w:t>
      </w:r>
      <w:r>
        <w:rPr>
          <w:rFonts w:hint="eastAsia" w:ascii="宋体" w:hAnsi="宋体" w:cs="宋体"/>
          <w:color w:val="auto"/>
          <w:szCs w:val="21"/>
        </w:rPr>
        <w:t>投标产品配置清单（均不含报价）</w:t>
      </w:r>
      <w:r>
        <w:rPr>
          <w:rFonts w:ascii="宋体" w:hAnsi="宋体" w:cs="宋体"/>
          <w:color w:val="auto"/>
          <w:szCs w:val="21"/>
        </w:rPr>
        <w:t>(</w:t>
      </w:r>
      <w:r>
        <w:rPr>
          <w:rFonts w:hint="eastAsia" w:ascii="宋体" w:hAnsi="宋体" w:cs="宋体"/>
          <w:color w:val="auto"/>
          <w:szCs w:val="21"/>
        </w:rPr>
        <w:t>格式见第六章</w:t>
      </w:r>
      <w:r>
        <w:rPr>
          <w:rFonts w:ascii="宋体" w:hAnsi="宋体" w:cs="宋体"/>
          <w:color w:val="auto"/>
          <w:szCs w:val="21"/>
        </w:rPr>
        <w:t>)</w:t>
      </w:r>
      <w:r>
        <w:rPr>
          <w:rFonts w:ascii="宋体" w:hAnsi="宋体" w:cs="宋体"/>
          <w:color w:val="auto"/>
        </w:rPr>
        <w:t xml:space="preserve"> </w:t>
      </w:r>
      <w:r>
        <w:rPr>
          <w:rFonts w:hint="eastAsia" w:ascii="宋体" w:hAnsi="宋体" w:cs="宋体"/>
          <w:color w:val="auto"/>
        </w:rPr>
        <w:t>；</w:t>
      </w:r>
    </w:p>
    <w:p>
      <w:pPr>
        <w:snapToGrid w:val="0"/>
        <w:spacing w:line="400" w:lineRule="exact"/>
        <w:ind w:firstLine="420" w:firstLineChars="200"/>
        <w:jc w:val="left"/>
        <w:rPr>
          <w:rFonts w:ascii="宋体" w:cs="宋体"/>
          <w:color w:val="auto"/>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w:t>
      </w:r>
      <w:r>
        <w:rPr>
          <w:rFonts w:hint="eastAsia" w:ascii="宋体" w:hAnsi="宋体" w:cs="宋体"/>
          <w:color w:val="auto"/>
        </w:rPr>
        <w:t>产品技术响应表</w:t>
      </w:r>
      <w:r>
        <w:rPr>
          <w:rFonts w:ascii="宋体" w:hAnsi="宋体" w:cs="宋体"/>
          <w:color w:val="auto"/>
        </w:rPr>
        <w:t>(</w:t>
      </w:r>
      <w:r>
        <w:rPr>
          <w:rFonts w:hint="eastAsia" w:ascii="宋体" w:hAnsi="宋体" w:cs="宋体"/>
          <w:color w:val="auto"/>
        </w:rPr>
        <w:t>格式见第六章</w:t>
      </w:r>
      <w:r>
        <w:rPr>
          <w:rFonts w:ascii="宋体" w:hAnsi="宋体" w:cs="宋体"/>
          <w:color w:val="auto"/>
        </w:rPr>
        <w:t>)</w:t>
      </w:r>
      <w:r>
        <w:rPr>
          <w:rFonts w:hint="eastAsia" w:ascii="宋体" w:hAnsi="宋体" w:cs="宋体"/>
          <w:color w:val="auto"/>
        </w:rPr>
        <w:t>；</w:t>
      </w:r>
    </w:p>
    <w:p>
      <w:pPr>
        <w:snapToGrid w:val="0"/>
        <w:spacing w:line="400" w:lineRule="exact"/>
        <w:ind w:firstLine="420" w:firstLineChars="200"/>
        <w:jc w:val="left"/>
        <w:rPr>
          <w:rFonts w:ascii="宋体" w:cs="宋体"/>
          <w:color w:val="auto"/>
        </w:rPr>
      </w:pPr>
      <w:r>
        <w:rPr>
          <w:rFonts w:hint="eastAsia" w:ascii="宋体" w:hAnsi="宋体" w:cs="宋体"/>
          <w:color w:val="auto"/>
          <w:szCs w:val="21"/>
        </w:rPr>
        <w:t>★</w:t>
      </w:r>
      <w:r>
        <w:rPr>
          <w:rFonts w:hint="eastAsia" w:ascii="宋体" w:hAnsi="宋体" w:cs="宋体"/>
          <w:color w:val="auto"/>
        </w:rPr>
        <w:t>（</w:t>
      </w:r>
      <w:r>
        <w:rPr>
          <w:rFonts w:ascii="宋体" w:hAnsi="宋体" w:cs="宋体"/>
          <w:color w:val="auto"/>
        </w:rPr>
        <w:t>3</w:t>
      </w: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售后服务方案；</w:t>
      </w:r>
    </w:p>
    <w:p>
      <w:pPr>
        <w:snapToGrid w:val="0"/>
        <w:spacing w:line="400" w:lineRule="exact"/>
        <w:ind w:firstLine="630" w:firstLineChars="300"/>
        <w:jc w:val="left"/>
        <w:rPr>
          <w:rFonts w:ascii="宋体" w:cs="宋体"/>
          <w:color w:val="auto"/>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）项目实施人员一览表</w:t>
      </w:r>
      <w:r>
        <w:rPr>
          <w:rFonts w:hint="eastAsia" w:ascii="宋体" w:hAnsi="宋体" w:cs="宋体"/>
          <w:color w:val="auto"/>
        </w:rPr>
        <w:t>；</w:t>
      </w:r>
    </w:p>
    <w:p>
      <w:pPr>
        <w:snapToGrid w:val="0"/>
        <w:spacing w:line="400" w:lineRule="exact"/>
        <w:ind w:firstLine="630" w:firstLineChars="300"/>
        <w:jc w:val="left"/>
        <w:rPr>
          <w:rFonts w:asci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）产品出厂标准、质量检测报告。</w:t>
      </w:r>
    </w:p>
    <w:p>
      <w:pPr>
        <w:snapToGrid w:val="0"/>
        <w:spacing w:line="400" w:lineRule="exact"/>
        <w:ind w:firstLine="630" w:firstLineChars="300"/>
        <w:jc w:val="left"/>
        <w:rPr>
          <w:rFonts w:asci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）培训计划方案；</w:t>
      </w:r>
      <w:r>
        <w:rPr>
          <w:rFonts w:ascii="宋体" w:hAnsi="宋体" w:cs="宋体"/>
          <w:color w:val="auto"/>
        </w:rPr>
        <w:t xml:space="preserve"> </w:t>
      </w:r>
    </w:p>
    <w:p>
      <w:pPr>
        <w:snapToGrid w:val="0"/>
        <w:spacing w:line="400" w:lineRule="exact"/>
        <w:ind w:firstLine="630" w:firstLineChars="300"/>
        <w:jc w:val="left"/>
        <w:rPr>
          <w:rFonts w:asci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）投标人需要说明的其他文件和说明。</w:t>
      </w:r>
    </w:p>
    <w:p>
      <w:pPr>
        <w:snapToGrid w:val="0"/>
        <w:spacing w:line="400" w:lineRule="exact"/>
        <w:ind w:firstLine="413" w:firstLineChars="196"/>
        <w:jc w:val="left"/>
        <w:rPr>
          <w:rFonts w:ascii="宋体" w:cs="宋体"/>
          <w:b/>
          <w:color w:val="auto"/>
          <w:szCs w:val="21"/>
        </w:rPr>
      </w:pPr>
      <w:r>
        <w:rPr>
          <w:rFonts w:ascii="宋体" w:hAnsi="宋体" w:cs="宋体"/>
          <w:b/>
          <w:color w:val="auto"/>
          <w:szCs w:val="21"/>
        </w:rPr>
        <w:t>3.</w:t>
      </w:r>
      <w:r>
        <w:rPr>
          <w:rFonts w:hint="eastAsia" w:ascii="宋体" w:hAnsi="宋体" w:cs="宋体"/>
          <w:b/>
          <w:color w:val="auto"/>
          <w:szCs w:val="21"/>
        </w:rPr>
        <w:t>报价部分：</w:t>
      </w:r>
    </w:p>
    <w:p>
      <w:pPr>
        <w:tabs>
          <w:tab w:val="left" w:pos="3870"/>
          <w:tab w:val="left" w:pos="4085"/>
        </w:tabs>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）投标函（格式见第六章）；</w:t>
      </w:r>
      <w:r>
        <w:rPr>
          <w:rFonts w:ascii="宋体" w:hAnsi="宋体" w:cs="宋体"/>
          <w:color w:val="auto"/>
          <w:szCs w:val="21"/>
        </w:rPr>
        <w:t xml:space="preserve"> </w:t>
      </w:r>
    </w:p>
    <w:p>
      <w:pPr>
        <w:tabs>
          <w:tab w:val="left" w:pos="3870"/>
          <w:tab w:val="left" w:pos="4085"/>
        </w:tabs>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）投标报价明细表（格式见第六章）；</w:t>
      </w:r>
    </w:p>
    <w:p>
      <w:pPr>
        <w:tabs>
          <w:tab w:val="left" w:pos="3870"/>
          <w:tab w:val="left" w:pos="4085"/>
        </w:tabs>
        <w:snapToGrid w:val="0"/>
        <w:spacing w:line="40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）投标人针对报价需要说明的其他文件和说明（格式自拟）；</w:t>
      </w:r>
    </w:p>
    <w:p>
      <w:pPr>
        <w:tabs>
          <w:tab w:val="left" w:pos="3870"/>
          <w:tab w:val="left" w:pos="4085"/>
        </w:tabs>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）开标一览表（与投标函一起单独用小信封密封并单独递交，格式见第六章）；</w:t>
      </w:r>
    </w:p>
    <w:p>
      <w:pPr>
        <w:pStyle w:val="34"/>
        <w:spacing w:line="400" w:lineRule="exact"/>
        <w:ind w:firstLine="400" w:firstLineChars="200"/>
        <w:rPr>
          <w:rFonts w:ascii="宋体" w:cs="宋体"/>
          <w:color w:val="auto"/>
          <w:sz w:val="21"/>
          <w:szCs w:val="21"/>
        </w:rPr>
      </w:pPr>
      <w:r>
        <w:rPr>
          <w:rFonts w:hint="eastAsia" w:ascii="宋体" w:hAnsi="宋体" w:cs="宋体"/>
          <w:color w:val="auto"/>
          <w:szCs w:val="21"/>
        </w:rPr>
        <w:t>★</w:t>
      </w:r>
      <w:r>
        <w:rPr>
          <w:rFonts w:ascii="宋体" w:hAnsi="宋体" w:cs="宋体"/>
          <w:b/>
          <w:bCs/>
          <w:color w:val="auto"/>
          <w:sz w:val="21"/>
          <w:szCs w:val="21"/>
        </w:rPr>
        <w:t>4.</w:t>
      </w:r>
      <w:r>
        <w:rPr>
          <w:rFonts w:hint="eastAsia" w:ascii="宋体" w:hAnsi="宋体" w:cs="宋体"/>
          <w:b/>
          <w:bCs/>
          <w:color w:val="auto"/>
          <w:sz w:val="21"/>
          <w:szCs w:val="21"/>
        </w:rPr>
        <w:t>特别备注：招标文件第六章有格式要求的，必须按要求在规定处由法定代表人或授权代表签名并加盖投标人公章。</w:t>
      </w:r>
    </w:p>
    <w:p>
      <w:pPr>
        <w:snapToGrid w:val="0"/>
        <w:spacing w:line="400" w:lineRule="exact"/>
        <w:ind w:firstLine="413" w:firstLineChars="196"/>
        <w:jc w:val="left"/>
        <w:outlineLvl w:val="0"/>
        <w:rPr>
          <w:rFonts w:ascii="宋体" w:cs="宋体"/>
          <w:b/>
          <w:color w:val="auto"/>
          <w:szCs w:val="21"/>
        </w:rPr>
      </w:pPr>
      <w:bookmarkStart w:id="371" w:name="_Toc254970537"/>
      <w:bookmarkStart w:id="372" w:name="_Toc482865145"/>
      <w:bookmarkStart w:id="373" w:name="_Toc27229"/>
      <w:bookmarkStart w:id="374" w:name="_Toc482865315"/>
      <w:bookmarkStart w:id="375" w:name="_Toc448421135"/>
      <w:bookmarkStart w:id="376" w:name="_Toc254970678"/>
      <w:bookmarkStart w:id="377" w:name="_Toc445223673"/>
      <w:bookmarkStart w:id="378" w:name="_Toc400465706"/>
      <w:bookmarkStart w:id="379" w:name="_Toc293863046"/>
      <w:bookmarkStart w:id="380" w:name="_Toc483327804"/>
      <w:bookmarkStart w:id="381" w:name="_Toc293863313"/>
      <w:bookmarkStart w:id="382" w:name="_Toc482864544"/>
      <w:bookmarkStart w:id="383" w:name="_Toc308018670"/>
      <w:r>
        <w:rPr>
          <w:rFonts w:hint="eastAsia" w:ascii="宋体" w:hAnsi="宋体" w:cs="宋体"/>
          <w:b/>
          <w:color w:val="auto"/>
          <w:szCs w:val="21"/>
        </w:rPr>
        <w:t>（二）投标文件的语言及计量</w:t>
      </w:r>
      <w:bookmarkEnd w:id="371"/>
      <w:bookmarkEnd w:id="372"/>
      <w:bookmarkEnd w:id="373"/>
      <w:bookmarkEnd w:id="374"/>
      <w:bookmarkEnd w:id="375"/>
      <w:bookmarkEnd w:id="376"/>
      <w:bookmarkEnd w:id="377"/>
      <w:bookmarkEnd w:id="378"/>
      <w:bookmarkEnd w:id="379"/>
      <w:bookmarkEnd w:id="380"/>
      <w:bookmarkEnd w:id="381"/>
      <w:bookmarkEnd w:id="382"/>
      <w:bookmarkEnd w:id="383"/>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1. </w:t>
      </w:r>
      <w:r>
        <w:rPr>
          <w:rFonts w:hint="eastAsia" w:ascii="宋体" w:hAnsi="宋体" w:cs="宋体"/>
          <w:color w:val="auto"/>
          <w:szCs w:val="21"/>
        </w:rPr>
        <w:t>投标文件以及投标方与招标方就有关投标事宜的所有来往函电，均应以中文汉语书写。除签名、盖章、专用名称等特殊情形外，以中文汉语以外的文字表述的投标文件视同未提供。</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2. </w:t>
      </w:r>
      <w:r>
        <w:rPr>
          <w:rFonts w:hint="eastAsia" w:ascii="宋体" w:hAnsi="宋体" w:cs="宋体"/>
          <w:color w:val="auto"/>
          <w:szCs w:val="21"/>
        </w:rPr>
        <w:t>投标计量单位，招标文件已有明确规定的，使用招标文件规定的计量单位；招标文件没有规定的，应采用中华人民共和国法定计量单位（货币单位：人民币），否则视同未响应。</w:t>
      </w:r>
    </w:p>
    <w:p>
      <w:pPr>
        <w:snapToGrid w:val="0"/>
        <w:spacing w:beforeLines="50" w:line="400" w:lineRule="exact"/>
        <w:ind w:firstLine="413" w:firstLineChars="196"/>
        <w:jc w:val="left"/>
        <w:outlineLvl w:val="0"/>
        <w:rPr>
          <w:rFonts w:ascii="宋体" w:cs="宋体"/>
          <w:b/>
          <w:color w:val="auto"/>
          <w:szCs w:val="21"/>
        </w:rPr>
      </w:pPr>
      <w:bookmarkStart w:id="384" w:name="_Toc482864545"/>
      <w:bookmarkStart w:id="385" w:name="_Toc293863314"/>
      <w:bookmarkStart w:id="386" w:name="_Toc448421136"/>
      <w:bookmarkStart w:id="387" w:name="_Toc483327805"/>
      <w:bookmarkStart w:id="388" w:name="_Toc23268"/>
      <w:bookmarkStart w:id="389" w:name="_Toc254970538"/>
      <w:bookmarkStart w:id="390" w:name="_Toc445223674"/>
      <w:bookmarkStart w:id="391" w:name="_Toc293863047"/>
      <w:bookmarkStart w:id="392" w:name="_Toc308018671"/>
      <w:bookmarkStart w:id="393" w:name="_Toc482865316"/>
      <w:bookmarkStart w:id="394" w:name="_Toc482865146"/>
      <w:bookmarkStart w:id="395" w:name="_Toc400465707"/>
      <w:bookmarkStart w:id="396" w:name="_Toc254970679"/>
      <w:r>
        <w:rPr>
          <w:rFonts w:hint="eastAsia" w:ascii="宋体" w:hAnsi="宋体" w:cs="宋体"/>
          <w:b/>
          <w:color w:val="auto"/>
          <w:szCs w:val="21"/>
        </w:rPr>
        <w:t>（三）投标报价</w:t>
      </w:r>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23"/>
        <w:snapToGrid w:val="0"/>
        <w:spacing w:line="400" w:lineRule="exact"/>
        <w:ind w:firstLine="420" w:firstLineChars="200"/>
        <w:jc w:val="left"/>
        <w:rPr>
          <w:rFonts w:hAnsi="宋体" w:cs="宋体"/>
          <w:color w:val="auto"/>
          <w:sz w:val="21"/>
        </w:rPr>
      </w:pPr>
      <w:r>
        <w:rPr>
          <w:rFonts w:hAnsi="宋体" w:cs="宋体"/>
          <w:color w:val="auto"/>
          <w:sz w:val="21"/>
        </w:rPr>
        <w:t xml:space="preserve">1. </w:t>
      </w:r>
      <w:r>
        <w:rPr>
          <w:rFonts w:hint="eastAsia" w:hAnsi="宋体" w:cs="宋体"/>
          <w:color w:val="auto"/>
          <w:sz w:val="21"/>
        </w:rPr>
        <w:t>投标报价应按招标文件中相关附表格式填写。</w:t>
      </w:r>
    </w:p>
    <w:p>
      <w:pPr>
        <w:snapToGrid w:val="0"/>
        <w:spacing w:line="400" w:lineRule="exact"/>
        <w:ind w:firstLine="420" w:firstLineChars="200"/>
        <w:jc w:val="left"/>
        <w:rPr>
          <w:rFonts w:ascii="宋体" w:cs="宋体"/>
          <w:color w:val="auto"/>
        </w:rPr>
      </w:pPr>
      <w:r>
        <w:rPr>
          <w:rFonts w:hint="eastAsia" w:ascii="宋体" w:hAnsi="宋体" w:cs="宋体"/>
          <w:color w:val="auto"/>
          <w:szCs w:val="21"/>
        </w:rPr>
        <w:t>★</w:t>
      </w:r>
      <w:r>
        <w:rPr>
          <w:rFonts w:ascii="宋体" w:hAnsi="宋体" w:cs="宋体"/>
          <w:color w:val="auto"/>
        </w:rPr>
        <w:t xml:space="preserve">2. </w:t>
      </w:r>
      <w:r>
        <w:rPr>
          <w:rFonts w:hint="eastAsia" w:ascii="宋体" w:hAnsi="宋体" w:cs="宋体"/>
          <w:color w:val="auto"/>
        </w:rPr>
        <w:t>投标报价是履行合同的最终价格，货物采购应包括货款、标准附件、备品备件、专用工具、包装、运输、装卸、保险、税金、货到就位以及安装、调试、培训、保修等一切税金和费用；服务采购应包括整体服务价格</w:t>
      </w:r>
      <w:r>
        <w:rPr>
          <w:rFonts w:hint="eastAsia" w:ascii="宋体" w:hAnsi="宋体" w:cs="宋体"/>
          <w:color w:val="auto"/>
          <w:szCs w:val="21"/>
        </w:rPr>
        <w:t>以及</w:t>
      </w:r>
      <w:r>
        <w:rPr>
          <w:rFonts w:hint="eastAsia" w:ascii="宋体" w:hAnsi="宋体" w:cs="宋体"/>
          <w:color w:val="auto"/>
        </w:rPr>
        <w:t>安装调试、培训、维护等一切税金和费用。</w:t>
      </w:r>
      <w:r>
        <w:rPr>
          <w:rFonts w:hint="eastAsia" w:hAnsi="宋体"/>
          <w:bCs/>
          <w:color w:val="auto"/>
        </w:rPr>
        <w:t>采购人不再支付任何额外费用，本项目为交钥匙工程。</w:t>
      </w:r>
    </w:p>
    <w:p>
      <w:pPr>
        <w:tabs>
          <w:tab w:val="left" w:pos="525"/>
        </w:tabs>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3. </w:t>
      </w:r>
      <w:r>
        <w:rPr>
          <w:rFonts w:hint="eastAsia" w:ascii="宋体" w:hAnsi="宋体" w:cs="宋体"/>
          <w:color w:val="auto"/>
          <w:szCs w:val="21"/>
        </w:rPr>
        <w:t>投标文件每个分标只允许有一个报价，有选择的或有条件的报价将不予接受。</w:t>
      </w:r>
    </w:p>
    <w:p>
      <w:pPr>
        <w:pStyle w:val="13"/>
        <w:widowControl w:val="0"/>
        <w:tabs>
          <w:tab w:val="clear" w:pos="454"/>
        </w:tabs>
        <w:snapToGrid w:val="0"/>
        <w:spacing w:beforeLines="50" w:afterLines="0" w:line="400" w:lineRule="exact"/>
        <w:ind w:left="0" w:firstLine="413" w:firstLineChars="196"/>
        <w:rPr>
          <w:rFonts w:ascii="宋体" w:cs="宋体"/>
          <w:b/>
          <w:color w:val="auto"/>
          <w:sz w:val="21"/>
          <w:szCs w:val="21"/>
        </w:rPr>
      </w:pPr>
      <w:r>
        <w:rPr>
          <w:rFonts w:hint="eastAsia" w:ascii="宋体" w:hAnsi="宋体" w:cs="宋体"/>
          <w:b/>
          <w:color w:val="auto"/>
          <w:sz w:val="21"/>
          <w:szCs w:val="21"/>
        </w:rPr>
        <w:t>（四）投标文件的有效期</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1. </w:t>
      </w:r>
      <w:r>
        <w:rPr>
          <w:rFonts w:hint="eastAsia" w:ascii="宋体" w:hAnsi="宋体" w:cs="宋体"/>
          <w:color w:val="auto"/>
          <w:szCs w:val="21"/>
        </w:rPr>
        <w:t>自投标截止日起</w:t>
      </w:r>
      <w:r>
        <w:rPr>
          <w:rFonts w:ascii="宋体" w:hAnsi="宋体" w:cs="宋体"/>
          <w:color w:val="auto"/>
          <w:szCs w:val="21"/>
        </w:rPr>
        <w:t>60</w:t>
      </w:r>
      <w:r>
        <w:rPr>
          <w:rFonts w:hint="eastAsia" w:ascii="宋体" w:hAnsi="宋体" w:cs="宋体"/>
          <w:color w:val="auto"/>
          <w:szCs w:val="21"/>
        </w:rPr>
        <w:t>天投标文件应保持有效。有效期不足的投标文件将被拒绝。</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2. </w:t>
      </w:r>
      <w:r>
        <w:rPr>
          <w:rFonts w:hint="eastAsia" w:ascii="宋体" w:hAnsi="宋体" w:cs="宋体"/>
          <w:color w:val="auto"/>
          <w:szCs w:val="21"/>
        </w:rPr>
        <w:t>在特殊情况下，招标采购单位可与投标人协商延长投标书的有效期，这种要求和答复均以书面形式进行。</w:t>
      </w:r>
    </w:p>
    <w:p>
      <w:pPr>
        <w:snapToGrid w:val="0"/>
        <w:spacing w:line="400" w:lineRule="exact"/>
        <w:ind w:firstLine="420" w:firstLineChars="200"/>
        <w:jc w:val="left"/>
        <w:rPr>
          <w:rFonts w:ascii="宋体" w:cs="宋体"/>
          <w:b/>
          <w:color w:val="auto"/>
          <w:szCs w:val="21"/>
        </w:rPr>
      </w:pPr>
      <w:bookmarkStart w:id="397" w:name="_Toc482864546"/>
      <w:bookmarkStart w:id="398" w:name="_Toc400465708"/>
      <w:bookmarkStart w:id="399" w:name="_Toc448421137"/>
      <w:bookmarkStart w:id="400" w:name="_Toc483327806"/>
      <w:bookmarkStart w:id="401" w:name="_Toc482865147"/>
      <w:bookmarkStart w:id="402" w:name="_Toc445223675"/>
      <w:bookmarkStart w:id="403" w:name="_Toc482865317"/>
      <w:bookmarkStart w:id="404" w:name="_Toc254970539"/>
      <w:bookmarkStart w:id="405" w:name="_Toc254970680"/>
      <w:bookmarkStart w:id="406" w:name="_Toc308018672"/>
      <w:bookmarkStart w:id="407" w:name="_Toc293863048"/>
      <w:bookmarkStart w:id="408" w:name="_Toc293863315"/>
      <w:r>
        <w:rPr>
          <w:rFonts w:ascii="宋体" w:hAnsi="宋体" w:cs="宋体"/>
          <w:color w:val="auto"/>
          <w:szCs w:val="21"/>
        </w:rPr>
        <w:t xml:space="preserve">3. </w:t>
      </w:r>
      <w:r>
        <w:rPr>
          <w:rFonts w:hint="eastAsia" w:ascii="宋体" w:hAnsi="宋体" w:cs="宋体"/>
          <w:color w:val="auto"/>
          <w:szCs w:val="21"/>
        </w:rPr>
        <w:t>投标人可拒绝接受延期要求，但不能修改投标文件。</w:t>
      </w:r>
      <w:bookmarkEnd w:id="397"/>
      <w:bookmarkEnd w:id="398"/>
      <w:bookmarkEnd w:id="399"/>
      <w:bookmarkEnd w:id="400"/>
      <w:bookmarkEnd w:id="401"/>
      <w:bookmarkEnd w:id="402"/>
      <w:bookmarkEnd w:id="403"/>
      <w:bookmarkEnd w:id="404"/>
      <w:bookmarkEnd w:id="405"/>
      <w:bookmarkEnd w:id="406"/>
      <w:bookmarkEnd w:id="407"/>
      <w:bookmarkEnd w:id="408"/>
      <w:r>
        <w:rPr>
          <w:rFonts w:ascii="宋体" w:hAnsi="宋体" w:cs="宋体"/>
          <w:b/>
          <w:color w:val="auto"/>
          <w:szCs w:val="21"/>
        </w:rPr>
        <w:t xml:space="preserve"> </w:t>
      </w:r>
    </w:p>
    <w:p>
      <w:pPr>
        <w:snapToGrid w:val="0"/>
        <w:spacing w:line="400" w:lineRule="exact"/>
        <w:ind w:firstLine="420" w:firstLineChars="200"/>
        <w:jc w:val="left"/>
        <w:outlineLvl w:val="0"/>
        <w:rPr>
          <w:rFonts w:ascii="宋体" w:cs="宋体"/>
          <w:b/>
          <w:color w:val="auto"/>
          <w:szCs w:val="21"/>
        </w:rPr>
      </w:pPr>
      <w:bookmarkStart w:id="409" w:name="_Toc293863316"/>
      <w:bookmarkStart w:id="410" w:name="_Toc308018673"/>
      <w:bookmarkStart w:id="411" w:name="_Toc445223676"/>
      <w:bookmarkStart w:id="412" w:name="_Toc482865148"/>
      <w:bookmarkStart w:id="413" w:name="_Toc400465709"/>
      <w:bookmarkStart w:id="414" w:name="_Toc482865318"/>
      <w:bookmarkStart w:id="415" w:name="_Toc254970540"/>
      <w:bookmarkStart w:id="416" w:name="_Toc448421138"/>
      <w:bookmarkStart w:id="417" w:name="_Toc483327807"/>
      <w:bookmarkStart w:id="418" w:name="_Toc293863049"/>
      <w:bookmarkStart w:id="419" w:name="_Toc254970681"/>
      <w:bookmarkStart w:id="420" w:name="_Toc482864547"/>
      <w:bookmarkStart w:id="421" w:name="_Toc26972"/>
      <w:r>
        <w:rPr>
          <w:rFonts w:ascii="宋体" w:hAnsi="宋体" w:cs="宋体"/>
          <w:color w:val="auto"/>
          <w:szCs w:val="21"/>
        </w:rPr>
        <w:t xml:space="preserve">4. </w:t>
      </w:r>
      <w:r>
        <w:rPr>
          <w:rFonts w:hint="eastAsia" w:ascii="宋体" w:hAnsi="宋体" w:cs="宋体"/>
          <w:color w:val="auto"/>
          <w:szCs w:val="21"/>
        </w:rPr>
        <w:t>中标人的投标文件自开标之日起至合同履行完毕止均应保持有效。</w:t>
      </w:r>
      <w:bookmarkEnd w:id="409"/>
      <w:bookmarkEnd w:id="410"/>
      <w:bookmarkEnd w:id="411"/>
      <w:bookmarkEnd w:id="412"/>
      <w:bookmarkEnd w:id="413"/>
      <w:bookmarkEnd w:id="414"/>
      <w:bookmarkEnd w:id="415"/>
      <w:bookmarkEnd w:id="416"/>
      <w:bookmarkEnd w:id="417"/>
      <w:bookmarkEnd w:id="418"/>
      <w:bookmarkEnd w:id="419"/>
      <w:bookmarkEnd w:id="420"/>
      <w:bookmarkEnd w:id="421"/>
    </w:p>
    <w:p>
      <w:pPr>
        <w:snapToGrid w:val="0"/>
        <w:spacing w:beforeLines="50" w:line="400" w:lineRule="exact"/>
        <w:ind w:firstLine="413" w:firstLineChars="196"/>
        <w:jc w:val="left"/>
        <w:outlineLvl w:val="0"/>
        <w:rPr>
          <w:rFonts w:ascii="宋体" w:cs="宋体"/>
          <w:b/>
          <w:color w:val="auto"/>
          <w:szCs w:val="21"/>
        </w:rPr>
      </w:pPr>
      <w:bookmarkStart w:id="422" w:name="_Toc483327809"/>
      <w:bookmarkStart w:id="423" w:name="_Toc482864549"/>
      <w:bookmarkStart w:id="424" w:name="_Toc293863051"/>
      <w:bookmarkStart w:id="425" w:name="_Toc448421140"/>
      <w:bookmarkStart w:id="426" w:name="_Toc254970542"/>
      <w:bookmarkStart w:id="427" w:name="_Toc445223678"/>
      <w:bookmarkStart w:id="428" w:name="_Toc293863318"/>
      <w:bookmarkStart w:id="429" w:name="_Toc254970683"/>
      <w:bookmarkStart w:id="430" w:name="_Toc400465711"/>
      <w:bookmarkStart w:id="431" w:name="_Toc482865150"/>
      <w:bookmarkStart w:id="432" w:name="_Toc308018675"/>
      <w:bookmarkStart w:id="433" w:name="_Toc482865320"/>
      <w:bookmarkStart w:id="434" w:name="_Toc28043"/>
      <w:r>
        <w:rPr>
          <w:rFonts w:hint="eastAsia" w:ascii="宋体" w:hAnsi="宋体" w:cs="宋体"/>
          <w:b/>
          <w:color w:val="auto"/>
          <w:szCs w:val="21"/>
        </w:rPr>
        <w:t>（五）投标文件的签署和份数</w:t>
      </w:r>
      <w:bookmarkEnd w:id="422"/>
      <w:bookmarkEnd w:id="423"/>
      <w:bookmarkEnd w:id="424"/>
      <w:bookmarkEnd w:id="425"/>
      <w:bookmarkEnd w:id="426"/>
      <w:bookmarkEnd w:id="427"/>
      <w:bookmarkEnd w:id="428"/>
      <w:bookmarkEnd w:id="429"/>
      <w:bookmarkEnd w:id="430"/>
      <w:bookmarkEnd w:id="431"/>
      <w:bookmarkEnd w:id="432"/>
      <w:bookmarkEnd w:id="433"/>
      <w:bookmarkEnd w:id="434"/>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投标人应按本招标文件规定的格式和顺序编制、装订投标文件并标注页码，投标文件内容不完整、编排混乱导致投标文件被误读、漏读或者查找不到相关内容的，是投标人的责任。</w:t>
      </w:r>
    </w:p>
    <w:p>
      <w:pPr>
        <w:snapToGrid w:val="0"/>
        <w:spacing w:line="400" w:lineRule="exact"/>
        <w:ind w:firstLine="210" w:firstLineChars="1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2. </w:t>
      </w:r>
      <w:r>
        <w:rPr>
          <w:rFonts w:hint="eastAsia" w:ascii="宋体" w:hAnsi="宋体" w:cs="宋体"/>
          <w:color w:val="auto"/>
          <w:szCs w:val="21"/>
        </w:rPr>
        <w:t>投标文件组成和份数要求详见投标人须知前附表第</w:t>
      </w:r>
      <w:r>
        <w:rPr>
          <w:rFonts w:ascii="宋体" w:hAnsi="宋体" w:cs="宋体"/>
          <w:color w:val="auto"/>
          <w:szCs w:val="21"/>
        </w:rPr>
        <w:t>7</w:t>
      </w:r>
      <w:r>
        <w:rPr>
          <w:rFonts w:hint="eastAsia" w:ascii="宋体" w:hAnsi="宋体" w:cs="宋体"/>
          <w:color w:val="auto"/>
          <w:szCs w:val="21"/>
        </w:rPr>
        <w:t>条要求。</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3. </w:t>
      </w:r>
      <w:r>
        <w:rPr>
          <w:rFonts w:hint="eastAsia" w:ascii="宋体" w:hAnsi="宋体" w:cs="宋体"/>
          <w:color w:val="auto"/>
          <w:szCs w:val="21"/>
        </w:rPr>
        <w:t>投标文件的正本需打印或用不褪色的墨水填写，投标文件正本除本《投标人须知》中规定的可提供复印件外均须提供原件。副本为正本的复印件。</w:t>
      </w:r>
    </w:p>
    <w:p>
      <w:pPr>
        <w:snapToGrid w:val="0"/>
        <w:spacing w:line="400" w:lineRule="exact"/>
        <w:ind w:firstLine="210" w:firstLineChars="1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4. </w:t>
      </w:r>
      <w:r>
        <w:rPr>
          <w:rFonts w:hint="eastAsia" w:ascii="宋体" w:hAnsi="宋体" w:cs="宋体"/>
          <w:color w:val="auto"/>
          <w:spacing w:val="-2"/>
          <w:szCs w:val="21"/>
        </w:rPr>
        <w:t>投标文件须由投标人在规定位置盖章并由法定代表人或法定代表人的授权委托人签署，投标人应写全称。</w:t>
      </w:r>
    </w:p>
    <w:p>
      <w:pPr>
        <w:snapToGrid w:val="0"/>
        <w:spacing w:line="400" w:lineRule="exact"/>
        <w:ind w:firstLine="420" w:firstLineChars="200"/>
        <w:jc w:val="left"/>
        <w:rPr>
          <w:rFonts w:ascii="宋体" w:cs="宋体"/>
          <w:color w:val="auto"/>
          <w:szCs w:val="21"/>
        </w:rPr>
      </w:pPr>
      <w:r>
        <w:rPr>
          <w:rFonts w:ascii="宋体" w:hAnsi="宋体" w:cs="宋体"/>
          <w:color w:val="auto"/>
          <w:szCs w:val="21"/>
        </w:rPr>
        <w:t xml:space="preserve">5. </w:t>
      </w:r>
      <w:r>
        <w:rPr>
          <w:rFonts w:hint="eastAsia" w:ascii="宋体" w:hAnsi="宋体" w:cs="宋体"/>
          <w:color w:val="auto"/>
          <w:szCs w:val="21"/>
        </w:rPr>
        <w:t>投标文件不得涂改，若有修改错漏处，须加盖单位公章或者法定代表人或授权委托人签字或盖章。投标文件因字迹潦草或表达不清所引起的后果由投标人负责。</w:t>
      </w:r>
    </w:p>
    <w:p>
      <w:pPr>
        <w:snapToGrid w:val="0"/>
        <w:spacing w:beforeLines="50" w:line="400" w:lineRule="exact"/>
        <w:ind w:firstLine="310" w:firstLineChars="147"/>
        <w:jc w:val="left"/>
        <w:rPr>
          <w:rFonts w:ascii="宋体" w:cs="宋体"/>
          <w:b/>
          <w:color w:val="auto"/>
          <w:szCs w:val="21"/>
        </w:rPr>
      </w:pPr>
      <w:r>
        <w:rPr>
          <w:rFonts w:hint="eastAsia" w:ascii="宋体" w:hAnsi="宋体" w:cs="宋体"/>
          <w:b/>
          <w:color w:val="auto"/>
          <w:szCs w:val="21"/>
        </w:rPr>
        <w:t>（六）投标文件的包装、递交、修改和撤回</w:t>
      </w:r>
    </w:p>
    <w:p>
      <w:pPr>
        <w:snapToGrid w:val="0"/>
        <w:spacing w:line="400" w:lineRule="exact"/>
        <w:ind w:firstLine="420"/>
        <w:jc w:val="left"/>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投标文件封装要求详见投标人须知前附表第</w:t>
      </w:r>
      <w:r>
        <w:rPr>
          <w:rFonts w:ascii="宋体" w:hAnsi="宋体" w:cs="宋体"/>
          <w:color w:val="auto"/>
          <w:szCs w:val="21"/>
        </w:rPr>
        <w:t>7</w:t>
      </w:r>
      <w:r>
        <w:rPr>
          <w:rFonts w:hint="eastAsia" w:ascii="宋体" w:hAnsi="宋体" w:cs="宋体"/>
          <w:color w:val="auto"/>
          <w:szCs w:val="21"/>
        </w:rPr>
        <w:t>条要求。</w:t>
      </w:r>
    </w:p>
    <w:p>
      <w:pPr>
        <w:snapToGrid w:val="0"/>
        <w:spacing w:line="400" w:lineRule="exact"/>
        <w:ind w:right="-336" w:rightChars="-160" w:firstLine="420"/>
        <w:jc w:val="left"/>
        <w:rPr>
          <w:rFonts w:ascii="宋体" w:cs="宋体"/>
          <w:color w:val="auto"/>
          <w:szCs w:val="21"/>
        </w:rPr>
      </w:pPr>
      <w:r>
        <w:rPr>
          <w:rFonts w:ascii="宋体" w:hAnsi="宋体" w:cs="宋体"/>
          <w:color w:val="auto"/>
          <w:szCs w:val="21"/>
        </w:rPr>
        <w:t>2.</w:t>
      </w:r>
      <w:r>
        <w:rPr>
          <w:rFonts w:hint="eastAsia" w:ascii="宋体" w:hAnsi="宋体" w:cs="宋体"/>
          <w:color w:val="auto"/>
          <w:szCs w:val="21"/>
        </w:rPr>
        <w:t>未按规定密封或标记的投标文件将被拒绝，由此造成投标文件被误投或提前拆封的风险由投标人承担。逾期送达的投标文件将被拒绝。</w:t>
      </w:r>
    </w:p>
    <w:p>
      <w:pPr>
        <w:snapToGrid w:val="0"/>
        <w:spacing w:line="400" w:lineRule="exact"/>
        <w:ind w:firstLine="420"/>
        <w:jc w:val="left"/>
        <w:rPr>
          <w:rFonts w:ascii="宋体" w:cs="宋体"/>
          <w:color w:val="auto"/>
          <w:szCs w:val="21"/>
        </w:rPr>
      </w:pPr>
      <w:r>
        <w:rPr>
          <w:rFonts w:ascii="宋体" w:hAnsi="宋体" w:cs="宋体"/>
          <w:color w:val="auto"/>
          <w:szCs w:val="21"/>
        </w:rPr>
        <w:t>3.</w:t>
      </w:r>
      <w:r>
        <w:rPr>
          <w:rFonts w:hint="eastAsia" w:ascii="宋体" w:hAnsi="宋体" w:cs="宋体"/>
          <w:color w:val="auto"/>
          <w:szCs w:val="21"/>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beforeLines="50" w:line="400" w:lineRule="exact"/>
        <w:ind w:firstLine="413" w:firstLineChars="196"/>
        <w:outlineLvl w:val="2"/>
        <w:rPr>
          <w:rFonts w:ascii="宋体" w:cs="宋体"/>
          <w:b/>
          <w:color w:val="auto"/>
          <w:szCs w:val="21"/>
        </w:rPr>
      </w:pPr>
      <w:bookmarkStart w:id="435" w:name="_Toc482865321"/>
      <w:bookmarkStart w:id="436" w:name="_Toc482864550"/>
      <w:bookmarkStart w:id="437" w:name="_Toc482865151"/>
      <w:bookmarkStart w:id="438" w:name="_Toc293863052"/>
      <w:bookmarkStart w:id="439" w:name="_Toc254970543"/>
      <w:bookmarkStart w:id="440" w:name="_Toc445223679"/>
      <w:bookmarkStart w:id="441" w:name="_Toc308018676"/>
      <w:bookmarkStart w:id="442" w:name="_Toc400465712"/>
      <w:bookmarkStart w:id="443" w:name="_Toc293863319"/>
      <w:bookmarkStart w:id="444" w:name="_Toc254970684"/>
      <w:bookmarkStart w:id="445" w:name="_Toc483327810"/>
      <w:bookmarkStart w:id="446" w:name="_Toc448421141"/>
      <w:r>
        <w:rPr>
          <w:rFonts w:hint="eastAsia" w:ascii="宋体" w:hAnsi="宋体" w:cs="宋体"/>
          <w:b/>
          <w:color w:val="auto"/>
          <w:szCs w:val="21"/>
        </w:rPr>
        <w:t>（七）投标无效的情形</w:t>
      </w:r>
      <w:bookmarkEnd w:id="435"/>
      <w:bookmarkEnd w:id="436"/>
      <w:bookmarkEnd w:id="437"/>
      <w:bookmarkEnd w:id="438"/>
      <w:bookmarkEnd w:id="439"/>
      <w:bookmarkEnd w:id="440"/>
      <w:bookmarkEnd w:id="441"/>
      <w:bookmarkEnd w:id="442"/>
      <w:bookmarkEnd w:id="443"/>
      <w:bookmarkEnd w:id="444"/>
      <w:bookmarkEnd w:id="445"/>
      <w:bookmarkEnd w:id="446"/>
    </w:p>
    <w:p>
      <w:pPr>
        <w:snapToGrid w:val="0"/>
        <w:spacing w:line="400" w:lineRule="exact"/>
        <w:ind w:firstLine="420" w:firstLineChars="200"/>
        <w:rPr>
          <w:rFonts w:ascii="宋体" w:cs="宋体"/>
          <w:bCs/>
          <w:color w:val="auto"/>
          <w:szCs w:val="21"/>
        </w:rPr>
      </w:pPr>
      <w:r>
        <w:rPr>
          <w:rFonts w:hint="eastAsia" w:ascii="宋体" w:hAnsi="宋体" w:cs="宋体"/>
          <w:bCs/>
          <w:color w:val="auto"/>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22" w:firstLineChars="200"/>
        <w:rPr>
          <w:rFonts w:ascii="宋体" w:cs="宋体"/>
          <w:color w:val="auto"/>
          <w:szCs w:val="21"/>
        </w:rPr>
      </w:pPr>
      <w:r>
        <w:rPr>
          <w:rFonts w:ascii="宋体" w:hAnsi="宋体" w:cs="宋体"/>
          <w:b/>
          <w:bCs/>
          <w:color w:val="auto"/>
          <w:szCs w:val="21"/>
        </w:rPr>
        <w:t>1.</w:t>
      </w:r>
      <w:r>
        <w:rPr>
          <w:rFonts w:hint="eastAsia" w:ascii="宋体" w:hAnsi="宋体" w:cs="宋体"/>
          <w:b/>
          <w:bCs/>
          <w:color w:val="auto"/>
          <w:szCs w:val="21"/>
        </w:rPr>
        <w:t>在资格审查时，如发现下列情形之一的，投标文件将被视为无效：</w:t>
      </w:r>
    </w:p>
    <w:p>
      <w:pPr>
        <w:snapToGrid w:val="0"/>
        <w:spacing w:line="400" w:lineRule="exact"/>
        <w:ind w:firstLine="411" w:firstLineChars="196"/>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）不具备招标文件中规定的资格要求的；</w:t>
      </w:r>
    </w:p>
    <w:p>
      <w:pPr>
        <w:snapToGrid w:val="0"/>
        <w:spacing w:line="400" w:lineRule="exact"/>
        <w:ind w:firstLine="411" w:firstLineChars="196"/>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）招标文件要求必须提供的资格部分文件不齐全或者内容虚假的；</w:t>
      </w:r>
    </w:p>
    <w:p>
      <w:pPr>
        <w:snapToGrid w:val="0"/>
        <w:spacing w:line="400" w:lineRule="exact"/>
        <w:ind w:firstLine="411" w:firstLineChars="196"/>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）法律、法规和招标文件规定的其他无效情形。</w:t>
      </w:r>
    </w:p>
    <w:p>
      <w:pPr>
        <w:pStyle w:val="20"/>
        <w:snapToGrid w:val="0"/>
        <w:spacing w:line="400" w:lineRule="exact"/>
        <w:ind w:firstLine="413" w:firstLineChars="196"/>
        <w:rPr>
          <w:rFonts w:ascii="宋体" w:hAnsi="宋体" w:eastAsia="宋体" w:cs="宋体"/>
          <w:b/>
          <w:bCs/>
          <w:color w:val="auto"/>
          <w:sz w:val="21"/>
          <w:szCs w:val="21"/>
        </w:rPr>
      </w:pPr>
      <w:r>
        <w:rPr>
          <w:rFonts w:ascii="宋体" w:hAnsi="宋体" w:eastAsia="宋体" w:cs="宋体"/>
          <w:b/>
          <w:bCs/>
          <w:color w:val="auto"/>
          <w:sz w:val="21"/>
          <w:szCs w:val="21"/>
        </w:rPr>
        <w:t>2.</w:t>
      </w:r>
      <w:r>
        <w:rPr>
          <w:rFonts w:hint="eastAsia" w:ascii="宋体" w:hAnsi="宋体" w:eastAsia="宋体" w:cs="宋体"/>
          <w:b/>
          <w:bCs/>
          <w:color w:val="auto"/>
          <w:sz w:val="21"/>
          <w:szCs w:val="21"/>
        </w:rPr>
        <w:t>在商务性及技术评审时，如发现下列情形之一的，投标文件将被视为无效：</w:t>
      </w:r>
    </w:p>
    <w:p>
      <w:pPr>
        <w:pStyle w:val="20"/>
        <w:snapToGrid w:val="0"/>
        <w:spacing w:line="400" w:lineRule="exact"/>
        <w:ind w:firstLine="411" w:firstLineChars="196"/>
        <w:rPr>
          <w:rFonts w:ascii="宋体" w:hAnsi="宋体" w:eastAsia="宋体" w:cs="宋体"/>
          <w:color w:val="auto"/>
          <w:kern w:val="2"/>
          <w:sz w:val="21"/>
          <w:szCs w:val="21"/>
        </w:rPr>
      </w:pPr>
      <w:r>
        <w:rPr>
          <w:rFonts w:hint="eastAsia" w:ascii="宋体" w:hAnsi="宋体" w:eastAsia="宋体" w:cs="宋体"/>
          <w:color w:val="auto"/>
          <w:kern w:val="2"/>
          <w:sz w:val="21"/>
          <w:szCs w:val="21"/>
        </w:rPr>
        <w:t>（</w:t>
      </w:r>
      <w:r>
        <w:rPr>
          <w:rFonts w:ascii="宋体" w:hAnsi="宋体" w:eastAsia="宋体" w:cs="宋体"/>
          <w:color w:val="auto"/>
          <w:kern w:val="2"/>
          <w:sz w:val="21"/>
          <w:szCs w:val="21"/>
        </w:rPr>
        <w:t>1</w:t>
      </w:r>
      <w:r>
        <w:rPr>
          <w:rFonts w:hint="eastAsia" w:ascii="宋体" w:hAnsi="宋体" w:eastAsia="宋体" w:cs="宋体"/>
          <w:color w:val="auto"/>
          <w:kern w:val="2"/>
          <w:sz w:val="21"/>
          <w:szCs w:val="21"/>
        </w:rPr>
        <w:t>）未按照招标文件的规定提交投标声明书的；</w:t>
      </w:r>
    </w:p>
    <w:p>
      <w:pPr>
        <w:snapToGrid w:val="0"/>
        <w:spacing w:line="400" w:lineRule="exact"/>
        <w:ind w:firstLine="411" w:firstLineChars="196"/>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）投标文件未按招标文件要求签署、盖章的；</w:t>
      </w:r>
    </w:p>
    <w:p>
      <w:pPr>
        <w:pStyle w:val="20"/>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snapToGrid w:val="0"/>
          <w:color w:val="auto"/>
          <w:sz w:val="21"/>
          <w:szCs w:val="21"/>
        </w:rPr>
        <w:t>3</w:t>
      </w:r>
      <w:r>
        <w:rPr>
          <w:rFonts w:hint="eastAsia" w:ascii="宋体" w:hAnsi="宋体" w:eastAsia="宋体" w:cs="宋体"/>
          <w:snapToGrid w:val="0"/>
          <w:color w:val="auto"/>
          <w:sz w:val="21"/>
          <w:szCs w:val="21"/>
        </w:rPr>
        <w:t>）</w:t>
      </w:r>
      <w:r>
        <w:rPr>
          <w:rFonts w:hint="eastAsia" w:ascii="宋体" w:hAnsi="宋体" w:eastAsia="宋体" w:cs="宋体"/>
          <w:color w:val="auto"/>
          <w:sz w:val="21"/>
          <w:szCs w:val="21"/>
        </w:rPr>
        <w:t>招标文件要求必须提供的商务及技术部分的文件不齐全或者内容虚假的；</w:t>
      </w:r>
    </w:p>
    <w:p>
      <w:pPr>
        <w:pStyle w:val="20"/>
        <w:snapToGrid w:val="0"/>
        <w:spacing w:line="400" w:lineRule="exact"/>
        <w:ind w:firstLine="411" w:firstLineChars="196"/>
        <w:rPr>
          <w:rFonts w:ascii="宋体" w:hAnsi="宋体" w:eastAsia="宋体" w:cs="宋体"/>
          <w:color w:val="auto"/>
          <w:sz w:val="21"/>
          <w:szCs w:val="21"/>
        </w:rPr>
      </w:pPr>
      <w:r>
        <w:rPr>
          <w:rFonts w:hint="eastAsia" w:ascii="宋体" w:hAnsi="宋体" w:eastAsia="宋体"/>
          <w:color w:val="auto"/>
          <w:sz w:val="21"/>
          <w:szCs w:val="21"/>
        </w:rPr>
        <w:t>（</w:t>
      </w:r>
      <w:r>
        <w:rPr>
          <w:rFonts w:ascii="宋体" w:hAnsi="宋体" w:eastAsia="宋体"/>
          <w:color w:val="auto"/>
          <w:sz w:val="21"/>
          <w:szCs w:val="21"/>
        </w:rPr>
        <w:t>4</w:t>
      </w:r>
      <w:r>
        <w:rPr>
          <w:rFonts w:hint="eastAsia" w:ascii="宋体" w:hAnsi="宋体" w:eastAsia="宋体"/>
          <w:color w:val="auto"/>
          <w:sz w:val="21"/>
          <w:szCs w:val="21"/>
        </w:rPr>
        <w:t>）投标文件的实质性内容未使用中文表述、意思表述不明确、前后矛盾或者使用计量单位不符合招标文件要求的（经评标委员会认定并允许其当场更正的笔误除外）</w:t>
      </w:r>
    </w:p>
    <w:p>
      <w:pPr>
        <w:pStyle w:val="20"/>
        <w:snapToGrid w:val="0"/>
        <w:spacing w:line="400" w:lineRule="exact"/>
        <w:ind w:firstLine="411" w:firstLineChars="196"/>
        <w:rPr>
          <w:rFonts w:ascii="宋体" w:hAnsi="宋体" w:eastAsia="宋体" w:cs="宋体"/>
          <w:snapToGrid w:val="0"/>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5</w:t>
      </w:r>
      <w:r>
        <w:rPr>
          <w:rFonts w:hint="eastAsia" w:ascii="宋体" w:hAnsi="宋体" w:eastAsia="宋体" w:cs="宋体"/>
          <w:color w:val="auto"/>
          <w:sz w:val="21"/>
          <w:szCs w:val="21"/>
        </w:rPr>
        <w:t>）</w:t>
      </w:r>
      <w:r>
        <w:rPr>
          <w:rFonts w:hint="eastAsia" w:ascii="宋体" w:hAnsi="宋体" w:eastAsia="宋体" w:cs="宋体"/>
          <w:snapToGrid w:val="0"/>
          <w:color w:val="auto"/>
          <w:sz w:val="21"/>
          <w:szCs w:val="21"/>
        </w:rPr>
        <w:t>投标有效期、交货时间、质保期等商务条款不能满足招标文件要求的；</w:t>
      </w:r>
    </w:p>
    <w:p>
      <w:pPr>
        <w:snapToGrid w:val="0"/>
        <w:spacing w:line="400" w:lineRule="exact"/>
        <w:ind w:firstLine="411" w:firstLineChars="196"/>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）投标文件有采购人不能接受的附加条件的；</w:t>
      </w:r>
    </w:p>
    <w:p>
      <w:pPr>
        <w:pStyle w:val="20"/>
        <w:snapToGrid w:val="0"/>
        <w:spacing w:line="400" w:lineRule="exact"/>
        <w:ind w:right="-143" w:rightChars="-68"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7</w:t>
      </w:r>
      <w:r>
        <w:rPr>
          <w:rFonts w:hint="eastAsia" w:ascii="宋体" w:hAnsi="宋体" w:eastAsia="宋体" w:cs="宋体"/>
          <w:color w:val="auto"/>
          <w:sz w:val="21"/>
          <w:szCs w:val="21"/>
        </w:rPr>
        <w:t>）</w:t>
      </w:r>
      <w:r>
        <w:rPr>
          <w:rFonts w:hint="eastAsia" w:ascii="宋体" w:hAnsi="宋体" w:eastAsia="宋体" w:cs="宋体"/>
          <w:color w:val="auto"/>
          <w:spacing w:val="-6"/>
          <w:sz w:val="21"/>
          <w:szCs w:val="21"/>
        </w:rPr>
        <w:t>未提供或未如实提供投标货物的技术参数，或者投标文件标明的响应或偏离与事实不符或虚假投标的</w:t>
      </w:r>
      <w:r>
        <w:rPr>
          <w:rFonts w:hint="eastAsia" w:ascii="宋体" w:hAnsi="宋体" w:eastAsia="宋体" w:cs="宋体"/>
          <w:color w:val="auto"/>
          <w:spacing w:val="-2"/>
          <w:sz w:val="21"/>
          <w:szCs w:val="21"/>
        </w:rPr>
        <w:t>；</w:t>
      </w:r>
    </w:p>
    <w:p>
      <w:pPr>
        <w:pStyle w:val="20"/>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8</w:t>
      </w:r>
      <w:r>
        <w:rPr>
          <w:rFonts w:hint="eastAsia" w:ascii="宋体" w:hAnsi="宋体" w:eastAsia="宋体" w:cs="宋体"/>
          <w:color w:val="auto"/>
          <w:sz w:val="21"/>
          <w:szCs w:val="21"/>
        </w:rPr>
        <w:t>）</w:t>
      </w:r>
      <w:r>
        <w:rPr>
          <w:rFonts w:hint="eastAsia" w:ascii="宋体" w:hAnsi="宋体" w:eastAsia="宋体" w:cs="宋体"/>
          <w:snapToGrid w:val="0"/>
          <w:color w:val="auto"/>
          <w:sz w:val="21"/>
          <w:szCs w:val="21"/>
        </w:rPr>
        <w:t>明显不符合招标文件要求的规格型号、质量标准，或者与</w:t>
      </w:r>
      <w:r>
        <w:rPr>
          <w:rFonts w:hint="eastAsia" w:ascii="宋体" w:hAnsi="宋体" w:eastAsia="宋体" w:cs="宋体"/>
          <w:color w:val="auto"/>
          <w:sz w:val="21"/>
          <w:szCs w:val="21"/>
        </w:rPr>
        <w:t>招标文件中标“★”的技术指标、主要功能项目、商务条款要求发生实质性偏离的；</w:t>
      </w:r>
    </w:p>
    <w:p>
      <w:pPr>
        <w:pStyle w:val="20"/>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9</w:t>
      </w:r>
      <w:r>
        <w:rPr>
          <w:rFonts w:hint="eastAsia" w:ascii="宋体" w:hAnsi="宋体" w:eastAsia="宋体" w:cs="宋体"/>
          <w:color w:val="auto"/>
          <w:sz w:val="21"/>
          <w:szCs w:val="21"/>
        </w:rPr>
        <w:t>）</w:t>
      </w:r>
      <w:r>
        <w:rPr>
          <w:rFonts w:hint="eastAsia" w:ascii="宋体" w:hAnsi="宋体" w:eastAsia="宋体"/>
          <w:color w:val="auto"/>
          <w:spacing w:val="-6"/>
          <w:sz w:val="21"/>
          <w:szCs w:val="21"/>
        </w:rPr>
        <w:t>经评委评定，允许偏离的技术、性能指标或者辅助功能项目发生负偏离的项数达</w:t>
      </w:r>
      <w:r>
        <w:rPr>
          <w:rFonts w:ascii="宋体" w:hAnsi="宋体" w:eastAsia="宋体"/>
          <w:color w:val="auto"/>
          <w:spacing w:val="-6"/>
          <w:sz w:val="21"/>
          <w:szCs w:val="21"/>
        </w:rPr>
        <w:t xml:space="preserve"> </w:t>
      </w:r>
      <w:r>
        <w:rPr>
          <w:rFonts w:hint="eastAsia" w:ascii="宋体" w:hAnsi="宋体" w:eastAsia="宋体"/>
          <w:color w:val="auto"/>
          <w:spacing w:val="-6"/>
          <w:sz w:val="21"/>
          <w:szCs w:val="21"/>
          <w:u w:val="single"/>
        </w:rPr>
        <w:t>3</w:t>
      </w:r>
      <w:r>
        <w:rPr>
          <w:rFonts w:hint="eastAsia" w:ascii="宋体" w:hAnsi="宋体" w:eastAsia="宋体"/>
          <w:color w:val="auto"/>
          <w:spacing w:val="-6"/>
          <w:sz w:val="21"/>
          <w:szCs w:val="21"/>
        </w:rPr>
        <w:t>项（含）以上的</w:t>
      </w:r>
      <w:r>
        <w:rPr>
          <w:rFonts w:hint="eastAsia" w:ascii="宋体" w:hAnsi="宋体" w:eastAsia="宋体"/>
          <w:color w:val="auto"/>
          <w:sz w:val="21"/>
          <w:szCs w:val="21"/>
        </w:rPr>
        <w:t>；</w:t>
      </w:r>
    </w:p>
    <w:p>
      <w:pPr>
        <w:pStyle w:val="20"/>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10</w:t>
      </w:r>
      <w:r>
        <w:rPr>
          <w:rFonts w:hint="eastAsia" w:ascii="宋体" w:hAnsi="宋体" w:eastAsia="宋体" w:cs="宋体"/>
          <w:color w:val="auto"/>
          <w:sz w:val="21"/>
          <w:szCs w:val="21"/>
        </w:rPr>
        <w:t>）投标技术方案不明确，存在一个或一个以上备选（替代）投标方案的；</w:t>
      </w:r>
    </w:p>
    <w:p>
      <w:pPr>
        <w:pStyle w:val="20"/>
        <w:snapToGrid w:val="0"/>
        <w:spacing w:line="400" w:lineRule="exact"/>
        <w:ind w:firstLine="413" w:firstLineChars="196"/>
        <w:rPr>
          <w:rFonts w:ascii="宋体" w:hAnsi="宋体" w:eastAsia="宋体" w:cs="宋体"/>
          <w:b/>
          <w:bCs/>
          <w:color w:val="auto"/>
          <w:sz w:val="21"/>
          <w:szCs w:val="21"/>
        </w:rPr>
      </w:pPr>
      <w:r>
        <w:rPr>
          <w:rFonts w:ascii="宋体" w:hAnsi="宋体" w:eastAsia="宋体" w:cs="宋体"/>
          <w:b/>
          <w:bCs/>
          <w:color w:val="auto"/>
          <w:sz w:val="21"/>
          <w:szCs w:val="21"/>
        </w:rPr>
        <w:t>3.</w:t>
      </w:r>
      <w:r>
        <w:rPr>
          <w:rFonts w:hint="eastAsia" w:ascii="宋体" w:hAnsi="宋体" w:eastAsia="宋体" w:cs="宋体"/>
          <w:b/>
          <w:bCs/>
          <w:color w:val="auto"/>
          <w:sz w:val="21"/>
          <w:szCs w:val="21"/>
        </w:rPr>
        <w:t>在报价评审时，如发现下列情形之一的，投标文件将被视为无效：</w:t>
      </w:r>
    </w:p>
    <w:p>
      <w:pPr>
        <w:pStyle w:val="20"/>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1</w:t>
      </w:r>
      <w:r>
        <w:rPr>
          <w:rFonts w:hint="eastAsia" w:ascii="宋体" w:hAnsi="宋体" w:eastAsia="宋体" w:cs="宋体"/>
          <w:color w:val="auto"/>
          <w:sz w:val="21"/>
          <w:szCs w:val="21"/>
        </w:rPr>
        <w:t>）</w:t>
      </w:r>
      <w:r>
        <w:rPr>
          <w:rFonts w:hint="eastAsia" w:ascii="宋体" w:hAnsi="宋体" w:eastAsia="宋体" w:cs="宋体"/>
          <w:color w:val="auto"/>
          <w:kern w:val="2"/>
          <w:sz w:val="21"/>
          <w:szCs w:val="21"/>
        </w:rPr>
        <w:t>未按照招标文件的规定提交投标函的；</w:t>
      </w:r>
    </w:p>
    <w:p>
      <w:pPr>
        <w:pStyle w:val="20"/>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2</w:t>
      </w:r>
      <w:r>
        <w:rPr>
          <w:rFonts w:hint="eastAsia" w:ascii="宋体" w:hAnsi="宋体" w:eastAsia="宋体" w:cs="宋体"/>
          <w:color w:val="auto"/>
          <w:sz w:val="21"/>
          <w:szCs w:val="21"/>
        </w:rPr>
        <w:t>）未采用人民币报价或者未按照招标文件标明的币种报价的；</w:t>
      </w:r>
    </w:p>
    <w:p>
      <w:pPr>
        <w:pStyle w:val="20"/>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3</w:t>
      </w:r>
      <w:r>
        <w:rPr>
          <w:rFonts w:hint="eastAsia" w:ascii="宋体" w:hAnsi="宋体" w:eastAsia="宋体" w:cs="宋体"/>
          <w:color w:val="auto"/>
          <w:sz w:val="21"/>
          <w:szCs w:val="21"/>
        </w:rPr>
        <w:t>）报价超出最高限价，或者超出采购预算金额，采购人不能支付的；</w:t>
      </w:r>
    </w:p>
    <w:p>
      <w:pPr>
        <w:pStyle w:val="20"/>
        <w:snapToGrid w:val="0"/>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4</w:t>
      </w:r>
      <w:r>
        <w:rPr>
          <w:rFonts w:hint="eastAsia" w:ascii="宋体" w:hAnsi="宋体" w:eastAsia="宋体" w:cs="宋体"/>
          <w:color w:val="auto"/>
          <w:sz w:val="21"/>
          <w:szCs w:val="21"/>
        </w:rPr>
        <w:t>）投标报价不是唯一报价，具有选择性。</w:t>
      </w:r>
    </w:p>
    <w:p>
      <w:pPr>
        <w:spacing w:line="400" w:lineRule="exact"/>
        <w:ind w:firstLine="413" w:firstLineChars="196"/>
        <w:rPr>
          <w:rFonts w:ascii="宋体" w:cs="宋体"/>
          <w:b/>
          <w:color w:val="auto"/>
          <w:sz w:val="24"/>
        </w:rPr>
      </w:pPr>
      <w:r>
        <w:rPr>
          <w:rFonts w:ascii="宋体" w:hAnsi="宋体" w:cs="宋体"/>
          <w:b/>
          <w:color w:val="auto"/>
          <w:szCs w:val="21"/>
        </w:rPr>
        <w:t>4.</w:t>
      </w:r>
      <w:r>
        <w:rPr>
          <w:rFonts w:hint="eastAsia" w:ascii="宋体" w:hAnsi="宋体" w:cs="宋体"/>
          <w:b/>
          <w:bCs/>
          <w:color w:val="auto"/>
          <w:kern w:val="0"/>
          <w:szCs w:val="21"/>
        </w:rPr>
        <w:t>有下列情形之一的视为投标人相互串通投标，投标文件将被视为无效</w:t>
      </w:r>
      <w:r>
        <w:rPr>
          <w:rFonts w:hint="eastAsia" w:ascii="宋体" w:hAnsi="宋体" w:cs="宋体"/>
          <w:b/>
          <w:bCs/>
          <w:color w:val="auto"/>
          <w:szCs w:val="21"/>
        </w:rPr>
        <w:t>：</w:t>
      </w:r>
    </w:p>
    <w:p>
      <w:pPr>
        <w:pStyle w:val="20"/>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1</w:t>
      </w:r>
      <w:r>
        <w:rPr>
          <w:rFonts w:hint="eastAsia" w:ascii="宋体" w:hAnsi="宋体" w:eastAsia="宋体" w:cs="宋体"/>
          <w:color w:val="auto"/>
          <w:sz w:val="21"/>
          <w:szCs w:val="21"/>
        </w:rPr>
        <w:t>）不同投标人的投标文件由同一单位或者个人编制；</w:t>
      </w:r>
    </w:p>
    <w:p>
      <w:pPr>
        <w:pStyle w:val="20"/>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2</w:t>
      </w:r>
      <w:r>
        <w:rPr>
          <w:rFonts w:hint="eastAsia" w:ascii="宋体" w:hAnsi="宋体" w:eastAsia="宋体" w:cs="宋体"/>
          <w:color w:val="auto"/>
          <w:sz w:val="21"/>
          <w:szCs w:val="21"/>
        </w:rPr>
        <w:t>）不同投标人委托同一单位或者个人办理投标事宜；</w:t>
      </w:r>
    </w:p>
    <w:p>
      <w:pPr>
        <w:pStyle w:val="20"/>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3</w:t>
      </w:r>
      <w:r>
        <w:rPr>
          <w:rFonts w:hint="eastAsia" w:ascii="宋体" w:hAnsi="宋体" w:eastAsia="宋体" w:cs="宋体"/>
          <w:color w:val="auto"/>
          <w:sz w:val="21"/>
          <w:szCs w:val="21"/>
        </w:rPr>
        <w:t>）不同的投标人的投标文件载明的项目管理员为同一个人；</w:t>
      </w:r>
    </w:p>
    <w:p>
      <w:pPr>
        <w:pStyle w:val="20"/>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4</w:t>
      </w:r>
      <w:r>
        <w:rPr>
          <w:rFonts w:hint="eastAsia" w:ascii="宋体" w:hAnsi="宋体" w:eastAsia="宋体" w:cs="宋体"/>
          <w:color w:val="auto"/>
          <w:sz w:val="21"/>
          <w:szCs w:val="21"/>
        </w:rPr>
        <w:t>）不同投标人的投标文件异常一致或投标报价呈规律性差异；</w:t>
      </w:r>
    </w:p>
    <w:p>
      <w:pPr>
        <w:pStyle w:val="20"/>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w:t>
      </w:r>
      <w:r>
        <w:rPr>
          <w:rFonts w:ascii="宋体" w:hAnsi="宋体" w:eastAsia="宋体" w:cs="宋体"/>
          <w:color w:val="auto"/>
          <w:sz w:val="21"/>
          <w:szCs w:val="21"/>
        </w:rPr>
        <w:t>5</w:t>
      </w:r>
      <w:r>
        <w:rPr>
          <w:rFonts w:hint="eastAsia" w:ascii="宋体" w:hAnsi="宋体" w:eastAsia="宋体" w:cs="宋体"/>
          <w:color w:val="auto"/>
          <w:sz w:val="21"/>
          <w:szCs w:val="21"/>
        </w:rPr>
        <w:t>）不同投标人的投标文件相互混装；</w:t>
      </w:r>
    </w:p>
    <w:p>
      <w:pPr>
        <w:spacing w:line="400" w:lineRule="exact"/>
        <w:ind w:firstLine="413" w:firstLineChars="196"/>
        <w:rPr>
          <w:rFonts w:ascii="宋体" w:cs="宋体"/>
          <w:b/>
          <w:bCs/>
          <w:color w:val="auto"/>
          <w:kern w:val="0"/>
          <w:szCs w:val="21"/>
        </w:rPr>
      </w:pPr>
      <w:r>
        <w:rPr>
          <w:rFonts w:ascii="宋体" w:hAnsi="宋体" w:cs="宋体"/>
          <w:b/>
          <w:bCs/>
          <w:color w:val="auto"/>
          <w:kern w:val="0"/>
          <w:szCs w:val="21"/>
        </w:rPr>
        <w:t>5</w:t>
      </w:r>
      <w:r>
        <w:rPr>
          <w:rFonts w:ascii="宋体" w:cs="宋体"/>
          <w:b/>
          <w:color w:val="auto"/>
          <w:szCs w:val="21"/>
        </w:rPr>
        <w:t>.</w:t>
      </w:r>
      <w:r>
        <w:rPr>
          <w:rFonts w:hint="eastAsia" w:ascii="宋体" w:hAnsi="宋体" w:cs="宋体"/>
          <w:b/>
          <w:bCs/>
          <w:color w:val="auto"/>
          <w:kern w:val="0"/>
          <w:szCs w:val="21"/>
        </w:rPr>
        <w:t>关联供应商不得参加同一合同项下政府采购活动，否则投标文件将被视为无效</w:t>
      </w:r>
    </w:p>
    <w:p>
      <w:pPr>
        <w:pStyle w:val="20"/>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单位负责人为同一人或者存在直接控股、管理关系的不同的供应商，不得参加同一合同项下的政府采购活动。</w:t>
      </w:r>
    </w:p>
    <w:p>
      <w:pPr>
        <w:pStyle w:val="20"/>
        <w:numPr>
          <w:ilvl w:val="0"/>
          <w:numId w:val="9"/>
        </w:numPr>
        <w:snapToGrid w:val="0"/>
        <w:spacing w:line="400" w:lineRule="exact"/>
        <w:ind w:firstLine="413" w:firstLineChars="196"/>
        <w:rPr>
          <w:rFonts w:ascii="宋体" w:hAnsi="宋体" w:eastAsia="宋体" w:cs="宋体"/>
          <w:b/>
          <w:color w:val="auto"/>
          <w:sz w:val="21"/>
          <w:szCs w:val="21"/>
        </w:rPr>
      </w:pPr>
      <w:r>
        <w:rPr>
          <w:rFonts w:hint="eastAsia" w:ascii="宋体" w:hAnsi="宋体" w:eastAsia="宋体" w:cs="宋体"/>
          <w:b/>
          <w:color w:val="auto"/>
          <w:sz w:val="21"/>
          <w:szCs w:val="21"/>
        </w:rPr>
        <w:t>被拒绝的投标文件为无效。</w:t>
      </w:r>
    </w:p>
    <w:p>
      <w:pPr>
        <w:pStyle w:val="20"/>
        <w:snapToGrid w:val="0"/>
        <w:spacing w:line="400" w:lineRule="exact"/>
        <w:ind w:firstLine="0" w:firstLineChars="0"/>
        <w:rPr>
          <w:rFonts w:ascii="宋体" w:hAnsi="宋体" w:eastAsia="宋体" w:cs="宋体"/>
          <w:b/>
          <w:color w:val="auto"/>
          <w:sz w:val="21"/>
          <w:szCs w:val="21"/>
        </w:rPr>
      </w:pPr>
      <w:r>
        <w:rPr>
          <w:rFonts w:hint="eastAsia" w:ascii="宋体" w:hAnsi="宋体" w:eastAsia="宋体" w:cs="宋体"/>
          <w:b/>
          <w:color w:val="auto"/>
          <w:sz w:val="21"/>
          <w:szCs w:val="21"/>
        </w:rPr>
        <w:t>（八）废标</w:t>
      </w:r>
    </w:p>
    <w:p>
      <w:pPr>
        <w:pStyle w:val="20"/>
        <w:snapToGrid w:val="0"/>
        <w:spacing w:line="400" w:lineRule="exact"/>
        <w:ind w:firstLine="422" w:firstLineChars="200"/>
        <w:rPr>
          <w:rFonts w:ascii="宋体" w:hAnsi="宋体" w:eastAsia="宋体" w:cs="宋体"/>
          <w:b/>
          <w:color w:val="auto"/>
          <w:sz w:val="21"/>
          <w:szCs w:val="21"/>
        </w:rPr>
      </w:pPr>
      <w:r>
        <w:rPr>
          <w:rFonts w:ascii="宋体" w:hAnsi="宋体" w:eastAsia="宋体" w:cs="宋体"/>
          <w:b/>
          <w:color w:val="auto"/>
          <w:sz w:val="21"/>
          <w:szCs w:val="21"/>
        </w:rPr>
        <w:t>1.</w:t>
      </w:r>
      <w:r>
        <w:rPr>
          <w:rFonts w:hint="eastAsia" w:ascii="宋体" w:hAnsi="宋体" w:eastAsia="宋体" w:cs="宋体"/>
          <w:b/>
          <w:color w:val="auto"/>
          <w:sz w:val="21"/>
          <w:szCs w:val="21"/>
        </w:rPr>
        <w:t>招标采购项目出现下列情形之一的，采购代理机构将予废标：</w:t>
      </w:r>
    </w:p>
    <w:p>
      <w:pPr>
        <w:pStyle w:val="20"/>
        <w:snapToGrid w:val="0"/>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⑴评标过程中符合专业条件或者对招标文件作实质响应的投标人不足三家的；</w:t>
      </w:r>
    </w:p>
    <w:p>
      <w:pPr>
        <w:pStyle w:val="20"/>
        <w:snapToGrid w:val="0"/>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⑵出现影响采购公正的违法、违规行为的；</w:t>
      </w:r>
    </w:p>
    <w:p>
      <w:pPr>
        <w:pStyle w:val="20"/>
        <w:snapToGrid w:val="0"/>
        <w:spacing w:line="400" w:lineRule="exact"/>
        <w:ind w:left="420" w:leftChars="200" w:firstLine="0" w:firstLineChars="0"/>
        <w:rPr>
          <w:rFonts w:ascii="宋体" w:hAnsi="宋体" w:eastAsia="宋体" w:cs="宋体"/>
          <w:bCs/>
          <w:color w:val="auto"/>
          <w:sz w:val="21"/>
          <w:szCs w:val="21"/>
        </w:rPr>
      </w:pPr>
      <w:r>
        <w:rPr>
          <w:rFonts w:hint="eastAsia" w:ascii="宋体" w:hAnsi="宋体" w:eastAsia="宋体" w:cs="宋体"/>
          <w:bCs/>
          <w:color w:val="auto"/>
          <w:sz w:val="21"/>
          <w:szCs w:val="21"/>
        </w:rPr>
        <w:t>⑶投标人的报价均超过了采购预算价的；</w:t>
      </w:r>
    </w:p>
    <w:p>
      <w:pPr>
        <w:pStyle w:val="20"/>
        <w:snapToGrid w:val="0"/>
        <w:spacing w:line="400" w:lineRule="exact"/>
        <w:ind w:left="420" w:leftChars="200" w:firstLine="0" w:firstLineChars="0"/>
        <w:rPr>
          <w:rFonts w:ascii="宋体" w:hAnsi="宋体" w:eastAsia="宋体" w:cs="宋体"/>
          <w:bCs/>
          <w:color w:val="auto"/>
          <w:sz w:val="21"/>
          <w:szCs w:val="21"/>
        </w:rPr>
      </w:pPr>
      <w:r>
        <w:rPr>
          <w:rFonts w:hint="eastAsia" w:ascii="宋体" w:hAnsi="宋体" w:eastAsia="宋体" w:cs="宋体"/>
          <w:bCs/>
          <w:color w:val="auto"/>
          <w:sz w:val="21"/>
          <w:szCs w:val="21"/>
        </w:rPr>
        <w:t>⑷因重大变故，采购任务取消的。</w:t>
      </w:r>
    </w:p>
    <w:p>
      <w:pPr>
        <w:pStyle w:val="20"/>
        <w:snapToGrid w:val="0"/>
        <w:spacing w:line="400" w:lineRule="exact"/>
        <w:ind w:firstLine="417" w:firstLineChars="198"/>
        <w:rPr>
          <w:rFonts w:ascii="宋体" w:hAnsi="宋体" w:eastAsia="宋体" w:cs="宋体"/>
          <w:b/>
          <w:color w:val="auto"/>
          <w:sz w:val="21"/>
          <w:szCs w:val="21"/>
        </w:rPr>
      </w:pPr>
      <w:r>
        <w:rPr>
          <w:rFonts w:ascii="宋体" w:hAnsi="宋体" w:eastAsia="宋体" w:cs="宋体"/>
          <w:b/>
          <w:color w:val="auto"/>
          <w:sz w:val="21"/>
          <w:szCs w:val="21"/>
        </w:rPr>
        <w:t>2.</w:t>
      </w:r>
      <w:r>
        <w:rPr>
          <w:rFonts w:hint="eastAsia" w:ascii="宋体" w:hAnsi="宋体" w:eastAsia="宋体" w:cs="宋体"/>
          <w:b/>
          <w:color w:val="auto"/>
          <w:sz w:val="21"/>
          <w:szCs w:val="21"/>
        </w:rPr>
        <w:t>废标后，采购代理机构将把废标理由通知所有投标人。</w:t>
      </w:r>
    </w:p>
    <w:p>
      <w:pPr>
        <w:pStyle w:val="20"/>
        <w:snapToGrid w:val="0"/>
        <w:spacing w:line="400" w:lineRule="exact"/>
        <w:ind w:firstLine="0" w:firstLineChars="0"/>
        <w:rPr>
          <w:rFonts w:ascii="宋体" w:hAnsi="宋体" w:eastAsia="宋体" w:cs="宋体"/>
          <w:b/>
          <w:color w:val="auto"/>
          <w:sz w:val="21"/>
          <w:szCs w:val="21"/>
        </w:rPr>
      </w:pPr>
    </w:p>
    <w:p>
      <w:pPr>
        <w:pStyle w:val="20"/>
        <w:snapToGrid w:val="0"/>
        <w:spacing w:line="400" w:lineRule="exact"/>
        <w:ind w:firstLine="0" w:firstLineChars="0"/>
        <w:outlineLvl w:val="1"/>
        <w:rPr>
          <w:rFonts w:ascii="宋体" w:hAnsi="宋体" w:eastAsia="宋体" w:cs="宋体"/>
          <w:b/>
          <w:snapToGrid w:val="0"/>
          <w:color w:val="auto"/>
          <w:sz w:val="21"/>
          <w:szCs w:val="21"/>
        </w:rPr>
      </w:pPr>
      <w:bookmarkStart w:id="447" w:name="_Toc254970544"/>
      <w:bookmarkStart w:id="448" w:name="_Toc293863320"/>
      <w:bookmarkStart w:id="449" w:name="_Toc308018677"/>
      <w:bookmarkStart w:id="450" w:name="_Toc24015"/>
      <w:bookmarkStart w:id="451" w:name="_Toc293863053"/>
      <w:bookmarkStart w:id="452" w:name="_Toc482865152"/>
      <w:bookmarkStart w:id="453" w:name="_Toc483327811"/>
      <w:bookmarkStart w:id="454" w:name="_Toc482865322"/>
      <w:bookmarkStart w:id="455" w:name="_Toc445223680"/>
      <w:bookmarkStart w:id="456" w:name="_Toc482864551"/>
      <w:bookmarkStart w:id="457" w:name="_Toc400465713"/>
      <w:bookmarkStart w:id="458" w:name="_Toc254970685"/>
      <w:bookmarkStart w:id="459" w:name="_Toc448421142"/>
      <w:r>
        <w:rPr>
          <w:rFonts w:hint="eastAsia" w:ascii="宋体" w:hAnsi="宋体" w:eastAsia="宋体" w:cs="宋体"/>
          <w:b/>
          <w:color w:val="auto"/>
          <w:sz w:val="21"/>
          <w:szCs w:val="21"/>
        </w:rPr>
        <w:t>四、开标</w:t>
      </w:r>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23"/>
        <w:snapToGrid w:val="0"/>
        <w:spacing w:line="400" w:lineRule="exact"/>
        <w:ind w:firstLine="413" w:firstLineChars="196"/>
        <w:rPr>
          <w:rFonts w:hAnsi="宋体" w:cs="宋体"/>
          <w:b/>
          <w:color w:val="auto"/>
          <w:sz w:val="21"/>
        </w:rPr>
      </w:pPr>
      <w:r>
        <w:rPr>
          <w:rFonts w:hint="eastAsia" w:hAnsi="宋体" w:cs="宋体"/>
          <w:b/>
          <w:color w:val="auto"/>
          <w:sz w:val="21"/>
        </w:rPr>
        <w:t>（一）开标准备</w:t>
      </w:r>
    </w:p>
    <w:p>
      <w:pPr>
        <w:pStyle w:val="23"/>
        <w:snapToGrid w:val="0"/>
        <w:spacing w:line="400" w:lineRule="exact"/>
        <w:ind w:firstLine="420" w:firstLineChars="200"/>
        <w:rPr>
          <w:rFonts w:hAnsi="宋体" w:cs="宋体"/>
          <w:bCs/>
          <w:color w:val="auto"/>
          <w:sz w:val="21"/>
        </w:rPr>
      </w:pPr>
      <w:r>
        <w:rPr>
          <w:rFonts w:hint="eastAsia" w:hAnsi="宋体" w:cs="宋体"/>
          <w:bCs/>
          <w:color w:val="auto"/>
          <w:sz w:val="21"/>
        </w:rPr>
        <w:t>采购代理机构将在规定的时间和地点进行开标，投标人的法定代表人或其授权代表应参加开标会并签到。投标人的法定代表人或其授权代表未按时签到的，视同放弃开标监督权利、认可开标结果。</w:t>
      </w:r>
    </w:p>
    <w:p>
      <w:pPr>
        <w:pStyle w:val="23"/>
        <w:snapToGrid w:val="0"/>
        <w:spacing w:line="400" w:lineRule="exact"/>
        <w:ind w:firstLine="211" w:firstLineChars="100"/>
        <w:rPr>
          <w:rFonts w:hAnsi="宋体" w:cs="宋体"/>
          <w:b/>
          <w:color w:val="auto"/>
          <w:sz w:val="21"/>
        </w:rPr>
      </w:pPr>
      <w:r>
        <w:rPr>
          <w:rFonts w:hint="eastAsia" w:hAnsi="宋体" w:cs="宋体"/>
          <w:b/>
          <w:color w:val="auto"/>
          <w:sz w:val="21"/>
        </w:rPr>
        <w:t>（二）开标程序</w:t>
      </w:r>
    </w:p>
    <w:p>
      <w:pPr>
        <w:pStyle w:val="23"/>
        <w:snapToGrid w:val="0"/>
        <w:spacing w:line="400" w:lineRule="exact"/>
        <w:ind w:firstLine="420" w:firstLineChars="200"/>
        <w:outlineLvl w:val="1"/>
        <w:rPr>
          <w:rFonts w:hAnsi="宋体" w:cs="宋体"/>
          <w:bCs/>
          <w:color w:val="auto"/>
          <w:sz w:val="21"/>
        </w:rPr>
      </w:pPr>
      <w:bookmarkStart w:id="460" w:name="_Toc293863054"/>
      <w:bookmarkStart w:id="461" w:name="_Toc445223681"/>
      <w:bookmarkStart w:id="462" w:name="_Toc254970686"/>
      <w:bookmarkStart w:id="463" w:name="_Toc400465714"/>
      <w:bookmarkStart w:id="464" w:name="_Toc483327812"/>
      <w:bookmarkStart w:id="465" w:name="_Toc254970545"/>
      <w:bookmarkStart w:id="466" w:name="_Toc14966"/>
      <w:bookmarkStart w:id="467" w:name="_Toc482865323"/>
      <w:bookmarkStart w:id="468" w:name="_Toc448421143"/>
      <w:bookmarkStart w:id="469" w:name="_Toc293863321"/>
      <w:bookmarkStart w:id="470" w:name="_Toc482865153"/>
      <w:bookmarkStart w:id="471" w:name="_Toc482864552"/>
      <w:bookmarkStart w:id="472" w:name="_Toc308018678"/>
      <w:r>
        <w:rPr>
          <w:rFonts w:hint="eastAsia" w:hAnsi="宋体" w:cs="宋体"/>
          <w:bCs/>
          <w:color w:val="auto"/>
          <w:sz w:val="21"/>
        </w:rPr>
        <w:t>1.开标时，应当由投标人或者其推选的代表检查投标文件的密封情况，并签字确认后，由招标代理机构工作人员当众拆封开标一览表，宣读投标人名称、投标报价、书面修改和撤回投标的通知、招标文件允许提供的备选方案等，未宣读的投标报价和招标文件允许提供的备选投标方案等实质内容，评标时不予承认；</w:t>
      </w:r>
    </w:p>
    <w:p>
      <w:pPr>
        <w:pStyle w:val="23"/>
        <w:snapToGrid w:val="0"/>
        <w:spacing w:line="400" w:lineRule="exact"/>
        <w:ind w:firstLine="420" w:firstLineChars="200"/>
        <w:outlineLvl w:val="1"/>
        <w:rPr>
          <w:rFonts w:hAnsi="宋体" w:cs="宋体"/>
          <w:bCs/>
          <w:color w:val="auto"/>
          <w:sz w:val="21"/>
        </w:rPr>
      </w:pPr>
      <w:r>
        <w:rPr>
          <w:rFonts w:hint="eastAsia" w:hAnsi="宋体" w:cs="宋体"/>
          <w:bCs/>
          <w:color w:val="auto"/>
          <w:sz w:val="21"/>
        </w:rPr>
        <w:t>2.开标过程由采购代理机构负责记录，并由参加开标的各投标人代表和相关工作人员签字确认。投标人代表对开标过程和开标记录有疑异，以及认为采购人、采购代理机构相关工作人员有需要回避的情形的，应当场提出询问或者回避申请。投标人未参加开标的，视同认可开标结果。　　</w:t>
      </w:r>
    </w:p>
    <w:p>
      <w:pPr>
        <w:pStyle w:val="23"/>
        <w:snapToGrid w:val="0"/>
        <w:spacing w:line="400" w:lineRule="exact"/>
        <w:ind w:firstLine="420" w:firstLineChars="200"/>
        <w:outlineLvl w:val="1"/>
        <w:rPr>
          <w:rFonts w:hAnsi="宋体" w:cs="宋体"/>
          <w:bCs/>
          <w:color w:val="auto"/>
          <w:sz w:val="21"/>
        </w:rPr>
      </w:pPr>
      <w:r>
        <w:rPr>
          <w:rFonts w:hint="eastAsia" w:hAnsi="宋体" w:cs="宋体"/>
          <w:bCs/>
          <w:color w:val="auto"/>
          <w:sz w:val="21"/>
        </w:rPr>
        <w:t>3.开标会议结束。</w:t>
      </w:r>
    </w:p>
    <w:p>
      <w:pPr>
        <w:pStyle w:val="23"/>
        <w:snapToGrid w:val="0"/>
        <w:spacing w:line="400" w:lineRule="exact"/>
        <w:outlineLvl w:val="1"/>
        <w:rPr>
          <w:rFonts w:hAnsi="宋体" w:cs="宋体"/>
          <w:b/>
          <w:color w:val="auto"/>
          <w:sz w:val="21"/>
        </w:rPr>
      </w:pPr>
      <w:r>
        <w:rPr>
          <w:rFonts w:hint="eastAsia" w:hAnsi="宋体" w:cs="宋体"/>
          <w:b/>
          <w:color w:val="auto"/>
          <w:sz w:val="21"/>
        </w:rPr>
        <w:t>五、评标</w:t>
      </w:r>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23"/>
        <w:snapToGrid w:val="0"/>
        <w:spacing w:line="400" w:lineRule="exact"/>
        <w:ind w:left="690" w:leftChars="228" w:hanging="211" w:hangingChars="100"/>
        <w:rPr>
          <w:rFonts w:hAnsi="宋体" w:cs="宋体"/>
          <w:b/>
          <w:color w:val="auto"/>
          <w:sz w:val="21"/>
        </w:rPr>
      </w:pPr>
      <w:r>
        <w:rPr>
          <w:rFonts w:hint="eastAsia" w:hAnsi="宋体" w:cs="宋体"/>
          <w:b/>
          <w:color w:val="auto"/>
          <w:sz w:val="21"/>
        </w:rPr>
        <w:t>（一）组建评标委员会</w:t>
      </w:r>
    </w:p>
    <w:p>
      <w:pPr>
        <w:pStyle w:val="23"/>
        <w:snapToGrid w:val="0"/>
        <w:spacing w:line="400" w:lineRule="exact"/>
        <w:ind w:firstLine="489" w:firstLineChars="233"/>
        <w:rPr>
          <w:rFonts w:hAnsi="宋体" w:cs="宋体"/>
          <w:color w:val="auto"/>
          <w:sz w:val="21"/>
        </w:rPr>
      </w:pPr>
      <w:r>
        <w:rPr>
          <w:rFonts w:hint="eastAsia" w:hAnsi="宋体" w:cs="宋体"/>
          <w:color w:val="auto"/>
          <w:sz w:val="21"/>
        </w:rPr>
        <w:t>本项目评标委员会的组成详见投标人须知前附表第</w:t>
      </w:r>
      <w:r>
        <w:rPr>
          <w:rFonts w:hAnsi="宋体" w:cs="宋体"/>
          <w:color w:val="auto"/>
          <w:sz w:val="21"/>
        </w:rPr>
        <w:t>10</w:t>
      </w:r>
      <w:r>
        <w:rPr>
          <w:rFonts w:hint="eastAsia" w:hAnsi="宋体" w:cs="宋体"/>
          <w:color w:val="auto"/>
          <w:sz w:val="21"/>
        </w:rPr>
        <w:t>条。</w:t>
      </w:r>
    </w:p>
    <w:p>
      <w:pPr>
        <w:pStyle w:val="23"/>
        <w:snapToGrid w:val="0"/>
        <w:spacing w:line="400" w:lineRule="exact"/>
        <w:ind w:left="690" w:leftChars="228" w:hanging="211" w:hangingChars="100"/>
        <w:rPr>
          <w:rFonts w:hAnsi="宋体" w:cs="宋体"/>
          <w:b/>
          <w:color w:val="auto"/>
          <w:sz w:val="21"/>
        </w:rPr>
      </w:pPr>
      <w:r>
        <w:rPr>
          <w:rFonts w:hint="eastAsia" w:hAnsi="宋体" w:cs="宋体"/>
          <w:b/>
          <w:color w:val="auto"/>
          <w:sz w:val="21"/>
        </w:rPr>
        <w:t>（二）评标的方式</w:t>
      </w:r>
    </w:p>
    <w:p>
      <w:pPr>
        <w:pStyle w:val="23"/>
        <w:snapToGrid w:val="0"/>
        <w:spacing w:line="400" w:lineRule="exact"/>
        <w:ind w:left="689" w:leftChars="228" w:hanging="210" w:hangingChars="100"/>
        <w:rPr>
          <w:rFonts w:hAnsi="宋体" w:cs="宋体"/>
          <w:color w:val="auto"/>
          <w:sz w:val="21"/>
        </w:rPr>
      </w:pPr>
      <w:r>
        <w:rPr>
          <w:rFonts w:hint="eastAsia" w:hAnsi="宋体" w:cs="宋体"/>
          <w:color w:val="auto"/>
          <w:sz w:val="21"/>
        </w:rPr>
        <w:t>本项目采用不公开方式评标，评标的依据为招标文件和投标文件。</w:t>
      </w:r>
    </w:p>
    <w:p>
      <w:pPr>
        <w:pStyle w:val="23"/>
        <w:snapToGrid w:val="0"/>
        <w:spacing w:line="400" w:lineRule="exact"/>
        <w:ind w:left="690" w:leftChars="228" w:hanging="211" w:hangingChars="100"/>
        <w:rPr>
          <w:rFonts w:hAnsi="宋体" w:cs="宋体"/>
          <w:b/>
          <w:color w:val="auto"/>
          <w:sz w:val="21"/>
        </w:rPr>
      </w:pPr>
      <w:r>
        <w:rPr>
          <w:rFonts w:hint="eastAsia" w:hAnsi="宋体" w:cs="宋体"/>
          <w:b/>
          <w:color w:val="auto"/>
          <w:sz w:val="21"/>
        </w:rPr>
        <w:t>（三）</w:t>
      </w:r>
      <w:r>
        <w:rPr>
          <w:rFonts w:hint="eastAsia" w:hAnsi="宋体" w:cs="宋体"/>
          <w:b/>
          <w:bCs/>
          <w:color w:val="auto"/>
          <w:sz w:val="21"/>
        </w:rPr>
        <w:t>评标程序</w:t>
      </w:r>
    </w:p>
    <w:p>
      <w:pPr>
        <w:snapToGrid w:val="0"/>
        <w:spacing w:line="400" w:lineRule="exact"/>
        <w:ind w:firstLine="413" w:firstLineChars="196"/>
        <w:rPr>
          <w:rFonts w:ascii="宋体" w:cs="宋体"/>
          <w:b/>
          <w:bCs/>
          <w:color w:val="auto"/>
          <w:szCs w:val="21"/>
        </w:rPr>
      </w:pPr>
      <w:r>
        <w:rPr>
          <w:rFonts w:ascii="宋体" w:hAnsi="宋体" w:cs="宋体"/>
          <w:b/>
          <w:bCs/>
          <w:color w:val="auto"/>
          <w:szCs w:val="21"/>
        </w:rPr>
        <w:t xml:space="preserve">1. </w:t>
      </w:r>
      <w:r>
        <w:rPr>
          <w:rFonts w:hint="eastAsia" w:ascii="宋体" w:hAnsi="宋体" w:cs="宋体"/>
          <w:b/>
          <w:bCs/>
          <w:color w:val="auto"/>
          <w:szCs w:val="21"/>
        </w:rPr>
        <w:t>资格审查</w:t>
      </w:r>
    </w:p>
    <w:p>
      <w:pPr>
        <w:snapToGrid w:val="0"/>
        <w:spacing w:line="400" w:lineRule="exact"/>
        <w:ind w:right="-336" w:rightChars="-160" w:firstLine="420" w:firstLineChars="200"/>
        <w:rPr>
          <w:rFonts w:ascii="宋体" w:cs="宋体"/>
          <w:b/>
          <w:color w:val="auto"/>
          <w:spacing w:val="-2"/>
          <w:szCs w:val="21"/>
        </w:rPr>
      </w:pPr>
      <w:r>
        <w:rPr>
          <w:rFonts w:hint="eastAsia" w:ascii="宋体" w:hAnsi="宋体" w:cs="宋体"/>
          <w:color w:val="auto"/>
          <w:szCs w:val="21"/>
        </w:rPr>
        <w:t>采购人或采购代理机构依法对投标人的资格进行审查</w:t>
      </w:r>
      <w:r>
        <w:rPr>
          <w:rFonts w:hint="eastAsia" w:ascii="宋体" w:hAnsi="宋体" w:cs="宋体"/>
          <w:color w:val="auto"/>
          <w:spacing w:val="-2"/>
          <w:szCs w:val="21"/>
        </w:rPr>
        <w:t>。</w:t>
      </w:r>
    </w:p>
    <w:p>
      <w:pPr>
        <w:snapToGrid w:val="0"/>
        <w:spacing w:line="400" w:lineRule="exact"/>
        <w:ind w:firstLine="413" w:firstLineChars="196"/>
        <w:rPr>
          <w:rFonts w:ascii="宋体" w:cs="宋体"/>
          <w:b/>
          <w:bCs/>
          <w:color w:val="auto"/>
          <w:szCs w:val="21"/>
        </w:rPr>
      </w:pPr>
      <w:r>
        <w:rPr>
          <w:rFonts w:ascii="宋体" w:hAnsi="宋体" w:cs="宋体"/>
          <w:b/>
          <w:bCs/>
          <w:color w:val="auto"/>
          <w:szCs w:val="21"/>
        </w:rPr>
        <w:t>2.</w:t>
      </w:r>
      <w:r>
        <w:rPr>
          <w:rFonts w:hint="eastAsia" w:ascii="宋体" w:hAnsi="宋体" w:cs="宋体"/>
          <w:b/>
          <w:bCs/>
          <w:color w:val="auto"/>
          <w:szCs w:val="21"/>
        </w:rPr>
        <w:t>实质审查与比较</w:t>
      </w:r>
    </w:p>
    <w:p>
      <w:pPr>
        <w:pStyle w:val="23"/>
        <w:tabs>
          <w:tab w:val="left" w:pos="420"/>
        </w:tabs>
        <w:snapToGrid w:val="0"/>
        <w:spacing w:line="400" w:lineRule="exact"/>
        <w:ind w:firstLine="420" w:firstLineChars="200"/>
        <w:rPr>
          <w:rFonts w:hAnsi="宋体" w:cs="宋体"/>
          <w:color w:val="auto"/>
          <w:sz w:val="21"/>
        </w:rPr>
      </w:pPr>
      <w:r>
        <w:rPr>
          <w:rFonts w:hint="eastAsia" w:hAnsi="宋体" w:cs="宋体"/>
          <w:color w:val="auto"/>
          <w:sz w:val="21"/>
        </w:rPr>
        <w:t>（</w:t>
      </w:r>
      <w:r>
        <w:rPr>
          <w:rFonts w:hAnsi="宋体" w:cs="宋体"/>
          <w:color w:val="auto"/>
          <w:sz w:val="21"/>
        </w:rPr>
        <w:t>1</w:t>
      </w:r>
      <w:r>
        <w:rPr>
          <w:rFonts w:hint="eastAsia" w:hAnsi="宋体" w:cs="宋体"/>
          <w:color w:val="auto"/>
          <w:sz w:val="21"/>
        </w:rPr>
        <w:t>）评标委员会应当对符合资格要求的投标人的投标文件进行商务和技术审查，以确定其是否满足招标文件的实质性要求。</w:t>
      </w:r>
    </w:p>
    <w:p>
      <w:pPr>
        <w:pStyle w:val="23"/>
        <w:tabs>
          <w:tab w:val="left" w:pos="420"/>
        </w:tabs>
        <w:snapToGrid w:val="0"/>
        <w:spacing w:line="400" w:lineRule="exact"/>
        <w:ind w:firstLine="420" w:firstLineChars="200"/>
        <w:rPr>
          <w:rFonts w:hAnsi="宋体" w:cs="宋体"/>
          <w:color w:val="auto"/>
          <w:sz w:val="21"/>
        </w:rPr>
      </w:pPr>
      <w:r>
        <w:rPr>
          <w:rFonts w:hint="eastAsia" w:hAnsi="宋体" w:cs="宋体"/>
          <w:color w:val="auto"/>
          <w:sz w:val="21"/>
        </w:rPr>
        <w:t>（</w:t>
      </w:r>
      <w:r>
        <w:rPr>
          <w:rFonts w:hAnsi="宋体" w:cs="宋体"/>
          <w:color w:val="auto"/>
          <w:sz w:val="21"/>
        </w:rPr>
        <w:t>2</w:t>
      </w:r>
      <w:r>
        <w:rPr>
          <w:rFonts w:hint="eastAsia" w:hAnsi="宋体" w:cs="宋体"/>
          <w:color w:val="auto"/>
          <w:sz w:val="21"/>
        </w:rPr>
        <w:t>）评标委员会应当按照招标文件第四章规定的评标原则和评标标准，对商务和技术审查合格的投标文件进行评审，综合比较与评价。</w:t>
      </w:r>
    </w:p>
    <w:p>
      <w:pPr>
        <w:pStyle w:val="23"/>
        <w:tabs>
          <w:tab w:val="left" w:pos="420"/>
        </w:tabs>
        <w:snapToGrid w:val="0"/>
        <w:spacing w:line="400" w:lineRule="exact"/>
        <w:ind w:firstLine="420" w:firstLineChars="200"/>
        <w:rPr>
          <w:rFonts w:hAnsi="宋体" w:cs="宋体"/>
          <w:color w:val="auto"/>
          <w:sz w:val="21"/>
        </w:rPr>
      </w:pPr>
      <w:r>
        <w:rPr>
          <w:rFonts w:hint="eastAsia" w:hAnsi="宋体" w:cs="宋体"/>
          <w:color w:val="auto"/>
          <w:sz w:val="21"/>
        </w:rPr>
        <w:t>（</w:t>
      </w:r>
      <w:r>
        <w:rPr>
          <w:rFonts w:hAnsi="宋体" w:cs="宋体"/>
          <w:color w:val="auto"/>
          <w:sz w:val="21"/>
        </w:rPr>
        <w:t>3</w:t>
      </w:r>
      <w:r>
        <w:rPr>
          <w:rFonts w:hint="eastAsia" w:hAnsi="宋体" w:cs="宋体"/>
          <w:color w:val="auto"/>
          <w:sz w:val="21"/>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pStyle w:val="23"/>
        <w:tabs>
          <w:tab w:val="left" w:pos="420"/>
        </w:tabs>
        <w:snapToGrid w:val="0"/>
        <w:spacing w:line="400" w:lineRule="exact"/>
        <w:ind w:firstLine="420" w:firstLineChars="200"/>
        <w:rPr>
          <w:rFonts w:hAnsi="宋体" w:cs="宋体"/>
          <w:color w:val="auto"/>
          <w:sz w:val="21"/>
        </w:rPr>
      </w:pPr>
      <w:r>
        <w:rPr>
          <w:rFonts w:hint="eastAsia" w:hAnsi="宋体" w:cs="宋体"/>
          <w:color w:val="auto"/>
          <w:sz w:val="21"/>
        </w:rPr>
        <w:t>投标人代表未到场或者拒绝澄清或者澄清的内容改变了投标文件的实质性内容的，评标委员会有权视该投标文件为无效。</w:t>
      </w:r>
    </w:p>
    <w:p>
      <w:pPr>
        <w:pStyle w:val="23"/>
        <w:tabs>
          <w:tab w:val="left" w:pos="420"/>
        </w:tabs>
        <w:snapToGrid w:val="0"/>
        <w:spacing w:line="400" w:lineRule="exact"/>
        <w:ind w:firstLine="420" w:firstLineChars="200"/>
        <w:rPr>
          <w:rFonts w:hAnsi="宋体" w:cs="宋体"/>
          <w:color w:val="auto"/>
        </w:rPr>
      </w:pPr>
      <w:r>
        <w:rPr>
          <w:rFonts w:hint="eastAsia" w:hAnsi="宋体" w:cs="宋体"/>
          <w:color w:val="auto"/>
          <w:sz w:val="21"/>
        </w:rPr>
        <w:t>（</w:t>
      </w:r>
      <w:r>
        <w:rPr>
          <w:rFonts w:hAnsi="宋体" w:cs="宋体"/>
          <w:color w:val="auto"/>
          <w:sz w:val="21"/>
        </w:rPr>
        <w:t>4</w:t>
      </w:r>
      <w:r>
        <w:rPr>
          <w:rFonts w:hint="eastAsia" w:hAnsi="宋体" w:cs="宋体"/>
          <w:color w:val="auto"/>
          <w:sz w:val="21"/>
        </w:rPr>
        <w:t>）评标委员会完成评标后，评委对各部分得分汇总，计算出本项目进入详评的所有投标人的最终得分。评标委员会按中标候选人</w:t>
      </w:r>
      <w:r>
        <w:rPr>
          <w:rFonts w:hint="eastAsia" w:hAnsi="宋体" w:cs="宋体"/>
          <w:bCs/>
          <w:color w:val="auto"/>
          <w:sz w:val="21"/>
        </w:rPr>
        <w:t>推荐原则</w:t>
      </w:r>
      <w:r>
        <w:rPr>
          <w:rFonts w:hint="eastAsia" w:hAnsi="宋体" w:cs="宋体"/>
          <w:color w:val="auto"/>
          <w:sz w:val="21"/>
        </w:rPr>
        <w:t>推荐中标候选人同时起草评标报告。</w:t>
      </w:r>
    </w:p>
    <w:p>
      <w:pPr>
        <w:snapToGrid w:val="0"/>
        <w:spacing w:line="400" w:lineRule="exact"/>
        <w:ind w:firstLine="422" w:firstLineChars="200"/>
        <w:rPr>
          <w:rFonts w:ascii="宋体" w:cs="宋体"/>
          <w:b/>
          <w:color w:val="auto"/>
          <w:szCs w:val="21"/>
        </w:rPr>
      </w:pPr>
      <w:r>
        <w:rPr>
          <w:rFonts w:hint="eastAsia" w:ascii="宋体" w:hAnsi="宋体" w:cs="宋体"/>
          <w:b/>
          <w:bCs/>
          <w:color w:val="auto"/>
          <w:szCs w:val="21"/>
        </w:rPr>
        <w:t>（四）</w:t>
      </w:r>
      <w:r>
        <w:rPr>
          <w:rFonts w:hint="eastAsia" w:ascii="宋体" w:hAnsi="宋体" w:cs="宋体"/>
          <w:b/>
          <w:color w:val="auto"/>
          <w:szCs w:val="21"/>
        </w:rPr>
        <w:t>澄清问题的形式</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对投标文件中含义不明确、同类问题表述不一致或者有明显文字和计算错误的内容，评标委员会应当要求投标人作出必要的澄清、说明或者纠正。投标人的澄清、说明或者补正应当采用书面形式，由其授权代表签字或盖章确认，并不得超出投标文件的范围或者改变投标文件的实质性内容。</w:t>
      </w:r>
    </w:p>
    <w:p>
      <w:pPr>
        <w:pStyle w:val="23"/>
        <w:snapToGrid w:val="0"/>
        <w:spacing w:line="400" w:lineRule="exact"/>
        <w:ind w:left="690" w:leftChars="228" w:hanging="211" w:hangingChars="100"/>
        <w:rPr>
          <w:rFonts w:hAnsi="宋体" w:cs="宋体"/>
          <w:b/>
          <w:color w:val="auto"/>
          <w:sz w:val="21"/>
        </w:rPr>
      </w:pPr>
      <w:r>
        <w:rPr>
          <w:rFonts w:hint="eastAsia" w:hAnsi="宋体" w:cs="宋体"/>
          <w:b/>
          <w:bCs/>
          <w:color w:val="auto"/>
          <w:sz w:val="21"/>
        </w:rPr>
        <w:t>（五）</w:t>
      </w:r>
      <w:r>
        <w:rPr>
          <w:rFonts w:hint="eastAsia" w:hAnsi="宋体" w:cs="宋体"/>
          <w:b/>
          <w:color w:val="auto"/>
          <w:sz w:val="21"/>
        </w:rPr>
        <w:t>错误修正</w:t>
      </w:r>
    </w:p>
    <w:p>
      <w:pPr>
        <w:pStyle w:val="23"/>
        <w:snapToGrid w:val="0"/>
        <w:spacing w:line="400" w:lineRule="exact"/>
        <w:ind w:left="689" w:leftChars="228" w:hanging="210" w:hangingChars="100"/>
        <w:rPr>
          <w:rFonts w:hAnsi="宋体" w:cs="宋体"/>
          <w:color w:val="auto"/>
          <w:sz w:val="21"/>
        </w:rPr>
      </w:pPr>
      <w:r>
        <w:rPr>
          <w:rFonts w:hint="eastAsia" w:hAnsi="宋体" w:cs="宋体"/>
          <w:color w:val="auto"/>
          <w:sz w:val="21"/>
        </w:rPr>
        <w:t>投标文件如果出现计算或表达上的错误，修正错误的原则如下：</w:t>
      </w:r>
    </w:p>
    <w:p>
      <w:pPr>
        <w:pStyle w:val="23"/>
        <w:numPr>
          <w:ilvl w:val="0"/>
          <w:numId w:val="10"/>
        </w:numPr>
        <w:snapToGrid w:val="0"/>
        <w:spacing w:line="400" w:lineRule="exact"/>
        <w:ind w:left="689" w:leftChars="228" w:hanging="210" w:hangingChars="100"/>
        <w:rPr>
          <w:rFonts w:hAnsi="宋体" w:cs="宋体"/>
          <w:color w:val="auto"/>
          <w:sz w:val="21"/>
        </w:rPr>
      </w:pPr>
      <w:r>
        <w:rPr>
          <w:rFonts w:hint="eastAsia" w:hAnsi="宋体" w:cs="宋体"/>
          <w:color w:val="auto"/>
          <w:kern w:val="2"/>
          <w:sz w:val="21"/>
        </w:rPr>
        <w:t>投标文件中开标一览表（报价表）内容与投标文件中相应内容不一致的，以开标一览表（报价表）为准；</w:t>
      </w:r>
    </w:p>
    <w:p>
      <w:pPr>
        <w:pStyle w:val="23"/>
        <w:numPr>
          <w:ilvl w:val="0"/>
          <w:numId w:val="10"/>
        </w:numPr>
        <w:snapToGrid w:val="0"/>
        <w:spacing w:line="400" w:lineRule="exact"/>
        <w:ind w:left="689" w:leftChars="228" w:hanging="210" w:hangingChars="100"/>
        <w:rPr>
          <w:rFonts w:hAnsi="宋体" w:cs="宋体"/>
          <w:color w:val="auto"/>
          <w:kern w:val="2"/>
          <w:sz w:val="21"/>
        </w:rPr>
      </w:pPr>
      <w:r>
        <w:rPr>
          <w:rFonts w:hint="eastAsia" w:hAnsi="宋体" w:cs="宋体"/>
          <w:color w:val="auto"/>
          <w:kern w:val="2"/>
          <w:sz w:val="21"/>
        </w:rPr>
        <w:t>大写金额和小写金额不一致的，以大写金额为准；</w:t>
      </w:r>
    </w:p>
    <w:p>
      <w:pPr>
        <w:pStyle w:val="23"/>
        <w:numPr>
          <w:ilvl w:val="0"/>
          <w:numId w:val="10"/>
        </w:numPr>
        <w:snapToGrid w:val="0"/>
        <w:spacing w:line="400" w:lineRule="exact"/>
        <w:ind w:left="689" w:leftChars="228" w:hanging="210" w:hangingChars="100"/>
        <w:rPr>
          <w:rFonts w:hAnsi="宋体" w:cs="宋体"/>
          <w:color w:val="auto"/>
          <w:kern w:val="2"/>
          <w:sz w:val="21"/>
        </w:rPr>
      </w:pPr>
      <w:r>
        <w:rPr>
          <w:rFonts w:hint="eastAsia" w:hAnsi="宋体" w:cs="宋体"/>
          <w:color w:val="auto"/>
          <w:kern w:val="2"/>
          <w:sz w:val="21"/>
        </w:rPr>
        <w:t>单价金额小数点或者百分比有明显错位的，以开标一览表的总价为准，并修改单价；</w:t>
      </w:r>
    </w:p>
    <w:p>
      <w:pPr>
        <w:pStyle w:val="23"/>
        <w:numPr>
          <w:ilvl w:val="0"/>
          <w:numId w:val="10"/>
        </w:numPr>
        <w:snapToGrid w:val="0"/>
        <w:spacing w:line="400" w:lineRule="exact"/>
        <w:ind w:left="689" w:leftChars="228" w:hanging="210" w:hangingChars="100"/>
        <w:rPr>
          <w:rFonts w:hAnsi="宋体" w:cs="宋体"/>
          <w:color w:val="auto"/>
          <w:kern w:val="2"/>
          <w:sz w:val="21"/>
        </w:rPr>
      </w:pPr>
      <w:r>
        <w:rPr>
          <w:rFonts w:hint="eastAsia" w:hAnsi="宋体" w:cs="宋体"/>
          <w:color w:val="auto"/>
          <w:kern w:val="2"/>
          <w:sz w:val="21"/>
        </w:rPr>
        <w:t>总价金额与按单价汇总金额不一致的，以单价金额计算结果为准；</w:t>
      </w:r>
    </w:p>
    <w:p>
      <w:pPr>
        <w:pStyle w:val="23"/>
        <w:snapToGrid w:val="0"/>
        <w:spacing w:line="400" w:lineRule="exact"/>
        <w:ind w:left="269" w:leftChars="128" w:firstLine="210" w:firstLineChars="100"/>
        <w:rPr>
          <w:rFonts w:hAnsi="宋体" w:cs="宋体"/>
          <w:color w:val="auto"/>
          <w:sz w:val="21"/>
        </w:rPr>
      </w:pPr>
      <w:r>
        <w:rPr>
          <w:rFonts w:hAnsi="宋体" w:cs="宋体"/>
          <w:color w:val="auto"/>
          <w:sz w:val="21"/>
        </w:rPr>
        <w:t xml:space="preserve">5. </w:t>
      </w:r>
      <w:r>
        <w:rPr>
          <w:rFonts w:hint="eastAsia" w:hAnsi="宋体" w:cs="宋体"/>
          <w:color w:val="auto"/>
          <w:sz w:val="21"/>
        </w:rPr>
        <w:t>对不同文字文本投标文件的解释发生异议的，以中文文本为准。</w:t>
      </w:r>
    </w:p>
    <w:p>
      <w:pPr>
        <w:pStyle w:val="23"/>
        <w:snapToGrid w:val="0"/>
        <w:spacing w:line="400" w:lineRule="exact"/>
        <w:ind w:firstLine="420" w:firstLineChars="200"/>
        <w:rPr>
          <w:rFonts w:hAnsi="宋体" w:cs="宋体"/>
          <w:color w:val="auto"/>
          <w:sz w:val="21"/>
        </w:rPr>
      </w:pPr>
      <w:r>
        <w:rPr>
          <w:rFonts w:hint="eastAsia" w:hAnsi="宋体" w:cs="宋体"/>
          <w:color w:val="auto"/>
          <w:kern w:val="2"/>
          <w:sz w:val="21"/>
        </w:rPr>
        <w:t>同时出现两种以上不一致的，按照前款规定的顺序修正。修正后的报价经投标人确认后产生约束力，投标人不确认的，其投标无效。</w:t>
      </w:r>
    </w:p>
    <w:p>
      <w:pPr>
        <w:pStyle w:val="23"/>
        <w:snapToGrid w:val="0"/>
        <w:spacing w:line="400" w:lineRule="exact"/>
        <w:ind w:firstLine="413" w:firstLineChars="196"/>
        <w:rPr>
          <w:rFonts w:hAnsi="宋体" w:cs="宋体"/>
          <w:b/>
          <w:color w:val="auto"/>
          <w:sz w:val="21"/>
        </w:rPr>
      </w:pPr>
      <w:r>
        <w:rPr>
          <w:rFonts w:hint="eastAsia" w:hAnsi="宋体" w:cs="宋体"/>
          <w:b/>
          <w:color w:val="auto"/>
          <w:sz w:val="21"/>
        </w:rPr>
        <w:t>（六）评标过程的监控</w:t>
      </w:r>
    </w:p>
    <w:p>
      <w:pPr>
        <w:pStyle w:val="23"/>
        <w:snapToGrid w:val="0"/>
        <w:spacing w:line="400" w:lineRule="exact"/>
        <w:ind w:firstLine="420" w:firstLineChars="200"/>
        <w:rPr>
          <w:rFonts w:hAnsi="宋体" w:cs="宋体"/>
          <w:color w:val="auto"/>
          <w:sz w:val="21"/>
        </w:rPr>
      </w:pPr>
      <w:r>
        <w:rPr>
          <w:rFonts w:hint="eastAsia" w:hAnsi="宋体" w:cs="宋体"/>
          <w:color w:val="auto"/>
          <w:sz w:val="21"/>
        </w:rPr>
        <w:t>本项目评标过程实行全程录音、录像监控，投标人在评标过程中所进行的试图影响评标结果的不公正活动，可能导致其投标被拒绝。</w:t>
      </w:r>
    </w:p>
    <w:p>
      <w:pPr>
        <w:pStyle w:val="23"/>
        <w:snapToGrid w:val="0"/>
        <w:spacing w:line="400" w:lineRule="exact"/>
        <w:outlineLvl w:val="1"/>
        <w:rPr>
          <w:rFonts w:hAnsi="宋体" w:cs="宋体"/>
          <w:b/>
          <w:color w:val="auto"/>
          <w:sz w:val="21"/>
        </w:rPr>
      </w:pPr>
      <w:bookmarkStart w:id="473" w:name="_Toc254970546"/>
      <w:bookmarkStart w:id="474" w:name="_Toc254970687"/>
      <w:bookmarkStart w:id="475" w:name="_Toc308018679"/>
      <w:bookmarkStart w:id="476" w:name="_Toc445223682"/>
      <w:bookmarkStart w:id="477" w:name="_Toc482865154"/>
      <w:bookmarkStart w:id="478" w:name="_Toc483327813"/>
      <w:bookmarkStart w:id="479" w:name="_Toc293863322"/>
      <w:bookmarkStart w:id="480" w:name="_Toc293863055"/>
      <w:bookmarkStart w:id="481" w:name="_Toc400465715"/>
      <w:bookmarkStart w:id="482" w:name="_Toc9622"/>
      <w:bookmarkStart w:id="483" w:name="_Toc482864553"/>
      <w:bookmarkStart w:id="484" w:name="_Toc448421144"/>
      <w:bookmarkStart w:id="485" w:name="_Toc482865324"/>
      <w:r>
        <w:rPr>
          <w:rFonts w:hint="eastAsia" w:hAnsi="宋体" w:cs="宋体"/>
          <w:b/>
          <w:color w:val="auto"/>
          <w:sz w:val="21"/>
        </w:rPr>
        <w:t>六、</w:t>
      </w:r>
      <w:bookmarkEnd w:id="473"/>
      <w:bookmarkEnd w:id="474"/>
      <w:r>
        <w:rPr>
          <w:rFonts w:hint="eastAsia" w:hAnsi="宋体" w:cs="宋体"/>
          <w:b/>
          <w:color w:val="auto"/>
          <w:sz w:val="21"/>
        </w:rPr>
        <w:t>评标结果</w:t>
      </w:r>
      <w:bookmarkEnd w:id="475"/>
      <w:bookmarkEnd w:id="476"/>
      <w:bookmarkEnd w:id="477"/>
      <w:bookmarkEnd w:id="478"/>
      <w:bookmarkEnd w:id="479"/>
      <w:bookmarkEnd w:id="480"/>
      <w:bookmarkEnd w:id="481"/>
      <w:bookmarkEnd w:id="482"/>
      <w:bookmarkEnd w:id="483"/>
      <w:bookmarkEnd w:id="484"/>
      <w:bookmarkEnd w:id="485"/>
    </w:p>
    <w:p>
      <w:pPr>
        <w:pStyle w:val="23"/>
        <w:snapToGrid w:val="0"/>
        <w:spacing w:line="400" w:lineRule="exact"/>
        <w:ind w:firstLine="411" w:firstLineChars="196"/>
        <w:rPr>
          <w:rFonts w:hAnsi="宋体" w:cs="宋体"/>
          <w:b/>
          <w:bCs/>
          <w:color w:val="auto"/>
          <w:sz w:val="21"/>
        </w:rPr>
      </w:pPr>
      <w:r>
        <w:rPr>
          <w:rFonts w:hint="eastAsia" w:hAnsi="宋体" w:cs="宋体"/>
          <w:bCs/>
          <w:color w:val="auto"/>
          <w:sz w:val="21"/>
        </w:rPr>
        <w:t>（一）</w:t>
      </w:r>
      <w:r>
        <w:rPr>
          <w:rFonts w:hint="eastAsia" w:hAnsi="宋体" w:cs="宋体"/>
          <w:color w:val="auto"/>
          <w:sz w:val="21"/>
        </w:rPr>
        <w:t>采购代理机构在评标结束后</w:t>
      </w:r>
      <w:r>
        <w:rPr>
          <w:rFonts w:hAnsi="宋体" w:cs="宋体"/>
          <w:color w:val="auto"/>
          <w:sz w:val="21"/>
        </w:rPr>
        <w:t>2</w:t>
      </w:r>
      <w:r>
        <w:rPr>
          <w:rFonts w:hint="eastAsia" w:hAnsi="宋体" w:cs="宋体"/>
          <w:color w:val="auto"/>
          <w:sz w:val="21"/>
        </w:rPr>
        <w:t>个工作日内将评标报告送采购人，采购人在收到评标报告之日起</w:t>
      </w:r>
      <w:r>
        <w:rPr>
          <w:rFonts w:hAnsi="宋体" w:cs="宋体"/>
          <w:color w:val="auto"/>
          <w:sz w:val="21"/>
        </w:rPr>
        <w:t>5</w:t>
      </w:r>
      <w:r>
        <w:rPr>
          <w:rFonts w:hint="eastAsia" w:hAnsi="宋体" w:cs="宋体"/>
          <w:color w:val="auto"/>
          <w:sz w:val="21"/>
        </w:rPr>
        <w:t>个工作日内在评标报告推荐的中标候选人名单中按顺序确定中标人。采购人也可以事先授权评标委员会直接确定中标人。中标候选人并列的，由采购人或者采购人委托评标委员会按照招标文件规定的方式确定中标人；招标文件未规定的，采取随机抽取的方式确定。</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（二）中标人确定之日起</w:t>
      </w:r>
      <w:r>
        <w:rPr>
          <w:rFonts w:ascii="宋体" w:hAnsi="宋体" w:cs="宋体"/>
          <w:color w:val="auto"/>
          <w:szCs w:val="21"/>
        </w:rPr>
        <w:t>2</w:t>
      </w:r>
      <w:r>
        <w:rPr>
          <w:rFonts w:hint="eastAsia" w:ascii="宋体" w:hAnsi="宋体" w:cs="宋体"/>
          <w:color w:val="auto"/>
          <w:szCs w:val="21"/>
        </w:rPr>
        <w:t>个工作日内，采购代理机构在本项目招标公告媒体公告</w:t>
      </w:r>
      <w:r>
        <w:rPr>
          <w:rFonts w:hint="eastAsia" w:ascii="宋体" w:hAnsi="宋体"/>
          <w:color w:val="auto"/>
        </w:rPr>
        <w:t>中标结果，招标文件随中标结果同时公告</w:t>
      </w:r>
      <w:r>
        <w:rPr>
          <w:rFonts w:hint="eastAsia" w:ascii="宋体" w:hAnsi="宋体" w:cs="宋体"/>
          <w:color w:val="auto"/>
          <w:szCs w:val="21"/>
        </w:rPr>
        <w:t>。</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（三）在中标通知书发出前，采购人或采购代理机构应当对中标人信用进行查询，如中标人</w:t>
      </w:r>
      <w:r>
        <w:rPr>
          <w:rFonts w:hint="eastAsia" w:ascii="宋体" w:hAnsi="宋体" w:cs="宋体"/>
          <w:color w:val="auto"/>
        </w:rPr>
        <w:t>被列入失信被执行人、重大税收违法案件当事人名单、政府采购严重违法失信行为记录名单，则将被取消中标资格。</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（四）</w:t>
      </w:r>
      <w:r>
        <w:rPr>
          <w:rFonts w:hint="eastAsia" w:ascii="宋体" w:hAnsi="宋体"/>
          <w:color w:val="auto"/>
        </w:rPr>
        <w:t>在公告中标结果的同时，采购代理机构向中标人发出中标通知书；对未通过资格审查的投标人，应当告知其未通过的原因；采用综合评分法评审的，还应当告知未中标人本人的评审得分与排序。未中标人亦可主动联系采购代理机构索取相关内容。</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（五）投标人认为中标结果使自己的权益受到损害的，应当在中标结果公告期限</w:t>
      </w:r>
      <w:r>
        <w:rPr>
          <w:rFonts w:hint="eastAsia" w:ascii="宋体" w:hAnsi="宋体" w:cs="宋体"/>
          <w:bCs/>
          <w:color w:val="auto"/>
        </w:rPr>
        <w:t>（中标结果公告期限为</w:t>
      </w:r>
      <w:r>
        <w:rPr>
          <w:rFonts w:ascii="宋体" w:hAnsi="宋体" w:cs="宋体"/>
          <w:bCs/>
          <w:color w:val="auto"/>
        </w:rPr>
        <w:t>1</w:t>
      </w:r>
      <w:r>
        <w:rPr>
          <w:rFonts w:hint="eastAsia" w:ascii="宋体" w:hAnsi="宋体" w:cs="宋体"/>
          <w:bCs/>
          <w:color w:val="auto"/>
        </w:rPr>
        <w:t>个工作日）</w:t>
      </w:r>
      <w:r>
        <w:rPr>
          <w:rFonts w:hint="eastAsia" w:ascii="宋体" w:hAnsi="宋体" w:cs="宋体"/>
          <w:color w:val="auto"/>
          <w:szCs w:val="21"/>
        </w:rPr>
        <w:t>届满之日起</w:t>
      </w:r>
      <w:r>
        <w:rPr>
          <w:rFonts w:ascii="宋体" w:hAnsi="宋体" w:cs="宋体"/>
          <w:color w:val="auto"/>
          <w:szCs w:val="21"/>
        </w:rPr>
        <w:t>7</w:t>
      </w:r>
      <w:r>
        <w:rPr>
          <w:rFonts w:hint="eastAsia" w:ascii="宋体" w:hAnsi="宋体" w:cs="宋体"/>
          <w:color w:val="auto"/>
          <w:szCs w:val="21"/>
        </w:rPr>
        <w:t>个工作日内，以书面形式向采购代理机构提出质疑，并及时索要书面回执。</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（六）采购代理机构应当按照有关规定就采购人委托授权范围内的事项在收到投标人的书面质疑后</w:t>
      </w:r>
      <w:r>
        <w:rPr>
          <w:rFonts w:ascii="宋体" w:hAnsi="宋体" w:cs="宋体"/>
          <w:color w:val="auto"/>
          <w:szCs w:val="21"/>
        </w:rPr>
        <w:t>7</w:t>
      </w:r>
      <w:r>
        <w:rPr>
          <w:rFonts w:hint="eastAsia" w:ascii="宋体" w:hAnsi="宋体" w:cs="宋体"/>
          <w:color w:val="auto"/>
          <w:szCs w:val="21"/>
        </w:rPr>
        <w:t>个工作日内做出答复，但答复的内容不得涉及商业秘密。</w:t>
      </w:r>
    </w:p>
    <w:p>
      <w:pPr>
        <w:snapToGrid w:val="0"/>
        <w:spacing w:line="400" w:lineRule="exact"/>
        <w:ind w:firstLine="422" w:firstLineChars="200"/>
        <w:rPr>
          <w:rFonts w:ascii="宋体"/>
          <w:color w:val="auto"/>
        </w:rPr>
      </w:pPr>
      <w:r>
        <w:rPr>
          <w:rFonts w:hint="eastAsia" w:ascii="宋体" w:hAnsi="宋体" w:cs="宋体"/>
          <w:b/>
          <w:color w:val="auto"/>
        </w:rPr>
        <w:t>七、</w:t>
      </w:r>
      <w:bookmarkStart w:id="486" w:name="_Toc254970547"/>
      <w:bookmarkStart w:id="487" w:name="_Toc254970688"/>
      <w:bookmarkStart w:id="488" w:name="_Toc293863323"/>
      <w:bookmarkStart w:id="489" w:name="_Toc482865325"/>
      <w:bookmarkStart w:id="490" w:name="_Toc482865155"/>
      <w:bookmarkStart w:id="491" w:name="_Toc482864554"/>
      <w:bookmarkStart w:id="492" w:name="_Toc308018680"/>
      <w:bookmarkStart w:id="493" w:name="_Toc293863056"/>
      <w:bookmarkStart w:id="494" w:name="_Toc483327814"/>
      <w:bookmarkStart w:id="495" w:name="_Toc400465716"/>
      <w:bookmarkStart w:id="496" w:name="_Toc448421145"/>
      <w:bookmarkStart w:id="497" w:name="_Toc445223683"/>
      <w:r>
        <w:rPr>
          <w:rFonts w:hint="eastAsia" w:ascii="宋体" w:hAnsi="宋体"/>
          <w:b/>
          <w:bCs/>
          <w:color w:val="auto"/>
        </w:rPr>
        <w:t>合同</w:t>
      </w:r>
      <w:bookmarkEnd w:id="486"/>
      <w:bookmarkEnd w:id="487"/>
      <w:r>
        <w:rPr>
          <w:rFonts w:hint="eastAsia" w:ascii="宋体" w:hAnsi="宋体"/>
          <w:b/>
          <w:bCs/>
          <w:color w:val="auto"/>
        </w:rPr>
        <w:t>签订</w:t>
      </w:r>
      <w:bookmarkEnd w:id="488"/>
      <w:bookmarkEnd w:id="489"/>
      <w:bookmarkEnd w:id="490"/>
      <w:bookmarkEnd w:id="491"/>
      <w:bookmarkEnd w:id="492"/>
      <w:bookmarkEnd w:id="493"/>
      <w:bookmarkEnd w:id="494"/>
      <w:bookmarkEnd w:id="495"/>
      <w:bookmarkEnd w:id="496"/>
      <w:bookmarkEnd w:id="497"/>
    </w:p>
    <w:p>
      <w:pPr>
        <w:snapToGrid w:val="0"/>
        <w:spacing w:line="400" w:lineRule="exact"/>
        <w:ind w:firstLine="413" w:firstLineChars="196"/>
        <w:rPr>
          <w:rFonts w:ascii="宋体" w:cs="宋体"/>
          <w:b/>
          <w:bCs/>
          <w:color w:val="auto"/>
          <w:szCs w:val="21"/>
        </w:rPr>
      </w:pPr>
      <w:r>
        <w:rPr>
          <w:rFonts w:hint="eastAsia" w:ascii="宋体" w:hAnsi="宋体" w:cs="宋体"/>
          <w:b/>
          <w:bCs/>
          <w:color w:val="auto"/>
          <w:szCs w:val="21"/>
        </w:rPr>
        <w:t>（一）合同授予标准</w:t>
      </w:r>
    </w:p>
    <w:p>
      <w:pPr>
        <w:snapToGrid w:val="0"/>
        <w:spacing w:line="400" w:lineRule="exact"/>
        <w:ind w:firstLine="411" w:firstLineChars="196"/>
        <w:rPr>
          <w:rFonts w:ascii="宋体" w:cs="宋体"/>
          <w:bCs/>
          <w:color w:val="auto"/>
          <w:szCs w:val="21"/>
        </w:rPr>
      </w:pPr>
      <w:r>
        <w:rPr>
          <w:rFonts w:hint="eastAsia" w:ascii="宋体" w:hAnsi="宋体" w:cs="宋体"/>
          <w:bCs/>
          <w:color w:val="auto"/>
          <w:szCs w:val="21"/>
        </w:rPr>
        <w:t>合同将授予被确定实质上响应招标文件要求，具备履行合同能力，综合评分排名第一的投标人。</w:t>
      </w:r>
    </w:p>
    <w:p>
      <w:pPr>
        <w:snapToGrid w:val="0"/>
        <w:spacing w:line="400" w:lineRule="exact"/>
        <w:ind w:firstLine="413" w:firstLineChars="196"/>
        <w:rPr>
          <w:rFonts w:ascii="宋体" w:cs="宋体"/>
          <w:b/>
          <w:bCs/>
          <w:color w:val="auto"/>
          <w:szCs w:val="21"/>
        </w:rPr>
      </w:pPr>
      <w:r>
        <w:rPr>
          <w:rFonts w:hint="eastAsia" w:ascii="宋体" w:hAnsi="宋体" w:cs="宋体"/>
          <w:b/>
          <w:bCs/>
          <w:color w:val="auto"/>
          <w:szCs w:val="21"/>
        </w:rPr>
        <w:t>（二）履约保证金</w:t>
      </w:r>
    </w:p>
    <w:p>
      <w:pPr>
        <w:snapToGrid w:val="0"/>
        <w:spacing w:line="400" w:lineRule="exact"/>
        <w:ind w:firstLine="411" w:firstLineChars="196"/>
        <w:rPr>
          <w:rFonts w:hint="eastAsia" w:ascii="宋体" w:hAnsi="宋体" w:cs="宋体"/>
          <w:bCs/>
          <w:color w:val="auto"/>
          <w:szCs w:val="21"/>
          <w:lang w:val="en-US" w:eastAsia="zh-CN"/>
        </w:rPr>
      </w:pPr>
      <w:r>
        <w:rPr>
          <w:rFonts w:hint="eastAsia" w:ascii="宋体" w:hAnsi="宋体" w:cs="宋体"/>
          <w:bCs/>
          <w:color w:val="auto"/>
          <w:szCs w:val="21"/>
          <w:lang w:val="en-US" w:eastAsia="zh-CN"/>
        </w:rPr>
        <w:t>本项目不收取履约保证金</w:t>
      </w:r>
    </w:p>
    <w:p>
      <w:pPr>
        <w:snapToGrid w:val="0"/>
        <w:spacing w:line="400" w:lineRule="exact"/>
        <w:ind w:firstLine="413" w:firstLineChars="196"/>
        <w:rPr>
          <w:rFonts w:ascii="宋体" w:cs="宋体"/>
          <w:b/>
          <w:bCs/>
          <w:color w:val="auto"/>
          <w:szCs w:val="21"/>
        </w:rPr>
      </w:pPr>
      <w:r>
        <w:rPr>
          <w:rFonts w:hint="eastAsia" w:ascii="宋体" w:hAnsi="宋体" w:cs="宋体"/>
          <w:b/>
          <w:bCs/>
          <w:color w:val="auto"/>
          <w:szCs w:val="21"/>
        </w:rPr>
        <w:t>（三）签订合同</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1</w:t>
      </w:r>
      <w:r>
        <w:rPr>
          <w:rFonts w:hint="eastAsia" w:ascii="宋体" w:hAnsi="宋体" w:cs="宋体"/>
          <w:bCs/>
          <w:color w:val="auto"/>
          <w:szCs w:val="21"/>
        </w:rPr>
        <w:t>）投标人接到中标通知书后，应按中标通知书规定的时间、地点与采购人签订合同。（投标人中标后可以由项目所在地分公司在总公司授权下签订合同，相应的法律责任由总公司承担。）</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2</w:t>
      </w:r>
      <w:r>
        <w:rPr>
          <w:rFonts w:hint="eastAsia" w:ascii="宋体" w:hAnsi="宋体" w:cs="宋体"/>
          <w:bCs/>
          <w:color w:val="auto"/>
          <w:szCs w:val="21"/>
        </w:rPr>
        <w:t>）如中标人不按中标通知书的规定签订合同，则按中标人违约处理。</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3</w:t>
      </w:r>
      <w:r>
        <w:rPr>
          <w:rFonts w:hint="eastAsia" w:ascii="宋体" w:hAnsi="宋体" w:cs="宋体"/>
          <w:bCs/>
          <w:color w:val="auto"/>
          <w:szCs w:val="21"/>
        </w:rPr>
        <w:t>）中标人因不可抗力或者自身原因不能履行采购合同的，采购人可以与中标人之后排名第一的中标候选人签订采购合同，以此类推。</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4</w:t>
      </w:r>
      <w:r>
        <w:rPr>
          <w:rFonts w:hint="eastAsia" w:ascii="宋体" w:hAnsi="宋体" w:cs="宋体"/>
          <w:bCs/>
          <w:color w:val="auto"/>
          <w:szCs w:val="21"/>
        </w:rPr>
        <w:t>）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5</w:t>
      </w:r>
      <w:r>
        <w:rPr>
          <w:rFonts w:hint="eastAsia" w:ascii="宋体" w:hAnsi="宋体" w:cs="宋体"/>
          <w:bCs/>
          <w:color w:val="auto"/>
          <w:szCs w:val="21"/>
        </w:rPr>
        <w:t>）政府采购合同公告</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根据《中华人民共和国政府采购法实施条例》第五十条规定，采购人应当自政府采购合同签订之日起</w:t>
      </w:r>
      <w:r>
        <w:rPr>
          <w:rFonts w:ascii="宋体" w:hAnsi="宋体" w:cs="宋体"/>
          <w:bCs/>
          <w:color w:val="auto"/>
          <w:szCs w:val="21"/>
        </w:rPr>
        <w:t>2</w:t>
      </w:r>
      <w:r>
        <w:rPr>
          <w:rFonts w:hint="eastAsia" w:ascii="宋体" w:hAnsi="宋体" w:cs="宋体"/>
          <w:bCs/>
          <w:color w:val="auto"/>
          <w:szCs w:val="21"/>
        </w:rPr>
        <w:t>个工作日内，将政府采购合同在省级以上人民政府财政部门指定的媒体上公告，但政府采购合同中涉及国家秘密、商业秘密的内容除外。</w:t>
      </w:r>
    </w:p>
    <w:p>
      <w:pPr>
        <w:pStyle w:val="23"/>
        <w:snapToGrid w:val="0"/>
        <w:spacing w:line="400" w:lineRule="exact"/>
        <w:outlineLvl w:val="1"/>
        <w:rPr>
          <w:rFonts w:hAnsi="宋体" w:cs="宋体"/>
          <w:b/>
          <w:bCs/>
          <w:color w:val="auto"/>
          <w:sz w:val="21"/>
        </w:rPr>
      </w:pPr>
      <w:bookmarkStart w:id="498" w:name="_Toc293863324"/>
      <w:bookmarkStart w:id="499" w:name="_Toc308018681"/>
      <w:bookmarkStart w:id="500" w:name="_Toc445223684"/>
      <w:bookmarkStart w:id="501" w:name="_Toc293863057"/>
      <w:bookmarkStart w:id="502" w:name="_Toc482865326"/>
      <w:bookmarkStart w:id="503" w:name="_Toc1191"/>
      <w:bookmarkStart w:id="504" w:name="_Toc482864555"/>
      <w:bookmarkStart w:id="505" w:name="_Toc448421146"/>
      <w:bookmarkStart w:id="506" w:name="_Toc482865156"/>
      <w:bookmarkStart w:id="507" w:name="_Toc400465717"/>
      <w:bookmarkStart w:id="508" w:name="_Toc483327815"/>
      <w:r>
        <w:rPr>
          <w:rFonts w:hint="eastAsia" w:hAnsi="宋体" w:cs="宋体"/>
          <w:b/>
          <w:bCs/>
          <w:color w:val="auto"/>
          <w:sz w:val="21"/>
        </w:rPr>
        <w:t>八、其它事项</w:t>
      </w:r>
      <w:bookmarkEnd w:id="498"/>
      <w:bookmarkEnd w:id="499"/>
      <w:bookmarkEnd w:id="500"/>
      <w:bookmarkEnd w:id="501"/>
      <w:bookmarkEnd w:id="502"/>
      <w:bookmarkEnd w:id="503"/>
      <w:bookmarkEnd w:id="504"/>
      <w:bookmarkEnd w:id="505"/>
      <w:bookmarkEnd w:id="506"/>
      <w:bookmarkEnd w:id="507"/>
      <w:bookmarkEnd w:id="508"/>
    </w:p>
    <w:p>
      <w:pPr>
        <w:pStyle w:val="23"/>
        <w:snapToGrid w:val="0"/>
        <w:spacing w:line="400" w:lineRule="exact"/>
        <w:ind w:firstLine="420" w:firstLineChars="200"/>
        <w:outlineLvl w:val="1"/>
        <w:rPr>
          <w:rFonts w:hAnsi="宋体" w:cs="宋体"/>
          <w:bCs/>
          <w:color w:val="auto"/>
          <w:sz w:val="21"/>
        </w:rPr>
      </w:pPr>
      <w:bookmarkStart w:id="509" w:name="_Toc293863325"/>
      <w:bookmarkStart w:id="510" w:name="_Toc448421147"/>
      <w:bookmarkStart w:id="511" w:name="_Toc308018682"/>
      <w:bookmarkStart w:id="512" w:name="_Toc293863058"/>
      <w:bookmarkStart w:id="513" w:name="_Toc400465718"/>
      <w:bookmarkStart w:id="514" w:name="_Toc23316"/>
      <w:bookmarkStart w:id="515" w:name="_Toc482864556"/>
      <w:bookmarkStart w:id="516" w:name="_Toc482865157"/>
      <w:bookmarkStart w:id="517" w:name="_Toc482865327"/>
      <w:bookmarkStart w:id="518" w:name="_Toc483327816"/>
      <w:r>
        <w:rPr>
          <w:rFonts w:hint="eastAsia" w:hAnsi="宋体" w:cs="宋体"/>
          <w:bCs/>
          <w:color w:val="auto"/>
          <w:sz w:val="21"/>
        </w:rPr>
        <w:t>签订合同前，中标人应向采购代理机构一次付清中标服务费。中标服务费收取按投标人须知前附表第</w:t>
      </w:r>
      <w:r>
        <w:rPr>
          <w:rFonts w:hAnsi="宋体" w:cs="宋体"/>
          <w:bCs/>
          <w:color w:val="auto"/>
          <w:sz w:val="21"/>
        </w:rPr>
        <w:t>2</w:t>
      </w:r>
      <w:r>
        <w:rPr>
          <w:rFonts w:hint="eastAsia" w:hAnsi="宋体" w:cs="宋体"/>
          <w:bCs/>
          <w:color w:val="auto"/>
          <w:sz w:val="21"/>
        </w:rPr>
        <w:t>条规定执行。</w:t>
      </w:r>
      <w:bookmarkEnd w:id="509"/>
      <w:bookmarkEnd w:id="510"/>
      <w:bookmarkEnd w:id="511"/>
      <w:bookmarkEnd w:id="512"/>
      <w:bookmarkEnd w:id="513"/>
      <w:bookmarkEnd w:id="514"/>
      <w:bookmarkEnd w:id="515"/>
      <w:bookmarkEnd w:id="516"/>
      <w:bookmarkEnd w:id="517"/>
      <w:bookmarkEnd w:id="518"/>
    </w:p>
    <w:p>
      <w:pPr>
        <w:pStyle w:val="23"/>
        <w:snapToGrid w:val="0"/>
        <w:spacing w:line="400" w:lineRule="exact"/>
        <w:ind w:firstLine="420" w:firstLineChars="200"/>
        <w:outlineLvl w:val="1"/>
        <w:rPr>
          <w:rFonts w:hAnsi="宋体" w:cs="宋体"/>
          <w:bCs/>
          <w:color w:val="auto"/>
          <w:sz w:val="21"/>
        </w:rPr>
      </w:pPr>
      <w:bookmarkStart w:id="519" w:name="_Toc15904"/>
      <w:r>
        <w:rPr>
          <w:rFonts w:hint="eastAsia" w:hAnsi="宋体" w:cs="宋体"/>
          <w:bCs/>
          <w:color w:val="auto"/>
          <w:sz w:val="21"/>
        </w:rPr>
        <w:t>代理服务收费标准：</w:t>
      </w:r>
      <w:bookmarkEnd w:id="519"/>
    </w:p>
    <w:tbl>
      <w:tblPr>
        <w:tblStyle w:val="40"/>
        <w:tblW w:w="899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0"/>
        <w:gridCol w:w="1998"/>
        <w:gridCol w:w="1988"/>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720" w:type="dxa"/>
          </w:tcPr>
          <w:p>
            <w:pPr>
              <w:pStyle w:val="23"/>
              <w:snapToGrid w:val="0"/>
              <w:spacing w:line="400" w:lineRule="exact"/>
              <w:ind w:firstLine="800" w:firstLineChars="400"/>
              <w:outlineLvl w:val="1"/>
              <w:rPr>
                <w:rFonts w:hAnsi="宋体" w:cs="宋体"/>
                <w:bCs/>
                <w:color w:val="auto"/>
                <w:sz w:val="21"/>
              </w:rPr>
            </w:pPr>
            <w:bookmarkStart w:id="520" w:name="_Toc24175"/>
            <w:r>
              <w:rPr>
                <w:color w:val="auto"/>
              </w:rPr>
              <w:pict>
                <v:line id="直线 4" o:spid="_x0000_s1026" o:spt="20" style="position:absolute;left:0pt;margin-left:-3.1pt;margin-top:6.8pt;height:31.2pt;width:135pt;z-index:251659264;mso-width-relative:page;mso-height-relative:page;" coordsize="21600,21600" o:gfxdata="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VJsA/1gAAAAgBAAAPAAAAAAAAAAEAIAAAACIAAABkcnMvZG93bnJldi54bWxQSwECFAAU&#10;AAAACACHTuJARHzLa/MBAADuAwAADgAAAAAAAAABACAAAAAlAQAAZHJzL2Uyb0RvYy54bWxQSwUG&#10;AAAAAAYABgBZAQAAigUAAAAA&#10;">
                  <v:path arrowok="t"/>
                  <v:fill focussize="0,0"/>
                  <v:stroke/>
                  <v:imagedata o:title=""/>
                  <o:lock v:ext="edit"/>
                </v:line>
              </w:pict>
            </w:r>
            <w:r>
              <w:rPr>
                <w:rFonts w:hint="eastAsia" w:hAnsi="宋体" w:cs="宋体"/>
                <w:bCs/>
                <w:color w:val="auto"/>
                <w:sz w:val="21"/>
              </w:rPr>
              <w:t>费率</w:t>
            </w:r>
            <w:r>
              <w:rPr>
                <w:rFonts w:hAnsi="宋体" w:cs="宋体"/>
                <w:bCs/>
                <w:color w:val="auto"/>
                <w:sz w:val="21"/>
              </w:rPr>
              <w:t xml:space="preserve">   </w:t>
            </w:r>
            <w:r>
              <w:rPr>
                <w:rFonts w:hint="eastAsia" w:hAnsi="宋体" w:cs="宋体"/>
                <w:bCs/>
                <w:color w:val="auto"/>
                <w:sz w:val="21"/>
              </w:rPr>
              <w:t>服务类型</w:t>
            </w:r>
            <w:bookmarkEnd w:id="520"/>
          </w:p>
          <w:p>
            <w:pPr>
              <w:pStyle w:val="23"/>
              <w:snapToGrid w:val="0"/>
              <w:spacing w:line="400" w:lineRule="exact"/>
              <w:ind w:firstLine="420" w:firstLineChars="200"/>
              <w:outlineLvl w:val="1"/>
              <w:rPr>
                <w:rFonts w:hAnsi="宋体" w:cs="宋体"/>
                <w:bCs/>
                <w:color w:val="auto"/>
                <w:sz w:val="21"/>
              </w:rPr>
            </w:pPr>
            <w:bookmarkStart w:id="521" w:name="_Toc27610"/>
            <w:r>
              <w:rPr>
                <w:rFonts w:hint="eastAsia" w:hAnsi="宋体" w:cs="宋体"/>
                <w:bCs/>
                <w:color w:val="auto"/>
                <w:sz w:val="21"/>
              </w:rPr>
              <w:t>中标金额（万元）</w:t>
            </w:r>
            <w:bookmarkEnd w:id="521"/>
          </w:p>
        </w:tc>
        <w:tc>
          <w:tcPr>
            <w:tcW w:w="1998" w:type="dxa"/>
            <w:vAlign w:val="center"/>
          </w:tcPr>
          <w:p>
            <w:pPr>
              <w:pStyle w:val="23"/>
              <w:snapToGrid w:val="0"/>
              <w:spacing w:line="400" w:lineRule="exact"/>
              <w:ind w:firstLine="420" w:firstLineChars="200"/>
              <w:outlineLvl w:val="1"/>
              <w:rPr>
                <w:rFonts w:hAnsi="宋体" w:cs="宋体"/>
                <w:bCs/>
                <w:color w:val="auto"/>
                <w:sz w:val="21"/>
              </w:rPr>
            </w:pPr>
            <w:bookmarkStart w:id="522" w:name="_Toc22660"/>
            <w:r>
              <w:rPr>
                <w:rFonts w:hint="eastAsia" w:hAnsi="宋体" w:cs="宋体"/>
                <w:bCs/>
                <w:color w:val="auto"/>
                <w:sz w:val="21"/>
              </w:rPr>
              <w:t>货物招标</w:t>
            </w:r>
            <w:bookmarkEnd w:id="522"/>
          </w:p>
        </w:tc>
        <w:tc>
          <w:tcPr>
            <w:tcW w:w="1988" w:type="dxa"/>
            <w:vAlign w:val="center"/>
          </w:tcPr>
          <w:p>
            <w:pPr>
              <w:pStyle w:val="23"/>
              <w:snapToGrid w:val="0"/>
              <w:spacing w:line="400" w:lineRule="exact"/>
              <w:ind w:firstLine="420" w:firstLineChars="200"/>
              <w:outlineLvl w:val="1"/>
              <w:rPr>
                <w:rFonts w:hAnsi="宋体" w:cs="宋体"/>
                <w:bCs/>
                <w:color w:val="auto"/>
                <w:sz w:val="21"/>
              </w:rPr>
            </w:pPr>
            <w:bookmarkStart w:id="523" w:name="_Toc29687"/>
            <w:r>
              <w:rPr>
                <w:rFonts w:hint="eastAsia" w:hAnsi="宋体" w:cs="宋体"/>
                <w:bCs/>
                <w:color w:val="auto"/>
                <w:sz w:val="21"/>
              </w:rPr>
              <w:t>服务招标</w:t>
            </w:r>
            <w:bookmarkEnd w:id="523"/>
          </w:p>
        </w:tc>
        <w:tc>
          <w:tcPr>
            <w:tcW w:w="2292" w:type="dxa"/>
            <w:vAlign w:val="center"/>
          </w:tcPr>
          <w:p>
            <w:pPr>
              <w:pStyle w:val="23"/>
              <w:snapToGrid w:val="0"/>
              <w:spacing w:line="400" w:lineRule="exact"/>
              <w:ind w:firstLine="420" w:firstLineChars="200"/>
              <w:outlineLvl w:val="1"/>
              <w:rPr>
                <w:rFonts w:hAnsi="宋体" w:cs="宋体"/>
                <w:bCs/>
                <w:color w:val="auto"/>
                <w:sz w:val="21"/>
              </w:rPr>
            </w:pPr>
            <w:bookmarkStart w:id="524" w:name="_Toc23739"/>
            <w:r>
              <w:rPr>
                <w:rFonts w:hint="eastAsia" w:hAnsi="宋体" w:cs="宋体"/>
                <w:bCs/>
                <w:color w:val="auto"/>
                <w:sz w:val="21"/>
              </w:rPr>
              <w:t>工程招标</w:t>
            </w:r>
            <w:bookmarkEnd w:id="5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3"/>
              <w:snapToGrid w:val="0"/>
              <w:spacing w:line="400" w:lineRule="exact"/>
              <w:ind w:firstLine="420" w:firstLineChars="200"/>
              <w:outlineLvl w:val="1"/>
              <w:rPr>
                <w:rFonts w:hAnsi="宋体" w:cs="宋体"/>
                <w:bCs/>
                <w:color w:val="auto"/>
                <w:sz w:val="21"/>
              </w:rPr>
            </w:pPr>
            <w:bookmarkStart w:id="525" w:name="_Toc4809"/>
            <w:r>
              <w:rPr>
                <w:rFonts w:hAnsi="宋体" w:cs="宋体"/>
                <w:bCs/>
                <w:color w:val="auto"/>
                <w:sz w:val="21"/>
              </w:rPr>
              <w:t>100</w:t>
            </w:r>
            <w:r>
              <w:rPr>
                <w:rFonts w:hint="eastAsia" w:hAnsi="宋体" w:cs="宋体"/>
                <w:bCs/>
                <w:color w:val="auto"/>
                <w:sz w:val="21"/>
              </w:rPr>
              <w:t>以下</w:t>
            </w:r>
            <w:bookmarkEnd w:id="525"/>
          </w:p>
        </w:tc>
        <w:tc>
          <w:tcPr>
            <w:tcW w:w="1998" w:type="dxa"/>
          </w:tcPr>
          <w:p>
            <w:pPr>
              <w:pStyle w:val="23"/>
              <w:snapToGrid w:val="0"/>
              <w:spacing w:line="400" w:lineRule="exact"/>
              <w:ind w:firstLine="420" w:firstLineChars="200"/>
              <w:outlineLvl w:val="1"/>
              <w:rPr>
                <w:rFonts w:hAnsi="宋体" w:cs="宋体"/>
                <w:bCs/>
                <w:color w:val="auto"/>
                <w:sz w:val="21"/>
              </w:rPr>
            </w:pPr>
            <w:bookmarkStart w:id="526" w:name="_Toc31361"/>
            <w:r>
              <w:rPr>
                <w:rFonts w:hAnsi="宋体" w:cs="宋体"/>
                <w:bCs/>
                <w:color w:val="auto"/>
                <w:sz w:val="21"/>
              </w:rPr>
              <w:t>1.5%</w:t>
            </w:r>
            <w:bookmarkEnd w:id="526"/>
          </w:p>
        </w:tc>
        <w:tc>
          <w:tcPr>
            <w:tcW w:w="1988" w:type="dxa"/>
          </w:tcPr>
          <w:p>
            <w:pPr>
              <w:pStyle w:val="23"/>
              <w:snapToGrid w:val="0"/>
              <w:spacing w:line="400" w:lineRule="exact"/>
              <w:ind w:firstLine="420" w:firstLineChars="200"/>
              <w:outlineLvl w:val="1"/>
              <w:rPr>
                <w:rFonts w:hAnsi="宋体" w:cs="宋体"/>
                <w:bCs/>
                <w:color w:val="auto"/>
                <w:sz w:val="21"/>
              </w:rPr>
            </w:pPr>
            <w:bookmarkStart w:id="527" w:name="_Toc21731"/>
            <w:r>
              <w:rPr>
                <w:rFonts w:hAnsi="宋体" w:cs="宋体"/>
                <w:bCs/>
                <w:color w:val="auto"/>
                <w:sz w:val="21"/>
              </w:rPr>
              <w:t>1.5%</w:t>
            </w:r>
            <w:bookmarkEnd w:id="527"/>
          </w:p>
        </w:tc>
        <w:tc>
          <w:tcPr>
            <w:tcW w:w="2292" w:type="dxa"/>
          </w:tcPr>
          <w:p>
            <w:pPr>
              <w:pStyle w:val="23"/>
              <w:snapToGrid w:val="0"/>
              <w:spacing w:line="400" w:lineRule="exact"/>
              <w:ind w:firstLine="420" w:firstLineChars="200"/>
              <w:outlineLvl w:val="1"/>
              <w:rPr>
                <w:rFonts w:hAnsi="宋体" w:cs="宋体"/>
                <w:bCs/>
                <w:color w:val="auto"/>
                <w:sz w:val="21"/>
              </w:rPr>
            </w:pPr>
            <w:bookmarkStart w:id="528" w:name="_Toc17294"/>
            <w:r>
              <w:rPr>
                <w:rFonts w:hAnsi="宋体" w:cs="宋体"/>
                <w:bCs/>
                <w:color w:val="auto"/>
                <w:sz w:val="21"/>
              </w:rPr>
              <w:t>1.0%</w:t>
            </w:r>
            <w:bookmarkEnd w:id="5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3"/>
              <w:snapToGrid w:val="0"/>
              <w:spacing w:line="400" w:lineRule="exact"/>
              <w:ind w:firstLine="420" w:firstLineChars="200"/>
              <w:outlineLvl w:val="1"/>
              <w:rPr>
                <w:rFonts w:hAnsi="宋体" w:cs="宋体"/>
                <w:bCs/>
                <w:color w:val="auto"/>
                <w:sz w:val="21"/>
              </w:rPr>
            </w:pPr>
            <w:bookmarkStart w:id="529" w:name="_Toc9927"/>
            <w:r>
              <w:rPr>
                <w:rFonts w:hAnsi="宋体" w:cs="宋体"/>
                <w:bCs/>
                <w:color w:val="auto"/>
                <w:sz w:val="21"/>
              </w:rPr>
              <w:t>100-500</w:t>
            </w:r>
            <w:bookmarkEnd w:id="529"/>
          </w:p>
        </w:tc>
        <w:tc>
          <w:tcPr>
            <w:tcW w:w="1998" w:type="dxa"/>
          </w:tcPr>
          <w:p>
            <w:pPr>
              <w:pStyle w:val="23"/>
              <w:snapToGrid w:val="0"/>
              <w:spacing w:line="400" w:lineRule="exact"/>
              <w:ind w:firstLine="420" w:firstLineChars="200"/>
              <w:outlineLvl w:val="1"/>
              <w:rPr>
                <w:rFonts w:hAnsi="宋体" w:cs="宋体"/>
                <w:bCs/>
                <w:color w:val="auto"/>
                <w:sz w:val="21"/>
              </w:rPr>
            </w:pPr>
            <w:bookmarkStart w:id="530" w:name="_Toc13666"/>
            <w:r>
              <w:rPr>
                <w:rFonts w:hAnsi="宋体" w:cs="宋体"/>
                <w:bCs/>
                <w:color w:val="auto"/>
                <w:sz w:val="21"/>
              </w:rPr>
              <w:t>1.1%</w:t>
            </w:r>
            <w:bookmarkEnd w:id="530"/>
          </w:p>
        </w:tc>
        <w:tc>
          <w:tcPr>
            <w:tcW w:w="1988" w:type="dxa"/>
          </w:tcPr>
          <w:p>
            <w:pPr>
              <w:pStyle w:val="23"/>
              <w:snapToGrid w:val="0"/>
              <w:spacing w:line="400" w:lineRule="exact"/>
              <w:ind w:firstLine="420" w:firstLineChars="200"/>
              <w:outlineLvl w:val="1"/>
              <w:rPr>
                <w:rFonts w:hAnsi="宋体" w:cs="宋体"/>
                <w:bCs/>
                <w:color w:val="auto"/>
                <w:sz w:val="21"/>
              </w:rPr>
            </w:pPr>
            <w:bookmarkStart w:id="531" w:name="_Toc20207"/>
            <w:r>
              <w:rPr>
                <w:rFonts w:hAnsi="宋体" w:cs="宋体"/>
                <w:bCs/>
                <w:color w:val="auto"/>
                <w:sz w:val="21"/>
              </w:rPr>
              <w:t>0.8%</w:t>
            </w:r>
            <w:bookmarkEnd w:id="531"/>
          </w:p>
        </w:tc>
        <w:tc>
          <w:tcPr>
            <w:tcW w:w="2292" w:type="dxa"/>
          </w:tcPr>
          <w:p>
            <w:pPr>
              <w:pStyle w:val="23"/>
              <w:snapToGrid w:val="0"/>
              <w:spacing w:line="400" w:lineRule="exact"/>
              <w:ind w:firstLine="420" w:firstLineChars="200"/>
              <w:outlineLvl w:val="1"/>
              <w:rPr>
                <w:rFonts w:hAnsi="宋体" w:cs="宋体"/>
                <w:bCs/>
                <w:color w:val="auto"/>
                <w:sz w:val="21"/>
              </w:rPr>
            </w:pPr>
            <w:bookmarkStart w:id="532" w:name="_Toc10140"/>
            <w:r>
              <w:rPr>
                <w:rFonts w:hAnsi="宋体" w:cs="宋体"/>
                <w:bCs/>
                <w:color w:val="auto"/>
                <w:sz w:val="21"/>
              </w:rPr>
              <w:t>0.7%</w:t>
            </w:r>
            <w:bookmarkEnd w:id="5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3"/>
              <w:snapToGrid w:val="0"/>
              <w:spacing w:line="400" w:lineRule="exact"/>
              <w:ind w:firstLine="420" w:firstLineChars="200"/>
              <w:outlineLvl w:val="1"/>
              <w:rPr>
                <w:rFonts w:hAnsi="宋体" w:cs="宋体"/>
                <w:bCs/>
                <w:color w:val="auto"/>
                <w:sz w:val="21"/>
              </w:rPr>
            </w:pPr>
            <w:bookmarkStart w:id="533" w:name="_Toc3400"/>
            <w:r>
              <w:rPr>
                <w:rFonts w:hAnsi="宋体" w:cs="宋体"/>
                <w:bCs/>
                <w:color w:val="auto"/>
                <w:sz w:val="21"/>
              </w:rPr>
              <w:t>500-1000</w:t>
            </w:r>
            <w:bookmarkEnd w:id="533"/>
          </w:p>
        </w:tc>
        <w:tc>
          <w:tcPr>
            <w:tcW w:w="1998" w:type="dxa"/>
          </w:tcPr>
          <w:p>
            <w:pPr>
              <w:pStyle w:val="23"/>
              <w:snapToGrid w:val="0"/>
              <w:spacing w:line="400" w:lineRule="exact"/>
              <w:ind w:firstLine="420" w:firstLineChars="200"/>
              <w:outlineLvl w:val="1"/>
              <w:rPr>
                <w:rFonts w:hAnsi="宋体" w:cs="宋体"/>
                <w:bCs/>
                <w:color w:val="auto"/>
                <w:sz w:val="21"/>
              </w:rPr>
            </w:pPr>
            <w:bookmarkStart w:id="534" w:name="_Toc11801"/>
            <w:r>
              <w:rPr>
                <w:rFonts w:hAnsi="宋体" w:cs="宋体"/>
                <w:bCs/>
                <w:color w:val="auto"/>
                <w:sz w:val="21"/>
              </w:rPr>
              <w:t>0.8%</w:t>
            </w:r>
            <w:bookmarkEnd w:id="534"/>
          </w:p>
        </w:tc>
        <w:tc>
          <w:tcPr>
            <w:tcW w:w="1988" w:type="dxa"/>
          </w:tcPr>
          <w:p>
            <w:pPr>
              <w:pStyle w:val="23"/>
              <w:snapToGrid w:val="0"/>
              <w:spacing w:line="400" w:lineRule="exact"/>
              <w:ind w:firstLine="420" w:firstLineChars="200"/>
              <w:outlineLvl w:val="1"/>
              <w:rPr>
                <w:rFonts w:hAnsi="宋体" w:cs="宋体"/>
                <w:bCs/>
                <w:color w:val="auto"/>
                <w:sz w:val="21"/>
              </w:rPr>
            </w:pPr>
            <w:bookmarkStart w:id="535" w:name="_Toc13144"/>
            <w:r>
              <w:rPr>
                <w:rFonts w:hAnsi="宋体" w:cs="宋体"/>
                <w:bCs/>
                <w:color w:val="auto"/>
                <w:sz w:val="21"/>
              </w:rPr>
              <w:t>0.45%</w:t>
            </w:r>
            <w:bookmarkEnd w:id="535"/>
          </w:p>
        </w:tc>
        <w:tc>
          <w:tcPr>
            <w:tcW w:w="2292" w:type="dxa"/>
          </w:tcPr>
          <w:p>
            <w:pPr>
              <w:pStyle w:val="23"/>
              <w:snapToGrid w:val="0"/>
              <w:spacing w:line="400" w:lineRule="exact"/>
              <w:ind w:firstLine="420" w:firstLineChars="200"/>
              <w:outlineLvl w:val="1"/>
              <w:rPr>
                <w:rFonts w:hAnsi="宋体" w:cs="宋体"/>
                <w:bCs/>
                <w:color w:val="auto"/>
                <w:sz w:val="21"/>
              </w:rPr>
            </w:pPr>
            <w:bookmarkStart w:id="536" w:name="_Toc5372"/>
            <w:r>
              <w:rPr>
                <w:rFonts w:hAnsi="宋体" w:cs="宋体"/>
                <w:bCs/>
                <w:color w:val="auto"/>
                <w:sz w:val="21"/>
              </w:rPr>
              <w:t>0.55%</w:t>
            </w:r>
            <w:bookmarkEnd w:id="5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3"/>
              <w:snapToGrid w:val="0"/>
              <w:spacing w:line="400" w:lineRule="exact"/>
              <w:ind w:firstLine="420" w:firstLineChars="200"/>
              <w:outlineLvl w:val="1"/>
              <w:rPr>
                <w:rFonts w:hAnsi="宋体" w:cs="宋体"/>
                <w:bCs/>
                <w:color w:val="auto"/>
                <w:sz w:val="21"/>
              </w:rPr>
            </w:pPr>
            <w:bookmarkStart w:id="537" w:name="_Toc25241"/>
            <w:r>
              <w:rPr>
                <w:rFonts w:hAnsi="宋体" w:cs="宋体"/>
                <w:bCs/>
                <w:color w:val="auto"/>
                <w:sz w:val="21"/>
              </w:rPr>
              <w:t>1000-5000</w:t>
            </w:r>
            <w:bookmarkEnd w:id="537"/>
          </w:p>
        </w:tc>
        <w:tc>
          <w:tcPr>
            <w:tcW w:w="1998" w:type="dxa"/>
          </w:tcPr>
          <w:p>
            <w:pPr>
              <w:pStyle w:val="23"/>
              <w:snapToGrid w:val="0"/>
              <w:spacing w:line="400" w:lineRule="exact"/>
              <w:ind w:firstLine="420" w:firstLineChars="200"/>
              <w:outlineLvl w:val="1"/>
              <w:rPr>
                <w:rFonts w:hAnsi="宋体" w:cs="宋体"/>
                <w:bCs/>
                <w:color w:val="auto"/>
                <w:sz w:val="21"/>
              </w:rPr>
            </w:pPr>
            <w:bookmarkStart w:id="538" w:name="_Toc3602"/>
            <w:r>
              <w:rPr>
                <w:rFonts w:hAnsi="宋体" w:cs="宋体"/>
                <w:bCs/>
                <w:color w:val="auto"/>
                <w:sz w:val="21"/>
              </w:rPr>
              <w:t>0.5%</w:t>
            </w:r>
            <w:bookmarkEnd w:id="538"/>
          </w:p>
        </w:tc>
        <w:tc>
          <w:tcPr>
            <w:tcW w:w="1988" w:type="dxa"/>
          </w:tcPr>
          <w:p>
            <w:pPr>
              <w:pStyle w:val="23"/>
              <w:snapToGrid w:val="0"/>
              <w:spacing w:line="400" w:lineRule="exact"/>
              <w:ind w:firstLine="420" w:firstLineChars="200"/>
              <w:outlineLvl w:val="1"/>
              <w:rPr>
                <w:rFonts w:hAnsi="宋体" w:cs="宋体"/>
                <w:bCs/>
                <w:color w:val="auto"/>
                <w:sz w:val="21"/>
              </w:rPr>
            </w:pPr>
            <w:bookmarkStart w:id="539" w:name="_Toc19171"/>
            <w:r>
              <w:rPr>
                <w:rFonts w:hAnsi="宋体" w:cs="宋体"/>
                <w:bCs/>
                <w:color w:val="auto"/>
                <w:sz w:val="21"/>
              </w:rPr>
              <w:t>0.25%</w:t>
            </w:r>
            <w:bookmarkEnd w:id="539"/>
          </w:p>
        </w:tc>
        <w:tc>
          <w:tcPr>
            <w:tcW w:w="2292" w:type="dxa"/>
          </w:tcPr>
          <w:p>
            <w:pPr>
              <w:pStyle w:val="23"/>
              <w:snapToGrid w:val="0"/>
              <w:spacing w:line="400" w:lineRule="exact"/>
              <w:ind w:firstLine="420" w:firstLineChars="200"/>
              <w:outlineLvl w:val="1"/>
              <w:rPr>
                <w:rFonts w:hAnsi="宋体" w:cs="宋体"/>
                <w:bCs/>
                <w:color w:val="auto"/>
                <w:sz w:val="21"/>
              </w:rPr>
            </w:pPr>
            <w:bookmarkStart w:id="540" w:name="_Toc8748"/>
            <w:r>
              <w:rPr>
                <w:rFonts w:hAnsi="宋体" w:cs="宋体"/>
                <w:bCs/>
                <w:color w:val="auto"/>
                <w:sz w:val="21"/>
              </w:rPr>
              <w:t>0.35%</w:t>
            </w:r>
            <w:bookmarkEnd w:id="5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3"/>
              <w:snapToGrid w:val="0"/>
              <w:spacing w:line="400" w:lineRule="exact"/>
              <w:ind w:firstLine="420" w:firstLineChars="200"/>
              <w:outlineLvl w:val="1"/>
              <w:rPr>
                <w:rFonts w:hAnsi="宋体" w:cs="宋体"/>
                <w:bCs/>
                <w:color w:val="auto"/>
                <w:sz w:val="21"/>
              </w:rPr>
            </w:pPr>
            <w:bookmarkStart w:id="541" w:name="_Toc20687"/>
            <w:r>
              <w:rPr>
                <w:rFonts w:hAnsi="宋体" w:cs="宋体"/>
                <w:bCs/>
                <w:color w:val="auto"/>
                <w:sz w:val="21"/>
              </w:rPr>
              <w:t>5000-10000</w:t>
            </w:r>
            <w:bookmarkEnd w:id="541"/>
          </w:p>
        </w:tc>
        <w:tc>
          <w:tcPr>
            <w:tcW w:w="1998" w:type="dxa"/>
          </w:tcPr>
          <w:p>
            <w:pPr>
              <w:pStyle w:val="23"/>
              <w:snapToGrid w:val="0"/>
              <w:spacing w:line="400" w:lineRule="exact"/>
              <w:ind w:firstLine="420" w:firstLineChars="200"/>
              <w:outlineLvl w:val="1"/>
              <w:rPr>
                <w:rFonts w:hAnsi="宋体" w:cs="宋体"/>
                <w:bCs/>
                <w:color w:val="auto"/>
                <w:sz w:val="21"/>
              </w:rPr>
            </w:pPr>
            <w:bookmarkStart w:id="542" w:name="_Toc20063"/>
            <w:r>
              <w:rPr>
                <w:rFonts w:hAnsi="宋体" w:cs="宋体"/>
                <w:bCs/>
                <w:color w:val="auto"/>
                <w:sz w:val="21"/>
              </w:rPr>
              <w:t>0.25%</w:t>
            </w:r>
            <w:bookmarkEnd w:id="542"/>
          </w:p>
        </w:tc>
        <w:tc>
          <w:tcPr>
            <w:tcW w:w="1988" w:type="dxa"/>
          </w:tcPr>
          <w:p>
            <w:pPr>
              <w:pStyle w:val="23"/>
              <w:snapToGrid w:val="0"/>
              <w:spacing w:line="400" w:lineRule="exact"/>
              <w:ind w:firstLine="420" w:firstLineChars="200"/>
              <w:outlineLvl w:val="1"/>
              <w:rPr>
                <w:rFonts w:hAnsi="宋体" w:cs="宋体"/>
                <w:bCs/>
                <w:color w:val="auto"/>
                <w:sz w:val="21"/>
              </w:rPr>
            </w:pPr>
            <w:bookmarkStart w:id="543" w:name="_Toc1140"/>
            <w:r>
              <w:rPr>
                <w:rFonts w:hAnsi="宋体" w:cs="宋体"/>
                <w:bCs/>
                <w:color w:val="auto"/>
                <w:sz w:val="21"/>
              </w:rPr>
              <w:t>0.1%</w:t>
            </w:r>
            <w:bookmarkEnd w:id="543"/>
          </w:p>
        </w:tc>
        <w:tc>
          <w:tcPr>
            <w:tcW w:w="2292" w:type="dxa"/>
          </w:tcPr>
          <w:p>
            <w:pPr>
              <w:pStyle w:val="23"/>
              <w:snapToGrid w:val="0"/>
              <w:spacing w:line="400" w:lineRule="exact"/>
              <w:ind w:firstLine="420" w:firstLineChars="200"/>
              <w:outlineLvl w:val="1"/>
              <w:rPr>
                <w:rFonts w:hAnsi="宋体" w:cs="宋体"/>
                <w:bCs/>
                <w:color w:val="auto"/>
                <w:sz w:val="21"/>
              </w:rPr>
            </w:pPr>
            <w:bookmarkStart w:id="544" w:name="_Toc13398"/>
            <w:r>
              <w:rPr>
                <w:rFonts w:hAnsi="宋体" w:cs="宋体"/>
                <w:bCs/>
                <w:color w:val="auto"/>
                <w:sz w:val="21"/>
              </w:rPr>
              <w:t>0.2%</w:t>
            </w:r>
            <w:bookmarkEnd w:id="5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3"/>
              <w:snapToGrid w:val="0"/>
              <w:spacing w:line="400" w:lineRule="exact"/>
              <w:ind w:firstLine="420" w:firstLineChars="200"/>
              <w:outlineLvl w:val="1"/>
              <w:rPr>
                <w:rFonts w:hAnsi="宋体" w:cs="宋体"/>
                <w:bCs/>
                <w:color w:val="auto"/>
                <w:sz w:val="21"/>
              </w:rPr>
            </w:pPr>
            <w:bookmarkStart w:id="545" w:name="_Toc21246"/>
            <w:r>
              <w:rPr>
                <w:rFonts w:hAnsi="宋体" w:cs="宋体"/>
                <w:bCs/>
                <w:color w:val="auto"/>
                <w:sz w:val="21"/>
              </w:rPr>
              <w:t>10000-100000</w:t>
            </w:r>
            <w:bookmarkEnd w:id="545"/>
          </w:p>
        </w:tc>
        <w:tc>
          <w:tcPr>
            <w:tcW w:w="1998" w:type="dxa"/>
          </w:tcPr>
          <w:p>
            <w:pPr>
              <w:pStyle w:val="23"/>
              <w:snapToGrid w:val="0"/>
              <w:spacing w:line="400" w:lineRule="exact"/>
              <w:ind w:firstLine="420" w:firstLineChars="200"/>
              <w:outlineLvl w:val="1"/>
              <w:rPr>
                <w:rFonts w:hAnsi="宋体" w:cs="宋体"/>
                <w:bCs/>
                <w:color w:val="auto"/>
                <w:sz w:val="21"/>
              </w:rPr>
            </w:pPr>
            <w:bookmarkStart w:id="546" w:name="_Toc15891"/>
            <w:r>
              <w:rPr>
                <w:rFonts w:hAnsi="宋体" w:cs="宋体"/>
                <w:bCs/>
                <w:color w:val="auto"/>
                <w:sz w:val="21"/>
              </w:rPr>
              <w:t>0.05%</w:t>
            </w:r>
            <w:bookmarkEnd w:id="546"/>
          </w:p>
        </w:tc>
        <w:tc>
          <w:tcPr>
            <w:tcW w:w="1988" w:type="dxa"/>
          </w:tcPr>
          <w:p>
            <w:pPr>
              <w:pStyle w:val="23"/>
              <w:snapToGrid w:val="0"/>
              <w:spacing w:line="400" w:lineRule="exact"/>
              <w:ind w:firstLine="420" w:firstLineChars="200"/>
              <w:outlineLvl w:val="1"/>
              <w:rPr>
                <w:rFonts w:hAnsi="宋体" w:cs="宋体"/>
                <w:bCs/>
                <w:color w:val="auto"/>
                <w:sz w:val="21"/>
              </w:rPr>
            </w:pPr>
            <w:bookmarkStart w:id="547" w:name="_Toc29149"/>
            <w:r>
              <w:rPr>
                <w:rFonts w:hAnsi="宋体" w:cs="宋体"/>
                <w:bCs/>
                <w:color w:val="auto"/>
                <w:sz w:val="21"/>
              </w:rPr>
              <w:t>0.05%</w:t>
            </w:r>
            <w:bookmarkEnd w:id="547"/>
          </w:p>
        </w:tc>
        <w:tc>
          <w:tcPr>
            <w:tcW w:w="2292" w:type="dxa"/>
          </w:tcPr>
          <w:p>
            <w:pPr>
              <w:pStyle w:val="23"/>
              <w:snapToGrid w:val="0"/>
              <w:spacing w:line="400" w:lineRule="exact"/>
              <w:ind w:firstLine="420" w:firstLineChars="200"/>
              <w:outlineLvl w:val="1"/>
              <w:rPr>
                <w:rFonts w:hAnsi="宋体" w:cs="宋体"/>
                <w:bCs/>
                <w:color w:val="auto"/>
                <w:sz w:val="21"/>
              </w:rPr>
            </w:pPr>
            <w:bookmarkStart w:id="548" w:name="_Toc22737"/>
            <w:r>
              <w:rPr>
                <w:rFonts w:hAnsi="宋体" w:cs="宋体"/>
                <w:bCs/>
                <w:color w:val="auto"/>
                <w:sz w:val="21"/>
              </w:rPr>
              <w:t>0.05%</w:t>
            </w:r>
            <w:bookmarkEnd w:id="548"/>
          </w:p>
        </w:tc>
      </w:tr>
    </w:tbl>
    <w:p>
      <w:pPr>
        <w:pStyle w:val="23"/>
        <w:snapToGrid w:val="0"/>
        <w:spacing w:line="400" w:lineRule="exact"/>
        <w:ind w:firstLine="420" w:firstLineChars="200"/>
        <w:outlineLvl w:val="1"/>
        <w:rPr>
          <w:rFonts w:hAnsi="宋体" w:cs="宋体"/>
          <w:bCs/>
          <w:color w:val="auto"/>
          <w:sz w:val="21"/>
        </w:rPr>
      </w:pPr>
      <w:bookmarkStart w:id="549" w:name="_Toc14507"/>
      <w:r>
        <w:rPr>
          <w:rFonts w:hint="eastAsia" w:hAnsi="宋体" w:cs="宋体"/>
          <w:bCs/>
          <w:color w:val="auto"/>
          <w:sz w:val="21"/>
        </w:rPr>
        <w:t>注：招标代理服务收费按差额定率累进法计算。</w:t>
      </w:r>
      <w:bookmarkEnd w:id="549"/>
    </w:p>
    <w:p>
      <w:pPr>
        <w:pStyle w:val="23"/>
        <w:numPr>
          <w:ilvl w:val="0"/>
          <w:numId w:val="11"/>
        </w:numPr>
        <w:snapToGrid w:val="0"/>
        <w:spacing w:line="400" w:lineRule="exact"/>
        <w:ind w:firstLine="422" w:firstLineChars="200"/>
        <w:outlineLvl w:val="1"/>
        <w:rPr>
          <w:rFonts w:hAnsi="宋体" w:cs="宋体"/>
          <w:b/>
          <w:color w:val="auto"/>
          <w:sz w:val="21"/>
        </w:rPr>
      </w:pPr>
      <w:bookmarkStart w:id="550" w:name="_Toc18411"/>
      <w:r>
        <w:rPr>
          <w:rFonts w:hint="eastAsia" w:hAnsi="宋体" w:cs="宋体"/>
          <w:b/>
          <w:color w:val="auto"/>
          <w:sz w:val="21"/>
        </w:rPr>
        <w:t>有关事宜</w:t>
      </w:r>
      <w:bookmarkEnd w:id="550"/>
    </w:p>
    <w:p>
      <w:pPr>
        <w:snapToGrid w:val="0"/>
        <w:spacing w:line="360" w:lineRule="exact"/>
        <w:ind w:firstLine="411" w:firstLineChars="196"/>
        <w:rPr>
          <w:rFonts w:ascii="宋体" w:cs="宋体"/>
          <w:bCs/>
          <w:color w:val="auto"/>
          <w:szCs w:val="21"/>
        </w:rPr>
      </w:pPr>
      <w:r>
        <w:rPr>
          <w:rFonts w:ascii="宋体" w:hAnsi="宋体" w:cs="宋体"/>
          <w:bCs/>
          <w:color w:val="auto"/>
          <w:szCs w:val="21"/>
        </w:rPr>
        <w:t>1</w:t>
      </w:r>
      <w:r>
        <w:rPr>
          <w:rFonts w:hint="eastAsia" w:ascii="宋体" w:hAnsi="宋体" w:cs="宋体"/>
          <w:bCs/>
          <w:color w:val="auto"/>
          <w:szCs w:val="21"/>
        </w:rPr>
        <w:t>、所有与本招标文件有关的函电请按下列通讯地址联系：</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广西科联招标中心有限公司防城港分公司</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通讯地址：防城港市港口区桃花湾广场珍珠路</w:t>
      </w:r>
      <w:r>
        <w:rPr>
          <w:rFonts w:ascii="宋体" w:hAnsi="宋体" w:cs="宋体"/>
          <w:bCs/>
          <w:color w:val="auto"/>
          <w:szCs w:val="21"/>
        </w:rPr>
        <w:t>6</w:t>
      </w:r>
      <w:r>
        <w:rPr>
          <w:rFonts w:hint="eastAsia" w:ascii="宋体" w:hAnsi="宋体" w:cs="宋体"/>
          <w:bCs/>
          <w:color w:val="auto"/>
          <w:szCs w:val="21"/>
        </w:rPr>
        <w:t>号桂海东盟新城</w:t>
      </w:r>
      <w:r>
        <w:rPr>
          <w:rFonts w:ascii="宋体" w:hAnsi="宋体" w:cs="宋体"/>
          <w:bCs/>
          <w:color w:val="auto"/>
          <w:szCs w:val="21"/>
        </w:rPr>
        <w:t>9</w:t>
      </w:r>
      <w:r>
        <w:rPr>
          <w:rFonts w:hint="eastAsia" w:ascii="宋体" w:hAnsi="宋体" w:cs="宋体"/>
          <w:bCs/>
          <w:color w:val="auto"/>
          <w:szCs w:val="21"/>
        </w:rPr>
        <w:t>＃（</w:t>
      </w:r>
      <w:r>
        <w:rPr>
          <w:rFonts w:ascii="宋体" w:hAnsi="宋体" w:cs="宋体"/>
          <w:bCs/>
          <w:color w:val="auto"/>
          <w:szCs w:val="21"/>
        </w:rPr>
        <w:t>H</w:t>
      </w:r>
      <w:r>
        <w:rPr>
          <w:rFonts w:hint="eastAsia" w:ascii="宋体" w:hAnsi="宋体" w:cs="宋体"/>
          <w:bCs/>
          <w:color w:val="auto"/>
          <w:szCs w:val="21"/>
        </w:rPr>
        <w:t>幢）</w:t>
      </w:r>
      <w:r>
        <w:rPr>
          <w:rFonts w:ascii="宋体" w:hAnsi="宋体" w:cs="宋体"/>
          <w:bCs/>
          <w:color w:val="auto"/>
          <w:szCs w:val="21"/>
        </w:rPr>
        <w:t>605</w:t>
      </w:r>
      <w:r>
        <w:rPr>
          <w:rFonts w:hint="eastAsia" w:ascii="宋体" w:hAnsi="宋体" w:cs="宋体"/>
          <w:bCs/>
          <w:color w:val="auto"/>
          <w:szCs w:val="21"/>
        </w:rPr>
        <w:t>号房</w:t>
      </w:r>
      <w:r>
        <w:rPr>
          <w:rFonts w:ascii="宋体" w:hAnsi="宋体" w:cs="宋体"/>
          <w:bCs/>
          <w:color w:val="auto"/>
          <w:szCs w:val="21"/>
        </w:rPr>
        <w:t xml:space="preserve">  </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邮政编码：</w:t>
      </w:r>
      <w:r>
        <w:rPr>
          <w:rFonts w:ascii="宋体" w:hAnsi="宋体" w:cs="宋体"/>
          <w:bCs/>
          <w:color w:val="auto"/>
          <w:szCs w:val="21"/>
        </w:rPr>
        <w:t xml:space="preserve">538001 </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电</w:t>
      </w:r>
      <w:r>
        <w:rPr>
          <w:rFonts w:ascii="宋体" w:hAnsi="宋体" w:cs="宋体"/>
          <w:bCs/>
          <w:color w:val="auto"/>
          <w:szCs w:val="21"/>
        </w:rPr>
        <w:t xml:space="preserve">    </w:t>
      </w:r>
      <w:r>
        <w:rPr>
          <w:rFonts w:hint="eastAsia" w:ascii="宋体" w:hAnsi="宋体" w:cs="宋体"/>
          <w:bCs/>
          <w:color w:val="auto"/>
          <w:szCs w:val="21"/>
        </w:rPr>
        <w:t>话：</w:t>
      </w:r>
      <w:r>
        <w:rPr>
          <w:rFonts w:ascii="宋体" w:hAnsi="宋体" w:cs="宋体"/>
          <w:bCs/>
          <w:color w:val="auto"/>
          <w:szCs w:val="21"/>
        </w:rPr>
        <w:t xml:space="preserve">0770-2821504                </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传</w:t>
      </w:r>
      <w:r>
        <w:rPr>
          <w:rFonts w:ascii="宋体" w:hAnsi="宋体" w:cs="宋体"/>
          <w:bCs/>
          <w:color w:val="auto"/>
          <w:szCs w:val="21"/>
        </w:rPr>
        <w:t xml:space="preserve">    </w:t>
      </w:r>
      <w:r>
        <w:rPr>
          <w:rFonts w:hint="eastAsia" w:ascii="宋体" w:hAnsi="宋体" w:cs="宋体"/>
          <w:bCs/>
          <w:color w:val="auto"/>
          <w:szCs w:val="21"/>
        </w:rPr>
        <w:t>真：</w:t>
      </w:r>
      <w:r>
        <w:rPr>
          <w:rFonts w:ascii="宋体" w:hAnsi="宋体" w:cs="宋体"/>
          <w:bCs/>
          <w:color w:val="auto"/>
          <w:szCs w:val="21"/>
        </w:rPr>
        <w:t>0770-2831062</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开户名称：广西科联招标中心有限公司防城港分公司</w:t>
      </w:r>
      <w:r>
        <w:rPr>
          <w:rFonts w:ascii="宋体" w:hAnsi="宋体" w:cs="宋体"/>
          <w:bCs/>
          <w:color w:val="auto"/>
          <w:szCs w:val="21"/>
        </w:rPr>
        <w:t xml:space="preserve">   </w:t>
      </w:r>
    </w:p>
    <w:p>
      <w:pPr>
        <w:snapToGrid w:val="0"/>
        <w:spacing w:line="360" w:lineRule="exact"/>
        <w:ind w:firstLine="411" w:firstLineChars="196"/>
        <w:rPr>
          <w:rFonts w:ascii="宋体" w:cs="宋体"/>
          <w:bCs/>
          <w:color w:val="auto"/>
          <w:szCs w:val="21"/>
        </w:rPr>
      </w:pPr>
      <w:r>
        <w:rPr>
          <w:rFonts w:hint="eastAsia" w:ascii="宋体" w:hAnsi="宋体" w:cs="宋体"/>
          <w:bCs/>
          <w:color w:val="auto"/>
          <w:szCs w:val="21"/>
        </w:rPr>
        <w:t>开户银行：建行防城港分行营业部</w:t>
      </w:r>
    </w:p>
    <w:p>
      <w:pPr>
        <w:snapToGrid w:val="0"/>
        <w:spacing w:line="400" w:lineRule="exact"/>
        <w:ind w:firstLine="411" w:firstLineChars="196"/>
        <w:rPr>
          <w:rFonts w:ascii="宋体" w:hAnsi="宋体" w:cs="宋体"/>
          <w:bCs/>
          <w:color w:val="auto"/>
          <w:szCs w:val="21"/>
        </w:rPr>
      </w:pPr>
      <w:r>
        <w:rPr>
          <w:rFonts w:hint="eastAsia" w:ascii="宋体" w:hAnsi="宋体" w:cs="宋体"/>
          <w:bCs/>
          <w:color w:val="auto"/>
          <w:szCs w:val="21"/>
        </w:rPr>
        <w:t>帐</w:t>
      </w:r>
      <w:r>
        <w:rPr>
          <w:rFonts w:ascii="宋体" w:hAnsi="宋体" w:cs="宋体"/>
          <w:bCs/>
          <w:color w:val="auto"/>
          <w:szCs w:val="21"/>
        </w:rPr>
        <w:t xml:space="preserve">    </w:t>
      </w:r>
      <w:r>
        <w:rPr>
          <w:rFonts w:hint="eastAsia" w:ascii="宋体" w:hAnsi="宋体" w:cs="宋体"/>
          <w:bCs/>
          <w:color w:val="auto"/>
          <w:szCs w:val="21"/>
        </w:rPr>
        <w:t>号：</w:t>
      </w:r>
      <w:r>
        <w:rPr>
          <w:rFonts w:ascii="宋体" w:hAnsi="宋体" w:cs="宋体"/>
          <w:bCs/>
          <w:color w:val="auto"/>
          <w:szCs w:val="21"/>
        </w:rPr>
        <w:t>45001659588059282828</w:t>
      </w:r>
      <w:bookmarkStart w:id="551" w:name="_Toc1780"/>
    </w:p>
    <w:p>
      <w:pPr>
        <w:pStyle w:val="7"/>
        <w:rPr>
          <w:rFonts w:ascii="宋体" w:hAnsi="宋体" w:cs="宋体"/>
          <w:bCs/>
          <w:color w:val="auto"/>
          <w:szCs w:val="21"/>
        </w:rPr>
      </w:pPr>
    </w:p>
    <w:p>
      <w:pPr>
        <w:pStyle w:val="7"/>
        <w:rPr>
          <w:rFonts w:ascii="宋体" w:hAnsi="宋体" w:cs="宋体"/>
          <w:bCs/>
          <w:color w:val="auto"/>
          <w:szCs w:val="21"/>
        </w:rPr>
      </w:pPr>
    </w:p>
    <w:p>
      <w:pPr>
        <w:pStyle w:val="7"/>
        <w:rPr>
          <w:rFonts w:ascii="宋体" w:hAnsi="宋体" w:cs="宋体"/>
          <w:bCs/>
          <w:color w:val="auto"/>
          <w:szCs w:val="21"/>
        </w:rPr>
      </w:pPr>
    </w:p>
    <w:p>
      <w:pPr>
        <w:pStyle w:val="7"/>
        <w:rPr>
          <w:rFonts w:ascii="宋体" w:hAnsi="宋体" w:cs="宋体"/>
          <w:bCs/>
          <w:color w:val="auto"/>
          <w:szCs w:val="21"/>
        </w:rPr>
      </w:pPr>
    </w:p>
    <w:p>
      <w:pPr>
        <w:pStyle w:val="7"/>
        <w:ind w:firstLine="0"/>
        <w:rPr>
          <w:rFonts w:ascii="宋体" w:hAnsi="宋体" w:cs="宋体"/>
          <w:bCs/>
          <w:color w:val="auto"/>
          <w:szCs w:val="21"/>
        </w:rPr>
      </w:pPr>
    </w:p>
    <w:p>
      <w:pPr>
        <w:pStyle w:val="7"/>
        <w:ind w:firstLine="0"/>
        <w:rPr>
          <w:rFonts w:ascii="宋体" w:hAnsi="宋体" w:cs="宋体"/>
          <w:bCs/>
          <w:color w:val="auto"/>
          <w:szCs w:val="21"/>
        </w:rPr>
      </w:pPr>
    </w:p>
    <w:p>
      <w:pPr>
        <w:pStyle w:val="7"/>
        <w:ind w:firstLine="0"/>
        <w:rPr>
          <w:rFonts w:ascii="宋体" w:hAnsi="宋体" w:cs="宋体"/>
          <w:bCs/>
          <w:color w:val="auto"/>
          <w:szCs w:val="21"/>
        </w:rPr>
      </w:pPr>
    </w:p>
    <w:p>
      <w:pPr>
        <w:pStyle w:val="7"/>
        <w:ind w:firstLine="0"/>
        <w:rPr>
          <w:rFonts w:ascii="宋体" w:hAnsi="宋体" w:cs="宋体"/>
          <w:bCs/>
          <w:color w:val="auto"/>
          <w:szCs w:val="21"/>
        </w:rPr>
      </w:pPr>
    </w:p>
    <w:p>
      <w:pPr>
        <w:pStyle w:val="7"/>
        <w:ind w:firstLine="0"/>
        <w:rPr>
          <w:rFonts w:ascii="宋体" w:hAnsi="宋体" w:cs="宋体"/>
          <w:bCs/>
          <w:color w:val="auto"/>
          <w:szCs w:val="21"/>
        </w:rPr>
      </w:pPr>
    </w:p>
    <w:p>
      <w:pPr>
        <w:pStyle w:val="7"/>
        <w:ind w:firstLine="0"/>
        <w:rPr>
          <w:rFonts w:ascii="宋体" w:hAnsi="宋体" w:cs="宋体"/>
          <w:bCs/>
          <w:color w:val="auto"/>
          <w:szCs w:val="21"/>
        </w:rPr>
      </w:pPr>
    </w:p>
    <w:p>
      <w:pPr>
        <w:pStyle w:val="7"/>
        <w:ind w:firstLine="0"/>
        <w:rPr>
          <w:rFonts w:ascii="宋体" w:hAnsi="宋体" w:cs="宋体"/>
          <w:bCs/>
          <w:color w:val="auto"/>
          <w:szCs w:val="21"/>
        </w:rPr>
      </w:pPr>
    </w:p>
    <w:p>
      <w:pPr>
        <w:pStyle w:val="7"/>
        <w:ind w:firstLine="0"/>
        <w:rPr>
          <w:rFonts w:ascii="宋体" w:hAnsi="宋体" w:cs="宋体"/>
          <w:bCs/>
          <w:color w:val="auto"/>
          <w:szCs w:val="21"/>
        </w:rPr>
      </w:pPr>
    </w:p>
    <w:p>
      <w:pPr>
        <w:pStyle w:val="7"/>
        <w:ind w:firstLine="0"/>
        <w:rPr>
          <w:rFonts w:ascii="宋体" w:hAnsi="宋体" w:cs="宋体"/>
          <w:bCs/>
          <w:color w:val="auto"/>
          <w:szCs w:val="21"/>
        </w:rPr>
      </w:pPr>
    </w:p>
    <w:p>
      <w:pPr>
        <w:pStyle w:val="7"/>
        <w:ind w:firstLine="0"/>
        <w:rPr>
          <w:rFonts w:ascii="宋体" w:hAnsi="宋体" w:cs="宋体"/>
          <w:bCs/>
          <w:color w:val="auto"/>
          <w:szCs w:val="21"/>
        </w:rPr>
      </w:pPr>
    </w:p>
    <w:p>
      <w:pPr>
        <w:pStyle w:val="7"/>
        <w:ind w:firstLine="0"/>
        <w:rPr>
          <w:rFonts w:ascii="宋体" w:hAnsi="宋体" w:cs="宋体"/>
          <w:bCs/>
          <w:color w:val="auto"/>
          <w:szCs w:val="21"/>
        </w:rPr>
      </w:pPr>
    </w:p>
    <w:p>
      <w:pPr>
        <w:pStyle w:val="7"/>
        <w:ind w:firstLine="0"/>
        <w:rPr>
          <w:rFonts w:ascii="宋体" w:hAnsi="宋体" w:cs="宋体"/>
          <w:bCs/>
          <w:color w:val="auto"/>
          <w:szCs w:val="21"/>
        </w:rPr>
      </w:pPr>
    </w:p>
    <w:p>
      <w:pPr>
        <w:pStyle w:val="7"/>
        <w:ind w:firstLine="0"/>
        <w:rPr>
          <w:rFonts w:ascii="宋体" w:hAnsi="宋体" w:cs="宋体"/>
          <w:bCs/>
          <w:color w:val="auto"/>
          <w:szCs w:val="21"/>
        </w:rPr>
      </w:pPr>
    </w:p>
    <w:p>
      <w:pPr>
        <w:pStyle w:val="7"/>
        <w:ind w:firstLine="0"/>
        <w:rPr>
          <w:rFonts w:ascii="宋体" w:hAnsi="宋体" w:cs="宋体"/>
          <w:bCs/>
          <w:color w:val="auto"/>
          <w:szCs w:val="21"/>
        </w:rPr>
      </w:pPr>
    </w:p>
    <w:p>
      <w:pPr>
        <w:pStyle w:val="7"/>
        <w:ind w:firstLine="0"/>
        <w:rPr>
          <w:rFonts w:ascii="宋体" w:hAnsi="宋体" w:cs="宋体"/>
          <w:bCs/>
          <w:color w:val="auto"/>
          <w:szCs w:val="21"/>
        </w:rPr>
      </w:pPr>
    </w:p>
    <w:p>
      <w:pPr>
        <w:pStyle w:val="7"/>
        <w:rPr>
          <w:rFonts w:ascii="宋体" w:hAnsi="宋体" w:cs="宋体"/>
          <w:bCs/>
          <w:color w:val="auto"/>
          <w:szCs w:val="21"/>
        </w:rPr>
      </w:pPr>
    </w:p>
    <w:p>
      <w:pPr>
        <w:pStyle w:val="23"/>
        <w:snapToGrid w:val="0"/>
        <w:spacing w:line="400" w:lineRule="exact"/>
        <w:outlineLvl w:val="1"/>
        <w:rPr>
          <w:rFonts w:hAnsi="宋体" w:cs="宋体"/>
          <w:bCs/>
          <w:color w:val="auto"/>
          <w:sz w:val="21"/>
        </w:rPr>
      </w:pPr>
      <w:r>
        <w:rPr>
          <w:rFonts w:hint="eastAsia" w:hAnsi="宋体" w:cs="宋体"/>
          <w:bCs/>
          <w:color w:val="auto"/>
          <w:sz w:val="21"/>
        </w:rPr>
        <w:t>附表一：</w:t>
      </w:r>
      <w:bookmarkEnd w:id="551"/>
    </w:p>
    <w:p>
      <w:pPr>
        <w:jc w:val="center"/>
        <w:rPr>
          <w:rFonts w:ascii="黑体" w:eastAsia="黑体"/>
          <w:color w:val="auto"/>
          <w:sz w:val="44"/>
          <w:szCs w:val="44"/>
        </w:rPr>
      </w:pPr>
      <w:r>
        <w:rPr>
          <w:rFonts w:hint="eastAsia" w:ascii="黑体" w:eastAsia="黑体"/>
          <w:color w:val="auto"/>
          <w:sz w:val="44"/>
          <w:szCs w:val="44"/>
        </w:rPr>
        <w:t>防城港市本级政府采购项目验收报告</w:t>
      </w:r>
    </w:p>
    <w:tbl>
      <w:tblPr>
        <w:tblStyle w:val="40"/>
        <w:tblW w:w="923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3392"/>
        <w:gridCol w:w="752"/>
        <w:gridCol w:w="141"/>
        <w:gridCol w:w="709"/>
        <w:gridCol w:w="1374"/>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44" w:type="dxa"/>
            <w:vAlign w:val="center"/>
          </w:tcPr>
          <w:p>
            <w:pPr>
              <w:jc w:val="center"/>
              <w:rPr>
                <w:rFonts w:ascii="宋体"/>
                <w:color w:val="auto"/>
                <w:szCs w:val="21"/>
              </w:rPr>
            </w:pPr>
            <w:r>
              <w:rPr>
                <w:rFonts w:hint="eastAsia" w:ascii="宋体" w:hAnsi="宋体"/>
                <w:color w:val="auto"/>
                <w:szCs w:val="21"/>
              </w:rPr>
              <w:t>采购单位</w:t>
            </w:r>
          </w:p>
        </w:tc>
        <w:tc>
          <w:tcPr>
            <w:tcW w:w="4285" w:type="dxa"/>
            <w:gridSpan w:val="3"/>
            <w:vAlign w:val="center"/>
          </w:tcPr>
          <w:p>
            <w:pPr>
              <w:jc w:val="center"/>
              <w:rPr>
                <w:rFonts w:ascii="黑体" w:eastAsia="黑体"/>
                <w:color w:val="auto"/>
                <w:szCs w:val="21"/>
              </w:rPr>
            </w:pPr>
          </w:p>
        </w:tc>
        <w:tc>
          <w:tcPr>
            <w:tcW w:w="2083" w:type="dxa"/>
            <w:gridSpan w:val="2"/>
            <w:vMerge w:val="restart"/>
            <w:vAlign w:val="center"/>
          </w:tcPr>
          <w:p>
            <w:pPr>
              <w:jc w:val="center"/>
              <w:rPr>
                <w:rFonts w:ascii="宋体"/>
                <w:color w:val="auto"/>
                <w:szCs w:val="21"/>
              </w:rPr>
            </w:pPr>
            <w:r>
              <w:rPr>
                <w:rFonts w:hint="eastAsia" w:ascii="宋体" w:hAnsi="宋体"/>
                <w:color w:val="auto"/>
                <w:szCs w:val="21"/>
              </w:rPr>
              <w:t>合同编号</w:t>
            </w:r>
          </w:p>
        </w:tc>
        <w:tc>
          <w:tcPr>
            <w:tcW w:w="1625" w:type="dxa"/>
            <w:vMerge w:val="restart"/>
            <w:vAlign w:val="center"/>
          </w:tcPr>
          <w:p>
            <w:pPr>
              <w:jc w:val="center"/>
              <w:rPr>
                <w:rFonts w:asci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44" w:type="dxa"/>
            <w:vAlign w:val="center"/>
          </w:tcPr>
          <w:p>
            <w:pPr>
              <w:jc w:val="center"/>
              <w:rPr>
                <w:rFonts w:ascii="宋体"/>
                <w:color w:val="auto"/>
                <w:szCs w:val="21"/>
              </w:rPr>
            </w:pPr>
            <w:r>
              <w:rPr>
                <w:rFonts w:hint="eastAsia" w:ascii="宋体" w:hAnsi="宋体"/>
                <w:color w:val="auto"/>
                <w:szCs w:val="21"/>
              </w:rPr>
              <w:t>供应商</w:t>
            </w:r>
          </w:p>
        </w:tc>
        <w:tc>
          <w:tcPr>
            <w:tcW w:w="4285" w:type="dxa"/>
            <w:gridSpan w:val="3"/>
            <w:vAlign w:val="center"/>
          </w:tcPr>
          <w:p>
            <w:pPr>
              <w:jc w:val="center"/>
              <w:rPr>
                <w:rFonts w:ascii="黑体" w:eastAsia="黑体"/>
                <w:color w:val="auto"/>
                <w:szCs w:val="21"/>
              </w:rPr>
            </w:pPr>
          </w:p>
        </w:tc>
        <w:tc>
          <w:tcPr>
            <w:tcW w:w="2083" w:type="dxa"/>
            <w:gridSpan w:val="2"/>
            <w:vMerge w:val="continue"/>
            <w:vAlign w:val="center"/>
          </w:tcPr>
          <w:p>
            <w:pPr>
              <w:jc w:val="center"/>
              <w:rPr>
                <w:rFonts w:ascii="宋体"/>
                <w:color w:val="auto"/>
                <w:szCs w:val="21"/>
              </w:rPr>
            </w:pPr>
          </w:p>
        </w:tc>
        <w:tc>
          <w:tcPr>
            <w:tcW w:w="1625" w:type="dxa"/>
            <w:vMerge w:val="continue"/>
            <w:vAlign w:val="center"/>
          </w:tcPr>
          <w:p>
            <w:pPr>
              <w:jc w:val="center"/>
              <w:rPr>
                <w:rFonts w:ascii="黑体"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44" w:type="dxa"/>
            <w:vAlign w:val="center"/>
          </w:tcPr>
          <w:p>
            <w:pPr>
              <w:jc w:val="center"/>
              <w:rPr>
                <w:rFonts w:ascii="宋体"/>
                <w:color w:val="auto"/>
                <w:szCs w:val="21"/>
              </w:rPr>
            </w:pPr>
            <w:r>
              <w:rPr>
                <w:rFonts w:hint="eastAsia" w:ascii="宋体" w:hAnsi="宋体"/>
                <w:color w:val="auto"/>
                <w:szCs w:val="21"/>
              </w:rPr>
              <w:t>项目名称</w:t>
            </w:r>
          </w:p>
        </w:tc>
        <w:tc>
          <w:tcPr>
            <w:tcW w:w="4285" w:type="dxa"/>
            <w:gridSpan w:val="3"/>
            <w:vAlign w:val="center"/>
          </w:tcPr>
          <w:p>
            <w:pPr>
              <w:jc w:val="center"/>
              <w:rPr>
                <w:rFonts w:ascii="宋体"/>
                <w:color w:val="auto"/>
                <w:szCs w:val="21"/>
              </w:rPr>
            </w:pPr>
          </w:p>
        </w:tc>
        <w:tc>
          <w:tcPr>
            <w:tcW w:w="2083" w:type="dxa"/>
            <w:gridSpan w:val="2"/>
            <w:vAlign w:val="center"/>
          </w:tcPr>
          <w:p>
            <w:pPr>
              <w:jc w:val="center"/>
              <w:rPr>
                <w:rFonts w:ascii="宋体"/>
                <w:color w:val="auto"/>
                <w:szCs w:val="21"/>
              </w:rPr>
            </w:pPr>
            <w:r>
              <w:rPr>
                <w:rFonts w:hint="eastAsia" w:ascii="宋体" w:hAnsi="宋体"/>
                <w:color w:val="auto"/>
                <w:szCs w:val="21"/>
              </w:rPr>
              <w:t>验收日期</w:t>
            </w:r>
          </w:p>
        </w:tc>
        <w:tc>
          <w:tcPr>
            <w:tcW w:w="1625" w:type="dxa"/>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44" w:type="dxa"/>
            <w:vAlign w:val="center"/>
          </w:tcPr>
          <w:p>
            <w:pPr>
              <w:jc w:val="center"/>
              <w:rPr>
                <w:rFonts w:ascii="宋体"/>
                <w:color w:val="auto"/>
                <w:szCs w:val="21"/>
              </w:rPr>
            </w:pPr>
            <w:r>
              <w:rPr>
                <w:rFonts w:hint="eastAsia" w:ascii="宋体" w:hAnsi="宋体"/>
                <w:color w:val="auto"/>
                <w:szCs w:val="21"/>
              </w:rPr>
              <w:t>验收地点</w:t>
            </w:r>
          </w:p>
        </w:tc>
        <w:tc>
          <w:tcPr>
            <w:tcW w:w="7993" w:type="dxa"/>
            <w:gridSpan w:val="6"/>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44" w:type="dxa"/>
            <w:vAlign w:val="center"/>
          </w:tcPr>
          <w:p>
            <w:pPr>
              <w:jc w:val="center"/>
              <w:rPr>
                <w:rFonts w:ascii="宋体"/>
                <w:color w:val="auto"/>
                <w:szCs w:val="21"/>
              </w:rPr>
            </w:pPr>
            <w:r>
              <w:rPr>
                <w:rFonts w:hint="eastAsia" w:ascii="宋体" w:hAnsi="宋体"/>
                <w:color w:val="auto"/>
                <w:szCs w:val="21"/>
              </w:rPr>
              <w:t>项目内容</w:t>
            </w:r>
          </w:p>
        </w:tc>
        <w:tc>
          <w:tcPr>
            <w:tcW w:w="3392" w:type="dxa"/>
            <w:vAlign w:val="center"/>
          </w:tcPr>
          <w:p>
            <w:pPr>
              <w:jc w:val="center"/>
              <w:rPr>
                <w:rFonts w:ascii="宋体"/>
                <w:color w:val="auto"/>
                <w:szCs w:val="21"/>
              </w:rPr>
            </w:pPr>
            <w:r>
              <w:rPr>
                <w:rFonts w:hint="eastAsia" w:ascii="宋体" w:hAnsi="宋体"/>
                <w:color w:val="auto"/>
                <w:szCs w:val="21"/>
              </w:rPr>
              <w:t>货物内容</w:t>
            </w:r>
          </w:p>
        </w:tc>
        <w:tc>
          <w:tcPr>
            <w:tcW w:w="752" w:type="dxa"/>
            <w:vAlign w:val="center"/>
          </w:tcPr>
          <w:p>
            <w:pPr>
              <w:jc w:val="center"/>
              <w:rPr>
                <w:rFonts w:ascii="宋体"/>
                <w:color w:val="auto"/>
                <w:szCs w:val="21"/>
              </w:rPr>
            </w:pPr>
            <w:r>
              <w:rPr>
                <w:rFonts w:hint="eastAsia" w:ascii="宋体" w:hAnsi="宋体"/>
                <w:color w:val="auto"/>
                <w:szCs w:val="21"/>
              </w:rPr>
              <w:t>单位</w:t>
            </w:r>
          </w:p>
        </w:tc>
        <w:tc>
          <w:tcPr>
            <w:tcW w:w="850" w:type="dxa"/>
            <w:gridSpan w:val="2"/>
            <w:vAlign w:val="center"/>
          </w:tcPr>
          <w:p>
            <w:pPr>
              <w:jc w:val="center"/>
              <w:rPr>
                <w:rFonts w:ascii="宋体"/>
                <w:color w:val="auto"/>
                <w:szCs w:val="21"/>
              </w:rPr>
            </w:pPr>
            <w:r>
              <w:rPr>
                <w:rFonts w:hint="eastAsia" w:ascii="宋体" w:hAnsi="宋体"/>
                <w:color w:val="auto"/>
                <w:szCs w:val="21"/>
              </w:rPr>
              <w:t>数量</w:t>
            </w:r>
          </w:p>
        </w:tc>
        <w:tc>
          <w:tcPr>
            <w:tcW w:w="1374" w:type="dxa"/>
            <w:vAlign w:val="center"/>
          </w:tcPr>
          <w:p>
            <w:pPr>
              <w:jc w:val="center"/>
              <w:rPr>
                <w:rFonts w:ascii="宋体"/>
                <w:color w:val="auto"/>
                <w:szCs w:val="21"/>
              </w:rPr>
            </w:pPr>
            <w:r>
              <w:rPr>
                <w:rFonts w:hint="eastAsia" w:ascii="宋体" w:hAnsi="宋体"/>
                <w:color w:val="auto"/>
                <w:szCs w:val="21"/>
              </w:rPr>
              <w:t>单价</w:t>
            </w:r>
          </w:p>
        </w:tc>
        <w:tc>
          <w:tcPr>
            <w:tcW w:w="1625" w:type="dxa"/>
            <w:vAlign w:val="center"/>
          </w:tcPr>
          <w:p>
            <w:pPr>
              <w:jc w:val="center"/>
              <w:rPr>
                <w:rFonts w:ascii="宋体"/>
                <w:color w:val="auto"/>
                <w:szCs w:val="21"/>
              </w:rPr>
            </w:pPr>
            <w:r>
              <w:rPr>
                <w:rFonts w:hint="eastAsia" w:ascii="宋体" w:hAnsi="宋体"/>
                <w:color w:val="auto"/>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44" w:type="dxa"/>
            <w:vAlign w:val="center"/>
          </w:tcPr>
          <w:p>
            <w:pPr>
              <w:jc w:val="center"/>
              <w:rPr>
                <w:rFonts w:ascii="宋体"/>
                <w:color w:val="auto"/>
                <w:szCs w:val="21"/>
              </w:rPr>
            </w:pPr>
          </w:p>
        </w:tc>
        <w:tc>
          <w:tcPr>
            <w:tcW w:w="3392" w:type="dxa"/>
            <w:vAlign w:val="center"/>
          </w:tcPr>
          <w:p>
            <w:pPr>
              <w:jc w:val="center"/>
              <w:rPr>
                <w:rFonts w:ascii="宋体"/>
                <w:color w:val="auto"/>
                <w:szCs w:val="21"/>
              </w:rPr>
            </w:pPr>
          </w:p>
        </w:tc>
        <w:tc>
          <w:tcPr>
            <w:tcW w:w="752" w:type="dxa"/>
            <w:vAlign w:val="center"/>
          </w:tcPr>
          <w:p>
            <w:pPr>
              <w:jc w:val="center"/>
              <w:rPr>
                <w:rFonts w:ascii="宋体"/>
                <w:color w:val="auto"/>
                <w:szCs w:val="21"/>
              </w:rPr>
            </w:pPr>
          </w:p>
        </w:tc>
        <w:tc>
          <w:tcPr>
            <w:tcW w:w="850" w:type="dxa"/>
            <w:gridSpan w:val="2"/>
            <w:vAlign w:val="center"/>
          </w:tcPr>
          <w:p>
            <w:pPr>
              <w:jc w:val="center"/>
              <w:rPr>
                <w:rFonts w:ascii="宋体"/>
                <w:color w:val="auto"/>
                <w:szCs w:val="21"/>
              </w:rPr>
            </w:pPr>
          </w:p>
        </w:tc>
        <w:tc>
          <w:tcPr>
            <w:tcW w:w="1374" w:type="dxa"/>
            <w:vAlign w:val="center"/>
          </w:tcPr>
          <w:p>
            <w:pPr>
              <w:jc w:val="center"/>
              <w:rPr>
                <w:rFonts w:ascii="宋体"/>
                <w:color w:val="auto"/>
                <w:szCs w:val="21"/>
              </w:rPr>
            </w:pPr>
          </w:p>
        </w:tc>
        <w:tc>
          <w:tcPr>
            <w:tcW w:w="1625" w:type="dxa"/>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44" w:type="dxa"/>
            <w:vAlign w:val="center"/>
          </w:tcPr>
          <w:p>
            <w:pPr>
              <w:jc w:val="center"/>
              <w:rPr>
                <w:rFonts w:ascii="宋体"/>
                <w:color w:val="auto"/>
                <w:szCs w:val="21"/>
              </w:rPr>
            </w:pPr>
          </w:p>
        </w:tc>
        <w:tc>
          <w:tcPr>
            <w:tcW w:w="3392" w:type="dxa"/>
            <w:vAlign w:val="center"/>
          </w:tcPr>
          <w:p>
            <w:pPr>
              <w:jc w:val="center"/>
              <w:rPr>
                <w:rFonts w:ascii="宋体"/>
                <w:color w:val="auto"/>
                <w:szCs w:val="21"/>
              </w:rPr>
            </w:pPr>
          </w:p>
        </w:tc>
        <w:tc>
          <w:tcPr>
            <w:tcW w:w="752" w:type="dxa"/>
            <w:vAlign w:val="center"/>
          </w:tcPr>
          <w:p>
            <w:pPr>
              <w:jc w:val="center"/>
              <w:rPr>
                <w:rFonts w:ascii="宋体"/>
                <w:color w:val="auto"/>
                <w:szCs w:val="21"/>
              </w:rPr>
            </w:pPr>
          </w:p>
        </w:tc>
        <w:tc>
          <w:tcPr>
            <w:tcW w:w="850" w:type="dxa"/>
            <w:gridSpan w:val="2"/>
            <w:vAlign w:val="center"/>
          </w:tcPr>
          <w:p>
            <w:pPr>
              <w:jc w:val="center"/>
              <w:rPr>
                <w:rFonts w:ascii="宋体"/>
                <w:color w:val="auto"/>
                <w:szCs w:val="21"/>
              </w:rPr>
            </w:pPr>
          </w:p>
        </w:tc>
        <w:tc>
          <w:tcPr>
            <w:tcW w:w="1374" w:type="dxa"/>
            <w:vAlign w:val="center"/>
          </w:tcPr>
          <w:p>
            <w:pPr>
              <w:jc w:val="center"/>
              <w:rPr>
                <w:rFonts w:ascii="宋体"/>
                <w:color w:val="auto"/>
                <w:szCs w:val="21"/>
              </w:rPr>
            </w:pPr>
          </w:p>
        </w:tc>
        <w:tc>
          <w:tcPr>
            <w:tcW w:w="1625" w:type="dxa"/>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244" w:type="dxa"/>
            <w:vAlign w:val="center"/>
          </w:tcPr>
          <w:p>
            <w:pPr>
              <w:jc w:val="center"/>
              <w:rPr>
                <w:rFonts w:ascii="宋体"/>
                <w:color w:val="auto"/>
                <w:szCs w:val="21"/>
              </w:rPr>
            </w:pPr>
          </w:p>
        </w:tc>
        <w:tc>
          <w:tcPr>
            <w:tcW w:w="3392" w:type="dxa"/>
            <w:vAlign w:val="center"/>
          </w:tcPr>
          <w:p>
            <w:pPr>
              <w:jc w:val="center"/>
              <w:rPr>
                <w:rFonts w:ascii="宋体"/>
                <w:color w:val="auto"/>
                <w:szCs w:val="21"/>
              </w:rPr>
            </w:pPr>
          </w:p>
        </w:tc>
        <w:tc>
          <w:tcPr>
            <w:tcW w:w="752" w:type="dxa"/>
            <w:vAlign w:val="center"/>
          </w:tcPr>
          <w:p>
            <w:pPr>
              <w:jc w:val="center"/>
              <w:rPr>
                <w:rFonts w:ascii="宋体"/>
                <w:color w:val="auto"/>
                <w:szCs w:val="21"/>
              </w:rPr>
            </w:pPr>
          </w:p>
        </w:tc>
        <w:tc>
          <w:tcPr>
            <w:tcW w:w="850" w:type="dxa"/>
            <w:gridSpan w:val="2"/>
            <w:vAlign w:val="center"/>
          </w:tcPr>
          <w:p>
            <w:pPr>
              <w:jc w:val="center"/>
              <w:rPr>
                <w:rFonts w:ascii="宋体"/>
                <w:color w:val="auto"/>
                <w:szCs w:val="21"/>
              </w:rPr>
            </w:pPr>
          </w:p>
        </w:tc>
        <w:tc>
          <w:tcPr>
            <w:tcW w:w="1374" w:type="dxa"/>
            <w:vAlign w:val="center"/>
          </w:tcPr>
          <w:p>
            <w:pPr>
              <w:jc w:val="center"/>
              <w:rPr>
                <w:rFonts w:ascii="宋体"/>
                <w:color w:val="auto"/>
                <w:szCs w:val="21"/>
              </w:rPr>
            </w:pPr>
          </w:p>
        </w:tc>
        <w:tc>
          <w:tcPr>
            <w:tcW w:w="1625" w:type="dxa"/>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44" w:type="dxa"/>
            <w:vAlign w:val="center"/>
          </w:tcPr>
          <w:p>
            <w:pPr>
              <w:jc w:val="center"/>
              <w:rPr>
                <w:rFonts w:ascii="宋体"/>
                <w:color w:val="auto"/>
                <w:szCs w:val="21"/>
              </w:rPr>
            </w:pPr>
          </w:p>
        </w:tc>
        <w:tc>
          <w:tcPr>
            <w:tcW w:w="3392" w:type="dxa"/>
            <w:vAlign w:val="center"/>
          </w:tcPr>
          <w:p>
            <w:pPr>
              <w:jc w:val="center"/>
              <w:rPr>
                <w:rFonts w:ascii="宋体"/>
                <w:color w:val="auto"/>
                <w:szCs w:val="21"/>
              </w:rPr>
            </w:pPr>
          </w:p>
        </w:tc>
        <w:tc>
          <w:tcPr>
            <w:tcW w:w="752" w:type="dxa"/>
            <w:vAlign w:val="center"/>
          </w:tcPr>
          <w:p>
            <w:pPr>
              <w:jc w:val="center"/>
              <w:rPr>
                <w:rFonts w:ascii="宋体"/>
                <w:color w:val="auto"/>
                <w:szCs w:val="21"/>
              </w:rPr>
            </w:pPr>
          </w:p>
        </w:tc>
        <w:tc>
          <w:tcPr>
            <w:tcW w:w="850" w:type="dxa"/>
            <w:gridSpan w:val="2"/>
            <w:vAlign w:val="center"/>
          </w:tcPr>
          <w:p>
            <w:pPr>
              <w:jc w:val="center"/>
              <w:rPr>
                <w:rFonts w:ascii="宋体"/>
                <w:color w:val="auto"/>
                <w:szCs w:val="21"/>
              </w:rPr>
            </w:pPr>
          </w:p>
        </w:tc>
        <w:tc>
          <w:tcPr>
            <w:tcW w:w="1374" w:type="dxa"/>
            <w:vAlign w:val="center"/>
          </w:tcPr>
          <w:p>
            <w:pPr>
              <w:jc w:val="center"/>
              <w:rPr>
                <w:rFonts w:ascii="宋体"/>
                <w:color w:val="auto"/>
                <w:szCs w:val="21"/>
              </w:rPr>
            </w:pPr>
          </w:p>
        </w:tc>
        <w:tc>
          <w:tcPr>
            <w:tcW w:w="1625" w:type="dxa"/>
            <w:vAlign w:val="center"/>
          </w:tcPr>
          <w:p>
            <w:pPr>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9237" w:type="dxa"/>
            <w:gridSpan w:val="7"/>
            <w:vAlign w:val="center"/>
          </w:tcPr>
          <w:p>
            <w:pPr>
              <w:rPr>
                <w:rFonts w:ascii="宋体"/>
                <w:color w:val="auto"/>
                <w:szCs w:val="21"/>
              </w:rPr>
            </w:pPr>
            <w:r>
              <w:rPr>
                <w:rFonts w:hint="eastAsia" w:ascii="宋体" w:hAnsi="宋体"/>
                <w:color w:val="auto"/>
                <w:szCs w:val="21"/>
              </w:rPr>
              <w:t>总价共计人民币（大写）：</w:t>
            </w: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 xml:space="preserve">                 </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9237" w:type="dxa"/>
            <w:gridSpan w:val="7"/>
            <w:vAlign w:val="center"/>
          </w:tcPr>
          <w:p>
            <w:pPr>
              <w:rPr>
                <w:rFonts w:ascii="宋体"/>
                <w:color w:val="auto"/>
                <w:szCs w:val="21"/>
              </w:rPr>
            </w:pPr>
            <w:r>
              <w:rPr>
                <w:color w:val="auto"/>
              </w:rPr>
              <w:pict>
                <v:rect id="矩形 7" o:spid="_x0000_s1029" o:spt="1" style="position:absolute;left:0pt;margin-left:285.15pt;margin-top:0.85pt;height:21.25pt;width:28.1pt;z-index:251658240;mso-width-relative:page;mso-height-relative:page;" coordsize="21600,21600" o:gfxdata="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LDGStcAAAAIAQAADwAAAAAAAAABACAA&#10;AAAiAAAAZHJzL2Rvd25yZXYueG1sUEsBAhQAFAAAAAgAh07iQBxQK/EOAgAARAQAAA4AAAAAAAAA&#10;AQAgAAAAJgEAAGRycy9lMm9Eb2MueG1sUEsFBgAAAAAGAAYAWQEAAKYFAAAAAA==&#10;">
                  <v:path/>
                  <v:fill focussize="0,0"/>
                  <v:stroke/>
                  <v:imagedata o:title=""/>
                  <o:lock v:ext="edit"/>
                  <v:textbox>
                    <w:txbxContent>
                      <w:p/>
                    </w:txbxContent>
                  </v:textbox>
                </v:rect>
              </w:pict>
            </w:r>
            <w:r>
              <w:rPr>
                <w:color w:val="auto"/>
              </w:rPr>
              <w:pict>
                <v:rect id="矩形 8" o:spid="_x0000_s1028" o:spt="1" style="position:absolute;left:0pt;margin-left:194.35pt;margin-top:0.3pt;height:21.95pt;width:29.25pt;z-index:251657216;mso-width-relative:page;mso-height-relative:page;" coordsize="21600,21600" o:gfxdata="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TLel1gAAAAcBAAAPAAAAAAAAAAEAIAAA&#10;ACIAAABkcnMvZG93bnJldi54bWxQSwECFAAUAAAACACHTuJAq8v5Bw4CAABEBAAADgAAAAAAAAAB&#10;ACAAAAAlAQAAZHJzL2Uyb0RvYy54bWxQSwUGAAAAAAYABgBZAQAApQUAAAAA&#10;">
                  <v:path/>
                  <v:fill focussize="0,0"/>
                  <v:stroke/>
                  <v:imagedata o:title=""/>
                  <o:lock v:ext="edit"/>
                  <v:textbox>
                    <w:txbxContent>
                      <w:p/>
                    </w:txbxContent>
                  </v:textbox>
                </v:rect>
              </w:pict>
            </w:r>
            <w:r>
              <w:rPr>
                <w:color w:val="auto"/>
              </w:rPr>
              <w:pict>
                <v:rect id="矩形 9" o:spid="_x0000_s1027" o:spt="1" style="position:absolute;left:0pt;margin-left:89.45pt;margin-top:0.9pt;height:21.35pt;width:26.8pt;z-index:251656192;mso-width-relative:page;mso-height-relative:page;" coordsize="21600,21600" o:gfxdata="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fX3zdcAAAAIAQAADwAAAAAAAAABACAA&#10;AAAiAAAAZHJzL2Rvd25yZXYueG1sUEsBAhQAFAAAAAgAh07iQJzmTukOAgAARAQAAA4AAAAAAAAA&#10;AQAgAAAAJgEAAGRycy9lMm9Eb2MueG1sUEsFBgAAAAAGAAYAWQEAAKYFAAAAAA==&#10;">
                  <v:path/>
                  <v:fill focussize="0,0"/>
                  <v:stroke/>
                  <v:imagedata o:title=""/>
                  <o:lock v:ext="edit"/>
                  <v:textbox>
                    <w:txbxContent>
                      <w:p/>
                    </w:txbxContent>
                  </v:textbox>
                </v:rect>
              </w:pict>
            </w:r>
            <w:r>
              <w:rPr>
                <w:rFonts w:hint="eastAsia" w:ascii="宋体" w:hAnsi="宋体"/>
                <w:color w:val="auto"/>
                <w:szCs w:val="21"/>
              </w:rPr>
              <w:t>总体评价：满意</w:t>
            </w:r>
            <w:r>
              <w:rPr>
                <w:rFonts w:ascii="宋体" w:hAnsi="宋体"/>
                <w:color w:val="auto"/>
                <w:szCs w:val="21"/>
              </w:rPr>
              <w:t xml:space="preserve">          </w:t>
            </w:r>
            <w:r>
              <w:rPr>
                <w:rFonts w:hint="eastAsia" w:ascii="宋体" w:hAnsi="宋体"/>
                <w:color w:val="auto"/>
                <w:szCs w:val="21"/>
              </w:rPr>
              <w:t>比较满意</w:t>
            </w:r>
            <w:r>
              <w:rPr>
                <w:rFonts w:ascii="宋体" w:hAnsi="宋体"/>
                <w:color w:val="auto"/>
                <w:szCs w:val="21"/>
              </w:rPr>
              <w:t xml:space="preserve">           </w:t>
            </w:r>
            <w:r>
              <w:rPr>
                <w:rFonts w:hint="eastAsia" w:ascii="宋体" w:hAnsi="宋体"/>
                <w:color w:val="auto"/>
                <w:szCs w:val="21"/>
              </w:rPr>
              <w:t>不满意</w:t>
            </w:r>
          </w:p>
          <w:p>
            <w:pPr>
              <w:rPr>
                <w:rFonts w:ascii="宋体"/>
                <w:color w:val="auto"/>
                <w:szCs w:val="21"/>
              </w:rPr>
            </w:pPr>
          </w:p>
          <w:p>
            <w:pPr>
              <w:rPr>
                <w:rFonts w:ascii="宋体"/>
                <w:color w:val="auto"/>
                <w:szCs w:val="21"/>
              </w:rPr>
            </w:pPr>
            <w:r>
              <w:rPr>
                <w:rFonts w:hint="eastAsia" w:ascii="宋体" w:hAnsi="宋体"/>
                <w:color w:val="auto"/>
                <w:szCs w:val="21"/>
              </w:rPr>
              <w:t>理由：</w:t>
            </w:r>
          </w:p>
          <w:p>
            <w:pP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4636" w:type="dxa"/>
            <w:gridSpan w:val="2"/>
          </w:tcPr>
          <w:p>
            <w:pPr>
              <w:rPr>
                <w:rFonts w:ascii="宋体"/>
                <w:color w:val="auto"/>
                <w:szCs w:val="21"/>
              </w:rPr>
            </w:pPr>
            <w:r>
              <w:rPr>
                <w:rFonts w:hint="eastAsia" w:ascii="宋体" w:hAnsi="宋体"/>
                <w:color w:val="auto"/>
                <w:szCs w:val="21"/>
              </w:rPr>
              <w:t>采购单位验收负责人（签字）：</w:t>
            </w:r>
          </w:p>
          <w:p>
            <w:pPr>
              <w:rPr>
                <w:rFonts w:ascii="宋体"/>
                <w:color w:val="auto"/>
                <w:szCs w:val="21"/>
              </w:rPr>
            </w:pPr>
          </w:p>
          <w:p>
            <w:pPr>
              <w:rPr>
                <w:rFonts w:ascii="宋体"/>
                <w:color w:val="auto"/>
                <w:szCs w:val="21"/>
              </w:rPr>
            </w:pPr>
          </w:p>
          <w:p>
            <w:pPr>
              <w:rPr>
                <w:rFonts w:ascii="宋体"/>
                <w:color w:val="auto"/>
                <w:szCs w:val="21"/>
              </w:rPr>
            </w:pPr>
          </w:p>
          <w:p>
            <w:pPr>
              <w:rPr>
                <w:rFonts w:asci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tc>
        <w:tc>
          <w:tcPr>
            <w:tcW w:w="4601" w:type="dxa"/>
            <w:gridSpan w:val="5"/>
          </w:tcPr>
          <w:p>
            <w:pPr>
              <w:rPr>
                <w:rFonts w:ascii="宋体"/>
                <w:color w:val="auto"/>
                <w:szCs w:val="21"/>
              </w:rPr>
            </w:pPr>
            <w:r>
              <w:rPr>
                <w:rFonts w:hint="eastAsia" w:ascii="宋体" w:hAnsi="宋体"/>
                <w:color w:val="auto"/>
                <w:szCs w:val="21"/>
              </w:rPr>
              <w:t>采购单位其他验收成员（签字）：</w:t>
            </w:r>
          </w:p>
          <w:p>
            <w:pPr>
              <w:rPr>
                <w:rFonts w:ascii="宋体"/>
                <w:color w:val="auto"/>
                <w:szCs w:val="21"/>
              </w:rPr>
            </w:pPr>
          </w:p>
          <w:p>
            <w:pPr>
              <w:rPr>
                <w:rFonts w:ascii="宋体"/>
                <w:color w:val="auto"/>
                <w:szCs w:val="21"/>
              </w:rPr>
            </w:pPr>
          </w:p>
          <w:p>
            <w:pPr>
              <w:rPr>
                <w:rFonts w:ascii="宋体"/>
                <w:color w:val="auto"/>
                <w:szCs w:val="21"/>
              </w:rPr>
            </w:pPr>
          </w:p>
          <w:p>
            <w:pPr>
              <w:rPr>
                <w:rFonts w:asci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4636" w:type="dxa"/>
            <w:gridSpan w:val="2"/>
          </w:tcPr>
          <w:p>
            <w:pPr>
              <w:rPr>
                <w:rFonts w:ascii="宋体"/>
                <w:color w:val="auto"/>
                <w:szCs w:val="21"/>
              </w:rPr>
            </w:pPr>
            <w:r>
              <w:rPr>
                <w:rFonts w:hint="eastAsia" w:ascii="宋体" w:hAnsi="宋体"/>
                <w:color w:val="auto"/>
                <w:szCs w:val="21"/>
              </w:rPr>
              <w:t>采购单位负责人：</w:t>
            </w:r>
            <w:r>
              <w:rPr>
                <w:rFonts w:ascii="宋体" w:hAnsi="宋体"/>
                <w:color w:val="auto"/>
                <w:szCs w:val="21"/>
              </w:rPr>
              <w:t xml:space="preserve">            </w:t>
            </w:r>
          </w:p>
          <w:p>
            <w:pPr>
              <w:rPr>
                <w:rFonts w:ascii="宋体"/>
                <w:color w:val="auto"/>
                <w:szCs w:val="21"/>
              </w:rPr>
            </w:pPr>
          </w:p>
          <w:p>
            <w:pPr>
              <w:rPr>
                <w:rFonts w:ascii="宋体"/>
                <w:color w:val="auto"/>
                <w:szCs w:val="21"/>
              </w:rPr>
            </w:pPr>
          </w:p>
          <w:p>
            <w:pPr>
              <w:rPr>
                <w:rFonts w:ascii="宋体"/>
                <w:color w:val="auto"/>
                <w:szCs w:val="21"/>
              </w:rPr>
            </w:pPr>
          </w:p>
          <w:p>
            <w:pPr>
              <w:ind w:firstLine="2415" w:firstLineChars="1150"/>
              <w:rPr>
                <w:rFonts w:ascii="宋体"/>
                <w:color w:val="auto"/>
                <w:szCs w:val="21"/>
              </w:rPr>
            </w:pPr>
            <w:r>
              <w:rPr>
                <w:rFonts w:ascii="宋体" w:hAnsi="宋体"/>
                <w:color w:val="auto"/>
                <w:szCs w:val="21"/>
              </w:rPr>
              <w:t xml:space="preserve"> </w:t>
            </w:r>
            <w:r>
              <w:rPr>
                <w:rFonts w:hint="eastAsia" w:ascii="宋体" w:hAnsi="宋体"/>
                <w:color w:val="auto"/>
                <w:szCs w:val="21"/>
              </w:rPr>
              <w:t>（单位盖章）</w:t>
            </w:r>
          </w:p>
          <w:p>
            <w:pPr>
              <w:rPr>
                <w:rFonts w:ascii="宋体"/>
                <w:color w:val="auto"/>
                <w:szCs w:val="21"/>
              </w:rPr>
            </w:pPr>
            <w:r>
              <w:rPr>
                <w:rFonts w:ascii="宋体" w:hAnsi="宋体"/>
                <w:color w:val="auto"/>
                <w:szCs w:val="21"/>
              </w:rPr>
              <w:t xml:space="preserve"> </w:t>
            </w:r>
          </w:p>
          <w:p>
            <w:pPr>
              <w:rPr>
                <w:rFonts w:asci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tc>
        <w:tc>
          <w:tcPr>
            <w:tcW w:w="4601" w:type="dxa"/>
            <w:gridSpan w:val="5"/>
          </w:tcPr>
          <w:p>
            <w:pPr>
              <w:rPr>
                <w:rFonts w:ascii="宋体"/>
                <w:color w:val="auto"/>
                <w:szCs w:val="21"/>
              </w:rPr>
            </w:pPr>
            <w:r>
              <w:rPr>
                <w:rFonts w:hint="eastAsia" w:ascii="宋体" w:hAnsi="宋体"/>
                <w:color w:val="auto"/>
                <w:szCs w:val="21"/>
              </w:rPr>
              <w:t>供应商授权代表：</w:t>
            </w:r>
            <w:r>
              <w:rPr>
                <w:rFonts w:ascii="宋体" w:hAnsi="宋体"/>
                <w:color w:val="auto"/>
                <w:szCs w:val="21"/>
              </w:rPr>
              <w:t xml:space="preserve">            </w:t>
            </w:r>
          </w:p>
          <w:p>
            <w:pPr>
              <w:rPr>
                <w:rFonts w:ascii="宋体"/>
                <w:color w:val="auto"/>
                <w:szCs w:val="21"/>
              </w:rPr>
            </w:pPr>
          </w:p>
          <w:p>
            <w:pPr>
              <w:rPr>
                <w:rFonts w:ascii="宋体"/>
                <w:color w:val="auto"/>
                <w:szCs w:val="21"/>
              </w:rPr>
            </w:pPr>
          </w:p>
          <w:p>
            <w:pPr>
              <w:rPr>
                <w:rFonts w:ascii="宋体"/>
                <w:color w:val="auto"/>
                <w:szCs w:val="21"/>
              </w:rPr>
            </w:pPr>
          </w:p>
          <w:p>
            <w:pPr>
              <w:ind w:firstLine="1785" w:firstLineChars="850"/>
              <w:rPr>
                <w:rFonts w:ascii="宋体"/>
                <w:color w:val="auto"/>
                <w:szCs w:val="21"/>
              </w:rPr>
            </w:pPr>
            <w:r>
              <w:rPr>
                <w:rFonts w:ascii="宋体" w:hAnsi="宋体"/>
                <w:color w:val="auto"/>
                <w:szCs w:val="21"/>
              </w:rPr>
              <w:t xml:space="preserve">     </w:t>
            </w:r>
            <w:r>
              <w:rPr>
                <w:rFonts w:hint="eastAsia" w:ascii="宋体" w:hAnsi="宋体"/>
                <w:color w:val="auto"/>
                <w:szCs w:val="21"/>
              </w:rPr>
              <w:t>（单位盖章）</w:t>
            </w:r>
          </w:p>
          <w:p>
            <w:pPr>
              <w:rPr>
                <w:rFonts w:ascii="宋体"/>
                <w:color w:val="auto"/>
                <w:szCs w:val="21"/>
              </w:rPr>
            </w:pPr>
            <w:r>
              <w:rPr>
                <w:rFonts w:ascii="宋体" w:hAnsi="宋体"/>
                <w:color w:val="auto"/>
                <w:szCs w:val="21"/>
              </w:rPr>
              <w:t xml:space="preserve">               </w:t>
            </w:r>
          </w:p>
          <w:p>
            <w:pPr>
              <w:ind w:firstLine="1575" w:firstLineChars="750"/>
              <w:rPr>
                <w:rFonts w:asci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tc>
      </w:tr>
    </w:tbl>
    <w:p>
      <w:pPr>
        <w:ind w:left="206" w:leftChars="-202" w:hanging="630" w:hangingChars="300"/>
        <w:rPr>
          <w:rFonts w:ascii="宋体"/>
          <w:color w:val="auto"/>
          <w:szCs w:val="21"/>
        </w:rPr>
      </w:pPr>
      <w:r>
        <w:rPr>
          <w:rFonts w:hint="eastAsia" w:ascii="宋体" w:hAnsi="宋体"/>
          <w:color w:val="auto"/>
          <w:szCs w:val="21"/>
        </w:rPr>
        <w:t>注：</w:t>
      </w:r>
      <w:r>
        <w:rPr>
          <w:rFonts w:ascii="宋体" w:hAnsi="宋体"/>
          <w:color w:val="auto"/>
          <w:szCs w:val="21"/>
        </w:rPr>
        <w:t xml:space="preserve">1. </w:t>
      </w:r>
      <w:r>
        <w:rPr>
          <w:rFonts w:hint="eastAsia" w:ascii="宋体" w:hAnsi="宋体"/>
          <w:color w:val="auto"/>
          <w:szCs w:val="21"/>
        </w:rPr>
        <w:t>本表需验收成员两人以上签字，并经采购单位盖章有效；</w:t>
      </w:r>
      <w:r>
        <w:rPr>
          <w:rFonts w:ascii="宋体" w:hAnsi="宋体"/>
          <w:color w:val="auto"/>
          <w:szCs w:val="21"/>
        </w:rPr>
        <w:t xml:space="preserve">               </w:t>
      </w:r>
    </w:p>
    <w:p>
      <w:pPr>
        <w:ind w:left="265" w:leftChars="26" w:hanging="210" w:hangingChars="100"/>
        <w:rPr>
          <w:rFonts w:ascii="宋体"/>
          <w:color w:val="auto"/>
          <w:szCs w:val="21"/>
        </w:rPr>
      </w:pPr>
      <w:r>
        <w:rPr>
          <w:rFonts w:ascii="宋体" w:hAnsi="宋体"/>
          <w:color w:val="auto"/>
          <w:szCs w:val="21"/>
        </w:rPr>
        <w:t>2</w:t>
      </w:r>
      <w:r>
        <w:rPr>
          <w:rFonts w:hint="eastAsia" w:ascii="宋体" w:hAnsi="宋体"/>
          <w:color w:val="auto"/>
          <w:szCs w:val="21"/>
        </w:rPr>
        <w:t>．本表总体评价采购单位必须填写；</w:t>
      </w:r>
    </w:p>
    <w:p>
      <w:pPr>
        <w:ind w:left="265" w:leftChars="26" w:hanging="210" w:hangingChars="100"/>
        <w:rPr>
          <w:rFonts w:ascii="宋体"/>
          <w:color w:val="auto"/>
          <w:szCs w:val="21"/>
        </w:rPr>
      </w:pPr>
      <w:r>
        <w:rPr>
          <w:rFonts w:ascii="宋体" w:hAnsi="宋体"/>
          <w:color w:val="auto"/>
          <w:szCs w:val="21"/>
        </w:rPr>
        <w:t>3</w:t>
      </w:r>
      <w:r>
        <w:rPr>
          <w:rFonts w:hint="eastAsia" w:ascii="宋体" w:hAnsi="宋体"/>
          <w:color w:val="auto"/>
          <w:szCs w:val="21"/>
        </w:rPr>
        <w:t>．本表一式三份，采购单位、供应商、采购办各一份。</w:t>
      </w:r>
    </w:p>
    <w:p>
      <w:pPr>
        <w:ind w:left="265" w:leftChars="26" w:hanging="210" w:hangingChars="100"/>
        <w:rPr>
          <w:rFonts w:ascii="宋体"/>
          <w:color w:val="auto"/>
          <w:szCs w:val="21"/>
        </w:rPr>
      </w:pPr>
    </w:p>
    <w:p>
      <w:pPr>
        <w:pStyle w:val="3"/>
        <w:spacing w:line="240" w:lineRule="auto"/>
        <w:jc w:val="center"/>
        <w:rPr>
          <w:color w:val="auto"/>
          <w:sz w:val="36"/>
          <w:szCs w:val="36"/>
        </w:rPr>
      </w:pPr>
      <w:bookmarkStart w:id="552" w:name="_Toc22507"/>
      <w:r>
        <w:rPr>
          <w:rFonts w:hint="eastAsia"/>
          <w:color w:val="auto"/>
          <w:sz w:val="36"/>
          <w:szCs w:val="36"/>
        </w:rPr>
        <w:t>第四章</w:t>
      </w:r>
      <w:r>
        <w:rPr>
          <w:color w:val="auto"/>
          <w:sz w:val="36"/>
          <w:szCs w:val="36"/>
        </w:rPr>
        <w:t xml:space="preserve">  </w:t>
      </w:r>
      <w:r>
        <w:rPr>
          <w:rFonts w:hint="eastAsia"/>
          <w:color w:val="auto"/>
          <w:sz w:val="36"/>
          <w:szCs w:val="36"/>
        </w:rPr>
        <w:t>评标办法及评分标准</w:t>
      </w:r>
      <w:bookmarkEnd w:id="238"/>
      <w:bookmarkEnd w:id="239"/>
      <w:bookmarkEnd w:id="240"/>
      <w:bookmarkEnd w:id="552"/>
    </w:p>
    <w:p>
      <w:pPr>
        <w:pStyle w:val="23"/>
        <w:spacing w:line="360" w:lineRule="exact"/>
        <w:ind w:firstLine="420"/>
        <w:rPr>
          <w:rFonts w:hAnsi="宋体"/>
          <w:b/>
          <w:bCs/>
          <w:color w:val="auto"/>
          <w:sz w:val="21"/>
        </w:rPr>
      </w:pPr>
      <w:r>
        <w:rPr>
          <w:rFonts w:hint="eastAsia" w:hAnsi="宋体"/>
          <w:b/>
          <w:bCs/>
          <w:color w:val="auto"/>
          <w:sz w:val="21"/>
        </w:rPr>
        <w:t>一、评标原则</w:t>
      </w:r>
    </w:p>
    <w:p>
      <w:pPr>
        <w:pStyle w:val="23"/>
        <w:spacing w:line="360" w:lineRule="exact"/>
        <w:ind w:firstLine="420"/>
        <w:rPr>
          <w:rFonts w:hAnsi="宋体"/>
          <w:bCs/>
          <w:color w:val="auto"/>
          <w:sz w:val="21"/>
        </w:rPr>
      </w:pPr>
      <w:r>
        <w:rPr>
          <w:rFonts w:hAnsi="宋体"/>
          <w:bCs/>
          <w:color w:val="auto"/>
          <w:sz w:val="21"/>
        </w:rPr>
        <w:t>(</w:t>
      </w:r>
      <w:r>
        <w:rPr>
          <w:rFonts w:hint="eastAsia" w:hAnsi="宋体"/>
          <w:bCs/>
          <w:color w:val="auto"/>
          <w:sz w:val="21"/>
        </w:rPr>
        <w:t>一</w:t>
      </w:r>
      <w:r>
        <w:rPr>
          <w:rFonts w:hAnsi="宋体"/>
          <w:bCs/>
          <w:color w:val="auto"/>
          <w:sz w:val="21"/>
        </w:rPr>
        <w:t>)</w:t>
      </w:r>
      <w:r>
        <w:rPr>
          <w:rFonts w:hint="eastAsia" w:hAnsi="宋体"/>
          <w:bCs/>
          <w:color w:val="auto"/>
          <w:sz w:val="21"/>
        </w:rPr>
        <w:t>评委构成：本招标采购项目的评委由采购人代表、政府采购评审专家库中随机抽取的专家共</w:t>
      </w:r>
      <w:r>
        <w:rPr>
          <w:rFonts w:hAnsi="宋体"/>
          <w:bCs/>
          <w:color w:val="auto"/>
          <w:sz w:val="21"/>
        </w:rPr>
        <w:t>5</w:t>
      </w:r>
      <w:r>
        <w:rPr>
          <w:rFonts w:hint="eastAsia" w:hAnsi="宋体"/>
          <w:bCs/>
          <w:color w:val="auto"/>
          <w:sz w:val="21"/>
        </w:rPr>
        <w:t>人以上（含</w:t>
      </w:r>
      <w:r>
        <w:rPr>
          <w:rFonts w:hAnsi="宋体"/>
          <w:bCs/>
          <w:color w:val="auto"/>
          <w:sz w:val="21"/>
        </w:rPr>
        <w:t>5</w:t>
      </w:r>
      <w:r>
        <w:rPr>
          <w:rFonts w:hint="eastAsia" w:hAnsi="宋体"/>
          <w:bCs/>
          <w:color w:val="auto"/>
          <w:sz w:val="21"/>
        </w:rPr>
        <w:t>人）单数构成，其中专家人数不少于成员总数的三分之二。</w:t>
      </w:r>
    </w:p>
    <w:p>
      <w:pPr>
        <w:pStyle w:val="23"/>
        <w:spacing w:line="360" w:lineRule="exact"/>
        <w:ind w:firstLine="420" w:firstLineChars="200"/>
        <w:rPr>
          <w:rFonts w:hAnsi="宋体"/>
          <w:bCs/>
          <w:color w:val="auto"/>
          <w:sz w:val="21"/>
        </w:rPr>
      </w:pPr>
      <w:r>
        <w:rPr>
          <w:rFonts w:hAnsi="宋体"/>
          <w:bCs/>
          <w:color w:val="auto"/>
          <w:sz w:val="21"/>
        </w:rPr>
        <w:t>(</w:t>
      </w:r>
      <w:r>
        <w:rPr>
          <w:rFonts w:hint="eastAsia" w:hAnsi="宋体"/>
          <w:bCs/>
          <w:color w:val="auto"/>
          <w:sz w:val="21"/>
        </w:rPr>
        <w:t>二</w:t>
      </w:r>
      <w:r>
        <w:rPr>
          <w:rFonts w:hAnsi="宋体"/>
          <w:bCs/>
          <w:color w:val="auto"/>
          <w:sz w:val="21"/>
        </w:rPr>
        <w:t>)</w:t>
      </w:r>
      <w:r>
        <w:rPr>
          <w:rFonts w:hint="eastAsia" w:hAnsi="宋体"/>
          <w:bCs/>
          <w:color w:val="auto"/>
          <w:sz w:val="21"/>
        </w:rPr>
        <w:t>评标依据：评委将以招投标文件为评标依据，对投标人的投标报价、技术性能及配置、售后服务、信誉及业绩等四方面内容按百分制打分。其中价格分</w:t>
      </w:r>
      <w:r>
        <w:rPr>
          <w:rFonts w:hAnsi="宋体"/>
          <w:bCs/>
          <w:color w:val="auto"/>
          <w:sz w:val="21"/>
        </w:rPr>
        <w:t>30</w:t>
      </w:r>
      <w:r>
        <w:rPr>
          <w:rFonts w:hint="eastAsia" w:hAnsi="宋体"/>
          <w:bCs/>
          <w:color w:val="auto"/>
          <w:sz w:val="21"/>
        </w:rPr>
        <w:t>分；技术分11分；安装施工组织设计方案及售后服务及技术培训方案分3</w:t>
      </w:r>
      <w:r>
        <w:rPr>
          <w:rFonts w:hint="eastAsia" w:hAnsi="宋体"/>
          <w:bCs/>
          <w:color w:val="auto"/>
          <w:sz w:val="21"/>
          <w:lang w:val="en-US" w:eastAsia="zh-CN"/>
        </w:rPr>
        <w:t>8</w:t>
      </w:r>
      <w:r>
        <w:rPr>
          <w:rFonts w:hint="eastAsia" w:hAnsi="宋体"/>
          <w:bCs/>
          <w:color w:val="auto"/>
          <w:sz w:val="21"/>
        </w:rPr>
        <w:t>分；信誉业绩分</w:t>
      </w:r>
      <w:r>
        <w:rPr>
          <w:rFonts w:hint="eastAsia" w:hAnsi="宋体"/>
          <w:bCs/>
          <w:color w:val="auto"/>
          <w:sz w:val="21"/>
          <w:lang w:val="en-US" w:eastAsia="zh-CN"/>
        </w:rPr>
        <w:t>9</w:t>
      </w:r>
      <w:r>
        <w:rPr>
          <w:rFonts w:hint="eastAsia" w:hAnsi="宋体"/>
          <w:bCs/>
          <w:color w:val="auto"/>
          <w:sz w:val="21"/>
        </w:rPr>
        <w:t>分；拟投入人员配备分10分；政策功能分</w:t>
      </w:r>
      <w:r>
        <w:rPr>
          <w:rFonts w:hint="eastAsia" w:hAnsi="宋体"/>
          <w:bCs/>
          <w:color w:val="auto"/>
          <w:sz w:val="21"/>
          <w:lang w:val="en-US" w:eastAsia="zh-CN"/>
        </w:rPr>
        <w:t>2</w:t>
      </w:r>
      <w:r>
        <w:rPr>
          <w:rFonts w:hint="eastAsia" w:hAnsi="宋体"/>
          <w:bCs/>
          <w:color w:val="auto"/>
          <w:sz w:val="21"/>
        </w:rPr>
        <w:t>分。</w:t>
      </w:r>
    </w:p>
    <w:p>
      <w:pPr>
        <w:pStyle w:val="23"/>
        <w:spacing w:line="360" w:lineRule="exact"/>
        <w:ind w:firstLine="420"/>
        <w:rPr>
          <w:rFonts w:hAnsi="宋体"/>
          <w:b/>
          <w:bCs/>
          <w:color w:val="auto"/>
          <w:sz w:val="21"/>
        </w:rPr>
      </w:pPr>
      <w:r>
        <w:rPr>
          <w:rFonts w:hint="eastAsia" w:hAnsi="宋体"/>
          <w:b/>
          <w:bCs/>
          <w:color w:val="auto"/>
          <w:sz w:val="21"/>
        </w:rPr>
        <w:t>二、评标方法</w:t>
      </w:r>
    </w:p>
    <w:p>
      <w:pPr>
        <w:pStyle w:val="23"/>
        <w:spacing w:line="360" w:lineRule="exact"/>
        <w:ind w:firstLine="420"/>
        <w:rPr>
          <w:rFonts w:hAnsi="宋体"/>
          <w:b/>
          <w:bCs/>
          <w:color w:val="auto"/>
          <w:sz w:val="21"/>
        </w:rPr>
      </w:pPr>
      <w:r>
        <w:rPr>
          <w:rFonts w:hint="eastAsia" w:hAnsi="宋体"/>
          <w:b/>
          <w:bCs/>
          <w:color w:val="auto"/>
          <w:sz w:val="21"/>
        </w:rPr>
        <w:t>（一）对进入详评的，采用百分制综合评分法。</w:t>
      </w:r>
    </w:p>
    <w:p>
      <w:pPr>
        <w:pStyle w:val="23"/>
        <w:spacing w:line="360" w:lineRule="exact"/>
        <w:ind w:firstLine="420"/>
        <w:rPr>
          <w:rFonts w:hAnsi="宋体"/>
          <w:b/>
          <w:bCs/>
          <w:color w:val="auto"/>
          <w:sz w:val="21"/>
        </w:rPr>
      </w:pPr>
      <w:r>
        <w:rPr>
          <w:rFonts w:hint="eastAsia" w:hAnsi="宋体"/>
          <w:b/>
          <w:bCs/>
          <w:color w:val="auto"/>
          <w:sz w:val="21"/>
        </w:rPr>
        <w:t>（二）计分办法（按四舍五入取至百分位）：</w:t>
      </w:r>
    </w:p>
    <w:p>
      <w:pPr>
        <w:pStyle w:val="23"/>
        <w:spacing w:line="420" w:lineRule="exact"/>
        <w:ind w:firstLine="420"/>
        <w:rPr>
          <w:rFonts w:hAnsi="宋体"/>
          <w:b/>
          <w:color w:val="auto"/>
          <w:sz w:val="21"/>
        </w:rPr>
      </w:pPr>
      <w:r>
        <w:rPr>
          <w:rFonts w:hAnsi="宋体"/>
          <w:b/>
          <w:color w:val="auto"/>
          <w:sz w:val="21"/>
        </w:rPr>
        <w:t>1.</w:t>
      </w:r>
      <w:r>
        <w:rPr>
          <w:rFonts w:hint="eastAsia" w:hAnsi="宋体"/>
          <w:b/>
          <w:color w:val="auto"/>
          <w:sz w:val="21"/>
        </w:rPr>
        <w:t>价格分……………………………………………………………………………</w:t>
      </w:r>
      <w:r>
        <w:rPr>
          <w:rFonts w:hAnsi="宋体"/>
          <w:b/>
          <w:color w:val="auto"/>
          <w:sz w:val="21"/>
        </w:rPr>
        <w:t>30</w:t>
      </w:r>
      <w:r>
        <w:rPr>
          <w:rFonts w:hint="eastAsia" w:hAnsi="宋体"/>
          <w:b/>
          <w:color w:val="auto"/>
          <w:sz w:val="21"/>
        </w:rPr>
        <w:t>分</w:t>
      </w:r>
    </w:p>
    <w:p>
      <w:pPr>
        <w:pStyle w:val="23"/>
        <w:spacing w:line="420" w:lineRule="exact"/>
        <w:ind w:firstLine="420"/>
        <w:rPr>
          <w:rFonts w:hAnsi="宋体"/>
          <w:b/>
          <w:color w:val="auto"/>
          <w:sz w:val="21"/>
        </w:rPr>
      </w:pPr>
      <w:r>
        <w:rPr>
          <w:rFonts w:hAnsi="宋体"/>
          <w:b/>
          <w:color w:val="auto"/>
          <w:sz w:val="21"/>
        </w:rPr>
        <w:t xml:space="preserve"> </w:t>
      </w:r>
      <w:r>
        <w:rPr>
          <w:rFonts w:hint="eastAsia" w:hAnsi="宋体"/>
          <w:b/>
          <w:color w:val="auto"/>
          <w:sz w:val="21"/>
        </w:rPr>
        <w:t>（</w:t>
      </w:r>
      <w:r>
        <w:rPr>
          <w:rFonts w:hAnsi="宋体"/>
          <w:b/>
          <w:color w:val="auto"/>
          <w:sz w:val="21"/>
        </w:rPr>
        <w:t>1</w:t>
      </w:r>
      <w:r>
        <w:rPr>
          <w:rFonts w:hint="eastAsia" w:hAnsi="宋体"/>
          <w:b/>
          <w:color w:val="auto"/>
          <w:sz w:val="21"/>
        </w:rPr>
        <w:t>）以进入评标的最低评标报价为</w:t>
      </w:r>
      <w:r>
        <w:rPr>
          <w:rFonts w:hAnsi="宋体"/>
          <w:b/>
          <w:color w:val="auto"/>
          <w:sz w:val="21"/>
        </w:rPr>
        <w:t>30</w:t>
      </w:r>
      <w:r>
        <w:rPr>
          <w:rFonts w:hint="eastAsia" w:hAnsi="宋体"/>
          <w:b/>
          <w:color w:val="auto"/>
          <w:sz w:val="21"/>
        </w:rPr>
        <w:t>分。</w:t>
      </w:r>
    </w:p>
    <w:p>
      <w:pPr>
        <w:pStyle w:val="23"/>
        <w:adjustRightInd w:val="0"/>
        <w:spacing w:line="380" w:lineRule="exact"/>
        <w:ind w:firstLine="420" w:firstLineChars="200"/>
        <w:contextualSpacing/>
        <w:rPr>
          <w:rFonts w:hAnsi="宋体" w:cs="宋体"/>
          <w:bCs/>
          <w:color w:val="auto"/>
          <w:sz w:val="21"/>
        </w:rPr>
      </w:pPr>
      <w:r>
        <w:rPr>
          <w:rFonts w:hint="eastAsia" w:hAnsi="宋体" w:cs="宋体"/>
          <w:bCs/>
          <w:color w:val="auto"/>
          <w:sz w:val="21"/>
        </w:rPr>
        <w:t>（</w:t>
      </w:r>
      <w:r>
        <w:rPr>
          <w:rFonts w:hAnsi="宋体" w:cs="宋体"/>
          <w:bCs/>
          <w:color w:val="auto"/>
          <w:sz w:val="21"/>
        </w:rPr>
        <w:t>2</w:t>
      </w:r>
      <w:r>
        <w:rPr>
          <w:rFonts w:hint="eastAsia" w:hAnsi="宋体" w:cs="宋体"/>
          <w:bCs/>
          <w:color w:val="auto"/>
          <w:sz w:val="21"/>
        </w:rPr>
        <w:t>）按照《政府采购促进中小企业发展暂行办法》（财库</w:t>
      </w:r>
      <w:r>
        <w:rPr>
          <w:rFonts w:hAnsi="宋体" w:cs="宋体"/>
          <w:bCs/>
          <w:color w:val="auto"/>
          <w:sz w:val="21"/>
        </w:rPr>
        <w:t>[2011]181</w:t>
      </w:r>
      <w:r>
        <w:rPr>
          <w:rFonts w:hint="eastAsia" w:hAnsi="宋体" w:cs="宋体"/>
          <w:bCs/>
          <w:color w:val="auto"/>
          <w:sz w:val="21"/>
        </w:rPr>
        <w:t>号），投标单位认定为小型和微型企业的（以投标文件提供的符合规定的有关证明材料为准</w:t>
      </w:r>
      <w:r>
        <w:rPr>
          <w:rFonts w:hAnsi="宋体" w:cs="宋体"/>
          <w:bCs/>
          <w:color w:val="auto"/>
          <w:sz w:val="21"/>
        </w:rPr>
        <w:t>)</w:t>
      </w:r>
      <w:r>
        <w:rPr>
          <w:rFonts w:hint="eastAsia" w:hAnsi="宋体" w:cs="宋体"/>
          <w:bCs/>
          <w:color w:val="auto"/>
          <w:sz w:val="21"/>
        </w:rPr>
        <w:t>，并提供本企业制造的货物，由本企业承担工程、提供服务，或者提供其他小型、微型企业制造的货物的（不包括使用大型企业注册商标的货物），对投标价给予10</w:t>
      </w:r>
      <w:r>
        <w:rPr>
          <w:rFonts w:hAnsi="宋体" w:cs="宋体"/>
          <w:bCs/>
          <w:color w:val="auto"/>
          <w:sz w:val="21"/>
        </w:rPr>
        <w:t>%</w:t>
      </w:r>
      <w:r>
        <w:rPr>
          <w:rFonts w:hint="eastAsia" w:hAnsi="宋体" w:cs="宋体"/>
          <w:bCs/>
          <w:color w:val="auto"/>
          <w:sz w:val="21"/>
        </w:rPr>
        <w:t>的扣除，扣除后的价格为评标报价，即评标报价</w:t>
      </w:r>
      <w:r>
        <w:rPr>
          <w:rFonts w:hAnsi="宋体" w:cs="宋体"/>
          <w:bCs/>
          <w:color w:val="auto"/>
          <w:sz w:val="21"/>
        </w:rPr>
        <w:t>=</w:t>
      </w:r>
      <w:r>
        <w:rPr>
          <w:rFonts w:hint="eastAsia" w:hAnsi="宋体" w:cs="宋体"/>
          <w:bCs/>
          <w:color w:val="auto"/>
          <w:sz w:val="21"/>
        </w:rPr>
        <w:t>投标价×（</w:t>
      </w:r>
      <w:r>
        <w:rPr>
          <w:rFonts w:hAnsi="宋体" w:cs="宋体"/>
          <w:bCs/>
          <w:color w:val="auto"/>
          <w:sz w:val="21"/>
        </w:rPr>
        <w:t>1-</w:t>
      </w:r>
      <w:r>
        <w:rPr>
          <w:rFonts w:hint="eastAsia" w:hAnsi="宋体" w:cs="宋体"/>
          <w:bCs/>
          <w:color w:val="auto"/>
          <w:sz w:val="21"/>
        </w:rPr>
        <w:t>10</w:t>
      </w:r>
      <w:r>
        <w:rPr>
          <w:rFonts w:hAnsi="宋体" w:cs="宋体"/>
          <w:bCs/>
          <w:color w:val="auto"/>
          <w:sz w:val="21"/>
        </w:rPr>
        <w:t>%</w:t>
      </w:r>
      <w:r>
        <w:rPr>
          <w:rFonts w:hint="eastAsia" w:hAnsi="宋体" w:cs="宋体"/>
          <w:bCs/>
          <w:color w:val="auto"/>
          <w:sz w:val="21"/>
        </w:rPr>
        <w:t>）；</w:t>
      </w:r>
    </w:p>
    <w:p>
      <w:pPr>
        <w:spacing w:line="410" w:lineRule="exact"/>
        <w:ind w:firstLine="420" w:firstLineChars="200"/>
        <w:rPr>
          <w:rFonts w:ascii="宋体"/>
          <w:color w:val="auto"/>
          <w:szCs w:val="21"/>
        </w:rPr>
      </w:pPr>
      <w:r>
        <w:rPr>
          <w:rFonts w:hint="eastAsia" w:ascii="宋体" w:hAnsi="宋体"/>
          <w:color w:val="auto"/>
          <w:szCs w:val="21"/>
        </w:rPr>
        <w:t>投标产品提供企业按《关于政府采购支持监狱企业发展有关问题的通知》</w:t>
      </w:r>
      <w:r>
        <w:rPr>
          <w:rFonts w:ascii="宋体" w:hAnsi="宋体"/>
          <w:color w:val="auto"/>
          <w:szCs w:val="21"/>
        </w:rPr>
        <w:t>(</w:t>
      </w:r>
      <w:r>
        <w:rPr>
          <w:rFonts w:hint="eastAsia" w:ascii="宋体" w:hAnsi="宋体"/>
          <w:color w:val="auto"/>
          <w:szCs w:val="21"/>
        </w:rPr>
        <w:t>财库</w:t>
      </w:r>
      <w:r>
        <w:rPr>
          <w:rFonts w:ascii="宋体" w:hAnsi="宋体"/>
          <w:color w:val="auto"/>
          <w:szCs w:val="21"/>
        </w:rPr>
        <w:t>[2014]68</w:t>
      </w:r>
      <w:r>
        <w:rPr>
          <w:rFonts w:hint="eastAsia" w:ascii="宋体" w:hAnsi="宋体"/>
          <w:color w:val="auto"/>
          <w:szCs w:val="21"/>
        </w:rPr>
        <w:t>号</w:t>
      </w:r>
      <w:r>
        <w:rPr>
          <w:rFonts w:ascii="宋体" w:hAnsi="宋体"/>
          <w:color w:val="auto"/>
          <w:szCs w:val="21"/>
        </w:rPr>
        <w:t>)</w:t>
      </w:r>
      <w:r>
        <w:rPr>
          <w:rFonts w:hint="eastAsia" w:ascii="宋体" w:hAnsi="宋体"/>
          <w:color w:val="auto"/>
          <w:szCs w:val="21"/>
        </w:rPr>
        <w:t>认定为监狱企业的，在政府采购活动中，监狱企业视同小型、微型企业。监狱企业参加政府采购活动时，应当提供由省级以上监狱管理局、戒毒管理局（含新疆生产建设兵团）出具的属于监狱企业的证明文件；</w:t>
      </w:r>
    </w:p>
    <w:p>
      <w:pPr>
        <w:pStyle w:val="23"/>
        <w:adjustRightInd w:val="0"/>
        <w:spacing w:line="380" w:lineRule="exact"/>
        <w:ind w:firstLine="420" w:firstLineChars="200"/>
        <w:contextualSpacing/>
        <w:rPr>
          <w:rFonts w:hAnsi="宋体" w:cs="宋体"/>
          <w:bCs/>
          <w:color w:val="auto"/>
          <w:sz w:val="21"/>
        </w:rPr>
      </w:pPr>
      <w:r>
        <w:rPr>
          <w:rFonts w:hint="eastAsia" w:hAnsi="宋体" w:cs="宋体"/>
          <w:bCs/>
          <w:color w:val="auto"/>
          <w:sz w:val="21"/>
        </w:rPr>
        <w:t>投标产品提供单位按《关于促进残疾人就业政府采购政策的通知》</w:t>
      </w:r>
      <w:r>
        <w:rPr>
          <w:rFonts w:hAnsi="宋体" w:cs="宋体"/>
          <w:bCs/>
          <w:color w:val="auto"/>
          <w:sz w:val="21"/>
        </w:rPr>
        <w:t>(</w:t>
      </w:r>
      <w:r>
        <w:rPr>
          <w:rFonts w:hint="eastAsia" w:hAnsi="宋体" w:cs="宋体"/>
          <w:bCs/>
          <w:color w:val="auto"/>
          <w:sz w:val="21"/>
        </w:rPr>
        <w:t>财库〔</w:t>
      </w:r>
      <w:r>
        <w:rPr>
          <w:rFonts w:hAnsi="宋体" w:cs="宋体"/>
          <w:bCs/>
          <w:color w:val="auto"/>
          <w:sz w:val="21"/>
        </w:rPr>
        <w:t>2017</w:t>
      </w:r>
      <w:r>
        <w:rPr>
          <w:rFonts w:hint="eastAsia" w:hAnsi="宋体" w:cs="宋体"/>
          <w:bCs/>
          <w:color w:val="auto"/>
          <w:sz w:val="21"/>
        </w:rPr>
        <w:t>〕</w:t>
      </w:r>
      <w:r>
        <w:rPr>
          <w:rFonts w:hAnsi="宋体" w:cs="宋体"/>
          <w:bCs/>
          <w:color w:val="auto"/>
          <w:sz w:val="21"/>
        </w:rPr>
        <w:t>141</w:t>
      </w:r>
      <w:r>
        <w:rPr>
          <w:rFonts w:hint="eastAsia" w:hAnsi="宋体" w:cs="宋体"/>
          <w:bCs/>
          <w:color w:val="auto"/>
          <w:sz w:val="21"/>
        </w:rPr>
        <w:t>号</w:t>
      </w:r>
      <w:r>
        <w:rPr>
          <w:rFonts w:hAnsi="宋体" w:cs="宋体"/>
          <w:bCs/>
          <w:color w:val="auto"/>
          <w:sz w:val="21"/>
        </w:rPr>
        <w:t>)</w:t>
      </w:r>
      <w:r>
        <w:rPr>
          <w:rFonts w:hint="eastAsia" w:hAnsi="宋体" w:cs="宋体"/>
          <w:bCs/>
          <w:color w:val="auto"/>
          <w:sz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pStyle w:val="23"/>
        <w:adjustRightInd w:val="0"/>
        <w:spacing w:line="380" w:lineRule="exact"/>
        <w:ind w:firstLine="420" w:firstLineChars="200"/>
        <w:contextualSpacing/>
        <w:rPr>
          <w:rFonts w:hAnsi="宋体" w:cs="宋体"/>
          <w:bCs/>
          <w:color w:val="auto"/>
          <w:sz w:val="21"/>
        </w:rPr>
      </w:pPr>
      <w:r>
        <w:rPr>
          <w:rFonts w:hint="eastAsia" w:hAnsi="宋体" w:cs="宋体"/>
          <w:bCs/>
          <w:color w:val="auto"/>
          <w:sz w:val="21"/>
        </w:rPr>
        <w:t>除上述情况外，评标报价</w:t>
      </w:r>
      <w:r>
        <w:rPr>
          <w:rFonts w:hAnsi="宋体" w:cs="宋体"/>
          <w:bCs/>
          <w:color w:val="auto"/>
          <w:sz w:val="21"/>
        </w:rPr>
        <w:t>=</w:t>
      </w:r>
      <w:r>
        <w:rPr>
          <w:rFonts w:hint="eastAsia" w:hAnsi="宋体" w:cs="宋体"/>
          <w:bCs/>
          <w:color w:val="auto"/>
          <w:sz w:val="21"/>
        </w:rPr>
        <w:t>投标价。</w:t>
      </w:r>
    </w:p>
    <w:p>
      <w:pPr>
        <w:spacing w:line="440" w:lineRule="exact"/>
        <w:ind w:firstLine="420" w:firstLineChars="200"/>
        <w:rPr>
          <w:rFonts w:hAnsi="宋体" w:cs="宋体"/>
          <w:bCs/>
          <w:color w:val="auto"/>
          <w:szCs w:val="21"/>
        </w:rPr>
      </w:pPr>
      <w:r>
        <w:rPr>
          <w:rFonts w:hint="eastAsia" w:hAnsi="宋体" w:cs="宋体"/>
          <w:bCs/>
          <w:color w:val="auto"/>
          <w:szCs w:val="21"/>
        </w:rPr>
        <w:t>（</w:t>
      </w:r>
      <w:r>
        <w:rPr>
          <w:rFonts w:hAnsi="宋体" w:cs="宋体"/>
          <w:bCs/>
          <w:color w:val="auto"/>
          <w:szCs w:val="21"/>
        </w:rPr>
        <w:t>3</w:t>
      </w:r>
      <w:r>
        <w:rPr>
          <w:rFonts w:hint="eastAsia" w:hAnsi="宋体" w:cs="宋体"/>
          <w:bCs/>
          <w:color w:val="auto"/>
          <w:szCs w:val="21"/>
        </w:rPr>
        <w:t>）某投标人价格分</w:t>
      </w:r>
      <w:r>
        <w:rPr>
          <w:rFonts w:hAnsi="宋体" w:cs="宋体"/>
          <w:bCs/>
          <w:color w:val="auto"/>
          <w:szCs w:val="21"/>
        </w:rPr>
        <w:t xml:space="preserve"> =</w:t>
      </w:r>
      <w:r>
        <w:rPr>
          <w:rFonts w:hint="eastAsia" w:hAnsi="宋体" w:cs="宋体"/>
          <w:bCs/>
          <w:color w:val="auto"/>
          <w:szCs w:val="21"/>
        </w:rPr>
        <w:t>（投标人最低评标报价÷某投标人评标报价）×</w:t>
      </w:r>
      <w:r>
        <w:rPr>
          <w:rFonts w:hAnsi="宋体" w:cs="宋体"/>
          <w:bCs/>
          <w:color w:val="auto"/>
          <w:szCs w:val="21"/>
        </w:rPr>
        <w:t>30</w:t>
      </w:r>
      <w:r>
        <w:rPr>
          <w:rFonts w:hint="eastAsia" w:hAnsi="宋体" w:cs="宋体"/>
          <w:bCs/>
          <w:color w:val="auto"/>
          <w:szCs w:val="21"/>
        </w:rPr>
        <w:t>分。</w:t>
      </w:r>
    </w:p>
    <w:p>
      <w:pPr>
        <w:pStyle w:val="23"/>
        <w:spacing w:line="380" w:lineRule="exact"/>
        <w:ind w:firstLine="420" w:firstLineChars="200"/>
        <w:rPr>
          <w:rFonts w:hAnsi="宋体" w:cs="宋体"/>
          <w:b/>
          <w:bCs/>
          <w:color w:val="auto"/>
          <w:sz w:val="21"/>
        </w:rPr>
      </w:pPr>
      <w:r>
        <w:rPr>
          <w:color w:val="auto"/>
          <w:sz w:val="21"/>
        </w:rPr>
        <w:t xml:space="preserve"> </w:t>
      </w:r>
      <w:r>
        <w:rPr>
          <w:b/>
          <w:color w:val="auto"/>
          <w:sz w:val="21"/>
        </w:rPr>
        <w:t xml:space="preserve"> </w:t>
      </w:r>
      <w:r>
        <w:rPr>
          <w:rFonts w:hAnsi="宋体"/>
          <w:b/>
          <w:color w:val="auto"/>
          <w:sz w:val="21"/>
        </w:rPr>
        <w:t>2</w:t>
      </w:r>
      <w:r>
        <w:rPr>
          <w:rFonts w:hint="eastAsia" w:hAnsi="宋体"/>
          <w:b/>
          <w:color w:val="auto"/>
          <w:sz w:val="21"/>
        </w:rPr>
        <w:t>、</w:t>
      </w:r>
      <w:r>
        <w:rPr>
          <w:rFonts w:hint="eastAsia" w:hAnsi="宋体" w:cs="宋体"/>
          <w:b/>
          <w:bCs/>
          <w:color w:val="auto"/>
          <w:sz w:val="21"/>
        </w:rPr>
        <w:t>技术分……………………………………………………</w:t>
      </w:r>
      <w:r>
        <w:rPr>
          <w:rFonts w:hint="eastAsia" w:hAnsi="宋体" w:cs="宋体"/>
          <w:b/>
          <w:color w:val="auto"/>
          <w:sz w:val="21"/>
        </w:rPr>
        <w:t>…………</w:t>
      </w:r>
      <w:r>
        <w:rPr>
          <w:rFonts w:hint="eastAsia" w:hAnsi="宋体" w:cs="宋体"/>
          <w:b/>
          <w:bCs/>
          <w:color w:val="auto"/>
          <w:sz w:val="21"/>
        </w:rPr>
        <w:t>…………11分</w:t>
      </w:r>
      <w:r>
        <w:rPr>
          <w:rFonts w:hAnsi="宋体" w:cs="宋体"/>
          <w:b/>
          <w:bCs/>
          <w:color w:val="auto"/>
          <w:sz w:val="21"/>
        </w:rPr>
        <w:t xml:space="preserve">  </w:t>
      </w:r>
    </w:p>
    <w:p>
      <w:pPr>
        <w:spacing w:line="440" w:lineRule="exact"/>
        <w:ind w:firstLine="411" w:firstLineChars="196"/>
        <w:rPr>
          <w:rFonts w:hAnsi="宋体" w:cs="宋体"/>
          <w:color w:val="auto"/>
        </w:rPr>
      </w:pPr>
      <w:r>
        <w:rPr>
          <w:rFonts w:hAnsi="宋体" w:cs="宋体"/>
          <w:color w:val="auto"/>
        </w:rPr>
        <w:t xml:space="preserve"> </w:t>
      </w:r>
      <w:r>
        <w:rPr>
          <w:rFonts w:hint="eastAsia" w:hAnsi="宋体" w:cs="宋体"/>
          <w:color w:val="auto"/>
        </w:rPr>
        <w:t>（</w:t>
      </w:r>
      <w:r>
        <w:rPr>
          <w:rFonts w:hAnsi="宋体" w:cs="宋体"/>
          <w:color w:val="auto"/>
        </w:rPr>
        <w:t>1</w:t>
      </w:r>
      <w:r>
        <w:rPr>
          <w:rFonts w:hint="eastAsia" w:hAnsi="宋体" w:cs="宋体"/>
          <w:color w:val="auto"/>
        </w:rPr>
        <w:t>）投标人全部满足招标文件中规定的参数、商务要求及安装服务、其他要求，全部满足得5分；</w:t>
      </w:r>
    </w:p>
    <w:p>
      <w:pPr>
        <w:spacing w:line="440" w:lineRule="exact"/>
        <w:ind w:firstLine="411" w:firstLineChars="196"/>
        <w:rPr>
          <w:rFonts w:hAnsi="宋体" w:cs="宋体"/>
          <w:color w:val="auto"/>
        </w:rPr>
      </w:pPr>
      <w:r>
        <w:rPr>
          <w:rFonts w:hint="eastAsia" w:hAnsi="宋体" w:cs="宋体"/>
          <w:color w:val="auto"/>
        </w:rPr>
        <w:t>（2）参数、规格及安装服务要求每有一项不满足或负偏离扣1.5分，扣完5分为止；</w:t>
      </w:r>
    </w:p>
    <w:p>
      <w:pPr>
        <w:spacing w:line="440" w:lineRule="exact"/>
        <w:ind w:firstLine="411" w:firstLineChars="196"/>
        <w:rPr>
          <w:rFonts w:hAnsi="宋体" w:cs="宋体"/>
          <w:color w:val="auto"/>
        </w:rPr>
      </w:pPr>
      <w:r>
        <w:rPr>
          <w:rFonts w:hint="eastAsia" w:hAnsi="宋体" w:cs="宋体"/>
          <w:color w:val="auto"/>
        </w:rPr>
        <w:t>（3）投标人所投产品全部满足招标文件中规定的参数、商务要求、规格及安装服务、其他要求情况下，标注“</w:t>
      </w:r>
      <w:r>
        <w:rPr>
          <w:rFonts w:hint="eastAsia" w:ascii="宋体" w:hAnsi="宋体" w:cs="宋体"/>
          <w:color w:val="auto"/>
          <w:szCs w:val="21"/>
        </w:rPr>
        <w:t>★</w:t>
      </w:r>
      <w:r>
        <w:rPr>
          <w:rFonts w:hint="eastAsia" w:hAnsi="宋体" w:cs="宋体"/>
          <w:color w:val="auto"/>
        </w:rPr>
        <w:t>”参数为重要参数指标，标注“</w:t>
      </w:r>
      <w:r>
        <w:rPr>
          <w:rFonts w:hint="eastAsia" w:ascii="宋体" w:hAnsi="宋体" w:cs="宋体"/>
          <w:color w:val="auto"/>
          <w:szCs w:val="21"/>
        </w:rPr>
        <w:t>★</w:t>
      </w:r>
      <w:r>
        <w:rPr>
          <w:rFonts w:hint="eastAsia" w:hAnsi="宋体" w:cs="宋体"/>
          <w:color w:val="auto"/>
        </w:rPr>
        <w:t>”参数每有1项正偏离得2分，此项满分6分。</w:t>
      </w:r>
    </w:p>
    <w:p>
      <w:pPr>
        <w:spacing w:line="440" w:lineRule="exact"/>
        <w:ind w:firstLine="398" w:firstLineChars="196"/>
        <w:rPr>
          <w:rFonts w:ascii="宋体"/>
          <w:b/>
          <w:bCs/>
          <w:color w:val="auto"/>
          <w:spacing w:val="-4"/>
          <w:szCs w:val="21"/>
        </w:rPr>
      </w:pPr>
      <w:r>
        <w:rPr>
          <w:rFonts w:ascii="宋体" w:hAnsi="宋体"/>
          <w:b/>
          <w:bCs/>
          <w:color w:val="auto"/>
          <w:spacing w:val="-4"/>
          <w:szCs w:val="21"/>
        </w:rPr>
        <w:t>3</w:t>
      </w:r>
      <w:r>
        <w:rPr>
          <w:rFonts w:hint="eastAsia" w:ascii="宋体" w:hAnsi="宋体"/>
          <w:b/>
          <w:bCs/>
          <w:color w:val="auto"/>
          <w:spacing w:val="-4"/>
          <w:szCs w:val="21"/>
        </w:rPr>
        <w:t>、安装施工组织设计方案及售后服务及技术培训方案分……………………………3</w:t>
      </w:r>
      <w:r>
        <w:rPr>
          <w:rFonts w:hint="eastAsia" w:ascii="宋体" w:hAnsi="宋体"/>
          <w:b/>
          <w:bCs/>
          <w:color w:val="auto"/>
          <w:spacing w:val="-4"/>
          <w:szCs w:val="21"/>
          <w:lang w:val="en-US" w:eastAsia="zh-CN"/>
        </w:rPr>
        <w:t>8</w:t>
      </w:r>
      <w:r>
        <w:rPr>
          <w:rFonts w:hint="eastAsia" w:ascii="宋体" w:hAnsi="宋体"/>
          <w:b/>
          <w:bCs/>
          <w:color w:val="auto"/>
          <w:spacing w:val="-4"/>
          <w:szCs w:val="21"/>
        </w:rPr>
        <w:t>分</w:t>
      </w:r>
    </w:p>
    <w:p>
      <w:pPr>
        <w:spacing w:line="360" w:lineRule="exact"/>
        <w:ind w:firstLine="406" w:firstLineChars="200"/>
        <w:rPr>
          <w:rFonts w:ascii="宋体"/>
          <w:b/>
          <w:bCs/>
          <w:color w:val="auto"/>
          <w:spacing w:val="-4"/>
          <w:szCs w:val="21"/>
        </w:rPr>
      </w:pPr>
      <w:r>
        <w:rPr>
          <w:rFonts w:hint="eastAsia" w:ascii="宋体" w:hAnsi="宋体"/>
          <w:b/>
          <w:bCs/>
          <w:color w:val="auto"/>
          <w:spacing w:val="-4"/>
          <w:szCs w:val="21"/>
        </w:rPr>
        <w:t>（</w:t>
      </w:r>
      <w:r>
        <w:rPr>
          <w:rFonts w:ascii="宋体" w:hAnsi="宋体"/>
          <w:b/>
          <w:bCs/>
          <w:color w:val="auto"/>
          <w:spacing w:val="-4"/>
          <w:szCs w:val="21"/>
        </w:rPr>
        <w:t>1</w:t>
      </w:r>
      <w:r>
        <w:rPr>
          <w:rFonts w:hint="eastAsia" w:ascii="宋体" w:hAnsi="宋体"/>
          <w:b/>
          <w:bCs/>
          <w:color w:val="auto"/>
          <w:spacing w:val="-4"/>
          <w:szCs w:val="21"/>
        </w:rPr>
        <w:t>）安装施工组织设计方案分（满分1</w:t>
      </w:r>
      <w:r>
        <w:rPr>
          <w:rFonts w:hint="eastAsia" w:ascii="宋体" w:hAnsi="宋体"/>
          <w:b/>
          <w:bCs/>
          <w:color w:val="auto"/>
          <w:spacing w:val="-4"/>
          <w:szCs w:val="21"/>
          <w:lang w:val="en-US" w:eastAsia="zh-CN"/>
        </w:rPr>
        <w:t>9</w:t>
      </w:r>
      <w:r>
        <w:rPr>
          <w:rFonts w:hint="eastAsia" w:ascii="宋体" w:hAnsi="宋体"/>
          <w:b/>
          <w:bCs/>
          <w:color w:val="auto"/>
          <w:spacing w:val="-4"/>
          <w:szCs w:val="21"/>
        </w:rPr>
        <w:t>分）</w:t>
      </w:r>
    </w:p>
    <w:p>
      <w:pPr>
        <w:spacing w:line="360" w:lineRule="exact"/>
        <w:ind w:firstLine="404" w:firstLineChars="200"/>
        <w:rPr>
          <w:rFonts w:ascii="宋体" w:hAnsi="宋体"/>
          <w:bCs/>
          <w:color w:val="auto"/>
          <w:spacing w:val="-4"/>
          <w:szCs w:val="21"/>
        </w:rPr>
      </w:pPr>
      <w:r>
        <w:rPr>
          <w:rFonts w:hint="eastAsia" w:ascii="宋体" w:hAnsi="宋体"/>
          <w:bCs/>
          <w:color w:val="auto"/>
          <w:spacing w:val="-4"/>
          <w:szCs w:val="21"/>
        </w:rPr>
        <w:t>由评委根据下述标准进行独立评审，并独立打分。</w:t>
      </w:r>
      <w:r>
        <w:rPr>
          <w:rFonts w:hint="eastAsia" w:ascii="宋体" w:hAnsi="宋体"/>
          <w:bCs/>
          <w:color w:val="auto"/>
          <w:spacing w:val="-4"/>
          <w:szCs w:val="21"/>
          <w:lang w:val="zh-CN"/>
        </w:rPr>
        <w:t>不提供不得分。</w:t>
      </w:r>
    </w:p>
    <w:p>
      <w:pPr>
        <w:spacing w:line="360" w:lineRule="exact"/>
        <w:ind w:firstLine="404" w:firstLineChars="200"/>
        <w:rPr>
          <w:rFonts w:ascii="宋体" w:hAnsi="宋体"/>
          <w:bCs/>
          <w:color w:val="auto"/>
          <w:spacing w:val="-4"/>
          <w:szCs w:val="21"/>
          <w:lang w:val="zh-CN"/>
        </w:rPr>
      </w:pPr>
      <w:r>
        <w:rPr>
          <w:rFonts w:hint="eastAsia" w:ascii="宋体" w:hAnsi="宋体"/>
          <w:bCs/>
          <w:color w:val="auto"/>
          <w:spacing w:val="-4"/>
          <w:szCs w:val="21"/>
          <w:lang w:val="zh-CN"/>
        </w:rPr>
        <w:t>一档（</w:t>
      </w:r>
      <w:r>
        <w:rPr>
          <w:rFonts w:hint="eastAsia" w:ascii="宋体" w:hAnsi="宋体"/>
          <w:bCs/>
          <w:color w:val="auto"/>
          <w:spacing w:val="-4"/>
          <w:szCs w:val="21"/>
        </w:rPr>
        <w:t>3</w:t>
      </w:r>
      <w:r>
        <w:rPr>
          <w:rFonts w:hint="eastAsia" w:ascii="宋体" w:hAnsi="宋体"/>
          <w:bCs/>
          <w:color w:val="auto"/>
          <w:spacing w:val="-4"/>
          <w:szCs w:val="21"/>
          <w:lang w:val="zh-CN"/>
        </w:rPr>
        <w:t>分）：提供的方案不够详细、</w:t>
      </w:r>
      <w:r>
        <w:rPr>
          <w:rFonts w:hint="eastAsia" w:ascii="宋体" w:hAnsi="宋体"/>
          <w:bCs/>
          <w:color w:val="auto"/>
          <w:spacing w:val="-4"/>
          <w:szCs w:val="21"/>
        </w:rPr>
        <w:t>不</w:t>
      </w:r>
      <w:r>
        <w:rPr>
          <w:rFonts w:hint="eastAsia" w:ascii="宋体" w:hAnsi="宋体"/>
          <w:bCs/>
          <w:color w:val="auto"/>
          <w:spacing w:val="-4"/>
          <w:szCs w:val="21"/>
          <w:lang w:val="zh-CN"/>
        </w:rPr>
        <w:t>完整，且不符合实际得</w:t>
      </w:r>
      <w:r>
        <w:rPr>
          <w:rFonts w:hint="eastAsia" w:ascii="宋体" w:hAnsi="宋体"/>
          <w:bCs/>
          <w:color w:val="auto"/>
          <w:spacing w:val="-4"/>
          <w:szCs w:val="21"/>
        </w:rPr>
        <w:t>3</w:t>
      </w:r>
      <w:r>
        <w:rPr>
          <w:rFonts w:hint="eastAsia" w:ascii="宋体" w:hAnsi="宋体"/>
          <w:bCs/>
          <w:color w:val="auto"/>
          <w:spacing w:val="-4"/>
          <w:szCs w:val="21"/>
          <w:lang w:val="zh-CN"/>
        </w:rPr>
        <w:t>分；</w:t>
      </w:r>
    </w:p>
    <w:p>
      <w:pPr>
        <w:spacing w:line="360" w:lineRule="exact"/>
        <w:ind w:firstLine="404" w:firstLineChars="200"/>
        <w:rPr>
          <w:rFonts w:ascii="宋体" w:hAnsi="宋体"/>
          <w:bCs/>
          <w:color w:val="auto"/>
          <w:spacing w:val="-4"/>
          <w:szCs w:val="21"/>
        </w:rPr>
      </w:pPr>
      <w:r>
        <w:rPr>
          <w:rFonts w:hint="eastAsia" w:ascii="宋体" w:hAnsi="宋体"/>
          <w:bCs/>
          <w:color w:val="auto"/>
          <w:spacing w:val="-4"/>
          <w:szCs w:val="21"/>
        </w:rPr>
        <w:t>二档（6分）：提供的方案比较详细、完整，但缺乏针对性得6分；</w:t>
      </w:r>
    </w:p>
    <w:p>
      <w:pPr>
        <w:spacing w:line="360" w:lineRule="exact"/>
        <w:ind w:firstLine="404" w:firstLineChars="200"/>
        <w:rPr>
          <w:rFonts w:ascii="宋体" w:hAnsi="宋体"/>
          <w:bCs/>
          <w:color w:val="auto"/>
          <w:spacing w:val="-4"/>
          <w:szCs w:val="21"/>
        </w:rPr>
      </w:pPr>
      <w:r>
        <w:rPr>
          <w:rFonts w:hint="eastAsia" w:ascii="宋体" w:hAnsi="宋体"/>
          <w:bCs/>
          <w:color w:val="auto"/>
          <w:spacing w:val="-4"/>
          <w:szCs w:val="21"/>
        </w:rPr>
        <w:t>三档（9分）：提供的方案详细，明确，具体，有一定针对性，科学合理，综合对比良好，得9分；</w:t>
      </w:r>
    </w:p>
    <w:p>
      <w:pPr>
        <w:spacing w:line="360" w:lineRule="exact"/>
        <w:ind w:firstLine="404" w:firstLineChars="200"/>
        <w:rPr>
          <w:rFonts w:ascii="宋体" w:hAnsi="宋体"/>
          <w:bCs/>
          <w:color w:val="auto"/>
          <w:spacing w:val="-4"/>
          <w:szCs w:val="21"/>
        </w:rPr>
      </w:pPr>
      <w:r>
        <w:rPr>
          <w:rFonts w:hint="eastAsia" w:ascii="宋体" w:hAnsi="宋体"/>
          <w:bCs/>
          <w:color w:val="auto"/>
          <w:spacing w:val="-4"/>
          <w:szCs w:val="21"/>
        </w:rPr>
        <w:t>四档（1</w:t>
      </w:r>
      <w:r>
        <w:rPr>
          <w:rFonts w:hint="eastAsia" w:ascii="宋体" w:hAnsi="宋体"/>
          <w:bCs/>
          <w:color w:val="auto"/>
          <w:spacing w:val="-4"/>
          <w:szCs w:val="21"/>
          <w:lang w:val="en-US" w:eastAsia="zh-CN"/>
        </w:rPr>
        <w:t>4</w:t>
      </w:r>
      <w:r>
        <w:rPr>
          <w:rFonts w:hint="eastAsia" w:ascii="宋体" w:hAnsi="宋体"/>
          <w:bCs/>
          <w:color w:val="auto"/>
          <w:spacing w:val="-4"/>
          <w:szCs w:val="21"/>
        </w:rPr>
        <w:t>分）：提供的方案详细、具体，有较强的针对性和操作性，科学合理，契合项目需求，有详细的技术组织措施，能确保项目顺利实施，得1</w:t>
      </w:r>
      <w:r>
        <w:rPr>
          <w:rFonts w:hint="eastAsia" w:ascii="宋体" w:hAnsi="宋体"/>
          <w:bCs/>
          <w:color w:val="auto"/>
          <w:spacing w:val="-4"/>
          <w:szCs w:val="21"/>
          <w:lang w:val="en-US" w:eastAsia="zh-CN"/>
        </w:rPr>
        <w:t>4</w:t>
      </w:r>
      <w:r>
        <w:rPr>
          <w:rFonts w:hint="eastAsia" w:ascii="宋体" w:hAnsi="宋体"/>
          <w:bCs/>
          <w:color w:val="auto"/>
          <w:spacing w:val="-4"/>
          <w:szCs w:val="21"/>
        </w:rPr>
        <w:t>分；</w:t>
      </w:r>
    </w:p>
    <w:p>
      <w:pPr>
        <w:spacing w:line="360" w:lineRule="exact"/>
        <w:ind w:firstLine="404" w:firstLineChars="200"/>
        <w:rPr>
          <w:color w:val="auto"/>
        </w:rPr>
      </w:pPr>
      <w:r>
        <w:rPr>
          <w:rFonts w:hint="eastAsia" w:ascii="宋体" w:hAnsi="宋体"/>
          <w:bCs/>
          <w:color w:val="auto"/>
          <w:spacing w:val="-4"/>
          <w:szCs w:val="21"/>
        </w:rPr>
        <w:t>五档（1</w:t>
      </w:r>
      <w:r>
        <w:rPr>
          <w:rFonts w:hint="eastAsia" w:ascii="宋体" w:hAnsi="宋体"/>
          <w:bCs/>
          <w:color w:val="auto"/>
          <w:spacing w:val="-4"/>
          <w:szCs w:val="21"/>
          <w:lang w:val="en-US" w:eastAsia="zh-CN"/>
        </w:rPr>
        <w:t>9</w:t>
      </w:r>
      <w:r>
        <w:rPr>
          <w:rFonts w:hint="eastAsia" w:ascii="宋体" w:hAnsi="宋体"/>
          <w:bCs/>
          <w:color w:val="auto"/>
          <w:spacing w:val="-4"/>
          <w:szCs w:val="21"/>
        </w:rPr>
        <w:t>分）：能够结合拟供应产品的技术要素，制定出全面详实、科学合理的施工技术方案，保障工作失误在可控的范围内、工作时效性满足采购人的要求；包括但不限于确保工程质量的技术组织措施、确保工期的技术组织措施、确保安全生产的技术组织措施、确保文明施工的技术组织措施等。提供的方案详细、完整、科学，切实可行且有较强的针对性，综合对比有优势，得1</w:t>
      </w:r>
      <w:r>
        <w:rPr>
          <w:rFonts w:hint="eastAsia" w:ascii="宋体" w:hAnsi="宋体"/>
          <w:bCs/>
          <w:color w:val="auto"/>
          <w:spacing w:val="-4"/>
          <w:szCs w:val="21"/>
          <w:lang w:val="en-US" w:eastAsia="zh-CN"/>
        </w:rPr>
        <w:t>9</w:t>
      </w:r>
      <w:r>
        <w:rPr>
          <w:rFonts w:hint="eastAsia" w:ascii="宋体" w:hAnsi="宋体"/>
          <w:bCs/>
          <w:color w:val="auto"/>
          <w:spacing w:val="-4"/>
          <w:szCs w:val="21"/>
        </w:rPr>
        <w:t>分。</w:t>
      </w:r>
    </w:p>
    <w:p>
      <w:pPr>
        <w:spacing w:line="360" w:lineRule="exact"/>
        <w:ind w:firstLine="406" w:firstLineChars="200"/>
        <w:rPr>
          <w:rFonts w:ascii="宋体" w:hAnsi="宋体"/>
          <w:bCs/>
          <w:color w:val="auto"/>
          <w:spacing w:val="-4"/>
          <w:szCs w:val="21"/>
        </w:rPr>
      </w:pPr>
      <w:r>
        <w:rPr>
          <w:rFonts w:hint="eastAsia" w:ascii="宋体" w:hAnsi="宋体"/>
          <w:b/>
          <w:bCs/>
          <w:color w:val="auto"/>
          <w:spacing w:val="-4"/>
          <w:szCs w:val="21"/>
        </w:rPr>
        <w:t>（2）售后服务及技术培训方案分（满分1</w:t>
      </w:r>
      <w:r>
        <w:rPr>
          <w:rFonts w:hint="eastAsia" w:ascii="宋体" w:hAnsi="宋体"/>
          <w:b/>
          <w:bCs/>
          <w:color w:val="auto"/>
          <w:spacing w:val="-4"/>
          <w:szCs w:val="21"/>
          <w:lang w:val="en-US" w:eastAsia="zh-CN"/>
        </w:rPr>
        <w:t>9</w:t>
      </w:r>
      <w:r>
        <w:rPr>
          <w:rFonts w:hint="eastAsia" w:ascii="宋体" w:hAnsi="宋体"/>
          <w:b/>
          <w:bCs/>
          <w:color w:val="auto"/>
          <w:spacing w:val="-4"/>
          <w:szCs w:val="21"/>
        </w:rPr>
        <w:t>分）</w:t>
      </w:r>
    </w:p>
    <w:p>
      <w:pPr>
        <w:spacing w:line="360" w:lineRule="exact"/>
        <w:ind w:firstLine="404" w:firstLineChars="200"/>
        <w:rPr>
          <w:rFonts w:ascii="宋体"/>
          <w:bCs/>
          <w:color w:val="auto"/>
          <w:spacing w:val="-4"/>
          <w:szCs w:val="21"/>
        </w:rPr>
      </w:pPr>
      <w:r>
        <w:rPr>
          <w:rFonts w:hint="eastAsia" w:ascii="宋体" w:hAnsi="宋体"/>
          <w:bCs/>
          <w:color w:val="auto"/>
          <w:spacing w:val="-4"/>
          <w:szCs w:val="21"/>
        </w:rPr>
        <w:t>由评委根据下述标准进行独立评审，并独立打分。</w:t>
      </w:r>
      <w:r>
        <w:rPr>
          <w:rFonts w:hint="eastAsia" w:ascii="宋体" w:hAnsi="宋体"/>
          <w:bCs/>
          <w:color w:val="auto"/>
          <w:spacing w:val="-4"/>
          <w:szCs w:val="21"/>
          <w:lang w:val="zh-CN"/>
        </w:rPr>
        <w:t>不提供不得分。</w:t>
      </w:r>
    </w:p>
    <w:p>
      <w:pPr>
        <w:spacing w:line="360" w:lineRule="exact"/>
        <w:ind w:firstLine="420" w:firstLineChars="200"/>
        <w:rPr>
          <w:rFonts w:hAnsi="宋体"/>
          <w:color w:val="auto"/>
          <w:szCs w:val="21"/>
          <w:lang w:val="zh-CN"/>
        </w:rPr>
      </w:pPr>
      <w:r>
        <w:rPr>
          <w:rFonts w:hint="eastAsia" w:hAnsi="宋体"/>
          <w:color w:val="auto"/>
          <w:szCs w:val="21"/>
          <w:lang w:val="zh-CN"/>
        </w:rPr>
        <w:t>一档（</w:t>
      </w:r>
      <w:r>
        <w:rPr>
          <w:rFonts w:hint="eastAsia" w:hAnsi="宋体"/>
          <w:color w:val="auto"/>
          <w:szCs w:val="21"/>
        </w:rPr>
        <w:t>3</w:t>
      </w:r>
      <w:r>
        <w:rPr>
          <w:rFonts w:hint="eastAsia" w:hAnsi="宋体"/>
          <w:color w:val="auto"/>
          <w:szCs w:val="21"/>
          <w:lang w:val="zh-CN"/>
        </w:rPr>
        <w:t>分）：</w:t>
      </w:r>
      <w:r>
        <w:rPr>
          <w:rFonts w:hint="eastAsia" w:ascii="宋体" w:hAnsi="宋体"/>
          <w:bCs/>
          <w:color w:val="auto"/>
          <w:spacing w:val="-4"/>
          <w:szCs w:val="21"/>
        </w:rPr>
        <w:t>投标人提供有售后服务方案</w:t>
      </w:r>
      <w:r>
        <w:rPr>
          <w:rFonts w:hint="eastAsia" w:hAnsi="宋体"/>
          <w:color w:val="auto"/>
          <w:szCs w:val="21"/>
          <w:lang w:val="zh-CN"/>
        </w:rPr>
        <w:t>，方案简单，提供的服务仅满足采购文件需求；</w:t>
      </w:r>
    </w:p>
    <w:p>
      <w:pPr>
        <w:spacing w:line="360" w:lineRule="exact"/>
        <w:ind w:firstLine="420" w:firstLineChars="200"/>
        <w:rPr>
          <w:rFonts w:ascii="宋体"/>
          <w:bCs/>
          <w:color w:val="auto"/>
          <w:spacing w:val="-4"/>
          <w:szCs w:val="21"/>
        </w:rPr>
      </w:pPr>
      <w:r>
        <w:rPr>
          <w:rFonts w:hint="eastAsia" w:hAnsi="宋体"/>
          <w:color w:val="auto"/>
          <w:szCs w:val="21"/>
          <w:lang w:val="zh-CN"/>
        </w:rPr>
        <w:t>二档（</w:t>
      </w:r>
      <w:r>
        <w:rPr>
          <w:rFonts w:hint="eastAsia" w:hAnsi="宋体"/>
          <w:color w:val="auto"/>
          <w:szCs w:val="21"/>
        </w:rPr>
        <w:t>6</w:t>
      </w:r>
      <w:r>
        <w:rPr>
          <w:rFonts w:hint="eastAsia" w:hAnsi="宋体"/>
          <w:color w:val="auto"/>
          <w:szCs w:val="21"/>
          <w:lang w:val="zh-CN"/>
        </w:rPr>
        <w:t>分）：</w:t>
      </w:r>
      <w:r>
        <w:rPr>
          <w:rFonts w:hint="eastAsia" w:ascii="宋体" w:hAnsi="宋体"/>
          <w:bCs/>
          <w:color w:val="auto"/>
          <w:spacing w:val="-4"/>
          <w:szCs w:val="21"/>
        </w:rPr>
        <w:t>投标人提供的售后服务方案、培训方案简单，满足项目要求，</w:t>
      </w:r>
      <w:r>
        <w:rPr>
          <w:rFonts w:hint="eastAsia" w:hAnsi="宋体"/>
          <w:color w:val="auto"/>
          <w:szCs w:val="21"/>
          <w:lang w:val="zh-CN"/>
        </w:rPr>
        <w:t>方案中项目售后维护和应急保障方案较好，</w:t>
      </w:r>
      <w:r>
        <w:rPr>
          <w:rFonts w:hint="eastAsia" w:ascii="宋体" w:hAnsi="宋体"/>
          <w:bCs/>
          <w:color w:val="auto"/>
          <w:spacing w:val="-4"/>
          <w:szCs w:val="21"/>
        </w:rPr>
        <w:t>有承诺服务响应时间、定期回访、问题产品替换方案等内容，得6分；</w:t>
      </w:r>
    </w:p>
    <w:p>
      <w:pPr>
        <w:spacing w:line="440" w:lineRule="exact"/>
        <w:ind w:firstLine="395" w:firstLineChars="196"/>
        <w:rPr>
          <w:rFonts w:ascii="宋体" w:hAnsi="宋体"/>
          <w:bCs/>
          <w:color w:val="auto"/>
          <w:spacing w:val="-4"/>
          <w:szCs w:val="21"/>
        </w:rPr>
      </w:pPr>
      <w:r>
        <w:rPr>
          <w:rFonts w:hint="eastAsia" w:ascii="宋体" w:hAnsi="宋体"/>
          <w:bCs/>
          <w:color w:val="auto"/>
          <w:spacing w:val="-4"/>
          <w:szCs w:val="21"/>
        </w:rPr>
        <w:t>三档（9分）：投标人提供的售后服务方案、培训方案完整，有一定操作性和针对性，满足项目要求，</w:t>
      </w:r>
      <w:r>
        <w:rPr>
          <w:rFonts w:hint="eastAsia" w:hAnsi="宋体"/>
          <w:color w:val="auto"/>
          <w:szCs w:val="21"/>
          <w:lang w:val="zh-CN"/>
        </w:rPr>
        <w:t>方案中项目售后维护和应急保障方案较好，</w:t>
      </w:r>
      <w:r>
        <w:rPr>
          <w:rFonts w:hint="eastAsia" w:ascii="宋体" w:hAnsi="宋体"/>
          <w:bCs/>
          <w:color w:val="auto"/>
          <w:spacing w:val="-4"/>
          <w:szCs w:val="21"/>
        </w:rPr>
        <w:t>有承诺服务响应时间、定期回访、问题产品替换方案等内容，得9分；</w:t>
      </w:r>
    </w:p>
    <w:p>
      <w:pPr>
        <w:spacing w:line="360" w:lineRule="exact"/>
        <w:ind w:firstLine="404" w:firstLineChars="200"/>
        <w:rPr>
          <w:rFonts w:ascii="宋体" w:hAnsi="宋体"/>
          <w:bCs/>
          <w:color w:val="auto"/>
          <w:spacing w:val="-4"/>
          <w:szCs w:val="21"/>
        </w:rPr>
      </w:pPr>
      <w:r>
        <w:rPr>
          <w:rFonts w:hint="eastAsia" w:ascii="宋体" w:hAnsi="宋体"/>
          <w:bCs/>
          <w:color w:val="auto"/>
          <w:spacing w:val="-4"/>
          <w:szCs w:val="21"/>
        </w:rPr>
        <w:t>四档（1</w:t>
      </w:r>
      <w:r>
        <w:rPr>
          <w:rFonts w:hint="eastAsia" w:ascii="宋体" w:hAnsi="宋体"/>
          <w:bCs/>
          <w:color w:val="auto"/>
          <w:spacing w:val="-4"/>
          <w:szCs w:val="21"/>
          <w:lang w:val="en-US" w:eastAsia="zh-CN"/>
        </w:rPr>
        <w:t>4</w:t>
      </w:r>
      <w:r>
        <w:rPr>
          <w:rFonts w:hint="eastAsia" w:ascii="宋体" w:hAnsi="宋体"/>
          <w:bCs/>
          <w:color w:val="auto"/>
          <w:spacing w:val="-4"/>
          <w:szCs w:val="21"/>
        </w:rPr>
        <w:t>分）：投标人提供的售后服务方案、培训方案完整详细，有操作性和针对性，很好的满足项目要求，</w:t>
      </w:r>
      <w:r>
        <w:rPr>
          <w:rFonts w:hint="eastAsia" w:hAnsi="宋体"/>
          <w:color w:val="auto"/>
          <w:szCs w:val="21"/>
          <w:lang w:val="zh-CN"/>
        </w:rPr>
        <w:t>方案中项目售后维护和应急保障方案较好，</w:t>
      </w:r>
      <w:r>
        <w:rPr>
          <w:rFonts w:hint="eastAsia" w:hAnsi="宋体"/>
          <w:color w:val="auto"/>
          <w:szCs w:val="21"/>
        </w:rPr>
        <w:t>有</w:t>
      </w:r>
      <w:r>
        <w:rPr>
          <w:rFonts w:hint="eastAsia" w:ascii="宋体" w:hAnsi="宋体"/>
          <w:bCs/>
          <w:color w:val="auto"/>
          <w:spacing w:val="-4"/>
          <w:szCs w:val="21"/>
        </w:rPr>
        <w:t>承诺服务响应时间、定期回访、问题产品替换方案、人员安排等内容，服务体系完善，得1</w:t>
      </w:r>
      <w:r>
        <w:rPr>
          <w:rFonts w:hint="eastAsia" w:ascii="宋体" w:hAnsi="宋体"/>
          <w:bCs/>
          <w:color w:val="auto"/>
          <w:spacing w:val="-4"/>
          <w:szCs w:val="21"/>
          <w:lang w:val="en-US" w:eastAsia="zh-CN"/>
        </w:rPr>
        <w:t>4</w:t>
      </w:r>
      <w:r>
        <w:rPr>
          <w:rFonts w:hint="eastAsia" w:ascii="宋体" w:hAnsi="宋体"/>
          <w:bCs/>
          <w:color w:val="auto"/>
          <w:spacing w:val="-4"/>
          <w:szCs w:val="21"/>
        </w:rPr>
        <w:t>分；</w:t>
      </w:r>
    </w:p>
    <w:p>
      <w:pPr>
        <w:spacing w:line="360" w:lineRule="exact"/>
        <w:ind w:firstLine="404" w:firstLineChars="200"/>
        <w:rPr>
          <w:color w:val="auto"/>
        </w:rPr>
      </w:pPr>
      <w:r>
        <w:rPr>
          <w:rFonts w:hint="eastAsia" w:ascii="宋体" w:hAnsi="宋体"/>
          <w:bCs/>
          <w:color w:val="auto"/>
          <w:spacing w:val="-4"/>
          <w:szCs w:val="21"/>
        </w:rPr>
        <w:t>五档（</w:t>
      </w:r>
      <w:r>
        <w:rPr>
          <w:rFonts w:hint="eastAsia" w:ascii="宋体" w:hAnsi="宋体"/>
          <w:bCs/>
          <w:color w:val="auto"/>
          <w:spacing w:val="-4"/>
          <w:szCs w:val="21"/>
          <w:lang w:val="en-US" w:eastAsia="zh-CN"/>
        </w:rPr>
        <w:t>19</w:t>
      </w:r>
      <w:r>
        <w:rPr>
          <w:rFonts w:hint="eastAsia" w:ascii="宋体" w:hAnsi="宋体"/>
          <w:bCs/>
          <w:color w:val="auto"/>
          <w:spacing w:val="-4"/>
          <w:szCs w:val="21"/>
        </w:rPr>
        <w:t>分）：提供切实可行的售后服务及技术培训方案，针对项目在运营过程中的售后服务及技术咨询支持，重点从后期服务响应时间、人员安排、服务网点设置、技术培训方案、问题产品替换方案、</w:t>
      </w:r>
      <w:r>
        <w:rPr>
          <w:rFonts w:hint="eastAsia" w:hAnsi="宋体"/>
          <w:color w:val="auto"/>
          <w:szCs w:val="21"/>
          <w:lang w:val="zh-CN"/>
        </w:rPr>
        <w:t>项目售后维护和应急保障方案</w:t>
      </w:r>
      <w:r>
        <w:rPr>
          <w:rFonts w:hint="eastAsia" w:ascii="宋体" w:hAnsi="宋体"/>
          <w:bCs/>
          <w:color w:val="auto"/>
          <w:spacing w:val="-4"/>
          <w:szCs w:val="21"/>
        </w:rPr>
        <w:t>等综合考评。提供的售后服务及技术培训方案详细、完整，响应时间及时，服务机构健全，综合对比有优势，得</w:t>
      </w:r>
      <w:r>
        <w:rPr>
          <w:rFonts w:ascii="宋体" w:hAnsi="宋体"/>
          <w:bCs/>
          <w:color w:val="auto"/>
          <w:spacing w:val="-4"/>
          <w:szCs w:val="21"/>
        </w:rPr>
        <w:t>1</w:t>
      </w:r>
      <w:r>
        <w:rPr>
          <w:rFonts w:hint="eastAsia" w:ascii="宋体" w:hAnsi="宋体"/>
          <w:bCs/>
          <w:color w:val="auto"/>
          <w:spacing w:val="-4"/>
          <w:szCs w:val="21"/>
          <w:lang w:val="en-US" w:eastAsia="zh-CN"/>
        </w:rPr>
        <w:t>9</w:t>
      </w:r>
      <w:r>
        <w:rPr>
          <w:rFonts w:hint="eastAsia" w:ascii="宋体" w:hAnsi="宋体"/>
          <w:bCs/>
          <w:color w:val="auto"/>
          <w:spacing w:val="-4"/>
          <w:szCs w:val="21"/>
        </w:rPr>
        <w:t>分。</w:t>
      </w:r>
    </w:p>
    <w:p>
      <w:pPr>
        <w:spacing w:line="360" w:lineRule="exact"/>
        <w:ind w:firstLine="406" w:firstLineChars="200"/>
        <w:rPr>
          <w:rFonts w:ascii="宋体"/>
          <w:b/>
          <w:bCs/>
          <w:color w:val="auto"/>
          <w:spacing w:val="-4"/>
          <w:szCs w:val="21"/>
        </w:rPr>
      </w:pPr>
      <w:r>
        <w:rPr>
          <w:rFonts w:ascii="宋体" w:hAnsi="宋体"/>
          <w:b/>
          <w:bCs/>
          <w:color w:val="auto"/>
          <w:spacing w:val="-4"/>
          <w:szCs w:val="21"/>
        </w:rPr>
        <w:t>4</w:t>
      </w:r>
      <w:r>
        <w:rPr>
          <w:rFonts w:hint="eastAsia" w:ascii="宋体" w:hAnsi="宋体"/>
          <w:b/>
          <w:bCs/>
          <w:color w:val="auto"/>
          <w:spacing w:val="-4"/>
          <w:szCs w:val="21"/>
        </w:rPr>
        <w:t>、信誉业绩分……………………………………………………………………</w:t>
      </w:r>
      <w:r>
        <w:rPr>
          <w:rFonts w:hint="eastAsia" w:ascii="宋体" w:hAnsi="宋体"/>
          <w:b/>
          <w:bCs/>
          <w:color w:val="auto"/>
          <w:spacing w:val="-4"/>
          <w:szCs w:val="21"/>
        </w:rPr>
        <w:t>……</w:t>
      </w:r>
      <w:r>
        <w:rPr>
          <w:rFonts w:hint="eastAsia" w:ascii="宋体" w:hAnsi="宋体"/>
          <w:b/>
          <w:bCs/>
          <w:color w:val="auto"/>
          <w:spacing w:val="-4"/>
          <w:szCs w:val="21"/>
          <w:lang w:val="en-US" w:eastAsia="zh-CN"/>
        </w:rPr>
        <w:t>9</w:t>
      </w:r>
      <w:r>
        <w:rPr>
          <w:rFonts w:hint="eastAsia" w:ascii="宋体" w:hAnsi="宋体"/>
          <w:b/>
          <w:bCs/>
          <w:color w:val="auto"/>
          <w:spacing w:val="-4"/>
          <w:szCs w:val="21"/>
        </w:rPr>
        <w:t>分</w:t>
      </w:r>
    </w:p>
    <w:p>
      <w:pPr>
        <w:pStyle w:val="23"/>
        <w:adjustRightInd w:val="0"/>
        <w:spacing w:line="380" w:lineRule="exact"/>
        <w:ind w:firstLine="415" w:firstLineChars="198"/>
        <w:contextualSpacing/>
        <w:rPr>
          <w:rFonts w:hAnsi="宋体"/>
          <w:bCs/>
          <w:color w:val="auto"/>
          <w:sz w:val="21"/>
        </w:rPr>
      </w:pPr>
      <w:r>
        <w:rPr>
          <w:rFonts w:hint="eastAsia" w:hAnsi="宋体"/>
          <w:bCs/>
          <w:color w:val="auto"/>
          <w:sz w:val="21"/>
        </w:rPr>
        <w:t>（</w:t>
      </w:r>
      <w:r>
        <w:rPr>
          <w:rFonts w:hAnsi="宋体"/>
          <w:bCs/>
          <w:color w:val="auto"/>
          <w:sz w:val="21"/>
        </w:rPr>
        <w:t>1</w:t>
      </w:r>
      <w:r>
        <w:rPr>
          <w:rFonts w:hint="eastAsia" w:hAnsi="宋体"/>
          <w:bCs/>
          <w:color w:val="auto"/>
          <w:sz w:val="21"/>
        </w:rPr>
        <w:t>）投标人具有国家认定企业技术中心证书得0.5分；</w:t>
      </w:r>
    </w:p>
    <w:p>
      <w:pPr>
        <w:pStyle w:val="23"/>
        <w:adjustRightInd w:val="0"/>
        <w:spacing w:line="380" w:lineRule="exact"/>
        <w:ind w:firstLine="415" w:firstLineChars="198"/>
        <w:contextualSpacing/>
        <w:rPr>
          <w:rFonts w:hAnsi="宋体"/>
          <w:bCs/>
          <w:color w:val="auto"/>
          <w:sz w:val="21"/>
        </w:rPr>
      </w:pPr>
      <w:r>
        <w:rPr>
          <w:rFonts w:hint="eastAsia" w:hAnsi="宋体"/>
          <w:bCs/>
          <w:color w:val="auto"/>
          <w:sz w:val="21"/>
        </w:rPr>
        <w:t>（2）投标人具有设备检测及校验资质（CNAS）实验室认证证书得0.5分；</w:t>
      </w:r>
    </w:p>
    <w:p>
      <w:pPr>
        <w:pStyle w:val="23"/>
        <w:adjustRightInd w:val="0"/>
        <w:spacing w:line="380" w:lineRule="exact"/>
        <w:ind w:firstLine="415" w:firstLineChars="198"/>
        <w:contextualSpacing/>
        <w:rPr>
          <w:rFonts w:hAnsi="宋体"/>
          <w:bCs/>
          <w:color w:val="auto"/>
          <w:sz w:val="21"/>
        </w:rPr>
      </w:pPr>
      <w:r>
        <w:rPr>
          <w:rFonts w:hint="eastAsia" w:hAnsi="宋体"/>
          <w:bCs/>
          <w:color w:val="auto"/>
          <w:sz w:val="21"/>
        </w:rPr>
        <w:t>（3）投标人具有安全生产标准化二级及以上证书得1分；</w:t>
      </w:r>
    </w:p>
    <w:p>
      <w:pPr>
        <w:pStyle w:val="23"/>
        <w:adjustRightInd w:val="0"/>
        <w:spacing w:line="380" w:lineRule="exact"/>
        <w:ind w:firstLine="415" w:firstLineChars="198"/>
        <w:contextualSpacing/>
        <w:rPr>
          <w:rFonts w:hAnsi="宋体"/>
          <w:bCs/>
          <w:color w:val="auto"/>
          <w:sz w:val="21"/>
        </w:rPr>
      </w:pPr>
      <w:r>
        <w:rPr>
          <w:rFonts w:hint="eastAsia" w:hAnsi="宋体"/>
          <w:bCs/>
          <w:color w:val="auto"/>
          <w:sz w:val="21"/>
        </w:rPr>
        <w:t>（4）投标人具有医疗废物处理设备集中控制系统软件著作权的得1分。</w:t>
      </w:r>
    </w:p>
    <w:p>
      <w:pPr>
        <w:pStyle w:val="23"/>
        <w:adjustRightInd w:val="0"/>
        <w:spacing w:line="380" w:lineRule="exact"/>
        <w:ind w:firstLine="415" w:firstLineChars="198"/>
        <w:contextualSpacing/>
        <w:rPr>
          <w:rFonts w:hAnsi="宋体"/>
          <w:bCs/>
          <w:color w:val="auto"/>
          <w:sz w:val="21"/>
        </w:rPr>
      </w:pPr>
      <w:r>
        <w:rPr>
          <w:rFonts w:hint="eastAsia" w:hAnsi="宋体"/>
          <w:bCs/>
          <w:color w:val="auto"/>
          <w:sz w:val="21"/>
        </w:rPr>
        <w:t>（5）投标人提供2017年以来医疗废物高温蒸煮处置设备案例的每个得0.5分，最多得6分。（提供中标通知书及合同扫描件加盖公章，合同须提供关键页的扫描件，至少包括首页、签字盖章页、合同签订日期页等）。</w:t>
      </w:r>
    </w:p>
    <w:p>
      <w:pPr>
        <w:pStyle w:val="23"/>
        <w:adjustRightInd w:val="0"/>
        <w:spacing w:line="380" w:lineRule="exact"/>
        <w:ind w:firstLine="417" w:firstLineChars="198"/>
        <w:contextualSpacing/>
        <w:rPr>
          <w:rFonts w:hAnsi="宋体"/>
          <w:b/>
          <w:color w:val="auto"/>
          <w:sz w:val="21"/>
        </w:rPr>
      </w:pPr>
      <w:r>
        <w:rPr>
          <w:rFonts w:hAnsi="宋体"/>
          <w:b/>
          <w:color w:val="auto"/>
          <w:sz w:val="21"/>
        </w:rPr>
        <w:t>5</w:t>
      </w:r>
      <w:r>
        <w:rPr>
          <w:rFonts w:hint="eastAsia" w:hAnsi="宋体"/>
          <w:b/>
          <w:color w:val="auto"/>
          <w:sz w:val="21"/>
        </w:rPr>
        <w:t>、拟投入人员配备分</w:t>
      </w:r>
      <w:r>
        <w:rPr>
          <w:rFonts w:hint="eastAsia" w:hAnsi="宋体"/>
          <w:b/>
          <w:bCs/>
          <w:color w:val="auto"/>
          <w:spacing w:val="-4"/>
        </w:rPr>
        <w:t>………………………………………………………………10分</w:t>
      </w:r>
    </w:p>
    <w:p>
      <w:pPr>
        <w:pStyle w:val="23"/>
        <w:adjustRightInd w:val="0"/>
        <w:spacing w:line="380" w:lineRule="exact"/>
        <w:ind w:firstLine="415" w:firstLineChars="198"/>
        <w:contextualSpacing/>
        <w:rPr>
          <w:rFonts w:hAnsi="宋体"/>
          <w:bCs/>
          <w:color w:val="auto"/>
          <w:sz w:val="21"/>
        </w:rPr>
      </w:pPr>
      <w:r>
        <w:rPr>
          <w:rFonts w:hint="eastAsia" w:hAnsi="宋体"/>
          <w:bCs/>
          <w:color w:val="auto"/>
          <w:sz w:val="21"/>
        </w:rPr>
        <w:t>（1）投标人针对本项目拟派驻的项目负责人（项目经理）为机电工程专业一级建造师者得 3分，机电工程专业二级建造师者得 1 分；</w:t>
      </w:r>
    </w:p>
    <w:p>
      <w:pPr>
        <w:pStyle w:val="23"/>
        <w:adjustRightInd w:val="0"/>
        <w:spacing w:line="380" w:lineRule="exact"/>
        <w:ind w:firstLine="415" w:firstLineChars="198"/>
        <w:contextualSpacing/>
        <w:rPr>
          <w:rFonts w:hAnsi="宋体"/>
          <w:bCs/>
          <w:color w:val="auto"/>
          <w:sz w:val="21"/>
        </w:rPr>
      </w:pPr>
      <w:r>
        <w:rPr>
          <w:rFonts w:hint="eastAsia" w:hAnsi="宋体"/>
          <w:bCs/>
          <w:color w:val="auto"/>
          <w:sz w:val="21"/>
        </w:rPr>
        <w:t>（2）投标人针对本项目拟派驻的技术负责人为高级工程师者得 3分，中级工程师者得 1 分；</w:t>
      </w:r>
    </w:p>
    <w:p>
      <w:pPr>
        <w:pStyle w:val="23"/>
        <w:adjustRightInd w:val="0"/>
        <w:spacing w:line="380" w:lineRule="exact"/>
        <w:ind w:firstLine="415" w:firstLineChars="198"/>
        <w:contextualSpacing/>
        <w:rPr>
          <w:rFonts w:hAnsi="宋体"/>
          <w:bCs/>
          <w:color w:val="auto"/>
          <w:sz w:val="21"/>
        </w:rPr>
      </w:pPr>
      <w:r>
        <w:rPr>
          <w:rFonts w:hint="eastAsia" w:hAnsi="宋体"/>
          <w:bCs/>
          <w:color w:val="auto"/>
          <w:sz w:val="21"/>
        </w:rPr>
        <w:t>（3）投标人其他各专业技术人员应同时具备资料员、劳务员、安全员、质量员、施工员，得4 分。</w:t>
      </w:r>
    </w:p>
    <w:p>
      <w:pPr>
        <w:pStyle w:val="23"/>
        <w:adjustRightInd w:val="0"/>
        <w:spacing w:line="380" w:lineRule="exact"/>
        <w:ind w:firstLine="415" w:firstLineChars="198"/>
        <w:contextualSpacing/>
        <w:rPr>
          <w:rFonts w:hAnsi="宋体"/>
          <w:bCs/>
          <w:color w:val="auto"/>
          <w:sz w:val="21"/>
        </w:rPr>
      </w:pPr>
      <w:r>
        <w:rPr>
          <w:rFonts w:hint="eastAsia" w:hAnsi="宋体"/>
          <w:bCs/>
          <w:color w:val="auto"/>
          <w:sz w:val="21"/>
        </w:rPr>
        <w:t>（同时提供以上人员相应证书及近期连续三个月的公司社保缴纳证明，扫描件须加盖公章，未加盖公章的不得分）。</w:t>
      </w:r>
    </w:p>
    <w:p>
      <w:pPr>
        <w:pStyle w:val="23"/>
        <w:adjustRightInd w:val="0"/>
        <w:spacing w:line="380" w:lineRule="exact"/>
        <w:ind w:firstLine="417" w:firstLineChars="198"/>
        <w:contextualSpacing/>
        <w:rPr>
          <w:rFonts w:hAnsi="宋体" w:cs="宋体"/>
          <w:b/>
          <w:bCs/>
          <w:color w:val="auto"/>
          <w:sz w:val="21"/>
        </w:rPr>
      </w:pPr>
      <w:r>
        <w:rPr>
          <w:rFonts w:hint="eastAsia" w:hAnsi="宋体"/>
          <w:b/>
          <w:color w:val="auto"/>
          <w:sz w:val="21"/>
        </w:rPr>
        <w:t>6、</w:t>
      </w:r>
      <w:r>
        <w:rPr>
          <w:rFonts w:hint="eastAsia" w:hAnsi="宋体" w:cs="宋体"/>
          <w:b/>
          <w:bCs/>
          <w:color w:val="auto"/>
          <w:sz w:val="21"/>
        </w:rPr>
        <w:t>政策功能分</w:t>
      </w:r>
      <w:r>
        <w:rPr>
          <w:rFonts w:hAnsi="宋体" w:cs="宋体"/>
          <w:b/>
          <w:bCs/>
          <w:color w:val="auto"/>
          <w:sz w:val="21"/>
        </w:rPr>
        <w:t>(</w:t>
      </w:r>
      <w:r>
        <w:rPr>
          <w:rFonts w:hint="eastAsia" w:hAnsi="宋体" w:cs="宋体"/>
          <w:b/>
          <w:bCs/>
          <w:color w:val="auto"/>
          <w:sz w:val="21"/>
        </w:rPr>
        <w:t>节能、环保</w:t>
      </w:r>
      <w:r>
        <w:rPr>
          <w:rFonts w:hAnsi="宋体" w:cs="宋体"/>
          <w:b/>
          <w:bCs/>
          <w:color w:val="auto"/>
          <w:sz w:val="21"/>
        </w:rPr>
        <w:t>)</w:t>
      </w:r>
      <w:r>
        <w:rPr>
          <w:rFonts w:hint="eastAsia" w:hAnsi="宋体" w:cs="宋体"/>
          <w:b/>
          <w:bCs/>
          <w:color w:val="auto"/>
          <w:sz w:val="21"/>
        </w:rPr>
        <w:t>………………………………</w:t>
      </w:r>
      <w:r>
        <w:rPr>
          <w:rFonts w:hint="eastAsia" w:hAnsi="宋体" w:cs="宋体"/>
          <w:b/>
          <w:bCs/>
          <w:color w:val="auto"/>
          <w:sz w:val="21"/>
        </w:rPr>
        <w:t>…</w:t>
      </w:r>
      <w:r>
        <w:rPr>
          <w:rFonts w:hint="eastAsia" w:hAnsi="宋体" w:cs="宋体"/>
          <w:b/>
          <w:bCs/>
          <w:color w:val="auto"/>
          <w:sz w:val="21"/>
          <w:lang w:val="en-US" w:eastAsia="zh-CN"/>
        </w:rPr>
        <w:t>2</w:t>
      </w:r>
      <w:r>
        <w:rPr>
          <w:rFonts w:hint="eastAsia" w:hAnsi="宋体" w:cs="宋体"/>
          <w:b/>
          <w:bCs/>
          <w:color w:val="auto"/>
          <w:sz w:val="21"/>
        </w:rPr>
        <w:t>分</w:t>
      </w:r>
    </w:p>
    <w:p>
      <w:pPr>
        <w:pStyle w:val="23"/>
        <w:adjustRightInd w:val="0"/>
        <w:spacing w:line="380" w:lineRule="exact"/>
        <w:ind w:firstLine="420" w:firstLineChars="200"/>
        <w:contextualSpacing/>
        <w:rPr>
          <w:rFonts w:hAnsi="宋体" w:cs="宋体"/>
          <w:bCs/>
          <w:color w:val="auto"/>
          <w:sz w:val="21"/>
        </w:rPr>
      </w:pPr>
      <w:r>
        <w:rPr>
          <w:rFonts w:hAnsi="宋体" w:cs="宋体"/>
          <w:bCs/>
          <w:color w:val="auto"/>
          <w:sz w:val="21"/>
        </w:rPr>
        <w:t>(1)</w:t>
      </w:r>
      <w:r>
        <w:rPr>
          <w:rFonts w:hint="eastAsia" w:hAnsi="宋体" w:cs="宋体"/>
          <w:bCs/>
          <w:color w:val="auto"/>
          <w:sz w:val="21"/>
        </w:rPr>
        <w:t>投标核心产品列入财政部、国家发展和改革委员会制定和公布的最新一期《节能产品政府采购清单》每项得</w:t>
      </w:r>
      <w:r>
        <w:rPr>
          <w:rFonts w:hAnsi="宋体" w:cs="宋体"/>
          <w:bCs/>
          <w:color w:val="auto"/>
          <w:sz w:val="21"/>
        </w:rPr>
        <w:t>0.5</w:t>
      </w:r>
      <w:r>
        <w:rPr>
          <w:rFonts w:hint="eastAsia" w:hAnsi="宋体" w:cs="宋体"/>
          <w:bCs/>
          <w:color w:val="auto"/>
          <w:sz w:val="21"/>
        </w:rPr>
        <w:t>分（以清单复印件为准，投标产品需清晰反映在清单上），满分</w:t>
      </w:r>
      <w:r>
        <w:rPr>
          <w:rFonts w:hAnsi="宋体" w:cs="宋体"/>
          <w:bCs/>
          <w:color w:val="auto"/>
          <w:sz w:val="21"/>
        </w:rPr>
        <w:t>1</w:t>
      </w:r>
      <w:r>
        <w:rPr>
          <w:rFonts w:hint="eastAsia" w:hAnsi="宋体" w:cs="宋体"/>
          <w:bCs/>
          <w:color w:val="auto"/>
          <w:sz w:val="21"/>
        </w:rPr>
        <w:t>分。</w:t>
      </w:r>
    </w:p>
    <w:p>
      <w:pPr>
        <w:pStyle w:val="23"/>
        <w:adjustRightInd w:val="0"/>
        <w:spacing w:line="380" w:lineRule="exact"/>
        <w:ind w:firstLine="420" w:firstLineChars="200"/>
        <w:contextualSpacing/>
        <w:rPr>
          <w:rFonts w:hAnsi="宋体" w:cs="宋体"/>
          <w:bCs/>
          <w:color w:val="auto"/>
          <w:sz w:val="21"/>
        </w:rPr>
      </w:pPr>
      <w:r>
        <w:rPr>
          <w:rFonts w:hAnsi="宋体" w:cs="宋体"/>
          <w:bCs/>
          <w:color w:val="auto"/>
          <w:sz w:val="21"/>
        </w:rPr>
        <w:t>(2)</w:t>
      </w:r>
      <w:r>
        <w:rPr>
          <w:rFonts w:hint="eastAsia" w:hAnsi="宋体" w:cs="宋体"/>
          <w:bCs/>
          <w:color w:val="auto"/>
          <w:sz w:val="21"/>
        </w:rPr>
        <w:t>投标核心产品列入财政部、国家环保总局制定和公布最新一期《环境标志产品政府采购清单》的每项得</w:t>
      </w:r>
      <w:r>
        <w:rPr>
          <w:rFonts w:hAnsi="宋体" w:cs="宋体"/>
          <w:bCs/>
          <w:color w:val="auto"/>
          <w:sz w:val="21"/>
        </w:rPr>
        <w:t>0.5</w:t>
      </w:r>
      <w:r>
        <w:rPr>
          <w:rFonts w:hint="eastAsia" w:hAnsi="宋体" w:cs="宋体"/>
          <w:bCs/>
          <w:color w:val="auto"/>
          <w:sz w:val="21"/>
        </w:rPr>
        <w:t>分（以清单复印件为准，投标产品需清晰反映在清单上），满分</w:t>
      </w:r>
      <w:r>
        <w:rPr>
          <w:rFonts w:hAnsi="宋体" w:cs="宋体"/>
          <w:bCs/>
          <w:color w:val="auto"/>
          <w:sz w:val="21"/>
        </w:rPr>
        <w:t>1</w:t>
      </w:r>
      <w:r>
        <w:rPr>
          <w:rFonts w:hint="eastAsia" w:hAnsi="宋体" w:cs="宋体"/>
          <w:bCs/>
          <w:color w:val="auto"/>
          <w:sz w:val="21"/>
        </w:rPr>
        <w:t>分。</w:t>
      </w:r>
    </w:p>
    <w:p>
      <w:pPr>
        <w:pStyle w:val="23"/>
        <w:adjustRightInd w:val="0"/>
        <w:spacing w:line="380" w:lineRule="exact"/>
        <w:ind w:firstLine="420" w:firstLineChars="200"/>
        <w:contextualSpacing/>
        <w:rPr>
          <w:rFonts w:hAnsi="宋体" w:cs="宋体"/>
          <w:bCs/>
          <w:color w:val="auto"/>
          <w:sz w:val="21"/>
        </w:rPr>
      </w:pPr>
      <w:r>
        <w:rPr>
          <w:rFonts w:hint="eastAsia" w:hAnsi="宋体" w:cs="宋体"/>
          <w:bCs/>
          <w:color w:val="auto"/>
          <w:sz w:val="21"/>
        </w:rPr>
        <w:t>（三）总得分</w:t>
      </w:r>
      <w:r>
        <w:rPr>
          <w:rFonts w:hAnsi="宋体" w:cs="宋体"/>
          <w:bCs/>
          <w:color w:val="auto"/>
          <w:sz w:val="21"/>
        </w:rPr>
        <w:t>=1+2+3+4+5</w:t>
      </w:r>
      <w:r>
        <w:rPr>
          <w:rFonts w:hint="eastAsia" w:hAnsi="宋体" w:cs="宋体"/>
          <w:bCs/>
          <w:color w:val="auto"/>
          <w:sz w:val="21"/>
        </w:rPr>
        <w:t>+6。</w:t>
      </w:r>
    </w:p>
    <w:p>
      <w:pPr>
        <w:pStyle w:val="23"/>
        <w:adjustRightInd w:val="0"/>
        <w:spacing w:line="380" w:lineRule="exact"/>
        <w:ind w:firstLine="422" w:firstLineChars="200"/>
        <w:contextualSpacing/>
        <w:rPr>
          <w:rFonts w:hAnsi="宋体" w:cs="宋体"/>
          <w:bCs/>
          <w:color w:val="auto"/>
          <w:sz w:val="21"/>
        </w:rPr>
      </w:pPr>
      <w:r>
        <w:rPr>
          <w:rFonts w:hint="eastAsia" w:hAnsi="宋体" w:cs="宋体"/>
          <w:b/>
          <w:color w:val="auto"/>
          <w:sz w:val="21"/>
        </w:rPr>
        <w:t>三、中标候选人推荐原则</w:t>
      </w:r>
    </w:p>
    <w:p>
      <w:pPr>
        <w:pStyle w:val="23"/>
        <w:adjustRightInd w:val="0"/>
        <w:spacing w:line="380" w:lineRule="exact"/>
        <w:ind w:firstLine="420" w:firstLineChars="200"/>
        <w:contextualSpacing/>
        <w:rPr>
          <w:rFonts w:hAnsi="宋体" w:cs="宋体"/>
          <w:bCs/>
          <w:color w:val="auto"/>
          <w:sz w:val="21"/>
        </w:rPr>
      </w:pPr>
      <w:r>
        <w:rPr>
          <w:rFonts w:hint="eastAsia" w:hAnsi="宋体" w:cs="宋体"/>
          <w:bCs/>
          <w:color w:val="auto"/>
          <w:sz w:val="21"/>
        </w:rPr>
        <w:t>评标委员会将按评审后得分由高到低顺序排列。得分相同的，按投标报价由低到高顺序排列。得分且投标报价相同的并列。投标文件满足招标文件全部实质性要求，且评审得分最高的投标人为排名第一的中标候选人。</w:t>
      </w:r>
      <w:r>
        <w:rPr>
          <w:rFonts w:hint="eastAsia" w:hAnsi="宋体"/>
          <w:color w:val="auto"/>
          <w:sz w:val="21"/>
          <w:shd w:val="clear" w:color="auto" w:fill="FFFFFF"/>
        </w:rPr>
        <w:t>采购人应当确定排名第一的中标候选人为中标人。除非有法定事由，如排名第一的中标候选人放弃中标、因不可抗力不能履行合同、不按照招标文件要求提交履约保证金，或者被查实存在影响中标结果的违法行为等情形，不符合中标条件的。该等情况下，采购人可以按照评标委员会提出的中标候选人名单排序依次确定其他中标候选人为中标人，也可以重新招标。</w:t>
      </w:r>
    </w:p>
    <w:p>
      <w:pPr>
        <w:pStyle w:val="23"/>
        <w:adjustRightInd w:val="0"/>
        <w:spacing w:line="380" w:lineRule="exact"/>
        <w:ind w:firstLine="422" w:firstLineChars="200"/>
        <w:contextualSpacing/>
        <w:rPr>
          <w:rFonts w:hAnsi="宋体" w:cs="宋体"/>
          <w:bCs/>
          <w:color w:val="auto"/>
          <w:sz w:val="21"/>
        </w:rPr>
      </w:pPr>
      <w:r>
        <w:rPr>
          <w:rFonts w:hint="eastAsia" w:hAnsi="宋体" w:cs="宋体"/>
          <w:b/>
          <w:color w:val="auto"/>
          <w:sz w:val="21"/>
        </w:rPr>
        <w:t>四、特别说明</w:t>
      </w:r>
    </w:p>
    <w:p>
      <w:pPr>
        <w:pStyle w:val="23"/>
        <w:spacing w:line="340" w:lineRule="exact"/>
        <w:ind w:firstLine="420" w:firstLineChars="200"/>
        <w:rPr>
          <w:color w:val="auto"/>
          <w:sz w:val="21"/>
        </w:rPr>
      </w:pPr>
      <w:r>
        <w:rPr>
          <w:rFonts w:hint="eastAsia" w:hAnsi="宋体" w:cs="宋体"/>
          <w:bCs/>
          <w:color w:val="auto"/>
          <w:sz w:val="21"/>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bookmarkStart w:id="553" w:name="_Toc327735683"/>
    </w:p>
    <w:p>
      <w:pPr>
        <w:pStyle w:val="37"/>
        <w:rPr>
          <w:rStyle w:val="56"/>
          <w:rFonts w:cs="Times New Roman"/>
          <w:b/>
          <w:color w:val="auto"/>
          <w:sz w:val="21"/>
          <w:szCs w:val="21"/>
        </w:rPr>
      </w:pPr>
      <w:bookmarkStart w:id="554" w:name="_Toc32131"/>
    </w:p>
    <w:p>
      <w:pPr>
        <w:pStyle w:val="37"/>
        <w:jc w:val="both"/>
        <w:rPr>
          <w:rStyle w:val="56"/>
          <w:rFonts w:cs="Times New Roman"/>
          <w:b/>
          <w:color w:val="auto"/>
          <w:sz w:val="36"/>
          <w:szCs w:val="36"/>
        </w:rPr>
      </w:pPr>
    </w:p>
    <w:p>
      <w:pPr>
        <w:pStyle w:val="37"/>
        <w:rPr>
          <w:rFonts w:ascii="宋体"/>
          <w:b w:val="0"/>
          <w:bCs w:val="0"/>
          <w:color w:val="auto"/>
        </w:rPr>
      </w:pPr>
      <w:r>
        <w:rPr>
          <w:rStyle w:val="56"/>
          <w:rFonts w:hint="eastAsia" w:cs="Times New Roman"/>
          <w:b/>
          <w:color w:val="auto"/>
          <w:sz w:val="36"/>
          <w:szCs w:val="36"/>
        </w:rPr>
        <w:t>第五章</w:t>
      </w:r>
      <w:r>
        <w:rPr>
          <w:rStyle w:val="56"/>
          <w:rFonts w:cs="Times New Roman"/>
          <w:b/>
          <w:color w:val="auto"/>
          <w:sz w:val="36"/>
          <w:szCs w:val="36"/>
        </w:rPr>
        <w:t xml:space="preserve">  </w:t>
      </w:r>
      <w:r>
        <w:rPr>
          <w:rStyle w:val="56"/>
          <w:rFonts w:hint="eastAsia" w:cs="Times New Roman"/>
          <w:b/>
          <w:color w:val="auto"/>
          <w:sz w:val="36"/>
          <w:szCs w:val="36"/>
        </w:rPr>
        <w:t>合同主要条款格式</w:t>
      </w:r>
      <w:bookmarkEnd w:id="553"/>
      <w:bookmarkEnd w:id="554"/>
      <w:r>
        <w:rPr>
          <w:rStyle w:val="56"/>
          <w:rFonts w:cs="Times New Roman"/>
          <w:b/>
          <w:color w:val="auto"/>
          <w:sz w:val="36"/>
          <w:szCs w:val="36"/>
        </w:rPr>
        <w:t xml:space="preserve"> </w:t>
      </w:r>
      <w:r>
        <w:rPr>
          <w:rFonts w:ascii="宋体" w:hAnsi="宋体"/>
          <w:b w:val="0"/>
          <w:bCs w:val="0"/>
          <w:color w:val="auto"/>
        </w:rPr>
        <w:t xml:space="preserve">                         </w:t>
      </w:r>
    </w:p>
    <w:p>
      <w:pPr>
        <w:spacing w:line="360" w:lineRule="auto"/>
        <w:jc w:val="center"/>
        <w:rPr>
          <w:color w:val="auto"/>
          <w:sz w:val="22"/>
          <w:szCs w:val="22"/>
        </w:rPr>
      </w:pPr>
      <w:r>
        <w:rPr>
          <w:rFonts w:ascii="仿宋_GB2312" w:eastAsia="仿宋_GB2312"/>
          <w:bCs/>
          <w:color w:val="auto"/>
          <w:sz w:val="24"/>
        </w:rPr>
        <w:t xml:space="preserve">                                                                                                </w:t>
      </w:r>
      <w:bookmarkStart w:id="555" w:name="_Toc327735684"/>
      <w:bookmarkStart w:id="556" w:name="_Toc15156"/>
    </w:p>
    <w:p>
      <w:pPr>
        <w:snapToGrid w:val="0"/>
        <w:spacing w:line="480" w:lineRule="auto"/>
        <w:jc w:val="center"/>
        <w:rPr>
          <w:rFonts w:ascii="宋体" w:cs="宋体"/>
          <w:b/>
          <w:color w:val="auto"/>
          <w:sz w:val="32"/>
          <w:szCs w:val="32"/>
        </w:rPr>
      </w:pPr>
      <w:r>
        <w:rPr>
          <w:rFonts w:hint="eastAsia" w:ascii="宋体" w:hAnsi="宋体" w:cs="宋体"/>
          <w:b/>
          <w:bCs/>
          <w:color w:val="auto"/>
          <w:sz w:val="32"/>
          <w:szCs w:val="32"/>
        </w:rPr>
        <w:t>《广西壮族自治区政府采购合同》</w:t>
      </w:r>
    </w:p>
    <w:p>
      <w:pPr>
        <w:snapToGrid w:val="0"/>
        <w:spacing w:line="320" w:lineRule="exact"/>
        <w:rPr>
          <w:rFonts w:ascii="宋体" w:hAnsi="宋体" w:cs="宋体"/>
          <w:color w:val="auto"/>
          <w:szCs w:val="21"/>
          <w:u w:val="single"/>
        </w:rPr>
      </w:pPr>
      <w:r>
        <w:rPr>
          <w:rFonts w:hint="eastAsia" w:ascii="宋体" w:hAnsi="宋体" w:cs="宋体"/>
          <w:color w:val="auto"/>
          <w:szCs w:val="21"/>
        </w:rPr>
        <w:t>采购单位（甲方）</w:t>
      </w:r>
      <w:r>
        <w:rPr>
          <w:rFonts w:hint="eastAsia" w:ascii="宋体" w:hAnsi="宋体" w:cs="宋体"/>
          <w:color w:val="auto"/>
          <w:szCs w:val="21"/>
          <w:u w:val="single"/>
        </w:rPr>
        <w:t xml:space="preserve">                            </w:t>
      </w:r>
      <w:r>
        <w:rPr>
          <w:rFonts w:hint="eastAsia" w:ascii="宋体" w:hAnsi="宋体" w:cs="宋体"/>
          <w:color w:val="auto"/>
          <w:spacing w:val="-20"/>
          <w:szCs w:val="21"/>
        </w:rPr>
        <w:t xml:space="preserve">  采 购 计 划 号</w:t>
      </w:r>
      <w:r>
        <w:rPr>
          <w:rFonts w:hint="eastAsia" w:ascii="宋体" w:hAnsi="宋体" w:cs="宋体"/>
          <w:color w:val="auto"/>
          <w:szCs w:val="21"/>
          <w:u w:val="single"/>
        </w:rPr>
        <w:t xml:space="preserve">             </w:t>
      </w:r>
    </w:p>
    <w:p>
      <w:pPr>
        <w:snapToGrid w:val="0"/>
        <w:spacing w:line="320" w:lineRule="exact"/>
        <w:rPr>
          <w:rFonts w:ascii="宋体" w:hAnsi="宋体" w:cs="宋体"/>
          <w:color w:val="auto"/>
          <w:szCs w:val="21"/>
          <w:u w:val="single"/>
        </w:rPr>
      </w:pPr>
      <w:r>
        <w:rPr>
          <w:rFonts w:hint="eastAsia" w:ascii="宋体" w:hAnsi="宋体" w:cs="宋体"/>
          <w:color w:val="auto"/>
          <w:szCs w:val="21"/>
        </w:rPr>
        <w:t>供 应 商（乙方）</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pacing w:val="-20"/>
          <w:szCs w:val="21"/>
        </w:rPr>
        <w:t>项目名称和编号</w:t>
      </w:r>
      <w:r>
        <w:rPr>
          <w:rFonts w:hint="eastAsia" w:ascii="宋体" w:hAnsi="宋体" w:cs="宋体"/>
          <w:color w:val="auto"/>
          <w:szCs w:val="21"/>
          <w:u w:val="single"/>
        </w:rPr>
        <w:t xml:space="preserve">             </w:t>
      </w:r>
    </w:p>
    <w:p>
      <w:pPr>
        <w:snapToGrid w:val="0"/>
        <w:spacing w:line="320" w:lineRule="exact"/>
        <w:rPr>
          <w:rFonts w:ascii="宋体" w:hAnsi="宋体" w:cs="宋体"/>
          <w:color w:val="auto"/>
          <w:szCs w:val="21"/>
          <w:u w:val="single"/>
        </w:rPr>
      </w:pPr>
      <w:r>
        <w:rPr>
          <w:rFonts w:hint="eastAsia" w:ascii="宋体" w:hAnsi="宋体" w:cs="宋体"/>
          <w:color w:val="auto"/>
          <w:szCs w:val="21"/>
        </w:rPr>
        <w:t xml:space="preserve">签  订  地  点  </w:t>
      </w:r>
      <w:r>
        <w:rPr>
          <w:rFonts w:hint="eastAsia" w:ascii="宋体" w:hAnsi="宋体" w:cs="宋体"/>
          <w:color w:val="auto"/>
          <w:szCs w:val="21"/>
          <w:u w:val="single"/>
        </w:rPr>
        <w:t xml:space="preserve">                            </w:t>
      </w:r>
      <w:r>
        <w:rPr>
          <w:rFonts w:hint="eastAsia" w:ascii="宋体" w:hAnsi="宋体" w:cs="宋体"/>
          <w:color w:val="auto"/>
          <w:szCs w:val="21"/>
        </w:rPr>
        <w:t xml:space="preserve">  签 订 时 间 </w:t>
      </w:r>
      <w:r>
        <w:rPr>
          <w:rFonts w:hint="eastAsia" w:ascii="宋体" w:hAnsi="宋体" w:cs="宋体"/>
          <w:color w:val="auto"/>
          <w:szCs w:val="21"/>
          <w:u w:val="single"/>
        </w:rPr>
        <w:t xml:space="preserve">            </w:t>
      </w:r>
    </w:p>
    <w:p>
      <w:pPr>
        <w:snapToGrid w:val="0"/>
        <w:spacing w:line="320" w:lineRule="exact"/>
        <w:ind w:firstLine="420" w:firstLineChars="200"/>
        <w:rPr>
          <w:rFonts w:ascii="宋体" w:hAnsi="宋体" w:cs="宋体"/>
          <w:color w:val="auto"/>
          <w:szCs w:val="21"/>
        </w:rPr>
      </w:pPr>
    </w:p>
    <w:p>
      <w:pPr>
        <w:snapToGrid w:val="0"/>
        <w:spacing w:line="320" w:lineRule="exact"/>
        <w:ind w:firstLine="420" w:firstLineChars="200"/>
        <w:rPr>
          <w:rFonts w:ascii="宋体" w:hAnsi="宋体" w:cs="宋体"/>
          <w:color w:val="auto"/>
          <w:szCs w:val="21"/>
        </w:rPr>
      </w:pPr>
      <w:r>
        <w:rPr>
          <w:rFonts w:hint="eastAsia" w:ascii="宋体" w:hAnsi="宋体" w:cs="宋体"/>
          <w:color w:val="auto"/>
          <w:szCs w:val="21"/>
        </w:rPr>
        <w:t>根据《中华人民共和国政府采购法》、《中华人民共和国合同法》等法律、法规规定，按照招标文件规定条款和中标供应商承诺，甲乙双方签订本合同。</w:t>
      </w:r>
    </w:p>
    <w:p>
      <w:pPr>
        <w:snapToGrid w:val="0"/>
        <w:spacing w:line="320" w:lineRule="exact"/>
        <w:ind w:firstLine="525" w:firstLineChars="249"/>
        <w:rPr>
          <w:rFonts w:ascii="宋体" w:hAnsi="宋体" w:cs="宋体"/>
          <w:color w:val="auto"/>
          <w:szCs w:val="21"/>
        </w:rPr>
      </w:pPr>
      <w:r>
        <w:rPr>
          <w:rFonts w:hint="eastAsia" w:ascii="宋体" w:hAnsi="宋体" w:cs="宋体"/>
          <w:b/>
          <w:color w:val="auto"/>
          <w:szCs w:val="21"/>
        </w:rPr>
        <w:t>第一条  合同标的</w:t>
      </w:r>
    </w:p>
    <w:p>
      <w:pPr>
        <w:snapToGrid w:val="0"/>
        <w:spacing w:line="320" w:lineRule="exact"/>
        <w:ind w:firstLine="420" w:firstLineChars="200"/>
        <w:rPr>
          <w:rFonts w:ascii="宋体" w:hAnsi="宋体" w:cs="宋体"/>
          <w:color w:val="auto"/>
          <w:szCs w:val="21"/>
        </w:rPr>
      </w:pPr>
      <w:r>
        <w:rPr>
          <w:rFonts w:hint="eastAsia" w:ascii="宋体" w:hAnsi="宋体" w:cs="宋体"/>
          <w:color w:val="auto"/>
          <w:szCs w:val="21"/>
        </w:rPr>
        <w:t>1.根据中标通知书的中标内容，合同的总金额为（大写）：人民币</w:t>
      </w:r>
      <w:r>
        <w:rPr>
          <w:rFonts w:hint="eastAsia" w:ascii="宋体" w:hAnsi="宋体" w:cs="宋体"/>
          <w:color w:val="auto"/>
          <w:szCs w:val="21"/>
          <w:u w:val="single"/>
        </w:rPr>
        <w:t xml:space="preserve">                  （￥   ）</w:t>
      </w:r>
      <w:r>
        <w:rPr>
          <w:rFonts w:hint="eastAsia" w:ascii="宋体" w:hAnsi="宋体" w:cs="宋体"/>
          <w:color w:val="auto"/>
          <w:szCs w:val="21"/>
        </w:rPr>
        <w:t>。</w:t>
      </w:r>
    </w:p>
    <w:p>
      <w:pPr>
        <w:snapToGrid w:val="0"/>
        <w:spacing w:line="320" w:lineRule="exact"/>
        <w:ind w:firstLine="420" w:firstLineChars="200"/>
        <w:rPr>
          <w:rFonts w:ascii="宋体" w:hAnsi="宋体" w:cs="宋体"/>
          <w:color w:val="auto"/>
          <w:szCs w:val="21"/>
        </w:rPr>
      </w:pPr>
      <w:r>
        <w:rPr>
          <w:rFonts w:hint="eastAsia" w:ascii="宋体" w:hAnsi="宋体" w:cs="宋体"/>
          <w:color w:val="auto"/>
          <w:szCs w:val="21"/>
        </w:rPr>
        <w:t>2.货物一览表</w:t>
      </w:r>
    </w:p>
    <w:tbl>
      <w:tblPr>
        <w:tblStyle w:val="40"/>
        <w:tblW w:w="919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099"/>
        <w:gridCol w:w="1100"/>
        <w:gridCol w:w="1100"/>
        <w:gridCol w:w="1099"/>
        <w:gridCol w:w="1100"/>
        <w:gridCol w:w="1100"/>
        <w:gridCol w:w="1100"/>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392" w:type="dxa"/>
            <w:vAlign w:val="center"/>
          </w:tcPr>
          <w:p>
            <w:pPr>
              <w:snapToGrid w:val="0"/>
              <w:jc w:val="center"/>
              <w:rPr>
                <w:rFonts w:ascii="宋体" w:hAnsi="宋体" w:cs="宋体"/>
                <w:color w:val="auto"/>
                <w:szCs w:val="21"/>
              </w:rPr>
            </w:pPr>
            <w:r>
              <w:rPr>
                <w:rFonts w:hint="eastAsia" w:ascii="宋体" w:hAnsi="宋体" w:cs="宋体"/>
                <w:color w:val="auto"/>
                <w:szCs w:val="21"/>
              </w:rPr>
              <w:t>序号</w:t>
            </w:r>
          </w:p>
        </w:tc>
        <w:tc>
          <w:tcPr>
            <w:tcW w:w="1099" w:type="dxa"/>
            <w:vAlign w:val="center"/>
          </w:tcPr>
          <w:p>
            <w:pPr>
              <w:snapToGrid w:val="0"/>
              <w:jc w:val="center"/>
              <w:rPr>
                <w:rFonts w:ascii="宋体" w:hAnsi="宋体" w:cs="宋体"/>
                <w:color w:val="auto"/>
                <w:szCs w:val="21"/>
              </w:rPr>
            </w:pPr>
            <w:r>
              <w:rPr>
                <w:rFonts w:hint="eastAsia" w:ascii="宋体" w:hAnsi="宋体" w:cs="宋体"/>
                <w:color w:val="auto"/>
                <w:szCs w:val="21"/>
              </w:rPr>
              <w:t>产品名称</w:t>
            </w:r>
          </w:p>
        </w:tc>
        <w:tc>
          <w:tcPr>
            <w:tcW w:w="1100" w:type="dxa"/>
            <w:vAlign w:val="center"/>
          </w:tcPr>
          <w:p>
            <w:pPr>
              <w:snapToGrid w:val="0"/>
              <w:jc w:val="center"/>
              <w:rPr>
                <w:rFonts w:ascii="宋体" w:hAnsi="宋体" w:cs="宋体"/>
                <w:color w:val="auto"/>
                <w:szCs w:val="21"/>
              </w:rPr>
            </w:pPr>
            <w:r>
              <w:rPr>
                <w:rFonts w:hint="eastAsia" w:ascii="宋体" w:hAnsi="宋体" w:cs="宋体"/>
                <w:color w:val="auto"/>
                <w:szCs w:val="21"/>
              </w:rPr>
              <w:t>商标品牌</w:t>
            </w:r>
          </w:p>
        </w:tc>
        <w:tc>
          <w:tcPr>
            <w:tcW w:w="1100" w:type="dxa"/>
            <w:vAlign w:val="center"/>
          </w:tcPr>
          <w:p>
            <w:pPr>
              <w:snapToGrid w:val="0"/>
              <w:jc w:val="center"/>
              <w:rPr>
                <w:rFonts w:ascii="宋体" w:hAnsi="宋体" w:cs="宋体"/>
                <w:color w:val="auto"/>
                <w:szCs w:val="21"/>
              </w:rPr>
            </w:pPr>
            <w:r>
              <w:rPr>
                <w:rFonts w:hint="eastAsia" w:ascii="宋体" w:hAnsi="宋体" w:cs="宋体"/>
                <w:color w:val="auto"/>
                <w:szCs w:val="21"/>
              </w:rPr>
              <w:t>规格型号</w:t>
            </w:r>
          </w:p>
        </w:tc>
        <w:tc>
          <w:tcPr>
            <w:tcW w:w="1099" w:type="dxa"/>
            <w:vAlign w:val="center"/>
          </w:tcPr>
          <w:p>
            <w:pPr>
              <w:snapToGrid w:val="0"/>
              <w:jc w:val="center"/>
              <w:rPr>
                <w:rFonts w:ascii="宋体" w:hAnsi="宋体" w:cs="宋体"/>
                <w:color w:val="auto"/>
                <w:szCs w:val="21"/>
              </w:rPr>
            </w:pPr>
            <w:r>
              <w:rPr>
                <w:rFonts w:hint="eastAsia" w:ascii="宋体" w:hAnsi="宋体" w:cs="宋体"/>
                <w:color w:val="auto"/>
                <w:szCs w:val="21"/>
              </w:rPr>
              <w:t>生产厂家</w:t>
            </w:r>
          </w:p>
        </w:tc>
        <w:tc>
          <w:tcPr>
            <w:tcW w:w="1100" w:type="dxa"/>
            <w:vAlign w:val="center"/>
          </w:tcPr>
          <w:p>
            <w:pPr>
              <w:snapToGrid w:val="0"/>
              <w:jc w:val="center"/>
              <w:rPr>
                <w:rFonts w:ascii="宋体" w:hAnsi="宋体" w:cs="宋体"/>
                <w:color w:val="auto"/>
                <w:szCs w:val="21"/>
              </w:rPr>
            </w:pPr>
            <w:r>
              <w:rPr>
                <w:rFonts w:hint="eastAsia" w:ascii="宋体" w:hAnsi="宋体" w:cs="宋体"/>
                <w:color w:val="auto"/>
                <w:szCs w:val="21"/>
              </w:rPr>
              <w:t>数  量</w:t>
            </w:r>
          </w:p>
        </w:tc>
        <w:tc>
          <w:tcPr>
            <w:tcW w:w="1100" w:type="dxa"/>
            <w:vAlign w:val="center"/>
          </w:tcPr>
          <w:p>
            <w:pPr>
              <w:snapToGrid w:val="0"/>
              <w:jc w:val="center"/>
              <w:rPr>
                <w:rFonts w:ascii="宋体" w:hAnsi="宋体" w:cs="宋体"/>
                <w:color w:val="auto"/>
                <w:szCs w:val="21"/>
              </w:rPr>
            </w:pPr>
            <w:r>
              <w:rPr>
                <w:rFonts w:hint="eastAsia" w:ascii="宋体" w:hAnsi="宋体" w:cs="宋体"/>
                <w:color w:val="auto"/>
                <w:szCs w:val="21"/>
              </w:rPr>
              <w:t>单 位</w:t>
            </w:r>
          </w:p>
        </w:tc>
        <w:tc>
          <w:tcPr>
            <w:tcW w:w="1100" w:type="dxa"/>
            <w:vAlign w:val="center"/>
          </w:tcPr>
          <w:p>
            <w:pPr>
              <w:snapToGrid w:val="0"/>
              <w:jc w:val="center"/>
              <w:rPr>
                <w:rFonts w:ascii="宋体" w:hAnsi="宋体" w:cs="宋体"/>
                <w:color w:val="auto"/>
                <w:szCs w:val="21"/>
              </w:rPr>
            </w:pPr>
            <w:r>
              <w:rPr>
                <w:rFonts w:hint="eastAsia" w:ascii="宋体" w:hAnsi="宋体" w:cs="宋体"/>
                <w:color w:val="auto"/>
                <w:szCs w:val="21"/>
              </w:rPr>
              <w:t>单  价</w:t>
            </w:r>
          </w:p>
          <w:p>
            <w:pPr>
              <w:snapToGrid w:val="0"/>
              <w:jc w:val="center"/>
              <w:rPr>
                <w:rFonts w:ascii="宋体" w:hAnsi="宋体" w:cs="宋体"/>
                <w:color w:val="auto"/>
                <w:szCs w:val="21"/>
              </w:rPr>
            </w:pPr>
            <w:r>
              <w:rPr>
                <w:rFonts w:hint="eastAsia" w:ascii="宋体" w:hAnsi="宋体" w:cs="宋体"/>
                <w:color w:val="auto"/>
                <w:szCs w:val="21"/>
              </w:rPr>
              <w:t>（元）</w:t>
            </w:r>
          </w:p>
        </w:tc>
        <w:tc>
          <w:tcPr>
            <w:tcW w:w="1102" w:type="dxa"/>
            <w:vAlign w:val="center"/>
          </w:tcPr>
          <w:p>
            <w:pPr>
              <w:snapToGrid w:val="0"/>
              <w:jc w:val="center"/>
              <w:rPr>
                <w:rFonts w:ascii="宋体" w:hAnsi="宋体" w:cs="宋体"/>
                <w:color w:val="auto"/>
                <w:szCs w:val="21"/>
              </w:rPr>
            </w:pPr>
            <w:r>
              <w:rPr>
                <w:rFonts w:hint="eastAsia" w:ascii="宋体" w:hAnsi="宋体" w:cs="宋体"/>
                <w:color w:val="auto"/>
                <w:szCs w:val="21"/>
              </w:rPr>
              <w:t>金  额</w:t>
            </w:r>
          </w:p>
          <w:p>
            <w:pPr>
              <w:snapToGrid w:val="0"/>
              <w:jc w:val="center"/>
              <w:rPr>
                <w:rFonts w:ascii="宋体" w:hAnsi="宋体" w:cs="宋体"/>
                <w:color w:val="auto"/>
                <w:szCs w:val="21"/>
              </w:rPr>
            </w:pPr>
            <w:r>
              <w:rPr>
                <w:rFonts w:hint="eastAsia" w:ascii="宋体" w:hAnsi="宋体" w:cs="宋体"/>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92" w:type="dxa"/>
            <w:vAlign w:val="center"/>
          </w:tcPr>
          <w:p>
            <w:pPr>
              <w:snapToGrid w:val="0"/>
              <w:jc w:val="center"/>
              <w:rPr>
                <w:rFonts w:ascii="宋体" w:hAnsi="宋体" w:cs="宋体"/>
                <w:color w:val="auto"/>
                <w:szCs w:val="21"/>
              </w:rPr>
            </w:pPr>
            <w:r>
              <w:rPr>
                <w:rFonts w:hint="eastAsia" w:ascii="宋体" w:hAnsi="宋体" w:cs="宋体"/>
                <w:color w:val="auto"/>
                <w:szCs w:val="21"/>
              </w:rPr>
              <w:t>1</w:t>
            </w:r>
          </w:p>
        </w:tc>
        <w:tc>
          <w:tcPr>
            <w:tcW w:w="1099" w:type="dxa"/>
            <w:vAlign w:val="center"/>
          </w:tcPr>
          <w:p>
            <w:pPr>
              <w:snapToGrid w:val="0"/>
              <w:jc w:val="center"/>
              <w:rPr>
                <w:rFonts w:ascii="宋体" w:hAnsi="宋体" w:cs="宋体"/>
                <w:color w:val="auto"/>
                <w:szCs w:val="21"/>
              </w:rPr>
            </w:pPr>
          </w:p>
        </w:tc>
        <w:tc>
          <w:tcPr>
            <w:tcW w:w="1100" w:type="dxa"/>
            <w:vAlign w:val="center"/>
          </w:tcPr>
          <w:p>
            <w:pPr>
              <w:snapToGrid w:val="0"/>
              <w:jc w:val="center"/>
              <w:rPr>
                <w:rFonts w:ascii="宋体" w:hAnsi="宋体" w:cs="宋体"/>
                <w:color w:val="auto"/>
                <w:szCs w:val="21"/>
              </w:rPr>
            </w:pPr>
          </w:p>
        </w:tc>
        <w:tc>
          <w:tcPr>
            <w:tcW w:w="1100" w:type="dxa"/>
            <w:vAlign w:val="center"/>
          </w:tcPr>
          <w:p>
            <w:pPr>
              <w:snapToGrid w:val="0"/>
              <w:jc w:val="center"/>
              <w:rPr>
                <w:rFonts w:ascii="宋体" w:hAnsi="宋体" w:cs="宋体"/>
                <w:color w:val="auto"/>
                <w:szCs w:val="21"/>
              </w:rPr>
            </w:pPr>
          </w:p>
        </w:tc>
        <w:tc>
          <w:tcPr>
            <w:tcW w:w="1099" w:type="dxa"/>
          </w:tcPr>
          <w:p>
            <w:pPr>
              <w:snapToGrid w:val="0"/>
              <w:jc w:val="center"/>
              <w:rPr>
                <w:rFonts w:ascii="宋体" w:hAnsi="宋体" w:cs="宋体"/>
                <w:color w:val="auto"/>
                <w:szCs w:val="21"/>
              </w:rPr>
            </w:pPr>
          </w:p>
        </w:tc>
        <w:tc>
          <w:tcPr>
            <w:tcW w:w="1100" w:type="dxa"/>
          </w:tcPr>
          <w:p>
            <w:pPr>
              <w:snapToGrid w:val="0"/>
              <w:jc w:val="center"/>
              <w:rPr>
                <w:rFonts w:ascii="宋体" w:hAnsi="宋体" w:cs="宋体"/>
                <w:color w:val="auto"/>
                <w:szCs w:val="21"/>
              </w:rPr>
            </w:pPr>
          </w:p>
        </w:tc>
        <w:tc>
          <w:tcPr>
            <w:tcW w:w="1100" w:type="dxa"/>
          </w:tcPr>
          <w:p>
            <w:pPr>
              <w:snapToGrid w:val="0"/>
              <w:jc w:val="center"/>
              <w:rPr>
                <w:rFonts w:ascii="宋体" w:hAnsi="宋体" w:cs="宋体"/>
                <w:color w:val="auto"/>
                <w:szCs w:val="21"/>
              </w:rPr>
            </w:pPr>
          </w:p>
        </w:tc>
        <w:tc>
          <w:tcPr>
            <w:tcW w:w="1100" w:type="dxa"/>
            <w:vAlign w:val="center"/>
          </w:tcPr>
          <w:p>
            <w:pPr>
              <w:snapToGrid w:val="0"/>
              <w:jc w:val="center"/>
              <w:rPr>
                <w:rFonts w:ascii="宋体" w:hAnsi="宋体" w:cs="宋体"/>
                <w:color w:val="auto"/>
                <w:szCs w:val="21"/>
              </w:rPr>
            </w:pPr>
          </w:p>
        </w:tc>
        <w:tc>
          <w:tcPr>
            <w:tcW w:w="1102" w:type="dxa"/>
            <w:vAlign w:val="center"/>
          </w:tcPr>
          <w:p>
            <w:pPr>
              <w:snapToGrid w:val="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92" w:type="dxa"/>
            <w:vAlign w:val="center"/>
          </w:tcPr>
          <w:p>
            <w:pPr>
              <w:snapToGrid w:val="0"/>
              <w:jc w:val="center"/>
              <w:rPr>
                <w:rFonts w:ascii="宋体" w:hAnsi="宋体" w:cs="宋体"/>
                <w:color w:val="auto"/>
                <w:szCs w:val="21"/>
              </w:rPr>
            </w:pPr>
            <w:r>
              <w:rPr>
                <w:rFonts w:hint="eastAsia" w:ascii="宋体" w:hAnsi="宋体" w:cs="宋体"/>
                <w:color w:val="auto"/>
                <w:szCs w:val="21"/>
              </w:rPr>
              <w:t>2</w:t>
            </w:r>
          </w:p>
        </w:tc>
        <w:tc>
          <w:tcPr>
            <w:tcW w:w="1099" w:type="dxa"/>
            <w:vAlign w:val="center"/>
          </w:tcPr>
          <w:p>
            <w:pPr>
              <w:snapToGrid w:val="0"/>
              <w:jc w:val="center"/>
              <w:rPr>
                <w:rFonts w:ascii="宋体" w:hAnsi="宋体" w:cs="宋体"/>
                <w:color w:val="auto"/>
                <w:szCs w:val="21"/>
              </w:rPr>
            </w:pPr>
          </w:p>
        </w:tc>
        <w:tc>
          <w:tcPr>
            <w:tcW w:w="1100" w:type="dxa"/>
            <w:vAlign w:val="center"/>
          </w:tcPr>
          <w:p>
            <w:pPr>
              <w:snapToGrid w:val="0"/>
              <w:jc w:val="center"/>
              <w:rPr>
                <w:rFonts w:ascii="宋体" w:hAnsi="宋体" w:cs="宋体"/>
                <w:color w:val="auto"/>
                <w:szCs w:val="21"/>
              </w:rPr>
            </w:pPr>
          </w:p>
        </w:tc>
        <w:tc>
          <w:tcPr>
            <w:tcW w:w="1100" w:type="dxa"/>
            <w:vAlign w:val="center"/>
          </w:tcPr>
          <w:p>
            <w:pPr>
              <w:snapToGrid w:val="0"/>
              <w:jc w:val="center"/>
              <w:rPr>
                <w:rFonts w:ascii="宋体" w:hAnsi="宋体" w:cs="宋体"/>
                <w:color w:val="auto"/>
                <w:szCs w:val="21"/>
              </w:rPr>
            </w:pPr>
          </w:p>
        </w:tc>
        <w:tc>
          <w:tcPr>
            <w:tcW w:w="1099" w:type="dxa"/>
          </w:tcPr>
          <w:p>
            <w:pPr>
              <w:snapToGrid w:val="0"/>
              <w:jc w:val="center"/>
              <w:rPr>
                <w:rFonts w:ascii="宋体" w:hAnsi="宋体" w:cs="宋体"/>
                <w:color w:val="auto"/>
                <w:szCs w:val="21"/>
              </w:rPr>
            </w:pPr>
          </w:p>
        </w:tc>
        <w:tc>
          <w:tcPr>
            <w:tcW w:w="1100" w:type="dxa"/>
          </w:tcPr>
          <w:p>
            <w:pPr>
              <w:snapToGrid w:val="0"/>
              <w:jc w:val="center"/>
              <w:rPr>
                <w:rFonts w:ascii="宋体" w:hAnsi="宋体" w:cs="宋体"/>
                <w:color w:val="auto"/>
                <w:szCs w:val="21"/>
              </w:rPr>
            </w:pPr>
          </w:p>
        </w:tc>
        <w:tc>
          <w:tcPr>
            <w:tcW w:w="1100" w:type="dxa"/>
          </w:tcPr>
          <w:p>
            <w:pPr>
              <w:snapToGrid w:val="0"/>
              <w:jc w:val="center"/>
              <w:rPr>
                <w:rFonts w:ascii="宋体" w:hAnsi="宋体" w:cs="宋体"/>
                <w:color w:val="auto"/>
                <w:szCs w:val="21"/>
              </w:rPr>
            </w:pPr>
          </w:p>
        </w:tc>
        <w:tc>
          <w:tcPr>
            <w:tcW w:w="1100" w:type="dxa"/>
            <w:vAlign w:val="center"/>
          </w:tcPr>
          <w:p>
            <w:pPr>
              <w:snapToGrid w:val="0"/>
              <w:jc w:val="center"/>
              <w:rPr>
                <w:rFonts w:ascii="宋体" w:hAnsi="宋体" w:cs="宋体"/>
                <w:color w:val="auto"/>
                <w:szCs w:val="21"/>
              </w:rPr>
            </w:pPr>
          </w:p>
        </w:tc>
        <w:tc>
          <w:tcPr>
            <w:tcW w:w="1102" w:type="dxa"/>
            <w:vAlign w:val="center"/>
          </w:tcPr>
          <w:p>
            <w:pPr>
              <w:snapToGrid w:val="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92" w:type="dxa"/>
            <w:vAlign w:val="center"/>
          </w:tcPr>
          <w:p>
            <w:pPr>
              <w:snapToGrid w:val="0"/>
              <w:jc w:val="center"/>
              <w:rPr>
                <w:rFonts w:ascii="宋体" w:hAnsi="宋体" w:cs="宋体"/>
                <w:color w:val="auto"/>
                <w:szCs w:val="21"/>
              </w:rPr>
            </w:pPr>
            <w:r>
              <w:rPr>
                <w:rFonts w:hint="eastAsia" w:ascii="宋体" w:hAnsi="宋体" w:cs="宋体"/>
                <w:color w:val="auto"/>
                <w:szCs w:val="21"/>
              </w:rPr>
              <w:t>3</w:t>
            </w:r>
          </w:p>
        </w:tc>
        <w:tc>
          <w:tcPr>
            <w:tcW w:w="1099" w:type="dxa"/>
            <w:vAlign w:val="center"/>
          </w:tcPr>
          <w:p>
            <w:pPr>
              <w:snapToGrid w:val="0"/>
              <w:jc w:val="center"/>
              <w:rPr>
                <w:rFonts w:ascii="宋体" w:hAnsi="宋体" w:cs="宋体"/>
                <w:color w:val="auto"/>
                <w:szCs w:val="21"/>
              </w:rPr>
            </w:pPr>
          </w:p>
        </w:tc>
        <w:tc>
          <w:tcPr>
            <w:tcW w:w="1100" w:type="dxa"/>
            <w:vAlign w:val="center"/>
          </w:tcPr>
          <w:p>
            <w:pPr>
              <w:snapToGrid w:val="0"/>
              <w:jc w:val="center"/>
              <w:rPr>
                <w:rFonts w:ascii="宋体" w:hAnsi="宋体" w:cs="宋体"/>
                <w:color w:val="auto"/>
                <w:szCs w:val="21"/>
              </w:rPr>
            </w:pPr>
          </w:p>
        </w:tc>
        <w:tc>
          <w:tcPr>
            <w:tcW w:w="1100" w:type="dxa"/>
            <w:vAlign w:val="center"/>
          </w:tcPr>
          <w:p>
            <w:pPr>
              <w:snapToGrid w:val="0"/>
              <w:jc w:val="center"/>
              <w:rPr>
                <w:rFonts w:ascii="宋体" w:hAnsi="宋体" w:cs="宋体"/>
                <w:color w:val="auto"/>
                <w:szCs w:val="21"/>
              </w:rPr>
            </w:pPr>
          </w:p>
        </w:tc>
        <w:tc>
          <w:tcPr>
            <w:tcW w:w="1099" w:type="dxa"/>
          </w:tcPr>
          <w:p>
            <w:pPr>
              <w:snapToGrid w:val="0"/>
              <w:jc w:val="center"/>
              <w:rPr>
                <w:rFonts w:ascii="宋体" w:hAnsi="宋体" w:cs="宋体"/>
                <w:color w:val="auto"/>
                <w:szCs w:val="21"/>
              </w:rPr>
            </w:pPr>
          </w:p>
        </w:tc>
        <w:tc>
          <w:tcPr>
            <w:tcW w:w="1100" w:type="dxa"/>
          </w:tcPr>
          <w:p>
            <w:pPr>
              <w:snapToGrid w:val="0"/>
              <w:jc w:val="center"/>
              <w:rPr>
                <w:rFonts w:ascii="宋体" w:hAnsi="宋体" w:cs="宋体"/>
                <w:color w:val="auto"/>
                <w:szCs w:val="21"/>
              </w:rPr>
            </w:pPr>
          </w:p>
        </w:tc>
        <w:tc>
          <w:tcPr>
            <w:tcW w:w="1100" w:type="dxa"/>
          </w:tcPr>
          <w:p>
            <w:pPr>
              <w:snapToGrid w:val="0"/>
              <w:jc w:val="center"/>
              <w:rPr>
                <w:rFonts w:ascii="宋体" w:hAnsi="宋体" w:cs="宋体"/>
                <w:color w:val="auto"/>
                <w:szCs w:val="21"/>
              </w:rPr>
            </w:pPr>
          </w:p>
        </w:tc>
        <w:tc>
          <w:tcPr>
            <w:tcW w:w="1100" w:type="dxa"/>
            <w:vAlign w:val="center"/>
          </w:tcPr>
          <w:p>
            <w:pPr>
              <w:snapToGrid w:val="0"/>
              <w:jc w:val="center"/>
              <w:rPr>
                <w:rFonts w:ascii="宋体" w:hAnsi="宋体" w:cs="宋体"/>
                <w:color w:val="auto"/>
                <w:szCs w:val="21"/>
              </w:rPr>
            </w:pPr>
          </w:p>
        </w:tc>
        <w:tc>
          <w:tcPr>
            <w:tcW w:w="1102" w:type="dxa"/>
            <w:vAlign w:val="center"/>
          </w:tcPr>
          <w:p>
            <w:pPr>
              <w:snapToGrid w:val="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9192" w:type="dxa"/>
            <w:gridSpan w:val="9"/>
            <w:vAlign w:val="center"/>
          </w:tcPr>
          <w:p>
            <w:pPr>
              <w:snapToGrid w:val="0"/>
              <w:rPr>
                <w:rFonts w:ascii="宋体" w:hAnsi="宋体" w:cs="宋体"/>
                <w:color w:val="auto"/>
                <w:szCs w:val="21"/>
              </w:rPr>
            </w:pPr>
            <w:r>
              <w:rPr>
                <w:rFonts w:hint="eastAsia" w:ascii="宋体" w:hAnsi="宋体" w:cs="宋体"/>
                <w:color w:val="auto"/>
                <w:szCs w:val="21"/>
              </w:rPr>
              <w:t>人民币合计金额（大写）                            （小写）</w:t>
            </w:r>
          </w:p>
        </w:tc>
      </w:tr>
    </w:tbl>
    <w:p>
      <w:pPr>
        <w:snapToGrid w:val="0"/>
        <w:spacing w:line="320" w:lineRule="exact"/>
        <w:ind w:right="420" w:firstLine="436" w:firstLineChars="200"/>
        <w:rPr>
          <w:rFonts w:ascii="宋体" w:hAnsi="宋体" w:cs="宋体"/>
          <w:color w:val="auto"/>
          <w:spacing w:val="4"/>
          <w:szCs w:val="21"/>
        </w:rPr>
      </w:pPr>
    </w:p>
    <w:p>
      <w:pPr>
        <w:snapToGrid w:val="0"/>
        <w:spacing w:line="320" w:lineRule="exact"/>
        <w:ind w:right="420" w:firstLine="436" w:firstLineChars="200"/>
        <w:rPr>
          <w:rFonts w:ascii="宋体" w:hAnsi="宋体" w:cs="宋体"/>
          <w:color w:val="auto"/>
          <w:spacing w:val="4"/>
          <w:szCs w:val="21"/>
        </w:rPr>
      </w:pPr>
      <w:r>
        <w:rPr>
          <w:rFonts w:hint="eastAsia" w:ascii="宋体" w:hAnsi="宋体" w:cs="宋体"/>
          <w:color w:val="auto"/>
          <w:spacing w:val="4"/>
          <w:szCs w:val="21"/>
        </w:rPr>
        <w:t>3.合同合计金额包括货物价款、备件、专用工具、安装、检验、技术资料和包装、运输等全部费用。如招标文件对其另有规定的，从其规定。</w:t>
      </w:r>
    </w:p>
    <w:p>
      <w:pPr>
        <w:snapToGrid w:val="0"/>
        <w:spacing w:line="320" w:lineRule="exact"/>
        <w:ind w:right="525" w:firstLine="656" w:firstLineChars="300"/>
        <w:rPr>
          <w:rFonts w:ascii="宋体" w:hAnsi="宋体" w:cs="宋体"/>
          <w:color w:val="auto"/>
          <w:spacing w:val="4"/>
          <w:szCs w:val="21"/>
        </w:rPr>
      </w:pPr>
      <w:r>
        <w:rPr>
          <w:rFonts w:hint="eastAsia" w:ascii="宋体" w:hAnsi="宋体" w:cs="宋体"/>
          <w:b/>
          <w:bCs/>
          <w:color w:val="auto"/>
          <w:spacing w:val="4"/>
          <w:szCs w:val="21"/>
        </w:rPr>
        <w:t xml:space="preserve">第二条  </w:t>
      </w:r>
      <w:r>
        <w:rPr>
          <w:rFonts w:hint="eastAsia" w:ascii="宋体" w:hAnsi="宋体" w:cs="宋体"/>
          <w:b/>
          <w:color w:val="auto"/>
          <w:spacing w:val="4"/>
          <w:szCs w:val="21"/>
        </w:rPr>
        <w:t>质量保证</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1.乙方所提供的货物规格、技术标准、材料等质量必须与招标文件、投标文件和承诺相一致。乙方提供的自主创新产品、节能和环保产品必须是列入政府采购清单的产品。</w:t>
      </w:r>
    </w:p>
    <w:p>
      <w:pPr>
        <w:snapToGrid w:val="0"/>
        <w:spacing w:line="320" w:lineRule="exact"/>
        <w:ind w:firstLine="436" w:firstLineChars="200"/>
        <w:jc w:val="left"/>
        <w:rPr>
          <w:rFonts w:ascii="宋体" w:hAnsi="宋体" w:cs="宋体"/>
          <w:color w:val="auto"/>
          <w:spacing w:val="4"/>
          <w:szCs w:val="21"/>
          <w:u w:val="single"/>
        </w:rPr>
      </w:pPr>
      <w:r>
        <w:rPr>
          <w:rFonts w:hint="eastAsia" w:ascii="宋体" w:hAnsi="宋体" w:cs="宋体"/>
          <w:color w:val="auto"/>
          <w:spacing w:val="4"/>
          <w:szCs w:val="21"/>
        </w:rPr>
        <w:t>2.乙方所提供的货物必须是全新、未使用的产品，且在正常使用条件下，其使用寿命应达到承诺年限。</w:t>
      </w:r>
    </w:p>
    <w:p>
      <w:pPr>
        <w:snapToGrid w:val="0"/>
        <w:spacing w:line="320" w:lineRule="exact"/>
        <w:ind w:firstLine="652" w:firstLineChars="298"/>
        <w:rPr>
          <w:rFonts w:ascii="宋体" w:hAnsi="宋体" w:cs="宋体"/>
          <w:color w:val="auto"/>
          <w:spacing w:val="4"/>
          <w:szCs w:val="21"/>
        </w:rPr>
      </w:pPr>
      <w:r>
        <w:rPr>
          <w:rFonts w:hint="eastAsia" w:ascii="宋体" w:hAnsi="宋体" w:cs="宋体"/>
          <w:b/>
          <w:bCs/>
          <w:color w:val="auto"/>
          <w:spacing w:val="4"/>
          <w:szCs w:val="21"/>
        </w:rPr>
        <w:t xml:space="preserve">第三条  </w:t>
      </w:r>
      <w:r>
        <w:rPr>
          <w:rFonts w:hint="eastAsia" w:ascii="宋体" w:hAnsi="宋体" w:cs="宋体"/>
          <w:b/>
          <w:color w:val="auto"/>
          <w:spacing w:val="4"/>
          <w:szCs w:val="21"/>
        </w:rPr>
        <w:t>权力保证</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1.乙方应保证所提供货物在使用时不会侵犯任何第三方的专利权、商标权、工业设计权或其他权利。</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2.乙方应按招标文件规定的时间向甲方提供使用货物的有关技术资料。</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4.乙方保证所交付的货物的所有权完全属于乙方且无任何抵押、质押、查封等产权瑕疵。</w:t>
      </w:r>
    </w:p>
    <w:p>
      <w:pPr>
        <w:snapToGrid w:val="0"/>
        <w:spacing w:line="320" w:lineRule="exact"/>
        <w:ind w:firstLine="643" w:firstLineChars="294"/>
        <w:rPr>
          <w:rFonts w:ascii="宋体" w:hAnsi="宋体" w:cs="宋体"/>
          <w:b/>
          <w:bCs/>
          <w:color w:val="auto"/>
          <w:spacing w:val="4"/>
          <w:szCs w:val="21"/>
        </w:rPr>
      </w:pPr>
      <w:r>
        <w:rPr>
          <w:rFonts w:hint="eastAsia" w:ascii="宋体" w:hAnsi="宋体" w:cs="宋体"/>
          <w:b/>
          <w:bCs/>
          <w:color w:val="auto"/>
          <w:spacing w:val="4"/>
          <w:szCs w:val="21"/>
        </w:rPr>
        <w:t>第四条  包装和运输</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1.乙方提供的货物均应按招标文件要求的包装材料、包装标准、包装方式进行包装，每一包装单元内应附详细的装箱单和质量合格证。</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2.乙方负责货物运输，货物的运输方式：</w:t>
      </w:r>
      <w:r>
        <w:rPr>
          <w:rFonts w:hint="eastAsia" w:ascii="宋体" w:hAnsi="宋体" w:cs="宋体"/>
          <w:color w:val="auto"/>
          <w:spacing w:val="4"/>
          <w:szCs w:val="21"/>
          <w:u w:val="single"/>
        </w:rPr>
        <w:t xml:space="preserve">              </w:t>
      </w:r>
      <w:r>
        <w:rPr>
          <w:rFonts w:hint="eastAsia" w:ascii="宋体" w:hAnsi="宋体" w:cs="宋体"/>
          <w:color w:val="auto"/>
          <w:spacing w:val="4"/>
          <w:szCs w:val="21"/>
        </w:rPr>
        <w:t>。</w:t>
      </w:r>
    </w:p>
    <w:p>
      <w:pPr>
        <w:snapToGrid w:val="0"/>
        <w:spacing w:line="320" w:lineRule="exact"/>
        <w:ind w:firstLine="652" w:firstLineChars="298"/>
        <w:rPr>
          <w:rFonts w:ascii="宋体" w:hAnsi="宋体" w:cs="宋体"/>
          <w:b/>
          <w:color w:val="auto"/>
          <w:spacing w:val="4"/>
          <w:szCs w:val="21"/>
        </w:rPr>
      </w:pPr>
      <w:r>
        <w:rPr>
          <w:rFonts w:hint="eastAsia" w:ascii="宋体" w:hAnsi="宋体" w:cs="宋体"/>
          <w:b/>
          <w:color w:val="auto"/>
          <w:spacing w:val="4"/>
          <w:szCs w:val="21"/>
        </w:rPr>
        <w:t>第五条  交付和验收</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1.交货时间：</w:t>
      </w:r>
      <w:r>
        <w:rPr>
          <w:rFonts w:hint="eastAsia" w:ascii="宋体" w:hAnsi="宋体" w:cs="宋体"/>
          <w:color w:val="auto"/>
          <w:spacing w:val="4"/>
          <w:szCs w:val="21"/>
          <w:u w:val="single"/>
        </w:rPr>
        <w:t>自合同签订之日起90天内交付使用</w:t>
      </w:r>
      <w:r>
        <w:rPr>
          <w:rFonts w:hint="eastAsia" w:ascii="宋体" w:hAnsi="宋体" w:cs="宋体"/>
          <w:color w:val="auto"/>
          <w:spacing w:val="4"/>
          <w:szCs w:val="21"/>
        </w:rPr>
        <w:t>，地点：</w:t>
      </w:r>
      <w:r>
        <w:rPr>
          <w:rFonts w:hint="eastAsia" w:ascii="宋体" w:hAnsi="宋体" w:cs="宋体"/>
          <w:color w:val="auto"/>
          <w:spacing w:val="4"/>
          <w:szCs w:val="21"/>
          <w:u w:val="single"/>
        </w:rPr>
        <w:t xml:space="preserve">防城港市医疗废物处置中心 </w:t>
      </w:r>
      <w:r>
        <w:rPr>
          <w:rFonts w:hint="eastAsia" w:ascii="宋体" w:hAnsi="宋体" w:cs="宋体"/>
          <w:color w:val="auto"/>
          <w:spacing w:val="4"/>
          <w:szCs w:val="21"/>
        </w:rPr>
        <w:t>。</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2.乙方提供的货物、基础、安装不符合</w:t>
      </w:r>
      <w:r>
        <w:rPr>
          <w:rFonts w:hint="eastAsia" w:ascii="宋体" w:hAnsi="宋体" w:cs="宋体"/>
          <w:color w:val="auto"/>
          <w:szCs w:val="21"/>
        </w:rPr>
        <w:t>招标文件、投标文件</w:t>
      </w:r>
      <w:r>
        <w:rPr>
          <w:rFonts w:hint="eastAsia" w:ascii="宋体" w:hAnsi="宋体" w:cs="宋体"/>
          <w:color w:val="auto"/>
          <w:spacing w:val="4"/>
          <w:szCs w:val="21"/>
        </w:rPr>
        <w:t>和本合同规定的，甲方有权拒绝接受。</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3.乙方应将所提供货物的装箱清单、用户手册、原厂保修卡、随机资料、工具和备品、备件等交付给甲方，如有缺失应及时补齐，否则视为逾期交货。</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4.乙方应按照甲方的要求，在</w:t>
      </w:r>
      <w:r>
        <w:rPr>
          <w:rFonts w:hint="eastAsia" w:ascii="宋体" w:hAnsi="宋体" w:cs="宋体"/>
          <w:color w:val="auto"/>
          <w:spacing w:val="4"/>
          <w:szCs w:val="21"/>
          <w:u w:val="single"/>
        </w:rPr>
        <w:t xml:space="preserve">        </w:t>
      </w:r>
      <w:r>
        <w:rPr>
          <w:rFonts w:hint="eastAsia" w:ascii="宋体" w:hAnsi="宋体" w:cs="宋体"/>
          <w:color w:val="auto"/>
          <w:spacing w:val="4"/>
          <w:szCs w:val="21"/>
        </w:rPr>
        <w:t>前交货验收完毕并承担验收相关费用。</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5.甲方应当在货物到货</w:t>
      </w:r>
      <w:r>
        <w:rPr>
          <w:rFonts w:hint="eastAsia" w:ascii="宋体" w:hAnsi="宋体" w:cs="宋体"/>
          <w:color w:val="auto"/>
          <w:spacing w:val="4"/>
          <w:szCs w:val="21"/>
          <w:u w:val="single"/>
        </w:rPr>
        <w:t xml:space="preserve">   </w:t>
      </w:r>
      <w:r>
        <w:rPr>
          <w:rFonts w:hint="eastAsia" w:ascii="宋体" w:hAnsi="宋体" w:cs="宋体"/>
          <w:color w:val="auto"/>
          <w:spacing w:val="4"/>
          <w:szCs w:val="21"/>
        </w:rPr>
        <w:t>天内进行验收，逾期不验收的，乙方可视同验收合格。验收合格后由甲乙双方签署货物验收单并加盖采购单位公章，甲乙双方各执一份。</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6.采购人委托政府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7.甲方对验收有异议的，在验收后五个工作日内以书面形式向乙方提出，乙方应自收到甲方书面异议后</w:t>
      </w:r>
      <w:r>
        <w:rPr>
          <w:rFonts w:hint="eastAsia" w:ascii="宋体" w:hAnsi="宋体" w:cs="宋体"/>
          <w:color w:val="auto"/>
          <w:spacing w:val="4"/>
          <w:szCs w:val="21"/>
          <w:u w:val="single"/>
        </w:rPr>
        <w:t xml:space="preserve">    </w:t>
      </w:r>
      <w:r>
        <w:rPr>
          <w:rFonts w:hint="eastAsia" w:ascii="宋体" w:hAnsi="宋体" w:cs="宋体"/>
          <w:color w:val="auto"/>
          <w:spacing w:val="4"/>
          <w:szCs w:val="21"/>
        </w:rPr>
        <w:t>日内及时予以解决。</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8.项目验收要符合招标文件中的验收</w:t>
      </w:r>
      <w:r>
        <w:rPr>
          <w:rFonts w:hint="eastAsia" w:ascii="宋体" w:hAnsi="宋体" w:cs="宋体"/>
          <w:color w:val="auto"/>
          <w:szCs w:val="21"/>
        </w:rPr>
        <w:t>技术标准和规范</w:t>
      </w:r>
      <w:r>
        <w:rPr>
          <w:rFonts w:hint="eastAsia" w:ascii="宋体" w:hAnsi="宋体" w:cs="宋体"/>
          <w:color w:val="auto"/>
          <w:spacing w:val="4"/>
          <w:szCs w:val="21"/>
        </w:rPr>
        <w:t>、图纸及工程量清单的要求</w:t>
      </w:r>
      <w:r>
        <w:rPr>
          <w:rFonts w:hint="eastAsia" w:ascii="宋体" w:hAnsi="宋体" w:cs="宋体"/>
          <w:color w:val="auto"/>
          <w:szCs w:val="21"/>
        </w:rPr>
        <w:t>。</w:t>
      </w:r>
    </w:p>
    <w:p>
      <w:pPr>
        <w:snapToGrid w:val="0"/>
        <w:spacing w:line="320" w:lineRule="exact"/>
        <w:ind w:firstLine="536" w:firstLineChars="245"/>
        <w:rPr>
          <w:rFonts w:ascii="宋体" w:hAnsi="宋体" w:cs="宋体"/>
          <w:color w:val="auto"/>
          <w:spacing w:val="4"/>
          <w:szCs w:val="21"/>
        </w:rPr>
      </w:pPr>
      <w:r>
        <w:rPr>
          <w:rFonts w:hint="eastAsia" w:ascii="宋体" w:hAnsi="宋体" w:cs="宋体"/>
          <w:b/>
          <w:color w:val="auto"/>
          <w:spacing w:val="4"/>
          <w:szCs w:val="21"/>
        </w:rPr>
        <w:t xml:space="preserve">第六条  </w:t>
      </w:r>
      <w:r>
        <w:rPr>
          <w:rFonts w:hint="eastAsia" w:ascii="宋体" w:hAnsi="宋体" w:cs="宋体"/>
          <w:color w:val="auto"/>
          <w:spacing w:val="4"/>
          <w:szCs w:val="21"/>
        </w:rPr>
        <w:t>定做货物图纸提供方法及要求：</w:t>
      </w:r>
      <w:r>
        <w:rPr>
          <w:rFonts w:hint="eastAsia" w:ascii="宋体" w:hAnsi="宋体" w:cs="宋体"/>
          <w:color w:val="auto"/>
          <w:spacing w:val="4"/>
          <w:szCs w:val="21"/>
          <w:u w:val="single"/>
        </w:rPr>
        <w:t xml:space="preserve">                              </w:t>
      </w:r>
      <w:r>
        <w:rPr>
          <w:rFonts w:hint="eastAsia" w:ascii="宋体" w:hAnsi="宋体" w:cs="宋体"/>
          <w:color w:val="auto"/>
          <w:spacing w:val="4"/>
          <w:szCs w:val="21"/>
        </w:rPr>
        <w:t>。</w:t>
      </w:r>
    </w:p>
    <w:p>
      <w:pPr>
        <w:snapToGrid w:val="0"/>
        <w:spacing w:line="320" w:lineRule="exact"/>
        <w:ind w:firstLine="543" w:firstLineChars="248"/>
        <w:rPr>
          <w:rFonts w:ascii="宋体" w:hAnsi="宋体" w:cs="宋体"/>
          <w:b/>
          <w:color w:val="auto"/>
          <w:spacing w:val="4"/>
          <w:szCs w:val="21"/>
        </w:rPr>
      </w:pPr>
      <w:r>
        <w:rPr>
          <w:rFonts w:hint="eastAsia" w:ascii="宋体" w:hAnsi="宋体" w:cs="宋体"/>
          <w:b/>
          <w:bCs/>
          <w:color w:val="auto"/>
          <w:spacing w:val="4"/>
          <w:szCs w:val="21"/>
        </w:rPr>
        <w:t xml:space="preserve">第七条  </w:t>
      </w:r>
      <w:r>
        <w:rPr>
          <w:rFonts w:hint="eastAsia" w:ascii="宋体" w:hAnsi="宋体" w:cs="宋体"/>
          <w:b/>
          <w:color w:val="auto"/>
          <w:spacing w:val="4"/>
          <w:szCs w:val="21"/>
        </w:rPr>
        <w:t>售后服务、保修期（质量保证期）</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1.乙方应按照国家有关法律法规和“三包”规定以及招标文件、投标文件和本合同所附的《服务承诺》，为甲方提供售后服务。</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2. 货物保修期：</w:t>
      </w:r>
      <w:r>
        <w:rPr>
          <w:rFonts w:hint="eastAsia" w:ascii="宋体" w:hAnsi="宋体" w:cs="宋体"/>
          <w:color w:val="auto"/>
          <w:spacing w:val="4"/>
          <w:szCs w:val="21"/>
          <w:u w:val="single"/>
        </w:rPr>
        <w:t>按乙方投标文件中所承诺的期限</w:t>
      </w:r>
      <w:r>
        <w:rPr>
          <w:rFonts w:hint="eastAsia" w:ascii="宋体" w:hAnsi="宋体" w:cs="宋体"/>
          <w:color w:val="auto"/>
          <w:spacing w:val="4"/>
          <w:szCs w:val="21"/>
        </w:rPr>
        <w:t>。</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3.乙方提供的服务承诺和售后服务及保修期责任等其它具体约定事项。（见合同附件）</w:t>
      </w:r>
    </w:p>
    <w:p>
      <w:pPr>
        <w:snapToGrid w:val="0"/>
        <w:spacing w:line="320" w:lineRule="exact"/>
        <w:ind w:firstLine="503" w:firstLineChars="230"/>
        <w:rPr>
          <w:rFonts w:ascii="宋体" w:hAnsi="宋体" w:cs="宋体"/>
          <w:color w:val="auto"/>
          <w:spacing w:val="4"/>
          <w:szCs w:val="21"/>
        </w:rPr>
      </w:pPr>
      <w:r>
        <w:rPr>
          <w:rFonts w:hint="eastAsia" w:ascii="宋体" w:hAnsi="宋体" w:cs="宋体"/>
          <w:b/>
          <w:bCs/>
          <w:color w:val="auto"/>
          <w:spacing w:val="4"/>
          <w:szCs w:val="21"/>
        </w:rPr>
        <w:t xml:space="preserve">第八条  </w:t>
      </w:r>
      <w:r>
        <w:rPr>
          <w:rFonts w:hint="eastAsia" w:ascii="宋体" w:hAnsi="宋体" w:cs="宋体"/>
          <w:b/>
          <w:color w:val="auto"/>
          <w:spacing w:val="4"/>
          <w:szCs w:val="21"/>
        </w:rPr>
        <w:t>付款方式</w:t>
      </w:r>
    </w:p>
    <w:p>
      <w:pPr>
        <w:snapToGrid w:val="0"/>
        <w:spacing w:line="320" w:lineRule="exact"/>
        <w:ind w:firstLine="436" w:firstLineChars="200"/>
        <w:rPr>
          <w:rFonts w:ascii="宋体" w:hAnsi="宋体" w:cs="宋体"/>
          <w:color w:val="auto"/>
          <w:spacing w:val="4"/>
          <w:szCs w:val="21"/>
          <w:u w:val="single"/>
        </w:rPr>
      </w:pPr>
      <w:r>
        <w:rPr>
          <w:rFonts w:hint="eastAsia" w:ascii="宋体" w:hAnsi="宋体" w:cs="宋体"/>
          <w:color w:val="auto"/>
          <w:spacing w:val="4"/>
          <w:szCs w:val="21"/>
        </w:rPr>
        <w:t>1.资金性质：政府补贴和甲方自筹。</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2.付款方式：合同签订后15个工作日内，甲方支付合同价款30%，所采购设备全部运输到现场，经初步验收后支付至合同价款的50%，安装调试完成支付至合同价款的70%，验收合格支付至合同价款的95%，余款作为质保金，在质保期满后，根据质保履行情况支付，每次支付时间期限为15个工作日。</w:t>
      </w:r>
    </w:p>
    <w:p>
      <w:pPr>
        <w:snapToGrid w:val="0"/>
        <w:spacing w:line="320" w:lineRule="exact"/>
        <w:ind w:firstLine="438" w:firstLineChars="200"/>
        <w:rPr>
          <w:rFonts w:ascii="宋体" w:hAnsi="宋体" w:cs="宋体"/>
          <w:b/>
          <w:color w:val="auto"/>
          <w:spacing w:val="4"/>
          <w:szCs w:val="21"/>
        </w:rPr>
      </w:pPr>
      <w:r>
        <w:rPr>
          <w:rFonts w:hint="eastAsia" w:ascii="宋体" w:hAnsi="宋体" w:cs="宋体"/>
          <w:b/>
          <w:color w:val="auto"/>
          <w:spacing w:val="4"/>
          <w:szCs w:val="21"/>
        </w:rPr>
        <w:t>第九条  合同的变更、终止与转让</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1.除《中华人民共和国政府采购法》第五十条规定的情形外，本合同一经签订，甲乙双方不得擅自变更、中止或终止。</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2.乙方不得擅自转让其应履行的合同义务。</w:t>
      </w:r>
    </w:p>
    <w:p>
      <w:pPr>
        <w:snapToGrid w:val="0"/>
        <w:spacing w:line="320" w:lineRule="exact"/>
        <w:ind w:firstLine="438" w:firstLineChars="200"/>
        <w:rPr>
          <w:rFonts w:ascii="宋体" w:hAnsi="宋体" w:cs="宋体"/>
          <w:b/>
          <w:color w:val="auto"/>
          <w:spacing w:val="4"/>
          <w:szCs w:val="21"/>
        </w:rPr>
      </w:pPr>
      <w:r>
        <w:rPr>
          <w:rFonts w:hint="eastAsia" w:ascii="宋体" w:hAnsi="宋体" w:cs="宋体"/>
          <w:b/>
          <w:color w:val="auto"/>
          <w:spacing w:val="4"/>
          <w:szCs w:val="21"/>
        </w:rPr>
        <w:t>第十条  违约责任</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1.乙方所提供的货物规格、技术标准、材料等质量不合格的，应及时更换，更换不及时的按逾期交货处罚；因质量问题甲方不同意接收的或特殊情况甲方同意接收的，乙方应向甲方支付违约货款额</w:t>
      </w:r>
      <w:r>
        <w:rPr>
          <w:rFonts w:hint="eastAsia" w:ascii="宋体" w:hAnsi="宋体" w:cs="宋体"/>
          <w:color w:val="auto"/>
          <w:spacing w:val="4"/>
          <w:szCs w:val="21"/>
          <w:u w:val="single"/>
        </w:rPr>
        <w:t xml:space="preserve"> 5% </w:t>
      </w:r>
      <w:r>
        <w:rPr>
          <w:rFonts w:hint="eastAsia" w:ascii="宋体" w:hAnsi="宋体" w:cs="宋体"/>
          <w:color w:val="auto"/>
          <w:spacing w:val="4"/>
          <w:szCs w:val="21"/>
        </w:rPr>
        <w:t>违约金并赔偿甲方经济损失。</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2.乙方提供的货物如侵犯第三方合法权益而引发的任何纠纷或诉讼，均由乙方负责交涉并承担全部责任。</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3.因包装、运输引起的货物损坏，按质量不合格处罚。</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4.甲方无故延期接收货物、乙方逾期交货的，每天向对方偿付违约货款额3‰违约金，但违约金累计不得超过违约货款额</w:t>
      </w:r>
      <w:r>
        <w:rPr>
          <w:rFonts w:hint="eastAsia" w:ascii="宋体" w:hAnsi="宋体" w:cs="宋体"/>
          <w:color w:val="auto"/>
          <w:spacing w:val="4"/>
          <w:szCs w:val="21"/>
          <w:u w:val="single"/>
        </w:rPr>
        <w:t xml:space="preserve">5% </w:t>
      </w:r>
      <w:r>
        <w:rPr>
          <w:rFonts w:hint="eastAsia" w:ascii="宋体" w:hAnsi="宋体" w:cs="宋体"/>
          <w:color w:val="auto"/>
          <w:spacing w:val="4"/>
          <w:szCs w:val="21"/>
        </w:rPr>
        <w:t>，超过</w:t>
      </w:r>
      <w:r>
        <w:rPr>
          <w:rFonts w:hint="eastAsia" w:ascii="宋体" w:hAnsi="宋体" w:cs="宋体"/>
          <w:color w:val="auto"/>
          <w:spacing w:val="4"/>
          <w:szCs w:val="21"/>
          <w:u w:val="single"/>
        </w:rPr>
        <w:t>15</w:t>
      </w:r>
      <w:r>
        <w:rPr>
          <w:rFonts w:hint="eastAsia" w:ascii="宋体" w:hAnsi="宋体" w:cs="宋体"/>
          <w:color w:val="auto"/>
          <w:spacing w:val="4"/>
          <w:szCs w:val="21"/>
        </w:rPr>
        <w:t>天对方有权解除合同，违约方承担因此给对方造成经济损失；在财政资金拨付到位前提下，甲方延期付货款的，每天向乙方偿付延期货款额3‰滞纳金，但滞纳金累计不得超过延期货款额</w:t>
      </w:r>
      <w:r>
        <w:rPr>
          <w:rFonts w:hint="eastAsia" w:ascii="宋体" w:hAnsi="宋体" w:cs="宋体"/>
          <w:color w:val="auto"/>
          <w:spacing w:val="4"/>
          <w:szCs w:val="21"/>
          <w:u w:val="single"/>
        </w:rPr>
        <w:t xml:space="preserve">5% </w:t>
      </w:r>
      <w:r>
        <w:rPr>
          <w:rFonts w:hint="eastAsia" w:ascii="宋体" w:hAnsi="宋体" w:cs="宋体"/>
          <w:color w:val="auto"/>
          <w:spacing w:val="4"/>
          <w:szCs w:val="21"/>
        </w:rPr>
        <w:t>。</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5.乙方未按本合同和投标文件中规定的服务承诺提供售后服务的，乙方应按本合同合计金额</w:t>
      </w:r>
      <w:r>
        <w:rPr>
          <w:rFonts w:hint="eastAsia" w:ascii="宋体" w:hAnsi="宋体" w:cs="宋体"/>
          <w:color w:val="auto"/>
          <w:spacing w:val="4"/>
          <w:szCs w:val="21"/>
          <w:u w:val="single"/>
        </w:rPr>
        <w:t xml:space="preserve"> 5% </w:t>
      </w:r>
      <w:r>
        <w:rPr>
          <w:rFonts w:hint="eastAsia" w:ascii="宋体" w:hAnsi="宋体" w:cs="宋体"/>
          <w:color w:val="auto"/>
          <w:spacing w:val="4"/>
          <w:szCs w:val="21"/>
        </w:rPr>
        <w:t>向甲方支付违约金。</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6.乙方提供的货物在质量保证期内，因设计、工艺或材料的缺陷和其它质量原因造成的问题，由乙方负责，费用从质量保证金中扣除，</w:t>
      </w:r>
      <w:r>
        <w:rPr>
          <w:rFonts w:hint="eastAsia" w:ascii="宋体" w:hAnsi="宋体" w:cs="宋体"/>
          <w:color w:val="auto"/>
          <w:szCs w:val="21"/>
        </w:rPr>
        <w:t>不足部分需补交</w:t>
      </w:r>
      <w:r>
        <w:rPr>
          <w:rFonts w:hint="eastAsia" w:ascii="宋体" w:hAnsi="宋体" w:cs="宋体"/>
          <w:color w:val="auto"/>
          <w:spacing w:val="4"/>
          <w:szCs w:val="21"/>
        </w:rPr>
        <w:t>。</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7.其它违约行为按违约货款额</w:t>
      </w:r>
      <w:r>
        <w:rPr>
          <w:rFonts w:hint="eastAsia" w:ascii="宋体" w:hAnsi="宋体" w:cs="宋体"/>
          <w:color w:val="auto"/>
          <w:spacing w:val="4"/>
          <w:szCs w:val="21"/>
          <w:u w:val="single"/>
        </w:rPr>
        <w:t xml:space="preserve">5% </w:t>
      </w:r>
      <w:r>
        <w:rPr>
          <w:rFonts w:hint="eastAsia" w:ascii="宋体" w:hAnsi="宋体" w:cs="宋体"/>
          <w:color w:val="auto"/>
          <w:spacing w:val="4"/>
          <w:szCs w:val="21"/>
        </w:rPr>
        <w:t>收取违约金并赔偿经济损失。</w:t>
      </w:r>
    </w:p>
    <w:p>
      <w:pPr>
        <w:snapToGrid w:val="0"/>
        <w:spacing w:line="320" w:lineRule="exact"/>
        <w:ind w:firstLine="438" w:firstLineChars="200"/>
        <w:rPr>
          <w:rFonts w:ascii="宋体" w:hAnsi="宋体" w:cs="宋体"/>
          <w:color w:val="auto"/>
          <w:spacing w:val="4"/>
          <w:szCs w:val="21"/>
        </w:rPr>
      </w:pPr>
      <w:r>
        <w:rPr>
          <w:rFonts w:hint="eastAsia" w:ascii="宋体" w:hAnsi="宋体" w:cs="宋体"/>
          <w:b/>
          <w:color w:val="auto"/>
          <w:spacing w:val="4"/>
          <w:szCs w:val="21"/>
        </w:rPr>
        <w:t>第十一条  解决合同争议</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1.因货物质量问题发生争议的，应邀请国家认可的质量检测机构对货物质量进行鉴定。货物符合标准的，鉴定费由甲方承担；货物不符合标准的，鉴定费由乙方承担。</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2.因履行本合同引起的或与本合同有关的争议，甲乙双方应首先通过友好协商解决，如果协商不能解决，可向</w:t>
      </w:r>
      <w:r>
        <w:rPr>
          <w:rFonts w:hint="eastAsia" w:ascii="宋体" w:hAnsi="宋体" w:cs="宋体"/>
          <w:color w:val="auto"/>
          <w:spacing w:val="4"/>
          <w:szCs w:val="21"/>
        </w:rPr>
        <w:t>防城港</w:t>
      </w:r>
      <w:r>
        <w:rPr>
          <w:rFonts w:hint="eastAsia" w:ascii="宋体" w:hAnsi="宋体" w:cs="宋体"/>
          <w:color w:val="auto"/>
          <w:spacing w:val="4"/>
          <w:szCs w:val="21"/>
        </w:rPr>
        <w:t>仲裁委员会申请仲裁或向人民法院提起诉讼。</w:t>
      </w:r>
    </w:p>
    <w:p>
      <w:pPr>
        <w:snapToGrid w:val="0"/>
        <w:spacing w:line="320" w:lineRule="exact"/>
        <w:ind w:firstLine="438" w:firstLineChars="200"/>
        <w:rPr>
          <w:rFonts w:ascii="宋体" w:hAnsi="宋体" w:cs="宋体"/>
          <w:b/>
          <w:color w:val="auto"/>
          <w:spacing w:val="4"/>
          <w:szCs w:val="21"/>
        </w:rPr>
      </w:pPr>
      <w:r>
        <w:rPr>
          <w:rFonts w:hint="eastAsia" w:ascii="宋体" w:hAnsi="宋体" w:cs="宋体"/>
          <w:b/>
          <w:color w:val="auto"/>
          <w:spacing w:val="4"/>
          <w:szCs w:val="21"/>
        </w:rPr>
        <w:t>第十二条  签订本合同依据</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1.政府采购招标文件；</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2.乙方提供的投标文件；</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3.服务承诺书；</w:t>
      </w:r>
    </w:p>
    <w:p>
      <w:pPr>
        <w:snapToGrid w:val="0"/>
        <w:spacing w:line="320" w:lineRule="exact"/>
        <w:ind w:firstLine="436" w:firstLineChars="200"/>
        <w:rPr>
          <w:rFonts w:ascii="宋体" w:hAnsi="宋体" w:cs="宋体"/>
          <w:color w:val="auto"/>
          <w:spacing w:val="4"/>
          <w:szCs w:val="21"/>
          <w:u w:val="single"/>
        </w:rPr>
      </w:pPr>
      <w:r>
        <w:rPr>
          <w:rFonts w:hint="eastAsia" w:ascii="宋体" w:hAnsi="宋体" w:cs="宋体"/>
          <w:color w:val="auto"/>
          <w:spacing w:val="4"/>
          <w:szCs w:val="21"/>
        </w:rPr>
        <w:t>4.中标通知书。</w:t>
      </w:r>
    </w:p>
    <w:p>
      <w:pPr>
        <w:snapToGrid w:val="0"/>
        <w:spacing w:line="320" w:lineRule="exact"/>
        <w:ind w:firstLine="438" w:firstLineChars="200"/>
        <w:rPr>
          <w:rFonts w:ascii="宋体" w:hAnsi="宋体" w:cs="宋体"/>
          <w:color w:val="auto"/>
          <w:spacing w:val="4"/>
          <w:szCs w:val="21"/>
        </w:rPr>
      </w:pPr>
      <w:r>
        <w:rPr>
          <w:rFonts w:hint="eastAsia" w:ascii="宋体" w:hAnsi="宋体" w:cs="宋体"/>
          <w:b/>
          <w:color w:val="auto"/>
          <w:spacing w:val="4"/>
          <w:szCs w:val="21"/>
        </w:rPr>
        <w:t xml:space="preserve">第十三条  </w:t>
      </w:r>
      <w:r>
        <w:rPr>
          <w:rFonts w:hint="eastAsia" w:ascii="宋体" w:hAnsi="宋体" w:cs="宋体"/>
          <w:color w:val="auto"/>
          <w:spacing w:val="4"/>
          <w:szCs w:val="21"/>
        </w:rPr>
        <w:t>本合同一式四份，财政部门（政府采购监管部门）、采购代理机构各一份，甲乙双方各一份。（可根据需要另增加）</w:t>
      </w:r>
    </w:p>
    <w:p>
      <w:pPr>
        <w:snapToGrid w:val="0"/>
        <w:spacing w:line="320" w:lineRule="exact"/>
        <w:ind w:firstLine="436" w:firstLineChars="200"/>
        <w:rPr>
          <w:rFonts w:ascii="宋体" w:hAnsi="宋体" w:cs="宋体"/>
          <w:color w:val="auto"/>
          <w:spacing w:val="4"/>
          <w:szCs w:val="21"/>
        </w:rPr>
      </w:pPr>
      <w:r>
        <w:rPr>
          <w:rFonts w:hint="eastAsia" w:ascii="宋体" w:hAnsi="宋体" w:cs="宋体"/>
          <w:color w:val="auto"/>
          <w:spacing w:val="4"/>
          <w:szCs w:val="21"/>
        </w:rPr>
        <w:t>本合同甲乙双方签字盖章后生效，自签订之日起七个工作日内，采购人或采购代理机构应当将本合同副本报同级财政部门备案。</w:t>
      </w:r>
    </w:p>
    <w:tbl>
      <w:tblPr>
        <w:tblStyle w:val="40"/>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9"/>
        <w:gridCol w:w="4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 xml:space="preserve">甲方（章）        </w:t>
            </w:r>
          </w:p>
          <w:p>
            <w:pPr>
              <w:snapToGrid w:val="0"/>
              <w:spacing w:line="320" w:lineRule="exact"/>
              <w:ind w:firstLine="630" w:firstLineChars="300"/>
              <w:jc w:val="right"/>
              <w:rPr>
                <w:rFonts w:ascii="宋体" w:hAnsi="宋体" w:cs="宋体"/>
                <w:color w:val="auto"/>
                <w:szCs w:val="21"/>
              </w:rPr>
            </w:pPr>
            <w:r>
              <w:rPr>
                <w:rFonts w:hint="eastAsia" w:ascii="宋体" w:hAnsi="宋体" w:cs="宋体"/>
                <w:color w:val="auto"/>
                <w:szCs w:val="21"/>
              </w:rPr>
              <w:t xml:space="preserve"> 年   月   日</w:t>
            </w:r>
          </w:p>
        </w:tc>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乙方（章）</w:t>
            </w:r>
          </w:p>
          <w:p>
            <w:pPr>
              <w:snapToGrid w:val="0"/>
              <w:spacing w:line="320" w:lineRule="exact"/>
              <w:rPr>
                <w:rFonts w:ascii="宋体" w:hAnsi="宋体" w:cs="宋体"/>
                <w:color w:val="auto"/>
                <w:szCs w:val="21"/>
              </w:rPr>
            </w:pPr>
            <w:r>
              <w:rPr>
                <w:rFonts w:hint="eastAsia" w:ascii="宋体" w:hAnsi="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单位地址：</w:t>
            </w:r>
          </w:p>
        </w:tc>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法定代表人：</w:t>
            </w:r>
          </w:p>
        </w:tc>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委托代理人：</w:t>
            </w:r>
          </w:p>
        </w:tc>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电话：</w:t>
            </w:r>
          </w:p>
        </w:tc>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电子邮箱：</w:t>
            </w:r>
          </w:p>
        </w:tc>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开户银行：</w:t>
            </w:r>
          </w:p>
        </w:tc>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账号：</w:t>
            </w:r>
          </w:p>
        </w:tc>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邮政编码：</w:t>
            </w:r>
          </w:p>
        </w:tc>
        <w:tc>
          <w:tcPr>
            <w:tcW w:w="4569" w:type="dxa"/>
            <w:vAlign w:val="center"/>
          </w:tcPr>
          <w:p>
            <w:pPr>
              <w:snapToGrid w:val="0"/>
              <w:spacing w:line="320" w:lineRule="exact"/>
              <w:rPr>
                <w:rFonts w:ascii="宋体" w:hAnsi="宋体" w:cs="宋体"/>
                <w:color w:val="auto"/>
                <w:szCs w:val="21"/>
              </w:rPr>
            </w:pPr>
            <w:r>
              <w:rPr>
                <w:rFonts w:hint="eastAsia" w:ascii="宋体" w:hAnsi="宋体" w:cs="宋体"/>
                <w:color w:val="auto"/>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trPr>
        <w:tc>
          <w:tcPr>
            <w:tcW w:w="9138" w:type="dxa"/>
            <w:gridSpan w:val="2"/>
          </w:tcPr>
          <w:p>
            <w:pPr>
              <w:snapToGrid w:val="0"/>
              <w:spacing w:line="320" w:lineRule="exact"/>
              <w:rPr>
                <w:rFonts w:ascii="宋体" w:hAnsi="宋体" w:cs="宋体"/>
                <w:color w:val="auto"/>
                <w:szCs w:val="21"/>
              </w:rPr>
            </w:pPr>
          </w:p>
          <w:p>
            <w:pPr>
              <w:snapToGrid w:val="0"/>
              <w:spacing w:line="320" w:lineRule="exact"/>
              <w:rPr>
                <w:rFonts w:ascii="宋体" w:hAnsi="宋体" w:cs="宋体"/>
                <w:color w:val="auto"/>
                <w:szCs w:val="21"/>
              </w:rPr>
            </w:pPr>
            <w:r>
              <w:rPr>
                <w:rFonts w:hint="eastAsia" w:ascii="宋体" w:hAnsi="宋体" w:cs="宋体"/>
                <w:color w:val="auto"/>
                <w:szCs w:val="21"/>
              </w:rPr>
              <w:t>经办人：</w:t>
            </w:r>
          </w:p>
          <w:p>
            <w:pPr>
              <w:snapToGrid w:val="0"/>
              <w:spacing w:line="320" w:lineRule="exact"/>
              <w:rPr>
                <w:rFonts w:ascii="宋体" w:hAnsi="宋体" w:cs="宋体"/>
                <w:color w:val="auto"/>
                <w:szCs w:val="21"/>
              </w:rPr>
            </w:pPr>
            <w:r>
              <w:rPr>
                <w:rFonts w:hint="eastAsia" w:ascii="宋体" w:hAnsi="宋体" w:cs="宋体"/>
                <w:color w:val="auto"/>
                <w:szCs w:val="21"/>
              </w:rPr>
              <w:t xml:space="preserve">                     </w:t>
            </w:r>
          </w:p>
          <w:p>
            <w:pPr>
              <w:snapToGrid w:val="0"/>
              <w:spacing w:line="320" w:lineRule="exact"/>
              <w:ind w:firstLine="840" w:firstLineChars="400"/>
              <w:jc w:val="right"/>
              <w:rPr>
                <w:rFonts w:ascii="宋体" w:hAnsi="宋体" w:cs="宋体"/>
                <w:color w:val="auto"/>
                <w:szCs w:val="21"/>
              </w:rPr>
            </w:pPr>
            <w:r>
              <w:rPr>
                <w:rFonts w:hint="eastAsia" w:ascii="宋体" w:hAnsi="宋体" w:cs="宋体"/>
                <w:color w:val="auto"/>
                <w:szCs w:val="21"/>
              </w:rPr>
              <w:t xml:space="preserve">年    月    日 </w:t>
            </w:r>
          </w:p>
        </w:tc>
      </w:tr>
    </w:tbl>
    <w:p>
      <w:pPr>
        <w:pStyle w:val="55"/>
        <w:rPr>
          <w:rFonts w:ascii="宋体" w:cs="宋体"/>
          <w:b/>
          <w:color w:val="auto"/>
          <w:sz w:val="28"/>
          <w:szCs w:val="28"/>
        </w:rPr>
      </w:pPr>
    </w:p>
    <w:p>
      <w:pPr>
        <w:snapToGrid w:val="0"/>
        <w:jc w:val="center"/>
        <w:rPr>
          <w:rFonts w:ascii="宋体" w:cs="宋体"/>
          <w:b/>
          <w:color w:val="auto"/>
          <w:sz w:val="28"/>
          <w:szCs w:val="28"/>
        </w:rPr>
      </w:pPr>
    </w:p>
    <w:p>
      <w:pPr>
        <w:snapToGrid w:val="0"/>
        <w:jc w:val="center"/>
        <w:rPr>
          <w:rFonts w:ascii="宋体" w:hAnsi="宋体" w:cs="宋体"/>
          <w:b/>
          <w:color w:val="auto"/>
          <w:sz w:val="28"/>
          <w:szCs w:val="28"/>
        </w:rPr>
      </w:pPr>
    </w:p>
    <w:p>
      <w:pPr>
        <w:snapToGrid w:val="0"/>
        <w:jc w:val="center"/>
        <w:rPr>
          <w:rFonts w:ascii="宋体" w:cs="宋体"/>
          <w:b/>
          <w:color w:val="auto"/>
          <w:sz w:val="28"/>
          <w:szCs w:val="28"/>
        </w:rPr>
      </w:pPr>
      <w:r>
        <w:rPr>
          <w:rFonts w:hint="eastAsia" w:ascii="宋体" w:hAnsi="宋体" w:cs="宋体"/>
          <w:b/>
          <w:color w:val="auto"/>
          <w:sz w:val="28"/>
          <w:szCs w:val="28"/>
        </w:rPr>
        <w:t>合</w:t>
      </w:r>
      <w:r>
        <w:rPr>
          <w:rFonts w:ascii="宋体" w:hAnsi="宋体" w:cs="宋体"/>
          <w:b/>
          <w:color w:val="auto"/>
          <w:sz w:val="28"/>
          <w:szCs w:val="28"/>
        </w:rPr>
        <w:t xml:space="preserve"> </w:t>
      </w:r>
      <w:r>
        <w:rPr>
          <w:rFonts w:hint="eastAsia" w:ascii="宋体" w:hAnsi="宋体" w:cs="宋体"/>
          <w:b/>
          <w:color w:val="auto"/>
          <w:sz w:val="28"/>
          <w:szCs w:val="28"/>
        </w:rPr>
        <w:t>同</w:t>
      </w:r>
      <w:r>
        <w:rPr>
          <w:rFonts w:ascii="宋体" w:hAnsi="宋体" w:cs="宋体"/>
          <w:b/>
          <w:color w:val="auto"/>
          <w:sz w:val="28"/>
          <w:szCs w:val="28"/>
        </w:rPr>
        <w:t xml:space="preserve"> </w:t>
      </w:r>
      <w:r>
        <w:rPr>
          <w:rFonts w:hint="eastAsia" w:ascii="宋体" w:hAnsi="宋体" w:cs="宋体"/>
          <w:b/>
          <w:color w:val="auto"/>
          <w:sz w:val="28"/>
          <w:szCs w:val="28"/>
        </w:rPr>
        <w:t>附</w:t>
      </w:r>
      <w:r>
        <w:rPr>
          <w:rFonts w:ascii="宋体" w:hAnsi="宋体" w:cs="宋体"/>
          <w:b/>
          <w:color w:val="auto"/>
          <w:sz w:val="28"/>
          <w:szCs w:val="28"/>
        </w:rPr>
        <w:t xml:space="preserve"> </w:t>
      </w:r>
      <w:r>
        <w:rPr>
          <w:rFonts w:hint="eastAsia" w:ascii="宋体" w:hAnsi="宋体" w:cs="宋体"/>
          <w:b/>
          <w:color w:val="auto"/>
          <w:sz w:val="28"/>
          <w:szCs w:val="28"/>
        </w:rPr>
        <w:t>件</w:t>
      </w:r>
    </w:p>
    <w:tbl>
      <w:tblPr>
        <w:tblStyle w:val="40"/>
        <w:tblW w:w="8522" w:type="dxa"/>
        <w:jc w:val="center"/>
        <w:tblLayout w:type="fixed"/>
        <w:tblCellMar>
          <w:top w:w="0" w:type="dxa"/>
          <w:left w:w="108" w:type="dxa"/>
          <w:bottom w:w="0" w:type="dxa"/>
          <w:right w:w="108" w:type="dxa"/>
        </w:tblCellMar>
      </w:tblPr>
      <w:tblGrid>
        <w:gridCol w:w="4248"/>
        <w:gridCol w:w="4274"/>
      </w:tblGrid>
      <w:tr>
        <w:tblPrEx>
          <w:tblCellMar>
            <w:top w:w="0" w:type="dxa"/>
            <w:left w:w="108" w:type="dxa"/>
            <w:bottom w:w="0" w:type="dxa"/>
            <w:right w:w="108" w:type="dxa"/>
          </w:tblCellMar>
        </w:tblPrEx>
        <w:trPr>
          <w:trHeight w:val="454" w:hRule="exact"/>
          <w:jc w:val="center"/>
        </w:trPr>
        <w:tc>
          <w:tcPr>
            <w:tcW w:w="8522" w:type="dxa"/>
            <w:gridSpan w:val="2"/>
            <w:tcBorders>
              <w:top w:val="single" w:color="auto" w:sz="4" w:space="0"/>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ascii="宋体" w:hAnsi="宋体" w:cs="宋体"/>
                <w:b/>
                <w:color w:val="auto"/>
                <w:sz w:val="24"/>
              </w:rPr>
              <w:t>1</w:t>
            </w:r>
            <w:r>
              <w:rPr>
                <w:rFonts w:hint="eastAsia" w:ascii="宋体" w:hAnsi="宋体" w:cs="宋体"/>
                <w:b/>
                <w:color w:val="auto"/>
                <w:sz w:val="24"/>
              </w:rPr>
              <w:t>．供应商承诺具体事项：</w:t>
            </w: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top w:val="single" w:color="auto" w:sz="4" w:space="0"/>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ascii="宋体" w:hAnsi="宋体" w:cs="宋体"/>
                <w:b/>
                <w:color w:val="auto"/>
                <w:sz w:val="24"/>
              </w:rPr>
              <w:t>2</w:t>
            </w:r>
            <w:r>
              <w:rPr>
                <w:rFonts w:hint="eastAsia" w:ascii="宋体" w:hAnsi="宋体" w:cs="宋体"/>
                <w:b/>
                <w:color w:val="auto"/>
                <w:sz w:val="24"/>
              </w:rPr>
              <w:t>．售后服务具体事项：</w:t>
            </w: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top w:val="single" w:color="auto" w:sz="4" w:space="0"/>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ascii="宋体" w:hAnsi="宋体" w:cs="宋体"/>
                <w:b/>
                <w:color w:val="auto"/>
                <w:sz w:val="24"/>
              </w:rPr>
              <w:t>3</w:t>
            </w:r>
            <w:r>
              <w:rPr>
                <w:rFonts w:hint="eastAsia" w:ascii="宋体" w:hAnsi="宋体" w:cs="宋体"/>
                <w:b/>
                <w:color w:val="auto"/>
                <w:sz w:val="24"/>
              </w:rPr>
              <w:t>．保修期责任：</w:t>
            </w: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454" w:hRule="exact"/>
          <w:jc w:val="center"/>
        </w:trPr>
        <w:tc>
          <w:tcPr>
            <w:tcW w:w="8522" w:type="dxa"/>
            <w:gridSpan w:val="2"/>
            <w:tcBorders>
              <w:top w:val="single" w:color="auto" w:sz="4" w:space="0"/>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ascii="宋体" w:hAnsi="宋体" w:cs="宋体"/>
                <w:b/>
                <w:color w:val="auto"/>
                <w:sz w:val="24"/>
              </w:rPr>
              <w:t>4</w:t>
            </w:r>
            <w:r>
              <w:rPr>
                <w:rFonts w:hint="eastAsia" w:ascii="宋体" w:hAnsi="宋体" w:cs="宋体"/>
                <w:b/>
                <w:color w:val="auto"/>
                <w:sz w:val="24"/>
              </w:rPr>
              <w:t>．其他具体事项：</w:t>
            </w:r>
          </w:p>
        </w:tc>
      </w:tr>
      <w:tr>
        <w:tblPrEx>
          <w:tblCellMar>
            <w:top w:w="0" w:type="dxa"/>
            <w:left w:w="108" w:type="dxa"/>
            <w:bottom w:w="0" w:type="dxa"/>
            <w:right w:w="108" w:type="dxa"/>
          </w:tblCellMar>
        </w:tblPrEx>
        <w:trPr>
          <w:trHeight w:val="454" w:hRule="exact"/>
          <w:jc w:val="center"/>
        </w:trPr>
        <w:tc>
          <w:tcPr>
            <w:tcW w:w="8522" w:type="dxa"/>
            <w:gridSpan w:val="2"/>
            <w:tcBorders>
              <w:left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p>
        </w:tc>
      </w:tr>
      <w:tr>
        <w:tblPrEx>
          <w:tblCellMar>
            <w:top w:w="0" w:type="dxa"/>
            <w:left w:w="108" w:type="dxa"/>
            <w:bottom w:w="0" w:type="dxa"/>
            <w:right w:w="108" w:type="dxa"/>
          </w:tblCellMar>
        </w:tblPrEx>
        <w:trPr>
          <w:trHeight w:val="1992" w:hRule="atLeast"/>
          <w:jc w:val="center"/>
        </w:trPr>
        <w:tc>
          <w:tcPr>
            <w:tcW w:w="42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hint="eastAsia" w:ascii="宋体" w:hAnsi="宋体" w:cs="宋体"/>
                <w:b/>
                <w:color w:val="auto"/>
                <w:sz w:val="24"/>
              </w:rPr>
              <w:t>甲方（章）</w:t>
            </w:r>
          </w:p>
          <w:p>
            <w:pPr>
              <w:snapToGrid w:val="0"/>
              <w:spacing w:line="400" w:lineRule="exact"/>
              <w:rPr>
                <w:rFonts w:ascii="宋体" w:cs="宋体"/>
                <w:b/>
                <w:color w:val="auto"/>
                <w:sz w:val="24"/>
              </w:rPr>
            </w:pPr>
          </w:p>
          <w:p>
            <w:pPr>
              <w:snapToGrid w:val="0"/>
              <w:spacing w:line="400" w:lineRule="exact"/>
              <w:ind w:firstLine="482" w:firstLineChars="200"/>
              <w:jc w:val="right"/>
              <w:rPr>
                <w:rFonts w:ascii="宋体" w:cs="宋体"/>
                <w:b/>
                <w:color w:val="auto"/>
                <w:sz w:val="24"/>
              </w:rPr>
            </w:pPr>
            <w:r>
              <w:rPr>
                <w:rFonts w:ascii="宋体" w:hAnsi="宋体" w:cs="宋体"/>
                <w:b/>
                <w:color w:val="auto"/>
                <w:sz w:val="24"/>
              </w:rPr>
              <w:t xml:space="preserve">               </w:t>
            </w:r>
            <w:r>
              <w:rPr>
                <w:rFonts w:hint="eastAsia" w:ascii="宋体" w:hAnsi="宋体" w:cs="宋体"/>
                <w:b/>
                <w:color w:val="auto"/>
                <w:sz w:val="24"/>
              </w:rPr>
              <w:t>年</w:t>
            </w:r>
            <w:r>
              <w:rPr>
                <w:rFonts w:ascii="宋体" w:hAnsi="宋体" w:cs="宋体"/>
                <w:b/>
                <w:color w:val="auto"/>
                <w:sz w:val="24"/>
              </w:rPr>
              <w:t xml:space="preserve">   </w:t>
            </w:r>
            <w:r>
              <w:rPr>
                <w:rFonts w:hint="eastAsia" w:ascii="宋体" w:hAnsi="宋体" w:cs="宋体"/>
                <w:b/>
                <w:color w:val="auto"/>
                <w:sz w:val="24"/>
              </w:rPr>
              <w:t>月</w:t>
            </w:r>
            <w:r>
              <w:rPr>
                <w:rFonts w:ascii="宋体" w:hAnsi="宋体" w:cs="宋体"/>
                <w:b/>
                <w:color w:val="auto"/>
                <w:sz w:val="24"/>
              </w:rPr>
              <w:t xml:space="preserve">   </w:t>
            </w:r>
            <w:r>
              <w:rPr>
                <w:rFonts w:hint="eastAsia" w:ascii="宋体" w:hAnsi="宋体" w:cs="宋体"/>
                <w:b/>
                <w:color w:val="auto"/>
                <w:sz w:val="24"/>
              </w:rPr>
              <w:t>日</w:t>
            </w:r>
            <w:r>
              <w:rPr>
                <w:rFonts w:ascii="宋体" w:hAnsi="宋体" w:cs="宋体"/>
                <w:b/>
                <w:color w:val="auto"/>
                <w:sz w:val="24"/>
              </w:rPr>
              <w:t xml:space="preserve"> </w:t>
            </w:r>
          </w:p>
        </w:tc>
        <w:tc>
          <w:tcPr>
            <w:tcW w:w="427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cs="宋体"/>
                <w:b/>
                <w:color w:val="auto"/>
                <w:sz w:val="24"/>
              </w:rPr>
            </w:pPr>
            <w:r>
              <w:rPr>
                <w:rFonts w:hint="eastAsia" w:ascii="宋体" w:hAnsi="宋体" w:cs="宋体"/>
                <w:b/>
                <w:color w:val="auto"/>
                <w:sz w:val="24"/>
              </w:rPr>
              <w:t>乙方（章）</w:t>
            </w:r>
          </w:p>
          <w:p>
            <w:pPr>
              <w:snapToGrid w:val="0"/>
              <w:spacing w:line="400" w:lineRule="exact"/>
              <w:rPr>
                <w:rFonts w:ascii="宋体" w:cs="宋体"/>
                <w:b/>
                <w:color w:val="auto"/>
                <w:sz w:val="24"/>
              </w:rPr>
            </w:pPr>
          </w:p>
          <w:p>
            <w:pPr>
              <w:snapToGrid w:val="0"/>
              <w:spacing w:line="400" w:lineRule="exact"/>
              <w:rPr>
                <w:rFonts w:ascii="宋体" w:cs="宋体"/>
                <w:b/>
                <w:color w:val="auto"/>
                <w:sz w:val="24"/>
              </w:rPr>
            </w:pPr>
          </w:p>
          <w:p>
            <w:pPr>
              <w:snapToGrid w:val="0"/>
              <w:spacing w:line="400" w:lineRule="exact"/>
              <w:ind w:firstLine="482" w:firstLineChars="200"/>
              <w:jc w:val="right"/>
              <w:rPr>
                <w:rFonts w:ascii="宋体" w:cs="宋体"/>
                <w:b/>
                <w:color w:val="auto"/>
                <w:sz w:val="24"/>
              </w:rPr>
            </w:pPr>
            <w:r>
              <w:rPr>
                <w:rFonts w:ascii="宋体" w:hAnsi="宋体" w:cs="宋体"/>
                <w:b/>
                <w:color w:val="auto"/>
                <w:sz w:val="24"/>
              </w:rPr>
              <w:t xml:space="preserve">               </w:t>
            </w:r>
            <w:r>
              <w:rPr>
                <w:rFonts w:hint="eastAsia" w:ascii="宋体" w:hAnsi="宋体" w:cs="宋体"/>
                <w:b/>
                <w:color w:val="auto"/>
                <w:sz w:val="24"/>
              </w:rPr>
              <w:t>年</w:t>
            </w:r>
            <w:r>
              <w:rPr>
                <w:rFonts w:ascii="宋体" w:hAnsi="宋体" w:cs="宋体"/>
                <w:b/>
                <w:color w:val="auto"/>
                <w:sz w:val="24"/>
              </w:rPr>
              <w:t xml:space="preserve">   </w:t>
            </w:r>
            <w:r>
              <w:rPr>
                <w:rFonts w:hint="eastAsia" w:ascii="宋体" w:hAnsi="宋体" w:cs="宋体"/>
                <w:b/>
                <w:color w:val="auto"/>
                <w:sz w:val="24"/>
              </w:rPr>
              <w:t>月</w:t>
            </w:r>
            <w:r>
              <w:rPr>
                <w:rFonts w:ascii="宋体" w:hAnsi="宋体" w:cs="宋体"/>
                <w:b/>
                <w:color w:val="auto"/>
                <w:sz w:val="24"/>
              </w:rPr>
              <w:t xml:space="preserve">   </w:t>
            </w:r>
            <w:r>
              <w:rPr>
                <w:rFonts w:hint="eastAsia" w:ascii="宋体" w:hAnsi="宋体" w:cs="宋体"/>
                <w:b/>
                <w:color w:val="auto"/>
                <w:sz w:val="24"/>
              </w:rPr>
              <w:t>日</w:t>
            </w:r>
          </w:p>
        </w:tc>
      </w:tr>
    </w:tbl>
    <w:p>
      <w:pPr>
        <w:snapToGrid w:val="0"/>
        <w:jc w:val="left"/>
        <w:rPr>
          <w:rFonts w:ascii="宋体" w:cs="宋体"/>
          <w:color w:val="auto"/>
          <w:sz w:val="22"/>
          <w:szCs w:val="22"/>
        </w:rPr>
      </w:pPr>
      <w:r>
        <w:rPr>
          <w:rFonts w:ascii="宋体" w:hAnsi="宋体" w:cs="宋体"/>
          <w:color w:val="auto"/>
        </w:rPr>
        <w:t xml:space="preserve">    </w:t>
      </w:r>
      <w:r>
        <w:rPr>
          <w:rFonts w:hint="eastAsia" w:ascii="宋体" w:hAnsi="宋体" w:cs="宋体"/>
          <w:color w:val="auto"/>
          <w:sz w:val="22"/>
          <w:szCs w:val="22"/>
        </w:rPr>
        <w:t>注：售后服务事项填不下时可另加附页</w:t>
      </w:r>
    </w:p>
    <w:p>
      <w:pPr>
        <w:pStyle w:val="37"/>
        <w:jc w:val="both"/>
        <w:rPr>
          <w:rFonts w:ascii="宋体" w:cs="宋体"/>
          <w:color w:val="auto"/>
        </w:rPr>
      </w:pPr>
      <w:r>
        <w:rPr>
          <w:rFonts w:ascii="宋体" w:hAnsi="宋体" w:cs="宋体"/>
          <w:color w:val="auto"/>
        </w:rPr>
        <w:t xml:space="preserve">   </w:t>
      </w:r>
    </w:p>
    <w:p>
      <w:pPr>
        <w:pStyle w:val="37"/>
        <w:jc w:val="both"/>
        <w:rPr>
          <w:rFonts w:ascii="宋体" w:cs="宋体"/>
          <w:color w:val="auto"/>
        </w:rPr>
      </w:pPr>
    </w:p>
    <w:p>
      <w:pPr>
        <w:pStyle w:val="37"/>
        <w:jc w:val="both"/>
        <w:rPr>
          <w:rFonts w:ascii="宋体" w:cs="宋体"/>
          <w:color w:val="auto"/>
        </w:rPr>
      </w:pPr>
    </w:p>
    <w:p>
      <w:pPr>
        <w:pStyle w:val="55"/>
        <w:rPr>
          <w:color w:val="auto"/>
          <w:sz w:val="22"/>
          <w:szCs w:val="22"/>
        </w:rPr>
      </w:pPr>
    </w:p>
    <w:p>
      <w:pPr>
        <w:pStyle w:val="3"/>
        <w:spacing w:line="240" w:lineRule="auto"/>
        <w:jc w:val="center"/>
        <w:rPr>
          <w:rFonts w:hAnsi="宋体"/>
          <w:b w:val="0"/>
          <w:color w:val="auto"/>
        </w:rPr>
      </w:pPr>
      <w:r>
        <w:rPr>
          <w:rFonts w:hint="eastAsia"/>
          <w:color w:val="auto"/>
          <w:sz w:val="36"/>
          <w:szCs w:val="36"/>
        </w:rPr>
        <w:t>第六章　投标文件格式</w:t>
      </w:r>
      <w:bookmarkEnd w:id="555"/>
      <w:bookmarkEnd w:id="556"/>
    </w:p>
    <w:p>
      <w:pPr>
        <w:snapToGrid w:val="0"/>
        <w:spacing w:before="50" w:after="50"/>
        <w:outlineLvl w:val="1"/>
        <w:rPr>
          <w:rFonts w:ascii="宋体"/>
          <w:color w:val="auto"/>
          <w:sz w:val="32"/>
          <w:szCs w:val="20"/>
        </w:rPr>
      </w:pPr>
    </w:p>
    <w:p>
      <w:pPr>
        <w:pStyle w:val="23"/>
        <w:snapToGrid w:val="0"/>
        <w:spacing w:before="120" w:after="120"/>
        <w:outlineLvl w:val="0"/>
        <w:rPr>
          <w:rFonts w:hAnsi="宋体" w:cs="宋体"/>
          <w:b/>
          <w:color w:val="auto"/>
        </w:rPr>
      </w:pPr>
      <w:bookmarkStart w:id="557" w:name="_Toc20200"/>
      <w:bookmarkStart w:id="558" w:name="_Toc400465724"/>
      <w:bookmarkStart w:id="559" w:name="_Toc482865331"/>
      <w:bookmarkStart w:id="560" w:name="_Toc482864560"/>
      <w:bookmarkStart w:id="561" w:name="_Toc445223691"/>
      <w:bookmarkStart w:id="562" w:name="_Toc482865161"/>
      <w:bookmarkStart w:id="563" w:name="_Toc448421151"/>
      <w:bookmarkStart w:id="564" w:name="_Toc308018688"/>
      <w:bookmarkStart w:id="565" w:name="_Toc483327820"/>
      <w:r>
        <w:rPr>
          <w:rFonts w:hint="eastAsia" w:hAnsi="宋体" w:cs="宋体"/>
          <w:b/>
          <w:color w:val="auto"/>
        </w:rPr>
        <w:t>一、投标文件外层包装封面格式</w:t>
      </w:r>
      <w:bookmarkEnd w:id="557"/>
      <w:bookmarkEnd w:id="558"/>
      <w:bookmarkEnd w:id="559"/>
      <w:bookmarkEnd w:id="560"/>
      <w:bookmarkEnd w:id="561"/>
      <w:bookmarkEnd w:id="562"/>
      <w:bookmarkEnd w:id="563"/>
      <w:bookmarkEnd w:id="564"/>
      <w:bookmarkEnd w:id="565"/>
    </w:p>
    <w:p>
      <w:pPr>
        <w:pStyle w:val="23"/>
        <w:snapToGrid w:val="0"/>
        <w:spacing w:before="120" w:after="120"/>
        <w:outlineLvl w:val="0"/>
        <w:rPr>
          <w:rFonts w:hAnsi="宋体" w:cs="宋体"/>
          <w:b/>
          <w:color w:val="auto"/>
        </w:rPr>
      </w:pPr>
    </w:p>
    <w:p>
      <w:pPr>
        <w:snapToGrid w:val="0"/>
        <w:spacing w:beforeLines="50" w:after="50"/>
        <w:rPr>
          <w:rFonts w:ascii="宋体" w:cs="宋体"/>
          <w:color w:val="auto"/>
          <w:sz w:val="24"/>
          <w:szCs w:val="20"/>
        </w:rPr>
      </w:pPr>
    </w:p>
    <w:p>
      <w:pPr>
        <w:snapToGrid w:val="0"/>
        <w:spacing w:beforeLines="50" w:after="50"/>
        <w:jc w:val="center"/>
        <w:rPr>
          <w:rFonts w:ascii="宋体" w:cs="宋体"/>
          <w:bCs/>
          <w:color w:val="auto"/>
          <w:sz w:val="24"/>
          <w:szCs w:val="20"/>
        </w:rPr>
      </w:pPr>
    </w:p>
    <w:p>
      <w:pPr>
        <w:snapToGrid w:val="0"/>
        <w:spacing w:beforeLines="50" w:after="50"/>
        <w:jc w:val="center"/>
        <w:rPr>
          <w:rFonts w:ascii="宋体" w:cs="宋体"/>
          <w:b/>
          <w:bCs/>
          <w:color w:val="auto"/>
          <w:sz w:val="52"/>
          <w:szCs w:val="52"/>
        </w:rPr>
      </w:pPr>
      <w:r>
        <w:rPr>
          <w:rFonts w:hint="eastAsia" w:ascii="宋体" w:hAnsi="宋体" w:cs="宋体"/>
          <w:b/>
          <w:bCs/>
          <w:color w:val="auto"/>
          <w:sz w:val="52"/>
          <w:szCs w:val="52"/>
        </w:rPr>
        <w:t>投</w:t>
      </w:r>
      <w:r>
        <w:rPr>
          <w:rFonts w:ascii="宋体" w:hAnsi="宋体" w:cs="宋体"/>
          <w:b/>
          <w:bCs/>
          <w:color w:val="auto"/>
          <w:sz w:val="52"/>
          <w:szCs w:val="52"/>
        </w:rPr>
        <w:t xml:space="preserve"> </w:t>
      </w:r>
      <w:r>
        <w:rPr>
          <w:rFonts w:hint="eastAsia" w:ascii="宋体" w:hAnsi="宋体" w:cs="宋体"/>
          <w:b/>
          <w:bCs/>
          <w:color w:val="auto"/>
          <w:sz w:val="52"/>
          <w:szCs w:val="52"/>
        </w:rPr>
        <w:t>标</w:t>
      </w:r>
      <w:r>
        <w:rPr>
          <w:rFonts w:ascii="宋体" w:hAnsi="宋体" w:cs="宋体"/>
          <w:b/>
          <w:bCs/>
          <w:color w:val="auto"/>
          <w:sz w:val="52"/>
          <w:szCs w:val="52"/>
        </w:rPr>
        <w:t xml:space="preserve"> </w:t>
      </w:r>
      <w:r>
        <w:rPr>
          <w:rFonts w:hint="eastAsia" w:ascii="宋体" w:hAnsi="宋体" w:cs="宋体"/>
          <w:b/>
          <w:bCs/>
          <w:color w:val="auto"/>
          <w:sz w:val="52"/>
          <w:szCs w:val="52"/>
        </w:rPr>
        <w:t>文</w:t>
      </w:r>
      <w:r>
        <w:rPr>
          <w:rFonts w:ascii="宋体" w:hAnsi="宋体" w:cs="宋体"/>
          <w:b/>
          <w:bCs/>
          <w:color w:val="auto"/>
          <w:sz w:val="52"/>
          <w:szCs w:val="52"/>
        </w:rPr>
        <w:t xml:space="preserve"> </w:t>
      </w:r>
      <w:r>
        <w:rPr>
          <w:rFonts w:hint="eastAsia" w:ascii="宋体" w:hAnsi="宋体" w:cs="宋体"/>
          <w:b/>
          <w:bCs/>
          <w:color w:val="auto"/>
          <w:sz w:val="52"/>
          <w:szCs w:val="52"/>
        </w:rPr>
        <w:t>件</w:t>
      </w:r>
    </w:p>
    <w:p>
      <w:pPr>
        <w:snapToGrid w:val="0"/>
        <w:spacing w:beforeLines="50" w:after="50" w:line="360" w:lineRule="auto"/>
        <w:rPr>
          <w:rFonts w:ascii="宋体" w:cs="宋体"/>
          <w:bCs/>
          <w:color w:val="auto"/>
          <w:sz w:val="24"/>
          <w:szCs w:val="20"/>
        </w:rPr>
      </w:pPr>
    </w:p>
    <w:p>
      <w:pPr>
        <w:snapToGrid w:val="0"/>
        <w:spacing w:beforeLines="50" w:after="50" w:line="360" w:lineRule="auto"/>
        <w:ind w:firstLine="943" w:firstLineChars="393"/>
        <w:rPr>
          <w:rFonts w:ascii="宋体" w:cs="宋体"/>
          <w:bCs/>
          <w:color w:val="auto"/>
          <w:sz w:val="24"/>
          <w:szCs w:val="20"/>
        </w:rPr>
      </w:pPr>
      <w:r>
        <w:rPr>
          <w:rFonts w:hint="eastAsia" w:ascii="宋体" w:hAnsi="宋体" w:cs="宋体"/>
          <w:bCs/>
          <w:color w:val="auto"/>
          <w:sz w:val="24"/>
        </w:rPr>
        <w:t>项目名称：</w:t>
      </w:r>
      <w:r>
        <w:rPr>
          <w:rFonts w:ascii="宋体" w:hAnsi="宋体" w:cs="宋体"/>
          <w:bCs/>
          <w:color w:val="auto"/>
          <w:sz w:val="24"/>
          <w:szCs w:val="20"/>
        </w:rPr>
        <w:t xml:space="preserve"> </w:t>
      </w:r>
    </w:p>
    <w:p>
      <w:pPr>
        <w:snapToGrid w:val="0"/>
        <w:spacing w:beforeLines="50" w:after="50" w:line="360" w:lineRule="auto"/>
        <w:ind w:firstLine="943" w:firstLineChars="393"/>
        <w:rPr>
          <w:rFonts w:ascii="宋体" w:cs="宋体"/>
          <w:bCs/>
          <w:color w:val="auto"/>
          <w:sz w:val="24"/>
        </w:rPr>
      </w:pPr>
      <w:r>
        <w:rPr>
          <w:rFonts w:ascii="宋体" w:hAnsi="宋体" w:cs="宋体"/>
          <w:bCs/>
          <w:color w:val="auto"/>
          <w:sz w:val="24"/>
        </w:rPr>
        <w:t xml:space="preserve">     </w:t>
      </w:r>
    </w:p>
    <w:p>
      <w:pPr>
        <w:snapToGrid w:val="0"/>
        <w:spacing w:beforeLines="50" w:after="50" w:line="360" w:lineRule="auto"/>
        <w:ind w:firstLine="943" w:firstLineChars="393"/>
        <w:rPr>
          <w:rFonts w:ascii="宋体" w:cs="宋体"/>
          <w:bCs/>
          <w:color w:val="auto"/>
          <w:sz w:val="24"/>
          <w:szCs w:val="20"/>
        </w:rPr>
      </w:pPr>
      <w:r>
        <w:rPr>
          <w:rFonts w:hint="eastAsia" w:ascii="宋体" w:hAnsi="宋体" w:cs="宋体"/>
          <w:bCs/>
          <w:color w:val="auto"/>
          <w:sz w:val="24"/>
        </w:rPr>
        <w:t>项目编号：</w:t>
      </w:r>
      <w:r>
        <w:rPr>
          <w:rFonts w:ascii="宋体" w:hAnsi="宋体" w:cs="宋体"/>
          <w:bCs/>
          <w:color w:val="auto"/>
          <w:sz w:val="24"/>
        </w:rPr>
        <w:t xml:space="preserve"> </w:t>
      </w:r>
    </w:p>
    <w:p>
      <w:pPr>
        <w:pStyle w:val="7"/>
        <w:snapToGrid w:val="0"/>
        <w:spacing w:before="50" w:after="50" w:line="360" w:lineRule="auto"/>
        <w:ind w:firstLine="960" w:firstLineChars="400"/>
        <w:rPr>
          <w:rFonts w:ascii="宋体" w:cs="宋体"/>
          <w:bCs/>
          <w:color w:val="auto"/>
          <w:sz w:val="24"/>
          <w:szCs w:val="24"/>
        </w:rPr>
      </w:pPr>
    </w:p>
    <w:p>
      <w:pPr>
        <w:pStyle w:val="7"/>
        <w:snapToGrid w:val="0"/>
        <w:spacing w:before="50" w:after="50" w:line="360" w:lineRule="auto"/>
        <w:ind w:firstLine="960" w:firstLineChars="400"/>
        <w:rPr>
          <w:rFonts w:ascii="宋体" w:cs="宋体"/>
          <w:bCs/>
          <w:color w:val="auto"/>
          <w:sz w:val="24"/>
          <w:szCs w:val="24"/>
        </w:rPr>
      </w:pPr>
      <w:r>
        <w:rPr>
          <w:rFonts w:hint="eastAsia" w:ascii="宋体" w:hAnsi="宋体" w:cs="宋体"/>
          <w:bCs/>
          <w:color w:val="auto"/>
          <w:sz w:val="24"/>
          <w:szCs w:val="24"/>
        </w:rPr>
        <w:t>投标人名称：</w:t>
      </w:r>
    </w:p>
    <w:p>
      <w:pPr>
        <w:pStyle w:val="7"/>
        <w:snapToGrid w:val="0"/>
        <w:spacing w:before="50" w:after="50" w:line="360" w:lineRule="auto"/>
        <w:ind w:firstLine="960" w:firstLineChars="400"/>
        <w:rPr>
          <w:rFonts w:ascii="宋体" w:cs="宋体"/>
          <w:bCs/>
          <w:color w:val="auto"/>
          <w:sz w:val="24"/>
          <w:szCs w:val="24"/>
        </w:rPr>
      </w:pPr>
    </w:p>
    <w:p>
      <w:pPr>
        <w:pStyle w:val="7"/>
        <w:snapToGrid w:val="0"/>
        <w:spacing w:before="50" w:after="50" w:line="360" w:lineRule="auto"/>
        <w:ind w:firstLine="960" w:firstLineChars="400"/>
        <w:rPr>
          <w:rFonts w:ascii="宋体" w:cs="宋体"/>
          <w:bCs/>
          <w:color w:val="auto"/>
          <w:sz w:val="24"/>
          <w:szCs w:val="24"/>
        </w:rPr>
      </w:pPr>
      <w:r>
        <w:rPr>
          <w:rFonts w:hint="eastAsia" w:ascii="宋体" w:hAnsi="宋体" w:cs="宋体"/>
          <w:bCs/>
          <w:color w:val="auto"/>
          <w:sz w:val="24"/>
          <w:szCs w:val="24"/>
        </w:rPr>
        <w:t>投标人地址：</w:t>
      </w:r>
    </w:p>
    <w:p>
      <w:pPr>
        <w:pStyle w:val="7"/>
        <w:snapToGrid w:val="0"/>
        <w:spacing w:before="50" w:after="50" w:line="360" w:lineRule="auto"/>
        <w:ind w:firstLine="960" w:firstLineChars="400"/>
        <w:rPr>
          <w:rFonts w:ascii="宋体" w:cs="宋体"/>
          <w:bCs/>
          <w:color w:val="auto"/>
          <w:sz w:val="24"/>
          <w:szCs w:val="24"/>
        </w:rPr>
      </w:pPr>
    </w:p>
    <w:p>
      <w:pPr>
        <w:pStyle w:val="7"/>
        <w:snapToGrid w:val="0"/>
        <w:spacing w:before="50" w:after="50" w:line="360" w:lineRule="auto"/>
        <w:ind w:firstLine="960" w:firstLineChars="400"/>
        <w:rPr>
          <w:rFonts w:ascii="宋体" w:cs="宋体"/>
          <w:bCs/>
          <w:color w:val="auto"/>
          <w:sz w:val="24"/>
          <w:szCs w:val="24"/>
        </w:rPr>
      </w:pPr>
      <w:r>
        <w:rPr>
          <w:rFonts w:hint="eastAsia" w:ascii="宋体" w:hAnsi="宋体" w:cs="宋体"/>
          <w:bCs/>
          <w:color w:val="auto"/>
          <w:sz w:val="24"/>
          <w:szCs w:val="24"/>
        </w:rPr>
        <w:t>开</w:t>
      </w:r>
      <w:r>
        <w:rPr>
          <w:rFonts w:ascii="宋体" w:hAnsi="宋体" w:cs="宋体"/>
          <w:bCs/>
          <w:color w:val="auto"/>
          <w:sz w:val="24"/>
          <w:szCs w:val="24"/>
        </w:rPr>
        <w:t xml:space="preserve"> </w:t>
      </w:r>
      <w:r>
        <w:rPr>
          <w:rFonts w:hint="eastAsia" w:ascii="宋体" w:hAnsi="宋体" w:cs="宋体"/>
          <w:bCs/>
          <w:color w:val="auto"/>
          <w:sz w:val="24"/>
          <w:szCs w:val="24"/>
        </w:rPr>
        <w:t>标</w:t>
      </w:r>
      <w:r>
        <w:rPr>
          <w:rFonts w:ascii="宋体" w:hAnsi="宋体" w:cs="宋体"/>
          <w:bCs/>
          <w:color w:val="auto"/>
          <w:sz w:val="24"/>
          <w:szCs w:val="24"/>
        </w:rPr>
        <w:t xml:space="preserve"> </w:t>
      </w:r>
      <w:r>
        <w:rPr>
          <w:rFonts w:hint="eastAsia" w:ascii="宋体" w:hAnsi="宋体" w:cs="宋体"/>
          <w:bCs/>
          <w:color w:val="auto"/>
          <w:sz w:val="24"/>
          <w:szCs w:val="24"/>
        </w:rPr>
        <w:t>时</w:t>
      </w:r>
      <w:r>
        <w:rPr>
          <w:rFonts w:ascii="宋体" w:hAnsi="宋体" w:cs="宋体"/>
          <w:bCs/>
          <w:color w:val="auto"/>
          <w:sz w:val="24"/>
          <w:szCs w:val="24"/>
        </w:rPr>
        <w:t xml:space="preserve"> </w:t>
      </w:r>
      <w:r>
        <w:rPr>
          <w:rFonts w:hint="eastAsia" w:ascii="宋体" w:hAnsi="宋体" w:cs="宋体"/>
          <w:bCs/>
          <w:color w:val="auto"/>
          <w:sz w:val="24"/>
          <w:szCs w:val="24"/>
        </w:rPr>
        <w:t>启</w:t>
      </w:r>
      <w:r>
        <w:rPr>
          <w:rFonts w:ascii="宋体" w:hAnsi="宋体" w:cs="宋体"/>
          <w:bCs/>
          <w:color w:val="auto"/>
          <w:sz w:val="24"/>
          <w:szCs w:val="24"/>
        </w:rPr>
        <w:t xml:space="preserve"> </w:t>
      </w:r>
      <w:r>
        <w:rPr>
          <w:rFonts w:hint="eastAsia" w:ascii="宋体" w:hAnsi="宋体" w:cs="宋体"/>
          <w:bCs/>
          <w:color w:val="auto"/>
          <w:sz w:val="24"/>
          <w:szCs w:val="24"/>
        </w:rPr>
        <w:t>封</w:t>
      </w:r>
    </w:p>
    <w:p>
      <w:pPr>
        <w:snapToGrid w:val="0"/>
        <w:spacing w:beforeLines="50" w:after="50" w:line="360" w:lineRule="auto"/>
        <w:ind w:firstLine="4080" w:firstLineChars="1700"/>
        <w:rPr>
          <w:rFonts w:ascii="宋体" w:cs="宋体"/>
          <w:bCs/>
          <w:color w:val="auto"/>
          <w:sz w:val="24"/>
          <w:szCs w:val="20"/>
        </w:rPr>
      </w:pPr>
    </w:p>
    <w:p>
      <w:pPr>
        <w:snapToGrid w:val="0"/>
        <w:spacing w:beforeLines="50" w:after="50" w:line="360" w:lineRule="auto"/>
        <w:ind w:firstLine="645"/>
        <w:jc w:val="center"/>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年</w:t>
      </w:r>
      <w:r>
        <w:rPr>
          <w:rFonts w:ascii="宋体" w:hAnsi="宋体" w:cs="宋体"/>
          <w:bCs/>
          <w:color w:val="auto"/>
          <w:sz w:val="24"/>
        </w:rPr>
        <w:t xml:space="preserve">    </w:t>
      </w:r>
      <w:r>
        <w:rPr>
          <w:rFonts w:hint="eastAsia" w:ascii="宋体" w:hAnsi="宋体" w:cs="宋体"/>
          <w:bCs/>
          <w:color w:val="auto"/>
          <w:sz w:val="24"/>
        </w:rPr>
        <w:t>月</w:t>
      </w:r>
      <w:r>
        <w:rPr>
          <w:rFonts w:ascii="宋体" w:hAnsi="宋体" w:cs="宋体"/>
          <w:bCs/>
          <w:color w:val="auto"/>
          <w:sz w:val="24"/>
        </w:rPr>
        <w:t xml:space="preserve">   </w:t>
      </w:r>
      <w:r>
        <w:rPr>
          <w:rFonts w:hint="eastAsia" w:ascii="宋体" w:hAnsi="宋体" w:cs="宋体"/>
          <w:bCs/>
          <w:color w:val="auto"/>
          <w:sz w:val="24"/>
        </w:rPr>
        <w:t>日</w:t>
      </w:r>
    </w:p>
    <w:p>
      <w:pPr>
        <w:snapToGrid w:val="0"/>
        <w:spacing w:beforeLines="50" w:after="50"/>
        <w:jc w:val="center"/>
        <w:outlineLvl w:val="1"/>
        <w:rPr>
          <w:rFonts w:ascii="宋体"/>
          <w:color w:val="auto"/>
        </w:rPr>
      </w:pPr>
    </w:p>
    <w:p>
      <w:pPr>
        <w:snapToGrid w:val="0"/>
        <w:spacing w:beforeLines="50" w:after="50"/>
        <w:jc w:val="center"/>
        <w:outlineLvl w:val="1"/>
        <w:rPr>
          <w:rFonts w:ascii="宋体"/>
          <w:color w:val="auto"/>
        </w:rPr>
      </w:pPr>
    </w:p>
    <w:p>
      <w:pPr>
        <w:pStyle w:val="2"/>
        <w:rPr>
          <w:color w:val="auto"/>
        </w:rPr>
      </w:pPr>
    </w:p>
    <w:p>
      <w:pPr>
        <w:snapToGrid w:val="0"/>
        <w:spacing w:beforeLines="50" w:after="50"/>
        <w:jc w:val="center"/>
        <w:outlineLvl w:val="1"/>
        <w:rPr>
          <w:rFonts w:ascii="宋体"/>
          <w:color w:val="auto"/>
        </w:rPr>
      </w:pPr>
    </w:p>
    <w:p>
      <w:pPr>
        <w:snapToGrid w:val="0"/>
        <w:spacing w:beforeLines="50" w:after="50"/>
        <w:outlineLvl w:val="1"/>
        <w:rPr>
          <w:rFonts w:ascii="宋体"/>
          <w:color w:val="auto"/>
        </w:rPr>
      </w:pPr>
    </w:p>
    <w:p>
      <w:pPr>
        <w:snapToGrid w:val="0"/>
        <w:spacing w:beforeLines="50" w:after="50"/>
        <w:outlineLvl w:val="1"/>
        <w:rPr>
          <w:rFonts w:ascii="宋体"/>
          <w:color w:val="auto"/>
        </w:rPr>
      </w:pPr>
    </w:p>
    <w:p>
      <w:pPr>
        <w:snapToGrid w:val="0"/>
        <w:spacing w:beforeLines="50" w:after="50"/>
        <w:outlineLvl w:val="1"/>
        <w:rPr>
          <w:rFonts w:ascii="宋体" w:cs="宋体"/>
          <w:b/>
          <w:bCs/>
          <w:color w:val="auto"/>
          <w:szCs w:val="21"/>
        </w:rPr>
      </w:pPr>
      <w:bookmarkStart w:id="566" w:name="_Toc400465727"/>
      <w:bookmarkStart w:id="567" w:name="_Toc482864563"/>
      <w:bookmarkStart w:id="568" w:name="_Toc482865164"/>
      <w:bookmarkStart w:id="569" w:name="_Toc308018691"/>
      <w:bookmarkStart w:id="570" w:name="_Toc448421154"/>
      <w:bookmarkStart w:id="571" w:name="_Toc25830"/>
      <w:bookmarkStart w:id="572" w:name="_Toc445223694"/>
      <w:bookmarkStart w:id="573" w:name="_Toc483327823"/>
      <w:bookmarkStart w:id="574" w:name="_Toc482865334"/>
      <w:r>
        <w:rPr>
          <w:rFonts w:hint="eastAsia" w:ascii="宋体" w:hAnsi="宋体" w:cs="宋体"/>
          <w:b/>
          <w:bCs/>
          <w:color w:val="auto"/>
          <w:szCs w:val="21"/>
        </w:rPr>
        <w:t>二、资格部分格式</w:t>
      </w:r>
      <w:bookmarkEnd w:id="566"/>
      <w:bookmarkEnd w:id="567"/>
      <w:bookmarkEnd w:id="568"/>
      <w:bookmarkEnd w:id="569"/>
      <w:bookmarkEnd w:id="570"/>
      <w:bookmarkEnd w:id="571"/>
      <w:bookmarkEnd w:id="572"/>
      <w:bookmarkEnd w:id="573"/>
      <w:bookmarkEnd w:id="574"/>
    </w:p>
    <w:p>
      <w:pPr>
        <w:snapToGrid w:val="0"/>
        <w:spacing w:beforeLines="50" w:after="50"/>
        <w:outlineLvl w:val="1"/>
        <w:rPr>
          <w:rFonts w:ascii="宋体" w:cs="宋体"/>
          <w:b/>
          <w:bCs/>
          <w:color w:val="auto"/>
          <w:szCs w:val="21"/>
        </w:rPr>
      </w:pPr>
    </w:p>
    <w:p>
      <w:pPr>
        <w:snapToGrid w:val="0"/>
        <w:spacing w:before="50" w:after="50"/>
        <w:rPr>
          <w:rFonts w:ascii="宋体" w:cs="宋体"/>
          <w:b/>
          <w:color w:val="auto"/>
          <w:szCs w:val="21"/>
        </w:rPr>
      </w:pPr>
      <w:r>
        <w:rPr>
          <w:rFonts w:ascii="宋体" w:hAnsi="宋体" w:cs="宋体"/>
          <w:b/>
          <w:color w:val="auto"/>
          <w:szCs w:val="21"/>
        </w:rPr>
        <w:t>2.1</w:t>
      </w:r>
      <w:r>
        <w:rPr>
          <w:rFonts w:hint="eastAsia" w:ascii="宋体" w:hAnsi="宋体" w:cs="宋体"/>
          <w:b/>
          <w:color w:val="auto"/>
          <w:szCs w:val="21"/>
        </w:rPr>
        <w:t>资格部分封面格式：</w:t>
      </w:r>
      <w:r>
        <w:rPr>
          <w:rFonts w:ascii="宋体" w:hAnsi="宋体" w:cs="宋体"/>
          <w:b/>
          <w:color w:val="auto"/>
          <w:szCs w:val="21"/>
        </w:rPr>
        <w:t xml:space="preserve"> </w:t>
      </w:r>
    </w:p>
    <w:p>
      <w:pPr>
        <w:snapToGrid w:val="0"/>
        <w:spacing w:beforeLines="50" w:after="50" w:line="360" w:lineRule="auto"/>
        <w:rPr>
          <w:rFonts w:ascii="宋体" w:cs="宋体"/>
          <w:color w:val="auto"/>
          <w:sz w:val="24"/>
          <w:szCs w:val="20"/>
        </w:rPr>
      </w:pPr>
      <w:r>
        <w:rPr>
          <w:rFonts w:ascii="宋体" w:hAnsi="宋体" w:cs="宋体"/>
          <w:color w:val="auto"/>
          <w:sz w:val="24"/>
        </w:rPr>
        <w:t xml:space="preserve">                                                           </w:t>
      </w:r>
      <w:r>
        <w:rPr>
          <w:rFonts w:hint="eastAsia" w:ascii="宋体" w:hAnsi="宋体" w:cs="宋体"/>
          <w:bCs/>
          <w:color w:val="auto"/>
        </w:rPr>
        <w:t>正本</w:t>
      </w:r>
      <w:r>
        <w:rPr>
          <w:rFonts w:ascii="宋体" w:hAnsi="宋体" w:cs="宋体"/>
          <w:bCs/>
          <w:color w:val="auto"/>
        </w:rPr>
        <w:t>/</w:t>
      </w:r>
      <w:r>
        <w:rPr>
          <w:rFonts w:hint="eastAsia" w:ascii="宋体" w:hAnsi="宋体" w:cs="宋体"/>
          <w:bCs/>
          <w:color w:val="auto"/>
        </w:rPr>
        <w:t>或副本</w:t>
      </w:r>
    </w:p>
    <w:p>
      <w:pPr>
        <w:snapToGrid w:val="0"/>
        <w:spacing w:beforeLines="50" w:after="50" w:line="360" w:lineRule="auto"/>
        <w:jc w:val="center"/>
        <w:rPr>
          <w:rFonts w:ascii="宋体" w:cs="宋体"/>
          <w:b/>
          <w:bCs/>
          <w:color w:val="auto"/>
          <w:sz w:val="28"/>
          <w:szCs w:val="28"/>
        </w:rPr>
      </w:pPr>
      <w:r>
        <w:rPr>
          <w:rFonts w:hint="eastAsia" w:ascii="宋体" w:hAnsi="宋体" w:cs="宋体"/>
          <w:b/>
          <w:bCs/>
          <w:color w:val="auto"/>
          <w:sz w:val="48"/>
          <w:szCs w:val="48"/>
        </w:rPr>
        <w:t>投标文件（资格部分）</w:t>
      </w:r>
    </w:p>
    <w:p>
      <w:pPr>
        <w:snapToGrid w:val="0"/>
        <w:spacing w:beforeLines="50" w:after="50" w:line="360" w:lineRule="auto"/>
        <w:jc w:val="center"/>
        <w:rPr>
          <w:rFonts w:ascii="宋体" w:cs="宋体"/>
          <w:b/>
          <w:bCs/>
          <w:color w:val="auto"/>
          <w:sz w:val="28"/>
          <w:szCs w:val="28"/>
        </w:rPr>
      </w:pPr>
    </w:p>
    <w:p>
      <w:pPr>
        <w:snapToGrid w:val="0"/>
        <w:spacing w:beforeLines="50" w:after="50" w:line="360" w:lineRule="auto"/>
        <w:ind w:firstLine="1200" w:firstLineChars="500"/>
        <w:rPr>
          <w:rFonts w:ascii="宋体" w:cs="宋体"/>
          <w:bCs/>
          <w:color w:val="auto"/>
          <w:sz w:val="24"/>
          <w:szCs w:val="20"/>
        </w:rPr>
      </w:pPr>
      <w:r>
        <w:rPr>
          <w:rFonts w:hint="eastAsia" w:ascii="宋体" w:hAnsi="宋体" w:cs="宋体"/>
          <w:bCs/>
          <w:color w:val="auto"/>
          <w:sz w:val="24"/>
        </w:rPr>
        <w:t>项目名称：</w:t>
      </w:r>
      <w:r>
        <w:rPr>
          <w:rFonts w:ascii="宋体" w:hAnsi="宋体" w:cs="宋体"/>
          <w:bCs/>
          <w:color w:val="auto"/>
          <w:sz w:val="24"/>
          <w:szCs w:val="20"/>
        </w:rPr>
        <w:t xml:space="preserve"> </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项目编号：</w:t>
      </w:r>
    </w:p>
    <w:p>
      <w:pPr>
        <w:pStyle w:val="7"/>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投标人名称：</w:t>
      </w:r>
    </w:p>
    <w:p>
      <w:pPr>
        <w:pStyle w:val="7"/>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法定代表人或委托代理人签字：</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年</w:t>
      </w:r>
      <w:r>
        <w:rPr>
          <w:rFonts w:ascii="宋体" w:hAnsi="宋体" w:cs="宋体"/>
          <w:bCs/>
          <w:color w:val="auto"/>
          <w:sz w:val="24"/>
        </w:rPr>
        <w:t xml:space="preserve">    </w:t>
      </w:r>
      <w:r>
        <w:rPr>
          <w:rFonts w:hint="eastAsia" w:ascii="宋体" w:hAnsi="宋体" w:cs="宋体"/>
          <w:bCs/>
          <w:color w:val="auto"/>
          <w:sz w:val="24"/>
        </w:rPr>
        <w:t>月</w:t>
      </w:r>
      <w:r>
        <w:rPr>
          <w:rFonts w:ascii="宋体" w:hAnsi="宋体" w:cs="宋体"/>
          <w:bCs/>
          <w:color w:val="auto"/>
          <w:sz w:val="24"/>
        </w:rPr>
        <w:t xml:space="preserve">   </w:t>
      </w:r>
      <w:r>
        <w:rPr>
          <w:rFonts w:hint="eastAsia" w:ascii="宋体" w:hAnsi="宋体" w:cs="宋体"/>
          <w:bCs/>
          <w:color w:val="auto"/>
          <w:sz w:val="24"/>
        </w:rPr>
        <w:t>日</w:t>
      </w:r>
    </w:p>
    <w:p>
      <w:pPr>
        <w:snapToGrid w:val="0"/>
        <w:spacing w:before="50" w:after="50"/>
        <w:rPr>
          <w:rFonts w:ascii="宋体" w:cs="宋体"/>
          <w:b/>
          <w:color w:val="auto"/>
          <w:szCs w:val="21"/>
        </w:rPr>
      </w:pPr>
    </w:p>
    <w:p>
      <w:pPr>
        <w:snapToGrid w:val="0"/>
        <w:spacing w:before="50" w:after="50"/>
        <w:rPr>
          <w:rFonts w:ascii="宋体" w:cs="宋体"/>
          <w:color w:val="auto"/>
          <w:sz w:val="24"/>
          <w:szCs w:val="20"/>
        </w:rPr>
      </w:pPr>
      <w:r>
        <w:rPr>
          <w:rFonts w:ascii="宋体" w:hAnsi="宋体" w:cs="宋体"/>
          <w:b/>
          <w:color w:val="auto"/>
          <w:szCs w:val="21"/>
        </w:rPr>
        <w:t xml:space="preserve">2.2 </w:t>
      </w:r>
      <w:r>
        <w:rPr>
          <w:rFonts w:hint="eastAsia" w:ascii="宋体" w:hAnsi="宋体" w:cs="宋体"/>
          <w:b/>
          <w:bCs/>
          <w:color w:val="auto"/>
          <w:szCs w:val="21"/>
        </w:rPr>
        <w:t>资格部分目录</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）有效的营业执照副本复印件</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（2）建设主管部门颁发的建筑机电安装工程专业承包三级及以上资质复印件；</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（3）具有质量技术监督部门颁发的特种设备制造许可证（压力容器） 或特种设备安装改造维修许可证（压力容器）复印件；</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4）具有质量技术监督部门颁发的特种设备设计许可证（压力管道）和质量技术监督部门颁发的特种设备安装改造维修许可证（压力管道）或质量技术监督部门颁发的特种设备生产许可证（工业管道安装）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（5）法定代表人完整有效的身份证复印件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（6）法定代表人授权委托书和委托代理人完整有效的身份证复印件</w:t>
      </w:r>
    </w:p>
    <w:p>
      <w:pPr>
        <w:snapToGrid w:val="0"/>
        <w:spacing w:line="400" w:lineRule="exact"/>
        <w:ind w:firstLine="420"/>
        <w:jc w:val="left"/>
        <w:rPr>
          <w:rFonts w:ascii="宋体" w:cs="宋体"/>
          <w:color w:val="auto"/>
          <w:szCs w:val="21"/>
        </w:rPr>
      </w:pPr>
      <w:r>
        <w:rPr>
          <w:rFonts w:hint="eastAsia" w:ascii="宋体" w:hAnsi="宋体" w:cs="宋体"/>
          <w:color w:val="auto"/>
          <w:szCs w:val="21"/>
        </w:rPr>
        <w:t>（7）截标时间前半年内，连续三个月投标人依法缴纳税收的凭证复印件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（8）截标时间前半年内，连续三个月投标人依法缴纳社会保障资金的凭证复印件</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（9）参加政府采购活动前</w:t>
      </w:r>
      <w:r>
        <w:rPr>
          <w:rFonts w:ascii="宋体" w:hAnsi="宋体" w:cs="宋体"/>
          <w:color w:val="auto"/>
          <w:szCs w:val="21"/>
        </w:rPr>
        <w:t>3</w:t>
      </w:r>
      <w:r>
        <w:rPr>
          <w:rFonts w:hint="eastAsia" w:ascii="宋体" w:hAnsi="宋体" w:cs="宋体"/>
          <w:color w:val="auto"/>
          <w:szCs w:val="21"/>
        </w:rPr>
        <w:t>年内在经营活动中没有重大违法记录的书面声明</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（10）信用记录网站查询结果信用声明函</w:t>
      </w:r>
    </w:p>
    <w:p>
      <w:pPr>
        <w:snapToGrid w:val="0"/>
        <w:spacing w:beforeLines="50" w:after="50" w:line="300" w:lineRule="exact"/>
        <w:ind w:firstLine="420" w:firstLineChars="200"/>
        <w:rPr>
          <w:rFonts w:ascii="宋体" w:cs="宋体"/>
          <w:b/>
          <w:color w:val="auto"/>
          <w:szCs w:val="21"/>
        </w:rPr>
      </w:pPr>
      <w:r>
        <w:rPr>
          <w:rFonts w:hint="eastAsia" w:ascii="宋体" w:hAnsi="宋体" w:cs="宋体"/>
          <w:color w:val="auto"/>
          <w:szCs w:val="21"/>
        </w:rPr>
        <w:t>（11）投标人近期财务状况报告</w:t>
      </w:r>
    </w:p>
    <w:p>
      <w:pPr>
        <w:rPr>
          <w:color w:val="auto"/>
        </w:rPr>
      </w:pPr>
    </w:p>
    <w:p>
      <w:pPr>
        <w:pStyle w:val="2"/>
        <w:rPr>
          <w:color w:val="auto"/>
        </w:rPr>
      </w:pPr>
    </w:p>
    <w:p>
      <w:pPr>
        <w:snapToGrid w:val="0"/>
        <w:spacing w:beforeLines="50" w:after="50" w:line="300" w:lineRule="exact"/>
        <w:rPr>
          <w:rFonts w:ascii="宋体" w:hAnsi="宋体" w:cs="宋体"/>
          <w:b/>
          <w:color w:val="auto"/>
          <w:szCs w:val="21"/>
        </w:rPr>
      </w:pPr>
    </w:p>
    <w:p>
      <w:pPr>
        <w:snapToGrid w:val="0"/>
        <w:spacing w:beforeLines="50" w:after="50" w:line="300" w:lineRule="exact"/>
        <w:rPr>
          <w:rFonts w:ascii="宋体" w:cs="宋体"/>
          <w:b/>
          <w:color w:val="auto"/>
          <w:szCs w:val="21"/>
        </w:rPr>
      </w:pPr>
      <w:r>
        <w:rPr>
          <w:rFonts w:ascii="宋体" w:hAnsi="宋体" w:cs="宋体"/>
          <w:b/>
          <w:color w:val="auto"/>
          <w:szCs w:val="21"/>
        </w:rPr>
        <w:t>2.2.1</w:t>
      </w:r>
      <w:r>
        <w:rPr>
          <w:rFonts w:hint="eastAsia" w:ascii="宋体" w:hAnsi="宋体" w:cs="宋体"/>
          <w:b/>
          <w:color w:val="auto"/>
          <w:szCs w:val="21"/>
        </w:rPr>
        <w:t>有效的营业执照副本复印件（必须提供，同时要加盖单位公章，不是三证合一的营业执照还必须提供有效的组织机构代码证副本、税务登记证副本复印件）；</w:t>
      </w:r>
    </w:p>
    <w:p>
      <w:pPr>
        <w:snapToGrid w:val="0"/>
        <w:spacing w:line="300" w:lineRule="exact"/>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hAnsi="宋体" w:cs="宋体"/>
          <w:b/>
          <w:bCs w:val="0"/>
          <w:color w:val="auto"/>
          <w:spacing w:val="0"/>
          <w:kern w:val="2"/>
          <w:sz w:val="21"/>
          <w:szCs w:val="21"/>
        </w:rPr>
      </w:pPr>
      <w:r>
        <w:rPr>
          <w:rFonts w:ascii="宋体" w:hAnsi="宋体" w:cs="宋体"/>
          <w:b/>
          <w:bCs w:val="0"/>
          <w:color w:val="auto"/>
          <w:spacing w:val="0"/>
          <w:kern w:val="2"/>
          <w:sz w:val="21"/>
          <w:szCs w:val="21"/>
        </w:rPr>
        <w:t>2.2.</w:t>
      </w:r>
      <w:r>
        <w:rPr>
          <w:rFonts w:hint="eastAsia" w:ascii="宋体" w:hAnsi="宋体" w:cs="宋体"/>
          <w:b/>
          <w:bCs w:val="0"/>
          <w:color w:val="auto"/>
          <w:spacing w:val="0"/>
          <w:kern w:val="2"/>
          <w:sz w:val="21"/>
          <w:szCs w:val="21"/>
        </w:rPr>
        <w:t>2  建设主管部门颁发的建筑机电安装工程专业承包三级及以上资质复印件；</w:t>
      </w:r>
    </w:p>
    <w:p>
      <w:pPr>
        <w:pStyle w:val="55"/>
        <w:rPr>
          <w:rFonts w:ascii="宋体" w:cs="宋体"/>
          <w:b/>
          <w:bCs w:val="0"/>
          <w:color w:val="auto"/>
          <w:spacing w:val="0"/>
          <w:kern w:val="2"/>
          <w:sz w:val="21"/>
          <w:szCs w:val="21"/>
        </w:rPr>
      </w:pPr>
    </w:p>
    <w:p>
      <w:pPr>
        <w:pStyle w:val="55"/>
        <w:rPr>
          <w:rFonts w:ascii="宋体" w:cs="宋体"/>
          <w:b/>
          <w:bCs w:val="0"/>
          <w:color w:val="auto"/>
          <w:spacing w:val="0"/>
          <w:kern w:val="2"/>
          <w:sz w:val="21"/>
          <w:szCs w:val="21"/>
        </w:rPr>
      </w:pPr>
    </w:p>
    <w:p>
      <w:pPr>
        <w:pStyle w:val="55"/>
        <w:rPr>
          <w:rFonts w:ascii="宋体" w:cs="宋体"/>
          <w:b/>
          <w:bCs w:val="0"/>
          <w:color w:val="auto"/>
          <w:spacing w:val="0"/>
          <w:kern w:val="2"/>
          <w:sz w:val="21"/>
          <w:szCs w:val="21"/>
        </w:rPr>
      </w:pPr>
    </w:p>
    <w:p>
      <w:pPr>
        <w:pStyle w:val="55"/>
        <w:rPr>
          <w:rFonts w:ascii="宋体" w:cs="宋体"/>
          <w:b/>
          <w:bCs w:val="0"/>
          <w:color w:val="auto"/>
          <w:spacing w:val="0"/>
          <w:kern w:val="2"/>
          <w:sz w:val="21"/>
          <w:szCs w:val="21"/>
        </w:rPr>
      </w:pPr>
    </w:p>
    <w:p>
      <w:pPr>
        <w:snapToGrid w:val="0"/>
        <w:spacing w:line="400" w:lineRule="exact"/>
        <w:jc w:val="left"/>
        <w:rPr>
          <w:rFonts w:ascii="宋体" w:hAnsi="宋体" w:cs="宋体"/>
          <w:b/>
          <w:color w:val="auto"/>
          <w:szCs w:val="21"/>
        </w:rPr>
      </w:pPr>
      <w:r>
        <w:rPr>
          <w:rFonts w:hint="eastAsia" w:ascii="宋体" w:hAnsi="宋体" w:cs="宋体"/>
          <w:b/>
          <w:color w:val="auto"/>
          <w:szCs w:val="21"/>
        </w:rPr>
        <w:t>2.2.3 具有质量技术监督部门颁发的特种设备制造许可证（压力容器） 或特种设备安装改造维修许可证（压力容器）复印件；</w:t>
      </w:r>
    </w:p>
    <w:p>
      <w:pPr>
        <w:pStyle w:val="2"/>
        <w:rPr>
          <w:rFonts w:ascii="宋体" w:hAnsi="宋体" w:eastAsia="宋体" w:cs="宋体"/>
          <w:bCs w:val="0"/>
          <w:color w:val="auto"/>
          <w:sz w:val="21"/>
          <w:szCs w:val="21"/>
        </w:rPr>
      </w:pPr>
    </w:p>
    <w:p>
      <w:pPr>
        <w:rPr>
          <w:rFonts w:ascii="宋体" w:hAnsi="宋体" w:cs="宋体"/>
          <w:b/>
          <w:color w:val="auto"/>
          <w:szCs w:val="21"/>
        </w:rPr>
      </w:pPr>
      <w:r>
        <w:rPr>
          <w:rFonts w:hint="eastAsia" w:ascii="宋体" w:hAnsi="宋体" w:cs="宋体"/>
          <w:b/>
          <w:color w:val="auto"/>
          <w:szCs w:val="21"/>
        </w:rPr>
        <w:t>2.2.4 具有质量技术监督部门颁发的特种设备设计许可证（压力管道）和质量技术监督部门颁发的特种设备安装改造维修许可证（压力管道）或质量技术监督部门颁发的特种设备生产许可证（工业管道安装）复印件；</w:t>
      </w:r>
    </w:p>
    <w:p>
      <w:pPr>
        <w:pStyle w:val="2"/>
        <w:rPr>
          <w:color w:val="auto"/>
        </w:rPr>
      </w:pPr>
    </w:p>
    <w:p>
      <w:pPr>
        <w:snapToGrid w:val="0"/>
        <w:spacing w:beforeLines="50" w:after="50"/>
        <w:rPr>
          <w:rFonts w:ascii="宋体" w:cs="宋体"/>
          <w:b/>
          <w:color w:val="auto"/>
          <w:szCs w:val="21"/>
        </w:rPr>
      </w:pPr>
      <w:r>
        <w:rPr>
          <w:rFonts w:ascii="宋体" w:hAnsi="宋体" w:cs="宋体"/>
          <w:b/>
          <w:color w:val="auto"/>
          <w:szCs w:val="21"/>
        </w:rPr>
        <w:t>2.2.</w:t>
      </w:r>
      <w:r>
        <w:rPr>
          <w:rFonts w:hint="eastAsia" w:ascii="宋体" w:hAnsi="宋体" w:cs="宋体"/>
          <w:b/>
          <w:color w:val="auto"/>
          <w:szCs w:val="21"/>
        </w:rPr>
        <w:t>5</w:t>
      </w:r>
      <w:r>
        <w:rPr>
          <w:rFonts w:ascii="宋体" w:hAnsi="宋体" w:cs="宋体"/>
          <w:b/>
          <w:color w:val="auto"/>
          <w:szCs w:val="21"/>
        </w:rPr>
        <w:t xml:space="preserve">  </w:t>
      </w:r>
      <w:r>
        <w:rPr>
          <w:rFonts w:hint="eastAsia" w:ascii="宋体" w:hAnsi="宋体" w:cs="宋体"/>
          <w:b/>
          <w:color w:val="auto"/>
          <w:szCs w:val="21"/>
        </w:rPr>
        <w:t>法定代表人完整有效的身份证复印件（第二代身份证必须提供正反面复印件，同时要加盖单位公章）；</w:t>
      </w: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snapToGrid w:val="0"/>
        <w:spacing w:beforeLines="50" w:after="50"/>
        <w:rPr>
          <w:rFonts w:ascii="宋体" w:cs="宋体"/>
          <w:b/>
          <w:color w:val="auto"/>
          <w:szCs w:val="21"/>
        </w:rPr>
      </w:pPr>
    </w:p>
    <w:p>
      <w:pPr>
        <w:snapToGrid w:val="0"/>
        <w:spacing w:beforeLines="50" w:after="50"/>
        <w:rPr>
          <w:rFonts w:ascii="宋体" w:cs="宋体"/>
          <w:b/>
          <w:color w:val="auto"/>
          <w:szCs w:val="21"/>
        </w:rPr>
      </w:pPr>
      <w:r>
        <w:rPr>
          <w:rFonts w:ascii="宋体" w:hAnsi="宋体" w:cs="宋体"/>
          <w:b/>
          <w:color w:val="auto"/>
          <w:szCs w:val="21"/>
        </w:rPr>
        <w:t>2.2.</w:t>
      </w:r>
      <w:r>
        <w:rPr>
          <w:rFonts w:hint="eastAsia" w:ascii="宋体" w:hAnsi="宋体" w:cs="宋体"/>
          <w:b/>
          <w:color w:val="auto"/>
          <w:szCs w:val="21"/>
        </w:rPr>
        <w:t>6</w:t>
      </w:r>
      <w:r>
        <w:rPr>
          <w:rFonts w:ascii="宋体" w:hAnsi="宋体" w:cs="宋体"/>
          <w:b/>
          <w:color w:val="auto"/>
          <w:szCs w:val="21"/>
        </w:rPr>
        <w:t xml:space="preserve">  </w:t>
      </w:r>
      <w:r>
        <w:rPr>
          <w:rFonts w:hint="eastAsia" w:ascii="宋体" w:hAnsi="宋体" w:cs="宋体"/>
          <w:b/>
          <w:color w:val="auto"/>
          <w:szCs w:val="21"/>
        </w:rPr>
        <w:t>法定代表人授权委托书和委托代理人完整有效的身份证复印件（委托代理时必须提供。第二代身份证必须提供正反面复印件，同时要加盖单位公章）；</w:t>
      </w:r>
    </w:p>
    <w:p>
      <w:pPr>
        <w:snapToGrid w:val="0"/>
        <w:spacing w:beforeLines="50" w:after="50"/>
        <w:rPr>
          <w:rFonts w:ascii="宋体" w:cs="宋体"/>
          <w:b/>
          <w:color w:val="auto"/>
          <w:szCs w:val="21"/>
        </w:rPr>
      </w:pPr>
      <w:r>
        <w:rPr>
          <w:rFonts w:ascii="宋体" w:hAnsi="宋体" w:cs="宋体"/>
          <w:b/>
          <w:color w:val="auto"/>
          <w:szCs w:val="21"/>
        </w:rPr>
        <w:t>2.2.</w:t>
      </w:r>
      <w:r>
        <w:rPr>
          <w:rFonts w:hint="eastAsia" w:ascii="宋体" w:hAnsi="宋体" w:cs="宋体"/>
          <w:b/>
          <w:color w:val="auto"/>
          <w:szCs w:val="21"/>
        </w:rPr>
        <w:t>6</w:t>
      </w:r>
      <w:r>
        <w:rPr>
          <w:rFonts w:ascii="宋体" w:hAnsi="宋体" w:cs="宋体"/>
          <w:b/>
          <w:color w:val="auto"/>
          <w:szCs w:val="21"/>
        </w:rPr>
        <w:t xml:space="preserve">-1  </w:t>
      </w:r>
      <w:r>
        <w:rPr>
          <w:rFonts w:hint="eastAsia" w:ascii="宋体" w:hAnsi="宋体" w:cs="宋体"/>
          <w:b/>
          <w:color w:val="auto"/>
          <w:szCs w:val="21"/>
        </w:rPr>
        <w:t>法定代表人授权委托书格式：</w:t>
      </w:r>
    </w:p>
    <w:p>
      <w:pPr>
        <w:snapToGrid w:val="0"/>
        <w:spacing w:beforeLines="50" w:after="50"/>
        <w:rPr>
          <w:rFonts w:ascii="宋体" w:cs="宋体"/>
          <w:color w:val="auto"/>
          <w:szCs w:val="21"/>
        </w:rPr>
      </w:pPr>
    </w:p>
    <w:p>
      <w:pPr>
        <w:snapToGrid w:val="0"/>
        <w:spacing w:beforeLines="50" w:after="50" w:line="360" w:lineRule="auto"/>
        <w:jc w:val="center"/>
        <w:rPr>
          <w:rFonts w:ascii="宋体" w:cs="宋体"/>
          <w:bCs/>
          <w:color w:val="auto"/>
          <w:szCs w:val="21"/>
        </w:rPr>
      </w:pPr>
      <w:r>
        <w:rPr>
          <w:rFonts w:hint="eastAsia" w:ascii="宋体" w:hAnsi="宋体" w:cs="宋体"/>
          <w:b/>
          <w:color w:val="auto"/>
          <w:sz w:val="28"/>
          <w:szCs w:val="28"/>
        </w:rPr>
        <w:t>法定代表人授权委托书</w:t>
      </w:r>
    </w:p>
    <w:p>
      <w:pPr>
        <w:snapToGrid w:val="0"/>
        <w:spacing w:beforeLines="50" w:after="50" w:line="360" w:lineRule="auto"/>
        <w:rPr>
          <w:rFonts w:ascii="宋体" w:cs="宋体"/>
          <w:b/>
          <w:bCs/>
          <w:color w:val="auto"/>
          <w:szCs w:val="21"/>
        </w:rPr>
      </w:pPr>
      <w:r>
        <w:rPr>
          <w:rFonts w:hint="eastAsia" w:ascii="宋体" w:hAnsi="宋体" w:cs="宋体"/>
          <w:bCs/>
          <w:color w:val="auto"/>
          <w:szCs w:val="21"/>
        </w:rPr>
        <w:t>致：</w:t>
      </w:r>
      <w:r>
        <w:rPr>
          <w:rFonts w:ascii="宋体" w:hAnsi="宋体" w:cs="宋体"/>
          <w:color w:val="auto"/>
          <w:szCs w:val="21"/>
          <w:u w:val="single"/>
        </w:rPr>
        <w:t xml:space="preserve">                </w:t>
      </w:r>
      <w:r>
        <w:rPr>
          <w:rFonts w:hint="eastAsia" w:ascii="宋体" w:hAnsi="宋体" w:cs="宋体"/>
          <w:color w:val="auto"/>
          <w:szCs w:val="21"/>
        </w:rPr>
        <w:t>（招标采购单位名称）：</w:t>
      </w:r>
    </w:p>
    <w:p>
      <w:pPr>
        <w:snapToGrid w:val="0"/>
        <w:spacing w:beforeLines="50" w:after="50" w:line="360" w:lineRule="auto"/>
        <w:ind w:firstLine="630" w:firstLineChars="300"/>
        <w:rPr>
          <w:rFonts w:ascii="宋体" w:cs="宋体"/>
          <w:color w:val="auto"/>
          <w:szCs w:val="21"/>
        </w:rPr>
      </w:pPr>
      <w:r>
        <w:rPr>
          <w:rFonts w:hint="eastAsia" w:ascii="宋体" w:hAnsi="宋体" w:cs="宋体"/>
          <w:color w:val="auto"/>
          <w:szCs w:val="21"/>
        </w:rPr>
        <w:t>我</w:t>
      </w:r>
      <w:r>
        <w:rPr>
          <w:rFonts w:ascii="宋体" w:hAnsi="宋体" w:cs="宋体"/>
          <w:color w:val="auto"/>
          <w:szCs w:val="21"/>
          <w:u w:val="single"/>
        </w:rPr>
        <w:t xml:space="preserve">             </w:t>
      </w:r>
      <w:r>
        <w:rPr>
          <w:rFonts w:hint="eastAsia" w:ascii="宋体" w:hAnsi="宋体" w:cs="宋体"/>
          <w:color w:val="auto"/>
          <w:szCs w:val="21"/>
        </w:rPr>
        <w:t>（姓名）系</w:t>
      </w:r>
      <w:r>
        <w:rPr>
          <w:rFonts w:ascii="宋体" w:hAnsi="宋体" w:cs="宋体"/>
          <w:color w:val="auto"/>
          <w:szCs w:val="21"/>
          <w:u w:val="single"/>
        </w:rPr>
        <w:t xml:space="preserve">                  </w:t>
      </w:r>
      <w:r>
        <w:rPr>
          <w:rFonts w:hint="eastAsia" w:ascii="宋体" w:hAnsi="宋体" w:cs="宋体"/>
          <w:color w:val="auto"/>
          <w:szCs w:val="21"/>
        </w:rPr>
        <w:t>（投标人名称）的法定代表人，现授权委托本单位在职职工</w:t>
      </w:r>
      <w:r>
        <w:rPr>
          <w:rFonts w:ascii="宋体" w:hAnsi="宋体" w:cs="宋体"/>
          <w:color w:val="auto"/>
          <w:szCs w:val="21"/>
        </w:rPr>
        <w:t xml:space="preserve"> </w:t>
      </w:r>
      <w:r>
        <w:rPr>
          <w:rFonts w:ascii="宋体" w:hAnsi="宋体" w:cs="宋体"/>
          <w:color w:val="auto"/>
          <w:szCs w:val="21"/>
          <w:u w:val="single"/>
        </w:rPr>
        <w:t xml:space="preserve">              </w:t>
      </w:r>
      <w:r>
        <w:rPr>
          <w:rFonts w:hint="eastAsia" w:ascii="宋体" w:hAnsi="宋体" w:cs="宋体"/>
          <w:color w:val="auto"/>
          <w:szCs w:val="21"/>
        </w:rPr>
        <w:t>（姓名）以我方的名义参加</w:t>
      </w:r>
      <w:r>
        <w:rPr>
          <w:rFonts w:ascii="宋体" w:hAnsi="宋体" w:cs="宋体"/>
          <w:color w:val="auto"/>
          <w:szCs w:val="21"/>
          <w:u w:val="single"/>
        </w:rPr>
        <w:t xml:space="preserve">                    </w:t>
      </w:r>
      <w:r>
        <w:rPr>
          <w:rFonts w:hint="eastAsia" w:ascii="宋体" w:hAnsi="宋体" w:cs="宋体"/>
          <w:color w:val="auto"/>
          <w:szCs w:val="21"/>
        </w:rPr>
        <w:t>项目（项目编号：</w:t>
      </w:r>
      <w:r>
        <w:rPr>
          <w:rFonts w:ascii="宋体" w:hAnsi="宋体" w:cs="宋体"/>
          <w:color w:val="auto"/>
          <w:szCs w:val="21"/>
          <w:u w:val="single"/>
        </w:rPr>
        <w:t xml:space="preserve">              </w:t>
      </w:r>
      <w:r>
        <w:rPr>
          <w:rFonts w:hint="eastAsia" w:ascii="宋体" w:hAnsi="宋体" w:cs="宋体"/>
          <w:color w:val="auto"/>
          <w:szCs w:val="21"/>
        </w:rPr>
        <w:t>）的投标活动，并代表我方全权办理针对上述项目的投标、开标、评标、签约等具体事务和签署相关文件。</w:t>
      </w:r>
    </w:p>
    <w:p>
      <w:pPr>
        <w:snapToGrid w:val="0"/>
        <w:spacing w:beforeLines="50" w:after="50" w:line="360" w:lineRule="auto"/>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我方对被授权人的签名事项负全部责任。</w:t>
      </w:r>
    </w:p>
    <w:p>
      <w:pPr>
        <w:snapToGrid w:val="0"/>
        <w:spacing w:beforeLines="50" w:after="50" w:line="360" w:lineRule="auto"/>
        <w:ind w:firstLine="480"/>
        <w:rPr>
          <w:rFonts w:ascii="宋体" w:cs="宋体"/>
          <w:color w:val="auto"/>
          <w:szCs w:val="21"/>
        </w:rPr>
      </w:pPr>
      <w:r>
        <w:rPr>
          <w:rFonts w:hint="eastAsia" w:ascii="宋体" w:hAnsi="宋体" w:cs="宋体"/>
          <w:color w:val="auto"/>
          <w:szCs w:val="21"/>
          <w:u w:val="single"/>
        </w:rPr>
        <w:t>在撤销授权的书面通知以前，本授权书一直有效。</w:t>
      </w:r>
      <w:r>
        <w:rPr>
          <w:rFonts w:hint="eastAsia" w:ascii="宋体" w:hAnsi="宋体" w:cs="宋体"/>
          <w:color w:val="auto"/>
          <w:szCs w:val="21"/>
        </w:rPr>
        <w:t>被授权人在授权书有效期内签署的所有文件不因授权的撤销而失效。</w:t>
      </w:r>
    </w:p>
    <w:p>
      <w:pPr>
        <w:snapToGrid w:val="0"/>
        <w:spacing w:beforeLines="50" w:after="50" w:line="360" w:lineRule="auto"/>
        <w:ind w:firstLine="480"/>
        <w:rPr>
          <w:rFonts w:ascii="宋体" w:cs="宋体"/>
          <w:color w:val="auto"/>
          <w:szCs w:val="21"/>
        </w:rPr>
      </w:pPr>
      <w:r>
        <w:rPr>
          <w:rFonts w:hint="eastAsia" w:ascii="宋体" w:hAnsi="宋体" w:cs="宋体"/>
          <w:color w:val="auto"/>
          <w:szCs w:val="21"/>
        </w:rPr>
        <w:t>被授权人无转委托权，特此委托。</w:t>
      </w:r>
    </w:p>
    <w:p>
      <w:pPr>
        <w:snapToGrid w:val="0"/>
        <w:spacing w:beforeLines="50" w:after="50" w:line="360" w:lineRule="auto"/>
        <w:rPr>
          <w:rFonts w:ascii="宋体" w:cs="宋体"/>
          <w:color w:val="auto"/>
          <w:szCs w:val="21"/>
          <w:u w:val="single"/>
        </w:rPr>
      </w:pPr>
      <w:r>
        <w:rPr>
          <w:rFonts w:hint="eastAsia" w:ascii="宋体" w:hAnsi="宋体" w:cs="宋体"/>
          <w:color w:val="auto"/>
          <w:szCs w:val="21"/>
        </w:rPr>
        <w:t>被授权人签名：</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法定代表人签名：</w:t>
      </w:r>
      <w:r>
        <w:rPr>
          <w:rFonts w:ascii="宋体" w:hAnsi="宋体" w:cs="宋体"/>
          <w:color w:val="auto"/>
          <w:szCs w:val="21"/>
          <w:u w:val="single"/>
        </w:rPr>
        <w:t xml:space="preserve">              </w:t>
      </w:r>
    </w:p>
    <w:p>
      <w:pPr>
        <w:snapToGrid w:val="0"/>
        <w:spacing w:beforeLines="50" w:after="50" w:line="360" w:lineRule="auto"/>
        <w:rPr>
          <w:rFonts w:ascii="宋体" w:cs="宋体"/>
          <w:color w:val="auto"/>
          <w:szCs w:val="21"/>
        </w:rPr>
      </w:pPr>
      <w:r>
        <w:rPr>
          <w:rFonts w:hint="eastAsia" w:ascii="宋体" w:hAnsi="宋体" w:cs="宋体"/>
          <w:color w:val="auto"/>
          <w:szCs w:val="21"/>
        </w:rPr>
        <w:t>所在部门职务：</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职</w:t>
      </w:r>
      <w:r>
        <w:rPr>
          <w:rFonts w:ascii="宋体" w:hAnsi="宋体" w:cs="宋体"/>
          <w:color w:val="auto"/>
          <w:szCs w:val="21"/>
        </w:rPr>
        <w:t xml:space="preserve">  </w:t>
      </w:r>
      <w:r>
        <w:rPr>
          <w:rFonts w:hint="eastAsia" w:ascii="宋体" w:hAnsi="宋体" w:cs="宋体"/>
          <w:color w:val="auto"/>
          <w:szCs w:val="21"/>
        </w:rPr>
        <w:t>务：</w:t>
      </w:r>
      <w:r>
        <w:rPr>
          <w:rFonts w:ascii="宋体" w:hAnsi="宋体" w:cs="宋体"/>
          <w:color w:val="auto"/>
          <w:szCs w:val="21"/>
          <w:u w:val="single"/>
        </w:rPr>
        <w:t xml:space="preserve">              </w:t>
      </w:r>
    </w:p>
    <w:p>
      <w:pPr>
        <w:snapToGrid w:val="0"/>
        <w:spacing w:beforeLines="50" w:after="50" w:line="360" w:lineRule="auto"/>
        <w:rPr>
          <w:rFonts w:ascii="宋体" w:cs="宋体"/>
          <w:color w:val="auto"/>
          <w:szCs w:val="21"/>
        </w:rPr>
      </w:pPr>
      <w:r>
        <w:rPr>
          <w:rFonts w:hint="eastAsia" w:ascii="宋体" w:hAnsi="宋体" w:cs="宋体"/>
          <w:color w:val="auto"/>
          <w:szCs w:val="21"/>
        </w:rPr>
        <w:t>被授权人身份证号码：</w:t>
      </w:r>
      <w:r>
        <w:rPr>
          <w:rFonts w:ascii="宋体" w:hAnsi="宋体" w:cs="宋体"/>
          <w:color w:val="auto"/>
          <w:szCs w:val="21"/>
          <w:u w:val="single"/>
        </w:rPr>
        <w:t xml:space="preserve">                             </w:t>
      </w:r>
      <w:r>
        <w:rPr>
          <w:rFonts w:ascii="宋体" w:hAnsi="宋体" w:cs="宋体"/>
          <w:color w:val="auto"/>
          <w:szCs w:val="21"/>
        </w:rPr>
        <w:t xml:space="preserve">                                     </w:t>
      </w:r>
    </w:p>
    <w:p>
      <w:pPr>
        <w:snapToGrid w:val="0"/>
        <w:spacing w:beforeLines="50" w:after="50" w:line="360" w:lineRule="auto"/>
        <w:ind w:firstLine="5880" w:firstLineChars="2800"/>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投标人公章：</w:t>
      </w:r>
    </w:p>
    <w:p>
      <w:pPr>
        <w:snapToGrid w:val="0"/>
        <w:spacing w:beforeLines="50" w:after="50" w:line="360" w:lineRule="auto"/>
        <w:jc w:val="center"/>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pStyle w:val="55"/>
        <w:rPr>
          <w:color w:val="auto"/>
        </w:rPr>
      </w:pPr>
    </w:p>
    <w:p>
      <w:pPr>
        <w:snapToGrid w:val="0"/>
        <w:spacing w:line="420" w:lineRule="exact"/>
        <w:jc w:val="left"/>
        <w:rPr>
          <w:rFonts w:ascii="宋体" w:cs="宋体"/>
          <w:b/>
          <w:color w:val="auto"/>
          <w:szCs w:val="21"/>
        </w:rPr>
      </w:pPr>
      <w:r>
        <w:rPr>
          <w:rFonts w:ascii="宋体" w:hAnsi="宋体" w:cs="宋体"/>
          <w:b/>
          <w:color w:val="auto"/>
          <w:szCs w:val="21"/>
        </w:rPr>
        <w:t>2.2.</w:t>
      </w:r>
      <w:r>
        <w:rPr>
          <w:rFonts w:hint="eastAsia" w:ascii="宋体" w:hAnsi="宋体" w:cs="宋体"/>
          <w:b/>
          <w:color w:val="auto"/>
          <w:szCs w:val="21"/>
        </w:rPr>
        <w:t>6</w:t>
      </w:r>
      <w:r>
        <w:rPr>
          <w:rFonts w:ascii="宋体" w:hAnsi="宋体" w:cs="宋体"/>
          <w:b/>
          <w:color w:val="auto"/>
          <w:szCs w:val="21"/>
        </w:rPr>
        <w:t>-2</w:t>
      </w:r>
      <w:r>
        <w:rPr>
          <w:rFonts w:hint="eastAsia" w:ascii="宋体" w:hAnsi="宋体" w:cs="宋体"/>
          <w:b/>
          <w:color w:val="auto"/>
          <w:szCs w:val="21"/>
        </w:rPr>
        <w:t>委托代理人完整有效的身份证复印件（委托代理时必须提供。第二代身份证必须提供正反面复印件，同时要加盖单位公章，否则其投标无效）；</w:t>
      </w:r>
    </w:p>
    <w:p>
      <w:pPr>
        <w:tabs>
          <w:tab w:val="left" w:pos="606"/>
        </w:tabs>
        <w:rPr>
          <w:rFonts w:ascii="宋体"/>
          <w:b/>
          <w:color w:val="auto"/>
          <w:spacing w:val="20"/>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tabs>
          <w:tab w:val="left" w:pos="2730"/>
        </w:tabs>
        <w:snapToGrid w:val="0"/>
        <w:spacing w:beforeLines="50" w:line="420" w:lineRule="exact"/>
        <w:rPr>
          <w:rFonts w:ascii="宋体" w:cs="宋体"/>
          <w:b/>
          <w:color w:val="auto"/>
          <w:szCs w:val="21"/>
        </w:rPr>
      </w:pPr>
      <w:r>
        <w:rPr>
          <w:rFonts w:ascii="宋体" w:hAnsi="宋体" w:cs="宋体"/>
          <w:b/>
          <w:color w:val="auto"/>
          <w:szCs w:val="21"/>
        </w:rPr>
        <w:t>2.2.</w:t>
      </w:r>
      <w:r>
        <w:rPr>
          <w:rFonts w:hint="eastAsia" w:ascii="宋体" w:hAnsi="宋体" w:cs="宋体"/>
          <w:b/>
          <w:color w:val="auto"/>
          <w:szCs w:val="21"/>
        </w:rPr>
        <w:t>7</w:t>
      </w:r>
      <w:r>
        <w:rPr>
          <w:rFonts w:ascii="宋体" w:hAnsi="宋体" w:cs="宋体"/>
          <w:b/>
          <w:color w:val="auto"/>
          <w:szCs w:val="21"/>
        </w:rPr>
        <w:t xml:space="preserve">   </w:t>
      </w:r>
      <w:r>
        <w:rPr>
          <w:rFonts w:hint="eastAsia" w:ascii="宋体" w:hAnsi="宋体" w:cs="宋体"/>
          <w:b/>
          <w:color w:val="auto"/>
          <w:szCs w:val="21"/>
        </w:rPr>
        <w:t>截标时间前半年内，连续三个月依法缴纳税费的凭证（复印件，格式略），无纳税记录的，应提供由投标人所在地主管税务部门出具的《依法缴纳税费或依法免缴税费证明》（格式自拟），《依法缴纳税费或依法免缴税费证明》原件一年内均保持有效。</w:t>
      </w: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bCs w:val="0"/>
          <w:color w:val="auto"/>
          <w:spacing w:val="0"/>
          <w:kern w:val="2"/>
          <w:sz w:val="21"/>
          <w:szCs w:val="21"/>
        </w:rPr>
      </w:pPr>
    </w:p>
    <w:p>
      <w:pPr>
        <w:pStyle w:val="55"/>
        <w:rPr>
          <w:rFonts w:ascii="宋体" w:cs="宋体"/>
          <w:b/>
          <w:bCs w:val="0"/>
          <w:color w:val="auto"/>
          <w:spacing w:val="0"/>
          <w:kern w:val="2"/>
          <w:sz w:val="21"/>
          <w:szCs w:val="21"/>
        </w:rPr>
      </w:pPr>
      <w:r>
        <w:rPr>
          <w:rFonts w:ascii="宋体" w:hAnsi="宋体" w:cs="宋体"/>
          <w:b/>
          <w:bCs w:val="0"/>
          <w:color w:val="auto"/>
          <w:spacing w:val="0"/>
          <w:kern w:val="2"/>
          <w:sz w:val="21"/>
          <w:szCs w:val="21"/>
        </w:rPr>
        <w:t>2.2.</w:t>
      </w:r>
      <w:r>
        <w:rPr>
          <w:rFonts w:hint="eastAsia" w:ascii="宋体" w:hAnsi="宋体" w:cs="宋体"/>
          <w:b/>
          <w:bCs w:val="0"/>
          <w:color w:val="auto"/>
          <w:spacing w:val="0"/>
          <w:kern w:val="2"/>
          <w:sz w:val="21"/>
          <w:szCs w:val="21"/>
        </w:rPr>
        <w:t>8</w:t>
      </w:r>
      <w:r>
        <w:rPr>
          <w:rFonts w:ascii="宋体" w:hAnsi="宋体" w:cs="宋体"/>
          <w:b/>
          <w:bCs w:val="0"/>
          <w:color w:val="auto"/>
          <w:spacing w:val="0"/>
          <w:kern w:val="2"/>
          <w:sz w:val="21"/>
          <w:szCs w:val="21"/>
        </w:rPr>
        <w:t xml:space="preserve">  </w:t>
      </w:r>
      <w:r>
        <w:rPr>
          <w:rFonts w:hint="eastAsia" w:ascii="宋体" w:hAnsi="宋体" w:cs="宋体"/>
          <w:b/>
          <w:bCs w:val="0"/>
          <w:color w:val="auto"/>
          <w:spacing w:val="0"/>
          <w:kern w:val="2"/>
          <w:sz w:val="21"/>
          <w:szCs w:val="21"/>
        </w:rPr>
        <w:t>截标时间前半年内，连续三个月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p>
    <w:p>
      <w:pPr>
        <w:pStyle w:val="55"/>
        <w:rPr>
          <w:rFonts w:ascii="宋体" w:cs="宋体"/>
          <w:b/>
          <w:bCs w:val="0"/>
          <w:color w:val="auto"/>
          <w:spacing w:val="0"/>
          <w:kern w:val="2"/>
          <w:sz w:val="21"/>
          <w:szCs w:val="21"/>
        </w:rPr>
      </w:pPr>
    </w:p>
    <w:p>
      <w:pPr>
        <w:snapToGrid w:val="0"/>
        <w:spacing w:beforeLines="50" w:line="420" w:lineRule="exact"/>
        <w:rPr>
          <w:rFonts w:ascii="宋体" w:cs="宋体"/>
          <w:b/>
          <w:color w:val="auto"/>
          <w:szCs w:val="21"/>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snapToGrid w:val="0"/>
        <w:spacing w:beforeLines="50" w:line="420" w:lineRule="exact"/>
        <w:rPr>
          <w:rFonts w:ascii="宋体" w:cs="宋体"/>
          <w:b/>
          <w:color w:val="auto"/>
          <w:spacing w:val="20"/>
          <w:szCs w:val="21"/>
          <w:u w:val="single"/>
        </w:rPr>
      </w:pPr>
      <w:r>
        <w:rPr>
          <w:rFonts w:ascii="宋体" w:hAnsi="宋体" w:cs="宋体"/>
          <w:b/>
          <w:color w:val="auto"/>
          <w:szCs w:val="21"/>
        </w:rPr>
        <w:t>2.2.</w:t>
      </w:r>
      <w:r>
        <w:rPr>
          <w:rFonts w:hint="eastAsia" w:ascii="宋体" w:hAnsi="宋体" w:cs="宋体"/>
          <w:b/>
          <w:color w:val="auto"/>
          <w:szCs w:val="21"/>
        </w:rPr>
        <w:t>9</w:t>
      </w:r>
      <w:r>
        <w:rPr>
          <w:rFonts w:ascii="宋体" w:hAnsi="宋体" w:cs="宋体"/>
          <w:b/>
          <w:color w:val="auto"/>
          <w:szCs w:val="21"/>
        </w:rPr>
        <w:t xml:space="preserve">  </w:t>
      </w:r>
      <w:r>
        <w:rPr>
          <w:rFonts w:hint="eastAsia" w:ascii="宋体" w:hAnsi="宋体" w:cs="宋体"/>
          <w:b/>
          <w:color w:val="auto"/>
          <w:szCs w:val="21"/>
        </w:rPr>
        <w:t>参加政府采购活动前</w:t>
      </w:r>
      <w:r>
        <w:rPr>
          <w:rFonts w:ascii="宋体" w:hAnsi="宋体" w:cs="宋体"/>
          <w:b/>
          <w:color w:val="auto"/>
          <w:szCs w:val="21"/>
        </w:rPr>
        <w:t>3</w:t>
      </w:r>
      <w:r>
        <w:rPr>
          <w:rFonts w:hint="eastAsia" w:ascii="宋体" w:hAnsi="宋体" w:cs="宋体"/>
          <w:b/>
          <w:color w:val="auto"/>
          <w:szCs w:val="21"/>
        </w:rPr>
        <w:t>年内在经营活动中没有重大违法记录的书面声明；</w:t>
      </w:r>
    </w:p>
    <w:p>
      <w:pPr>
        <w:pStyle w:val="55"/>
        <w:rPr>
          <w:color w:val="auto"/>
        </w:rPr>
      </w:pPr>
    </w:p>
    <w:p>
      <w:pPr>
        <w:pStyle w:val="55"/>
        <w:rPr>
          <w:color w:val="auto"/>
        </w:rPr>
      </w:pPr>
    </w:p>
    <w:p>
      <w:pPr>
        <w:pStyle w:val="23"/>
        <w:spacing w:line="420" w:lineRule="exact"/>
        <w:jc w:val="center"/>
        <w:rPr>
          <w:rFonts w:hAnsi="宋体" w:cs="宋体"/>
          <w:b/>
          <w:color w:val="auto"/>
          <w:sz w:val="28"/>
          <w:szCs w:val="28"/>
        </w:rPr>
      </w:pPr>
      <w:r>
        <w:rPr>
          <w:rFonts w:hint="eastAsia" w:hAnsi="宋体" w:cs="宋体"/>
          <w:b/>
          <w:color w:val="auto"/>
          <w:sz w:val="28"/>
          <w:szCs w:val="28"/>
        </w:rPr>
        <w:t>参加政府采购活动前</w:t>
      </w:r>
      <w:r>
        <w:rPr>
          <w:rFonts w:hAnsi="宋体" w:cs="宋体"/>
          <w:b/>
          <w:color w:val="auto"/>
          <w:sz w:val="28"/>
          <w:szCs w:val="28"/>
        </w:rPr>
        <w:t>3</w:t>
      </w:r>
      <w:r>
        <w:rPr>
          <w:rFonts w:hint="eastAsia" w:hAnsi="宋体" w:cs="宋体"/>
          <w:b/>
          <w:color w:val="auto"/>
          <w:sz w:val="28"/>
          <w:szCs w:val="28"/>
        </w:rPr>
        <w:t>年内在经营活动中没有重大违法记录的书面声明（格式）</w:t>
      </w:r>
    </w:p>
    <w:p>
      <w:pPr>
        <w:tabs>
          <w:tab w:val="left" w:pos="7200"/>
        </w:tabs>
        <w:spacing w:line="420" w:lineRule="exact"/>
        <w:jc w:val="left"/>
        <w:rPr>
          <w:rFonts w:ascii="宋体" w:cs="宋体"/>
          <w:color w:val="auto"/>
        </w:rPr>
      </w:pPr>
    </w:p>
    <w:p>
      <w:pPr>
        <w:spacing w:line="400" w:lineRule="exact"/>
        <w:rPr>
          <w:rFonts w:ascii="新宋体" w:hAnsi="新宋体" w:eastAsia="新宋体"/>
          <w:color w:val="auto"/>
          <w:szCs w:val="21"/>
          <w:u w:val="single"/>
        </w:rPr>
      </w:pPr>
      <w:r>
        <w:rPr>
          <w:rStyle w:val="114"/>
          <w:rFonts w:hint="eastAsia" w:ascii="新宋体" w:hAnsi="新宋体" w:eastAsia="新宋体"/>
          <w:color w:val="auto"/>
          <w:szCs w:val="21"/>
        </w:rPr>
        <w:t>致：</w:t>
      </w:r>
      <w:r>
        <w:rPr>
          <w:rStyle w:val="114"/>
          <w:rFonts w:hint="eastAsia" w:ascii="新宋体" w:hAnsi="新宋体" w:eastAsia="新宋体"/>
          <w:color w:val="auto"/>
          <w:szCs w:val="21"/>
          <w:u w:val="single"/>
        </w:rPr>
        <w:t>广西科联招标中心有限公司</w:t>
      </w:r>
      <w:r>
        <w:rPr>
          <w:rFonts w:hint="eastAsia" w:ascii="宋体" w:hAnsi="宋体" w:cs="宋体"/>
          <w:color w:val="auto"/>
          <w:szCs w:val="21"/>
          <w:u w:val="single"/>
        </w:rPr>
        <w:t>（采购代理机构名称）</w:t>
      </w:r>
    </w:p>
    <w:p>
      <w:pPr>
        <w:spacing w:line="400" w:lineRule="exact"/>
        <w:ind w:firstLine="420" w:firstLineChars="200"/>
        <w:rPr>
          <w:rStyle w:val="114"/>
          <w:rFonts w:ascii="新宋体" w:hAnsi="新宋体" w:eastAsia="新宋体"/>
          <w:color w:val="auto"/>
          <w:szCs w:val="21"/>
        </w:rPr>
      </w:pPr>
      <w:r>
        <w:rPr>
          <w:rStyle w:val="114"/>
          <w:rFonts w:hint="eastAsia" w:ascii="新宋体" w:hAnsi="新宋体" w:eastAsia="新宋体"/>
          <w:color w:val="auto"/>
          <w:szCs w:val="21"/>
        </w:rPr>
        <w:t>我公司参加贵公司组织</w:t>
      </w:r>
      <w:r>
        <w:rPr>
          <w:rStyle w:val="114"/>
          <w:rFonts w:ascii="新宋体" w:hAnsi="新宋体" w:eastAsia="新宋体"/>
          <w:color w:val="auto"/>
          <w:szCs w:val="21"/>
          <w:u w:val="single"/>
        </w:rPr>
        <w:t xml:space="preserve">           </w:t>
      </w:r>
      <w:r>
        <w:rPr>
          <w:rStyle w:val="114"/>
          <w:rFonts w:hint="eastAsia" w:ascii="新宋体" w:hAnsi="新宋体" w:eastAsia="新宋体"/>
          <w:color w:val="auto"/>
          <w:szCs w:val="21"/>
        </w:rPr>
        <w:t>项目的政府采购活动。我公司在此郑重声明，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ind w:firstLine="420" w:firstLineChars="200"/>
        <w:rPr>
          <w:rStyle w:val="114"/>
          <w:rFonts w:ascii="新宋体" w:hAnsi="新宋体" w:eastAsia="新宋体"/>
          <w:color w:val="auto"/>
          <w:szCs w:val="21"/>
        </w:rPr>
      </w:pPr>
      <w:r>
        <w:rPr>
          <w:rStyle w:val="114"/>
          <w:rFonts w:ascii="新宋体" w:hAnsi="新宋体" w:eastAsia="新宋体"/>
          <w:color w:val="auto"/>
          <w:szCs w:val="21"/>
        </w:rPr>
        <w:t xml:space="preserve"> </w:t>
      </w:r>
      <w:r>
        <w:rPr>
          <w:rStyle w:val="114"/>
          <w:rFonts w:hint="eastAsia" w:ascii="新宋体" w:hAnsi="新宋体" w:eastAsia="新宋体"/>
          <w:color w:val="auto"/>
          <w:szCs w:val="21"/>
        </w:rPr>
        <w:t>以上事项如有虚假或隐瞒，我方愿意承担一切后果，并不再寻求任何旨在减轻或免除法律责任的辩解。</w:t>
      </w:r>
    </w:p>
    <w:p>
      <w:pPr>
        <w:spacing w:line="400" w:lineRule="exact"/>
        <w:ind w:firstLine="630" w:firstLineChars="300"/>
        <w:rPr>
          <w:rFonts w:ascii="新宋体" w:hAnsi="新宋体" w:eastAsia="新宋体"/>
          <w:color w:val="auto"/>
          <w:szCs w:val="21"/>
        </w:rPr>
      </w:pPr>
      <w:r>
        <w:rPr>
          <w:rStyle w:val="114"/>
          <w:rFonts w:hint="eastAsia" w:ascii="新宋体" w:hAnsi="新宋体" w:eastAsia="新宋体"/>
          <w:color w:val="auto"/>
          <w:szCs w:val="21"/>
        </w:rPr>
        <w:t>特此承诺。</w:t>
      </w:r>
    </w:p>
    <w:p>
      <w:pPr>
        <w:spacing w:line="400" w:lineRule="exact"/>
        <w:ind w:firstLine="420" w:firstLineChars="200"/>
        <w:jc w:val="center"/>
        <w:rPr>
          <w:rStyle w:val="114"/>
          <w:rFonts w:ascii="新宋体" w:hAnsi="新宋体" w:eastAsia="新宋体"/>
          <w:color w:val="auto"/>
          <w:szCs w:val="21"/>
        </w:rPr>
      </w:pPr>
      <w:r>
        <w:rPr>
          <w:rStyle w:val="114"/>
          <w:rFonts w:ascii="新宋体" w:hAnsi="新宋体" w:eastAsia="新宋体"/>
          <w:color w:val="auto"/>
          <w:szCs w:val="21"/>
        </w:rPr>
        <w:t xml:space="preserve">                      </w:t>
      </w:r>
      <w:r>
        <w:rPr>
          <w:rStyle w:val="114"/>
          <w:rFonts w:hint="eastAsia" w:ascii="新宋体" w:hAnsi="新宋体" w:eastAsia="新宋体"/>
          <w:color w:val="auto"/>
          <w:szCs w:val="21"/>
        </w:rPr>
        <w:t>投标人公章：</w:t>
      </w:r>
      <w:r>
        <w:rPr>
          <w:rStyle w:val="114"/>
          <w:rFonts w:ascii="新宋体" w:hAnsi="新宋体" w:eastAsia="新宋体"/>
          <w:color w:val="auto"/>
          <w:szCs w:val="21"/>
        </w:rPr>
        <w:t xml:space="preserve">  </w:t>
      </w:r>
    </w:p>
    <w:p>
      <w:pPr>
        <w:spacing w:line="400" w:lineRule="exact"/>
        <w:ind w:firstLine="420" w:firstLineChars="200"/>
        <w:jc w:val="center"/>
        <w:rPr>
          <w:rStyle w:val="114"/>
          <w:rFonts w:ascii="新宋体" w:hAnsi="新宋体" w:eastAsia="新宋体"/>
          <w:color w:val="auto"/>
          <w:szCs w:val="21"/>
        </w:rPr>
      </w:pPr>
      <w:r>
        <w:rPr>
          <w:rStyle w:val="114"/>
          <w:rFonts w:ascii="新宋体" w:hAnsi="新宋体" w:eastAsia="新宋体"/>
          <w:color w:val="auto"/>
          <w:szCs w:val="21"/>
        </w:rPr>
        <w:t xml:space="preserve">                    </w:t>
      </w:r>
      <w:r>
        <w:rPr>
          <w:rStyle w:val="114"/>
          <w:rFonts w:hint="eastAsia" w:ascii="新宋体" w:hAnsi="新宋体" w:eastAsia="新宋体"/>
          <w:color w:val="auto"/>
          <w:szCs w:val="21"/>
        </w:rPr>
        <w:t>法定代表人或委托代理人签字：</w:t>
      </w:r>
      <w:r>
        <w:rPr>
          <w:rStyle w:val="114"/>
          <w:rFonts w:ascii="新宋体" w:hAnsi="新宋体" w:eastAsia="新宋体"/>
          <w:color w:val="auto"/>
          <w:szCs w:val="21"/>
        </w:rPr>
        <w:t>   </w:t>
      </w:r>
    </w:p>
    <w:p>
      <w:pPr>
        <w:spacing w:line="400" w:lineRule="exact"/>
        <w:ind w:firstLine="420" w:firstLineChars="200"/>
        <w:jc w:val="right"/>
        <w:rPr>
          <w:rFonts w:ascii="宋体" w:cs="宋体"/>
          <w:color w:val="auto"/>
        </w:rPr>
      </w:pPr>
      <w:r>
        <w:rPr>
          <w:rStyle w:val="114"/>
          <w:rFonts w:hint="eastAsia" w:ascii="新宋体" w:hAnsi="新宋体" w:eastAsia="新宋体"/>
          <w:color w:val="auto"/>
          <w:szCs w:val="21"/>
        </w:rPr>
        <w:t>日期：</w:t>
      </w:r>
      <w:r>
        <w:rPr>
          <w:rStyle w:val="114"/>
          <w:rFonts w:ascii="新宋体" w:hAnsi="新宋体" w:eastAsia="新宋体"/>
          <w:color w:val="auto"/>
          <w:szCs w:val="21"/>
        </w:rPr>
        <w:t>  </w:t>
      </w:r>
      <w:r>
        <w:rPr>
          <w:rStyle w:val="114"/>
          <w:rFonts w:hint="eastAsia" w:ascii="新宋体" w:hAnsi="新宋体" w:eastAsia="新宋体"/>
          <w:color w:val="auto"/>
          <w:szCs w:val="21"/>
        </w:rPr>
        <w:t>年</w:t>
      </w:r>
      <w:r>
        <w:rPr>
          <w:rStyle w:val="114"/>
          <w:rFonts w:ascii="新宋体" w:hAnsi="新宋体" w:eastAsia="新宋体"/>
          <w:color w:val="auto"/>
          <w:szCs w:val="21"/>
        </w:rPr>
        <w:t>    </w:t>
      </w:r>
      <w:r>
        <w:rPr>
          <w:rStyle w:val="114"/>
          <w:rFonts w:hint="eastAsia" w:ascii="新宋体" w:hAnsi="新宋体" w:eastAsia="新宋体"/>
          <w:color w:val="auto"/>
          <w:szCs w:val="21"/>
        </w:rPr>
        <w:t>月</w:t>
      </w:r>
      <w:r>
        <w:rPr>
          <w:rStyle w:val="114"/>
          <w:rFonts w:ascii="新宋体" w:hAnsi="新宋体" w:eastAsia="新宋体"/>
          <w:color w:val="auto"/>
          <w:szCs w:val="21"/>
        </w:rPr>
        <w:t>  </w:t>
      </w:r>
      <w:r>
        <w:rPr>
          <w:rStyle w:val="114"/>
          <w:rFonts w:hint="eastAsia" w:ascii="新宋体" w:hAnsi="新宋体" w:eastAsia="新宋体"/>
          <w:color w:val="auto"/>
          <w:szCs w:val="21"/>
        </w:rPr>
        <w:t>日</w:t>
      </w:r>
    </w:p>
    <w:p>
      <w:pPr>
        <w:pStyle w:val="55"/>
        <w:rPr>
          <w:rFonts w:ascii="宋体" w:cs="宋体"/>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color w:val="auto"/>
        </w:rPr>
      </w:pPr>
    </w:p>
    <w:p>
      <w:pPr>
        <w:pStyle w:val="55"/>
        <w:rPr>
          <w:rFonts w:ascii="宋体" w:hAnsi="宋体" w:cs="宋体"/>
          <w:b/>
          <w:bCs w:val="0"/>
          <w:color w:val="auto"/>
          <w:spacing w:val="0"/>
          <w:kern w:val="2"/>
          <w:sz w:val="21"/>
          <w:szCs w:val="21"/>
        </w:rPr>
      </w:pPr>
      <w:r>
        <w:rPr>
          <w:rFonts w:hint="eastAsia" w:ascii="宋体" w:hAnsi="宋体" w:cs="宋体"/>
          <w:b/>
          <w:bCs w:val="0"/>
          <w:color w:val="auto"/>
          <w:spacing w:val="0"/>
          <w:kern w:val="2"/>
          <w:sz w:val="21"/>
          <w:szCs w:val="21"/>
        </w:rPr>
        <w:t>2.2.10  信用记录网站〔“信用中国”网站(www.creditchina.gov.cn)、中国政府采购网(www.ccgp.gov.cn/cr/list)〕查询结果信用声明函</w:t>
      </w:r>
    </w:p>
    <w:p>
      <w:pPr>
        <w:tabs>
          <w:tab w:val="left" w:pos="7200"/>
        </w:tabs>
        <w:spacing w:line="420" w:lineRule="exact"/>
        <w:jc w:val="left"/>
        <w:rPr>
          <w:rFonts w:ascii="宋体" w:hAnsi="宋体" w:cs="宋体"/>
          <w:b/>
          <w:color w:val="auto"/>
          <w:szCs w:val="21"/>
        </w:rPr>
      </w:pPr>
    </w:p>
    <w:p>
      <w:pPr>
        <w:pStyle w:val="23"/>
        <w:spacing w:line="420" w:lineRule="exact"/>
        <w:jc w:val="center"/>
        <w:rPr>
          <w:rFonts w:hAnsi="宋体" w:cs="宋体"/>
          <w:b/>
          <w:color w:val="auto"/>
          <w:sz w:val="28"/>
          <w:szCs w:val="28"/>
        </w:rPr>
      </w:pPr>
      <w:r>
        <w:rPr>
          <w:rFonts w:hint="eastAsia" w:hAnsi="宋体" w:cs="宋体"/>
          <w:b/>
          <w:color w:val="auto"/>
          <w:sz w:val="28"/>
          <w:szCs w:val="28"/>
        </w:rPr>
        <w:t>信用声明函（格式）</w:t>
      </w:r>
    </w:p>
    <w:p>
      <w:pPr>
        <w:pStyle w:val="23"/>
        <w:spacing w:line="420" w:lineRule="exact"/>
        <w:jc w:val="center"/>
        <w:rPr>
          <w:rFonts w:hAnsi="宋体" w:cs="宋体"/>
          <w:b/>
          <w:color w:val="auto"/>
          <w:sz w:val="30"/>
          <w:szCs w:val="30"/>
        </w:rPr>
      </w:pPr>
    </w:p>
    <w:p>
      <w:pPr>
        <w:tabs>
          <w:tab w:val="left" w:pos="7200"/>
        </w:tabs>
        <w:spacing w:line="420" w:lineRule="exact"/>
        <w:rPr>
          <w:rFonts w:ascii="宋体" w:hAnsi="宋体" w:cs="宋体"/>
          <w:color w:val="auto"/>
        </w:rPr>
      </w:pPr>
      <w:r>
        <w:rPr>
          <w:rFonts w:hint="eastAsia" w:ascii="宋体" w:hAnsi="宋体" w:cs="宋体"/>
          <w:color w:val="auto"/>
        </w:rPr>
        <w:t>致：</w:t>
      </w:r>
      <w:r>
        <w:rPr>
          <w:rFonts w:hint="eastAsia" w:ascii="宋体" w:hAnsi="宋体" w:cs="宋体"/>
          <w:color w:val="auto"/>
          <w:u w:val="single"/>
        </w:rPr>
        <w:t xml:space="preserve">                      </w:t>
      </w:r>
      <w:r>
        <w:rPr>
          <w:rFonts w:hint="eastAsia" w:ascii="宋体" w:hAnsi="宋体" w:cs="宋体"/>
          <w:color w:val="auto"/>
        </w:rPr>
        <w:t>（采购代理机构名称）</w:t>
      </w:r>
    </w:p>
    <w:p>
      <w:pPr>
        <w:tabs>
          <w:tab w:val="left" w:pos="7200"/>
        </w:tabs>
        <w:spacing w:line="420" w:lineRule="exact"/>
        <w:ind w:firstLine="420" w:firstLineChars="200"/>
        <w:jc w:val="left"/>
        <w:rPr>
          <w:rFonts w:ascii="宋体" w:hAnsi="宋体" w:cs="宋体"/>
          <w:color w:val="auto"/>
        </w:rPr>
      </w:pPr>
      <w:r>
        <w:rPr>
          <w:rFonts w:hint="eastAsia" w:ascii="宋体" w:hAnsi="宋体" w:cs="宋体"/>
          <w:color w:val="auto"/>
        </w:rPr>
        <w:t>我方愿意参加贵方组织的</w:t>
      </w:r>
      <w:r>
        <w:rPr>
          <w:rFonts w:hint="eastAsia" w:ascii="宋体" w:hAnsi="宋体" w:cs="宋体"/>
          <w:color w:val="auto"/>
          <w:u w:val="single"/>
        </w:rPr>
        <w:t xml:space="preserve">     (项目名称)          </w:t>
      </w:r>
      <w:r>
        <w:rPr>
          <w:rFonts w:hint="eastAsia" w:ascii="宋体" w:hAnsi="宋体" w:cs="宋体"/>
          <w:color w:val="auto"/>
        </w:rPr>
        <w:t>（项目编号：</w:t>
      </w:r>
      <w:r>
        <w:rPr>
          <w:rFonts w:hint="eastAsia" w:ascii="宋体" w:hAnsi="宋体" w:cs="宋体"/>
          <w:color w:val="auto"/>
          <w:u w:val="single"/>
        </w:rPr>
        <w:t xml:space="preserve">       </w:t>
      </w:r>
      <w:r>
        <w:rPr>
          <w:rFonts w:hint="eastAsia" w:ascii="宋体" w:hAnsi="宋体" w:cs="宋体"/>
          <w:color w:val="auto"/>
        </w:rPr>
        <w:t>）项目的投标，为便于贵方公正、择优地确定中标人及其投标设备和服务，我方就本次投标有关事项郑重声明如下：</w:t>
      </w:r>
    </w:p>
    <w:p>
      <w:pPr>
        <w:tabs>
          <w:tab w:val="left" w:pos="7200"/>
        </w:tabs>
        <w:spacing w:line="420" w:lineRule="exact"/>
        <w:ind w:firstLine="420" w:firstLineChars="200"/>
        <w:rPr>
          <w:rFonts w:ascii="宋体" w:hAnsi="宋体" w:cs="宋体"/>
          <w:color w:val="auto"/>
          <w:u w:val="single"/>
        </w:rPr>
      </w:pPr>
      <w:r>
        <w:rPr>
          <w:rFonts w:hint="eastAsia" w:ascii="宋体" w:hAnsi="宋体" w:cs="宋体"/>
          <w:color w:val="auto"/>
        </w:rPr>
        <w:t>1. 经查询，在规定的查询时间内，“信用中国”和“中国政府采购网”网站我方未被列入失信被执行人、重大税收违法案件当事人名单、政府采购严重违法失信行为记录名单。</w:t>
      </w:r>
    </w:p>
    <w:p>
      <w:pPr>
        <w:tabs>
          <w:tab w:val="left" w:pos="7200"/>
        </w:tabs>
        <w:spacing w:line="420" w:lineRule="exact"/>
        <w:ind w:firstLine="420" w:firstLineChars="200"/>
        <w:rPr>
          <w:rFonts w:ascii="宋体" w:hAnsi="宋体" w:cs="宋体"/>
          <w:color w:val="auto"/>
        </w:rPr>
      </w:pPr>
      <w:r>
        <w:rPr>
          <w:rFonts w:hint="eastAsia" w:ascii="宋体" w:hAnsi="宋体" w:cs="宋体"/>
          <w:color w:val="auto"/>
        </w:rPr>
        <w:t>2. 以上事项如有虚假或隐瞒，我方愿意承担一切后果，并不再寻求任何旨在减轻或免除法律责任的辩解。</w:t>
      </w:r>
    </w:p>
    <w:p>
      <w:pPr>
        <w:tabs>
          <w:tab w:val="left" w:pos="7200"/>
        </w:tabs>
        <w:spacing w:line="420" w:lineRule="exact"/>
        <w:rPr>
          <w:rFonts w:ascii="宋体" w:hAnsi="宋体" w:cs="宋体"/>
          <w:color w:val="auto"/>
        </w:rPr>
      </w:pPr>
    </w:p>
    <w:p>
      <w:pPr>
        <w:tabs>
          <w:tab w:val="left" w:pos="7200"/>
        </w:tabs>
        <w:spacing w:line="420" w:lineRule="exact"/>
        <w:rPr>
          <w:rFonts w:ascii="宋体" w:hAnsi="宋体" w:cs="宋体"/>
          <w:color w:val="auto"/>
        </w:rPr>
      </w:pPr>
      <w:r>
        <w:rPr>
          <w:rFonts w:hint="eastAsia" w:ascii="宋体" w:hAnsi="宋体" w:cs="宋体"/>
          <w:color w:val="auto"/>
        </w:rPr>
        <w:t>说明：</w:t>
      </w:r>
    </w:p>
    <w:p>
      <w:pPr>
        <w:spacing w:line="420" w:lineRule="exact"/>
        <w:ind w:firstLine="420" w:firstLineChars="200"/>
        <w:jc w:val="left"/>
        <w:rPr>
          <w:rFonts w:ascii="宋体" w:hAnsi="宋体" w:cs="宋体"/>
          <w:color w:val="auto"/>
        </w:rPr>
      </w:pPr>
      <w:r>
        <w:rPr>
          <w:rFonts w:hint="eastAsia" w:ascii="宋体" w:hAnsi="宋体" w:cs="宋体"/>
          <w:color w:val="auto"/>
        </w:rPr>
        <w:t>1.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tabs>
          <w:tab w:val="left" w:pos="7200"/>
        </w:tabs>
        <w:spacing w:line="420" w:lineRule="exact"/>
        <w:ind w:firstLine="839" w:firstLineChars="398"/>
        <w:rPr>
          <w:rFonts w:ascii="宋体" w:hAnsi="宋体" w:cs="宋体"/>
          <w:b/>
          <w:color w:val="auto"/>
          <w:u w:val="single"/>
        </w:rPr>
      </w:pPr>
      <w:r>
        <w:rPr>
          <w:rFonts w:hint="eastAsia" w:ascii="宋体" w:hAnsi="宋体" w:cs="宋体"/>
          <w:b/>
          <w:color w:val="auto"/>
        </w:rPr>
        <w:t xml:space="preserve">                              法定代表人或委托代理人签字：</w:t>
      </w:r>
      <w:r>
        <w:rPr>
          <w:rFonts w:hint="eastAsia" w:ascii="宋体" w:hAnsi="宋体" w:cs="宋体"/>
          <w:b/>
          <w:color w:val="auto"/>
          <w:u w:val="single"/>
        </w:rPr>
        <w:t xml:space="preserve">             </w:t>
      </w:r>
    </w:p>
    <w:p>
      <w:pPr>
        <w:tabs>
          <w:tab w:val="left" w:pos="7200"/>
        </w:tabs>
        <w:spacing w:line="420" w:lineRule="exact"/>
        <w:ind w:left="6635" w:leftChars="2000" w:hanging="2435" w:hangingChars="1155"/>
        <w:jc w:val="left"/>
        <w:rPr>
          <w:rFonts w:ascii="宋体" w:hAnsi="宋体" w:cs="宋体"/>
          <w:b/>
          <w:color w:val="auto"/>
        </w:rPr>
      </w:pPr>
      <w:r>
        <w:rPr>
          <w:rFonts w:hint="eastAsia" w:ascii="宋体" w:hAnsi="宋体" w:cs="宋体"/>
          <w:b/>
          <w:color w:val="auto"/>
        </w:rPr>
        <w:t>投标人（盖章）：</w:t>
      </w:r>
      <w:r>
        <w:rPr>
          <w:rFonts w:hint="eastAsia" w:ascii="宋体" w:hAnsi="宋体" w:cs="宋体"/>
          <w:b/>
          <w:color w:val="auto"/>
          <w:u w:val="single"/>
        </w:rPr>
        <w:t xml:space="preserve">               </w:t>
      </w:r>
      <w:r>
        <w:rPr>
          <w:rFonts w:hint="eastAsia" w:ascii="宋体" w:hAnsi="宋体" w:cs="宋体"/>
          <w:b/>
          <w:color w:val="auto"/>
        </w:rPr>
        <w:t xml:space="preserve">                    </w:t>
      </w:r>
    </w:p>
    <w:p>
      <w:pPr>
        <w:tabs>
          <w:tab w:val="left" w:pos="7200"/>
        </w:tabs>
        <w:spacing w:line="420" w:lineRule="exact"/>
        <w:ind w:left="6720" w:leftChars="3200" w:firstLine="101" w:firstLineChars="48"/>
        <w:jc w:val="left"/>
        <w:rPr>
          <w:rFonts w:ascii="宋体" w:hAnsi="宋体" w:cs="宋体"/>
          <w:b/>
          <w:color w:val="auto"/>
        </w:rPr>
      </w:pPr>
      <w:r>
        <w:rPr>
          <w:rFonts w:hint="eastAsia" w:ascii="宋体" w:hAnsi="宋体" w:cs="宋体"/>
          <w:b/>
          <w:color w:val="auto"/>
        </w:rPr>
        <w:t>年    月    日</w:t>
      </w:r>
    </w:p>
    <w:p>
      <w:pPr>
        <w:pStyle w:val="2"/>
        <w:rPr>
          <w:rFonts w:ascii="宋体" w:hAnsi="宋体" w:cs="宋体"/>
          <w:color w:val="auto"/>
          <w:szCs w:val="21"/>
        </w:rPr>
      </w:pPr>
    </w:p>
    <w:p>
      <w:pPr>
        <w:rPr>
          <w:rFonts w:ascii="宋体" w:hAnsi="宋体" w:cs="宋体"/>
          <w:b/>
          <w:color w:val="auto"/>
          <w:szCs w:val="21"/>
        </w:rPr>
      </w:pPr>
    </w:p>
    <w:p>
      <w:pPr>
        <w:pStyle w:val="2"/>
        <w:rPr>
          <w:color w:val="auto"/>
        </w:rPr>
      </w:pPr>
    </w:p>
    <w:p>
      <w:pPr>
        <w:rPr>
          <w:color w:val="auto"/>
        </w:rPr>
      </w:pPr>
    </w:p>
    <w:p>
      <w:pPr>
        <w:rPr>
          <w:color w:val="auto"/>
        </w:rPr>
      </w:pPr>
    </w:p>
    <w:p>
      <w:pPr>
        <w:pStyle w:val="2"/>
        <w:rPr>
          <w:color w:val="auto"/>
        </w:rPr>
      </w:pPr>
    </w:p>
    <w:p>
      <w:pPr>
        <w:rPr>
          <w:color w:val="auto"/>
        </w:rPr>
      </w:pPr>
    </w:p>
    <w:p>
      <w:pPr>
        <w:tabs>
          <w:tab w:val="left" w:pos="7200"/>
        </w:tabs>
        <w:spacing w:line="420" w:lineRule="exact"/>
        <w:jc w:val="left"/>
        <w:rPr>
          <w:rFonts w:ascii="宋体" w:cs="宋体"/>
          <w:b/>
          <w:color w:val="auto"/>
          <w:szCs w:val="21"/>
        </w:rPr>
      </w:pPr>
      <w:r>
        <w:rPr>
          <w:rFonts w:ascii="宋体" w:hAnsi="宋体" w:cs="宋体"/>
          <w:b/>
          <w:color w:val="auto"/>
          <w:szCs w:val="21"/>
        </w:rPr>
        <w:t>2.2.</w:t>
      </w:r>
      <w:r>
        <w:rPr>
          <w:rFonts w:hint="eastAsia" w:ascii="宋体" w:hAnsi="宋体" w:cs="宋体"/>
          <w:b/>
          <w:color w:val="auto"/>
          <w:szCs w:val="21"/>
        </w:rPr>
        <w:t>11</w:t>
      </w:r>
      <w:r>
        <w:rPr>
          <w:rFonts w:ascii="宋体" w:hAnsi="宋体" w:cs="宋体"/>
          <w:b/>
          <w:color w:val="auto"/>
          <w:szCs w:val="21"/>
        </w:rPr>
        <w:t xml:space="preserve">  </w:t>
      </w:r>
      <w:r>
        <w:rPr>
          <w:rFonts w:hint="eastAsia" w:ascii="宋体" w:hAnsi="宋体" w:cs="宋体"/>
          <w:b/>
          <w:color w:val="auto"/>
          <w:spacing w:val="20"/>
        </w:rPr>
        <w:t>投标人近期财务状况报告（上一年度经第三方审计的财务报告；或截标时间前半年内能反映财务状况的报表；或投标人自拟的截标时间前半年内的财务情况说明）</w:t>
      </w: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widowControl/>
        <w:jc w:val="left"/>
        <w:rPr>
          <w:rFonts w:ascii="宋体" w:cs="宋体"/>
          <w:b/>
          <w:color w:val="auto"/>
          <w:szCs w:val="21"/>
        </w:rPr>
      </w:pPr>
      <w:r>
        <w:rPr>
          <w:rFonts w:hint="eastAsia" w:ascii="宋体" w:hAnsi="宋体" w:cs="宋体"/>
          <w:b/>
          <w:color w:val="auto"/>
          <w:szCs w:val="21"/>
        </w:rPr>
        <w:t>三、投标文件（商务及技术部分、报价部分）格式</w:t>
      </w:r>
    </w:p>
    <w:p>
      <w:pPr>
        <w:snapToGrid w:val="0"/>
        <w:spacing w:beforeLines="50" w:after="50"/>
        <w:rPr>
          <w:rFonts w:ascii="宋体" w:cs="宋体"/>
          <w:color w:val="auto"/>
          <w:sz w:val="24"/>
          <w:szCs w:val="20"/>
        </w:rPr>
      </w:pPr>
      <w:r>
        <w:rPr>
          <w:rFonts w:ascii="宋体" w:hAnsi="宋体" w:cs="宋体"/>
          <w:color w:val="auto"/>
          <w:sz w:val="24"/>
        </w:rPr>
        <w:t xml:space="preserve">                                                          </w:t>
      </w:r>
      <w:r>
        <w:rPr>
          <w:rFonts w:hint="eastAsia" w:ascii="宋体" w:hAnsi="宋体" w:cs="宋体"/>
          <w:bCs/>
          <w:color w:val="auto"/>
        </w:rPr>
        <w:t>正本</w:t>
      </w:r>
      <w:r>
        <w:rPr>
          <w:rFonts w:ascii="宋体" w:hAnsi="宋体" w:cs="宋体"/>
          <w:bCs/>
          <w:color w:val="auto"/>
        </w:rPr>
        <w:t>/</w:t>
      </w:r>
      <w:r>
        <w:rPr>
          <w:rFonts w:hint="eastAsia" w:ascii="宋体" w:hAnsi="宋体" w:cs="宋体"/>
          <w:bCs/>
          <w:color w:val="auto"/>
        </w:rPr>
        <w:t>或副本</w:t>
      </w:r>
    </w:p>
    <w:p>
      <w:pPr>
        <w:snapToGrid w:val="0"/>
        <w:spacing w:beforeLines="50" w:after="50"/>
        <w:jc w:val="center"/>
        <w:rPr>
          <w:rFonts w:ascii="宋体" w:cs="宋体"/>
          <w:b/>
          <w:bCs/>
          <w:color w:val="auto"/>
          <w:sz w:val="48"/>
          <w:szCs w:val="48"/>
        </w:rPr>
      </w:pPr>
    </w:p>
    <w:p>
      <w:pPr>
        <w:snapToGrid w:val="0"/>
        <w:spacing w:beforeLines="50" w:after="50"/>
        <w:jc w:val="center"/>
        <w:rPr>
          <w:rFonts w:ascii="宋体" w:cs="宋体"/>
          <w:b/>
          <w:bCs/>
          <w:color w:val="auto"/>
          <w:sz w:val="48"/>
          <w:szCs w:val="48"/>
        </w:rPr>
      </w:pPr>
      <w:r>
        <w:rPr>
          <w:rFonts w:hint="eastAsia" w:ascii="宋体" w:hAnsi="宋体" w:cs="宋体"/>
          <w:b/>
          <w:bCs/>
          <w:color w:val="auto"/>
          <w:sz w:val="48"/>
          <w:szCs w:val="48"/>
        </w:rPr>
        <w:t>投标文件</w:t>
      </w:r>
    </w:p>
    <w:p>
      <w:pPr>
        <w:snapToGrid w:val="0"/>
        <w:spacing w:beforeLines="50" w:after="50"/>
        <w:jc w:val="center"/>
        <w:rPr>
          <w:rFonts w:ascii="宋体" w:cs="宋体"/>
          <w:b/>
          <w:bCs/>
          <w:color w:val="auto"/>
          <w:sz w:val="48"/>
          <w:szCs w:val="48"/>
        </w:rPr>
      </w:pPr>
      <w:r>
        <w:rPr>
          <w:rFonts w:hint="eastAsia" w:ascii="宋体" w:hAnsi="宋体" w:cs="宋体"/>
          <w:b/>
          <w:bCs/>
          <w:color w:val="auto"/>
          <w:sz w:val="48"/>
          <w:szCs w:val="48"/>
        </w:rPr>
        <w:t>（商务及技术部分、报价部分）</w:t>
      </w:r>
    </w:p>
    <w:p>
      <w:pPr>
        <w:snapToGrid w:val="0"/>
        <w:spacing w:beforeLines="50" w:after="50"/>
        <w:rPr>
          <w:rFonts w:ascii="宋体" w:cs="宋体"/>
          <w:bCs/>
          <w:color w:val="auto"/>
          <w:sz w:val="24"/>
          <w:szCs w:val="20"/>
        </w:rPr>
      </w:pPr>
    </w:p>
    <w:p>
      <w:pPr>
        <w:snapToGrid w:val="0"/>
        <w:spacing w:beforeLines="50" w:after="50" w:line="360" w:lineRule="auto"/>
        <w:ind w:firstLine="1200" w:firstLineChars="500"/>
        <w:rPr>
          <w:rFonts w:ascii="宋体" w:cs="宋体"/>
          <w:bCs/>
          <w:color w:val="auto"/>
          <w:sz w:val="24"/>
          <w:szCs w:val="20"/>
        </w:rPr>
      </w:pPr>
      <w:r>
        <w:rPr>
          <w:rFonts w:hint="eastAsia" w:ascii="宋体" w:hAnsi="宋体" w:cs="宋体"/>
          <w:bCs/>
          <w:color w:val="auto"/>
          <w:sz w:val="24"/>
        </w:rPr>
        <w:t>项目名称：</w:t>
      </w:r>
      <w:r>
        <w:rPr>
          <w:rFonts w:ascii="宋体" w:hAnsi="宋体" w:cs="宋体"/>
          <w:bCs/>
          <w:color w:val="auto"/>
          <w:sz w:val="24"/>
          <w:szCs w:val="20"/>
        </w:rPr>
        <w:t xml:space="preserve"> </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项目编号：</w:t>
      </w:r>
    </w:p>
    <w:p>
      <w:pPr>
        <w:pStyle w:val="7"/>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投标人名称：</w:t>
      </w:r>
    </w:p>
    <w:p>
      <w:pPr>
        <w:pStyle w:val="7"/>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法定代表人或委托代理人签字：</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年</w:t>
      </w:r>
      <w:r>
        <w:rPr>
          <w:rFonts w:ascii="宋体" w:hAnsi="宋体" w:cs="宋体"/>
          <w:bCs/>
          <w:color w:val="auto"/>
          <w:sz w:val="24"/>
        </w:rPr>
        <w:t xml:space="preserve">    </w:t>
      </w:r>
      <w:r>
        <w:rPr>
          <w:rFonts w:hint="eastAsia" w:ascii="宋体" w:hAnsi="宋体" w:cs="宋体"/>
          <w:bCs/>
          <w:color w:val="auto"/>
          <w:sz w:val="24"/>
        </w:rPr>
        <w:t>月</w:t>
      </w:r>
      <w:r>
        <w:rPr>
          <w:rFonts w:ascii="宋体" w:hAnsi="宋体" w:cs="宋体"/>
          <w:bCs/>
          <w:color w:val="auto"/>
          <w:sz w:val="24"/>
        </w:rPr>
        <w:t xml:space="preserve">   </w:t>
      </w:r>
      <w:r>
        <w:rPr>
          <w:rFonts w:hint="eastAsia" w:ascii="宋体" w:hAnsi="宋体" w:cs="宋体"/>
          <w:bCs/>
          <w:color w:val="auto"/>
          <w:sz w:val="24"/>
        </w:rPr>
        <w:t>日</w:t>
      </w:r>
    </w:p>
    <w:p>
      <w:pPr>
        <w:pStyle w:val="7"/>
        <w:snapToGrid w:val="0"/>
        <w:spacing w:before="50" w:after="50"/>
        <w:ind w:firstLine="0"/>
        <w:rPr>
          <w:rFonts w:ascii="宋体" w:cs="宋体"/>
          <w:bCs/>
          <w:color w:val="auto"/>
          <w:szCs w:val="21"/>
        </w:rPr>
      </w:pPr>
    </w:p>
    <w:p>
      <w:pPr>
        <w:pStyle w:val="7"/>
        <w:snapToGrid w:val="0"/>
        <w:spacing w:before="50" w:after="50"/>
        <w:ind w:firstLine="873" w:firstLineChars="416"/>
        <w:rPr>
          <w:rFonts w:ascii="宋体" w:cs="宋体"/>
          <w:bCs/>
          <w:color w:val="auto"/>
          <w:szCs w:val="21"/>
        </w:rPr>
      </w:pPr>
    </w:p>
    <w:p>
      <w:pPr>
        <w:widowControl/>
        <w:jc w:val="left"/>
        <w:rPr>
          <w:rFonts w:ascii="宋体" w:cs="宋体"/>
          <w:b/>
          <w:color w:val="auto"/>
          <w:szCs w:val="21"/>
        </w:rPr>
      </w:pPr>
    </w:p>
    <w:p>
      <w:pPr>
        <w:pStyle w:val="55"/>
        <w:rPr>
          <w:color w:val="auto"/>
        </w:rPr>
      </w:pPr>
    </w:p>
    <w:p>
      <w:pPr>
        <w:snapToGrid w:val="0"/>
        <w:spacing w:beforeLines="50" w:after="50"/>
        <w:rPr>
          <w:rFonts w:ascii="宋体" w:cs="宋体"/>
          <w:color w:val="auto"/>
          <w:sz w:val="24"/>
        </w:rPr>
      </w:pPr>
      <w:r>
        <w:rPr>
          <w:rFonts w:ascii="宋体" w:hAnsi="宋体" w:cs="宋体"/>
          <w:b/>
          <w:color w:val="auto"/>
          <w:szCs w:val="21"/>
        </w:rPr>
        <w:t xml:space="preserve">3.1 </w:t>
      </w:r>
      <w:r>
        <w:rPr>
          <w:rFonts w:hint="eastAsia" w:ascii="宋体" w:hAnsi="宋体" w:cs="宋体"/>
          <w:b/>
          <w:color w:val="auto"/>
          <w:szCs w:val="21"/>
        </w:rPr>
        <w:t>商务及技术部分内封面格式：</w:t>
      </w:r>
      <w:r>
        <w:rPr>
          <w:rFonts w:ascii="宋体" w:hAnsi="宋体" w:cs="宋体"/>
          <w:b/>
          <w:color w:val="auto"/>
          <w:szCs w:val="21"/>
        </w:rPr>
        <w:t xml:space="preserve"> </w:t>
      </w:r>
      <w:r>
        <w:rPr>
          <w:rFonts w:ascii="宋体" w:hAnsi="宋体" w:cs="宋体"/>
          <w:color w:val="auto"/>
          <w:sz w:val="24"/>
        </w:rPr>
        <w:t xml:space="preserve">                </w:t>
      </w:r>
    </w:p>
    <w:p>
      <w:pPr>
        <w:snapToGrid w:val="0"/>
        <w:spacing w:beforeLines="50" w:after="50"/>
        <w:rPr>
          <w:rFonts w:ascii="宋体" w:cs="宋体"/>
          <w:color w:val="auto"/>
          <w:sz w:val="24"/>
          <w:szCs w:val="20"/>
        </w:rPr>
      </w:pPr>
      <w:r>
        <w:rPr>
          <w:rFonts w:ascii="宋体" w:hAnsi="宋体" w:cs="宋体"/>
          <w:color w:val="auto"/>
          <w:sz w:val="24"/>
        </w:rPr>
        <w:t xml:space="preserve">                                    </w:t>
      </w:r>
    </w:p>
    <w:p>
      <w:pPr>
        <w:snapToGrid w:val="0"/>
        <w:spacing w:beforeLines="50" w:after="50"/>
        <w:jc w:val="center"/>
        <w:rPr>
          <w:rFonts w:ascii="宋体" w:cs="宋体"/>
          <w:b/>
          <w:bCs/>
          <w:color w:val="auto"/>
          <w:sz w:val="48"/>
          <w:szCs w:val="48"/>
        </w:rPr>
      </w:pPr>
      <w:r>
        <w:rPr>
          <w:rFonts w:hint="eastAsia" w:ascii="宋体" w:hAnsi="宋体" w:cs="宋体"/>
          <w:b/>
          <w:bCs/>
          <w:color w:val="auto"/>
          <w:sz w:val="48"/>
          <w:szCs w:val="48"/>
        </w:rPr>
        <w:t>商务及技术部分</w:t>
      </w:r>
    </w:p>
    <w:p>
      <w:pPr>
        <w:snapToGrid w:val="0"/>
        <w:spacing w:beforeLines="50" w:after="50"/>
        <w:rPr>
          <w:rFonts w:ascii="宋体" w:cs="宋体"/>
          <w:bCs/>
          <w:color w:val="auto"/>
          <w:sz w:val="24"/>
          <w:szCs w:val="20"/>
        </w:rPr>
      </w:pPr>
    </w:p>
    <w:p>
      <w:pPr>
        <w:snapToGrid w:val="0"/>
        <w:spacing w:beforeLines="50" w:after="50" w:line="360" w:lineRule="auto"/>
        <w:ind w:firstLine="1200" w:firstLineChars="500"/>
        <w:rPr>
          <w:rFonts w:ascii="宋体" w:cs="宋体"/>
          <w:bCs/>
          <w:color w:val="auto"/>
          <w:sz w:val="24"/>
          <w:szCs w:val="20"/>
        </w:rPr>
      </w:pPr>
      <w:r>
        <w:rPr>
          <w:rFonts w:hint="eastAsia" w:ascii="宋体" w:hAnsi="宋体" w:cs="宋体"/>
          <w:bCs/>
          <w:color w:val="auto"/>
          <w:sz w:val="24"/>
        </w:rPr>
        <w:t>项目名称：</w:t>
      </w:r>
      <w:r>
        <w:rPr>
          <w:rFonts w:ascii="宋体" w:hAnsi="宋体" w:cs="宋体"/>
          <w:bCs/>
          <w:color w:val="auto"/>
          <w:sz w:val="24"/>
          <w:szCs w:val="20"/>
        </w:rPr>
        <w:t xml:space="preserve"> </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项目编号：</w:t>
      </w:r>
    </w:p>
    <w:p>
      <w:pPr>
        <w:pStyle w:val="7"/>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投标人名称：</w:t>
      </w:r>
    </w:p>
    <w:p>
      <w:pPr>
        <w:pStyle w:val="7"/>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法定代表人或委托代理人签字：</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年</w:t>
      </w:r>
      <w:r>
        <w:rPr>
          <w:rFonts w:ascii="宋体" w:hAnsi="宋体" w:cs="宋体"/>
          <w:bCs/>
          <w:color w:val="auto"/>
          <w:sz w:val="24"/>
        </w:rPr>
        <w:t xml:space="preserve">    </w:t>
      </w:r>
      <w:r>
        <w:rPr>
          <w:rFonts w:hint="eastAsia" w:ascii="宋体" w:hAnsi="宋体" w:cs="宋体"/>
          <w:bCs/>
          <w:color w:val="auto"/>
          <w:sz w:val="24"/>
        </w:rPr>
        <w:t>月</w:t>
      </w:r>
      <w:r>
        <w:rPr>
          <w:rFonts w:ascii="宋体" w:hAnsi="宋体" w:cs="宋体"/>
          <w:bCs/>
          <w:color w:val="auto"/>
          <w:sz w:val="24"/>
        </w:rPr>
        <w:t xml:space="preserve">   </w:t>
      </w:r>
      <w:r>
        <w:rPr>
          <w:rFonts w:hint="eastAsia" w:ascii="宋体" w:hAnsi="宋体" w:cs="宋体"/>
          <w:bCs/>
          <w:color w:val="auto"/>
          <w:sz w:val="24"/>
        </w:rPr>
        <w:t>日</w:t>
      </w:r>
    </w:p>
    <w:p>
      <w:pPr>
        <w:snapToGrid w:val="0"/>
        <w:spacing w:before="50" w:after="50"/>
        <w:rPr>
          <w:rFonts w:ascii="宋体"/>
          <w:color w:val="auto"/>
          <w:sz w:val="22"/>
          <w:szCs w:val="22"/>
        </w:rPr>
      </w:pPr>
    </w:p>
    <w:p>
      <w:pPr>
        <w:snapToGrid w:val="0"/>
        <w:spacing w:before="50" w:after="50" w:line="420" w:lineRule="exact"/>
        <w:rPr>
          <w:rFonts w:ascii="宋体" w:cs="宋体"/>
          <w:b/>
          <w:color w:val="auto"/>
          <w:szCs w:val="21"/>
        </w:rPr>
      </w:pPr>
    </w:p>
    <w:p>
      <w:pPr>
        <w:snapToGrid w:val="0"/>
        <w:spacing w:before="50" w:after="50" w:line="420" w:lineRule="exact"/>
        <w:rPr>
          <w:rFonts w:ascii="宋体" w:cs="宋体"/>
          <w:b/>
          <w:color w:val="auto"/>
          <w:szCs w:val="21"/>
        </w:rPr>
      </w:pPr>
      <w:r>
        <w:rPr>
          <w:rFonts w:ascii="宋体" w:hAnsi="宋体" w:cs="宋体"/>
          <w:b/>
          <w:color w:val="auto"/>
          <w:szCs w:val="21"/>
        </w:rPr>
        <w:t>3.2</w:t>
      </w:r>
      <w:r>
        <w:rPr>
          <w:rFonts w:hint="eastAsia" w:ascii="宋体" w:hAnsi="宋体" w:cs="宋体"/>
          <w:b/>
          <w:color w:val="auto"/>
          <w:szCs w:val="21"/>
        </w:rPr>
        <w:t>商务</w:t>
      </w:r>
      <w:r>
        <w:rPr>
          <w:rFonts w:hint="eastAsia" w:ascii="宋体" w:hAnsi="宋体" w:cs="宋体"/>
          <w:b/>
          <w:bCs/>
          <w:color w:val="auto"/>
          <w:szCs w:val="21"/>
        </w:rPr>
        <w:t>部分目录</w:t>
      </w:r>
    </w:p>
    <w:p>
      <w:pPr>
        <w:snapToGrid w:val="0"/>
        <w:spacing w:line="440" w:lineRule="exact"/>
        <w:ind w:firstLine="413" w:firstLineChars="196"/>
        <w:jc w:val="left"/>
        <w:rPr>
          <w:rFonts w:ascii="宋体" w:cs="宋体"/>
          <w:b/>
          <w:bCs/>
          <w:color w:val="auto"/>
          <w:szCs w:val="21"/>
        </w:rPr>
      </w:pPr>
      <w:r>
        <w:rPr>
          <w:rFonts w:ascii="宋体" w:hAnsi="宋体" w:cs="宋体"/>
          <w:b/>
          <w:bCs/>
          <w:color w:val="auto"/>
          <w:szCs w:val="21"/>
        </w:rPr>
        <w:t>2.</w:t>
      </w:r>
      <w:r>
        <w:rPr>
          <w:rFonts w:hint="eastAsia" w:ascii="宋体" w:hAnsi="宋体" w:cs="宋体"/>
          <w:b/>
          <w:bCs/>
          <w:color w:val="auto"/>
          <w:szCs w:val="21"/>
        </w:rPr>
        <w:t>商务及技术部分</w:t>
      </w:r>
    </w:p>
    <w:p>
      <w:pPr>
        <w:snapToGrid w:val="0"/>
        <w:spacing w:line="440" w:lineRule="exact"/>
        <w:ind w:firstLine="422" w:firstLineChars="200"/>
        <w:jc w:val="left"/>
        <w:rPr>
          <w:rFonts w:ascii="宋体" w:cs="宋体"/>
          <w:b/>
          <w:bCs/>
          <w:color w:val="auto"/>
          <w:szCs w:val="21"/>
        </w:rPr>
      </w:pPr>
      <w:r>
        <w:rPr>
          <w:rFonts w:hint="eastAsia" w:ascii="宋体" w:hAnsi="宋体" w:cs="宋体"/>
          <w:b/>
          <w:bCs/>
          <w:color w:val="auto"/>
          <w:szCs w:val="21"/>
        </w:rPr>
        <w:t>商务部分</w:t>
      </w:r>
    </w:p>
    <w:p>
      <w:pPr>
        <w:snapToGrid w:val="0"/>
        <w:spacing w:line="44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）投标声明书；</w:t>
      </w:r>
    </w:p>
    <w:p>
      <w:pPr>
        <w:snapToGrid w:val="0"/>
        <w:spacing w:line="44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）投标人情况介绍；</w:t>
      </w:r>
    </w:p>
    <w:p>
      <w:pPr>
        <w:snapToGrid w:val="0"/>
        <w:spacing w:line="44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w:t>
      </w:r>
      <w:r>
        <w:rPr>
          <w:rFonts w:ascii="宋体" w:hAnsi="宋体" w:cs="宋体"/>
          <w:color w:val="auto"/>
          <w:szCs w:val="21"/>
        </w:rPr>
        <w:t xml:space="preserve"> </w:t>
      </w:r>
      <w:r>
        <w:rPr>
          <w:rFonts w:hint="eastAsia" w:ascii="宋体" w:hAnsi="宋体" w:cs="宋体"/>
          <w:color w:val="auto"/>
          <w:szCs w:val="21"/>
        </w:rPr>
        <w:t>属于投标人的资质及信誉等方面的证书或材料；</w:t>
      </w:r>
    </w:p>
    <w:p>
      <w:pPr>
        <w:snapToGrid w:val="0"/>
        <w:spacing w:line="440"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）商务响应表；</w:t>
      </w:r>
    </w:p>
    <w:p>
      <w:pPr>
        <w:snapToGrid w:val="0"/>
        <w:spacing w:line="40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w:t>
      </w:r>
      <w:r>
        <w:rPr>
          <w:rFonts w:hint="eastAsia" w:ascii="宋体" w:hAnsi="宋体" w:cs="宋体"/>
          <w:color w:val="auto"/>
        </w:rPr>
        <w:t>投标人需要说明的其他文件和说明</w:t>
      </w:r>
      <w:r>
        <w:rPr>
          <w:rFonts w:hint="eastAsia" w:ascii="宋体" w:hAnsi="宋体" w:cs="宋体"/>
          <w:color w:val="auto"/>
          <w:szCs w:val="21"/>
        </w:rPr>
        <w:t>；</w:t>
      </w:r>
    </w:p>
    <w:p>
      <w:pPr>
        <w:snapToGrid w:val="0"/>
        <w:spacing w:line="400"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）投标人的类似成功案例的业绩证明文件；</w:t>
      </w:r>
    </w:p>
    <w:p>
      <w:pPr>
        <w:snapToGrid w:val="0"/>
        <w:spacing w:line="400" w:lineRule="exact"/>
        <w:ind w:firstLine="621" w:firstLineChars="296"/>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投标人符合中小企业划型标准的，按《政府采购促进中小企业发展暂行办法》（财库〔2011〕181号）要求，提供中小企业声明函。监狱企业参加政府采购活动时，应当提供由省级以上监狱管理局、戒毒管理局（含新疆生产建设兵团）出具的属于监狱企业的证明文件。；</w:t>
      </w:r>
    </w:p>
    <w:p>
      <w:pPr>
        <w:snapToGrid w:val="0"/>
        <w:spacing w:line="400" w:lineRule="exact"/>
        <w:ind w:firstLine="621" w:firstLineChars="296"/>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8</w:t>
      </w:r>
      <w:r>
        <w:rPr>
          <w:rFonts w:hint="eastAsia" w:ascii="宋体" w:hAnsi="宋体" w:cs="宋体"/>
          <w:color w:val="auto"/>
          <w:szCs w:val="21"/>
        </w:rPr>
        <w:t>）投标产品符合</w:t>
      </w:r>
      <w:r>
        <w:rPr>
          <w:rFonts w:hint="eastAsia" w:ascii="宋体" w:hAnsi="宋体" w:cs="宋体"/>
          <w:bCs/>
          <w:color w:val="auto"/>
        </w:rPr>
        <w:t>《招标采购促进广西工业产品产销对接实施细则的通知》（桂政办发【</w:t>
      </w:r>
      <w:r>
        <w:rPr>
          <w:rFonts w:ascii="宋体" w:hAnsi="宋体" w:cs="宋体"/>
          <w:bCs/>
          <w:color w:val="auto"/>
        </w:rPr>
        <w:t>2015</w:t>
      </w:r>
      <w:r>
        <w:rPr>
          <w:rFonts w:hint="eastAsia" w:ascii="宋体" w:hAnsi="宋体" w:cs="宋体"/>
          <w:bCs/>
          <w:color w:val="auto"/>
        </w:rPr>
        <w:t>】</w:t>
      </w:r>
      <w:r>
        <w:rPr>
          <w:rFonts w:ascii="宋体" w:hAnsi="宋体" w:cs="宋体"/>
          <w:bCs/>
          <w:color w:val="auto"/>
        </w:rPr>
        <w:t>78</w:t>
      </w:r>
      <w:r>
        <w:rPr>
          <w:rFonts w:hint="eastAsia" w:ascii="宋体" w:hAnsi="宋体" w:cs="宋体"/>
          <w:bCs/>
          <w:color w:val="auto"/>
        </w:rPr>
        <w:t>号）</w:t>
      </w:r>
      <w:r>
        <w:rPr>
          <w:rFonts w:hint="eastAsia" w:ascii="宋体" w:hAnsi="宋体" w:cs="宋体"/>
          <w:color w:val="auto"/>
          <w:szCs w:val="21"/>
        </w:rPr>
        <w:t>要求</w:t>
      </w:r>
      <w:r>
        <w:rPr>
          <w:rFonts w:hint="eastAsia" w:ascii="宋体" w:hAnsi="宋体" w:cs="宋体"/>
          <w:bCs/>
          <w:color w:val="auto"/>
        </w:rPr>
        <w:t>的，</w:t>
      </w:r>
      <w:r>
        <w:rPr>
          <w:rFonts w:hint="eastAsia" w:ascii="宋体" w:hAnsi="宋体" w:cs="宋体"/>
          <w:color w:val="auto"/>
          <w:szCs w:val="21"/>
        </w:rPr>
        <w:t>提供广西工业产品声明函；</w:t>
      </w:r>
    </w:p>
    <w:p>
      <w:pPr>
        <w:snapToGrid w:val="0"/>
        <w:spacing w:line="400" w:lineRule="exact"/>
        <w:ind w:firstLine="621" w:firstLineChars="296"/>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9</w:t>
      </w:r>
      <w:r>
        <w:rPr>
          <w:rFonts w:hint="eastAsia" w:ascii="宋体" w:hAnsi="宋体" w:cs="宋体"/>
          <w:color w:val="auto"/>
          <w:szCs w:val="21"/>
        </w:rPr>
        <w:t>）</w:t>
      </w:r>
      <w:r>
        <w:rPr>
          <w:rFonts w:hint="eastAsia" w:ascii="宋体" w:hAnsi="宋体"/>
          <w:color w:val="auto"/>
          <w:szCs w:val="21"/>
        </w:rPr>
        <w:t>投标产品提供单位按《关于促进残疾人就业政府采购政策的通知》</w:t>
      </w:r>
      <w:r>
        <w:rPr>
          <w:rFonts w:ascii="宋体" w:hAnsi="宋体"/>
          <w:color w:val="auto"/>
          <w:szCs w:val="21"/>
        </w:rPr>
        <w:t>(</w:t>
      </w:r>
      <w:r>
        <w:rPr>
          <w:rFonts w:hint="eastAsia" w:ascii="宋体" w:hAnsi="宋体"/>
          <w:color w:val="auto"/>
          <w:szCs w:val="21"/>
        </w:rPr>
        <w:t>财库〔</w:t>
      </w:r>
      <w:r>
        <w:rPr>
          <w:rFonts w:ascii="宋体" w:hAnsi="宋体"/>
          <w:color w:val="auto"/>
          <w:szCs w:val="21"/>
        </w:rPr>
        <w:t>2017</w:t>
      </w:r>
      <w:r>
        <w:rPr>
          <w:rFonts w:hint="eastAsia" w:ascii="宋体" w:hAnsi="宋体"/>
          <w:color w:val="auto"/>
          <w:szCs w:val="21"/>
        </w:rPr>
        <w:t>〕</w:t>
      </w:r>
      <w:r>
        <w:rPr>
          <w:rFonts w:ascii="宋体" w:hAnsi="宋体"/>
          <w:color w:val="auto"/>
          <w:szCs w:val="21"/>
        </w:rPr>
        <w:t>141</w:t>
      </w:r>
      <w:r>
        <w:rPr>
          <w:rFonts w:hint="eastAsia" w:ascii="宋体" w:hAnsi="宋体"/>
          <w:color w:val="auto"/>
          <w:szCs w:val="21"/>
        </w:rPr>
        <w:t>号</w:t>
      </w:r>
      <w:r>
        <w:rPr>
          <w:rFonts w:ascii="宋体" w:hAnsi="宋体"/>
          <w:color w:val="auto"/>
          <w:szCs w:val="21"/>
        </w:rPr>
        <w:t>)</w:t>
      </w:r>
      <w:r>
        <w:rPr>
          <w:rFonts w:hint="eastAsia" w:ascii="宋体" w:hAnsi="宋体"/>
          <w:color w:val="auto"/>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snapToGrid w:val="0"/>
        <w:spacing w:line="400" w:lineRule="exact"/>
        <w:ind w:firstLine="413" w:firstLineChars="196"/>
        <w:jc w:val="left"/>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color w:val="auto"/>
        </w:rPr>
      </w:pPr>
    </w:p>
    <w:p>
      <w:pPr>
        <w:snapToGrid w:val="0"/>
        <w:spacing w:line="404" w:lineRule="exact"/>
        <w:jc w:val="left"/>
        <w:rPr>
          <w:rFonts w:ascii="宋体" w:cs="宋体"/>
          <w:bCs/>
          <w:color w:val="auto"/>
          <w:szCs w:val="21"/>
        </w:rPr>
      </w:pPr>
      <w:r>
        <w:rPr>
          <w:rFonts w:ascii="宋体" w:hAnsi="宋体" w:cs="宋体"/>
          <w:b/>
          <w:color w:val="auto"/>
          <w:szCs w:val="21"/>
        </w:rPr>
        <w:t>3.3</w:t>
      </w:r>
      <w:r>
        <w:rPr>
          <w:rFonts w:hint="eastAsia" w:ascii="宋体" w:hAnsi="宋体" w:cs="宋体"/>
          <w:b/>
          <w:color w:val="auto"/>
          <w:szCs w:val="21"/>
        </w:rPr>
        <w:t>技术</w:t>
      </w:r>
      <w:r>
        <w:rPr>
          <w:rFonts w:hint="eastAsia" w:ascii="宋体" w:hAnsi="宋体" w:cs="宋体"/>
          <w:b/>
          <w:bCs/>
          <w:color w:val="auto"/>
          <w:szCs w:val="21"/>
        </w:rPr>
        <w:t>部分目录</w:t>
      </w:r>
    </w:p>
    <w:p>
      <w:pPr>
        <w:snapToGrid w:val="0"/>
        <w:spacing w:line="400" w:lineRule="exact"/>
        <w:ind w:firstLine="420" w:firstLineChars="200"/>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rPr>
        <w:t>（</w:t>
      </w:r>
      <w:r>
        <w:rPr>
          <w:rFonts w:ascii="宋体" w:hAnsi="宋体" w:cs="宋体"/>
          <w:color w:val="auto"/>
        </w:rPr>
        <w:t>1</w:t>
      </w:r>
      <w:r>
        <w:rPr>
          <w:rFonts w:hint="eastAsia" w:ascii="宋体" w:hAnsi="宋体" w:cs="宋体"/>
          <w:color w:val="auto"/>
        </w:rPr>
        <w:t>）</w:t>
      </w:r>
      <w:r>
        <w:rPr>
          <w:rFonts w:hint="eastAsia" w:ascii="宋体" w:hAnsi="宋体" w:cs="宋体"/>
          <w:color w:val="auto"/>
          <w:szCs w:val="21"/>
        </w:rPr>
        <w:t>投标产品配置清单（均不含报价）</w:t>
      </w:r>
      <w:r>
        <w:rPr>
          <w:rFonts w:ascii="宋体" w:hAnsi="宋体" w:cs="宋体"/>
          <w:color w:val="auto"/>
        </w:rPr>
        <w:t xml:space="preserve"> </w:t>
      </w:r>
      <w:r>
        <w:rPr>
          <w:rFonts w:hint="eastAsia" w:ascii="宋体" w:hAnsi="宋体" w:cs="宋体"/>
          <w:color w:val="auto"/>
        </w:rPr>
        <w:t>；</w:t>
      </w:r>
    </w:p>
    <w:p>
      <w:pPr>
        <w:snapToGrid w:val="0"/>
        <w:spacing w:line="400" w:lineRule="exact"/>
        <w:ind w:firstLine="420" w:firstLineChars="200"/>
        <w:jc w:val="left"/>
        <w:rPr>
          <w:rFonts w:ascii="宋体" w:cs="宋体"/>
          <w:color w:val="auto"/>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w:t>
      </w:r>
      <w:r>
        <w:rPr>
          <w:rFonts w:hint="eastAsia" w:ascii="宋体" w:hAnsi="宋体" w:cs="宋体"/>
          <w:color w:val="auto"/>
        </w:rPr>
        <w:t>产品技术响应表；</w:t>
      </w:r>
    </w:p>
    <w:p>
      <w:pPr>
        <w:snapToGrid w:val="0"/>
        <w:spacing w:line="400" w:lineRule="exact"/>
        <w:ind w:firstLine="420" w:firstLineChars="200"/>
        <w:jc w:val="left"/>
        <w:rPr>
          <w:rFonts w:ascii="宋体" w:cs="宋体"/>
          <w:color w:val="auto"/>
        </w:rPr>
      </w:pPr>
      <w:r>
        <w:rPr>
          <w:rFonts w:hint="eastAsia" w:ascii="宋体" w:hAnsi="宋体" w:cs="宋体"/>
          <w:color w:val="auto"/>
          <w:szCs w:val="21"/>
        </w:rPr>
        <w:t>★</w:t>
      </w:r>
      <w:r>
        <w:rPr>
          <w:rFonts w:hint="eastAsia" w:ascii="宋体" w:hAnsi="宋体" w:cs="宋体"/>
          <w:color w:val="auto"/>
        </w:rPr>
        <w:t>（</w:t>
      </w:r>
      <w:r>
        <w:rPr>
          <w:rFonts w:ascii="宋体" w:hAnsi="宋体" w:cs="宋体"/>
          <w:color w:val="auto"/>
        </w:rPr>
        <w:t>3</w:t>
      </w:r>
      <w:r>
        <w:rPr>
          <w:rFonts w:hint="eastAsia" w:ascii="宋体" w:hAnsi="宋体" w:cs="宋体"/>
          <w:color w:val="auto"/>
        </w:rPr>
        <w:t>）售后服务方案；；</w:t>
      </w:r>
      <w:r>
        <w:rPr>
          <w:rFonts w:ascii="宋体" w:hAnsi="宋体" w:cs="宋体"/>
          <w:color w:val="auto"/>
        </w:rPr>
        <w:t xml:space="preserve"> </w:t>
      </w:r>
    </w:p>
    <w:p>
      <w:pPr>
        <w:snapToGrid w:val="0"/>
        <w:spacing w:line="400" w:lineRule="exact"/>
        <w:ind w:firstLine="630" w:firstLineChars="300"/>
        <w:jc w:val="left"/>
        <w:rPr>
          <w:rFonts w:ascii="宋体" w:cs="宋体"/>
          <w:color w:val="auto"/>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）项目实施人员一览表</w:t>
      </w:r>
      <w:r>
        <w:rPr>
          <w:rFonts w:hint="eastAsia" w:ascii="宋体" w:hAnsi="宋体" w:cs="宋体"/>
          <w:color w:val="auto"/>
        </w:rPr>
        <w:t>；</w:t>
      </w:r>
    </w:p>
    <w:p>
      <w:pPr>
        <w:snapToGrid w:val="0"/>
        <w:spacing w:line="400" w:lineRule="exact"/>
        <w:ind w:firstLine="630" w:firstLineChars="300"/>
        <w:jc w:val="left"/>
        <w:rPr>
          <w:rFonts w:asci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）产品出厂标准、质量检测报告</w:t>
      </w:r>
    </w:p>
    <w:p>
      <w:pPr>
        <w:snapToGrid w:val="0"/>
        <w:spacing w:line="400" w:lineRule="exact"/>
        <w:ind w:firstLine="630" w:firstLineChars="300"/>
        <w:jc w:val="left"/>
        <w:rPr>
          <w:rFonts w:asci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）培训计划方案；</w:t>
      </w:r>
      <w:r>
        <w:rPr>
          <w:rFonts w:ascii="宋体" w:hAnsi="宋体" w:cs="宋体"/>
          <w:color w:val="auto"/>
        </w:rPr>
        <w:t xml:space="preserve"> </w:t>
      </w:r>
    </w:p>
    <w:p>
      <w:pPr>
        <w:snapToGrid w:val="0"/>
        <w:spacing w:line="400" w:lineRule="exact"/>
        <w:ind w:firstLine="630" w:firstLineChars="300"/>
        <w:jc w:val="left"/>
        <w:rPr>
          <w:rFonts w:asci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）投标人需要说明的其他文件和说明。</w:t>
      </w:r>
    </w:p>
    <w:p>
      <w:pPr>
        <w:snapToGrid w:val="0"/>
        <w:spacing w:line="400" w:lineRule="exact"/>
        <w:ind w:firstLine="630" w:firstLineChars="300"/>
        <w:jc w:val="left"/>
        <w:rPr>
          <w:rFonts w:ascii="宋体" w:cs="宋体"/>
          <w:color w:val="auto"/>
        </w:rPr>
      </w:pPr>
    </w:p>
    <w:p>
      <w:pPr>
        <w:snapToGrid w:val="0"/>
        <w:spacing w:line="400" w:lineRule="exact"/>
        <w:ind w:firstLine="621" w:firstLineChars="296"/>
        <w:jc w:val="left"/>
        <w:rPr>
          <w:rFonts w:ascii="宋体" w:cs="宋体"/>
          <w:color w:val="auto"/>
        </w:rPr>
      </w:pPr>
    </w:p>
    <w:p>
      <w:pPr>
        <w:pStyle w:val="55"/>
        <w:rPr>
          <w:rFonts w:ascii="宋体" w:cs="宋体"/>
          <w:b/>
          <w:color w:val="auto"/>
          <w:szCs w:val="21"/>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snapToGrid w:val="0"/>
        <w:spacing w:before="50" w:after="50"/>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pStyle w:val="55"/>
        <w:rPr>
          <w:rFonts w:ascii="宋体"/>
          <w:color w:val="auto"/>
          <w:spacing w:val="20"/>
          <w:sz w:val="22"/>
          <w:szCs w:val="22"/>
          <w:u w:val="single"/>
        </w:rPr>
      </w:pPr>
    </w:p>
    <w:p>
      <w:pPr>
        <w:snapToGrid w:val="0"/>
        <w:spacing w:line="420" w:lineRule="exact"/>
        <w:jc w:val="left"/>
        <w:rPr>
          <w:rFonts w:ascii="宋体" w:cs="宋体"/>
          <w:b/>
          <w:color w:val="auto"/>
          <w:szCs w:val="21"/>
        </w:rPr>
      </w:pPr>
      <w:r>
        <w:rPr>
          <w:rFonts w:ascii="宋体" w:hAnsi="宋体" w:cs="宋体"/>
          <w:b/>
          <w:color w:val="auto"/>
          <w:szCs w:val="21"/>
        </w:rPr>
        <w:t>3.2</w:t>
      </w:r>
      <w:r>
        <w:rPr>
          <w:rFonts w:hint="eastAsia" w:ascii="宋体" w:hAnsi="宋体" w:cs="宋体"/>
          <w:b/>
          <w:color w:val="auto"/>
          <w:szCs w:val="21"/>
        </w:rPr>
        <w:t>商务</w:t>
      </w:r>
      <w:r>
        <w:rPr>
          <w:rFonts w:hint="eastAsia" w:ascii="宋体" w:hAnsi="宋体" w:cs="宋体"/>
          <w:b/>
          <w:bCs/>
          <w:color w:val="auto"/>
          <w:szCs w:val="21"/>
        </w:rPr>
        <w:t>部分</w:t>
      </w:r>
    </w:p>
    <w:p>
      <w:pPr>
        <w:snapToGrid w:val="0"/>
        <w:spacing w:line="420" w:lineRule="exact"/>
        <w:jc w:val="left"/>
        <w:rPr>
          <w:rFonts w:ascii="宋体" w:cs="宋体"/>
          <w:b/>
          <w:color w:val="auto"/>
          <w:szCs w:val="21"/>
        </w:rPr>
      </w:pPr>
    </w:p>
    <w:p>
      <w:pPr>
        <w:snapToGrid w:val="0"/>
        <w:spacing w:before="50" w:afterLines="50" w:line="340" w:lineRule="exact"/>
        <w:jc w:val="left"/>
        <w:rPr>
          <w:rFonts w:ascii="宋体" w:cs="宋体"/>
          <w:b/>
          <w:color w:val="auto"/>
          <w:szCs w:val="21"/>
        </w:rPr>
      </w:pPr>
      <w:r>
        <w:rPr>
          <w:rFonts w:ascii="宋体" w:hAnsi="宋体" w:cs="宋体"/>
          <w:b/>
          <w:color w:val="auto"/>
          <w:szCs w:val="21"/>
        </w:rPr>
        <w:t xml:space="preserve">3.2.1  </w:t>
      </w:r>
      <w:r>
        <w:rPr>
          <w:rFonts w:hint="eastAsia" w:ascii="宋体" w:hAnsi="宋体" w:cs="宋体"/>
          <w:b/>
          <w:color w:val="auto"/>
          <w:szCs w:val="21"/>
        </w:rPr>
        <w:t>投标声明书格式：</w:t>
      </w:r>
    </w:p>
    <w:p>
      <w:pPr>
        <w:snapToGrid w:val="0"/>
        <w:spacing w:before="50" w:afterLines="50" w:line="340" w:lineRule="exact"/>
        <w:jc w:val="left"/>
        <w:rPr>
          <w:rFonts w:ascii="宋体" w:cs="宋体"/>
          <w:color w:val="auto"/>
          <w:szCs w:val="21"/>
        </w:rPr>
      </w:pPr>
    </w:p>
    <w:p>
      <w:pPr>
        <w:snapToGrid w:val="0"/>
        <w:spacing w:beforeLines="50" w:line="400" w:lineRule="exact"/>
        <w:jc w:val="center"/>
        <w:rPr>
          <w:rFonts w:ascii="宋体" w:cs="宋体"/>
          <w:b/>
          <w:color w:val="auto"/>
          <w:sz w:val="28"/>
          <w:szCs w:val="28"/>
        </w:rPr>
      </w:pPr>
      <w:r>
        <w:rPr>
          <w:rFonts w:hint="eastAsia" w:ascii="宋体" w:hAnsi="宋体" w:cs="宋体"/>
          <w:b/>
          <w:color w:val="auto"/>
          <w:sz w:val="28"/>
          <w:szCs w:val="28"/>
        </w:rPr>
        <w:t>投</w:t>
      </w:r>
      <w:r>
        <w:rPr>
          <w:rFonts w:ascii="宋体" w:hAnsi="宋体" w:cs="宋体"/>
          <w:b/>
          <w:color w:val="auto"/>
          <w:sz w:val="28"/>
          <w:szCs w:val="28"/>
        </w:rPr>
        <w:t xml:space="preserve"> </w:t>
      </w:r>
      <w:r>
        <w:rPr>
          <w:rFonts w:hint="eastAsia" w:ascii="宋体" w:hAnsi="宋体" w:cs="宋体"/>
          <w:b/>
          <w:color w:val="auto"/>
          <w:sz w:val="28"/>
          <w:szCs w:val="28"/>
        </w:rPr>
        <w:t>标</w:t>
      </w:r>
      <w:r>
        <w:rPr>
          <w:rFonts w:ascii="宋体" w:hAnsi="宋体" w:cs="宋体"/>
          <w:b/>
          <w:color w:val="auto"/>
          <w:sz w:val="28"/>
          <w:szCs w:val="28"/>
        </w:rPr>
        <w:t xml:space="preserve"> </w:t>
      </w:r>
      <w:r>
        <w:rPr>
          <w:rFonts w:hint="eastAsia" w:ascii="宋体" w:hAnsi="宋体" w:cs="宋体"/>
          <w:b/>
          <w:color w:val="auto"/>
          <w:sz w:val="28"/>
          <w:szCs w:val="28"/>
        </w:rPr>
        <w:t>声</w:t>
      </w:r>
      <w:r>
        <w:rPr>
          <w:rFonts w:ascii="宋体" w:hAnsi="宋体" w:cs="宋体"/>
          <w:b/>
          <w:color w:val="auto"/>
          <w:sz w:val="28"/>
          <w:szCs w:val="28"/>
        </w:rPr>
        <w:t xml:space="preserve"> </w:t>
      </w:r>
      <w:r>
        <w:rPr>
          <w:rFonts w:hint="eastAsia" w:ascii="宋体" w:hAnsi="宋体" w:cs="宋体"/>
          <w:b/>
          <w:color w:val="auto"/>
          <w:sz w:val="28"/>
          <w:szCs w:val="28"/>
        </w:rPr>
        <w:t>明</w:t>
      </w:r>
      <w:r>
        <w:rPr>
          <w:rFonts w:ascii="宋体" w:hAnsi="宋体" w:cs="宋体"/>
          <w:b/>
          <w:color w:val="auto"/>
          <w:sz w:val="28"/>
          <w:szCs w:val="28"/>
        </w:rPr>
        <w:t xml:space="preserve"> </w:t>
      </w:r>
      <w:r>
        <w:rPr>
          <w:rFonts w:hint="eastAsia" w:ascii="宋体" w:hAnsi="宋体" w:cs="宋体"/>
          <w:b/>
          <w:color w:val="auto"/>
          <w:sz w:val="28"/>
          <w:szCs w:val="28"/>
        </w:rPr>
        <w:t>书</w:t>
      </w:r>
    </w:p>
    <w:p>
      <w:pPr>
        <w:snapToGrid w:val="0"/>
        <w:spacing w:beforeLines="50" w:line="400" w:lineRule="exact"/>
        <w:jc w:val="center"/>
        <w:rPr>
          <w:rFonts w:ascii="宋体" w:cs="宋体"/>
          <w:b/>
          <w:color w:val="auto"/>
          <w:sz w:val="28"/>
          <w:szCs w:val="28"/>
        </w:rPr>
      </w:pPr>
    </w:p>
    <w:p>
      <w:pPr>
        <w:snapToGrid w:val="0"/>
        <w:spacing w:beforeLines="50" w:line="380" w:lineRule="exact"/>
        <w:rPr>
          <w:rFonts w:ascii="宋体" w:cs="宋体"/>
          <w:color w:val="auto"/>
          <w:szCs w:val="21"/>
        </w:rPr>
      </w:pPr>
      <w:r>
        <w:rPr>
          <w:rFonts w:hint="eastAsia" w:ascii="宋体" w:hAnsi="宋体" w:cs="宋体"/>
          <w:color w:val="auto"/>
          <w:szCs w:val="21"/>
        </w:rPr>
        <w:t>致：</w:t>
      </w:r>
      <w:r>
        <w:rPr>
          <w:rFonts w:ascii="宋体" w:hAnsi="宋体" w:cs="宋体"/>
          <w:color w:val="auto"/>
          <w:szCs w:val="21"/>
          <w:u w:val="single"/>
        </w:rPr>
        <w:t xml:space="preserve">                              </w:t>
      </w:r>
      <w:r>
        <w:rPr>
          <w:rFonts w:hint="eastAsia" w:ascii="宋体" w:hAnsi="宋体" w:cs="宋体"/>
          <w:color w:val="auto"/>
          <w:szCs w:val="21"/>
        </w:rPr>
        <w:t>（招标采购单位名称）：</w:t>
      </w:r>
    </w:p>
    <w:p>
      <w:pPr>
        <w:snapToGrid w:val="0"/>
        <w:spacing w:beforeLines="50" w:line="380" w:lineRule="exact"/>
        <w:ind w:firstLine="630" w:firstLineChars="300"/>
        <w:rPr>
          <w:rFonts w:ascii="宋体" w:cs="宋体"/>
          <w:color w:val="auto"/>
          <w:szCs w:val="21"/>
        </w:rPr>
      </w:pPr>
      <w:r>
        <w:rPr>
          <w:rFonts w:ascii="宋体" w:hAnsi="宋体" w:cs="宋体"/>
          <w:color w:val="auto"/>
          <w:szCs w:val="21"/>
          <w:u w:val="single"/>
        </w:rPr>
        <w:t xml:space="preserve">                               </w:t>
      </w:r>
      <w:r>
        <w:rPr>
          <w:rFonts w:hint="eastAsia" w:ascii="宋体" w:hAnsi="宋体" w:cs="宋体"/>
          <w:color w:val="auto"/>
          <w:szCs w:val="21"/>
        </w:rPr>
        <w:t>（投标人名称）系中华人民共和国合法企业，经营地址</w:t>
      </w:r>
      <w:r>
        <w:rPr>
          <w:rFonts w:ascii="宋体" w:hAnsi="宋体" w:cs="宋体"/>
          <w:color w:val="auto"/>
          <w:szCs w:val="21"/>
          <w:u w:val="single"/>
        </w:rPr>
        <w:t xml:space="preserve">                               </w:t>
      </w:r>
      <w:r>
        <w:rPr>
          <w:rFonts w:hint="eastAsia" w:ascii="宋体" w:hAnsi="宋体" w:cs="宋体"/>
          <w:color w:val="auto"/>
          <w:szCs w:val="21"/>
        </w:rPr>
        <w:t>。</w:t>
      </w:r>
    </w:p>
    <w:p>
      <w:pPr>
        <w:snapToGrid w:val="0"/>
        <w:spacing w:beforeLines="50" w:line="380" w:lineRule="exact"/>
        <w:ind w:firstLine="645"/>
        <w:rPr>
          <w:rFonts w:ascii="宋体" w:cs="宋体"/>
          <w:color w:val="auto"/>
          <w:szCs w:val="21"/>
        </w:rPr>
      </w:pPr>
      <w:r>
        <w:rPr>
          <w:rFonts w:hint="eastAsia" w:ascii="宋体" w:hAnsi="宋体" w:cs="宋体"/>
          <w:color w:val="auto"/>
          <w:szCs w:val="21"/>
        </w:rPr>
        <w:t>我</w:t>
      </w:r>
      <w:r>
        <w:rPr>
          <w:rFonts w:ascii="宋体" w:hAnsi="宋体" w:cs="宋体"/>
          <w:color w:val="auto"/>
          <w:szCs w:val="21"/>
          <w:u w:val="single"/>
        </w:rPr>
        <w:t xml:space="preserve">            </w:t>
      </w:r>
      <w:r>
        <w:rPr>
          <w:rFonts w:hint="eastAsia" w:ascii="宋体" w:hAnsi="宋体" w:cs="宋体"/>
          <w:color w:val="auto"/>
          <w:szCs w:val="21"/>
        </w:rPr>
        <w:t>（姓名）系</w:t>
      </w:r>
      <w:r>
        <w:rPr>
          <w:rFonts w:ascii="宋体" w:hAnsi="宋体" w:cs="宋体"/>
          <w:color w:val="auto"/>
          <w:szCs w:val="21"/>
          <w:u w:val="single"/>
        </w:rPr>
        <w:t xml:space="preserve">                    </w:t>
      </w:r>
      <w:r>
        <w:rPr>
          <w:rFonts w:hint="eastAsia" w:ascii="宋体" w:hAnsi="宋体" w:cs="宋体"/>
          <w:color w:val="auto"/>
          <w:szCs w:val="21"/>
        </w:rPr>
        <w:t>（投标人名称）的法定代表人，我方愿意参加贵方组织的</w:t>
      </w:r>
      <w:r>
        <w:rPr>
          <w:rFonts w:ascii="宋体" w:hAnsi="宋体" w:cs="宋体"/>
          <w:color w:val="auto"/>
          <w:szCs w:val="21"/>
          <w:u w:val="single"/>
        </w:rPr>
        <w:t xml:space="preserve">                        </w:t>
      </w:r>
      <w:r>
        <w:rPr>
          <w:rFonts w:hint="eastAsia" w:ascii="宋体" w:hAnsi="宋体" w:cs="宋体"/>
          <w:color w:val="auto"/>
          <w:szCs w:val="21"/>
        </w:rPr>
        <w:t>项目（项目编号：</w:t>
      </w:r>
      <w:r>
        <w:rPr>
          <w:rFonts w:ascii="宋体" w:hAnsi="宋体" w:cs="宋体"/>
          <w:color w:val="auto"/>
          <w:szCs w:val="21"/>
          <w:u w:val="single"/>
        </w:rPr>
        <w:t xml:space="preserve">             </w:t>
      </w:r>
      <w:r>
        <w:rPr>
          <w:rFonts w:hint="eastAsia" w:ascii="宋体" w:hAnsi="宋体" w:cs="宋体"/>
          <w:color w:val="auto"/>
          <w:szCs w:val="21"/>
        </w:rPr>
        <w:t>）的投标，为便于贵方公正、择优地确定中标人及其投标产品和服务，我方就本次投标有关事项郑重声明如下：</w:t>
      </w:r>
    </w:p>
    <w:p>
      <w:pPr>
        <w:snapToGrid w:val="0"/>
        <w:spacing w:line="380" w:lineRule="exact"/>
        <w:ind w:firstLine="420" w:firstLineChars="200"/>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我方向贵方提交的所有投标文件、资料都是准确的和真实的。</w:t>
      </w:r>
    </w:p>
    <w:p>
      <w:pPr>
        <w:snapToGrid w:val="0"/>
        <w:spacing w:beforeLines="50" w:line="380" w:lineRule="exact"/>
        <w:ind w:firstLine="420" w:firstLineChars="200"/>
        <w:rPr>
          <w:rFonts w:ascii="宋体" w:cs="宋体"/>
          <w:color w:val="auto"/>
          <w:szCs w:val="21"/>
        </w:rPr>
      </w:pPr>
      <w:r>
        <w:rPr>
          <w:rFonts w:ascii="宋体" w:hAnsi="宋体" w:cs="宋体"/>
          <w:color w:val="auto"/>
          <w:szCs w:val="21"/>
        </w:rPr>
        <w:t xml:space="preserve">2. </w:t>
      </w:r>
      <w:r>
        <w:rPr>
          <w:rFonts w:hint="eastAsia" w:ascii="宋体" w:hAnsi="宋体" w:cs="宋体"/>
          <w:color w:val="auto"/>
          <w:szCs w:val="21"/>
        </w:rPr>
        <w:t>我方不是采购人的附属机构；在获知本项目采购信息后，与采购人聘请的为此项目提供咨询服务的公司及其附属机构没有任何联系。</w:t>
      </w:r>
    </w:p>
    <w:p>
      <w:pPr>
        <w:snapToGrid w:val="0"/>
        <w:spacing w:beforeLines="50" w:line="380" w:lineRule="exact"/>
        <w:ind w:firstLine="420" w:firstLineChars="200"/>
        <w:rPr>
          <w:rFonts w:ascii="宋体" w:cs="宋体"/>
          <w:color w:val="auto"/>
          <w:szCs w:val="21"/>
        </w:rPr>
      </w:pPr>
      <w:r>
        <w:rPr>
          <w:rFonts w:ascii="宋体" w:hAnsi="宋体" w:cs="宋体"/>
          <w:color w:val="auto"/>
          <w:szCs w:val="21"/>
        </w:rPr>
        <w:t xml:space="preserve">3. </w:t>
      </w:r>
      <w:r>
        <w:rPr>
          <w:rFonts w:hint="eastAsia" w:ascii="宋体" w:hAnsi="宋体" w:cs="宋体"/>
          <w:color w:val="auto"/>
          <w:szCs w:val="21"/>
        </w:rPr>
        <w:t>我方此次向贵方提供的产品名称为：</w:t>
      </w:r>
      <w:r>
        <w:rPr>
          <w:rFonts w:ascii="宋体" w:hAnsi="宋体" w:cs="宋体"/>
          <w:color w:val="auto"/>
          <w:szCs w:val="21"/>
          <w:u w:val="single"/>
        </w:rPr>
        <w:t xml:space="preserve">              </w:t>
      </w:r>
      <w:r>
        <w:rPr>
          <w:rFonts w:hint="eastAsia" w:ascii="宋体" w:hAnsi="宋体" w:cs="宋体"/>
          <w:color w:val="auto"/>
          <w:szCs w:val="21"/>
        </w:rPr>
        <w:t>，产品原产地及厂家为：</w:t>
      </w:r>
      <w:r>
        <w:rPr>
          <w:rFonts w:ascii="宋体" w:hAnsi="宋体" w:cs="宋体"/>
          <w:color w:val="auto"/>
          <w:szCs w:val="21"/>
          <w:u w:val="single"/>
        </w:rPr>
        <w:t xml:space="preserve">                </w:t>
      </w:r>
      <w:r>
        <w:rPr>
          <w:rFonts w:hint="eastAsia" w:ascii="宋体" w:hAnsi="宋体" w:cs="宋体"/>
          <w:color w:val="auto"/>
          <w:szCs w:val="21"/>
        </w:rPr>
        <w:t>。</w:t>
      </w:r>
    </w:p>
    <w:p>
      <w:pPr>
        <w:snapToGrid w:val="0"/>
        <w:spacing w:beforeLines="50" w:line="380" w:lineRule="exact"/>
        <w:ind w:firstLine="420" w:firstLineChars="200"/>
        <w:rPr>
          <w:rFonts w:ascii="宋体" w:cs="宋体"/>
          <w:color w:val="auto"/>
          <w:szCs w:val="21"/>
          <w:u w:val="single"/>
        </w:rPr>
      </w:pPr>
      <w:r>
        <w:rPr>
          <w:rFonts w:ascii="宋体" w:hAnsi="宋体" w:cs="宋体"/>
          <w:color w:val="auto"/>
          <w:szCs w:val="21"/>
        </w:rPr>
        <w:t xml:space="preserve">4. </w:t>
      </w:r>
      <w:r>
        <w:rPr>
          <w:rFonts w:hint="eastAsia" w:ascii="宋体" w:hAnsi="宋体" w:cs="宋体"/>
          <w:color w:val="auto"/>
          <w:szCs w:val="21"/>
        </w:rPr>
        <w:t>我方诚意提请贵方关注：近期有关的重大决策和事项有：</w:t>
      </w:r>
      <w:r>
        <w:rPr>
          <w:rFonts w:hint="eastAsia" w:ascii="宋体" w:hAnsi="宋体" w:cs="宋体"/>
          <w:color w:val="auto"/>
          <w:szCs w:val="21"/>
          <w:u w:val="single"/>
        </w:rPr>
        <w:t>　　　　　　　　　　。</w:t>
      </w:r>
    </w:p>
    <w:p>
      <w:pPr>
        <w:pStyle w:val="20"/>
        <w:snapToGrid w:val="0"/>
        <w:spacing w:line="380" w:lineRule="exact"/>
        <w:ind w:firstLine="420" w:firstLineChars="200"/>
        <w:rPr>
          <w:rFonts w:ascii="宋体" w:hAnsi="宋体" w:eastAsia="宋体" w:cs="宋体"/>
          <w:color w:val="auto"/>
          <w:sz w:val="21"/>
          <w:szCs w:val="21"/>
        </w:rPr>
      </w:pPr>
      <w:r>
        <w:rPr>
          <w:rFonts w:ascii="宋体" w:hAnsi="宋体" w:eastAsia="宋体" w:cs="宋体"/>
          <w:color w:val="auto"/>
          <w:sz w:val="21"/>
          <w:szCs w:val="21"/>
        </w:rPr>
        <w:t xml:space="preserve">5. </w:t>
      </w:r>
      <w:r>
        <w:rPr>
          <w:rFonts w:hint="eastAsia" w:ascii="宋体" w:hAnsi="宋体" w:eastAsia="宋体" w:cs="宋体"/>
          <w:color w:val="auto"/>
          <w:sz w:val="21"/>
          <w:szCs w:val="21"/>
        </w:rPr>
        <w:t>我方及由本人担任法定代表人的其他机构最近三年内被通报或者被处罚的违法行为有：</w:t>
      </w:r>
    </w:p>
    <w:p>
      <w:pPr>
        <w:snapToGrid w:val="0"/>
        <w:spacing w:beforeLines="50" w:line="380" w:lineRule="exact"/>
        <w:ind w:firstLine="420" w:firstLineChars="200"/>
        <w:rPr>
          <w:rFonts w:ascii="宋体" w:cs="宋体"/>
          <w:color w:val="auto"/>
          <w:szCs w:val="21"/>
          <w:u w:val="single"/>
        </w:rPr>
      </w:pPr>
      <w:r>
        <w:rPr>
          <w:rFonts w:hint="eastAsia" w:ascii="宋体" w:hAnsi="宋体" w:cs="宋体"/>
          <w:color w:val="auto"/>
          <w:szCs w:val="21"/>
          <w:u w:val="single"/>
        </w:rPr>
        <w:t>　　　　　　　　　　　　　　　　　　　　　　　　　　　</w:t>
      </w:r>
    </w:p>
    <w:p>
      <w:pPr>
        <w:snapToGrid w:val="0"/>
        <w:spacing w:line="380" w:lineRule="exact"/>
        <w:ind w:firstLine="420" w:firstLineChars="200"/>
        <w:rPr>
          <w:rFonts w:ascii="宋体" w:cs="宋体"/>
          <w:color w:val="auto"/>
          <w:szCs w:val="21"/>
        </w:rPr>
      </w:pPr>
      <w:r>
        <w:rPr>
          <w:rFonts w:ascii="宋体" w:hAnsi="宋体" w:cs="宋体"/>
          <w:color w:val="auto"/>
          <w:szCs w:val="21"/>
        </w:rPr>
        <w:t xml:space="preserve">6. </w:t>
      </w:r>
      <w:r>
        <w:rPr>
          <w:rFonts w:hint="eastAsia" w:ascii="宋体" w:hAnsi="宋体" w:cs="宋体"/>
          <w:color w:val="auto"/>
          <w:szCs w:val="21"/>
        </w:rPr>
        <w:t>以上事项如有虚假或隐瞒，我方愿意承担一切后果，并不再寻求任何旨在减轻或免除法律责任的辩解。</w:t>
      </w:r>
    </w:p>
    <w:p>
      <w:pPr>
        <w:snapToGrid w:val="0"/>
        <w:spacing w:beforeLines="50" w:line="380" w:lineRule="exact"/>
        <w:ind w:firstLine="5250" w:firstLineChars="2500"/>
        <w:rPr>
          <w:rFonts w:ascii="宋体" w:cs="宋体"/>
          <w:color w:val="auto"/>
          <w:szCs w:val="21"/>
          <w:u w:val="single"/>
        </w:rPr>
      </w:pPr>
      <w:r>
        <w:rPr>
          <w:rFonts w:hint="eastAsia" w:ascii="宋体" w:hAnsi="宋体" w:cs="宋体"/>
          <w:color w:val="auto"/>
          <w:szCs w:val="21"/>
        </w:rPr>
        <w:t>法定代表人签字：</w:t>
      </w:r>
      <w:r>
        <w:rPr>
          <w:rFonts w:ascii="宋体" w:hAnsi="宋体" w:cs="宋体"/>
          <w:color w:val="auto"/>
          <w:szCs w:val="21"/>
          <w:u w:val="single"/>
        </w:rPr>
        <w:t xml:space="preserve">             </w:t>
      </w:r>
    </w:p>
    <w:p>
      <w:pPr>
        <w:snapToGrid w:val="0"/>
        <w:spacing w:beforeLines="50" w:line="380" w:lineRule="exact"/>
        <w:jc w:val="right"/>
        <w:rPr>
          <w:rFonts w:ascii="宋体" w:cs="宋体"/>
          <w:color w:val="auto"/>
          <w:szCs w:val="21"/>
        </w:rPr>
      </w:pPr>
      <w:r>
        <w:rPr>
          <w:rFonts w:hint="eastAsia" w:ascii="宋体" w:hAnsi="宋体" w:cs="宋体"/>
          <w:color w:val="auto"/>
          <w:szCs w:val="21"/>
        </w:rPr>
        <w:t>投标人公章：</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snapToGrid w:val="0"/>
        <w:spacing w:line="420" w:lineRule="exact"/>
        <w:ind w:firstLine="422" w:firstLineChars="200"/>
        <w:jc w:val="left"/>
        <w:rPr>
          <w:rFonts w:ascii="宋体" w:cs="宋体"/>
          <w:b/>
          <w:color w:val="auto"/>
          <w:szCs w:val="21"/>
        </w:rPr>
      </w:pPr>
      <w:r>
        <w:rPr>
          <w:rFonts w:ascii="宋体" w:hAnsi="宋体" w:cs="宋体"/>
          <w:b/>
          <w:color w:val="auto"/>
          <w:szCs w:val="21"/>
        </w:rPr>
        <w:t xml:space="preserve">3.2.2 </w:t>
      </w:r>
      <w:r>
        <w:rPr>
          <w:rFonts w:hint="eastAsia" w:ascii="宋体" w:hAnsi="宋体" w:cs="宋体"/>
          <w:b/>
          <w:color w:val="auto"/>
          <w:szCs w:val="21"/>
        </w:rPr>
        <w:t>投标人情况介绍（格式自拟）</w:t>
      </w:r>
    </w:p>
    <w:p>
      <w:pPr>
        <w:pStyle w:val="55"/>
        <w:rPr>
          <w:color w:val="auto"/>
        </w:rPr>
      </w:pPr>
    </w:p>
    <w:p>
      <w:pPr>
        <w:pStyle w:val="55"/>
        <w:rPr>
          <w:color w:val="auto"/>
        </w:rPr>
      </w:pPr>
    </w:p>
    <w:p>
      <w:pPr>
        <w:pStyle w:val="55"/>
        <w:rPr>
          <w:color w:val="auto"/>
        </w:rPr>
      </w:pPr>
    </w:p>
    <w:p>
      <w:pPr>
        <w:snapToGrid w:val="0"/>
        <w:spacing w:line="420" w:lineRule="exact"/>
        <w:ind w:firstLine="422" w:firstLineChars="200"/>
        <w:jc w:val="left"/>
        <w:rPr>
          <w:rFonts w:ascii="宋体" w:cs="宋体"/>
          <w:b/>
          <w:color w:val="auto"/>
          <w:szCs w:val="21"/>
        </w:rPr>
      </w:pPr>
      <w:r>
        <w:rPr>
          <w:rFonts w:ascii="宋体" w:hAnsi="宋体" w:cs="宋体"/>
          <w:b/>
          <w:color w:val="auto"/>
          <w:szCs w:val="21"/>
        </w:rPr>
        <w:t xml:space="preserve">3.2.3 </w:t>
      </w:r>
      <w:r>
        <w:rPr>
          <w:rFonts w:hint="eastAsia" w:ascii="宋体" w:hAnsi="宋体" w:cs="宋体"/>
          <w:b/>
          <w:color w:val="auto"/>
          <w:szCs w:val="21"/>
        </w:rPr>
        <w:t>属于投标人的资质及信誉等方面的证书或材料</w:t>
      </w:r>
    </w:p>
    <w:p>
      <w:pPr>
        <w:snapToGrid w:val="0"/>
        <w:spacing w:before="50"/>
        <w:ind w:firstLine="413" w:firstLineChars="196"/>
        <w:jc w:val="left"/>
        <w:rPr>
          <w:rFonts w:ascii="宋体" w:cs="宋体"/>
          <w:b/>
          <w:color w:val="auto"/>
          <w:szCs w:val="21"/>
        </w:rPr>
      </w:pPr>
    </w:p>
    <w:p>
      <w:pPr>
        <w:pStyle w:val="55"/>
        <w:rPr>
          <w:color w:val="auto"/>
        </w:rPr>
      </w:pPr>
    </w:p>
    <w:p>
      <w:pPr>
        <w:snapToGrid w:val="0"/>
        <w:spacing w:before="50"/>
        <w:jc w:val="left"/>
        <w:rPr>
          <w:rFonts w:ascii="宋体" w:cs="宋体"/>
          <w:b/>
          <w:color w:val="auto"/>
          <w:szCs w:val="21"/>
        </w:rPr>
      </w:pPr>
    </w:p>
    <w:p>
      <w:pPr>
        <w:snapToGrid w:val="0"/>
        <w:spacing w:before="50"/>
        <w:ind w:firstLine="413" w:firstLineChars="196"/>
        <w:jc w:val="left"/>
        <w:rPr>
          <w:rFonts w:ascii="宋体" w:cs="宋体"/>
          <w:b/>
          <w:color w:val="auto"/>
          <w:szCs w:val="21"/>
        </w:rPr>
      </w:pPr>
      <w:r>
        <w:rPr>
          <w:rFonts w:ascii="宋体" w:hAnsi="宋体" w:cs="宋体"/>
          <w:b/>
          <w:color w:val="auto"/>
          <w:szCs w:val="21"/>
        </w:rPr>
        <w:t xml:space="preserve">3.2.4 </w:t>
      </w:r>
      <w:r>
        <w:rPr>
          <w:rFonts w:hint="eastAsia" w:ascii="宋体" w:hAnsi="宋体" w:cs="宋体"/>
          <w:b/>
          <w:color w:val="auto"/>
          <w:szCs w:val="21"/>
        </w:rPr>
        <w:t>商务响应表格式：</w:t>
      </w:r>
    </w:p>
    <w:p>
      <w:pPr>
        <w:snapToGrid w:val="0"/>
        <w:spacing w:before="50"/>
        <w:ind w:firstLine="413" w:firstLineChars="196"/>
        <w:jc w:val="left"/>
        <w:rPr>
          <w:rFonts w:ascii="宋体" w:cs="宋体"/>
          <w:b/>
          <w:color w:val="auto"/>
          <w:szCs w:val="21"/>
        </w:rPr>
      </w:pPr>
      <w:r>
        <w:rPr>
          <w:rFonts w:hint="eastAsia" w:ascii="宋体" w:hAnsi="宋体" w:cs="宋体"/>
          <w:b/>
          <w:color w:val="auto"/>
          <w:szCs w:val="21"/>
        </w:rPr>
        <w:t>项目名称：</w:t>
      </w:r>
    </w:p>
    <w:p>
      <w:pPr>
        <w:snapToGrid w:val="0"/>
        <w:spacing w:before="50"/>
        <w:ind w:firstLine="413" w:firstLineChars="196"/>
        <w:jc w:val="left"/>
        <w:rPr>
          <w:rFonts w:ascii="宋体" w:cs="宋体"/>
          <w:b/>
          <w:color w:val="auto"/>
          <w:szCs w:val="21"/>
        </w:rPr>
      </w:pPr>
      <w:r>
        <w:rPr>
          <w:rFonts w:hint="eastAsia" w:ascii="宋体" w:hAnsi="宋体" w:cs="宋体"/>
          <w:b/>
          <w:color w:val="auto"/>
          <w:szCs w:val="21"/>
        </w:rPr>
        <w:t>项目编号：</w:t>
      </w:r>
    </w:p>
    <w:tbl>
      <w:tblPr>
        <w:tblStyle w:val="40"/>
        <w:tblW w:w="9335" w:type="dxa"/>
        <w:tblInd w:w="4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3062"/>
        <w:gridCol w:w="2675"/>
        <w:gridCol w:w="24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r>
              <w:rPr>
                <w:rFonts w:hint="eastAsia" w:ascii="宋体" w:hAnsi="宋体" w:cs="宋体"/>
                <w:color w:val="auto"/>
                <w:szCs w:val="21"/>
              </w:rPr>
              <w:t>项号</w:t>
            </w:r>
          </w:p>
        </w:tc>
        <w:tc>
          <w:tcPr>
            <w:tcW w:w="3062" w:type="dxa"/>
            <w:tcBorders>
              <w:top w:val="single" w:color="auto" w:sz="4" w:space="0"/>
              <w:left w:val="single" w:color="auto" w:sz="4" w:space="0"/>
              <w:bottom w:val="single" w:color="auto" w:sz="4" w:space="0"/>
              <w:right w:val="single" w:color="auto" w:sz="4" w:space="0"/>
            </w:tcBorders>
            <w:vAlign w:val="center"/>
          </w:tcPr>
          <w:p>
            <w:pPr>
              <w:pStyle w:val="23"/>
              <w:spacing w:line="600" w:lineRule="exact"/>
              <w:jc w:val="center"/>
              <w:rPr>
                <w:rFonts w:hAnsi="宋体" w:cs="宋体"/>
                <w:color w:val="auto"/>
              </w:rPr>
            </w:pPr>
            <w:r>
              <w:rPr>
                <w:rFonts w:hint="eastAsia" w:ascii="Times New Roman" w:hAnsi="Times New Roman"/>
                <w:color w:val="auto"/>
                <w:szCs w:val="24"/>
              </w:rPr>
              <w:t>招标文件的商务条款</w:t>
            </w:r>
          </w:p>
        </w:tc>
        <w:tc>
          <w:tcPr>
            <w:tcW w:w="2675" w:type="dxa"/>
            <w:tcBorders>
              <w:top w:val="single" w:color="auto" w:sz="4" w:space="0"/>
              <w:left w:val="single" w:color="auto" w:sz="4" w:space="0"/>
              <w:bottom w:val="single" w:color="auto" w:sz="4" w:space="0"/>
              <w:right w:val="single" w:color="auto" w:sz="4" w:space="0"/>
            </w:tcBorders>
            <w:vAlign w:val="center"/>
          </w:tcPr>
          <w:p>
            <w:pPr>
              <w:pStyle w:val="23"/>
              <w:spacing w:line="600" w:lineRule="exact"/>
              <w:jc w:val="center"/>
              <w:rPr>
                <w:rFonts w:hAnsi="宋体" w:cs="宋体"/>
                <w:color w:val="auto"/>
              </w:rPr>
            </w:pPr>
            <w:r>
              <w:rPr>
                <w:rFonts w:hint="eastAsia" w:ascii="Times New Roman" w:hAnsi="Times New Roman"/>
                <w:color w:val="auto"/>
                <w:szCs w:val="24"/>
              </w:rPr>
              <w:t>投标文件承诺的商务条款</w:t>
            </w:r>
          </w:p>
        </w:tc>
        <w:tc>
          <w:tcPr>
            <w:tcW w:w="2435" w:type="dxa"/>
            <w:tcBorders>
              <w:top w:val="single" w:color="auto" w:sz="4" w:space="0"/>
              <w:left w:val="single" w:color="auto" w:sz="4" w:space="0"/>
              <w:bottom w:val="single" w:color="auto" w:sz="4" w:space="0"/>
            </w:tcBorders>
            <w:vAlign w:val="center"/>
          </w:tcPr>
          <w:p>
            <w:pPr>
              <w:pStyle w:val="23"/>
              <w:spacing w:line="600" w:lineRule="exact"/>
              <w:jc w:val="center"/>
              <w:rPr>
                <w:rFonts w:hAnsi="宋体" w:cs="宋体"/>
                <w:color w:val="auto"/>
              </w:rPr>
            </w:pPr>
            <w:r>
              <w:rPr>
                <w:rFonts w:hint="eastAsia" w:ascii="Times New Roman" w:hAnsi="Times New Roman"/>
                <w:color w:val="auto"/>
                <w:szCs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306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67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435" w:type="dxa"/>
            <w:tcBorders>
              <w:top w:val="single" w:color="auto" w:sz="4" w:space="0"/>
              <w:left w:val="single" w:color="auto" w:sz="4" w:space="0"/>
              <w:bottom w:val="single" w:color="auto" w:sz="4" w:space="0"/>
            </w:tcBorders>
            <w:vAlign w:val="center"/>
          </w:tcPr>
          <w:p>
            <w:pPr>
              <w:snapToGrid w:val="0"/>
              <w:spacing w:beforeLines="5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306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67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435" w:type="dxa"/>
            <w:tcBorders>
              <w:top w:val="single" w:color="auto" w:sz="4" w:space="0"/>
              <w:left w:val="single" w:color="auto" w:sz="4" w:space="0"/>
              <w:bottom w:val="single" w:color="auto" w:sz="4" w:space="0"/>
            </w:tcBorders>
            <w:vAlign w:val="center"/>
          </w:tcPr>
          <w:p>
            <w:pPr>
              <w:snapToGrid w:val="0"/>
              <w:spacing w:beforeLines="5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306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675" w:type="dxa"/>
            <w:tcBorders>
              <w:top w:val="single" w:color="auto" w:sz="4" w:space="0"/>
              <w:left w:val="single" w:color="auto" w:sz="4" w:space="0"/>
              <w:bottom w:val="single" w:color="auto" w:sz="4" w:space="0"/>
              <w:right w:val="single" w:color="auto" w:sz="4" w:space="0"/>
            </w:tcBorders>
            <w:vAlign w:val="center"/>
          </w:tcPr>
          <w:p>
            <w:pPr>
              <w:snapToGrid w:val="0"/>
              <w:spacing w:beforeLines="50"/>
              <w:ind w:left="43"/>
              <w:jc w:val="center"/>
              <w:rPr>
                <w:rFonts w:ascii="宋体" w:cs="宋体"/>
                <w:color w:val="auto"/>
                <w:szCs w:val="21"/>
              </w:rPr>
            </w:pPr>
          </w:p>
        </w:tc>
        <w:tc>
          <w:tcPr>
            <w:tcW w:w="2435" w:type="dxa"/>
            <w:tcBorders>
              <w:top w:val="single" w:color="auto" w:sz="4" w:space="0"/>
              <w:left w:val="single" w:color="auto" w:sz="4" w:space="0"/>
              <w:bottom w:val="single" w:color="auto" w:sz="4" w:space="0"/>
            </w:tcBorders>
            <w:vAlign w:val="center"/>
          </w:tcPr>
          <w:p>
            <w:pPr>
              <w:snapToGrid w:val="0"/>
              <w:spacing w:beforeLines="50"/>
              <w:ind w:left="43"/>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r>
              <w:rPr>
                <w:rFonts w:hint="eastAsia" w:ascii="宋体" w:hAnsi="宋体" w:cs="宋体"/>
                <w:color w:val="auto"/>
                <w:szCs w:val="21"/>
              </w:rPr>
              <w:t>……</w:t>
            </w:r>
          </w:p>
        </w:tc>
        <w:tc>
          <w:tcPr>
            <w:tcW w:w="306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67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cs="宋体"/>
                <w:color w:val="auto"/>
                <w:szCs w:val="21"/>
              </w:rPr>
            </w:pPr>
          </w:p>
        </w:tc>
        <w:tc>
          <w:tcPr>
            <w:tcW w:w="2435" w:type="dxa"/>
            <w:tcBorders>
              <w:top w:val="single" w:color="auto" w:sz="4" w:space="0"/>
              <w:left w:val="single" w:color="auto" w:sz="4" w:space="0"/>
              <w:bottom w:val="single" w:color="auto" w:sz="4" w:space="0"/>
            </w:tcBorders>
            <w:vAlign w:val="center"/>
          </w:tcPr>
          <w:p>
            <w:pPr>
              <w:snapToGrid w:val="0"/>
              <w:spacing w:beforeLines="50"/>
              <w:jc w:val="center"/>
              <w:rPr>
                <w:rFonts w:ascii="宋体" w:cs="宋体"/>
                <w:color w:val="auto"/>
                <w:szCs w:val="21"/>
              </w:rPr>
            </w:pPr>
          </w:p>
        </w:tc>
      </w:tr>
    </w:tbl>
    <w:p>
      <w:pPr>
        <w:snapToGrid w:val="0"/>
        <w:spacing w:afterLines="50" w:line="330" w:lineRule="exact"/>
        <w:ind w:left="540"/>
        <w:jc w:val="left"/>
        <w:rPr>
          <w:rFonts w:ascii="宋体" w:cs="宋体"/>
          <w:color w:val="auto"/>
          <w:szCs w:val="21"/>
        </w:rPr>
      </w:pPr>
      <w:r>
        <w:rPr>
          <w:rFonts w:hint="eastAsia" w:ascii="宋体" w:hAnsi="宋体"/>
          <w:color w:val="auto"/>
        </w:rPr>
        <w:t>注：投标人应对照招标文件中商务部分要求的内容逐条响应，并在“偏离情况”栏注明“正偏离”、“负偏离”或“无偏离”</w:t>
      </w:r>
    </w:p>
    <w:p>
      <w:pPr>
        <w:snapToGrid w:val="0"/>
        <w:spacing w:before="50" w:after="50"/>
        <w:rPr>
          <w:rFonts w:ascii="宋体" w:cs="宋体"/>
          <w:color w:val="auto"/>
          <w:spacing w:val="20"/>
          <w:szCs w:val="21"/>
        </w:rPr>
      </w:pPr>
    </w:p>
    <w:p>
      <w:pPr>
        <w:snapToGrid w:val="0"/>
        <w:spacing w:before="50" w:after="50"/>
        <w:ind w:firstLine="500" w:firstLineChars="200"/>
        <w:rPr>
          <w:rFonts w:ascii="宋体" w:cs="宋体"/>
          <w:color w:val="auto"/>
          <w:spacing w:val="20"/>
          <w:szCs w:val="21"/>
        </w:rPr>
      </w:pPr>
      <w:r>
        <w:rPr>
          <w:rFonts w:hint="eastAsia" w:ascii="宋体" w:hAnsi="宋体" w:cs="宋体"/>
          <w:color w:val="auto"/>
          <w:spacing w:val="20"/>
          <w:szCs w:val="21"/>
        </w:rPr>
        <w:t>授权代表签名：</w:t>
      </w:r>
      <w:r>
        <w:rPr>
          <w:rFonts w:ascii="宋体" w:hAnsi="宋体" w:cs="宋体"/>
          <w:color w:val="auto"/>
          <w:spacing w:val="20"/>
          <w:szCs w:val="21"/>
        </w:rPr>
        <w:t xml:space="preserve">          </w:t>
      </w:r>
    </w:p>
    <w:p>
      <w:pPr>
        <w:snapToGrid w:val="0"/>
        <w:spacing w:line="420" w:lineRule="exact"/>
        <w:ind w:firstLine="500" w:firstLineChars="200"/>
        <w:jc w:val="left"/>
        <w:rPr>
          <w:rFonts w:ascii="宋体" w:cs="宋体"/>
          <w:b/>
          <w:color w:val="auto"/>
          <w:szCs w:val="21"/>
        </w:rPr>
      </w:pPr>
      <w:r>
        <w:rPr>
          <w:rFonts w:hint="eastAsia" w:ascii="宋体" w:hAnsi="宋体" w:cs="宋体"/>
          <w:color w:val="auto"/>
          <w:spacing w:val="20"/>
          <w:szCs w:val="21"/>
        </w:rPr>
        <w:t>投标人盖章：</w:t>
      </w:r>
      <w:r>
        <w:rPr>
          <w:rFonts w:ascii="宋体" w:hAnsi="宋体" w:cs="宋体"/>
          <w:color w:val="auto"/>
          <w:spacing w:val="20"/>
          <w:szCs w:val="21"/>
          <w:u w:val="single"/>
        </w:rPr>
        <w:t xml:space="preserve">            </w:t>
      </w:r>
      <w:r>
        <w:rPr>
          <w:rFonts w:ascii="宋体" w:hAnsi="宋体" w:cs="宋体"/>
          <w:color w:val="auto"/>
          <w:spacing w:val="20"/>
          <w:szCs w:val="21"/>
        </w:rPr>
        <w:t xml:space="preserve">              </w:t>
      </w:r>
      <w:r>
        <w:rPr>
          <w:rFonts w:hint="eastAsia" w:ascii="宋体" w:hAnsi="宋体" w:cs="宋体"/>
          <w:color w:val="auto"/>
          <w:spacing w:val="20"/>
          <w:szCs w:val="21"/>
        </w:rPr>
        <w:t>日</w:t>
      </w:r>
      <w:r>
        <w:rPr>
          <w:rFonts w:ascii="宋体" w:hAnsi="宋体" w:cs="宋体"/>
          <w:color w:val="auto"/>
          <w:spacing w:val="20"/>
          <w:szCs w:val="21"/>
        </w:rPr>
        <w:t xml:space="preserve"> </w:t>
      </w:r>
      <w:r>
        <w:rPr>
          <w:rFonts w:hint="eastAsia" w:ascii="宋体" w:hAnsi="宋体" w:cs="宋体"/>
          <w:color w:val="auto"/>
          <w:spacing w:val="20"/>
          <w:szCs w:val="21"/>
        </w:rPr>
        <w:t>期：</w:t>
      </w:r>
    </w:p>
    <w:p>
      <w:pPr>
        <w:pStyle w:val="55"/>
        <w:rPr>
          <w:rFonts w:ascii="宋体" w:cs="宋体"/>
          <w:b/>
          <w:color w:val="auto"/>
          <w:szCs w:val="21"/>
        </w:rPr>
      </w:pPr>
    </w:p>
    <w:p>
      <w:pPr>
        <w:pStyle w:val="55"/>
        <w:rPr>
          <w:rFonts w:ascii="宋体" w:cs="宋体"/>
          <w:b/>
          <w:color w:val="auto"/>
          <w:szCs w:val="21"/>
        </w:rPr>
      </w:pPr>
    </w:p>
    <w:p>
      <w:pPr>
        <w:snapToGrid w:val="0"/>
        <w:spacing w:line="420" w:lineRule="exact"/>
        <w:ind w:firstLine="422" w:firstLineChars="200"/>
        <w:jc w:val="left"/>
        <w:rPr>
          <w:rFonts w:ascii="宋体" w:cs="宋体"/>
          <w:b/>
          <w:color w:val="auto"/>
          <w:szCs w:val="21"/>
        </w:rPr>
      </w:pPr>
      <w:r>
        <w:rPr>
          <w:rFonts w:ascii="宋体" w:hAnsi="宋体" w:cs="宋体"/>
          <w:b/>
          <w:color w:val="auto"/>
          <w:szCs w:val="21"/>
        </w:rPr>
        <w:t xml:space="preserve">3.2.5 </w:t>
      </w:r>
      <w:r>
        <w:rPr>
          <w:rFonts w:hint="eastAsia" w:ascii="宋体" w:hAnsi="宋体" w:cs="宋体"/>
          <w:b/>
          <w:color w:val="auto"/>
          <w:szCs w:val="21"/>
        </w:rPr>
        <w:t>投标人需要说明的其他文件和说明；</w:t>
      </w: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snapToGrid w:val="0"/>
        <w:spacing w:line="420" w:lineRule="exact"/>
        <w:ind w:firstLine="422" w:firstLineChars="200"/>
        <w:jc w:val="left"/>
        <w:rPr>
          <w:rFonts w:ascii="宋体"/>
          <w:color w:val="auto"/>
          <w:spacing w:val="20"/>
          <w:sz w:val="22"/>
          <w:szCs w:val="22"/>
          <w:u w:val="single"/>
        </w:rPr>
      </w:pPr>
      <w:r>
        <w:rPr>
          <w:rFonts w:ascii="宋体" w:hAnsi="宋体" w:cs="宋体"/>
          <w:b/>
          <w:color w:val="auto"/>
          <w:szCs w:val="21"/>
        </w:rPr>
        <w:t xml:space="preserve">3.2.6 </w:t>
      </w:r>
      <w:r>
        <w:rPr>
          <w:rFonts w:hint="eastAsia" w:ascii="宋体" w:hAnsi="宋体" w:cs="宋体"/>
          <w:b/>
          <w:color w:val="auto"/>
          <w:szCs w:val="21"/>
        </w:rPr>
        <w:t>投标人的类似成功案例的业绩证明文件（格式自拟，投标人需附中标通知书、合同、验收单复印件）</w:t>
      </w:r>
    </w:p>
    <w:p>
      <w:pPr>
        <w:rPr>
          <w:color w:val="auto"/>
        </w:rPr>
      </w:pPr>
    </w:p>
    <w:p>
      <w:pPr>
        <w:pStyle w:val="14"/>
        <w:snapToGrid w:val="0"/>
        <w:rPr>
          <w:rFonts w:ascii="宋体" w:hAnsi="宋体" w:eastAsia="宋体" w:cs="宋体"/>
          <w:color w:val="auto"/>
          <w:sz w:val="21"/>
          <w:szCs w:val="21"/>
          <w:u w:val="single"/>
        </w:rPr>
      </w:pPr>
      <w:r>
        <w:rPr>
          <w:rFonts w:hint="eastAsia" w:ascii="宋体" w:hAnsi="宋体" w:eastAsia="宋体" w:cs="宋体"/>
          <w:color w:val="auto"/>
          <w:sz w:val="21"/>
          <w:szCs w:val="21"/>
        </w:rPr>
        <w:t>法定代表人签字：</w:t>
      </w:r>
      <w:r>
        <w:rPr>
          <w:rFonts w:hint="eastAsia" w:ascii="宋体" w:hAnsi="宋体" w:eastAsia="宋体" w:cs="宋体"/>
          <w:color w:val="auto"/>
          <w:sz w:val="21"/>
          <w:szCs w:val="21"/>
          <w:u w:val="single"/>
        </w:rPr>
        <w:t>　　　　</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u w:val="single"/>
        </w:rPr>
        <w:t>　</w:t>
      </w:r>
    </w:p>
    <w:p>
      <w:pPr>
        <w:rPr>
          <w:color w:val="auto"/>
        </w:rPr>
      </w:pPr>
    </w:p>
    <w:p>
      <w:pPr>
        <w:snapToGrid w:val="0"/>
        <w:spacing w:before="50"/>
        <w:jc w:val="left"/>
        <w:rPr>
          <w:rFonts w:ascii="宋体" w:cs="宋体"/>
          <w:color w:val="auto"/>
          <w:szCs w:val="21"/>
        </w:rPr>
      </w:pPr>
      <w:r>
        <w:rPr>
          <w:rFonts w:hint="eastAsia" w:ascii="宋体" w:hAnsi="宋体" w:cs="宋体"/>
          <w:color w:val="auto"/>
          <w:szCs w:val="21"/>
        </w:rPr>
        <w:t>投标人公章：</w:t>
      </w:r>
      <w:r>
        <w:rPr>
          <w:rFonts w:ascii="宋体" w:hAnsi="宋体" w:cs="宋体"/>
          <w:color w:val="auto"/>
          <w:szCs w:val="21"/>
          <w:u w:val="single"/>
        </w:rPr>
        <w:t xml:space="preserve">                 </w:t>
      </w:r>
      <w:r>
        <w:rPr>
          <w:rFonts w:ascii="宋体" w:hAnsi="宋体" w:cs="宋体"/>
          <w:color w:val="auto"/>
          <w:szCs w:val="21"/>
        </w:rPr>
        <w:t xml:space="preserve">         </w:t>
      </w:r>
    </w:p>
    <w:p>
      <w:pPr>
        <w:snapToGrid w:val="0"/>
        <w:spacing w:before="50"/>
        <w:jc w:val="left"/>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snapToGrid w:val="0"/>
        <w:spacing w:before="50" w:after="50"/>
        <w:rPr>
          <w:rFonts w:ascii="宋体"/>
          <w:color w:val="auto"/>
          <w:spacing w:val="20"/>
          <w:sz w:val="22"/>
          <w:szCs w:val="22"/>
          <w:u w:val="single"/>
        </w:rPr>
      </w:pPr>
    </w:p>
    <w:p>
      <w:pPr>
        <w:pStyle w:val="55"/>
        <w:rPr>
          <w:color w:val="auto"/>
        </w:rPr>
      </w:pPr>
    </w:p>
    <w:p>
      <w:pPr>
        <w:spacing w:line="588" w:lineRule="exact"/>
        <w:jc w:val="center"/>
        <w:rPr>
          <w:rFonts w:ascii="宋体" w:hAnsi="宋体" w:cs="宋体"/>
          <w:b/>
          <w:color w:val="auto"/>
          <w:szCs w:val="21"/>
        </w:rPr>
      </w:pPr>
      <w:r>
        <w:rPr>
          <w:rFonts w:ascii="宋体" w:hAnsi="宋体" w:cs="宋体"/>
          <w:b/>
          <w:color w:val="auto"/>
          <w:szCs w:val="21"/>
        </w:rPr>
        <w:t xml:space="preserve">3.2.7 </w:t>
      </w:r>
      <w:r>
        <w:rPr>
          <w:rFonts w:hint="eastAsia" w:ascii="宋体" w:hAnsi="宋体" w:cs="宋体"/>
          <w:b/>
          <w:color w:val="auto"/>
          <w:szCs w:val="21"/>
        </w:rPr>
        <w:t>投标人符合中小企业划型标准的，按《政府采购促进中小企业发展暂行办法》（财库〔</w:t>
      </w:r>
      <w:r>
        <w:rPr>
          <w:rFonts w:ascii="宋体" w:hAnsi="宋体" w:cs="宋体"/>
          <w:b/>
          <w:color w:val="auto"/>
          <w:szCs w:val="21"/>
        </w:rPr>
        <w:t>2011</w:t>
      </w:r>
      <w:r>
        <w:rPr>
          <w:rFonts w:hint="eastAsia" w:ascii="宋体" w:hAnsi="宋体" w:cs="宋体"/>
          <w:b/>
          <w:color w:val="auto"/>
          <w:szCs w:val="21"/>
        </w:rPr>
        <w:t>〕</w:t>
      </w:r>
      <w:r>
        <w:rPr>
          <w:rFonts w:ascii="宋体" w:hAnsi="宋体" w:cs="宋体"/>
          <w:b/>
          <w:color w:val="auto"/>
          <w:szCs w:val="21"/>
        </w:rPr>
        <w:t>181</w:t>
      </w:r>
      <w:r>
        <w:rPr>
          <w:rFonts w:hint="eastAsia" w:ascii="宋体" w:hAnsi="宋体" w:cs="宋体"/>
          <w:b/>
          <w:color w:val="auto"/>
          <w:szCs w:val="21"/>
        </w:rPr>
        <w:t>号）要求，提供中小企业声明函。监狱企业参加政府采购活动时，应当提供由省级以上监狱管理局、戒毒管理局（含新疆生产建设兵团）出具的属于监狱企业的证明文件。</w:t>
      </w:r>
    </w:p>
    <w:p>
      <w:pPr>
        <w:spacing w:line="588" w:lineRule="exact"/>
        <w:jc w:val="center"/>
        <w:rPr>
          <w:rFonts w:ascii="宋体" w:cs="宋体"/>
          <w:b/>
          <w:color w:val="auto"/>
          <w:spacing w:val="6"/>
          <w:sz w:val="28"/>
          <w:szCs w:val="28"/>
        </w:rPr>
      </w:pPr>
      <w:r>
        <w:rPr>
          <w:rFonts w:hint="eastAsia" w:ascii="宋体" w:hAnsi="宋体" w:cs="宋体"/>
          <w:b/>
          <w:color w:val="auto"/>
          <w:spacing w:val="6"/>
          <w:sz w:val="28"/>
          <w:szCs w:val="28"/>
        </w:rPr>
        <w:t>中小企业声明函</w:t>
      </w:r>
    </w:p>
    <w:p>
      <w:pPr>
        <w:spacing w:line="588" w:lineRule="exact"/>
        <w:rPr>
          <w:rFonts w:ascii="宋体" w:cs="宋体"/>
          <w:b/>
          <w:color w:val="auto"/>
          <w:spacing w:val="6"/>
          <w:sz w:val="30"/>
          <w:szCs w:val="30"/>
        </w:rPr>
      </w:pPr>
    </w:p>
    <w:p>
      <w:pPr>
        <w:spacing w:line="588" w:lineRule="exact"/>
        <w:ind w:firstLine="444" w:firstLineChars="200"/>
        <w:rPr>
          <w:rFonts w:ascii="宋体" w:cs="宋体"/>
          <w:color w:val="auto"/>
          <w:spacing w:val="6"/>
          <w:szCs w:val="21"/>
        </w:rPr>
      </w:pPr>
      <w:r>
        <w:rPr>
          <w:rFonts w:hint="eastAsia" w:ascii="宋体" w:hAnsi="宋体" w:cs="宋体"/>
          <w:color w:val="auto"/>
          <w:spacing w:val="6"/>
          <w:szCs w:val="21"/>
        </w:rPr>
        <w:t>本公司郑重声明，根据《政府采购促进中小企业发展暂行办法》（财库</w:t>
      </w:r>
      <w:r>
        <w:rPr>
          <w:rFonts w:ascii="宋体" w:hAnsi="宋体" w:cs="宋体"/>
          <w:color w:val="auto"/>
          <w:spacing w:val="6"/>
          <w:szCs w:val="21"/>
        </w:rPr>
        <w:t>[2011]181</w:t>
      </w:r>
      <w:r>
        <w:rPr>
          <w:rFonts w:hint="eastAsia" w:ascii="宋体" w:hAnsi="宋体" w:cs="宋体"/>
          <w:color w:val="auto"/>
          <w:spacing w:val="6"/>
          <w:szCs w:val="21"/>
        </w:rPr>
        <w:t>号）的规定，本公司为</w:t>
      </w:r>
      <w:bookmarkStart w:id="575" w:name="OLE_LINK5"/>
      <w:r>
        <w:rPr>
          <w:rFonts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bookmarkEnd w:id="575"/>
      <w:r>
        <w:rPr>
          <w:rFonts w:hint="eastAsia" w:ascii="宋体" w:hAnsi="宋体" w:cs="宋体"/>
          <w:color w:val="auto"/>
          <w:spacing w:val="6"/>
          <w:szCs w:val="21"/>
        </w:rPr>
        <w:t>。即，本公司同时满足以下条件：</w:t>
      </w:r>
    </w:p>
    <w:p>
      <w:pPr>
        <w:spacing w:line="588" w:lineRule="exact"/>
        <w:ind w:firstLine="444" w:firstLineChars="200"/>
        <w:rPr>
          <w:rFonts w:ascii="宋体" w:cs="宋体"/>
          <w:color w:val="auto"/>
          <w:spacing w:val="6"/>
          <w:szCs w:val="21"/>
        </w:rPr>
      </w:pPr>
      <w:r>
        <w:rPr>
          <w:rFonts w:ascii="宋体" w:hAnsi="宋体" w:cs="宋体"/>
          <w:color w:val="auto"/>
          <w:spacing w:val="6"/>
          <w:szCs w:val="21"/>
        </w:rPr>
        <w:t>1.</w:t>
      </w:r>
      <w:r>
        <w:rPr>
          <w:rFonts w:hint="eastAsia" w:ascii="宋体" w:hAnsi="宋体" w:cs="宋体"/>
          <w:color w:val="auto"/>
          <w:spacing w:val="6"/>
          <w:szCs w:val="21"/>
        </w:rPr>
        <w:t>根据《工业和信息化部、国家统计局、国家发展和改革委员会、财政部关于印发中小企业划型标准规定的通知》（工信部联企业</w:t>
      </w:r>
      <w:r>
        <w:rPr>
          <w:rFonts w:ascii="宋体" w:hAnsi="宋体" w:cs="宋体"/>
          <w:color w:val="auto"/>
          <w:spacing w:val="6"/>
          <w:szCs w:val="21"/>
        </w:rPr>
        <w:t>[2011]300</w:t>
      </w:r>
      <w:r>
        <w:rPr>
          <w:rFonts w:hint="eastAsia" w:ascii="宋体" w:hAnsi="宋体" w:cs="宋体"/>
          <w:color w:val="auto"/>
          <w:spacing w:val="6"/>
          <w:szCs w:val="21"/>
        </w:rPr>
        <w:t>号）规定的划分标准，本公司为</w:t>
      </w:r>
      <w:r>
        <w:rPr>
          <w:rFonts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p>
    <w:p>
      <w:pPr>
        <w:spacing w:line="588" w:lineRule="exact"/>
        <w:ind w:firstLine="444" w:firstLineChars="200"/>
        <w:rPr>
          <w:rFonts w:ascii="宋体" w:cs="宋体"/>
          <w:color w:val="auto"/>
          <w:spacing w:val="6"/>
          <w:szCs w:val="21"/>
        </w:rPr>
      </w:pPr>
      <w:r>
        <w:rPr>
          <w:rFonts w:ascii="宋体" w:hAnsi="宋体" w:cs="宋体"/>
          <w:color w:val="auto"/>
          <w:spacing w:val="6"/>
          <w:szCs w:val="21"/>
        </w:rPr>
        <w:t>2.</w:t>
      </w:r>
      <w:r>
        <w:rPr>
          <w:rFonts w:hint="eastAsia" w:ascii="宋体" w:hAnsi="宋体" w:cs="宋体"/>
          <w:color w:val="auto"/>
          <w:spacing w:val="6"/>
          <w:szCs w:val="21"/>
        </w:rPr>
        <w:t>本公司参加</w:t>
      </w:r>
      <w:r>
        <w:rPr>
          <w:rFonts w:ascii="宋体" w:hAnsi="宋体" w:cs="宋体"/>
          <w:color w:val="auto"/>
          <w:spacing w:val="6"/>
          <w:szCs w:val="21"/>
          <w:u w:val="single"/>
        </w:rPr>
        <w:t xml:space="preserve">           </w:t>
      </w:r>
      <w:r>
        <w:rPr>
          <w:rFonts w:hint="eastAsia" w:ascii="宋体" w:hAnsi="宋体" w:cs="宋体"/>
          <w:color w:val="auto"/>
          <w:spacing w:val="6"/>
          <w:szCs w:val="21"/>
        </w:rPr>
        <w:t>单位的</w:t>
      </w:r>
      <w:r>
        <w:rPr>
          <w:rFonts w:ascii="宋体" w:hAnsi="宋体" w:cs="宋体"/>
          <w:color w:val="auto"/>
          <w:spacing w:val="6"/>
          <w:szCs w:val="21"/>
          <w:u w:val="single"/>
        </w:rPr>
        <w:t xml:space="preserve">          </w:t>
      </w:r>
      <w:r>
        <w:rPr>
          <w:rFonts w:hint="eastAsia" w:ascii="宋体" w:hAnsi="宋体" w:cs="宋体"/>
          <w:color w:val="auto"/>
          <w:spacing w:val="6"/>
          <w:szCs w:val="21"/>
        </w:rPr>
        <w:t>项目采购活动提供本企业制造的货物，由本企业承担工程、提供服务，或者提供其他</w:t>
      </w:r>
      <w:r>
        <w:rPr>
          <w:rFonts w:ascii="宋体" w:hAnsi="宋体" w:cs="宋体"/>
          <w:color w:val="auto"/>
          <w:spacing w:val="6"/>
          <w:szCs w:val="21"/>
          <w:u w:val="single"/>
        </w:rPr>
        <w:t xml:space="preserve">            </w:t>
      </w:r>
      <w:r>
        <w:rPr>
          <w:rFonts w:hint="eastAsia" w:ascii="宋体" w:hAnsi="宋体" w:cs="宋体"/>
          <w:color w:val="auto"/>
          <w:spacing w:val="6"/>
          <w:szCs w:val="21"/>
        </w:rPr>
        <w:t>（请填写：中型、小型、微型）企业制造的货物。本条所称货物不包括使用大型企业注册商标的货物。</w:t>
      </w:r>
    </w:p>
    <w:p>
      <w:pPr>
        <w:spacing w:line="588" w:lineRule="exact"/>
        <w:ind w:firstLine="444" w:firstLineChars="200"/>
        <w:rPr>
          <w:rFonts w:ascii="宋体" w:cs="宋体"/>
          <w:color w:val="auto"/>
          <w:spacing w:val="6"/>
          <w:szCs w:val="21"/>
        </w:rPr>
      </w:pPr>
      <w:r>
        <w:rPr>
          <w:rFonts w:hint="eastAsia" w:ascii="宋体" w:hAnsi="宋体" w:cs="宋体"/>
          <w:color w:val="auto"/>
          <w:spacing w:val="6"/>
          <w:szCs w:val="21"/>
        </w:rPr>
        <w:t>本公司对上述声明的真实性负责。如有虚假，将依法承担相应责任。</w:t>
      </w:r>
    </w:p>
    <w:p>
      <w:pPr>
        <w:tabs>
          <w:tab w:val="left" w:pos="4860"/>
        </w:tabs>
        <w:spacing w:line="588" w:lineRule="exact"/>
        <w:ind w:right="1560" w:firstLine="444" w:firstLineChars="200"/>
        <w:jc w:val="center"/>
        <w:rPr>
          <w:rFonts w:ascii="宋体" w:cs="宋体"/>
          <w:color w:val="auto"/>
          <w:spacing w:val="6"/>
          <w:szCs w:val="21"/>
        </w:rPr>
      </w:pPr>
      <w:r>
        <w:rPr>
          <w:rFonts w:ascii="宋体" w:hAnsi="宋体" w:cs="宋体"/>
          <w:color w:val="auto"/>
          <w:spacing w:val="6"/>
          <w:szCs w:val="21"/>
        </w:rPr>
        <w:t xml:space="preserve">               </w:t>
      </w:r>
      <w:r>
        <w:rPr>
          <w:rFonts w:hint="eastAsia" w:ascii="宋体" w:hAnsi="宋体" w:cs="宋体"/>
          <w:color w:val="auto"/>
          <w:spacing w:val="6"/>
          <w:szCs w:val="21"/>
        </w:rPr>
        <w:t>企业名称（盖章）：</w:t>
      </w:r>
      <w:r>
        <w:rPr>
          <w:rFonts w:ascii="宋体" w:hAnsi="宋体" w:cs="宋体"/>
          <w:color w:val="auto"/>
          <w:spacing w:val="6"/>
          <w:szCs w:val="21"/>
        </w:rPr>
        <w:t xml:space="preserve"> </w:t>
      </w:r>
    </w:p>
    <w:p>
      <w:pPr>
        <w:tabs>
          <w:tab w:val="left" w:pos="4860"/>
        </w:tabs>
        <w:spacing w:line="588" w:lineRule="exact"/>
        <w:ind w:right="1560" w:firstLine="444" w:firstLineChars="200"/>
        <w:jc w:val="center"/>
        <w:rPr>
          <w:rFonts w:ascii="宋体" w:cs="宋体"/>
          <w:color w:val="auto"/>
          <w:spacing w:val="6"/>
          <w:szCs w:val="21"/>
        </w:rPr>
      </w:pPr>
      <w:r>
        <w:rPr>
          <w:rFonts w:ascii="宋体" w:hAnsi="宋体" w:cs="宋体"/>
          <w:color w:val="auto"/>
          <w:spacing w:val="6"/>
          <w:szCs w:val="21"/>
        </w:rPr>
        <w:t xml:space="preserve">       </w:t>
      </w:r>
      <w:r>
        <w:rPr>
          <w:rFonts w:hint="eastAsia" w:ascii="宋体" w:hAnsi="宋体" w:cs="宋体"/>
          <w:color w:val="auto"/>
          <w:spacing w:val="6"/>
          <w:szCs w:val="21"/>
        </w:rPr>
        <w:t>日</w:t>
      </w:r>
      <w:r>
        <w:rPr>
          <w:rFonts w:ascii="宋体" w:hAnsi="宋体" w:cs="宋体"/>
          <w:color w:val="auto"/>
          <w:spacing w:val="6"/>
          <w:szCs w:val="21"/>
        </w:rPr>
        <w:t xml:space="preserve">  </w:t>
      </w:r>
      <w:r>
        <w:rPr>
          <w:rFonts w:hint="eastAsia" w:ascii="宋体" w:hAnsi="宋体" w:cs="宋体"/>
          <w:color w:val="auto"/>
          <w:spacing w:val="6"/>
          <w:szCs w:val="21"/>
        </w:rPr>
        <w:t>期：</w:t>
      </w:r>
      <w:r>
        <w:rPr>
          <w:rFonts w:ascii="宋体" w:hAnsi="宋体" w:cs="宋体"/>
          <w:color w:val="auto"/>
          <w:spacing w:val="6"/>
          <w:szCs w:val="21"/>
        </w:rPr>
        <w:t xml:space="preserve">               </w:t>
      </w:r>
    </w:p>
    <w:p>
      <w:pPr>
        <w:tabs>
          <w:tab w:val="left" w:pos="4860"/>
        </w:tabs>
        <w:spacing w:line="588" w:lineRule="exact"/>
        <w:ind w:right="1560"/>
        <w:rPr>
          <w:rFonts w:ascii="宋体" w:cs="宋体"/>
          <w:color w:val="auto"/>
          <w:spacing w:val="6"/>
          <w:szCs w:val="21"/>
        </w:rPr>
      </w:pPr>
      <w:r>
        <w:rPr>
          <w:rFonts w:ascii="宋体" w:hAnsi="宋体" w:cs="宋体"/>
          <w:color w:val="auto"/>
          <w:spacing w:val="6"/>
          <w:szCs w:val="21"/>
        </w:rPr>
        <w:t xml:space="preserve"> </w:t>
      </w:r>
    </w:p>
    <w:p>
      <w:pPr>
        <w:rPr>
          <w:rFonts w:ascii="宋体" w:cs="宋体"/>
          <w:color w:val="auto"/>
          <w:spacing w:val="6"/>
          <w:szCs w:val="21"/>
        </w:rPr>
      </w:pPr>
    </w:p>
    <w:p>
      <w:pPr>
        <w:spacing w:line="360" w:lineRule="auto"/>
        <w:ind w:firstLine="420" w:firstLineChars="200"/>
        <w:rPr>
          <w:rFonts w:ascii="宋体" w:cs="宋体"/>
          <w:bCs/>
          <w:color w:val="auto"/>
        </w:rPr>
      </w:pPr>
    </w:p>
    <w:p>
      <w:pPr>
        <w:rPr>
          <w:rFonts w:ascii="宋体" w:cs="宋体"/>
          <w:color w:val="auto"/>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b/>
          <w:color w:val="auto"/>
          <w:szCs w:val="21"/>
        </w:rPr>
      </w:pPr>
    </w:p>
    <w:p>
      <w:pPr>
        <w:pStyle w:val="7"/>
        <w:overflowPunct w:val="0"/>
        <w:spacing w:line="360" w:lineRule="auto"/>
        <w:ind w:firstLine="0"/>
        <w:rPr>
          <w:rFonts w:ascii="宋体" w:cs="宋体"/>
          <w:color w:val="auto"/>
        </w:rPr>
      </w:pPr>
      <w:r>
        <w:rPr>
          <w:rFonts w:ascii="宋体" w:hAnsi="宋体" w:cs="宋体"/>
          <w:b/>
          <w:color w:val="auto"/>
          <w:szCs w:val="21"/>
        </w:rPr>
        <w:t xml:space="preserve">3.2.8  </w:t>
      </w:r>
      <w:r>
        <w:rPr>
          <w:rFonts w:hint="eastAsia" w:ascii="宋体" w:hAnsi="宋体" w:cs="宋体"/>
          <w:b/>
          <w:color w:val="auto"/>
          <w:szCs w:val="21"/>
        </w:rPr>
        <w:t>投标产品符合《招标采购促进广西工业产品产销对接实施细则的通知》（桂政办发【</w:t>
      </w:r>
      <w:r>
        <w:rPr>
          <w:rFonts w:ascii="宋体" w:hAnsi="宋体" w:cs="宋体"/>
          <w:b/>
          <w:color w:val="auto"/>
          <w:szCs w:val="21"/>
        </w:rPr>
        <w:t>2015</w:t>
      </w:r>
      <w:r>
        <w:rPr>
          <w:rFonts w:hint="eastAsia" w:ascii="宋体" w:hAnsi="宋体" w:cs="宋体"/>
          <w:b/>
          <w:color w:val="auto"/>
          <w:szCs w:val="21"/>
        </w:rPr>
        <w:t>】</w:t>
      </w:r>
      <w:r>
        <w:rPr>
          <w:rFonts w:ascii="宋体" w:hAnsi="宋体" w:cs="宋体"/>
          <w:b/>
          <w:color w:val="auto"/>
          <w:szCs w:val="21"/>
        </w:rPr>
        <w:t>78</w:t>
      </w:r>
      <w:r>
        <w:rPr>
          <w:rFonts w:hint="eastAsia" w:ascii="宋体" w:hAnsi="宋体" w:cs="宋体"/>
          <w:b/>
          <w:color w:val="auto"/>
          <w:szCs w:val="21"/>
        </w:rPr>
        <w:t>号）要求的，提供广西工业产品声明函</w:t>
      </w:r>
    </w:p>
    <w:p>
      <w:pPr>
        <w:widowControl/>
        <w:spacing w:before="100" w:beforeAutospacing="1" w:after="100" w:afterAutospacing="1" w:line="425" w:lineRule="atLeast"/>
        <w:jc w:val="center"/>
        <w:rPr>
          <w:rFonts w:ascii="宋体" w:cs="宋体"/>
          <w:color w:val="auto"/>
          <w:kern w:val="0"/>
          <w:sz w:val="28"/>
          <w:szCs w:val="28"/>
        </w:rPr>
      </w:pPr>
      <w:r>
        <w:rPr>
          <w:rFonts w:hint="eastAsia" w:ascii="宋体" w:hAnsi="宋体" w:cs="宋体"/>
          <w:b/>
          <w:bCs/>
          <w:color w:val="auto"/>
          <w:kern w:val="0"/>
          <w:sz w:val="28"/>
          <w:szCs w:val="28"/>
        </w:rPr>
        <w:t>广西工业产品声明函</w:t>
      </w:r>
    </w:p>
    <w:p>
      <w:pPr>
        <w:widowControl/>
        <w:spacing w:before="100" w:beforeAutospacing="1" w:after="100" w:afterAutospacing="1" w:line="425" w:lineRule="atLeast"/>
        <w:jc w:val="left"/>
        <w:rPr>
          <w:rFonts w:ascii="宋体" w:cs="宋体"/>
          <w:color w:val="auto"/>
          <w:kern w:val="0"/>
          <w:szCs w:val="21"/>
        </w:rPr>
      </w:pPr>
      <w:r>
        <w:rPr>
          <w:rFonts w:hint="eastAsia" w:ascii="宋体" w:hAnsi="宋体" w:cs="宋体"/>
          <w:color w:val="auto"/>
          <w:kern w:val="0"/>
          <w:sz w:val="24"/>
        </w:rPr>
        <w:t>　　</w:t>
      </w:r>
      <w:r>
        <w:rPr>
          <w:rFonts w:hint="eastAsia" w:ascii="宋体" w:hAnsi="宋体" w:cs="宋体"/>
          <w:color w:val="auto"/>
          <w:kern w:val="0"/>
          <w:szCs w:val="21"/>
        </w:rPr>
        <w:t>本公司郑重声明</w:t>
      </w:r>
      <w:r>
        <w:rPr>
          <w:rFonts w:ascii="宋体" w:cs="宋体"/>
          <w:color w:val="auto"/>
          <w:kern w:val="0"/>
          <w:szCs w:val="21"/>
        </w:rPr>
        <w:t>,</w:t>
      </w:r>
      <w:r>
        <w:rPr>
          <w:rFonts w:hint="eastAsia" w:ascii="宋体" w:hAnsi="宋体" w:cs="宋体"/>
          <w:color w:val="auto"/>
          <w:kern w:val="0"/>
          <w:szCs w:val="21"/>
        </w:rPr>
        <w:t>根据《招标采购促进广西工业产品产销对接实施细则》的规定</w:t>
      </w:r>
      <w:r>
        <w:rPr>
          <w:rFonts w:ascii="宋体" w:cs="宋体"/>
          <w:color w:val="auto"/>
          <w:kern w:val="0"/>
          <w:szCs w:val="21"/>
        </w:rPr>
        <w:t>,</w:t>
      </w:r>
      <w:r>
        <w:rPr>
          <w:rFonts w:hint="eastAsia" w:ascii="宋体" w:hAnsi="宋体" w:cs="宋体"/>
          <w:color w:val="auto"/>
          <w:kern w:val="0"/>
          <w:szCs w:val="21"/>
        </w:rPr>
        <w:t>本公司在本次投标</w:t>
      </w:r>
      <w:r>
        <w:rPr>
          <w:rFonts w:ascii="宋体" w:hAnsi="宋体" w:cs="宋体"/>
          <w:color w:val="auto"/>
          <w:kern w:val="0"/>
          <w:szCs w:val="21"/>
        </w:rPr>
        <w:t>/</w:t>
      </w:r>
      <w:r>
        <w:rPr>
          <w:rFonts w:hint="eastAsia" w:ascii="宋体" w:hAnsi="宋体" w:cs="宋体"/>
          <w:color w:val="auto"/>
          <w:kern w:val="0"/>
          <w:szCs w:val="21"/>
        </w:rPr>
        <w:t>投标中或者工程项目中提供的下述产品为广西工业产品</w:t>
      </w:r>
      <w:r>
        <w:rPr>
          <w:rFonts w:ascii="宋体" w:cs="宋体"/>
          <w:color w:val="auto"/>
          <w:kern w:val="0"/>
          <w:szCs w:val="21"/>
        </w:rPr>
        <w:t>,</w:t>
      </w:r>
      <w:r>
        <w:rPr>
          <w:rFonts w:hint="eastAsia" w:ascii="宋体" w:hAnsi="宋体" w:cs="宋体"/>
          <w:color w:val="auto"/>
          <w:kern w:val="0"/>
          <w:szCs w:val="21"/>
        </w:rPr>
        <w:t>详情如下</w:t>
      </w:r>
      <w:r>
        <w:rPr>
          <w:rFonts w:ascii="宋体" w:hAnsi="宋体" w:cs="宋体"/>
          <w:color w:val="auto"/>
          <w:kern w:val="0"/>
          <w:szCs w:val="21"/>
        </w:rPr>
        <w:t>:</w:t>
      </w:r>
    </w:p>
    <w:tbl>
      <w:tblPr>
        <w:tblStyle w:val="40"/>
        <w:tblW w:w="9639" w:type="dxa"/>
        <w:jc w:val="center"/>
        <w:tblLayout w:type="fixed"/>
        <w:tblCellMar>
          <w:top w:w="0" w:type="dxa"/>
          <w:left w:w="0" w:type="dxa"/>
          <w:bottom w:w="0" w:type="dxa"/>
          <w:right w:w="0" w:type="dxa"/>
        </w:tblCellMar>
      </w:tblPr>
      <w:tblGrid>
        <w:gridCol w:w="865"/>
        <w:gridCol w:w="2015"/>
        <w:gridCol w:w="1609"/>
        <w:gridCol w:w="978"/>
        <w:gridCol w:w="2253"/>
        <w:gridCol w:w="1127"/>
        <w:gridCol w:w="792"/>
      </w:tblGrid>
      <w:tr>
        <w:tblPrEx>
          <w:tblCellMar>
            <w:top w:w="0" w:type="dxa"/>
            <w:left w:w="0" w:type="dxa"/>
            <w:bottom w:w="0" w:type="dxa"/>
            <w:right w:w="0" w:type="dxa"/>
          </w:tblCellMar>
        </w:tblPrEx>
        <w:trPr>
          <w:trHeight w:val="454" w:hRule="atLeast"/>
          <w:jc w:val="center"/>
        </w:trPr>
        <w:tc>
          <w:tcPr>
            <w:tcW w:w="865"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序号</w:t>
            </w:r>
          </w:p>
        </w:tc>
        <w:tc>
          <w:tcPr>
            <w:tcW w:w="2015"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产品名称</w:t>
            </w:r>
          </w:p>
        </w:tc>
        <w:tc>
          <w:tcPr>
            <w:tcW w:w="1609"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型号和规格</w:t>
            </w:r>
          </w:p>
        </w:tc>
        <w:tc>
          <w:tcPr>
            <w:tcW w:w="978"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数量</w:t>
            </w:r>
          </w:p>
        </w:tc>
        <w:tc>
          <w:tcPr>
            <w:tcW w:w="2253"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制造厂商及原产地</w:t>
            </w:r>
          </w:p>
        </w:tc>
        <w:tc>
          <w:tcPr>
            <w:tcW w:w="1127"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投标价</w:t>
            </w:r>
          </w:p>
        </w:tc>
        <w:tc>
          <w:tcPr>
            <w:tcW w:w="792"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备注</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hAnsi="宋体" w:cs="宋体"/>
                <w:color w:val="auto"/>
                <w:kern w:val="0"/>
                <w:szCs w:val="21"/>
              </w:rPr>
              <w:t>1</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hAnsi="宋体" w:cs="宋体"/>
                <w:color w:val="auto"/>
                <w:kern w:val="0"/>
                <w:szCs w:val="21"/>
              </w:rPr>
              <w:t>2</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2015" w:type="dxa"/>
            <w:tcBorders>
              <w:top w:val="nil"/>
              <w:left w:val="nil"/>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广西工业产品</w:t>
            </w:r>
          </w:p>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合计价格：</w:t>
            </w:r>
          </w:p>
        </w:tc>
        <w:tc>
          <w:tcPr>
            <w:tcW w:w="2587" w:type="dxa"/>
            <w:gridSpan w:val="2"/>
            <w:tcBorders>
              <w:top w:val="nil"/>
              <w:left w:val="nil"/>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c>
          <w:tcPr>
            <w:tcW w:w="2253"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hint="eastAsia" w:ascii="宋体" w:hAnsi="宋体" w:cs="宋体"/>
                <w:color w:val="auto"/>
                <w:kern w:val="0"/>
                <w:szCs w:val="21"/>
              </w:rPr>
              <w:t>占投标总价比例：</w:t>
            </w:r>
          </w:p>
        </w:tc>
        <w:tc>
          <w:tcPr>
            <w:tcW w:w="1919" w:type="dxa"/>
            <w:gridSpan w:val="2"/>
            <w:tcBorders>
              <w:top w:val="nil"/>
              <w:left w:val="nil"/>
              <w:bottom w:val="single" w:color="auto" w:sz="12"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cs="宋体"/>
                <w:color w:val="auto"/>
                <w:kern w:val="0"/>
                <w:szCs w:val="21"/>
              </w:rPr>
            </w:pPr>
            <w:r>
              <w:rPr>
                <w:rFonts w:ascii="宋体" w:cs="宋体"/>
                <w:color w:val="auto"/>
                <w:kern w:val="0"/>
                <w:szCs w:val="21"/>
              </w:rPr>
              <w:t> </w:t>
            </w:r>
          </w:p>
        </w:tc>
      </w:tr>
    </w:tbl>
    <w:p>
      <w:pPr>
        <w:widowControl/>
        <w:spacing w:before="100" w:beforeAutospacing="1" w:after="100" w:afterAutospacing="1" w:line="425" w:lineRule="atLeast"/>
        <w:jc w:val="left"/>
        <w:rPr>
          <w:rFonts w:ascii="宋体" w:cs="宋体"/>
          <w:color w:val="auto"/>
          <w:kern w:val="0"/>
          <w:szCs w:val="21"/>
        </w:rPr>
      </w:pPr>
      <w:r>
        <w:rPr>
          <w:rFonts w:hint="eastAsia" w:ascii="宋体" w:hAnsi="宋体" w:cs="宋体"/>
          <w:color w:val="auto"/>
          <w:kern w:val="0"/>
          <w:szCs w:val="21"/>
        </w:rPr>
        <w:t>　　本公司对上述声明的真实性负责。如有虚假</w:t>
      </w:r>
      <w:r>
        <w:rPr>
          <w:rFonts w:ascii="宋体" w:cs="宋体"/>
          <w:color w:val="auto"/>
          <w:kern w:val="0"/>
          <w:szCs w:val="21"/>
        </w:rPr>
        <w:t>,</w:t>
      </w:r>
      <w:r>
        <w:rPr>
          <w:rFonts w:hint="eastAsia" w:ascii="宋体" w:hAnsi="宋体" w:cs="宋体"/>
          <w:color w:val="auto"/>
          <w:kern w:val="0"/>
          <w:szCs w:val="21"/>
        </w:rPr>
        <w:t>将依法承担相应责任。</w:t>
      </w:r>
    </w:p>
    <w:p>
      <w:pPr>
        <w:widowControl/>
        <w:spacing w:before="100" w:beforeAutospacing="1" w:after="100" w:afterAutospacing="1" w:line="425" w:lineRule="atLeast"/>
        <w:jc w:val="left"/>
        <w:rPr>
          <w:rFonts w:ascii="宋体" w:cs="宋体"/>
          <w:color w:val="auto"/>
          <w:kern w:val="0"/>
          <w:sz w:val="24"/>
        </w:rPr>
      </w:pPr>
      <w:r>
        <w:rPr>
          <w:rFonts w:ascii="宋体" w:cs="宋体"/>
          <w:color w:val="auto"/>
          <w:kern w:val="0"/>
          <w:sz w:val="24"/>
        </w:rPr>
        <w:t>                                                    </w:t>
      </w:r>
      <w:r>
        <w:rPr>
          <w:rFonts w:ascii="宋体" w:hAnsi="宋体" w:cs="宋体"/>
          <w:color w:val="auto"/>
          <w:kern w:val="0"/>
          <w:sz w:val="24"/>
        </w:rPr>
        <w:t xml:space="preserve">                    </w:t>
      </w:r>
    </w:p>
    <w:p>
      <w:pPr>
        <w:widowControl/>
        <w:spacing w:before="100" w:beforeAutospacing="1" w:after="100" w:afterAutospacing="1" w:line="425" w:lineRule="atLeast"/>
        <w:ind w:firstLine="5280" w:firstLineChars="2200"/>
        <w:jc w:val="left"/>
        <w:rPr>
          <w:rFonts w:ascii="宋体" w:cs="宋体"/>
          <w:color w:val="auto"/>
          <w:kern w:val="0"/>
          <w:sz w:val="24"/>
        </w:rPr>
      </w:pPr>
      <w:r>
        <w:rPr>
          <w:rFonts w:ascii="宋体" w:hAnsi="宋体" w:cs="宋体"/>
          <w:color w:val="auto"/>
          <w:kern w:val="0"/>
          <w:sz w:val="24"/>
        </w:rPr>
        <w:t xml:space="preserve">  </w:t>
      </w:r>
      <w:r>
        <w:rPr>
          <w:rFonts w:hint="eastAsia" w:ascii="宋体" w:hAnsi="宋体" w:cs="宋体"/>
          <w:color w:val="auto"/>
          <w:kern w:val="0"/>
          <w:sz w:val="24"/>
        </w:rPr>
        <w:t>企业名称</w:t>
      </w:r>
      <w:r>
        <w:rPr>
          <w:rFonts w:ascii="宋体" w:hAnsi="宋体" w:cs="宋体"/>
          <w:color w:val="auto"/>
          <w:kern w:val="0"/>
          <w:sz w:val="24"/>
        </w:rPr>
        <w:t>(</w:t>
      </w:r>
      <w:r>
        <w:rPr>
          <w:rFonts w:hint="eastAsia" w:ascii="宋体" w:hAnsi="宋体" w:cs="宋体"/>
          <w:color w:val="auto"/>
          <w:kern w:val="0"/>
          <w:sz w:val="24"/>
        </w:rPr>
        <w:t>盖章</w:t>
      </w:r>
      <w:r>
        <w:rPr>
          <w:rFonts w:ascii="宋体" w:hAnsi="宋体" w:cs="宋体"/>
          <w:color w:val="auto"/>
          <w:kern w:val="0"/>
          <w:sz w:val="24"/>
        </w:rPr>
        <w:t>):</w:t>
      </w:r>
    </w:p>
    <w:p>
      <w:pPr>
        <w:rPr>
          <w:rFonts w:ascii="宋体" w:cs="宋体"/>
          <w:color w:val="auto"/>
        </w:rPr>
      </w:pPr>
      <w:r>
        <w:rPr>
          <w:rFonts w:ascii="宋体" w:cs="宋体"/>
          <w:color w:val="auto"/>
          <w:kern w:val="0"/>
          <w:sz w:val="24"/>
        </w:rPr>
        <w:t>                                                    </w:t>
      </w:r>
      <w:r>
        <w:rPr>
          <w:rFonts w:ascii="宋体" w:hAnsi="宋体" w:cs="宋体"/>
          <w:color w:val="auto"/>
          <w:kern w:val="0"/>
          <w:sz w:val="24"/>
        </w:rPr>
        <w:t xml:space="preserve">                       </w:t>
      </w:r>
      <w:r>
        <w:rPr>
          <w:rFonts w:hint="eastAsia" w:ascii="宋体" w:hAnsi="宋体" w:cs="宋体"/>
          <w:color w:val="auto"/>
          <w:kern w:val="0"/>
          <w:sz w:val="24"/>
        </w:rPr>
        <w:t>日</w:t>
      </w:r>
      <w:r>
        <w:rPr>
          <w:rFonts w:ascii="宋体" w:hAnsi="宋体" w:cs="宋体"/>
          <w:color w:val="auto"/>
          <w:kern w:val="0"/>
          <w:sz w:val="24"/>
        </w:rPr>
        <w:t xml:space="preserve"> </w:t>
      </w:r>
      <w:r>
        <w:rPr>
          <w:rFonts w:hint="eastAsia" w:ascii="宋体" w:hAnsi="宋体" w:cs="宋体"/>
          <w:color w:val="auto"/>
          <w:kern w:val="0"/>
          <w:sz w:val="24"/>
        </w:rPr>
        <w:t>期</w:t>
      </w:r>
      <w:r>
        <w:rPr>
          <w:rFonts w:ascii="宋体" w:hAnsi="宋体" w:cs="宋体"/>
          <w:color w:val="auto"/>
          <w:kern w:val="0"/>
          <w:sz w:val="24"/>
        </w:rPr>
        <w:t>:</w:t>
      </w:r>
    </w:p>
    <w:p>
      <w:pPr>
        <w:rPr>
          <w:rFonts w:ascii="宋体" w:cs="宋体"/>
          <w:color w:val="auto"/>
        </w:rPr>
      </w:pPr>
    </w:p>
    <w:p>
      <w:pPr>
        <w:rPr>
          <w:rFonts w:ascii="宋体" w:cs="宋体"/>
          <w:color w:val="auto"/>
        </w:rPr>
      </w:pPr>
    </w:p>
    <w:p>
      <w:pPr>
        <w:rPr>
          <w:rFonts w:ascii="宋体" w:cs="宋体"/>
          <w:color w:val="auto"/>
        </w:rPr>
      </w:pPr>
    </w:p>
    <w:p>
      <w:pPr>
        <w:pStyle w:val="55"/>
        <w:rPr>
          <w:rFonts w:ascii="宋体" w:cs="宋体"/>
          <w:color w:val="auto"/>
        </w:rPr>
      </w:pPr>
    </w:p>
    <w:p>
      <w:pPr>
        <w:pStyle w:val="55"/>
        <w:rPr>
          <w:rFonts w:ascii="宋体" w:cs="宋体"/>
          <w:color w:val="auto"/>
        </w:rPr>
      </w:pPr>
    </w:p>
    <w:p>
      <w:pPr>
        <w:pStyle w:val="55"/>
        <w:rPr>
          <w:rFonts w:ascii="宋体" w:cs="宋体"/>
          <w:color w:val="auto"/>
        </w:rPr>
      </w:pPr>
    </w:p>
    <w:p>
      <w:pPr>
        <w:pStyle w:val="55"/>
        <w:rPr>
          <w:rFonts w:ascii="宋体" w:cs="宋体"/>
          <w:color w:val="auto"/>
        </w:rPr>
      </w:pPr>
    </w:p>
    <w:p>
      <w:pPr>
        <w:pStyle w:val="55"/>
        <w:rPr>
          <w:rFonts w:ascii="宋体" w:cs="宋体"/>
          <w:color w:val="auto"/>
        </w:rPr>
      </w:pPr>
    </w:p>
    <w:p>
      <w:pPr>
        <w:pStyle w:val="55"/>
        <w:rPr>
          <w:rFonts w:ascii="宋体" w:cs="宋体"/>
          <w:color w:val="auto"/>
        </w:rPr>
      </w:pPr>
    </w:p>
    <w:p>
      <w:pPr>
        <w:pStyle w:val="55"/>
        <w:rPr>
          <w:rFonts w:ascii="宋体" w:cs="宋体"/>
          <w:color w:val="auto"/>
        </w:rPr>
      </w:pPr>
    </w:p>
    <w:p>
      <w:pPr>
        <w:pStyle w:val="55"/>
        <w:rPr>
          <w:rFonts w:ascii="宋体" w:cs="宋体"/>
          <w:color w:val="auto"/>
        </w:rPr>
      </w:pPr>
    </w:p>
    <w:p>
      <w:pPr>
        <w:pStyle w:val="55"/>
        <w:rPr>
          <w:rFonts w:ascii="宋体" w:cs="宋体"/>
          <w:color w:val="auto"/>
        </w:rPr>
      </w:pPr>
    </w:p>
    <w:p>
      <w:pPr>
        <w:pStyle w:val="55"/>
        <w:rPr>
          <w:rFonts w:ascii="宋体" w:cs="宋体"/>
          <w:color w:val="auto"/>
        </w:rPr>
      </w:pPr>
    </w:p>
    <w:p>
      <w:pPr>
        <w:pStyle w:val="55"/>
        <w:rPr>
          <w:rFonts w:ascii="宋体" w:cs="宋体"/>
          <w:color w:val="auto"/>
        </w:rPr>
      </w:pPr>
    </w:p>
    <w:p>
      <w:pPr>
        <w:rPr>
          <w:rFonts w:ascii="宋体" w:cs="宋体"/>
          <w:color w:val="auto"/>
        </w:rPr>
      </w:pPr>
    </w:p>
    <w:p>
      <w:pPr>
        <w:rPr>
          <w:rFonts w:ascii="宋体" w:cs="宋体"/>
          <w:b/>
          <w:color w:val="auto"/>
          <w:szCs w:val="21"/>
        </w:rPr>
      </w:pPr>
      <w:r>
        <w:rPr>
          <w:rFonts w:ascii="宋体" w:hAnsi="宋体" w:cs="宋体"/>
          <w:b/>
          <w:color w:val="auto"/>
          <w:szCs w:val="21"/>
        </w:rPr>
        <w:t xml:space="preserve">3.2.9  </w:t>
      </w:r>
      <w:r>
        <w:rPr>
          <w:rFonts w:hint="eastAsia" w:ascii="宋体" w:hAnsi="宋体" w:cs="宋体"/>
          <w:b/>
          <w:color w:val="auto"/>
          <w:szCs w:val="21"/>
        </w:rPr>
        <w:t>投标产品提供单位按《关于促进残疾人就业政府采购政策的通知》</w:t>
      </w:r>
      <w:r>
        <w:rPr>
          <w:rFonts w:ascii="宋体" w:hAnsi="宋体" w:cs="宋体"/>
          <w:b/>
          <w:color w:val="auto"/>
          <w:szCs w:val="21"/>
        </w:rPr>
        <w:t>(</w:t>
      </w:r>
      <w:r>
        <w:rPr>
          <w:rFonts w:hint="eastAsia" w:ascii="宋体" w:hAnsi="宋体" w:cs="宋体"/>
          <w:b/>
          <w:color w:val="auto"/>
          <w:szCs w:val="21"/>
        </w:rPr>
        <w:t>财库〔</w:t>
      </w:r>
      <w:r>
        <w:rPr>
          <w:rFonts w:ascii="宋体" w:hAnsi="宋体" w:cs="宋体"/>
          <w:b/>
          <w:color w:val="auto"/>
          <w:szCs w:val="21"/>
        </w:rPr>
        <w:t>2017</w:t>
      </w:r>
      <w:r>
        <w:rPr>
          <w:rFonts w:hint="eastAsia" w:ascii="宋体" w:hAnsi="宋体" w:cs="宋体"/>
          <w:b/>
          <w:color w:val="auto"/>
          <w:szCs w:val="21"/>
        </w:rPr>
        <w:t>〕</w:t>
      </w:r>
      <w:r>
        <w:rPr>
          <w:rFonts w:ascii="宋体" w:hAnsi="宋体" w:cs="宋体"/>
          <w:b/>
          <w:color w:val="auto"/>
          <w:szCs w:val="21"/>
        </w:rPr>
        <w:t>141</w:t>
      </w:r>
      <w:r>
        <w:rPr>
          <w:rFonts w:hint="eastAsia" w:ascii="宋体" w:hAnsi="宋体" w:cs="宋体"/>
          <w:b/>
          <w:color w:val="auto"/>
          <w:szCs w:val="21"/>
        </w:rPr>
        <w:t>号</w:t>
      </w:r>
      <w:r>
        <w:rPr>
          <w:rFonts w:ascii="宋体" w:hAnsi="宋体" w:cs="宋体"/>
          <w:b/>
          <w:color w:val="auto"/>
          <w:szCs w:val="21"/>
        </w:rPr>
        <w:t>)</w:t>
      </w:r>
      <w:r>
        <w:rPr>
          <w:rFonts w:hint="eastAsia" w:ascii="宋体" w:hAnsi="宋体" w:cs="宋体"/>
          <w:b/>
          <w:color w:val="auto"/>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r>
        <w:rPr>
          <w:rFonts w:ascii="宋体" w:hAnsi="宋体" w:cs="宋体"/>
          <w:b/>
          <w:color w:val="auto"/>
          <w:szCs w:val="21"/>
        </w:rPr>
        <w:t>(</w:t>
      </w:r>
      <w:r>
        <w:rPr>
          <w:rFonts w:hint="eastAsia" w:ascii="宋体" w:hAnsi="宋体" w:cs="宋体"/>
          <w:b/>
          <w:color w:val="auto"/>
          <w:szCs w:val="21"/>
        </w:rPr>
        <w:t>格式见第六章</w:t>
      </w:r>
      <w:r>
        <w:rPr>
          <w:rFonts w:ascii="宋体" w:hAnsi="宋体" w:cs="宋体"/>
          <w:b/>
          <w:color w:val="auto"/>
          <w:szCs w:val="21"/>
        </w:rPr>
        <w:t>)</w:t>
      </w:r>
    </w:p>
    <w:p>
      <w:pPr>
        <w:rPr>
          <w:rFonts w:ascii="宋体" w:cs="宋体"/>
          <w:color w:val="auto"/>
        </w:rPr>
      </w:pPr>
      <w:r>
        <w:rPr>
          <w:rFonts w:hint="eastAsia" w:ascii="宋体" w:hAnsi="宋体" w:cs="宋体"/>
          <w:b/>
          <w:color w:val="auto"/>
          <w:szCs w:val="21"/>
        </w:rPr>
        <w:t>广西工业产品声明函格式：</w:t>
      </w:r>
    </w:p>
    <w:p>
      <w:pPr>
        <w:widowControl/>
        <w:spacing w:before="100" w:beforeAutospacing="1" w:after="100" w:afterAutospacing="1" w:line="425" w:lineRule="atLeast"/>
        <w:jc w:val="center"/>
        <w:rPr>
          <w:rFonts w:ascii="宋体" w:cs="宋体"/>
          <w:color w:val="auto"/>
          <w:kern w:val="0"/>
          <w:sz w:val="28"/>
          <w:szCs w:val="28"/>
        </w:rPr>
      </w:pPr>
      <w:r>
        <w:rPr>
          <w:rFonts w:hint="eastAsia" w:ascii="宋体" w:hAnsi="宋体" w:cs="宋体"/>
          <w:b/>
          <w:bCs/>
          <w:color w:val="auto"/>
          <w:kern w:val="0"/>
          <w:sz w:val="28"/>
          <w:szCs w:val="28"/>
        </w:rPr>
        <w:t>残疾人福利性单位声明函</w:t>
      </w:r>
    </w:p>
    <w:p>
      <w:pPr>
        <w:widowControl/>
        <w:spacing w:before="100" w:beforeAutospacing="1" w:after="100" w:afterAutospacing="1" w:line="425" w:lineRule="atLeast"/>
        <w:jc w:val="left"/>
        <w:rPr>
          <w:rFonts w:ascii="宋体" w:cs="宋体"/>
          <w:color w:val="auto"/>
          <w:kern w:val="0"/>
          <w:sz w:val="24"/>
        </w:rPr>
      </w:pPr>
    </w:p>
    <w:p>
      <w:pPr>
        <w:widowControl/>
        <w:spacing w:before="100" w:beforeAutospacing="1" w:after="100" w:afterAutospacing="1" w:line="400" w:lineRule="exact"/>
        <w:ind w:firstLine="420" w:firstLineChars="200"/>
        <w:jc w:val="left"/>
        <w:rPr>
          <w:rFonts w:ascii="宋体" w:cs="宋体"/>
          <w:color w:val="auto"/>
          <w:kern w:val="0"/>
          <w:szCs w:val="21"/>
        </w:rPr>
      </w:pPr>
      <w:r>
        <w:rPr>
          <w:rFonts w:hint="eastAsia" w:ascii="宋体" w:hAnsi="宋体" w:cs="宋体"/>
          <w:color w:val="auto"/>
          <w:kern w:val="0"/>
          <w:szCs w:val="21"/>
        </w:rPr>
        <w:t>本单位郑重声明，根据《财政部</w:t>
      </w:r>
      <w:r>
        <w:rPr>
          <w:rFonts w:ascii="宋体" w:hAnsi="宋体" w:cs="宋体"/>
          <w:color w:val="auto"/>
          <w:kern w:val="0"/>
          <w:szCs w:val="21"/>
        </w:rPr>
        <w:t xml:space="preserve"> </w:t>
      </w:r>
      <w:r>
        <w:rPr>
          <w:rFonts w:hint="eastAsia" w:ascii="宋体" w:hAnsi="宋体" w:cs="宋体"/>
          <w:color w:val="auto"/>
          <w:kern w:val="0"/>
          <w:szCs w:val="21"/>
        </w:rPr>
        <w:t>民政部</w:t>
      </w:r>
      <w:r>
        <w:rPr>
          <w:rFonts w:ascii="宋体" w:hAnsi="宋体" w:cs="宋体"/>
          <w:color w:val="auto"/>
          <w:kern w:val="0"/>
          <w:szCs w:val="21"/>
        </w:rPr>
        <w:t xml:space="preserve"> </w:t>
      </w:r>
      <w:r>
        <w:rPr>
          <w:rFonts w:hint="eastAsia" w:ascii="宋体" w:hAnsi="宋体" w:cs="宋体"/>
          <w:color w:val="auto"/>
          <w:kern w:val="0"/>
          <w:szCs w:val="21"/>
        </w:rPr>
        <w:t>中国残疾人联合会关于促进残疾人就业政府采购政策的通知》（财库〔</w:t>
      </w:r>
      <w:r>
        <w:rPr>
          <w:rFonts w:ascii="宋体" w:hAnsi="宋体" w:cs="宋体"/>
          <w:color w:val="auto"/>
          <w:kern w:val="0"/>
          <w:szCs w:val="21"/>
        </w:rPr>
        <w:t>2017</w:t>
      </w:r>
      <w:r>
        <w:rPr>
          <w:rFonts w:hint="eastAsia" w:ascii="宋体" w:hAnsi="宋体" w:cs="宋体"/>
          <w:color w:val="auto"/>
          <w:kern w:val="0"/>
          <w:szCs w:val="21"/>
        </w:rPr>
        <w:t>〕</w:t>
      </w:r>
      <w:r>
        <w:rPr>
          <w:rFonts w:ascii="宋体" w:hAnsi="宋体" w:cs="宋体"/>
          <w:color w:val="auto"/>
          <w:kern w:val="0"/>
          <w:szCs w:val="21"/>
        </w:rPr>
        <w:t>141</w:t>
      </w:r>
      <w:r>
        <w:rPr>
          <w:rFonts w:hint="eastAsia" w:ascii="宋体" w:hAnsi="宋体" w:cs="宋体"/>
          <w:color w:val="auto"/>
          <w:kern w:val="0"/>
          <w:szCs w:val="21"/>
        </w:rPr>
        <w:t>号）的规定，本单位为符合条件的残疾人福利性单位，且本单位参加</w:t>
      </w:r>
      <w:r>
        <w:rPr>
          <w:rFonts w:ascii="宋体" w:hAnsi="宋体" w:cs="宋体"/>
          <w:color w:val="auto"/>
          <w:kern w:val="0"/>
          <w:szCs w:val="21"/>
          <w:u w:val="single"/>
        </w:rPr>
        <w:t xml:space="preserve">             </w:t>
      </w:r>
      <w:r>
        <w:rPr>
          <w:rFonts w:hint="eastAsia" w:ascii="宋体" w:hAnsi="宋体" w:cs="宋体"/>
          <w:color w:val="auto"/>
          <w:kern w:val="0"/>
          <w:szCs w:val="21"/>
        </w:rPr>
        <w:t>单位的</w:t>
      </w:r>
      <w:r>
        <w:rPr>
          <w:rFonts w:ascii="宋体" w:hAnsi="宋体" w:cs="宋体"/>
          <w:color w:val="auto"/>
          <w:kern w:val="0"/>
          <w:szCs w:val="21"/>
          <w:u w:val="single"/>
        </w:rPr>
        <w:t xml:space="preserve">                  </w:t>
      </w:r>
      <w:r>
        <w:rPr>
          <w:rFonts w:hint="eastAsia" w:ascii="宋体" w:hAnsi="宋体" w:cs="宋体"/>
          <w:color w:val="auto"/>
          <w:kern w:val="0"/>
          <w:szCs w:val="21"/>
        </w:rPr>
        <w:t>项目采购活动提供本单位制造的货物（由本单位承担工程</w:t>
      </w:r>
      <w:r>
        <w:rPr>
          <w:rFonts w:ascii="宋体" w:hAnsi="宋体" w:cs="宋体"/>
          <w:color w:val="auto"/>
          <w:kern w:val="0"/>
          <w:szCs w:val="21"/>
        </w:rPr>
        <w:t>/</w:t>
      </w:r>
      <w:r>
        <w:rPr>
          <w:rFonts w:hint="eastAsia" w:ascii="宋体" w:hAnsi="宋体" w:cs="宋体"/>
          <w:color w:val="auto"/>
          <w:kern w:val="0"/>
          <w:szCs w:val="21"/>
        </w:rPr>
        <w:t>提供服务），或者提供其他残疾人福利性单位制造的货物（不包括使用非残疾人福利性单位注册商标的货物）。</w:t>
      </w:r>
    </w:p>
    <w:p>
      <w:pPr>
        <w:widowControl/>
        <w:spacing w:before="100" w:beforeAutospacing="1" w:after="100" w:afterAutospacing="1" w:line="400" w:lineRule="exact"/>
        <w:ind w:firstLine="420" w:firstLineChars="200"/>
        <w:jc w:val="left"/>
        <w:rPr>
          <w:rFonts w:ascii="宋体" w:cs="宋体"/>
          <w:color w:val="auto"/>
          <w:kern w:val="0"/>
          <w:szCs w:val="21"/>
        </w:rPr>
      </w:pPr>
      <w:r>
        <w:rPr>
          <w:rFonts w:hint="eastAsia" w:ascii="宋体" w:hAnsi="宋体" w:cs="宋体"/>
          <w:color w:val="auto"/>
          <w:kern w:val="0"/>
          <w:szCs w:val="21"/>
        </w:rPr>
        <w:t>本单位对上述声明的真实性负责。如有虚假，将依法承担相应责任。</w:t>
      </w:r>
    </w:p>
    <w:p>
      <w:pPr>
        <w:widowControl/>
        <w:spacing w:before="100" w:beforeAutospacing="1" w:after="100" w:afterAutospacing="1" w:line="400" w:lineRule="exact"/>
        <w:jc w:val="left"/>
        <w:rPr>
          <w:rFonts w:ascii="宋体" w:cs="宋体"/>
          <w:color w:val="auto"/>
          <w:kern w:val="0"/>
          <w:szCs w:val="21"/>
        </w:rPr>
      </w:pPr>
    </w:p>
    <w:p>
      <w:pPr>
        <w:widowControl/>
        <w:spacing w:before="100" w:beforeAutospacing="1" w:after="100" w:afterAutospacing="1" w:line="400" w:lineRule="exact"/>
        <w:jc w:val="left"/>
        <w:rPr>
          <w:rFonts w:ascii="宋体" w:cs="宋体"/>
          <w:color w:val="auto"/>
          <w:kern w:val="0"/>
          <w:szCs w:val="21"/>
        </w:rPr>
      </w:pPr>
    </w:p>
    <w:p>
      <w:pPr>
        <w:widowControl/>
        <w:spacing w:before="100" w:beforeAutospacing="1" w:after="100" w:afterAutospacing="1" w:line="400" w:lineRule="exact"/>
        <w:jc w:val="left"/>
        <w:rPr>
          <w:rFonts w:asci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单位名称（盖章）：</w:t>
      </w:r>
    </w:p>
    <w:p>
      <w:pPr>
        <w:widowControl/>
        <w:spacing w:before="100" w:beforeAutospacing="1" w:after="100" w:afterAutospacing="1" w:line="400" w:lineRule="exact"/>
        <w:jc w:val="left"/>
        <w:rPr>
          <w:rFonts w:asci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日</w:t>
      </w:r>
      <w:r>
        <w:rPr>
          <w:rFonts w:ascii="宋体" w:hAnsi="宋体" w:cs="宋体"/>
          <w:color w:val="auto"/>
          <w:kern w:val="0"/>
          <w:szCs w:val="21"/>
        </w:rPr>
        <w:t xml:space="preserve">  </w:t>
      </w:r>
      <w:r>
        <w:rPr>
          <w:rFonts w:hint="eastAsia" w:ascii="宋体" w:hAnsi="宋体" w:cs="宋体"/>
          <w:color w:val="auto"/>
          <w:kern w:val="0"/>
          <w:szCs w:val="21"/>
        </w:rPr>
        <w:t>期</w:t>
      </w:r>
    </w:p>
    <w:p>
      <w:pPr>
        <w:widowControl/>
        <w:spacing w:before="100" w:beforeAutospacing="1" w:after="100" w:afterAutospacing="1" w:line="400" w:lineRule="exact"/>
        <w:jc w:val="left"/>
        <w:rPr>
          <w:rFonts w:ascii="宋体" w:cs="宋体"/>
          <w:color w:val="auto"/>
          <w:kern w:val="0"/>
          <w:sz w:val="24"/>
        </w:rPr>
      </w:pPr>
    </w:p>
    <w:p>
      <w:pPr>
        <w:widowControl/>
        <w:spacing w:before="100" w:beforeAutospacing="1" w:after="100" w:afterAutospacing="1" w:line="400" w:lineRule="exact"/>
        <w:jc w:val="left"/>
        <w:rPr>
          <w:rFonts w:ascii="宋体" w:cs="宋体"/>
          <w:b/>
          <w:color w:val="auto"/>
          <w:szCs w:val="21"/>
        </w:rPr>
      </w:pPr>
      <w:r>
        <w:rPr>
          <w:rFonts w:hint="eastAsia" w:ascii="宋体" w:hAnsi="宋体" w:cs="宋体"/>
          <w:color w:val="auto"/>
          <w:kern w:val="0"/>
          <w:szCs w:val="21"/>
        </w:rPr>
        <w:t>注：投标人如为残疾人福利性单位并提供本《残疾人福利性单位声明函》的，必须对声明的真实性负责。</w:t>
      </w:r>
    </w:p>
    <w:p>
      <w:pPr>
        <w:widowControl/>
        <w:spacing w:line="400" w:lineRule="exact"/>
        <w:jc w:val="left"/>
        <w:rPr>
          <w:rFonts w:ascii="宋体" w:cs="宋体"/>
          <w:b/>
          <w:color w:val="auto"/>
          <w:szCs w:val="21"/>
        </w:rPr>
      </w:pPr>
    </w:p>
    <w:p>
      <w:pPr>
        <w:widowControl/>
        <w:spacing w:line="400" w:lineRule="exact"/>
        <w:jc w:val="left"/>
        <w:rPr>
          <w:rFonts w:ascii="宋体" w:cs="宋体"/>
          <w:b/>
          <w:color w:val="auto"/>
          <w:szCs w:val="21"/>
        </w:rPr>
      </w:pPr>
    </w:p>
    <w:p>
      <w:pPr>
        <w:widowControl/>
        <w:spacing w:line="400" w:lineRule="exact"/>
        <w:jc w:val="left"/>
        <w:rPr>
          <w:rFonts w:ascii="宋体" w:cs="宋体"/>
          <w:b/>
          <w:color w:val="auto"/>
          <w:szCs w:val="21"/>
        </w:rPr>
      </w:pPr>
    </w:p>
    <w:p>
      <w:pPr>
        <w:widowControl/>
        <w:spacing w:line="400" w:lineRule="exact"/>
        <w:jc w:val="left"/>
        <w:rPr>
          <w:rFonts w:ascii="宋体" w:cs="宋体"/>
          <w:b/>
          <w:color w:val="auto"/>
          <w:szCs w:val="21"/>
        </w:rPr>
      </w:pPr>
    </w:p>
    <w:p>
      <w:pPr>
        <w:widowControl/>
        <w:spacing w:line="400" w:lineRule="exact"/>
        <w:jc w:val="left"/>
        <w:rPr>
          <w:rFonts w:ascii="宋体" w:cs="宋体"/>
          <w:b/>
          <w:color w:val="auto"/>
          <w:szCs w:val="21"/>
        </w:rPr>
      </w:pPr>
    </w:p>
    <w:p>
      <w:pPr>
        <w:widowControl/>
        <w:spacing w:line="400" w:lineRule="exact"/>
        <w:jc w:val="left"/>
        <w:rPr>
          <w:rFonts w:ascii="宋体" w:cs="宋体"/>
          <w:b/>
          <w:color w:val="auto"/>
          <w:szCs w:val="21"/>
        </w:rPr>
      </w:pPr>
    </w:p>
    <w:p>
      <w:pPr>
        <w:pStyle w:val="55"/>
        <w:rPr>
          <w:color w:val="auto"/>
        </w:rPr>
      </w:pPr>
    </w:p>
    <w:p>
      <w:pPr>
        <w:snapToGrid w:val="0"/>
        <w:spacing w:line="404" w:lineRule="exact"/>
        <w:jc w:val="left"/>
        <w:rPr>
          <w:rFonts w:ascii="宋体" w:cs="宋体"/>
          <w:bCs/>
          <w:color w:val="auto"/>
          <w:szCs w:val="21"/>
        </w:rPr>
      </w:pPr>
      <w:r>
        <w:rPr>
          <w:rFonts w:ascii="宋体" w:hAnsi="宋体" w:cs="宋体"/>
          <w:b/>
          <w:color w:val="auto"/>
          <w:szCs w:val="21"/>
        </w:rPr>
        <w:t>3.3</w:t>
      </w:r>
      <w:r>
        <w:rPr>
          <w:rFonts w:hint="eastAsia" w:ascii="宋体" w:hAnsi="宋体" w:cs="宋体"/>
          <w:b/>
          <w:color w:val="auto"/>
          <w:szCs w:val="21"/>
        </w:rPr>
        <w:t>技术</w:t>
      </w:r>
      <w:r>
        <w:rPr>
          <w:rFonts w:hint="eastAsia" w:ascii="宋体" w:hAnsi="宋体" w:cs="宋体"/>
          <w:b/>
          <w:bCs/>
          <w:color w:val="auto"/>
          <w:szCs w:val="21"/>
        </w:rPr>
        <w:t>部分</w:t>
      </w:r>
    </w:p>
    <w:p>
      <w:pPr>
        <w:snapToGrid w:val="0"/>
        <w:spacing w:before="50" w:afterLines="50"/>
        <w:jc w:val="left"/>
        <w:rPr>
          <w:rFonts w:ascii="宋体" w:cs="宋体"/>
          <w:b/>
          <w:bCs/>
          <w:color w:val="auto"/>
          <w:szCs w:val="21"/>
        </w:rPr>
      </w:pPr>
      <w:r>
        <w:rPr>
          <w:rFonts w:ascii="宋体" w:hAnsi="宋体" w:cs="宋体"/>
          <w:b/>
          <w:bCs/>
          <w:color w:val="auto"/>
          <w:szCs w:val="21"/>
        </w:rPr>
        <w:t xml:space="preserve">3.3.1 </w:t>
      </w:r>
      <w:r>
        <w:rPr>
          <w:rFonts w:hint="eastAsia" w:ascii="宋体" w:hAnsi="宋体" w:cs="宋体"/>
          <w:b/>
          <w:color w:val="auto"/>
          <w:szCs w:val="21"/>
        </w:rPr>
        <w:t>投标产品配置清单格式：</w:t>
      </w:r>
    </w:p>
    <w:p>
      <w:pPr>
        <w:snapToGrid w:val="0"/>
        <w:spacing w:before="50" w:afterLines="50"/>
        <w:jc w:val="left"/>
        <w:rPr>
          <w:rFonts w:ascii="宋体" w:cs="宋体"/>
          <w:color w:val="auto"/>
          <w:szCs w:val="21"/>
        </w:rPr>
      </w:pPr>
      <w:r>
        <w:rPr>
          <w:rFonts w:hint="eastAsia" w:ascii="宋体" w:hAnsi="宋体" w:cs="宋体"/>
          <w:color w:val="auto"/>
          <w:szCs w:val="21"/>
        </w:rPr>
        <w:t>项目名称：</w:t>
      </w:r>
    </w:p>
    <w:p>
      <w:pPr>
        <w:snapToGrid w:val="0"/>
        <w:spacing w:before="50" w:afterLines="50"/>
        <w:jc w:val="left"/>
        <w:rPr>
          <w:rFonts w:ascii="宋体" w:cs="宋体"/>
          <w:color w:val="auto"/>
          <w:szCs w:val="21"/>
        </w:rPr>
      </w:pPr>
      <w:r>
        <w:rPr>
          <w:rFonts w:hint="eastAsia" w:ascii="宋体" w:hAnsi="宋体" w:cs="宋体"/>
          <w:color w:val="auto"/>
          <w:szCs w:val="21"/>
        </w:rPr>
        <w:t>项目编号：</w:t>
      </w:r>
    </w:p>
    <w:tbl>
      <w:tblPr>
        <w:tblStyle w:val="40"/>
        <w:tblW w:w="928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67"/>
        <w:gridCol w:w="1696"/>
        <w:gridCol w:w="1478"/>
        <w:gridCol w:w="3935"/>
        <w:gridCol w:w="13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67" w:type="dxa"/>
            <w:tcBorders>
              <w:top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序号</w:t>
            </w:r>
          </w:p>
        </w:tc>
        <w:tc>
          <w:tcPr>
            <w:tcW w:w="1696" w:type="dxa"/>
            <w:tcBorders>
              <w:top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采购内容</w:t>
            </w:r>
          </w:p>
        </w:tc>
        <w:tc>
          <w:tcPr>
            <w:tcW w:w="1478" w:type="dxa"/>
            <w:tcBorders>
              <w:top w:val="single" w:color="auto" w:sz="4" w:space="0"/>
              <w:right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产地、厂家</w:t>
            </w:r>
          </w:p>
        </w:tc>
        <w:tc>
          <w:tcPr>
            <w:tcW w:w="3935" w:type="dxa"/>
            <w:tcBorders>
              <w:top w:val="single" w:color="auto" w:sz="4" w:space="0"/>
              <w:left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详细项目内容或技术参数</w:t>
            </w:r>
          </w:p>
        </w:tc>
        <w:tc>
          <w:tcPr>
            <w:tcW w:w="1310" w:type="dxa"/>
            <w:tcBorders>
              <w:top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数</w:t>
            </w:r>
            <w:r>
              <w:rPr>
                <w:rFonts w:ascii="宋体" w:hAnsi="宋体" w:cs="宋体"/>
                <w:color w:val="auto"/>
                <w:szCs w:val="21"/>
              </w:rPr>
              <w:t xml:space="preserve">  </w:t>
            </w:r>
            <w:r>
              <w:rPr>
                <w:rFonts w:hint="eastAsia" w:ascii="宋体" w:hAnsi="宋体" w:cs="宋体"/>
                <w:color w:val="auto"/>
                <w:szCs w:val="21"/>
              </w:rPr>
              <w:t>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867" w:type="dxa"/>
            <w:vAlign w:val="center"/>
          </w:tcPr>
          <w:p>
            <w:pPr>
              <w:snapToGrid w:val="0"/>
              <w:spacing w:before="50" w:afterLines="50" w:line="350" w:lineRule="exact"/>
              <w:jc w:val="left"/>
              <w:rPr>
                <w:rFonts w:ascii="宋体" w:cs="宋体"/>
                <w:color w:val="auto"/>
                <w:szCs w:val="21"/>
              </w:rPr>
            </w:pPr>
            <w:r>
              <w:rPr>
                <w:rFonts w:ascii="宋体" w:hAnsi="宋体" w:cs="宋体"/>
                <w:color w:val="auto"/>
                <w:szCs w:val="21"/>
              </w:rPr>
              <w:t>1</w:t>
            </w:r>
          </w:p>
        </w:tc>
        <w:tc>
          <w:tcPr>
            <w:tcW w:w="1696" w:type="dxa"/>
            <w:vAlign w:val="center"/>
          </w:tcPr>
          <w:p>
            <w:pPr>
              <w:snapToGrid w:val="0"/>
              <w:spacing w:before="50" w:afterLines="50" w:line="350" w:lineRule="exact"/>
              <w:jc w:val="left"/>
              <w:rPr>
                <w:rFonts w:ascii="宋体" w:cs="宋体"/>
                <w:color w:val="auto"/>
                <w:szCs w:val="21"/>
              </w:rPr>
            </w:pPr>
          </w:p>
        </w:tc>
        <w:tc>
          <w:tcPr>
            <w:tcW w:w="1478" w:type="dxa"/>
            <w:tcBorders>
              <w:right w:val="single" w:color="auto" w:sz="4" w:space="0"/>
            </w:tcBorders>
            <w:vAlign w:val="center"/>
          </w:tcPr>
          <w:p>
            <w:pPr>
              <w:snapToGrid w:val="0"/>
              <w:spacing w:before="50" w:afterLines="50" w:line="350" w:lineRule="exact"/>
              <w:jc w:val="left"/>
              <w:rPr>
                <w:rFonts w:ascii="宋体" w:cs="宋体"/>
                <w:color w:val="auto"/>
                <w:szCs w:val="21"/>
              </w:rPr>
            </w:pPr>
          </w:p>
        </w:tc>
        <w:tc>
          <w:tcPr>
            <w:tcW w:w="3935" w:type="dxa"/>
            <w:tcBorders>
              <w:left w:val="single" w:color="auto" w:sz="4" w:space="0"/>
            </w:tcBorders>
            <w:vAlign w:val="center"/>
          </w:tcPr>
          <w:p>
            <w:pPr>
              <w:snapToGrid w:val="0"/>
              <w:spacing w:before="50" w:afterLines="50" w:line="350" w:lineRule="exact"/>
              <w:jc w:val="left"/>
              <w:rPr>
                <w:rFonts w:ascii="宋体" w:cs="宋体"/>
                <w:color w:val="auto"/>
                <w:szCs w:val="21"/>
              </w:rPr>
            </w:pPr>
          </w:p>
        </w:tc>
        <w:tc>
          <w:tcPr>
            <w:tcW w:w="1310" w:type="dxa"/>
            <w:vAlign w:val="center"/>
          </w:tcPr>
          <w:p>
            <w:pPr>
              <w:snapToGrid w:val="0"/>
              <w:spacing w:before="50" w:afterLines="50" w:line="350" w:lineRule="exact"/>
              <w:jc w:val="lef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867" w:type="dxa"/>
            <w:vAlign w:val="center"/>
          </w:tcPr>
          <w:p>
            <w:pPr>
              <w:snapToGrid w:val="0"/>
              <w:spacing w:before="50" w:afterLines="50" w:line="350" w:lineRule="exact"/>
              <w:jc w:val="left"/>
              <w:rPr>
                <w:rFonts w:ascii="宋体" w:cs="宋体"/>
                <w:color w:val="auto"/>
                <w:szCs w:val="21"/>
              </w:rPr>
            </w:pPr>
            <w:r>
              <w:rPr>
                <w:rFonts w:ascii="宋体" w:hAnsi="宋体" w:cs="宋体"/>
                <w:color w:val="auto"/>
                <w:szCs w:val="21"/>
              </w:rPr>
              <w:t>2</w:t>
            </w:r>
          </w:p>
        </w:tc>
        <w:tc>
          <w:tcPr>
            <w:tcW w:w="1696" w:type="dxa"/>
            <w:vAlign w:val="center"/>
          </w:tcPr>
          <w:p>
            <w:pPr>
              <w:snapToGrid w:val="0"/>
              <w:spacing w:before="50" w:afterLines="50" w:line="350" w:lineRule="exact"/>
              <w:jc w:val="left"/>
              <w:rPr>
                <w:rFonts w:ascii="宋体" w:cs="宋体"/>
                <w:color w:val="auto"/>
                <w:szCs w:val="21"/>
              </w:rPr>
            </w:pPr>
          </w:p>
        </w:tc>
        <w:tc>
          <w:tcPr>
            <w:tcW w:w="1478" w:type="dxa"/>
            <w:tcBorders>
              <w:right w:val="single" w:color="auto" w:sz="4" w:space="0"/>
            </w:tcBorders>
            <w:vAlign w:val="center"/>
          </w:tcPr>
          <w:p>
            <w:pPr>
              <w:snapToGrid w:val="0"/>
              <w:spacing w:before="50" w:afterLines="50" w:line="350" w:lineRule="exact"/>
              <w:jc w:val="left"/>
              <w:rPr>
                <w:rFonts w:ascii="宋体" w:cs="宋体"/>
                <w:color w:val="auto"/>
                <w:szCs w:val="21"/>
              </w:rPr>
            </w:pPr>
          </w:p>
        </w:tc>
        <w:tc>
          <w:tcPr>
            <w:tcW w:w="3935" w:type="dxa"/>
            <w:tcBorders>
              <w:left w:val="single" w:color="auto" w:sz="4" w:space="0"/>
            </w:tcBorders>
            <w:vAlign w:val="center"/>
          </w:tcPr>
          <w:p>
            <w:pPr>
              <w:snapToGrid w:val="0"/>
              <w:spacing w:before="50" w:afterLines="50" w:line="350" w:lineRule="exact"/>
              <w:jc w:val="left"/>
              <w:rPr>
                <w:rFonts w:ascii="宋体" w:cs="宋体"/>
                <w:color w:val="auto"/>
                <w:szCs w:val="21"/>
              </w:rPr>
            </w:pPr>
          </w:p>
        </w:tc>
        <w:tc>
          <w:tcPr>
            <w:tcW w:w="1310" w:type="dxa"/>
            <w:vAlign w:val="center"/>
          </w:tcPr>
          <w:p>
            <w:pPr>
              <w:snapToGrid w:val="0"/>
              <w:spacing w:before="50" w:afterLines="50" w:line="350" w:lineRule="exact"/>
              <w:jc w:val="lef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867" w:type="dxa"/>
            <w:tcBorders>
              <w:bottom w:val="single" w:color="auto" w:sz="4" w:space="0"/>
            </w:tcBorders>
            <w:vAlign w:val="center"/>
          </w:tcPr>
          <w:p>
            <w:pPr>
              <w:snapToGrid w:val="0"/>
              <w:spacing w:before="50" w:afterLines="50" w:line="350" w:lineRule="exact"/>
              <w:jc w:val="left"/>
              <w:rPr>
                <w:rFonts w:ascii="宋体" w:cs="宋体"/>
                <w:color w:val="auto"/>
                <w:szCs w:val="21"/>
              </w:rPr>
            </w:pPr>
            <w:r>
              <w:rPr>
                <w:rFonts w:hint="eastAsia" w:ascii="宋体" w:hAnsi="宋体" w:cs="宋体"/>
                <w:color w:val="auto"/>
                <w:szCs w:val="21"/>
              </w:rPr>
              <w:t>…</w:t>
            </w:r>
          </w:p>
        </w:tc>
        <w:tc>
          <w:tcPr>
            <w:tcW w:w="1696" w:type="dxa"/>
            <w:tcBorders>
              <w:bottom w:val="single" w:color="auto" w:sz="4" w:space="0"/>
            </w:tcBorders>
            <w:vAlign w:val="center"/>
          </w:tcPr>
          <w:p>
            <w:pPr>
              <w:snapToGrid w:val="0"/>
              <w:spacing w:before="50" w:afterLines="50" w:line="350" w:lineRule="exact"/>
              <w:jc w:val="left"/>
              <w:rPr>
                <w:rFonts w:ascii="宋体" w:cs="宋体"/>
                <w:color w:val="auto"/>
                <w:szCs w:val="21"/>
              </w:rPr>
            </w:pPr>
          </w:p>
        </w:tc>
        <w:tc>
          <w:tcPr>
            <w:tcW w:w="1478" w:type="dxa"/>
            <w:tcBorders>
              <w:bottom w:val="single" w:color="auto" w:sz="4" w:space="0"/>
              <w:right w:val="single" w:color="auto" w:sz="4" w:space="0"/>
            </w:tcBorders>
            <w:vAlign w:val="center"/>
          </w:tcPr>
          <w:p>
            <w:pPr>
              <w:snapToGrid w:val="0"/>
              <w:spacing w:before="50" w:afterLines="50" w:line="350" w:lineRule="exact"/>
              <w:jc w:val="left"/>
              <w:rPr>
                <w:rFonts w:ascii="宋体" w:cs="宋体"/>
                <w:color w:val="auto"/>
                <w:szCs w:val="21"/>
              </w:rPr>
            </w:pPr>
          </w:p>
        </w:tc>
        <w:tc>
          <w:tcPr>
            <w:tcW w:w="3935" w:type="dxa"/>
            <w:tcBorders>
              <w:left w:val="single" w:color="auto" w:sz="4" w:space="0"/>
              <w:bottom w:val="single" w:color="auto" w:sz="4" w:space="0"/>
            </w:tcBorders>
            <w:vAlign w:val="center"/>
          </w:tcPr>
          <w:p>
            <w:pPr>
              <w:snapToGrid w:val="0"/>
              <w:spacing w:before="50" w:afterLines="50" w:line="350" w:lineRule="exact"/>
              <w:jc w:val="left"/>
              <w:rPr>
                <w:rFonts w:ascii="宋体" w:cs="宋体"/>
                <w:color w:val="auto"/>
                <w:szCs w:val="21"/>
              </w:rPr>
            </w:pPr>
          </w:p>
        </w:tc>
        <w:tc>
          <w:tcPr>
            <w:tcW w:w="1310" w:type="dxa"/>
            <w:tcBorders>
              <w:bottom w:val="single" w:color="auto" w:sz="4" w:space="0"/>
            </w:tcBorders>
            <w:vAlign w:val="center"/>
          </w:tcPr>
          <w:p>
            <w:pPr>
              <w:snapToGrid w:val="0"/>
              <w:spacing w:before="50" w:afterLines="50" w:line="350" w:lineRule="exact"/>
              <w:jc w:val="left"/>
              <w:rPr>
                <w:rFonts w:ascii="宋体" w:cs="宋体"/>
                <w:color w:val="auto"/>
                <w:szCs w:val="21"/>
              </w:rPr>
            </w:pPr>
          </w:p>
        </w:tc>
      </w:tr>
    </w:tbl>
    <w:p>
      <w:pPr>
        <w:snapToGrid w:val="0"/>
        <w:spacing w:before="50" w:afterLines="50"/>
        <w:ind w:firstLine="315" w:firstLineChars="150"/>
        <w:jc w:val="left"/>
        <w:rPr>
          <w:rFonts w:ascii="宋体" w:cs="宋体"/>
          <w:color w:val="auto"/>
          <w:szCs w:val="21"/>
          <w:u w:val="single"/>
        </w:rPr>
      </w:pPr>
    </w:p>
    <w:p>
      <w:pPr>
        <w:snapToGrid w:val="0"/>
        <w:spacing w:before="50" w:after="50"/>
        <w:rPr>
          <w:rFonts w:ascii="宋体" w:cs="宋体"/>
          <w:color w:val="auto"/>
          <w:spacing w:val="20"/>
          <w:szCs w:val="21"/>
        </w:rPr>
      </w:pPr>
    </w:p>
    <w:p>
      <w:pPr>
        <w:snapToGrid w:val="0"/>
        <w:spacing w:before="50" w:after="50"/>
        <w:ind w:firstLine="4000" w:firstLineChars="1600"/>
        <w:rPr>
          <w:rFonts w:ascii="宋体" w:cs="宋体"/>
          <w:color w:val="auto"/>
          <w:spacing w:val="20"/>
          <w:szCs w:val="21"/>
          <w:u w:val="single"/>
        </w:rPr>
      </w:pPr>
      <w:r>
        <w:rPr>
          <w:rFonts w:hint="eastAsia" w:ascii="宋体" w:hAnsi="宋体" w:cs="宋体"/>
          <w:color w:val="auto"/>
          <w:spacing w:val="20"/>
          <w:szCs w:val="21"/>
        </w:rPr>
        <w:t>授权代表签名：</w:t>
      </w:r>
      <w:r>
        <w:rPr>
          <w:rFonts w:ascii="宋体" w:hAnsi="宋体" w:cs="宋体"/>
          <w:color w:val="auto"/>
          <w:spacing w:val="20"/>
          <w:szCs w:val="21"/>
          <w:u w:val="single"/>
        </w:rPr>
        <w:t xml:space="preserve">        </w:t>
      </w:r>
    </w:p>
    <w:p>
      <w:pPr>
        <w:snapToGrid w:val="0"/>
        <w:spacing w:before="50" w:after="50"/>
        <w:rPr>
          <w:rFonts w:ascii="宋体" w:cs="宋体"/>
          <w:color w:val="auto"/>
          <w:spacing w:val="20"/>
          <w:szCs w:val="21"/>
          <w:u w:val="single"/>
        </w:rPr>
      </w:pPr>
    </w:p>
    <w:p>
      <w:pPr>
        <w:snapToGrid w:val="0"/>
        <w:spacing w:before="50" w:after="50"/>
        <w:ind w:firstLine="4000" w:firstLineChars="1600"/>
        <w:rPr>
          <w:rFonts w:ascii="宋体" w:hAnsi="宋体" w:cs="宋体"/>
          <w:color w:val="auto"/>
          <w:spacing w:val="20"/>
          <w:szCs w:val="21"/>
        </w:rPr>
      </w:pPr>
      <w:r>
        <w:rPr>
          <w:rFonts w:hint="eastAsia" w:ascii="宋体" w:hAnsi="宋体" w:cs="宋体"/>
          <w:color w:val="auto"/>
          <w:spacing w:val="20"/>
          <w:szCs w:val="21"/>
        </w:rPr>
        <w:t>投标人盖章：</w:t>
      </w:r>
      <w:r>
        <w:rPr>
          <w:rFonts w:ascii="宋体" w:hAnsi="宋体" w:cs="宋体"/>
          <w:color w:val="auto"/>
          <w:spacing w:val="20"/>
          <w:szCs w:val="21"/>
          <w:u w:val="single"/>
        </w:rPr>
        <w:t xml:space="preserve">            </w:t>
      </w:r>
      <w:r>
        <w:rPr>
          <w:rFonts w:ascii="宋体" w:hAnsi="宋体" w:cs="宋体"/>
          <w:color w:val="auto"/>
          <w:spacing w:val="20"/>
          <w:szCs w:val="21"/>
        </w:rPr>
        <w:t xml:space="preserve">   </w:t>
      </w:r>
    </w:p>
    <w:p>
      <w:pPr>
        <w:snapToGrid w:val="0"/>
        <w:spacing w:before="50" w:after="50"/>
        <w:ind w:firstLine="4000" w:firstLineChars="1600"/>
        <w:rPr>
          <w:rFonts w:ascii="宋体" w:cs="宋体"/>
          <w:b/>
          <w:color w:val="auto"/>
          <w:szCs w:val="21"/>
        </w:rPr>
      </w:pPr>
      <w:r>
        <w:rPr>
          <w:rFonts w:hint="eastAsia" w:ascii="宋体" w:hAnsi="宋体" w:cs="宋体"/>
          <w:color w:val="auto"/>
          <w:spacing w:val="20"/>
          <w:szCs w:val="21"/>
        </w:rPr>
        <w:t>日</w:t>
      </w:r>
      <w:r>
        <w:rPr>
          <w:rFonts w:ascii="宋体" w:hAnsi="宋体" w:cs="宋体"/>
          <w:color w:val="auto"/>
          <w:spacing w:val="20"/>
          <w:szCs w:val="21"/>
        </w:rPr>
        <w:t xml:space="preserve">  </w:t>
      </w:r>
      <w:r>
        <w:rPr>
          <w:rFonts w:hint="eastAsia" w:ascii="宋体" w:hAnsi="宋体" w:cs="宋体"/>
          <w:color w:val="auto"/>
          <w:spacing w:val="20"/>
          <w:szCs w:val="21"/>
        </w:rPr>
        <w:t>期：</w:t>
      </w:r>
      <w:r>
        <w:rPr>
          <w:rFonts w:ascii="宋体" w:hAnsi="宋体" w:cs="宋体"/>
          <w:color w:val="auto"/>
          <w:spacing w:val="20"/>
          <w:szCs w:val="21"/>
          <w:u w:val="single"/>
        </w:rPr>
        <w:t xml:space="preserve">          </w:t>
      </w:r>
    </w:p>
    <w:p>
      <w:pPr>
        <w:pStyle w:val="55"/>
        <w:rPr>
          <w:rFonts w:ascii="宋体" w:cs="宋体"/>
          <w:b/>
          <w:color w:val="auto"/>
          <w:szCs w:val="21"/>
        </w:rPr>
      </w:pPr>
    </w:p>
    <w:p>
      <w:pPr>
        <w:snapToGrid w:val="0"/>
        <w:spacing w:before="50" w:afterLines="50" w:line="260" w:lineRule="exact"/>
        <w:jc w:val="left"/>
        <w:rPr>
          <w:rFonts w:ascii="宋体" w:cs="宋体"/>
          <w:b/>
          <w:color w:val="auto"/>
          <w:szCs w:val="21"/>
        </w:rPr>
      </w:pPr>
    </w:p>
    <w:p>
      <w:pPr>
        <w:snapToGrid w:val="0"/>
        <w:spacing w:before="50" w:afterLines="50" w:line="260" w:lineRule="exact"/>
        <w:jc w:val="left"/>
        <w:rPr>
          <w:rFonts w:ascii="宋体" w:cs="宋体"/>
          <w:b/>
          <w:color w:val="auto"/>
          <w:szCs w:val="21"/>
        </w:rPr>
      </w:pPr>
      <w:r>
        <w:rPr>
          <w:rFonts w:ascii="宋体" w:hAnsi="宋体" w:cs="宋体"/>
          <w:b/>
          <w:color w:val="auto"/>
          <w:szCs w:val="21"/>
        </w:rPr>
        <w:t xml:space="preserve">3.3.2  </w:t>
      </w:r>
      <w:r>
        <w:rPr>
          <w:rFonts w:hint="eastAsia" w:ascii="宋体" w:hAnsi="宋体" w:cs="宋体"/>
          <w:b/>
          <w:color w:val="auto"/>
          <w:szCs w:val="21"/>
        </w:rPr>
        <w:t>产品技术响应表格式：</w:t>
      </w:r>
    </w:p>
    <w:p>
      <w:pPr>
        <w:snapToGrid w:val="0"/>
        <w:spacing w:before="50" w:afterLines="50"/>
        <w:jc w:val="left"/>
        <w:rPr>
          <w:rFonts w:ascii="宋体" w:cs="宋体"/>
          <w:color w:val="auto"/>
          <w:szCs w:val="21"/>
        </w:rPr>
      </w:pPr>
      <w:r>
        <w:rPr>
          <w:rFonts w:hint="eastAsia" w:ascii="宋体" w:hAnsi="宋体" w:cs="宋体"/>
          <w:color w:val="auto"/>
          <w:szCs w:val="21"/>
        </w:rPr>
        <w:t>项目名称：</w:t>
      </w:r>
    </w:p>
    <w:p>
      <w:pPr>
        <w:snapToGrid w:val="0"/>
        <w:spacing w:before="50" w:afterLines="50"/>
        <w:jc w:val="left"/>
        <w:rPr>
          <w:rFonts w:ascii="宋体" w:cs="宋体"/>
          <w:b/>
          <w:color w:val="auto"/>
          <w:szCs w:val="21"/>
        </w:rPr>
      </w:pPr>
      <w:r>
        <w:rPr>
          <w:rFonts w:hint="eastAsia" w:ascii="宋体" w:hAnsi="宋体" w:cs="宋体"/>
          <w:color w:val="auto"/>
          <w:szCs w:val="21"/>
        </w:rPr>
        <w:t>项目编号：</w:t>
      </w:r>
    </w:p>
    <w:tbl>
      <w:tblPr>
        <w:tblStyle w:val="40"/>
        <w:tblW w:w="958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1"/>
        <w:gridCol w:w="1268"/>
        <w:gridCol w:w="2594"/>
        <w:gridCol w:w="651"/>
        <w:gridCol w:w="1587"/>
        <w:gridCol w:w="1919"/>
        <w:gridCol w:w="9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8" w:hRule="exact"/>
          <w:jc w:val="center"/>
        </w:trPr>
        <w:tc>
          <w:tcPr>
            <w:tcW w:w="4513" w:type="dxa"/>
            <w:gridSpan w:val="3"/>
            <w:tcBorders>
              <w:top w:val="single" w:color="auto" w:sz="4" w:space="0"/>
              <w:bottom w:val="single" w:color="auto" w:sz="4" w:space="0"/>
              <w:right w:val="single" w:color="auto" w:sz="4" w:space="0"/>
            </w:tcBorders>
            <w:vAlign w:val="center"/>
          </w:tcPr>
          <w:p>
            <w:pPr>
              <w:jc w:val="center"/>
              <w:rPr>
                <w:rFonts w:ascii="宋体" w:cs="宋体"/>
                <w:color w:val="auto"/>
                <w:spacing w:val="20"/>
                <w:szCs w:val="21"/>
              </w:rPr>
            </w:pPr>
            <w:bookmarkStart w:id="576" w:name="_Toc254970558"/>
            <w:bookmarkStart w:id="577" w:name="_Toc254970699"/>
            <w:r>
              <w:rPr>
                <w:rFonts w:hint="eastAsia" w:ascii="宋体" w:hAnsi="宋体" w:cs="宋体"/>
                <w:color w:val="auto"/>
                <w:spacing w:val="20"/>
                <w:szCs w:val="21"/>
              </w:rPr>
              <w:t>招标文件要求</w:t>
            </w:r>
            <w:bookmarkEnd w:id="576"/>
            <w:bookmarkEnd w:id="577"/>
          </w:p>
        </w:tc>
        <w:tc>
          <w:tcPr>
            <w:tcW w:w="41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bookmarkStart w:id="578" w:name="_Toc254970700"/>
            <w:bookmarkStart w:id="579" w:name="_Toc254970559"/>
            <w:r>
              <w:rPr>
                <w:rFonts w:hint="eastAsia" w:ascii="宋体" w:hAnsi="宋体" w:cs="宋体"/>
                <w:color w:val="auto"/>
                <w:spacing w:val="20"/>
                <w:szCs w:val="21"/>
              </w:rPr>
              <w:t>投标文件响应</w:t>
            </w:r>
            <w:bookmarkEnd w:id="578"/>
            <w:bookmarkEnd w:id="579"/>
          </w:p>
        </w:tc>
        <w:tc>
          <w:tcPr>
            <w:tcW w:w="917" w:type="dxa"/>
            <w:vMerge w:val="restart"/>
            <w:tcBorders>
              <w:top w:val="single" w:color="auto" w:sz="4" w:space="0"/>
              <w:left w:val="single" w:color="auto" w:sz="4" w:space="0"/>
              <w:bottom w:val="single" w:color="auto" w:sz="4" w:space="0"/>
            </w:tcBorders>
            <w:vAlign w:val="center"/>
          </w:tcPr>
          <w:p>
            <w:pPr>
              <w:pStyle w:val="23"/>
              <w:snapToGrid w:val="0"/>
              <w:spacing w:before="295" w:after="295"/>
              <w:jc w:val="center"/>
              <w:outlineLvl w:val="0"/>
              <w:rPr>
                <w:rFonts w:hAnsi="宋体" w:cs="宋体"/>
                <w:color w:val="auto"/>
                <w:spacing w:val="20"/>
                <w:kern w:val="2"/>
                <w:sz w:val="21"/>
              </w:rPr>
            </w:pPr>
            <w:bookmarkStart w:id="580" w:name="_Toc254970701"/>
            <w:bookmarkStart w:id="581" w:name="_Toc445223695"/>
            <w:bookmarkStart w:id="582" w:name="_Toc482864564"/>
            <w:bookmarkStart w:id="583" w:name="_Toc293863334"/>
            <w:bookmarkStart w:id="584" w:name="_Toc308018692"/>
            <w:bookmarkStart w:id="585" w:name="_Toc18765"/>
            <w:bookmarkStart w:id="586" w:name="_Toc448421155"/>
            <w:bookmarkStart w:id="587" w:name="_Toc482865335"/>
            <w:bookmarkStart w:id="588" w:name="_Toc293863064"/>
            <w:bookmarkStart w:id="589" w:name="_Toc482865165"/>
            <w:bookmarkStart w:id="590" w:name="_Toc400465728"/>
            <w:bookmarkStart w:id="591" w:name="_Toc254970560"/>
            <w:bookmarkStart w:id="592" w:name="_Toc483327824"/>
            <w:r>
              <w:rPr>
                <w:rFonts w:hint="eastAsia" w:hAnsi="宋体" w:cs="宋体"/>
                <w:color w:val="auto"/>
                <w:spacing w:val="20"/>
                <w:kern w:val="2"/>
                <w:sz w:val="21"/>
              </w:rPr>
              <w:t>偏离情况</w:t>
            </w:r>
            <w:bookmarkEnd w:id="580"/>
            <w:bookmarkEnd w:id="581"/>
            <w:bookmarkEnd w:id="582"/>
            <w:bookmarkEnd w:id="583"/>
            <w:bookmarkEnd w:id="584"/>
            <w:bookmarkEnd w:id="585"/>
            <w:bookmarkEnd w:id="586"/>
            <w:bookmarkEnd w:id="587"/>
            <w:bookmarkEnd w:id="588"/>
            <w:bookmarkEnd w:id="589"/>
            <w:bookmarkEnd w:id="590"/>
            <w:bookmarkEnd w:id="591"/>
            <w:bookmarkEnd w:id="59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651" w:type="dxa"/>
            <w:tcBorders>
              <w:top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hint="eastAsia" w:ascii="宋体" w:hAnsi="宋体" w:cs="宋体"/>
                <w:color w:val="auto"/>
                <w:spacing w:val="20"/>
                <w:szCs w:val="21"/>
              </w:rPr>
              <w:t>序号</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hint="eastAsia" w:ascii="宋体" w:hAnsi="宋体" w:cs="宋体"/>
                <w:color w:val="auto"/>
                <w:spacing w:val="20"/>
                <w:szCs w:val="21"/>
              </w:rPr>
              <w:t>采购内容</w:t>
            </w:r>
          </w:p>
        </w:tc>
        <w:tc>
          <w:tcPr>
            <w:tcW w:w="259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bookmarkStart w:id="593" w:name="_Toc254970703"/>
            <w:bookmarkStart w:id="594" w:name="_Toc254970562"/>
            <w:r>
              <w:rPr>
                <w:rFonts w:hint="eastAsia" w:ascii="宋体" w:hAnsi="宋体" w:cs="宋体"/>
                <w:color w:val="auto"/>
                <w:spacing w:val="20"/>
                <w:szCs w:val="21"/>
              </w:rPr>
              <w:t>要求</w:t>
            </w:r>
            <w:bookmarkEnd w:id="593"/>
            <w:bookmarkEnd w:id="594"/>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hint="eastAsia" w:ascii="宋体" w:hAnsi="宋体" w:cs="宋体"/>
                <w:color w:val="auto"/>
                <w:spacing w:val="20"/>
                <w:szCs w:val="21"/>
              </w:rPr>
              <w:t>序号</w:t>
            </w:r>
          </w:p>
        </w:tc>
        <w:tc>
          <w:tcPr>
            <w:tcW w:w="158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hint="eastAsia" w:ascii="宋体" w:hAnsi="宋体" w:cs="宋体"/>
                <w:color w:val="auto"/>
                <w:spacing w:val="20"/>
                <w:szCs w:val="21"/>
              </w:rPr>
              <w:t>采购内容</w:t>
            </w: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bookmarkStart w:id="595" w:name="_Toc254970564"/>
            <w:bookmarkStart w:id="596" w:name="_Toc254970705"/>
            <w:r>
              <w:rPr>
                <w:rFonts w:hint="eastAsia" w:ascii="宋体" w:hAnsi="宋体" w:cs="宋体"/>
                <w:color w:val="auto"/>
                <w:spacing w:val="20"/>
                <w:szCs w:val="21"/>
              </w:rPr>
              <w:t>性能及指标</w:t>
            </w:r>
            <w:bookmarkEnd w:id="595"/>
            <w:bookmarkEnd w:id="596"/>
          </w:p>
        </w:tc>
        <w:tc>
          <w:tcPr>
            <w:tcW w:w="917" w:type="dxa"/>
            <w:vMerge w:val="continue"/>
            <w:tcBorders>
              <w:top w:val="single" w:color="auto" w:sz="4" w:space="0"/>
              <w:left w:val="single" w:color="auto" w:sz="4" w:space="0"/>
              <w:bottom w:val="single" w:color="auto" w:sz="4" w:space="0"/>
            </w:tcBorders>
            <w:vAlign w:val="center"/>
          </w:tcPr>
          <w:p>
            <w:pPr>
              <w:widowControl/>
              <w:jc w:val="center"/>
              <w:rPr>
                <w:rFonts w:asci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651" w:type="dxa"/>
            <w:tcBorders>
              <w:top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917" w:type="dxa"/>
            <w:tcBorders>
              <w:top w:val="single" w:color="auto" w:sz="4" w:space="0"/>
              <w:left w:val="single" w:color="auto" w:sz="4" w:space="0"/>
              <w:bottom w:val="single" w:color="auto" w:sz="4" w:space="0"/>
            </w:tcBorders>
            <w:vAlign w:val="center"/>
          </w:tcPr>
          <w:p>
            <w:pPr>
              <w:widowControl/>
              <w:jc w:val="center"/>
              <w:rPr>
                <w:rFonts w:asci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651" w:type="dxa"/>
            <w:tcBorders>
              <w:top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917" w:type="dxa"/>
            <w:tcBorders>
              <w:top w:val="single" w:color="auto" w:sz="4" w:space="0"/>
              <w:left w:val="single" w:color="auto" w:sz="4" w:space="0"/>
              <w:bottom w:val="single" w:color="auto" w:sz="4" w:space="0"/>
            </w:tcBorders>
            <w:vAlign w:val="center"/>
          </w:tcPr>
          <w:p>
            <w:pPr>
              <w:widowControl/>
              <w:jc w:val="center"/>
              <w:rPr>
                <w:rFonts w:asci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651" w:type="dxa"/>
            <w:tcBorders>
              <w:top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ascii="宋体" w:cs="宋体"/>
                <w:color w:val="auto"/>
                <w:spacing w:val="20"/>
                <w:szCs w:val="21"/>
              </w:rPr>
              <w:t>...</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r>
              <w:rPr>
                <w:rFonts w:ascii="宋体" w:cs="宋体"/>
                <w:color w:val="auto"/>
                <w:spacing w:val="20"/>
                <w:szCs w:val="21"/>
              </w:rPr>
              <w:t>...</w:t>
            </w:r>
          </w:p>
        </w:tc>
        <w:tc>
          <w:tcPr>
            <w:tcW w:w="158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pacing w:val="20"/>
                <w:szCs w:val="21"/>
              </w:rPr>
            </w:pPr>
          </w:p>
        </w:tc>
        <w:tc>
          <w:tcPr>
            <w:tcW w:w="917" w:type="dxa"/>
            <w:tcBorders>
              <w:top w:val="single" w:color="auto" w:sz="4" w:space="0"/>
              <w:left w:val="single" w:color="auto" w:sz="4" w:space="0"/>
              <w:bottom w:val="single" w:color="auto" w:sz="4" w:space="0"/>
            </w:tcBorders>
            <w:vAlign w:val="center"/>
          </w:tcPr>
          <w:p>
            <w:pPr>
              <w:widowControl/>
              <w:jc w:val="center"/>
              <w:rPr>
                <w:rFonts w:ascii="宋体" w:cs="宋体"/>
                <w:color w:val="auto"/>
                <w:spacing w:val="20"/>
                <w:szCs w:val="21"/>
              </w:rPr>
            </w:pPr>
          </w:p>
        </w:tc>
      </w:tr>
    </w:tbl>
    <w:p>
      <w:pPr>
        <w:pStyle w:val="17"/>
        <w:spacing w:line="380" w:lineRule="exact"/>
        <w:rPr>
          <w:rFonts w:ascii="宋体" w:cs="宋体"/>
          <w:color w:val="auto"/>
          <w:sz w:val="21"/>
          <w:szCs w:val="21"/>
        </w:rPr>
      </w:pPr>
      <w:r>
        <w:rPr>
          <w:rFonts w:hint="eastAsia" w:ascii="宋体" w:hAnsi="宋体" w:cs="宋体"/>
          <w:b w:val="0"/>
          <w:bCs w:val="0"/>
          <w:color w:val="auto"/>
          <w:sz w:val="21"/>
          <w:szCs w:val="21"/>
        </w:rPr>
        <w:t>注：投标人应根据投标货物的性能指标、对照招标文件采购需求在“偏离情况”栏注明“正偏离”、“负偏离”或“无偏离”。</w:t>
      </w:r>
    </w:p>
    <w:p>
      <w:pPr>
        <w:pStyle w:val="17"/>
        <w:spacing w:line="380" w:lineRule="exact"/>
        <w:rPr>
          <w:rFonts w:ascii="宋体" w:cs="宋体"/>
          <w:color w:val="auto"/>
          <w:spacing w:val="20"/>
          <w:sz w:val="21"/>
          <w:szCs w:val="21"/>
        </w:rPr>
      </w:pPr>
    </w:p>
    <w:p>
      <w:pPr>
        <w:snapToGrid w:val="0"/>
        <w:spacing w:before="50" w:after="50"/>
        <w:rPr>
          <w:rFonts w:ascii="宋体" w:cs="宋体"/>
          <w:color w:val="auto"/>
          <w:spacing w:val="20"/>
          <w:szCs w:val="21"/>
          <w:u w:val="single"/>
        </w:rPr>
      </w:pPr>
      <w:r>
        <w:rPr>
          <w:rFonts w:hint="eastAsia" w:ascii="宋体" w:hAnsi="宋体" w:cs="宋体"/>
          <w:color w:val="auto"/>
          <w:spacing w:val="20"/>
          <w:szCs w:val="21"/>
        </w:rPr>
        <w:t>授权代表签名：</w:t>
      </w:r>
      <w:r>
        <w:rPr>
          <w:rFonts w:ascii="宋体" w:hAnsi="宋体" w:cs="宋体"/>
          <w:color w:val="auto"/>
          <w:spacing w:val="20"/>
          <w:szCs w:val="21"/>
          <w:u w:val="single"/>
        </w:rPr>
        <w:t xml:space="preserve">          </w:t>
      </w:r>
    </w:p>
    <w:p>
      <w:pPr>
        <w:snapToGrid w:val="0"/>
        <w:spacing w:before="50" w:after="50"/>
        <w:rPr>
          <w:rFonts w:ascii="宋体" w:cs="宋体"/>
          <w:color w:val="auto"/>
          <w:spacing w:val="20"/>
          <w:szCs w:val="21"/>
          <w:u w:val="single"/>
        </w:rPr>
      </w:pPr>
    </w:p>
    <w:p>
      <w:pPr>
        <w:snapToGrid w:val="0"/>
        <w:spacing w:before="50" w:after="50"/>
        <w:rPr>
          <w:color w:val="auto"/>
        </w:rPr>
      </w:pPr>
      <w:r>
        <w:rPr>
          <w:rFonts w:hint="eastAsia" w:ascii="宋体" w:hAnsi="宋体" w:cs="宋体"/>
          <w:color w:val="auto"/>
          <w:spacing w:val="20"/>
          <w:szCs w:val="21"/>
        </w:rPr>
        <w:t>投标人盖章：</w:t>
      </w:r>
      <w:r>
        <w:rPr>
          <w:rFonts w:ascii="宋体" w:hAnsi="宋体" w:cs="宋体"/>
          <w:color w:val="auto"/>
          <w:spacing w:val="20"/>
          <w:szCs w:val="21"/>
          <w:u w:val="single"/>
        </w:rPr>
        <w:t xml:space="preserve">            </w:t>
      </w:r>
      <w:r>
        <w:rPr>
          <w:rFonts w:ascii="宋体" w:hAnsi="宋体" w:cs="宋体"/>
          <w:color w:val="auto"/>
          <w:spacing w:val="20"/>
          <w:szCs w:val="21"/>
        </w:rPr>
        <w:t xml:space="preserve">              </w:t>
      </w:r>
      <w:r>
        <w:rPr>
          <w:rFonts w:hint="eastAsia" w:ascii="宋体" w:hAnsi="宋体" w:cs="宋体"/>
          <w:color w:val="auto"/>
          <w:spacing w:val="20"/>
          <w:szCs w:val="21"/>
        </w:rPr>
        <w:t>日</w:t>
      </w:r>
      <w:r>
        <w:rPr>
          <w:rFonts w:ascii="宋体" w:hAnsi="宋体" w:cs="宋体"/>
          <w:color w:val="auto"/>
          <w:spacing w:val="20"/>
          <w:szCs w:val="21"/>
        </w:rPr>
        <w:t xml:space="preserve"> </w:t>
      </w:r>
      <w:r>
        <w:rPr>
          <w:rFonts w:hint="eastAsia" w:ascii="宋体" w:hAnsi="宋体" w:cs="宋体"/>
          <w:color w:val="auto"/>
          <w:spacing w:val="20"/>
          <w:szCs w:val="21"/>
        </w:rPr>
        <w:t>期：</w:t>
      </w:r>
      <w:r>
        <w:rPr>
          <w:rFonts w:ascii="宋体" w:hAnsi="宋体" w:cs="宋体"/>
          <w:color w:val="auto"/>
          <w:spacing w:val="20"/>
          <w:szCs w:val="21"/>
          <w:u w:val="single"/>
        </w:rPr>
        <w:t xml:space="preserve">            </w:t>
      </w:r>
    </w:p>
    <w:p>
      <w:pPr>
        <w:pStyle w:val="55"/>
        <w:rPr>
          <w:color w:val="auto"/>
        </w:rPr>
      </w:pPr>
    </w:p>
    <w:p>
      <w:pPr>
        <w:pStyle w:val="55"/>
        <w:rPr>
          <w:color w:val="auto"/>
        </w:rPr>
      </w:pPr>
    </w:p>
    <w:p>
      <w:pPr>
        <w:snapToGrid w:val="0"/>
        <w:spacing w:line="404" w:lineRule="exact"/>
        <w:jc w:val="left"/>
        <w:rPr>
          <w:rFonts w:ascii="宋体" w:cs="宋体"/>
          <w:color w:val="auto"/>
        </w:rPr>
      </w:pPr>
      <w:r>
        <w:rPr>
          <w:rFonts w:ascii="宋体" w:hAnsi="宋体" w:cs="宋体"/>
          <w:b/>
          <w:color w:val="auto"/>
        </w:rPr>
        <w:t xml:space="preserve">3.3.3  </w:t>
      </w:r>
      <w:r>
        <w:rPr>
          <w:rFonts w:hint="eastAsia" w:ascii="宋体" w:hAnsi="宋体" w:cs="宋体"/>
          <w:b/>
          <w:color w:val="auto"/>
        </w:rPr>
        <w:t>售后服务方案</w:t>
      </w:r>
      <w:r>
        <w:rPr>
          <w:rFonts w:hint="eastAsia" w:ascii="宋体" w:hAnsi="宋体" w:cs="宋体"/>
          <w:b/>
          <w:color w:val="auto"/>
          <w:szCs w:val="21"/>
        </w:rPr>
        <w:t>（格式自拟）</w:t>
      </w:r>
    </w:p>
    <w:p>
      <w:pPr>
        <w:snapToGrid w:val="0"/>
        <w:spacing w:before="50" w:afterLines="50"/>
        <w:jc w:val="left"/>
        <w:rPr>
          <w:rFonts w:ascii="宋体" w:cs="宋体"/>
          <w:b/>
          <w:color w:val="auto"/>
          <w:szCs w:val="21"/>
        </w:rPr>
      </w:pPr>
    </w:p>
    <w:p>
      <w:pPr>
        <w:pStyle w:val="55"/>
        <w:rPr>
          <w:color w:val="auto"/>
        </w:rPr>
      </w:pPr>
    </w:p>
    <w:p>
      <w:pPr>
        <w:pStyle w:val="55"/>
        <w:rPr>
          <w:color w:val="auto"/>
        </w:rPr>
      </w:pPr>
    </w:p>
    <w:p>
      <w:pPr>
        <w:pStyle w:val="55"/>
        <w:rPr>
          <w:color w:val="auto"/>
        </w:rPr>
      </w:pPr>
    </w:p>
    <w:p>
      <w:pPr>
        <w:snapToGrid w:val="0"/>
        <w:spacing w:line="404" w:lineRule="exact"/>
        <w:jc w:val="left"/>
        <w:rPr>
          <w:rFonts w:ascii="宋体" w:cs="宋体"/>
          <w:b/>
          <w:color w:val="auto"/>
        </w:rPr>
      </w:pPr>
      <w:r>
        <w:rPr>
          <w:rFonts w:ascii="宋体" w:hAnsi="宋体" w:cs="宋体"/>
          <w:b/>
          <w:color w:val="auto"/>
        </w:rPr>
        <w:t>3.3.4</w:t>
      </w:r>
      <w:r>
        <w:rPr>
          <w:rFonts w:hint="eastAsia" w:ascii="宋体" w:hAnsi="宋体" w:cs="宋体"/>
          <w:b/>
          <w:color w:val="auto"/>
        </w:rPr>
        <w:t>项目实施人员一览表</w:t>
      </w:r>
      <w:r>
        <w:rPr>
          <w:rFonts w:hint="eastAsia" w:ascii="宋体" w:hAnsi="宋体" w:cs="宋体"/>
          <w:b/>
          <w:color w:val="auto"/>
          <w:szCs w:val="21"/>
        </w:rPr>
        <w:t>（格式自拟）</w:t>
      </w:r>
    </w:p>
    <w:p>
      <w:pPr>
        <w:pStyle w:val="55"/>
        <w:rPr>
          <w:rFonts w:ascii="宋体" w:cs="宋体"/>
          <w:b/>
          <w:bCs w:val="0"/>
          <w:color w:val="auto"/>
          <w:spacing w:val="0"/>
          <w:kern w:val="2"/>
          <w:sz w:val="21"/>
        </w:rPr>
      </w:pPr>
    </w:p>
    <w:p>
      <w:pPr>
        <w:pStyle w:val="55"/>
        <w:rPr>
          <w:rFonts w:ascii="宋体" w:cs="宋体"/>
          <w:b/>
          <w:bCs w:val="0"/>
          <w:color w:val="auto"/>
        </w:rPr>
      </w:pPr>
    </w:p>
    <w:p>
      <w:pPr>
        <w:pStyle w:val="55"/>
        <w:rPr>
          <w:rFonts w:ascii="宋体" w:cs="宋体"/>
          <w:b/>
          <w:bCs w:val="0"/>
          <w:color w:val="auto"/>
        </w:rPr>
      </w:pPr>
    </w:p>
    <w:p>
      <w:pPr>
        <w:pStyle w:val="55"/>
        <w:rPr>
          <w:rFonts w:ascii="宋体" w:cs="宋体"/>
          <w:b/>
          <w:bCs w:val="0"/>
          <w:color w:val="auto"/>
        </w:rPr>
      </w:pPr>
    </w:p>
    <w:p>
      <w:pPr>
        <w:snapToGrid w:val="0"/>
        <w:spacing w:line="404" w:lineRule="exact"/>
        <w:jc w:val="left"/>
        <w:rPr>
          <w:rFonts w:ascii="宋体" w:cs="宋体"/>
          <w:b/>
          <w:color w:val="auto"/>
        </w:rPr>
      </w:pPr>
      <w:r>
        <w:rPr>
          <w:rFonts w:ascii="宋体" w:hAnsi="宋体" w:cs="宋体"/>
          <w:b/>
          <w:color w:val="auto"/>
          <w:szCs w:val="21"/>
        </w:rPr>
        <w:t xml:space="preserve">3.3.5  </w:t>
      </w:r>
      <w:r>
        <w:rPr>
          <w:rFonts w:hint="eastAsia" w:ascii="宋体" w:hAnsi="宋体" w:cs="宋体"/>
          <w:b/>
          <w:color w:val="auto"/>
        </w:rPr>
        <w:t>产品出厂标准、质量检测报告；</w:t>
      </w:r>
    </w:p>
    <w:p>
      <w:pPr>
        <w:snapToGrid w:val="0"/>
        <w:spacing w:line="404" w:lineRule="exact"/>
        <w:ind w:firstLine="422" w:firstLineChars="200"/>
        <w:jc w:val="left"/>
        <w:rPr>
          <w:rFonts w:ascii="宋体" w:cs="宋体"/>
          <w:b/>
          <w:color w:val="auto"/>
        </w:rPr>
      </w:pPr>
    </w:p>
    <w:p>
      <w:pPr>
        <w:snapToGrid w:val="0"/>
        <w:spacing w:line="404" w:lineRule="exact"/>
        <w:jc w:val="left"/>
        <w:rPr>
          <w:rFonts w:ascii="宋体" w:cs="宋体"/>
          <w:b/>
          <w:color w:val="auto"/>
        </w:rPr>
      </w:pPr>
    </w:p>
    <w:p>
      <w:pPr>
        <w:pStyle w:val="55"/>
        <w:rPr>
          <w:color w:val="auto"/>
        </w:rPr>
      </w:pPr>
    </w:p>
    <w:p>
      <w:pPr>
        <w:snapToGrid w:val="0"/>
        <w:spacing w:line="404" w:lineRule="exact"/>
        <w:jc w:val="left"/>
        <w:rPr>
          <w:rFonts w:ascii="宋体" w:cs="宋体"/>
          <w:b/>
          <w:color w:val="auto"/>
        </w:rPr>
      </w:pPr>
      <w:r>
        <w:rPr>
          <w:rFonts w:ascii="宋体" w:hAnsi="宋体" w:cs="宋体"/>
          <w:b/>
          <w:color w:val="auto"/>
          <w:szCs w:val="21"/>
        </w:rPr>
        <w:t xml:space="preserve">3.3.6  </w:t>
      </w:r>
      <w:r>
        <w:rPr>
          <w:rFonts w:hint="eastAsia" w:ascii="宋体" w:hAnsi="宋体" w:cs="宋体"/>
          <w:b/>
          <w:color w:val="auto"/>
          <w:szCs w:val="21"/>
        </w:rPr>
        <w:t>培训计划方案</w:t>
      </w:r>
    </w:p>
    <w:p>
      <w:pPr>
        <w:snapToGrid w:val="0"/>
        <w:spacing w:line="404" w:lineRule="exact"/>
        <w:jc w:val="left"/>
        <w:rPr>
          <w:rFonts w:ascii="宋体" w:cs="宋体"/>
          <w:b/>
          <w:color w:val="auto"/>
        </w:rPr>
      </w:pPr>
    </w:p>
    <w:p>
      <w:pPr>
        <w:pStyle w:val="55"/>
        <w:rPr>
          <w:color w:val="auto"/>
        </w:rPr>
      </w:pPr>
    </w:p>
    <w:p>
      <w:pPr>
        <w:snapToGrid w:val="0"/>
        <w:spacing w:line="404" w:lineRule="exact"/>
        <w:jc w:val="left"/>
        <w:rPr>
          <w:rFonts w:ascii="宋体" w:cs="宋体"/>
          <w:b/>
          <w:color w:val="auto"/>
        </w:rPr>
      </w:pPr>
    </w:p>
    <w:p>
      <w:pPr>
        <w:snapToGrid w:val="0"/>
        <w:spacing w:line="404" w:lineRule="exact"/>
        <w:jc w:val="left"/>
        <w:rPr>
          <w:rFonts w:ascii="宋体" w:cs="宋体"/>
          <w:b/>
          <w:color w:val="auto"/>
        </w:rPr>
      </w:pPr>
    </w:p>
    <w:p>
      <w:pPr>
        <w:snapToGrid w:val="0"/>
        <w:spacing w:line="404" w:lineRule="exact"/>
        <w:jc w:val="left"/>
        <w:rPr>
          <w:rFonts w:ascii="宋体" w:cs="宋体"/>
          <w:b/>
          <w:color w:val="auto"/>
        </w:rPr>
      </w:pPr>
      <w:r>
        <w:rPr>
          <w:rFonts w:ascii="宋体" w:hAnsi="宋体" w:cs="宋体"/>
          <w:b/>
          <w:color w:val="auto"/>
        </w:rPr>
        <w:t xml:space="preserve">3.3.7  </w:t>
      </w:r>
      <w:r>
        <w:rPr>
          <w:rFonts w:hint="eastAsia" w:ascii="宋体" w:hAnsi="宋体" w:cs="宋体"/>
          <w:b/>
          <w:color w:val="auto"/>
        </w:rPr>
        <w:t>投标人需要说明的其他文件和说明。</w:t>
      </w:r>
    </w:p>
    <w:p>
      <w:pPr>
        <w:snapToGrid w:val="0"/>
        <w:spacing w:line="404" w:lineRule="exact"/>
        <w:ind w:firstLine="422" w:firstLineChars="200"/>
        <w:jc w:val="left"/>
        <w:rPr>
          <w:rFonts w:ascii="宋体" w:cs="宋体"/>
          <w:b/>
          <w:color w:val="auto"/>
        </w:rPr>
      </w:pPr>
    </w:p>
    <w:p>
      <w:pPr>
        <w:snapToGrid w:val="0"/>
        <w:spacing w:before="50" w:afterLines="50"/>
        <w:jc w:val="left"/>
        <w:rPr>
          <w:rFonts w:ascii="宋体" w:cs="宋体"/>
          <w:b/>
          <w:bCs/>
          <w:color w:val="auto"/>
          <w:szCs w:val="21"/>
        </w:rPr>
      </w:pPr>
    </w:p>
    <w:p>
      <w:pPr>
        <w:snapToGrid w:val="0"/>
        <w:spacing w:before="50" w:afterLines="50"/>
        <w:jc w:val="left"/>
        <w:rPr>
          <w:rFonts w:ascii="宋体" w:cs="宋体"/>
          <w:b/>
          <w:bCs/>
          <w:color w:val="auto"/>
          <w:szCs w:val="21"/>
        </w:rPr>
      </w:pPr>
    </w:p>
    <w:p>
      <w:pPr>
        <w:pStyle w:val="55"/>
        <w:rPr>
          <w:rFonts w:ascii="宋体" w:cs="宋体"/>
          <w:b/>
          <w:bCs w:val="0"/>
          <w:color w:val="auto"/>
          <w:szCs w:val="21"/>
        </w:rPr>
      </w:pPr>
    </w:p>
    <w:p>
      <w:pPr>
        <w:pStyle w:val="55"/>
        <w:rPr>
          <w:rFonts w:ascii="宋体" w:cs="宋体"/>
          <w:b/>
          <w:bCs w:val="0"/>
          <w:color w:val="auto"/>
          <w:szCs w:val="21"/>
        </w:rPr>
      </w:pPr>
    </w:p>
    <w:p>
      <w:pPr>
        <w:pStyle w:val="55"/>
        <w:rPr>
          <w:rFonts w:ascii="宋体" w:cs="宋体"/>
          <w:b/>
          <w:bCs w:val="0"/>
          <w:color w:val="auto"/>
          <w:szCs w:val="21"/>
        </w:rPr>
      </w:pPr>
    </w:p>
    <w:p>
      <w:pPr>
        <w:pStyle w:val="55"/>
        <w:rPr>
          <w:rFonts w:ascii="宋体" w:cs="宋体"/>
          <w:b/>
          <w:bCs w:val="0"/>
          <w:color w:val="auto"/>
          <w:szCs w:val="21"/>
        </w:rPr>
      </w:pPr>
    </w:p>
    <w:p>
      <w:pPr>
        <w:pStyle w:val="55"/>
        <w:rPr>
          <w:rFonts w:ascii="宋体" w:cs="宋体"/>
          <w:b/>
          <w:bCs w:val="0"/>
          <w:color w:val="auto"/>
          <w:szCs w:val="21"/>
        </w:rPr>
      </w:pPr>
    </w:p>
    <w:p>
      <w:pPr>
        <w:pStyle w:val="55"/>
        <w:rPr>
          <w:rFonts w:ascii="宋体" w:cs="宋体"/>
          <w:b/>
          <w:bCs w:val="0"/>
          <w:color w:val="auto"/>
          <w:szCs w:val="21"/>
        </w:rPr>
      </w:pPr>
    </w:p>
    <w:p>
      <w:pPr>
        <w:pStyle w:val="55"/>
        <w:rPr>
          <w:rFonts w:ascii="宋体" w:cs="宋体"/>
          <w:b/>
          <w:bCs w:val="0"/>
          <w:color w:val="auto"/>
          <w:szCs w:val="21"/>
        </w:rPr>
      </w:pPr>
    </w:p>
    <w:p>
      <w:pPr>
        <w:pStyle w:val="55"/>
        <w:rPr>
          <w:rFonts w:ascii="宋体" w:cs="宋体"/>
          <w:b/>
          <w:bCs w:val="0"/>
          <w:color w:val="auto"/>
          <w:szCs w:val="21"/>
        </w:rPr>
      </w:pPr>
    </w:p>
    <w:p>
      <w:pPr>
        <w:pStyle w:val="55"/>
        <w:rPr>
          <w:rFonts w:ascii="宋体" w:cs="宋体"/>
          <w:b/>
          <w:bCs w:val="0"/>
          <w:color w:val="auto"/>
          <w:szCs w:val="21"/>
        </w:rPr>
      </w:pPr>
    </w:p>
    <w:p>
      <w:pPr>
        <w:pStyle w:val="55"/>
        <w:rPr>
          <w:rFonts w:ascii="宋体" w:cs="宋体"/>
          <w:b/>
          <w:bCs w:val="0"/>
          <w:color w:val="auto"/>
          <w:szCs w:val="21"/>
        </w:rPr>
      </w:pPr>
    </w:p>
    <w:p>
      <w:pPr>
        <w:pStyle w:val="55"/>
        <w:rPr>
          <w:rFonts w:ascii="宋体" w:cs="宋体"/>
          <w:b/>
          <w:bCs w:val="0"/>
          <w:color w:val="auto"/>
          <w:szCs w:val="21"/>
        </w:rPr>
      </w:pPr>
    </w:p>
    <w:p>
      <w:pPr>
        <w:pStyle w:val="55"/>
        <w:rPr>
          <w:rFonts w:ascii="宋体" w:cs="宋体"/>
          <w:b/>
          <w:bCs w:val="0"/>
          <w:color w:val="auto"/>
          <w:szCs w:val="21"/>
        </w:rPr>
      </w:pPr>
    </w:p>
    <w:p>
      <w:pPr>
        <w:pStyle w:val="55"/>
        <w:rPr>
          <w:rFonts w:ascii="宋体" w:cs="宋体"/>
          <w:b/>
          <w:bCs w:val="0"/>
          <w:color w:val="auto"/>
          <w:szCs w:val="21"/>
        </w:rPr>
      </w:pPr>
    </w:p>
    <w:p>
      <w:pPr>
        <w:snapToGrid w:val="0"/>
        <w:spacing w:before="50" w:afterLines="50"/>
        <w:jc w:val="left"/>
        <w:rPr>
          <w:rFonts w:ascii="宋体" w:cs="宋体"/>
          <w:b/>
          <w:bCs/>
          <w:color w:val="auto"/>
          <w:szCs w:val="21"/>
        </w:rPr>
      </w:pPr>
    </w:p>
    <w:p>
      <w:pPr>
        <w:pStyle w:val="7"/>
        <w:rPr>
          <w:color w:val="auto"/>
        </w:rPr>
      </w:pPr>
    </w:p>
    <w:p>
      <w:pPr>
        <w:snapToGrid w:val="0"/>
        <w:spacing w:before="50" w:afterLines="50"/>
        <w:jc w:val="left"/>
        <w:rPr>
          <w:rFonts w:ascii="宋体" w:cs="宋体"/>
          <w:b/>
          <w:color w:val="auto"/>
          <w:sz w:val="28"/>
          <w:szCs w:val="28"/>
        </w:rPr>
      </w:pPr>
      <w:r>
        <w:rPr>
          <w:rFonts w:hint="eastAsia" w:ascii="宋体" w:hAnsi="宋体" w:cs="宋体"/>
          <w:b/>
          <w:bCs/>
          <w:color w:val="auto"/>
          <w:szCs w:val="21"/>
        </w:rPr>
        <w:t>四、报价部分格式</w:t>
      </w:r>
    </w:p>
    <w:p>
      <w:pPr>
        <w:widowControl/>
        <w:jc w:val="left"/>
        <w:rPr>
          <w:rFonts w:ascii="宋体" w:cs="宋体"/>
          <w:b/>
          <w:color w:val="auto"/>
          <w:szCs w:val="21"/>
        </w:rPr>
      </w:pPr>
      <w:r>
        <w:rPr>
          <w:rFonts w:ascii="宋体" w:hAnsi="宋体" w:cs="宋体"/>
          <w:b/>
          <w:color w:val="auto"/>
          <w:szCs w:val="21"/>
        </w:rPr>
        <w:t xml:space="preserve">4.1 </w:t>
      </w:r>
      <w:r>
        <w:rPr>
          <w:rFonts w:hint="eastAsia" w:ascii="宋体" w:hAnsi="宋体" w:cs="宋体"/>
          <w:b/>
          <w:color w:val="auto"/>
          <w:szCs w:val="21"/>
        </w:rPr>
        <w:t>报价部分内封面格式：</w:t>
      </w:r>
    </w:p>
    <w:p>
      <w:pPr>
        <w:widowControl/>
        <w:jc w:val="left"/>
        <w:rPr>
          <w:rFonts w:ascii="宋体" w:cs="宋体"/>
          <w:b/>
          <w:bCs/>
          <w:color w:val="auto"/>
          <w:sz w:val="52"/>
          <w:szCs w:val="52"/>
        </w:rPr>
      </w:pPr>
      <w:r>
        <w:rPr>
          <w:rFonts w:ascii="宋体" w:hAnsi="宋体" w:cs="宋体"/>
          <w:b/>
          <w:color w:val="auto"/>
          <w:szCs w:val="21"/>
        </w:rPr>
        <w:t xml:space="preserve"> </w:t>
      </w:r>
      <w:r>
        <w:rPr>
          <w:rFonts w:ascii="宋体" w:hAnsi="宋体" w:cs="宋体"/>
          <w:color w:val="auto"/>
          <w:szCs w:val="21"/>
        </w:rPr>
        <w:t xml:space="preserve">               </w:t>
      </w:r>
    </w:p>
    <w:p>
      <w:pPr>
        <w:snapToGrid w:val="0"/>
        <w:spacing w:beforeLines="50" w:after="50" w:line="400" w:lineRule="exact"/>
        <w:jc w:val="center"/>
        <w:rPr>
          <w:rFonts w:ascii="宋体" w:cs="宋体"/>
          <w:bCs/>
          <w:color w:val="auto"/>
          <w:szCs w:val="21"/>
        </w:rPr>
      </w:pPr>
      <w:r>
        <w:rPr>
          <w:rFonts w:hint="eastAsia" w:ascii="宋体" w:hAnsi="宋体" w:cs="宋体"/>
          <w:b/>
          <w:bCs/>
          <w:color w:val="auto"/>
          <w:sz w:val="48"/>
          <w:szCs w:val="48"/>
        </w:rPr>
        <w:t>报</w:t>
      </w:r>
      <w:r>
        <w:rPr>
          <w:rFonts w:ascii="宋体" w:hAnsi="宋体" w:cs="宋体"/>
          <w:b/>
          <w:bCs/>
          <w:color w:val="auto"/>
          <w:sz w:val="48"/>
          <w:szCs w:val="48"/>
        </w:rPr>
        <w:t xml:space="preserve"> </w:t>
      </w:r>
      <w:r>
        <w:rPr>
          <w:rFonts w:hint="eastAsia" w:ascii="宋体" w:hAnsi="宋体" w:cs="宋体"/>
          <w:b/>
          <w:bCs/>
          <w:color w:val="auto"/>
          <w:sz w:val="48"/>
          <w:szCs w:val="48"/>
        </w:rPr>
        <w:t>价</w:t>
      </w:r>
      <w:r>
        <w:rPr>
          <w:rFonts w:ascii="宋体" w:hAnsi="宋体" w:cs="宋体"/>
          <w:b/>
          <w:bCs/>
          <w:color w:val="auto"/>
          <w:sz w:val="48"/>
          <w:szCs w:val="48"/>
        </w:rPr>
        <w:t xml:space="preserve"> </w:t>
      </w:r>
      <w:r>
        <w:rPr>
          <w:rFonts w:hint="eastAsia" w:ascii="宋体" w:hAnsi="宋体" w:cs="宋体"/>
          <w:b/>
          <w:bCs/>
          <w:color w:val="auto"/>
          <w:sz w:val="48"/>
          <w:szCs w:val="48"/>
        </w:rPr>
        <w:t>部</w:t>
      </w:r>
      <w:r>
        <w:rPr>
          <w:rFonts w:ascii="宋体" w:hAnsi="宋体" w:cs="宋体"/>
          <w:b/>
          <w:bCs/>
          <w:color w:val="auto"/>
          <w:sz w:val="48"/>
          <w:szCs w:val="48"/>
        </w:rPr>
        <w:t xml:space="preserve"> </w:t>
      </w:r>
      <w:r>
        <w:rPr>
          <w:rFonts w:hint="eastAsia" w:ascii="宋体" w:hAnsi="宋体" w:cs="宋体"/>
          <w:b/>
          <w:bCs/>
          <w:color w:val="auto"/>
          <w:sz w:val="48"/>
          <w:szCs w:val="48"/>
        </w:rPr>
        <w:t>分</w:t>
      </w:r>
    </w:p>
    <w:p>
      <w:pPr>
        <w:snapToGrid w:val="0"/>
        <w:spacing w:beforeLines="50" w:after="50"/>
        <w:ind w:firstLine="934" w:firstLineChars="445"/>
        <w:rPr>
          <w:rFonts w:ascii="宋体" w:cs="宋体"/>
          <w:bCs/>
          <w:color w:val="auto"/>
          <w:szCs w:val="21"/>
        </w:rPr>
      </w:pPr>
    </w:p>
    <w:p>
      <w:pPr>
        <w:snapToGrid w:val="0"/>
        <w:spacing w:beforeLines="50" w:after="50" w:line="360" w:lineRule="auto"/>
        <w:ind w:firstLine="1200" w:firstLineChars="500"/>
        <w:rPr>
          <w:rFonts w:ascii="宋体" w:cs="宋体"/>
          <w:bCs/>
          <w:color w:val="auto"/>
          <w:sz w:val="24"/>
          <w:szCs w:val="20"/>
        </w:rPr>
      </w:pPr>
      <w:r>
        <w:rPr>
          <w:rFonts w:hint="eastAsia" w:ascii="宋体" w:hAnsi="宋体" w:cs="宋体"/>
          <w:bCs/>
          <w:color w:val="auto"/>
          <w:sz w:val="24"/>
        </w:rPr>
        <w:t>项目名称：</w:t>
      </w:r>
      <w:r>
        <w:rPr>
          <w:rFonts w:ascii="宋体" w:hAnsi="宋体" w:cs="宋体"/>
          <w:bCs/>
          <w:color w:val="auto"/>
          <w:sz w:val="24"/>
          <w:szCs w:val="20"/>
        </w:rPr>
        <w:t xml:space="preserve"> </w:t>
      </w: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项目编号：</w:t>
      </w:r>
    </w:p>
    <w:p>
      <w:pPr>
        <w:pStyle w:val="7"/>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投标人名称：</w:t>
      </w:r>
    </w:p>
    <w:p>
      <w:pPr>
        <w:pStyle w:val="7"/>
        <w:snapToGrid w:val="0"/>
        <w:spacing w:before="50" w:after="50" w:line="360" w:lineRule="auto"/>
        <w:ind w:firstLine="1200" w:firstLineChars="500"/>
        <w:rPr>
          <w:rFonts w:ascii="宋体" w:cs="宋体"/>
          <w:bCs/>
          <w:color w:val="auto"/>
          <w:sz w:val="24"/>
          <w:szCs w:val="24"/>
        </w:rPr>
      </w:pPr>
      <w:r>
        <w:rPr>
          <w:rFonts w:hint="eastAsia" w:ascii="宋体" w:hAnsi="宋体" w:cs="宋体"/>
          <w:bCs/>
          <w:color w:val="auto"/>
          <w:sz w:val="24"/>
          <w:szCs w:val="24"/>
        </w:rPr>
        <w:t>法定代表人或委托代理人签字：</w:t>
      </w:r>
    </w:p>
    <w:p>
      <w:pPr>
        <w:pStyle w:val="7"/>
        <w:snapToGrid w:val="0"/>
        <w:spacing w:before="50" w:after="50" w:line="360" w:lineRule="auto"/>
        <w:ind w:firstLine="1200" w:firstLineChars="500"/>
        <w:rPr>
          <w:rFonts w:ascii="宋体" w:cs="宋体"/>
          <w:bCs/>
          <w:color w:val="auto"/>
          <w:sz w:val="24"/>
          <w:szCs w:val="24"/>
        </w:rPr>
      </w:pPr>
    </w:p>
    <w:p>
      <w:pPr>
        <w:snapToGrid w:val="0"/>
        <w:spacing w:beforeLines="50" w:after="50" w:line="360" w:lineRule="auto"/>
        <w:ind w:firstLine="480" w:firstLineChars="200"/>
        <w:rPr>
          <w:rFonts w:ascii="宋体" w:cs="宋体"/>
          <w:bCs/>
          <w:color w:val="auto"/>
          <w:sz w:val="24"/>
        </w:rPr>
      </w:pPr>
      <w:r>
        <w:rPr>
          <w:rFonts w:ascii="宋体" w:hAnsi="宋体" w:cs="宋体"/>
          <w:bCs/>
          <w:color w:val="auto"/>
          <w:sz w:val="24"/>
        </w:rPr>
        <w:t xml:space="preserve">                                              </w:t>
      </w:r>
      <w:r>
        <w:rPr>
          <w:rFonts w:hint="eastAsia" w:ascii="宋体" w:hAnsi="宋体" w:cs="宋体"/>
          <w:bCs/>
          <w:color w:val="auto"/>
          <w:sz w:val="24"/>
        </w:rPr>
        <w:t>年</w:t>
      </w:r>
      <w:r>
        <w:rPr>
          <w:rFonts w:ascii="宋体" w:hAnsi="宋体" w:cs="宋体"/>
          <w:bCs/>
          <w:color w:val="auto"/>
          <w:sz w:val="24"/>
        </w:rPr>
        <w:t xml:space="preserve">    </w:t>
      </w:r>
      <w:r>
        <w:rPr>
          <w:rFonts w:hint="eastAsia" w:ascii="宋体" w:hAnsi="宋体" w:cs="宋体"/>
          <w:bCs/>
          <w:color w:val="auto"/>
          <w:sz w:val="24"/>
        </w:rPr>
        <w:t>月</w:t>
      </w:r>
      <w:r>
        <w:rPr>
          <w:rFonts w:ascii="宋体" w:hAnsi="宋体" w:cs="宋体"/>
          <w:bCs/>
          <w:color w:val="auto"/>
          <w:sz w:val="24"/>
        </w:rPr>
        <w:t xml:space="preserve">   </w:t>
      </w:r>
      <w:r>
        <w:rPr>
          <w:rFonts w:hint="eastAsia" w:ascii="宋体" w:hAnsi="宋体" w:cs="宋体"/>
          <w:bCs/>
          <w:color w:val="auto"/>
          <w:sz w:val="24"/>
        </w:rPr>
        <w:t>日</w:t>
      </w:r>
    </w:p>
    <w:p>
      <w:pPr>
        <w:snapToGrid w:val="0"/>
        <w:spacing w:beforeLines="50" w:after="50" w:line="360" w:lineRule="exact"/>
        <w:ind w:firstLine="420" w:firstLineChars="200"/>
        <w:rPr>
          <w:rFonts w:ascii="宋体" w:cs="宋体"/>
          <w:bCs/>
          <w:color w:val="auto"/>
          <w:szCs w:val="21"/>
        </w:rPr>
      </w:pPr>
    </w:p>
    <w:p>
      <w:pPr>
        <w:snapToGrid w:val="0"/>
        <w:spacing w:beforeLines="50" w:after="50" w:line="360" w:lineRule="exact"/>
        <w:ind w:firstLine="420" w:firstLineChars="200"/>
        <w:rPr>
          <w:rFonts w:ascii="宋体" w:cs="宋体"/>
          <w:bCs/>
          <w:color w:val="auto"/>
          <w:szCs w:val="21"/>
        </w:rPr>
      </w:pPr>
    </w:p>
    <w:p>
      <w:pPr>
        <w:snapToGrid w:val="0"/>
        <w:spacing w:before="50" w:after="50"/>
        <w:rPr>
          <w:rFonts w:ascii="宋体" w:cs="宋体"/>
          <w:color w:val="auto"/>
          <w:sz w:val="24"/>
          <w:szCs w:val="20"/>
        </w:rPr>
      </w:pPr>
      <w:r>
        <w:rPr>
          <w:rFonts w:ascii="宋体" w:hAnsi="宋体" w:cs="宋体"/>
          <w:b/>
          <w:color w:val="auto"/>
          <w:szCs w:val="21"/>
        </w:rPr>
        <w:t xml:space="preserve">4.2 </w:t>
      </w:r>
      <w:r>
        <w:rPr>
          <w:rFonts w:hint="eastAsia" w:ascii="宋体" w:hAnsi="宋体" w:cs="宋体"/>
          <w:b/>
          <w:bCs/>
          <w:color w:val="auto"/>
          <w:szCs w:val="21"/>
        </w:rPr>
        <w:t>报价部分目录</w:t>
      </w:r>
    </w:p>
    <w:p>
      <w:pPr>
        <w:tabs>
          <w:tab w:val="left" w:pos="3870"/>
          <w:tab w:val="left" w:pos="4085"/>
        </w:tabs>
        <w:snapToGrid w:val="0"/>
        <w:spacing w:line="404"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）投标函；</w:t>
      </w:r>
      <w:r>
        <w:rPr>
          <w:rFonts w:ascii="宋体" w:hAnsi="宋体" w:cs="宋体"/>
          <w:color w:val="auto"/>
          <w:szCs w:val="21"/>
        </w:rPr>
        <w:t xml:space="preserve"> </w:t>
      </w:r>
    </w:p>
    <w:p>
      <w:pPr>
        <w:tabs>
          <w:tab w:val="left" w:pos="3870"/>
          <w:tab w:val="left" w:pos="4085"/>
        </w:tabs>
        <w:snapToGrid w:val="0"/>
        <w:spacing w:line="404" w:lineRule="exact"/>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）投标报价明细表；</w:t>
      </w:r>
    </w:p>
    <w:p>
      <w:pPr>
        <w:tabs>
          <w:tab w:val="left" w:pos="3870"/>
          <w:tab w:val="left" w:pos="4085"/>
        </w:tabs>
        <w:snapToGrid w:val="0"/>
        <w:spacing w:line="404" w:lineRule="exact"/>
        <w:ind w:firstLine="630" w:firstLineChars="3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）投标人针对报价需要说明的其他文件和材料（格式自拟）；</w:t>
      </w:r>
    </w:p>
    <w:p>
      <w:pPr>
        <w:tabs>
          <w:tab w:val="left" w:pos="3870"/>
          <w:tab w:val="left" w:pos="4085"/>
        </w:tabs>
        <w:snapToGrid w:val="0"/>
        <w:spacing w:line="404" w:lineRule="exact"/>
        <w:ind w:firstLine="420" w:firstLineChars="200"/>
        <w:jc w:val="left"/>
        <w:rPr>
          <w:rFonts w:ascii="宋体" w:cs="宋体"/>
          <w:bCs/>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）开标一览表（与投标函一起单独用小信封密封，格式见第六章）</w:t>
      </w:r>
    </w:p>
    <w:p>
      <w:pPr>
        <w:snapToGrid w:val="0"/>
        <w:spacing w:beforeLines="50" w:after="50" w:line="360" w:lineRule="exact"/>
        <w:ind w:firstLine="420" w:firstLineChars="200"/>
        <w:rPr>
          <w:rFonts w:ascii="宋体" w:cs="宋体"/>
          <w:bCs/>
          <w:color w:val="auto"/>
          <w:szCs w:val="21"/>
        </w:rPr>
      </w:pPr>
    </w:p>
    <w:p>
      <w:pPr>
        <w:pStyle w:val="55"/>
        <w:rPr>
          <w:rFonts w:ascii="宋体" w:cs="宋体"/>
          <w:bCs w:val="0"/>
          <w:color w:val="auto"/>
          <w:szCs w:val="21"/>
        </w:rPr>
      </w:pPr>
    </w:p>
    <w:p>
      <w:pPr>
        <w:pStyle w:val="55"/>
        <w:rPr>
          <w:rFonts w:ascii="宋体" w:cs="宋体"/>
          <w:bCs w:val="0"/>
          <w:color w:val="auto"/>
          <w:szCs w:val="21"/>
        </w:rPr>
      </w:pPr>
    </w:p>
    <w:p>
      <w:pPr>
        <w:pStyle w:val="55"/>
        <w:rPr>
          <w:rFonts w:ascii="宋体" w:cs="宋体"/>
          <w:bCs w:val="0"/>
          <w:color w:val="auto"/>
          <w:szCs w:val="21"/>
        </w:rPr>
      </w:pPr>
    </w:p>
    <w:p>
      <w:pPr>
        <w:pStyle w:val="55"/>
        <w:rPr>
          <w:rFonts w:ascii="宋体" w:cs="宋体"/>
          <w:bCs w:val="0"/>
          <w:color w:val="auto"/>
          <w:szCs w:val="21"/>
        </w:rPr>
      </w:pPr>
    </w:p>
    <w:p>
      <w:pPr>
        <w:pStyle w:val="55"/>
        <w:rPr>
          <w:rFonts w:ascii="宋体" w:cs="宋体"/>
          <w:bCs w:val="0"/>
          <w:color w:val="auto"/>
          <w:szCs w:val="21"/>
        </w:rPr>
      </w:pPr>
    </w:p>
    <w:p>
      <w:pPr>
        <w:pStyle w:val="55"/>
        <w:rPr>
          <w:rFonts w:ascii="宋体" w:cs="宋体"/>
          <w:bCs w:val="0"/>
          <w:color w:val="auto"/>
          <w:szCs w:val="21"/>
        </w:rPr>
      </w:pPr>
    </w:p>
    <w:p>
      <w:pPr>
        <w:pStyle w:val="55"/>
        <w:rPr>
          <w:rFonts w:ascii="宋体" w:cs="宋体"/>
          <w:bCs w:val="0"/>
          <w:color w:val="auto"/>
          <w:szCs w:val="21"/>
        </w:rPr>
      </w:pPr>
    </w:p>
    <w:p>
      <w:pPr>
        <w:pStyle w:val="55"/>
        <w:rPr>
          <w:rFonts w:ascii="宋体" w:cs="宋体"/>
          <w:bCs w:val="0"/>
          <w:color w:val="auto"/>
          <w:szCs w:val="21"/>
        </w:rPr>
      </w:pPr>
    </w:p>
    <w:p>
      <w:pPr>
        <w:pStyle w:val="55"/>
        <w:rPr>
          <w:rFonts w:ascii="宋体" w:cs="宋体"/>
          <w:bCs w:val="0"/>
          <w:color w:val="auto"/>
          <w:szCs w:val="21"/>
        </w:rPr>
      </w:pPr>
    </w:p>
    <w:p>
      <w:pPr>
        <w:snapToGrid w:val="0"/>
        <w:spacing w:line="180" w:lineRule="exact"/>
        <w:ind w:firstLine="420" w:firstLineChars="200"/>
        <w:rPr>
          <w:rFonts w:ascii="宋体" w:cs="宋体"/>
          <w:bCs/>
          <w:color w:val="auto"/>
          <w:szCs w:val="21"/>
        </w:rPr>
      </w:pPr>
    </w:p>
    <w:p>
      <w:pPr>
        <w:pStyle w:val="55"/>
        <w:rPr>
          <w:color w:val="auto"/>
        </w:rPr>
      </w:pPr>
    </w:p>
    <w:p>
      <w:pPr>
        <w:snapToGrid w:val="0"/>
        <w:spacing w:beforeLines="50" w:after="50"/>
        <w:rPr>
          <w:rFonts w:ascii="宋体" w:cs="宋体"/>
          <w:b/>
          <w:color w:val="auto"/>
          <w:szCs w:val="21"/>
        </w:rPr>
      </w:pPr>
      <w:r>
        <w:rPr>
          <w:rFonts w:ascii="宋体" w:hAnsi="宋体" w:cs="宋体"/>
          <w:b/>
          <w:color w:val="auto"/>
          <w:szCs w:val="21"/>
        </w:rPr>
        <w:t xml:space="preserve">4.2.1 </w:t>
      </w:r>
      <w:r>
        <w:rPr>
          <w:rFonts w:hint="eastAsia" w:ascii="宋体" w:hAnsi="宋体" w:cs="宋体"/>
          <w:b/>
          <w:color w:val="auto"/>
          <w:szCs w:val="21"/>
        </w:rPr>
        <w:t>投标函格式：</w:t>
      </w:r>
    </w:p>
    <w:p>
      <w:pPr>
        <w:snapToGrid w:val="0"/>
        <w:spacing w:beforeLines="50" w:after="50" w:line="360" w:lineRule="auto"/>
        <w:jc w:val="center"/>
        <w:rPr>
          <w:rFonts w:ascii="宋体" w:cs="宋体"/>
          <w:b/>
          <w:color w:val="auto"/>
          <w:sz w:val="28"/>
          <w:szCs w:val="28"/>
        </w:rPr>
      </w:pPr>
    </w:p>
    <w:p>
      <w:pPr>
        <w:snapToGrid w:val="0"/>
        <w:spacing w:beforeLines="50" w:after="50" w:line="360" w:lineRule="auto"/>
        <w:jc w:val="center"/>
        <w:rPr>
          <w:rFonts w:ascii="宋体" w:cs="宋体"/>
          <w:b/>
          <w:color w:val="auto"/>
          <w:sz w:val="28"/>
          <w:szCs w:val="28"/>
        </w:rPr>
      </w:pPr>
      <w:r>
        <w:rPr>
          <w:rFonts w:hint="eastAsia" w:ascii="宋体" w:hAnsi="宋体" w:cs="宋体"/>
          <w:b/>
          <w:color w:val="auto"/>
          <w:sz w:val="28"/>
          <w:szCs w:val="28"/>
        </w:rPr>
        <w:t>投</w:t>
      </w:r>
      <w:r>
        <w:rPr>
          <w:rFonts w:ascii="宋体" w:hAnsi="宋体" w:cs="宋体"/>
          <w:b/>
          <w:color w:val="auto"/>
          <w:sz w:val="28"/>
          <w:szCs w:val="28"/>
        </w:rPr>
        <w:t xml:space="preserve"> </w:t>
      </w:r>
      <w:r>
        <w:rPr>
          <w:rFonts w:hint="eastAsia" w:ascii="宋体" w:hAnsi="宋体" w:cs="宋体"/>
          <w:b/>
          <w:color w:val="auto"/>
          <w:sz w:val="28"/>
          <w:szCs w:val="28"/>
        </w:rPr>
        <w:t>标</w:t>
      </w:r>
      <w:r>
        <w:rPr>
          <w:rFonts w:ascii="宋体" w:hAnsi="宋体" w:cs="宋体"/>
          <w:b/>
          <w:color w:val="auto"/>
          <w:sz w:val="28"/>
          <w:szCs w:val="28"/>
        </w:rPr>
        <w:t xml:space="preserve"> </w:t>
      </w:r>
      <w:r>
        <w:rPr>
          <w:rFonts w:hint="eastAsia" w:ascii="宋体" w:hAnsi="宋体" w:cs="宋体"/>
          <w:b/>
          <w:color w:val="auto"/>
          <w:sz w:val="28"/>
          <w:szCs w:val="28"/>
        </w:rPr>
        <w:t>函</w:t>
      </w:r>
    </w:p>
    <w:p>
      <w:pPr>
        <w:snapToGrid w:val="0"/>
        <w:spacing w:line="370" w:lineRule="exact"/>
        <w:rPr>
          <w:rFonts w:ascii="宋体" w:cs="宋体"/>
          <w:color w:val="auto"/>
          <w:szCs w:val="21"/>
        </w:rPr>
      </w:pPr>
      <w:r>
        <w:rPr>
          <w:rFonts w:hint="eastAsia" w:ascii="宋体" w:hAnsi="宋体" w:cs="宋体"/>
          <w:color w:val="auto"/>
          <w:szCs w:val="21"/>
        </w:rPr>
        <w:t>致：</w:t>
      </w:r>
      <w:r>
        <w:rPr>
          <w:rFonts w:ascii="宋体" w:hAnsi="宋体" w:cs="宋体"/>
          <w:color w:val="auto"/>
          <w:szCs w:val="21"/>
          <w:u w:val="single"/>
        </w:rPr>
        <w:t xml:space="preserve">                  </w:t>
      </w:r>
      <w:r>
        <w:rPr>
          <w:rFonts w:hint="eastAsia" w:ascii="宋体" w:hAnsi="宋体" w:cs="宋体"/>
          <w:color w:val="auto"/>
          <w:szCs w:val="21"/>
        </w:rPr>
        <w:t>（招标采购单位名称）：</w:t>
      </w:r>
    </w:p>
    <w:p>
      <w:pPr>
        <w:snapToGrid w:val="0"/>
        <w:spacing w:line="370" w:lineRule="exact"/>
        <w:ind w:firstLine="480"/>
        <w:rPr>
          <w:rFonts w:ascii="宋体" w:cs="宋体"/>
          <w:color w:val="auto"/>
          <w:szCs w:val="21"/>
          <w:u w:val="single"/>
        </w:rPr>
      </w:pPr>
      <w:r>
        <w:rPr>
          <w:rFonts w:hint="eastAsia" w:ascii="宋体" w:hAnsi="宋体" w:cs="宋体"/>
          <w:color w:val="auto"/>
          <w:szCs w:val="21"/>
        </w:rPr>
        <w:t>根据贵方为</w:t>
      </w:r>
      <w:r>
        <w:rPr>
          <w:rFonts w:ascii="宋体" w:hAnsi="宋体" w:cs="宋体"/>
          <w:color w:val="auto"/>
          <w:szCs w:val="21"/>
          <w:u w:val="single"/>
        </w:rPr>
        <w:t xml:space="preserve">                         </w:t>
      </w:r>
      <w:r>
        <w:rPr>
          <w:rFonts w:hint="eastAsia" w:ascii="宋体" w:hAnsi="宋体" w:cs="宋体"/>
          <w:color w:val="auto"/>
          <w:szCs w:val="21"/>
        </w:rPr>
        <w:t>项目的招标公告（项目编号：</w:t>
      </w:r>
      <w:r>
        <w:rPr>
          <w:rFonts w:ascii="宋体" w:hAnsi="宋体" w:cs="宋体"/>
          <w:color w:val="auto"/>
          <w:szCs w:val="21"/>
          <w:u w:val="single"/>
        </w:rPr>
        <w:t xml:space="preserve">               </w:t>
      </w:r>
      <w:r>
        <w:rPr>
          <w:rFonts w:hint="eastAsia" w:ascii="宋体" w:hAnsi="宋体" w:cs="宋体"/>
          <w:color w:val="auto"/>
          <w:szCs w:val="21"/>
        </w:rPr>
        <w:t>），签字代表</w:t>
      </w:r>
    </w:p>
    <w:p>
      <w:pPr>
        <w:snapToGrid w:val="0"/>
        <w:spacing w:line="370" w:lineRule="exact"/>
        <w:ind w:right="-19" w:rightChars="-9"/>
        <w:rPr>
          <w:rFonts w:ascii="宋体" w:cs="宋体"/>
          <w:color w:val="auto"/>
          <w:szCs w:val="21"/>
        </w:rPr>
      </w:pPr>
      <w:r>
        <w:rPr>
          <w:rFonts w:ascii="宋体" w:hAnsi="宋体" w:cs="宋体"/>
          <w:color w:val="auto"/>
          <w:szCs w:val="21"/>
          <w:u w:val="single"/>
        </w:rPr>
        <w:t xml:space="preserve">    </w:t>
      </w:r>
      <w:r>
        <w:rPr>
          <w:rFonts w:hint="eastAsia" w:ascii="宋体" w:hAnsi="宋体" w:cs="宋体"/>
          <w:color w:val="auto"/>
          <w:szCs w:val="21"/>
          <w:u w:val="single"/>
        </w:rPr>
        <w:t>（全名）</w:t>
      </w:r>
      <w:r>
        <w:rPr>
          <w:rFonts w:ascii="宋体" w:hAnsi="宋体" w:cs="宋体"/>
          <w:color w:val="auto"/>
          <w:szCs w:val="21"/>
          <w:u w:val="single"/>
        </w:rPr>
        <w:t xml:space="preserve">     </w:t>
      </w:r>
      <w:r>
        <w:rPr>
          <w:rFonts w:hint="eastAsia" w:ascii="宋体" w:hAnsi="宋体" w:cs="宋体"/>
          <w:color w:val="auto"/>
          <w:szCs w:val="21"/>
        </w:rPr>
        <w:t>经正式授权并代表投标人</w:t>
      </w:r>
      <w:r>
        <w:rPr>
          <w:rFonts w:ascii="宋体" w:hAnsi="宋体" w:cs="宋体"/>
          <w:color w:val="auto"/>
          <w:szCs w:val="21"/>
          <w:u w:val="single"/>
        </w:rPr>
        <w:t xml:space="preserve">                    </w:t>
      </w:r>
      <w:r>
        <w:rPr>
          <w:rFonts w:hint="eastAsia" w:ascii="宋体" w:hAnsi="宋体" w:cs="宋体"/>
          <w:color w:val="auto"/>
          <w:szCs w:val="21"/>
        </w:rPr>
        <w:t>（投标人名称）提交包含资格部分、商务及技术部分、报价部分的正本一份、副本</w:t>
      </w:r>
      <w:r>
        <w:rPr>
          <w:rFonts w:ascii="宋体" w:hAnsi="宋体" w:cs="宋体"/>
          <w:color w:val="auto"/>
          <w:szCs w:val="21"/>
          <w:u w:val="single"/>
        </w:rPr>
        <w:t xml:space="preserve">      </w:t>
      </w:r>
      <w:r>
        <w:rPr>
          <w:rFonts w:hint="eastAsia" w:ascii="宋体" w:hAnsi="宋体" w:cs="宋体"/>
          <w:color w:val="auto"/>
          <w:szCs w:val="21"/>
        </w:rPr>
        <w:t>份。</w:t>
      </w:r>
    </w:p>
    <w:p>
      <w:pPr>
        <w:snapToGrid w:val="0"/>
        <w:spacing w:line="370" w:lineRule="exact"/>
        <w:ind w:firstLine="420" w:firstLineChars="200"/>
        <w:rPr>
          <w:rFonts w:ascii="宋体" w:cs="宋体"/>
          <w:color w:val="auto"/>
          <w:szCs w:val="21"/>
        </w:rPr>
      </w:pPr>
      <w:r>
        <w:rPr>
          <w:rFonts w:hint="eastAsia" w:ascii="宋体" w:hAnsi="宋体" w:cs="宋体"/>
          <w:color w:val="auto"/>
          <w:szCs w:val="21"/>
        </w:rPr>
        <w:t>据此函，签字代表宣布同意如下：</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2. </w:t>
      </w:r>
      <w:r>
        <w:rPr>
          <w:rFonts w:hint="eastAsia" w:ascii="宋体" w:hAnsi="宋体" w:cs="宋体"/>
          <w:color w:val="auto"/>
          <w:szCs w:val="21"/>
        </w:rPr>
        <w:t>投标人在投标之前已经与贵方进行了充分的沟通，完全理解并接受招标文件的各项规定和要求，对招标文件的合理性、合法性不再有异议。</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3. </w:t>
      </w:r>
      <w:r>
        <w:rPr>
          <w:rFonts w:hint="eastAsia" w:ascii="宋体" w:hAnsi="宋体" w:cs="宋体"/>
          <w:color w:val="auto"/>
          <w:szCs w:val="21"/>
        </w:rPr>
        <w:t>本投标有效期自开标之日起</w:t>
      </w:r>
      <w:r>
        <w:rPr>
          <w:rFonts w:ascii="宋体" w:hAnsi="宋体" w:cs="宋体"/>
          <w:color w:val="auto"/>
          <w:szCs w:val="21"/>
          <w:u w:val="single"/>
        </w:rPr>
        <w:t xml:space="preserve">           </w:t>
      </w:r>
      <w:r>
        <w:rPr>
          <w:rFonts w:hint="eastAsia" w:ascii="宋体" w:hAnsi="宋体" w:cs="宋体"/>
          <w:color w:val="auto"/>
          <w:szCs w:val="21"/>
        </w:rPr>
        <w:t>日。</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4. </w:t>
      </w:r>
      <w:r>
        <w:rPr>
          <w:rFonts w:hint="eastAsia" w:ascii="宋体" w:hAnsi="宋体" w:cs="宋体"/>
          <w:color w:val="auto"/>
          <w:szCs w:val="21"/>
        </w:rPr>
        <w:t>如中标，本投标文件至本项目合同履行完毕止均保持有效，本投标人将按“招标文件”及政府采购法律、法规的规定履行合同责任和义务。</w:t>
      </w:r>
    </w:p>
    <w:p>
      <w:pPr>
        <w:snapToGrid w:val="0"/>
        <w:spacing w:line="370" w:lineRule="exact"/>
        <w:ind w:firstLine="422" w:firstLineChars="200"/>
        <w:rPr>
          <w:rFonts w:ascii="宋体" w:cs="宋体"/>
          <w:b/>
          <w:color w:val="auto"/>
          <w:szCs w:val="21"/>
        </w:rPr>
      </w:pPr>
      <w:r>
        <w:rPr>
          <w:rFonts w:ascii="宋体" w:hAnsi="宋体" w:cs="宋体"/>
          <w:b/>
          <w:color w:val="auto"/>
          <w:szCs w:val="21"/>
        </w:rPr>
        <w:t xml:space="preserve">5. </w:t>
      </w:r>
      <w:r>
        <w:rPr>
          <w:rFonts w:hint="eastAsia" w:ascii="宋体" w:hAnsi="宋体" w:cs="宋体"/>
          <w:b/>
          <w:color w:val="auto"/>
          <w:szCs w:val="21"/>
        </w:rPr>
        <w:t>投标人同意本投标文件中“投标报价明细表”和中标后签订的采购合同可用于公示，其中所有内容不涉及投标人商业秘密，并承诺可向招标采购单位提供相关电子文档。</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6. </w:t>
      </w:r>
      <w:r>
        <w:rPr>
          <w:rFonts w:hint="eastAsia" w:ascii="宋体" w:hAnsi="宋体" w:cs="宋体"/>
          <w:color w:val="auto"/>
          <w:szCs w:val="21"/>
        </w:rPr>
        <w:t>投标人同意按照贵方要求提供与投标有关的一切数据或资料。</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7. </w:t>
      </w:r>
      <w:r>
        <w:rPr>
          <w:rFonts w:hint="eastAsia" w:ascii="宋体" w:hAnsi="宋体" w:cs="宋体"/>
          <w:color w:val="auto"/>
          <w:szCs w:val="21"/>
        </w:rPr>
        <w:t>投标函一式二份，一份随报价部分装订，一份随开标一览表装订。</w:t>
      </w:r>
    </w:p>
    <w:p>
      <w:pPr>
        <w:snapToGrid w:val="0"/>
        <w:spacing w:line="370" w:lineRule="exact"/>
        <w:ind w:firstLine="420" w:firstLineChars="200"/>
        <w:rPr>
          <w:rFonts w:ascii="宋体" w:cs="宋体"/>
          <w:color w:val="auto"/>
          <w:szCs w:val="21"/>
        </w:rPr>
      </w:pPr>
      <w:r>
        <w:rPr>
          <w:rFonts w:ascii="宋体" w:hAnsi="宋体" w:cs="宋体"/>
          <w:color w:val="auto"/>
          <w:szCs w:val="21"/>
        </w:rPr>
        <w:t xml:space="preserve">8. </w:t>
      </w:r>
      <w:r>
        <w:rPr>
          <w:rFonts w:hint="eastAsia" w:ascii="宋体" w:hAnsi="宋体" w:cs="宋体"/>
          <w:color w:val="auto"/>
          <w:szCs w:val="21"/>
        </w:rPr>
        <w:t>与本投标有关的一切正式往来信函请寄：</w:t>
      </w:r>
    </w:p>
    <w:p>
      <w:pPr>
        <w:snapToGrid w:val="0"/>
        <w:spacing w:line="370" w:lineRule="exact"/>
        <w:rPr>
          <w:rFonts w:ascii="宋体" w:cs="宋体"/>
          <w:color w:val="auto"/>
          <w:szCs w:val="21"/>
          <w:u w:val="single"/>
        </w:rPr>
      </w:pPr>
      <w:r>
        <w:rPr>
          <w:rFonts w:hint="eastAsia" w:ascii="宋体" w:hAnsi="宋体" w:cs="宋体"/>
          <w:color w:val="auto"/>
          <w:szCs w:val="21"/>
        </w:rPr>
        <w:t>地址：</w:t>
      </w:r>
      <w:r>
        <w:rPr>
          <w:rFonts w:ascii="宋体" w:hAnsi="宋体" w:cs="宋体"/>
          <w:color w:val="auto"/>
          <w:szCs w:val="21"/>
          <w:u w:val="single"/>
        </w:rPr>
        <w:t xml:space="preserve">                       </w:t>
      </w:r>
      <w:r>
        <w:rPr>
          <w:rFonts w:hint="eastAsia" w:ascii="宋体" w:hAnsi="宋体" w:cs="宋体"/>
          <w:color w:val="auto"/>
          <w:szCs w:val="21"/>
        </w:rPr>
        <w:t>邮编：</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电话：</w:t>
      </w:r>
      <w:r>
        <w:rPr>
          <w:rFonts w:ascii="宋体" w:hAnsi="宋体" w:cs="宋体"/>
          <w:color w:val="auto"/>
          <w:szCs w:val="21"/>
          <w:u w:val="single"/>
        </w:rPr>
        <w:t xml:space="preserve">                </w:t>
      </w:r>
    </w:p>
    <w:p>
      <w:pPr>
        <w:snapToGrid w:val="0"/>
        <w:spacing w:line="370" w:lineRule="exact"/>
        <w:rPr>
          <w:rFonts w:ascii="宋体" w:cs="宋体"/>
          <w:color w:val="auto"/>
          <w:szCs w:val="21"/>
          <w:u w:val="single"/>
        </w:rPr>
      </w:pPr>
      <w:r>
        <w:rPr>
          <w:rFonts w:hint="eastAsia" w:ascii="宋体" w:hAnsi="宋体" w:cs="宋体"/>
          <w:color w:val="auto"/>
          <w:szCs w:val="21"/>
        </w:rPr>
        <w:t>传真：</w:t>
      </w:r>
      <w:r>
        <w:rPr>
          <w:rFonts w:ascii="宋体" w:hAnsi="宋体" w:cs="宋体"/>
          <w:color w:val="auto"/>
          <w:szCs w:val="21"/>
          <w:u w:val="single"/>
        </w:rPr>
        <w:t xml:space="preserve">                       </w:t>
      </w:r>
      <w:r>
        <w:rPr>
          <w:rFonts w:hint="eastAsia" w:ascii="宋体" w:hAnsi="宋体" w:cs="宋体"/>
          <w:color w:val="auto"/>
          <w:szCs w:val="21"/>
        </w:rPr>
        <w:t>投标人代表姓名：</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职务：</w:t>
      </w:r>
      <w:r>
        <w:rPr>
          <w:rFonts w:ascii="宋体" w:hAnsi="宋体" w:cs="宋体"/>
          <w:color w:val="auto"/>
          <w:szCs w:val="21"/>
          <w:u w:val="single"/>
        </w:rPr>
        <w:t xml:space="preserve">                </w:t>
      </w:r>
    </w:p>
    <w:p>
      <w:pPr>
        <w:snapToGrid w:val="0"/>
        <w:spacing w:line="370" w:lineRule="exact"/>
        <w:rPr>
          <w:rFonts w:ascii="宋体" w:cs="宋体"/>
          <w:color w:val="auto"/>
          <w:szCs w:val="21"/>
          <w:u w:val="single"/>
        </w:rPr>
      </w:pPr>
      <w:r>
        <w:rPr>
          <w:rFonts w:hint="eastAsia" w:ascii="宋体" w:hAnsi="宋体" w:cs="宋体"/>
          <w:color w:val="auto"/>
          <w:szCs w:val="21"/>
        </w:rPr>
        <w:t>投标人名称（公章）：</w:t>
      </w:r>
      <w:r>
        <w:rPr>
          <w:rFonts w:ascii="宋体" w:hAnsi="宋体" w:cs="宋体"/>
          <w:color w:val="auto"/>
          <w:szCs w:val="21"/>
          <w:u w:val="single"/>
        </w:rPr>
        <w:t xml:space="preserve">                                          </w:t>
      </w:r>
    </w:p>
    <w:p>
      <w:pPr>
        <w:snapToGrid w:val="0"/>
        <w:spacing w:line="370" w:lineRule="exact"/>
        <w:rPr>
          <w:rFonts w:ascii="宋体" w:cs="宋体"/>
          <w:color w:val="auto"/>
          <w:szCs w:val="21"/>
        </w:rPr>
      </w:pPr>
      <w:r>
        <w:rPr>
          <w:rFonts w:hint="eastAsia" w:ascii="宋体" w:hAnsi="宋体" w:cs="宋体"/>
          <w:color w:val="auto"/>
          <w:szCs w:val="21"/>
        </w:rPr>
        <w:t>投标人企业工商营业执照号码：</w:t>
      </w:r>
      <w:r>
        <w:rPr>
          <w:rFonts w:ascii="宋体" w:hAnsi="宋体" w:cs="宋体"/>
          <w:color w:val="auto"/>
          <w:szCs w:val="21"/>
          <w:u w:val="single"/>
        </w:rPr>
        <w:t xml:space="preserve">                                  </w:t>
      </w:r>
    </w:p>
    <w:p>
      <w:pPr>
        <w:snapToGrid w:val="0"/>
        <w:spacing w:line="370" w:lineRule="exact"/>
        <w:rPr>
          <w:rFonts w:ascii="宋体" w:cs="宋体"/>
          <w:color w:val="auto"/>
          <w:szCs w:val="21"/>
          <w:u w:val="single"/>
        </w:rPr>
      </w:pPr>
      <w:r>
        <w:rPr>
          <w:rFonts w:hint="eastAsia" w:ascii="宋体" w:hAnsi="宋体" w:cs="宋体"/>
          <w:color w:val="auto"/>
          <w:szCs w:val="21"/>
        </w:rPr>
        <w:t>法定代表人姓名：</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法定代表人身份证号码：</w:t>
      </w:r>
      <w:r>
        <w:rPr>
          <w:rFonts w:ascii="宋体" w:hAnsi="宋体" w:cs="宋体"/>
          <w:color w:val="auto"/>
          <w:szCs w:val="21"/>
          <w:u w:val="single"/>
        </w:rPr>
        <w:t xml:space="preserve">                      </w:t>
      </w:r>
    </w:p>
    <w:p>
      <w:pPr>
        <w:snapToGrid w:val="0"/>
        <w:spacing w:line="370" w:lineRule="exact"/>
        <w:rPr>
          <w:rFonts w:ascii="宋体" w:cs="宋体"/>
          <w:color w:val="auto"/>
          <w:szCs w:val="21"/>
          <w:u w:val="single"/>
        </w:rPr>
      </w:pPr>
      <w:r>
        <w:rPr>
          <w:rFonts w:hint="eastAsia" w:ascii="宋体" w:hAnsi="宋体" w:cs="宋体"/>
          <w:color w:val="auto"/>
          <w:szCs w:val="21"/>
        </w:rPr>
        <w:t>授权委托代理人姓名：</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授权委托代理人身份证号码：</w:t>
      </w:r>
      <w:r>
        <w:rPr>
          <w:rFonts w:ascii="宋体" w:hAnsi="宋体" w:cs="宋体"/>
          <w:color w:val="auto"/>
          <w:szCs w:val="21"/>
          <w:u w:val="single"/>
        </w:rPr>
        <w:t xml:space="preserve">                      </w:t>
      </w:r>
    </w:p>
    <w:p>
      <w:pPr>
        <w:snapToGrid w:val="0"/>
        <w:spacing w:line="370" w:lineRule="exact"/>
        <w:rPr>
          <w:rFonts w:ascii="宋体" w:cs="宋体"/>
          <w:color w:val="auto"/>
          <w:szCs w:val="21"/>
        </w:rPr>
      </w:pPr>
      <w:r>
        <w:rPr>
          <w:rFonts w:hint="eastAsia" w:ascii="宋体" w:hAnsi="宋体" w:cs="宋体"/>
          <w:color w:val="auto"/>
          <w:szCs w:val="21"/>
        </w:rPr>
        <w:t>开户银行：</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银行帐号：</w:t>
      </w:r>
      <w:r>
        <w:rPr>
          <w:rFonts w:ascii="宋体" w:hAnsi="宋体" w:cs="宋体"/>
          <w:color w:val="auto"/>
          <w:szCs w:val="21"/>
          <w:u w:val="single"/>
        </w:rPr>
        <w:t xml:space="preserve">                    </w:t>
      </w:r>
      <w:r>
        <w:rPr>
          <w:rFonts w:ascii="宋体" w:hAnsi="宋体" w:cs="宋体"/>
          <w:color w:val="auto"/>
          <w:szCs w:val="21"/>
        </w:rPr>
        <w:t xml:space="preserve"> </w:t>
      </w:r>
    </w:p>
    <w:p>
      <w:pPr>
        <w:snapToGrid w:val="0"/>
        <w:spacing w:line="370" w:lineRule="exact"/>
        <w:rPr>
          <w:rFonts w:ascii="宋体" w:cs="宋体"/>
          <w:color w:val="auto"/>
          <w:szCs w:val="21"/>
        </w:rPr>
      </w:pPr>
      <w:r>
        <w:rPr>
          <w:rFonts w:hint="eastAsia" w:ascii="宋体" w:hAnsi="宋体" w:cs="宋体"/>
          <w:color w:val="auto"/>
          <w:szCs w:val="21"/>
        </w:rPr>
        <w:t>授权代表签字：</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（公章）</w:t>
      </w:r>
    </w:p>
    <w:p>
      <w:pPr>
        <w:snapToGrid w:val="0"/>
        <w:spacing w:line="370" w:lineRule="exact"/>
        <w:rPr>
          <w:rFonts w:ascii="宋体" w:cs="宋体"/>
          <w:b/>
          <w:color w:val="auto"/>
          <w:szCs w:val="21"/>
        </w:rPr>
      </w:pPr>
      <w:r>
        <w:rPr>
          <w:rFonts w:ascii="宋体" w:hAnsi="宋体" w:cs="宋体"/>
          <w:color w:val="auto"/>
          <w:szCs w:val="21"/>
        </w:rPr>
        <w:t xml:space="preserve">                                                        </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w:t>
      </w:r>
    </w:p>
    <w:p>
      <w:pPr>
        <w:snapToGrid w:val="0"/>
        <w:spacing w:beforeLines="50" w:after="50"/>
        <w:rPr>
          <w:rFonts w:ascii="宋体" w:cs="宋体"/>
          <w:b/>
          <w:color w:val="auto"/>
          <w:szCs w:val="21"/>
        </w:rPr>
      </w:pPr>
    </w:p>
    <w:p>
      <w:pPr>
        <w:snapToGrid w:val="0"/>
        <w:spacing w:beforeLines="50" w:after="50"/>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pStyle w:val="55"/>
        <w:rPr>
          <w:rFonts w:ascii="宋体" w:cs="宋体"/>
          <w:b/>
          <w:color w:val="auto"/>
          <w:szCs w:val="21"/>
        </w:rPr>
      </w:pPr>
    </w:p>
    <w:p>
      <w:pPr>
        <w:snapToGrid w:val="0"/>
        <w:spacing w:beforeLines="50" w:after="50"/>
        <w:rPr>
          <w:rFonts w:ascii="宋体" w:cs="宋体"/>
          <w:b/>
          <w:color w:val="auto"/>
          <w:szCs w:val="21"/>
        </w:rPr>
      </w:pPr>
      <w:r>
        <w:rPr>
          <w:rFonts w:ascii="宋体" w:hAnsi="宋体" w:cs="宋体"/>
          <w:b/>
          <w:color w:val="auto"/>
          <w:szCs w:val="21"/>
        </w:rPr>
        <w:t xml:space="preserve">4.2.2 </w:t>
      </w:r>
      <w:r>
        <w:rPr>
          <w:rFonts w:hint="eastAsia" w:ascii="宋体" w:hAnsi="宋体" w:cs="宋体"/>
          <w:b/>
          <w:color w:val="auto"/>
          <w:szCs w:val="21"/>
        </w:rPr>
        <w:t>投标报价明细表格式：</w:t>
      </w:r>
    </w:p>
    <w:p>
      <w:pPr>
        <w:pStyle w:val="55"/>
        <w:rPr>
          <w:rFonts w:ascii="宋体" w:cs="宋体"/>
          <w:b/>
          <w:color w:val="auto"/>
          <w:szCs w:val="21"/>
        </w:rPr>
      </w:pPr>
    </w:p>
    <w:p>
      <w:pPr>
        <w:pStyle w:val="23"/>
        <w:snapToGrid w:val="0"/>
        <w:spacing w:before="295" w:after="295"/>
        <w:ind w:firstLine="525" w:firstLineChars="250"/>
        <w:rPr>
          <w:rFonts w:hAnsi="宋体" w:cs="宋体"/>
          <w:color w:val="auto"/>
          <w:sz w:val="21"/>
        </w:rPr>
      </w:pPr>
      <w:r>
        <w:rPr>
          <w:rFonts w:hint="eastAsia" w:hAnsi="宋体" w:cs="宋体"/>
          <w:color w:val="auto"/>
          <w:sz w:val="21"/>
        </w:rPr>
        <w:t>项目名称：</w:t>
      </w:r>
    </w:p>
    <w:p>
      <w:pPr>
        <w:pStyle w:val="23"/>
        <w:snapToGrid w:val="0"/>
        <w:spacing w:before="295" w:after="295"/>
        <w:ind w:firstLine="525" w:firstLineChars="250"/>
        <w:rPr>
          <w:rFonts w:hAnsi="宋体" w:cs="宋体"/>
          <w:color w:val="auto"/>
          <w:sz w:val="21"/>
        </w:rPr>
      </w:pPr>
      <w:r>
        <w:rPr>
          <w:rFonts w:hint="eastAsia" w:hAnsi="宋体" w:cs="宋体"/>
          <w:color w:val="auto"/>
          <w:sz w:val="21"/>
        </w:rPr>
        <w:t>项目编号</w:t>
      </w:r>
      <w:r>
        <w:rPr>
          <w:rFonts w:hAnsi="宋体" w:cs="宋体"/>
          <w:color w:val="auto"/>
          <w:sz w:val="21"/>
        </w:rPr>
        <w:t xml:space="preserve">:                                            </w:t>
      </w:r>
      <w:r>
        <w:rPr>
          <w:rFonts w:hint="eastAsia" w:hAnsi="宋体" w:cs="宋体"/>
          <w:color w:val="auto"/>
          <w:sz w:val="21"/>
        </w:rPr>
        <w:t>金额单位：人民币（元）</w:t>
      </w:r>
    </w:p>
    <w:tbl>
      <w:tblPr>
        <w:tblStyle w:val="40"/>
        <w:tblW w:w="996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8"/>
        <w:gridCol w:w="1520"/>
        <w:gridCol w:w="1652"/>
        <w:gridCol w:w="1883"/>
        <w:gridCol w:w="1413"/>
        <w:gridCol w:w="1034"/>
        <w:gridCol w:w="15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868" w:type="dxa"/>
            <w:tcBorders>
              <w:top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采购内容</w:t>
            </w:r>
          </w:p>
        </w:tc>
        <w:tc>
          <w:tcPr>
            <w:tcW w:w="165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产地、厂家</w:t>
            </w:r>
          </w:p>
        </w:tc>
        <w:tc>
          <w:tcPr>
            <w:tcW w:w="188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详细项目内容</w:t>
            </w:r>
          </w:p>
        </w:tc>
        <w:tc>
          <w:tcPr>
            <w:tcW w:w="141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单位及数量</w:t>
            </w: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单价</w:t>
            </w:r>
          </w:p>
        </w:tc>
        <w:tc>
          <w:tcPr>
            <w:tcW w:w="1592" w:type="dxa"/>
            <w:tcBorders>
              <w:top w:val="single" w:color="auto" w:sz="4" w:space="0"/>
              <w:left w:val="single" w:color="auto" w:sz="4" w:space="0"/>
              <w:bottom w:val="single" w:color="auto" w:sz="4" w:space="0"/>
            </w:tcBorders>
            <w:vAlign w:val="center"/>
          </w:tcPr>
          <w:p>
            <w:pPr>
              <w:snapToGrid w:val="0"/>
              <w:spacing w:beforeLines="50" w:after="50"/>
              <w:jc w:val="center"/>
              <w:rPr>
                <w:rFonts w:ascii="宋体" w:cs="宋体"/>
                <w:color w:val="auto"/>
                <w:szCs w:val="21"/>
              </w:rPr>
            </w:pPr>
            <w:r>
              <w:rPr>
                <w:rFonts w:hint="eastAsia" w:ascii="宋体" w:hAnsi="宋体" w:cs="宋体"/>
                <w:color w:val="auto"/>
                <w:szCs w:val="21"/>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68" w:type="dxa"/>
            <w:tcBorders>
              <w:top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6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88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92" w:type="dxa"/>
            <w:tcBorders>
              <w:top w:val="single" w:color="auto" w:sz="4" w:space="0"/>
              <w:left w:val="single" w:color="auto" w:sz="4" w:space="0"/>
              <w:bottom w:val="single" w:color="auto" w:sz="4" w:space="0"/>
            </w:tcBorders>
            <w:vAlign w:val="center"/>
          </w:tcPr>
          <w:p>
            <w:pPr>
              <w:snapToGrid w:val="0"/>
              <w:spacing w:before="50" w:after="50"/>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68" w:type="dxa"/>
            <w:tcBorders>
              <w:top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6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88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92" w:type="dxa"/>
            <w:tcBorders>
              <w:top w:val="single" w:color="auto" w:sz="4" w:space="0"/>
              <w:left w:val="single" w:color="auto" w:sz="4" w:space="0"/>
              <w:bottom w:val="single" w:color="auto" w:sz="4" w:space="0"/>
            </w:tcBorders>
            <w:vAlign w:val="center"/>
          </w:tcPr>
          <w:p>
            <w:pPr>
              <w:snapToGrid w:val="0"/>
              <w:spacing w:before="50" w:after="50"/>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68" w:type="dxa"/>
            <w:tcBorders>
              <w:top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6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88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p>
        </w:tc>
        <w:tc>
          <w:tcPr>
            <w:tcW w:w="1592" w:type="dxa"/>
            <w:tcBorders>
              <w:top w:val="single" w:color="auto" w:sz="4" w:space="0"/>
              <w:left w:val="single" w:color="auto" w:sz="4" w:space="0"/>
              <w:bottom w:val="single" w:color="auto" w:sz="4" w:space="0"/>
            </w:tcBorders>
            <w:vAlign w:val="center"/>
          </w:tcPr>
          <w:p>
            <w:pPr>
              <w:snapToGrid w:val="0"/>
              <w:spacing w:before="50" w:after="50"/>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370" w:type="dxa"/>
            <w:gridSpan w:val="6"/>
            <w:tcBorders>
              <w:top w:val="single" w:color="auto" w:sz="4" w:space="0"/>
              <w:bottom w:val="single" w:color="auto" w:sz="4" w:space="0"/>
              <w:right w:val="single" w:color="auto" w:sz="4" w:space="0"/>
            </w:tcBorders>
            <w:vAlign w:val="center"/>
          </w:tcPr>
          <w:p>
            <w:pPr>
              <w:snapToGrid w:val="0"/>
              <w:spacing w:before="50" w:after="50"/>
              <w:rPr>
                <w:rFonts w:ascii="宋体" w:cs="宋体"/>
                <w:color w:val="auto"/>
                <w:szCs w:val="21"/>
              </w:rPr>
            </w:pPr>
            <w:r>
              <w:rPr>
                <w:rFonts w:hint="eastAsia" w:ascii="宋体" w:hAnsi="宋体" w:cs="宋体"/>
                <w:color w:val="auto"/>
                <w:szCs w:val="21"/>
              </w:rPr>
              <w:t>投</w:t>
            </w:r>
            <w:r>
              <w:rPr>
                <w:rFonts w:ascii="宋体" w:hAnsi="宋体" w:cs="宋体"/>
                <w:color w:val="auto"/>
                <w:szCs w:val="21"/>
              </w:rPr>
              <w:t xml:space="preserve"> </w:t>
            </w:r>
            <w:r>
              <w:rPr>
                <w:rFonts w:hint="eastAsia" w:ascii="宋体" w:hAnsi="宋体" w:cs="宋体"/>
                <w:color w:val="auto"/>
                <w:szCs w:val="21"/>
              </w:rPr>
              <w:t>标</w:t>
            </w:r>
            <w:r>
              <w:rPr>
                <w:rFonts w:ascii="宋体" w:hAnsi="宋体" w:cs="宋体"/>
                <w:color w:val="auto"/>
                <w:szCs w:val="21"/>
              </w:rPr>
              <w:t xml:space="preserve"> </w:t>
            </w:r>
            <w:r>
              <w:rPr>
                <w:rFonts w:hint="eastAsia" w:ascii="宋体" w:hAnsi="宋体" w:cs="宋体"/>
                <w:color w:val="auto"/>
                <w:szCs w:val="21"/>
              </w:rPr>
              <w:t>总</w:t>
            </w:r>
            <w:r>
              <w:rPr>
                <w:rFonts w:ascii="宋体" w:hAnsi="宋体" w:cs="宋体"/>
                <w:color w:val="auto"/>
                <w:szCs w:val="21"/>
              </w:rPr>
              <w:t xml:space="preserve"> </w:t>
            </w:r>
            <w:r>
              <w:rPr>
                <w:rFonts w:hint="eastAsia" w:ascii="宋体" w:hAnsi="宋体" w:cs="宋体"/>
                <w:color w:val="auto"/>
                <w:szCs w:val="21"/>
              </w:rPr>
              <w:t>价：大写：</w:t>
            </w:r>
            <w:r>
              <w:rPr>
                <w:rFonts w:ascii="宋体" w:hAnsi="宋体" w:cs="宋体"/>
                <w:color w:val="auto"/>
                <w:szCs w:val="21"/>
              </w:rPr>
              <w:t xml:space="preserve"> </w:t>
            </w:r>
            <w:r>
              <w:rPr>
                <w:rFonts w:hint="eastAsia" w:ascii="宋体" w:hAnsi="宋体" w:cs="宋体"/>
                <w:color w:val="auto"/>
                <w:szCs w:val="21"/>
              </w:rPr>
              <w:t>人民币</w:t>
            </w:r>
            <w:r>
              <w:rPr>
                <w:rFonts w:ascii="宋体" w:hAnsi="宋体" w:cs="宋体"/>
                <w:color w:val="auto"/>
                <w:szCs w:val="21"/>
              </w:rPr>
              <w:t xml:space="preserve">                              </w:t>
            </w:r>
          </w:p>
        </w:tc>
        <w:tc>
          <w:tcPr>
            <w:tcW w:w="1592" w:type="dxa"/>
            <w:tcBorders>
              <w:top w:val="single" w:color="auto" w:sz="4" w:space="0"/>
              <w:left w:val="single" w:color="auto" w:sz="4" w:space="0"/>
              <w:bottom w:val="single" w:color="auto" w:sz="4" w:space="0"/>
            </w:tcBorders>
            <w:vAlign w:val="center"/>
          </w:tcPr>
          <w:p>
            <w:pPr>
              <w:snapToGrid w:val="0"/>
              <w:spacing w:before="50" w:after="50"/>
              <w:rPr>
                <w:rFonts w:ascii="宋体" w:cs="宋体"/>
                <w:color w:val="auto"/>
                <w:szCs w:val="21"/>
              </w:rPr>
            </w:pPr>
            <w:r>
              <w:rPr>
                <w:rFonts w:hint="eastAsia" w:ascii="宋体" w:hAnsi="宋体" w:cs="宋体"/>
                <w:color w:val="auto"/>
                <w:szCs w:val="21"/>
              </w:rPr>
              <w:t>￥</w:t>
            </w:r>
            <w:r>
              <w:rPr>
                <w:rFonts w:ascii="宋体" w:hAnsi="宋体" w:cs="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9962" w:type="dxa"/>
            <w:gridSpan w:val="7"/>
            <w:tcBorders>
              <w:top w:val="single" w:color="auto" w:sz="4" w:space="0"/>
              <w:bottom w:val="single" w:color="auto" w:sz="4" w:space="0"/>
            </w:tcBorders>
            <w:vAlign w:val="center"/>
          </w:tcPr>
          <w:p>
            <w:pPr>
              <w:snapToGrid w:val="0"/>
              <w:spacing w:before="50" w:after="50"/>
              <w:rPr>
                <w:rFonts w:ascii="宋体" w:cs="宋体"/>
                <w:color w:val="auto"/>
                <w:szCs w:val="21"/>
              </w:rPr>
            </w:pPr>
            <w:r>
              <w:rPr>
                <w:rFonts w:hint="eastAsia" w:ascii="宋体" w:hAnsi="宋体" w:cs="宋体"/>
                <w:color w:val="auto"/>
                <w:szCs w:val="21"/>
              </w:rPr>
              <w:t>交付使用期：</w:t>
            </w:r>
          </w:p>
        </w:tc>
      </w:tr>
    </w:tbl>
    <w:p>
      <w:pPr>
        <w:snapToGrid w:val="0"/>
        <w:spacing w:before="50" w:after="50" w:line="300" w:lineRule="exact"/>
        <w:jc w:val="left"/>
        <w:rPr>
          <w:rFonts w:ascii="宋体" w:cs="宋体"/>
          <w:color w:val="auto"/>
          <w:szCs w:val="21"/>
        </w:rPr>
      </w:pPr>
      <w:r>
        <w:rPr>
          <w:rFonts w:hint="eastAsia" w:ascii="宋体" w:hAnsi="宋体" w:cs="宋体"/>
          <w:color w:val="auto"/>
          <w:szCs w:val="21"/>
        </w:rPr>
        <w:t>注</w:t>
      </w:r>
      <w:r>
        <w:rPr>
          <w:rFonts w:ascii="宋体" w:hAnsi="宋体" w:cs="宋体"/>
          <w:color w:val="auto"/>
          <w:szCs w:val="21"/>
        </w:rPr>
        <w:t xml:space="preserve">: </w:t>
      </w:r>
      <w:r>
        <w:rPr>
          <w:rFonts w:hint="eastAsia" w:ascii="宋体" w:hAnsi="宋体" w:cs="宋体"/>
          <w:color w:val="auto"/>
          <w:szCs w:val="21"/>
        </w:rPr>
        <w:t>以上报价包含所有报价在内，</w:t>
      </w:r>
      <w:r>
        <w:rPr>
          <w:rFonts w:hint="eastAsia" w:ascii="宋体" w:hAnsi="宋体" w:cs="宋体"/>
          <w:color w:val="auto"/>
          <w:spacing w:val="20"/>
          <w:szCs w:val="21"/>
        </w:rPr>
        <w:t>投标费用及利润等项目内容可自拟</w:t>
      </w:r>
      <w:r>
        <w:rPr>
          <w:rFonts w:hint="eastAsia" w:ascii="宋体" w:hAnsi="宋体" w:cs="宋体"/>
          <w:color w:val="auto"/>
          <w:szCs w:val="21"/>
        </w:rPr>
        <w:t>。</w:t>
      </w:r>
    </w:p>
    <w:p>
      <w:pPr>
        <w:tabs>
          <w:tab w:val="left" w:pos="1418"/>
        </w:tabs>
        <w:snapToGrid w:val="0"/>
        <w:spacing w:before="50" w:after="50"/>
        <w:ind w:left="1418" w:hanging="567"/>
        <w:jc w:val="center"/>
        <w:rPr>
          <w:rFonts w:ascii="宋体" w:cs="宋体"/>
          <w:color w:val="auto"/>
          <w:spacing w:val="20"/>
          <w:szCs w:val="21"/>
          <w:u w:val="single"/>
        </w:rPr>
      </w:pPr>
    </w:p>
    <w:p>
      <w:pPr>
        <w:snapToGrid w:val="0"/>
        <w:spacing w:before="50" w:after="50" w:line="300" w:lineRule="exact"/>
        <w:rPr>
          <w:rFonts w:ascii="宋体" w:cs="宋体"/>
          <w:color w:val="auto"/>
          <w:spacing w:val="20"/>
          <w:szCs w:val="21"/>
        </w:rPr>
      </w:pPr>
    </w:p>
    <w:p>
      <w:pPr>
        <w:snapToGrid w:val="0"/>
        <w:spacing w:before="50" w:after="50" w:line="300" w:lineRule="exact"/>
        <w:ind w:firstLine="1000" w:firstLineChars="400"/>
        <w:rPr>
          <w:rFonts w:ascii="宋体" w:cs="宋体"/>
          <w:color w:val="auto"/>
          <w:spacing w:val="20"/>
          <w:szCs w:val="21"/>
          <w:u w:val="single"/>
        </w:rPr>
      </w:pPr>
      <w:r>
        <w:rPr>
          <w:rFonts w:hint="eastAsia" w:ascii="宋体" w:hAnsi="宋体" w:cs="宋体"/>
          <w:color w:val="auto"/>
          <w:spacing w:val="20"/>
          <w:szCs w:val="21"/>
        </w:rPr>
        <w:t>授权代表签名：</w:t>
      </w:r>
      <w:r>
        <w:rPr>
          <w:rFonts w:ascii="宋体" w:hAnsi="宋体" w:cs="宋体"/>
          <w:color w:val="auto"/>
          <w:spacing w:val="20"/>
          <w:szCs w:val="21"/>
          <w:u w:val="single"/>
        </w:rPr>
        <w:t xml:space="preserve">          </w:t>
      </w:r>
    </w:p>
    <w:p>
      <w:pPr>
        <w:snapToGrid w:val="0"/>
        <w:spacing w:before="50" w:after="50" w:line="300" w:lineRule="exact"/>
        <w:rPr>
          <w:rFonts w:ascii="宋体" w:cs="宋体"/>
          <w:color w:val="auto"/>
          <w:szCs w:val="21"/>
        </w:rPr>
      </w:pPr>
    </w:p>
    <w:p>
      <w:pPr>
        <w:snapToGrid w:val="0"/>
        <w:spacing w:before="50" w:after="50" w:line="300" w:lineRule="exact"/>
        <w:ind w:firstLine="1050" w:firstLineChars="500"/>
        <w:rPr>
          <w:rFonts w:ascii="宋体" w:cs="宋体"/>
          <w:color w:val="auto"/>
          <w:szCs w:val="21"/>
        </w:rPr>
      </w:pPr>
      <w:r>
        <w:rPr>
          <w:rFonts w:hint="eastAsia" w:ascii="宋体" w:hAnsi="宋体" w:cs="宋体"/>
          <w:color w:val="auto"/>
          <w:szCs w:val="21"/>
        </w:rPr>
        <w:t>投标人盖章：</w:t>
      </w:r>
      <w:r>
        <w:rPr>
          <w:rFonts w:ascii="宋体" w:hAnsi="宋体" w:cs="宋体"/>
          <w:color w:val="auto"/>
          <w:szCs w:val="21"/>
        </w:rPr>
        <w:t xml:space="preserve">                          </w:t>
      </w:r>
    </w:p>
    <w:p>
      <w:pPr>
        <w:snapToGrid w:val="0"/>
        <w:spacing w:before="50" w:after="50" w:line="300" w:lineRule="exact"/>
        <w:rPr>
          <w:rFonts w:ascii="宋体" w:cs="宋体"/>
          <w:color w:val="auto"/>
          <w:szCs w:val="21"/>
        </w:rPr>
      </w:pPr>
    </w:p>
    <w:p>
      <w:pPr>
        <w:snapToGrid w:val="0"/>
        <w:spacing w:beforeLines="50" w:after="50"/>
        <w:ind w:firstLine="1260" w:firstLineChars="600"/>
        <w:rPr>
          <w:rFonts w:ascii="宋体" w:cs="宋体"/>
          <w:color w:val="auto"/>
          <w:szCs w:val="21"/>
        </w:rPr>
      </w:pPr>
      <w:r>
        <w:rPr>
          <w:rFonts w:hint="eastAsia" w:ascii="宋体" w:hAnsi="宋体" w:cs="宋体"/>
          <w:color w:val="auto"/>
          <w:szCs w:val="21"/>
        </w:rPr>
        <w:t>日</w:t>
      </w:r>
      <w:r>
        <w:rPr>
          <w:rFonts w:ascii="宋体" w:hAnsi="宋体" w:cs="宋体"/>
          <w:color w:val="auto"/>
          <w:szCs w:val="21"/>
        </w:rPr>
        <w:t xml:space="preserve">  </w:t>
      </w:r>
      <w:r>
        <w:rPr>
          <w:rFonts w:hint="eastAsia" w:ascii="宋体" w:hAnsi="宋体" w:cs="宋体"/>
          <w:color w:val="auto"/>
          <w:szCs w:val="21"/>
        </w:rPr>
        <w:t>期：</w:t>
      </w:r>
      <w:r>
        <w:rPr>
          <w:rFonts w:ascii="宋体" w:hAnsi="宋体" w:cs="宋体"/>
          <w:color w:val="auto"/>
          <w:szCs w:val="21"/>
        </w:rPr>
        <w:t xml:space="preserve">     </w:t>
      </w:r>
    </w:p>
    <w:p>
      <w:pPr>
        <w:snapToGrid w:val="0"/>
        <w:spacing w:beforeLines="50" w:after="50"/>
        <w:rPr>
          <w:rFonts w:ascii="宋体" w:cs="宋体"/>
          <w:color w:val="auto"/>
          <w:szCs w:val="21"/>
        </w:rPr>
      </w:pPr>
    </w:p>
    <w:p>
      <w:pPr>
        <w:snapToGrid w:val="0"/>
        <w:spacing w:beforeLines="50" w:after="50"/>
        <w:rPr>
          <w:rFonts w:ascii="宋体" w:cs="宋体"/>
          <w:color w:val="auto"/>
          <w:szCs w:val="21"/>
        </w:rPr>
      </w:pPr>
    </w:p>
    <w:p>
      <w:pPr>
        <w:pStyle w:val="55"/>
        <w:rPr>
          <w:color w:val="auto"/>
        </w:rPr>
      </w:pPr>
    </w:p>
    <w:p>
      <w:pPr>
        <w:pStyle w:val="55"/>
        <w:rPr>
          <w:color w:val="auto"/>
        </w:rPr>
      </w:pPr>
    </w:p>
    <w:p>
      <w:pPr>
        <w:snapToGrid w:val="0"/>
        <w:spacing w:beforeLines="50" w:after="50"/>
        <w:rPr>
          <w:rFonts w:ascii="宋体" w:cs="宋体"/>
          <w:b/>
          <w:color w:val="auto"/>
          <w:szCs w:val="21"/>
        </w:rPr>
      </w:pPr>
      <w:r>
        <w:rPr>
          <w:rFonts w:ascii="宋体" w:hAnsi="宋体" w:cs="宋体"/>
          <w:b/>
          <w:color w:val="auto"/>
          <w:szCs w:val="21"/>
        </w:rPr>
        <w:t xml:space="preserve">4.2.3 </w:t>
      </w:r>
      <w:r>
        <w:rPr>
          <w:rFonts w:hint="eastAsia" w:ascii="宋体" w:hAnsi="宋体" w:cs="宋体"/>
          <w:b/>
          <w:color w:val="auto"/>
          <w:szCs w:val="21"/>
        </w:rPr>
        <w:t>投标人针对报价需要说明的其他文件和说明（格式自拟）</w:t>
      </w:r>
    </w:p>
    <w:p>
      <w:pPr>
        <w:snapToGrid w:val="0"/>
        <w:spacing w:beforeLines="50" w:after="50"/>
        <w:rPr>
          <w:rFonts w:ascii="宋体" w:cs="宋体"/>
          <w:b/>
          <w:color w:val="auto"/>
          <w:szCs w:val="21"/>
        </w:rPr>
      </w:pPr>
    </w:p>
    <w:p>
      <w:pPr>
        <w:pStyle w:val="55"/>
        <w:rPr>
          <w:color w:val="auto"/>
        </w:rPr>
      </w:pPr>
    </w:p>
    <w:p>
      <w:pPr>
        <w:snapToGrid w:val="0"/>
        <w:spacing w:beforeLines="50" w:after="50"/>
        <w:rPr>
          <w:color w:val="auto"/>
        </w:rPr>
      </w:pPr>
      <w:r>
        <w:rPr>
          <w:rFonts w:ascii="宋体" w:hAnsi="宋体" w:cs="宋体"/>
          <w:b/>
          <w:color w:val="auto"/>
          <w:szCs w:val="21"/>
        </w:rPr>
        <w:t xml:space="preserve">4.2.4 </w:t>
      </w:r>
      <w:r>
        <w:rPr>
          <w:rFonts w:hint="eastAsia" w:ascii="宋体" w:hAnsi="宋体" w:cs="宋体"/>
          <w:b/>
          <w:color w:val="auto"/>
          <w:szCs w:val="21"/>
        </w:rPr>
        <w:t>小信封</w:t>
      </w:r>
      <w:r>
        <w:rPr>
          <w:rFonts w:hint="eastAsia" w:ascii="宋体" w:hAnsi="宋体" w:cs="宋体"/>
          <w:bCs/>
          <w:color w:val="auto"/>
          <w:szCs w:val="21"/>
        </w:rPr>
        <w:t>（内装开标一览表、投标函）</w:t>
      </w:r>
      <w:r>
        <w:rPr>
          <w:rFonts w:hint="eastAsia" w:ascii="宋体" w:hAnsi="宋体" w:cs="宋体"/>
          <w:b/>
          <w:color w:val="auto"/>
          <w:szCs w:val="21"/>
        </w:rPr>
        <w:t>封面格式（可以手写，密封）：</w:t>
      </w:r>
    </w:p>
    <w:p>
      <w:pPr>
        <w:pStyle w:val="23"/>
        <w:snapToGrid w:val="0"/>
        <w:spacing w:before="295" w:after="295"/>
        <w:rPr>
          <w:rFonts w:hAnsi="宋体" w:cs="宋体"/>
          <w:b/>
          <w:color w:val="auto"/>
          <w:sz w:val="28"/>
          <w:szCs w:val="28"/>
        </w:rPr>
      </w:pPr>
      <w:r>
        <w:rPr>
          <w:rFonts w:hint="eastAsia" w:hAnsi="宋体" w:cs="宋体"/>
          <w:b/>
          <w:bCs/>
          <w:color w:val="auto"/>
        </w:rPr>
        <w:t>注明投标人名称、投标人地址、投标项目名称、项目编号及“开标时启封”字样，并加盖投标人公章。</w:t>
      </w:r>
    </w:p>
    <w:p>
      <w:pPr>
        <w:rPr>
          <w:rFonts w:ascii="宋体" w:cs="宋体"/>
          <w:color w:val="auto"/>
          <w:szCs w:val="21"/>
        </w:rPr>
      </w:pPr>
    </w:p>
    <w:p>
      <w:pPr>
        <w:pStyle w:val="2"/>
        <w:rPr>
          <w:color w:val="auto"/>
        </w:rPr>
      </w:pPr>
    </w:p>
    <w:p>
      <w:pPr>
        <w:rPr>
          <w:color w:val="auto"/>
        </w:rPr>
      </w:pPr>
    </w:p>
    <w:p>
      <w:pPr>
        <w:snapToGrid w:val="0"/>
        <w:spacing w:before="50" w:after="50"/>
        <w:rPr>
          <w:rFonts w:ascii="宋体" w:cs="宋体"/>
          <w:b/>
          <w:color w:val="auto"/>
          <w:szCs w:val="21"/>
        </w:rPr>
      </w:pPr>
      <w:r>
        <w:rPr>
          <w:rFonts w:ascii="宋体" w:hAnsi="宋体" w:cs="宋体"/>
          <w:b/>
          <w:color w:val="auto"/>
          <w:szCs w:val="21"/>
        </w:rPr>
        <w:t xml:space="preserve">4.2.4 </w:t>
      </w:r>
      <w:r>
        <w:rPr>
          <w:rFonts w:hint="eastAsia" w:ascii="宋体" w:hAnsi="宋体" w:cs="宋体"/>
          <w:b/>
          <w:color w:val="auto"/>
          <w:szCs w:val="21"/>
        </w:rPr>
        <w:t>开标一览表、投标函</w:t>
      </w:r>
    </w:p>
    <w:p>
      <w:pPr>
        <w:pStyle w:val="55"/>
        <w:rPr>
          <w:rFonts w:ascii="宋体" w:cs="宋体"/>
          <w:b/>
          <w:color w:val="auto"/>
          <w:szCs w:val="21"/>
        </w:rPr>
      </w:pPr>
    </w:p>
    <w:p>
      <w:pPr>
        <w:pStyle w:val="55"/>
        <w:rPr>
          <w:rFonts w:ascii="宋体" w:cs="宋体"/>
          <w:b/>
          <w:color w:val="auto"/>
          <w:szCs w:val="21"/>
        </w:rPr>
      </w:pPr>
    </w:p>
    <w:p>
      <w:pPr>
        <w:snapToGrid w:val="0"/>
        <w:spacing w:before="50" w:after="50"/>
        <w:rPr>
          <w:rFonts w:ascii="宋体" w:cs="宋体"/>
          <w:b/>
          <w:color w:val="auto"/>
          <w:szCs w:val="21"/>
        </w:rPr>
      </w:pPr>
      <w:r>
        <w:rPr>
          <w:rFonts w:ascii="宋体" w:hAnsi="宋体" w:cs="宋体"/>
          <w:b/>
          <w:color w:val="auto"/>
          <w:szCs w:val="21"/>
        </w:rPr>
        <w:t>4.2.4-1</w:t>
      </w:r>
      <w:r>
        <w:rPr>
          <w:rFonts w:hint="eastAsia" w:ascii="宋体" w:hAnsi="宋体" w:cs="宋体"/>
          <w:b/>
          <w:color w:val="auto"/>
          <w:szCs w:val="21"/>
        </w:rPr>
        <w:t>开标一览表格式</w:t>
      </w:r>
    </w:p>
    <w:p>
      <w:pPr>
        <w:snapToGrid w:val="0"/>
        <w:spacing w:before="50" w:after="50"/>
        <w:jc w:val="center"/>
        <w:rPr>
          <w:rFonts w:ascii="宋体" w:cs="宋体"/>
          <w:b/>
          <w:color w:val="auto"/>
          <w:sz w:val="28"/>
          <w:szCs w:val="28"/>
        </w:rPr>
      </w:pPr>
    </w:p>
    <w:p>
      <w:pPr>
        <w:snapToGrid w:val="0"/>
        <w:spacing w:before="50" w:after="50"/>
        <w:jc w:val="center"/>
        <w:rPr>
          <w:rFonts w:ascii="宋体" w:cs="宋体"/>
          <w:b/>
          <w:color w:val="auto"/>
          <w:sz w:val="28"/>
          <w:szCs w:val="28"/>
        </w:rPr>
      </w:pPr>
      <w:r>
        <w:rPr>
          <w:rFonts w:hint="eastAsia" w:ascii="宋体" w:hAnsi="宋体" w:cs="宋体"/>
          <w:b/>
          <w:color w:val="auto"/>
          <w:sz w:val="28"/>
          <w:szCs w:val="28"/>
        </w:rPr>
        <w:t>开标一览表</w:t>
      </w:r>
    </w:p>
    <w:p>
      <w:pPr>
        <w:snapToGrid w:val="0"/>
        <w:spacing w:before="50" w:after="50"/>
        <w:jc w:val="center"/>
        <w:rPr>
          <w:rFonts w:ascii="宋体" w:cs="宋体"/>
          <w:b/>
          <w:color w:val="auto"/>
          <w:sz w:val="28"/>
          <w:szCs w:val="28"/>
        </w:rPr>
      </w:pPr>
    </w:p>
    <w:p>
      <w:pPr>
        <w:snapToGrid w:val="0"/>
        <w:spacing w:before="50" w:after="50" w:line="300" w:lineRule="exact"/>
        <w:rPr>
          <w:rFonts w:ascii="宋体" w:cs="宋体"/>
          <w:color w:val="auto"/>
          <w:szCs w:val="21"/>
          <w:u w:val="single"/>
        </w:rPr>
      </w:pPr>
      <w:r>
        <w:rPr>
          <w:rFonts w:hint="eastAsia" w:ascii="宋体" w:hAnsi="宋体" w:cs="宋体"/>
          <w:color w:val="auto"/>
          <w:szCs w:val="21"/>
        </w:rPr>
        <w:t>项目名称：</w:t>
      </w:r>
      <w:r>
        <w:rPr>
          <w:rFonts w:ascii="宋体" w:hAnsi="宋体" w:cs="宋体"/>
          <w:color w:val="auto"/>
          <w:szCs w:val="21"/>
        </w:rPr>
        <w:t xml:space="preserve">                         </w:t>
      </w:r>
      <w:r>
        <w:rPr>
          <w:rFonts w:hint="eastAsia" w:ascii="宋体" w:hAnsi="宋体" w:cs="宋体"/>
          <w:color w:val="auto"/>
          <w:szCs w:val="21"/>
        </w:rPr>
        <w:t>项目编号：</w:t>
      </w:r>
    </w:p>
    <w:p>
      <w:pPr>
        <w:snapToGrid w:val="0"/>
        <w:spacing w:before="50" w:after="50" w:line="300" w:lineRule="exact"/>
        <w:rPr>
          <w:rFonts w:ascii="宋体" w:cs="宋体"/>
          <w:color w:val="auto"/>
          <w:szCs w:val="21"/>
        </w:rPr>
      </w:pPr>
      <w:r>
        <w:rPr>
          <w:rFonts w:hint="eastAsia" w:ascii="宋体" w:hAnsi="宋体" w:cs="宋体"/>
          <w:color w:val="auto"/>
          <w:szCs w:val="21"/>
        </w:rPr>
        <w:t>投标人名称：</w:t>
      </w:r>
      <w:r>
        <w:rPr>
          <w:rFonts w:ascii="宋体" w:hAnsi="宋体" w:cs="宋体"/>
          <w:color w:val="auto"/>
          <w:szCs w:val="21"/>
        </w:rPr>
        <w:t xml:space="preserve">                                         </w:t>
      </w:r>
    </w:p>
    <w:p>
      <w:pPr>
        <w:snapToGrid w:val="0"/>
        <w:spacing w:before="50" w:after="50"/>
        <w:rPr>
          <w:rFonts w:ascii="宋体" w:cs="宋体"/>
          <w:color w:val="auto"/>
          <w:szCs w:val="21"/>
        </w:rPr>
      </w:pPr>
    </w:p>
    <w:tbl>
      <w:tblPr>
        <w:tblStyle w:val="40"/>
        <w:tblW w:w="87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790" w:type="dxa"/>
            <w:tcBorders>
              <w:top w:val="single" w:color="auto" w:sz="4" w:space="0"/>
              <w:bottom w:val="single" w:color="auto" w:sz="4" w:space="0"/>
            </w:tcBorders>
            <w:vAlign w:val="center"/>
          </w:tcPr>
          <w:p>
            <w:pPr>
              <w:snapToGrid w:val="0"/>
              <w:spacing w:before="50" w:after="50"/>
              <w:jc w:val="center"/>
              <w:rPr>
                <w:rFonts w:ascii="宋体" w:cs="宋体"/>
                <w:b/>
                <w:color w:val="auto"/>
                <w:szCs w:val="21"/>
              </w:rPr>
            </w:pPr>
            <w:r>
              <w:rPr>
                <w:rFonts w:hint="eastAsia" w:ascii="宋体" w:hAnsi="宋体" w:cs="宋体"/>
                <w:b/>
                <w:color w:val="auto"/>
                <w:szCs w:val="21"/>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4" w:hRule="atLeast"/>
          <w:jc w:val="center"/>
        </w:trPr>
        <w:tc>
          <w:tcPr>
            <w:tcW w:w="8790" w:type="dxa"/>
            <w:tcBorders>
              <w:top w:val="single" w:color="auto" w:sz="4" w:space="0"/>
            </w:tcBorders>
            <w:vAlign w:val="center"/>
          </w:tcPr>
          <w:p>
            <w:pPr>
              <w:snapToGrid w:val="0"/>
              <w:spacing w:before="50" w:after="50"/>
              <w:rPr>
                <w:rFonts w:ascii="宋体" w:cs="宋体"/>
                <w:color w:val="auto"/>
                <w:szCs w:val="21"/>
              </w:rPr>
            </w:pPr>
            <w:r>
              <w:rPr>
                <w:rFonts w:hint="eastAsia" w:ascii="宋体" w:hAnsi="宋体" w:cs="宋体"/>
                <w:color w:val="auto"/>
                <w:szCs w:val="21"/>
              </w:rPr>
              <w:t>大写：人民币</w:t>
            </w:r>
            <w:r>
              <w:rPr>
                <w:rFonts w:ascii="宋体" w:hAnsi="宋体" w:cs="宋体"/>
                <w:color w:val="auto"/>
                <w:szCs w:val="21"/>
              </w:rPr>
              <w:t xml:space="preserve">                                </w:t>
            </w:r>
            <w:r>
              <w:rPr>
                <w:rFonts w:hint="eastAsia" w:ascii="宋体" w:hAnsi="宋体" w:cs="宋体"/>
                <w:color w:val="auto"/>
                <w:szCs w:val="21"/>
              </w:rPr>
              <w:t>小写：</w:t>
            </w:r>
            <w:r>
              <w:rPr>
                <w:rFonts w:ascii="宋体" w:hAnsi="宋体" w:cs="宋体"/>
                <w:color w:val="auto"/>
                <w:szCs w:val="21"/>
              </w:rPr>
              <w:t xml:space="preserve"> </w:t>
            </w:r>
            <w:r>
              <w:rPr>
                <w:rFonts w:hint="eastAsia" w:ascii="宋体" w:hAnsi="宋体" w:cs="宋体"/>
                <w:color w:val="auto"/>
                <w:szCs w:val="21"/>
              </w:rPr>
              <w:t>￥</w:t>
            </w:r>
            <w:r>
              <w:rPr>
                <w:rFonts w:ascii="宋体" w:hAnsi="宋体" w:cs="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6" w:hRule="atLeast"/>
          <w:jc w:val="center"/>
        </w:trPr>
        <w:tc>
          <w:tcPr>
            <w:tcW w:w="8790" w:type="dxa"/>
            <w:tcBorders>
              <w:top w:val="single" w:color="auto" w:sz="4" w:space="0"/>
              <w:bottom w:val="single" w:color="auto" w:sz="4" w:space="0"/>
            </w:tcBorders>
            <w:vAlign w:val="center"/>
          </w:tcPr>
          <w:p>
            <w:pPr>
              <w:snapToGrid w:val="0"/>
              <w:spacing w:before="50" w:after="50"/>
              <w:rPr>
                <w:rFonts w:ascii="宋体" w:cs="宋体"/>
                <w:color w:val="auto"/>
                <w:szCs w:val="21"/>
              </w:rPr>
            </w:pPr>
            <w:r>
              <w:rPr>
                <w:rFonts w:hint="eastAsia" w:ascii="宋体" w:hAnsi="宋体" w:cs="宋体"/>
                <w:color w:val="auto"/>
                <w:szCs w:val="21"/>
              </w:rPr>
              <w:t>交付使用期：</w:t>
            </w:r>
          </w:p>
        </w:tc>
      </w:tr>
    </w:tbl>
    <w:p>
      <w:pPr>
        <w:snapToGrid w:val="0"/>
        <w:spacing w:before="50" w:after="50" w:line="300" w:lineRule="exact"/>
        <w:jc w:val="left"/>
        <w:rPr>
          <w:rFonts w:ascii="宋体" w:cs="宋体"/>
          <w:color w:val="auto"/>
          <w:szCs w:val="21"/>
        </w:rPr>
      </w:pPr>
      <w:r>
        <w:rPr>
          <w:rFonts w:hint="eastAsia" w:ascii="宋体" w:hAnsi="宋体" w:cs="宋体"/>
          <w:color w:val="auto"/>
          <w:szCs w:val="21"/>
        </w:rPr>
        <w:t>注</w:t>
      </w:r>
      <w:r>
        <w:rPr>
          <w:rFonts w:ascii="宋体" w:hAnsi="宋体" w:cs="宋体"/>
          <w:color w:val="auto"/>
          <w:szCs w:val="21"/>
        </w:rPr>
        <w:t>: 1</w:t>
      </w:r>
      <w:r>
        <w:rPr>
          <w:rFonts w:hint="eastAsia" w:ascii="宋体" w:hAnsi="宋体" w:cs="宋体"/>
          <w:color w:val="auto"/>
          <w:szCs w:val="21"/>
        </w:rPr>
        <w:t>、报价一经涂改，应在涂改处加盖单位公章或者由法定代表人或授权委托人签字或盖章，否则其投标作无效标处理。</w:t>
      </w:r>
    </w:p>
    <w:p>
      <w:pPr>
        <w:snapToGrid w:val="0"/>
        <w:spacing w:before="50" w:after="50" w:line="300" w:lineRule="exact"/>
        <w:ind w:firstLine="420" w:firstLineChars="200"/>
        <w:jc w:val="left"/>
        <w:rPr>
          <w:rFonts w:ascii="宋体" w:cs="宋体"/>
          <w:color w:val="auto"/>
          <w:szCs w:val="21"/>
        </w:rPr>
      </w:pPr>
      <w:r>
        <w:rPr>
          <w:rFonts w:ascii="宋体" w:hAnsi="宋体" w:cs="宋体"/>
          <w:color w:val="auto"/>
          <w:szCs w:val="21"/>
        </w:rPr>
        <w:t>2</w:t>
      </w:r>
      <w:r>
        <w:rPr>
          <w:rFonts w:hint="eastAsia" w:ascii="宋体" w:hAnsi="宋体" w:cs="宋体"/>
          <w:color w:val="auto"/>
          <w:szCs w:val="21"/>
        </w:rPr>
        <w:t>、投标费用包括项目实施所需的人工费、服务费、验收调试费、购买及制作标书费、税费及其他一切费用。</w:t>
      </w:r>
    </w:p>
    <w:p>
      <w:pPr>
        <w:snapToGrid w:val="0"/>
        <w:spacing w:before="50" w:after="50" w:line="300" w:lineRule="exact"/>
        <w:ind w:firstLine="420" w:firstLineChars="200"/>
        <w:jc w:val="left"/>
        <w:rPr>
          <w:rFonts w:ascii="宋体" w:cs="宋体"/>
          <w:color w:val="auto"/>
          <w:szCs w:val="21"/>
        </w:rPr>
      </w:pPr>
      <w:r>
        <w:rPr>
          <w:rFonts w:ascii="宋体" w:hAnsi="宋体" w:cs="宋体"/>
          <w:color w:val="auto"/>
          <w:szCs w:val="21"/>
        </w:rPr>
        <w:t>3</w:t>
      </w:r>
      <w:r>
        <w:rPr>
          <w:rFonts w:hint="eastAsia" w:ascii="宋体" w:hAnsi="宋体" w:cs="宋体"/>
          <w:color w:val="auto"/>
          <w:szCs w:val="21"/>
        </w:rPr>
        <w:t>、以上报价应与“投标报价明细表”中的“投标总价”相一致。</w:t>
      </w:r>
    </w:p>
    <w:p>
      <w:pPr>
        <w:snapToGrid w:val="0"/>
        <w:spacing w:before="50" w:after="50" w:line="300" w:lineRule="exact"/>
        <w:ind w:firstLine="422" w:firstLineChars="200"/>
        <w:rPr>
          <w:rFonts w:ascii="宋体" w:cs="宋体"/>
          <w:b/>
          <w:color w:val="auto"/>
          <w:szCs w:val="21"/>
        </w:rPr>
      </w:pPr>
      <w:r>
        <w:rPr>
          <w:rFonts w:ascii="宋体" w:hAnsi="宋体" w:cs="宋体"/>
          <w:b/>
          <w:color w:val="auto"/>
          <w:szCs w:val="21"/>
        </w:rPr>
        <w:t>4</w:t>
      </w:r>
      <w:r>
        <w:rPr>
          <w:rFonts w:hint="eastAsia" w:ascii="宋体" w:hAnsi="宋体" w:cs="宋体"/>
          <w:b/>
          <w:color w:val="auto"/>
          <w:szCs w:val="21"/>
        </w:rPr>
        <w:t>、此表必须与“投标函”一起单独用一个小信封密封及单独递交。</w:t>
      </w:r>
    </w:p>
    <w:p>
      <w:pPr>
        <w:snapToGrid w:val="0"/>
        <w:spacing w:before="50" w:after="50" w:line="300" w:lineRule="exact"/>
        <w:ind w:firstLine="422" w:firstLineChars="200"/>
        <w:rPr>
          <w:rFonts w:ascii="宋体" w:cs="宋体"/>
          <w:b/>
          <w:color w:val="auto"/>
          <w:szCs w:val="21"/>
        </w:rPr>
      </w:pPr>
      <w:r>
        <w:rPr>
          <w:rFonts w:ascii="宋体" w:hAnsi="宋体" w:cs="宋体"/>
          <w:b/>
          <w:color w:val="auto"/>
          <w:szCs w:val="21"/>
        </w:rPr>
        <w:t>5</w:t>
      </w:r>
      <w:r>
        <w:rPr>
          <w:rFonts w:hint="eastAsia" w:ascii="宋体" w:hAnsi="宋体" w:cs="宋体"/>
          <w:b/>
          <w:color w:val="auto"/>
          <w:szCs w:val="21"/>
        </w:rPr>
        <w:t>、信封封面请注明项目名称、项目编号、投标人名称及“开标一览表、投标函”字样。</w:t>
      </w:r>
    </w:p>
    <w:p>
      <w:pPr>
        <w:snapToGrid w:val="0"/>
        <w:spacing w:before="50" w:after="50" w:line="300" w:lineRule="exact"/>
        <w:ind w:right="-817" w:rightChars="-389"/>
        <w:rPr>
          <w:rFonts w:ascii="宋体" w:cs="宋体"/>
          <w:color w:val="auto"/>
          <w:szCs w:val="21"/>
        </w:rPr>
      </w:pPr>
    </w:p>
    <w:p>
      <w:pPr>
        <w:snapToGrid w:val="0"/>
        <w:spacing w:before="50" w:after="50" w:line="300" w:lineRule="exact"/>
        <w:ind w:left="-2" w:leftChars="-1" w:right="-817" w:rightChars="-389"/>
        <w:rPr>
          <w:rFonts w:ascii="宋体" w:cs="宋体"/>
          <w:color w:val="auto"/>
          <w:szCs w:val="21"/>
        </w:rPr>
      </w:pPr>
      <w:r>
        <w:rPr>
          <w:rFonts w:hint="eastAsia" w:ascii="宋体" w:hAnsi="宋体" w:cs="宋体"/>
          <w:color w:val="auto"/>
          <w:szCs w:val="21"/>
        </w:rPr>
        <w:t>法定代表人或授权代表（签字）：</w:t>
      </w:r>
    </w:p>
    <w:p>
      <w:pPr>
        <w:snapToGrid w:val="0"/>
        <w:spacing w:before="50" w:after="50" w:line="300" w:lineRule="exact"/>
        <w:ind w:left="-2" w:leftChars="-1" w:right="-817" w:rightChars="-389"/>
        <w:rPr>
          <w:rFonts w:ascii="宋体" w:cs="宋体"/>
          <w:color w:val="auto"/>
          <w:szCs w:val="21"/>
        </w:rPr>
      </w:pPr>
      <w:r>
        <w:rPr>
          <w:rFonts w:ascii="宋体" w:hAnsi="宋体" w:cs="宋体"/>
          <w:color w:val="auto"/>
          <w:szCs w:val="21"/>
        </w:rPr>
        <w:t xml:space="preserve"> </w:t>
      </w:r>
    </w:p>
    <w:p>
      <w:pPr>
        <w:snapToGrid w:val="0"/>
        <w:spacing w:before="50" w:after="50" w:line="300" w:lineRule="exact"/>
        <w:ind w:left="-6" w:leftChars="-15" w:right="-817" w:rightChars="-389" w:hanging="25" w:hangingChars="12"/>
        <w:rPr>
          <w:rFonts w:ascii="宋体" w:cs="宋体"/>
          <w:color w:val="auto"/>
          <w:szCs w:val="21"/>
        </w:rPr>
      </w:pPr>
      <w:r>
        <w:rPr>
          <w:rFonts w:hint="eastAsia" w:ascii="宋体" w:hAnsi="宋体" w:cs="宋体"/>
          <w:color w:val="auto"/>
          <w:szCs w:val="21"/>
        </w:rPr>
        <w:t>投标人名称（盖章）：</w:t>
      </w:r>
      <w:r>
        <w:rPr>
          <w:rFonts w:ascii="宋体" w:hAnsi="宋体" w:cs="宋体"/>
          <w:color w:val="auto"/>
          <w:szCs w:val="21"/>
        </w:rPr>
        <w:t xml:space="preserve">                                </w:t>
      </w:r>
    </w:p>
    <w:p>
      <w:pPr>
        <w:snapToGrid w:val="0"/>
        <w:spacing w:before="50" w:after="50" w:line="300" w:lineRule="exact"/>
        <w:ind w:left="-6" w:leftChars="-15" w:right="-817" w:rightChars="-389" w:hanging="25" w:hangingChars="12"/>
        <w:rPr>
          <w:rFonts w:ascii="宋体" w:cs="宋体"/>
          <w:color w:val="auto"/>
          <w:szCs w:val="21"/>
        </w:rPr>
      </w:pPr>
    </w:p>
    <w:p>
      <w:pPr>
        <w:snapToGrid w:val="0"/>
        <w:spacing w:before="50" w:after="50" w:line="300" w:lineRule="exact"/>
        <w:ind w:right="-817" w:rightChars="-389"/>
        <w:rPr>
          <w:rFonts w:ascii="宋体" w:cs="宋体"/>
          <w:b/>
          <w:color w:val="auto"/>
          <w:sz w:val="28"/>
          <w:szCs w:val="28"/>
        </w:rPr>
      </w:pPr>
      <w:r>
        <w:rPr>
          <w:rFonts w:ascii="宋体" w:hAnsi="宋体" w:cs="宋体"/>
          <w:color w:val="auto"/>
          <w:szCs w:val="21"/>
        </w:rPr>
        <w:t xml:space="preserve"> </w:t>
      </w:r>
      <w:r>
        <w:rPr>
          <w:rFonts w:hint="eastAsia" w:ascii="宋体" w:hAnsi="宋体" w:cs="宋体"/>
          <w:color w:val="auto"/>
          <w:szCs w:val="21"/>
        </w:rPr>
        <w:t>日期：</w:t>
      </w: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snapToGrid w:val="0"/>
        <w:spacing w:before="50" w:after="50"/>
        <w:rPr>
          <w:rFonts w:ascii="宋体" w:cs="宋体"/>
          <w:b/>
          <w:color w:val="auto"/>
          <w:szCs w:val="21"/>
        </w:rPr>
      </w:pPr>
      <w:r>
        <w:rPr>
          <w:rFonts w:ascii="宋体" w:hAnsi="宋体" w:cs="宋体"/>
          <w:b/>
          <w:color w:val="auto"/>
          <w:szCs w:val="21"/>
        </w:rPr>
        <w:t xml:space="preserve">4.2.4-2 </w:t>
      </w:r>
      <w:r>
        <w:rPr>
          <w:rFonts w:hint="eastAsia" w:ascii="宋体" w:hAnsi="宋体" w:cs="宋体"/>
          <w:b/>
          <w:color w:val="auto"/>
          <w:szCs w:val="21"/>
        </w:rPr>
        <w:t>投标函（格式略，格式与第</w:t>
      </w:r>
      <w:r>
        <w:rPr>
          <w:rFonts w:ascii="宋体" w:hAnsi="宋体" w:cs="宋体"/>
          <w:b/>
          <w:color w:val="auto"/>
          <w:szCs w:val="21"/>
        </w:rPr>
        <w:t>4.2</w:t>
      </w:r>
      <w:r>
        <w:rPr>
          <w:rFonts w:hint="eastAsia" w:ascii="宋体" w:hAnsi="宋体" w:cs="宋体"/>
          <w:b/>
          <w:color w:val="auto"/>
          <w:szCs w:val="21"/>
        </w:rPr>
        <w:t>条相同）</w:t>
      </w:r>
    </w:p>
    <w:p>
      <w:pPr>
        <w:snapToGrid w:val="0"/>
        <w:spacing w:before="50"/>
        <w:jc w:val="left"/>
        <w:rPr>
          <w:rFonts w:ascii="宋体" w:cs="宋体"/>
          <w:color w:val="auto"/>
          <w:szCs w:val="21"/>
        </w:rPr>
      </w:pPr>
    </w:p>
    <w:p>
      <w:pPr>
        <w:pStyle w:val="55"/>
        <w:rPr>
          <w:color w:val="auto"/>
        </w:rPr>
      </w:pPr>
    </w:p>
    <w:p>
      <w:pPr>
        <w:pStyle w:val="55"/>
        <w:rPr>
          <w:color w:val="auto"/>
          <w:sz w:val="32"/>
          <w:szCs w:val="32"/>
        </w:rPr>
      </w:pPr>
    </w:p>
    <w:p>
      <w:pPr>
        <w:autoSpaceDE w:val="0"/>
        <w:autoSpaceDN w:val="0"/>
        <w:adjustRightInd w:val="0"/>
        <w:spacing w:line="600" w:lineRule="exact"/>
        <w:rPr>
          <w:rFonts w:hAnsi="宋体"/>
          <w:color w:val="auto"/>
        </w:rPr>
      </w:pPr>
    </w:p>
    <w:sectPr>
      <w:footerReference r:id="rId10" w:type="first"/>
      <w:footerReference r:id="rId9"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35FB48-7C63-45F0-93C2-811B0D51654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2" w:fontKey="{C4F1D83A-E391-4B30-906C-178051D7B3A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_x000B__x000C_">
    <w:altName w:val="Times New Roman"/>
    <w:panose1 w:val="00000000000000000000"/>
    <w:charset w:val="00"/>
    <w:family w:val="roman"/>
    <w:pitch w:val="default"/>
    <w:sig w:usb0="00000000" w:usb1="00000000" w:usb2="00000000" w:usb3="00000000" w:csb0="00000001" w:csb1="00000000"/>
  </w:font>
  <w:font w:name="Microsoft JhengHei">
    <w:panose1 w:val="020B0604030504040204"/>
    <w:charset w:val="88"/>
    <w:family w:val="swiss"/>
    <w:pitch w:val="default"/>
    <w:sig w:usb0="000002A7" w:usb1="28CF4400" w:usb2="00000016" w:usb3="00000000" w:csb0="00100009" w:csb1="00000000"/>
  </w:font>
  <w:font w:name="Microsoft YaHei UI Light">
    <w:panose1 w:val="020B0502040204020203"/>
    <w:charset w:val="86"/>
    <w:family w:val="swiss"/>
    <w:pitch w:val="default"/>
    <w:sig w:usb0="80000287" w:usb1="2ACF0010" w:usb2="00000016" w:usb3="00000000" w:csb0="0004001F" w:csb1="00000000"/>
  </w:font>
  <w:font w:name="华文中宋">
    <w:panose1 w:val="02010600040101010101"/>
    <w:charset w:val="86"/>
    <w:family w:val="auto"/>
    <w:pitch w:val="default"/>
    <w:sig w:usb0="00000287" w:usb1="080F0000" w:usb2="00000000" w:usb3="00000000" w:csb0="0004009F" w:csb1="DFD70000"/>
    <w:embedRegular r:id="rId3" w:fontKey="{D6B520A3-E2E5-4652-BF8A-79606FDB55A8}"/>
  </w:font>
  <w:font w:name="新宋体">
    <w:panose1 w:val="02010609030101010101"/>
    <w:charset w:val="86"/>
    <w:family w:val="modern"/>
    <w:pitch w:val="default"/>
    <w:sig w:usb0="00000283" w:usb1="288F0000" w:usb2="00000006" w:usb3="00000000" w:csb0="00040001" w:csb1="00000000"/>
    <w:embedRegular r:id="rId4" w:fontKey="{C88D1EC9-9306-45EE-BFEB-379CB55F3AD1}"/>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p>
  <w:p>
    <w:pPr>
      <w:pStyle w:val="27"/>
      <w:ind w:right="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rPr>
        <w:rStyle w:val="44"/>
      </w:rPr>
      <w:fldChar w:fldCharType="begin"/>
    </w:r>
    <w:r>
      <w:rPr>
        <w:rStyle w:val="44"/>
      </w:rPr>
      <w:instrText xml:space="preserve">PAGE  </w:instrText>
    </w:r>
    <w:r>
      <w:rPr>
        <w:rStyle w:val="44"/>
      </w:rP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44"/>
      </w:rPr>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0lCCcgBAACZ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pt6A0ljlsc+OX7t8uPX5efX8ky&#10;y9MHqDHrMWBeGu79gEsz+wGdmfWgos1f5EMwjuKer+LKIRGRH61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NJQgnIAQAAmQMAAA4AAAAAAAAAAQAgAAAAHgEAAGRycy9lMm9Eb2Mu&#10;eG1sUEsFBgAAAAAGAAYAWQEAAFgFAAAAAA==&#10;">
          <v:path/>
          <v:fill on="f" focussize="0,0"/>
          <v:stroke on="f" joinstyle="miter"/>
          <v:imagedata o:title=""/>
          <o:lock v:ext="edit"/>
          <v:textbox inset="0mm,0mm,0mm,0mm" style="mso-fit-shape-to-text:t;">
            <w:txbxContent>
              <w:p>
                <w:pPr>
                  <w:pStyle w:val="27"/>
                </w:pPr>
                <w:r>
                  <w:fldChar w:fldCharType="begin"/>
                </w:r>
                <w:r>
                  <w:instrText xml:space="preserve"> PAGE  \* MERGEFORMAT </w:instrText>
                </w:r>
                <w:r>
                  <w:fldChar w:fldCharType="separate"/>
                </w:r>
                <w:r>
                  <w:t>35</w:t>
                </w:r>
                <w:r>
                  <w:fldChar w:fldCharType="end"/>
                </w:r>
              </w:p>
            </w:txbxContent>
          </v:textbox>
        </v:shape>
      </w:pict>
    </w:r>
  </w:p>
  <w:p>
    <w:pPr>
      <w:pStyle w:val="27"/>
      <w:ind w:right="360"/>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VTCMgBAACZ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99S4rjFgZ9//jj/ejw/fCfL&#10;LE8foMasu4B5aXjvB1ya2Q/ozKwHFW3+Ih+CcRT3dBFXDomI/Gi1XK0qDAmMzRfEZ0/PQ4T0QXpL&#10;stHQiNMrovLjJ0hj6pySqzl/q40pEzTuLwdiZg/LvY89ZisNu2EitPPtCfn0OPiGOtxzSsxHh7rm&#10;HZmNOBu72TiEqPddWaJcD8K7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GlUwjIAQAAmQMAAA4AAAAAAAAAAQAgAAAAHgEAAGRycy9lMm9Eb2Mu&#10;eG1sUEsFBgAAAAAGAAYAWQEAAFgFAAAAAA==&#10;">
          <v:path/>
          <v:fill on="f" focussize="0,0"/>
          <v:stroke on="f" joinstyle="miter"/>
          <v:imagedata o:title=""/>
          <o:lock v:ext="edit"/>
          <v:textbox inset="0mm,0mm,0mm,0mm" style="mso-fit-shape-to-text:t;">
            <w:txbxContent>
              <w:p>
                <w:pPr>
                  <w:pStyle w:val="27"/>
                </w:pPr>
                <w:r>
                  <w:fldChar w:fldCharType="begin"/>
                </w:r>
                <w:r>
                  <w:instrText xml:space="preserve"> PAGE  \* MERGEFORMAT </w:instrText>
                </w:r>
                <w:r>
                  <w:fldChar w:fldCharType="separate"/>
                </w:r>
                <w:r>
                  <w:t>35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pPr>
    <w:r>
      <w:rPr>
        <w:rFonts w:hint="eastAsia"/>
      </w:rPr>
      <w:t>防城港市医疗废物处置中心设备升级改造生产线设备采购（FCZC2020-G1-10007-KLZB）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3801D2"/>
    <w:multiLevelType w:val="singleLevel"/>
    <w:tmpl w:val="9F3801D2"/>
    <w:lvl w:ilvl="0" w:tentative="0">
      <w:start w:val="6"/>
      <w:numFmt w:val="decimal"/>
      <w:lvlText w:val="%1."/>
      <w:lvlJc w:val="left"/>
      <w:pPr>
        <w:tabs>
          <w:tab w:val="left" w:pos="312"/>
        </w:tabs>
      </w:pPr>
      <w:rPr>
        <w:rFonts w:cs="Times New Roman"/>
      </w:rPr>
    </w:lvl>
  </w:abstractNum>
  <w:abstractNum w:abstractNumId="1">
    <w:nsid w:val="B0A36B1F"/>
    <w:multiLevelType w:val="singleLevel"/>
    <w:tmpl w:val="B0A36B1F"/>
    <w:lvl w:ilvl="0" w:tentative="0">
      <w:start w:val="1"/>
      <w:numFmt w:val="decimal"/>
      <w:suff w:val="nothing"/>
      <w:lvlText w:val="%1）"/>
      <w:lvlJc w:val="left"/>
      <w:rPr>
        <w:rFonts w:cs="Times New Roman"/>
      </w:rPr>
    </w:lvl>
  </w:abstractNum>
  <w:abstractNum w:abstractNumId="2">
    <w:nsid w:val="BC9B02A2"/>
    <w:multiLevelType w:val="singleLevel"/>
    <w:tmpl w:val="BC9B02A2"/>
    <w:lvl w:ilvl="0" w:tentative="0">
      <w:start w:val="6"/>
      <w:numFmt w:val="chineseCounting"/>
      <w:suff w:val="nothing"/>
      <w:lvlText w:val="（%1）"/>
      <w:lvlJc w:val="left"/>
      <w:rPr>
        <w:rFonts w:hint="eastAsia" w:cs="Times New Roman"/>
      </w:rPr>
    </w:lvl>
  </w:abstractNum>
  <w:abstractNum w:abstractNumId="3">
    <w:nsid w:val="ED3E9F5C"/>
    <w:multiLevelType w:val="singleLevel"/>
    <w:tmpl w:val="ED3E9F5C"/>
    <w:lvl w:ilvl="0" w:tentative="0">
      <w:start w:val="1"/>
      <w:numFmt w:val="decimal"/>
      <w:lvlText w:val="(%1)"/>
      <w:lvlJc w:val="left"/>
      <w:pPr>
        <w:ind w:left="425" w:hanging="425"/>
      </w:pPr>
      <w:rPr>
        <w:rFonts w:hint="default"/>
      </w:rPr>
    </w:lvl>
  </w:abstractNum>
  <w:abstractNum w:abstractNumId="4">
    <w:nsid w:val="FFFFFF7E"/>
    <w:multiLevelType w:val="singleLevel"/>
    <w:tmpl w:val="FFFFFF7E"/>
    <w:lvl w:ilvl="0" w:tentative="0">
      <w:start w:val="1"/>
      <w:numFmt w:val="decimal"/>
      <w:pStyle w:val="21"/>
      <w:lvlText w:val="%1."/>
      <w:lvlJc w:val="left"/>
      <w:pPr>
        <w:tabs>
          <w:tab w:val="left" w:pos="1200"/>
        </w:tabs>
        <w:ind w:left="1200" w:hanging="360"/>
      </w:pPr>
      <w:rPr>
        <w:rFonts w:cs="Times New Roman"/>
      </w:rPr>
    </w:lvl>
  </w:abstractNum>
  <w:abstractNum w:abstractNumId="5">
    <w:nsid w:val="32714F5E"/>
    <w:multiLevelType w:val="multilevel"/>
    <w:tmpl w:val="32714F5E"/>
    <w:lvl w:ilvl="0" w:tentative="0">
      <w:start w:val="1"/>
      <w:numFmt w:val="chineseCountingThousand"/>
      <w:suff w:val="nothing"/>
      <w:lvlText w:val="第%1章"/>
      <w:lvlJc w:val="left"/>
      <w:rPr>
        <w:rFonts w:hint="eastAsia" w:ascii="仿宋_GB2312" w:eastAsia="仿宋_GB2312" w:cs="Times New Roman"/>
        <w:sz w:val="44"/>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pStyle w:val="6"/>
      <w:suff w:val="nothing"/>
      <w:lvlText w:val=""/>
      <w:lvlJc w:val="left"/>
      <w:rPr>
        <w:rFonts w:hint="eastAsia" w:cs="Times New Roman"/>
      </w:rPr>
    </w:lvl>
    <w:lvl w:ilvl="5" w:tentative="0">
      <w:start w:val="1"/>
      <w:numFmt w:val="none"/>
      <w:pStyle w:val="8"/>
      <w:suff w:val="nothing"/>
      <w:lvlText w:val=""/>
      <w:lvlJc w:val="left"/>
      <w:rPr>
        <w:rFonts w:hint="eastAsia" w:cs="Times New Roman"/>
      </w:rPr>
    </w:lvl>
    <w:lvl w:ilvl="6" w:tentative="0">
      <w:start w:val="1"/>
      <w:numFmt w:val="none"/>
      <w:pStyle w:val="9"/>
      <w:suff w:val="nothing"/>
      <w:lvlText w:val=""/>
      <w:lvlJc w:val="left"/>
      <w:rPr>
        <w:rFonts w:hint="eastAsia" w:cs="Times New Roman"/>
      </w:rPr>
    </w:lvl>
    <w:lvl w:ilvl="7" w:tentative="0">
      <w:start w:val="1"/>
      <w:numFmt w:val="none"/>
      <w:pStyle w:val="10"/>
      <w:suff w:val="nothing"/>
      <w:lvlText w:val=""/>
      <w:lvlJc w:val="left"/>
      <w:rPr>
        <w:rFonts w:hint="eastAsia" w:cs="Times New Roman"/>
      </w:rPr>
    </w:lvl>
    <w:lvl w:ilvl="8" w:tentative="0">
      <w:start w:val="1"/>
      <w:numFmt w:val="none"/>
      <w:pStyle w:val="11"/>
      <w:suff w:val="nothing"/>
      <w:lvlText w:val=""/>
      <w:lvlJc w:val="left"/>
      <w:rPr>
        <w:rFonts w:hint="eastAsia" w:cs="Times New Roman"/>
      </w:rPr>
    </w:lvl>
  </w:abstractNum>
  <w:abstractNum w:abstractNumId="6">
    <w:nsid w:val="3AE5A5B3"/>
    <w:multiLevelType w:val="singleLevel"/>
    <w:tmpl w:val="3AE5A5B3"/>
    <w:lvl w:ilvl="0" w:tentative="0">
      <w:start w:val="1"/>
      <w:numFmt w:val="decimal"/>
      <w:suff w:val="nothing"/>
      <w:lvlText w:val="%1、"/>
      <w:lvlJc w:val="left"/>
    </w:lvl>
  </w:abstractNum>
  <w:abstractNum w:abstractNumId="7">
    <w:nsid w:val="59389451"/>
    <w:multiLevelType w:val="singleLevel"/>
    <w:tmpl w:val="59389451"/>
    <w:lvl w:ilvl="0" w:tentative="0">
      <w:start w:val="1"/>
      <w:numFmt w:val="decimal"/>
      <w:suff w:val="nothing"/>
      <w:lvlText w:val="%1）"/>
      <w:lvlJc w:val="left"/>
    </w:lvl>
  </w:abstractNum>
  <w:abstractNum w:abstractNumId="8">
    <w:nsid w:val="59B9F8AE"/>
    <w:multiLevelType w:val="singleLevel"/>
    <w:tmpl w:val="59B9F8AE"/>
    <w:lvl w:ilvl="0" w:tentative="0">
      <w:start w:val="1"/>
      <w:numFmt w:val="decimal"/>
      <w:suff w:val="space"/>
      <w:lvlText w:val="%1."/>
      <w:lvlJc w:val="left"/>
      <w:rPr>
        <w:rFonts w:cs="Times New Roman"/>
      </w:rPr>
    </w:lvl>
  </w:abstractNum>
  <w:abstractNum w:abstractNumId="9">
    <w:nsid w:val="59EEA420"/>
    <w:multiLevelType w:val="singleLevel"/>
    <w:tmpl w:val="59EEA420"/>
    <w:lvl w:ilvl="0" w:tentative="0">
      <w:start w:val="2"/>
      <w:numFmt w:val="chineseCounting"/>
      <w:suff w:val="space"/>
      <w:lvlText w:val="第%1章"/>
      <w:lvlJc w:val="left"/>
      <w:rPr>
        <w:rFonts w:cs="Times New Roman"/>
      </w:rPr>
    </w:lvl>
  </w:abstractNum>
  <w:abstractNum w:abstractNumId="10">
    <w:nsid w:val="5A437900"/>
    <w:multiLevelType w:val="singleLevel"/>
    <w:tmpl w:val="5A437900"/>
    <w:lvl w:ilvl="0" w:tentative="0">
      <w:start w:val="9"/>
      <w:numFmt w:val="chineseCounting"/>
      <w:suff w:val="nothing"/>
      <w:lvlText w:val="%1、"/>
      <w:lvlJc w:val="left"/>
      <w:rPr>
        <w:rFonts w:cs="Times New Roman"/>
      </w:rPr>
    </w:lvl>
  </w:abstractNum>
  <w:num w:numId="1">
    <w:abstractNumId w:val="5"/>
  </w:num>
  <w:num w:numId="2">
    <w:abstractNumId w:val="4"/>
  </w:num>
  <w:num w:numId="3">
    <w:abstractNumId w:val="9"/>
  </w:num>
  <w:num w:numId="4">
    <w:abstractNumId w:val="6"/>
  </w:num>
  <w:num w:numId="5">
    <w:abstractNumId w:val="3"/>
  </w:num>
  <w:num w:numId="6">
    <w:abstractNumId w:val="7"/>
  </w:num>
  <w:num w:numId="7">
    <w:abstractNumId w:val="1"/>
  </w:num>
  <w:num w:numId="8">
    <w:abstractNumId w:val="2"/>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F9008B"/>
    <w:rsid w:val="000012CB"/>
    <w:rsid w:val="000014E3"/>
    <w:rsid w:val="00001690"/>
    <w:rsid w:val="000016BC"/>
    <w:rsid w:val="00001C03"/>
    <w:rsid w:val="00001C5B"/>
    <w:rsid w:val="00001D95"/>
    <w:rsid w:val="00001DBD"/>
    <w:rsid w:val="000032A4"/>
    <w:rsid w:val="00003F1E"/>
    <w:rsid w:val="00004F28"/>
    <w:rsid w:val="00005309"/>
    <w:rsid w:val="00005712"/>
    <w:rsid w:val="00005E3D"/>
    <w:rsid w:val="0000717D"/>
    <w:rsid w:val="000073A9"/>
    <w:rsid w:val="00011853"/>
    <w:rsid w:val="000118A2"/>
    <w:rsid w:val="000118A7"/>
    <w:rsid w:val="00012099"/>
    <w:rsid w:val="000127C6"/>
    <w:rsid w:val="000130ED"/>
    <w:rsid w:val="000136D6"/>
    <w:rsid w:val="0001452D"/>
    <w:rsid w:val="0001713E"/>
    <w:rsid w:val="00020857"/>
    <w:rsid w:val="00020C39"/>
    <w:rsid w:val="00020E8E"/>
    <w:rsid w:val="00021747"/>
    <w:rsid w:val="000219E4"/>
    <w:rsid w:val="00022432"/>
    <w:rsid w:val="00022EA2"/>
    <w:rsid w:val="00023A35"/>
    <w:rsid w:val="00024305"/>
    <w:rsid w:val="00024429"/>
    <w:rsid w:val="000244A9"/>
    <w:rsid w:val="000244CA"/>
    <w:rsid w:val="000258DD"/>
    <w:rsid w:val="00030DF2"/>
    <w:rsid w:val="00030E51"/>
    <w:rsid w:val="00031DDA"/>
    <w:rsid w:val="00032021"/>
    <w:rsid w:val="0003353B"/>
    <w:rsid w:val="000336CE"/>
    <w:rsid w:val="00034680"/>
    <w:rsid w:val="00034FC6"/>
    <w:rsid w:val="00036C29"/>
    <w:rsid w:val="00036D92"/>
    <w:rsid w:val="000379A5"/>
    <w:rsid w:val="00037B89"/>
    <w:rsid w:val="0004078B"/>
    <w:rsid w:val="0004115A"/>
    <w:rsid w:val="000418A2"/>
    <w:rsid w:val="00041D24"/>
    <w:rsid w:val="00041ECF"/>
    <w:rsid w:val="00042CB5"/>
    <w:rsid w:val="00043126"/>
    <w:rsid w:val="00043C79"/>
    <w:rsid w:val="00043E47"/>
    <w:rsid w:val="000445FE"/>
    <w:rsid w:val="00045001"/>
    <w:rsid w:val="0004510F"/>
    <w:rsid w:val="00050DF5"/>
    <w:rsid w:val="0005139D"/>
    <w:rsid w:val="000517FA"/>
    <w:rsid w:val="000520E0"/>
    <w:rsid w:val="00052580"/>
    <w:rsid w:val="0005278D"/>
    <w:rsid w:val="00052C1C"/>
    <w:rsid w:val="00052C9D"/>
    <w:rsid w:val="000535E4"/>
    <w:rsid w:val="000538C9"/>
    <w:rsid w:val="000541DA"/>
    <w:rsid w:val="0005430A"/>
    <w:rsid w:val="00054593"/>
    <w:rsid w:val="000555A6"/>
    <w:rsid w:val="0005691A"/>
    <w:rsid w:val="00056DE6"/>
    <w:rsid w:val="0005719C"/>
    <w:rsid w:val="000579EF"/>
    <w:rsid w:val="00057B3C"/>
    <w:rsid w:val="0006089A"/>
    <w:rsid w:val="000632D0"/>
    <w:rsid w:val="000634C5"/>
    <w:rsid w:val="00064306"/>
    <w:rsid w:val="0006480C"/>
    <w:rsid w:val="00064A79"/>
    <w:rsid w:val="00065048"/>
    <w:rsid w:val="000650B1"/>
    <w:rsid w:val="00065824"/>
    <w:rsid w:val="00065BA2"/>
    <w:rsid w:val="00065C98"/>
    <w:rsid w:val="00066DBB"/>
    <w:rsid w:val="0006794B"/>
    <w:rsid w:val="00070D94"/>
    <w:rsid w:val="0007129F"/>
    <w:rsid w:val="000714B4"/>
    <w:rsid w:val="0007290C"/>
    <w:rsid w:val="00072E43"/>
    <w:rsid w:val="00073772"/>
    <w:rsid w:val="00073CA3"/>
    <w:rsid w:val="00074DD0"/>
    <w:rsid w:val="0007551C"/>
    <w:rsid w:val="00076BA6"/>
    <w:rsid w:val="000774F3"/>
    <w:rsid w:val="00080161"/>
    <w:rsid w:val="00080470"/>
    <w:rsid w:val="0008057F"/>
    <w:rsid w:val="00080B1D"/>
    <w:rsid w:val="00080CA7"/>
    <w:rsid w:val="00081141"/>
    <w:rsid w:val="00081503"/>
    <w:rsid w:val="00081C28"/>
    <w:rsid w:val="00081F92"/>
    <w:rsid w:val="00082765"/>
    <w:rsid w:val="00082D34"/>
    <w:rsid w:val="00083316"/>
    <w:rsid w:val="00084EB0"/>
    <w:rsid w:val="0008566C"/>
    <w:rsid w:val="00085D93"/>
    <w:rsid w:val="00085E85"/>
    <w:rsid w:val="00087013"/>
    <w:rsid w:val="00087028"/>
    <w:rsid w:val="00087C0E"/>
    <w:rsid w:val="0009066F"/>
    <w:rsid w:val="00090DFE"/>
    <w:rsid w:val="00092165"/>
    <w:rsid w:val="000939A0"/>
    <w:rsid w:val="00093BB7"/>
    <w:rsid w:val="00094674"/>
    <w:rsid w:val="000951B1"/>
    <w:rsid w:val="00095239"/>
    <w:rsid w:val="00096F39"/>
    <w:rsid w:val="00097BFD"/>
    <w:rsid w:val="000A0E1D"/>
    <w:rsid w:val="000A1C7B"/>
    <w:rsid w:val="000A1D78"/>
    <w:rsid w:val="000A1F92"/>
    <w:rsid w:val="000A22B0"/>
    <w:rsid w:val="000A2AEF"/>
    <w:rsid w:val="000A2FEA"/>
    <w:rsid w:val="000A3775"/>
    <w:rsid w:val="000A37CF"/>
    <w:rsid w:val="000A5DCF"/>
    <w:rsid w:val="000A60C3"/>
    <w:rsid w:val="000A61CE"/>
    <w:rsid w:val="000A61FC"/>
    <w:rsid w:val="000A7469"/>
    <w:rsid w:val="000A764B"/>
    <w:rsid w:val="000A7ADA"/>
    <w:rsid w:val="000A7E0A"/>
    <w:rsid w:val="000A7EC8"/>
    <w:rsid w:val="000B0148"/>
    <w:rsid w:val="000B0232"/>
    <w:rsid w:val="000B0404"/>
    <w:rsid w:val="000B040B"/>
    <w:rsid w:val="000B0AA2"/>
    <w:rsid w:val="000B0E24"/>
    <w:rsid w:val="000B1630"/>
    <w:rsid w:val="000B1A15"/>
    <w:rsid w:val="000B1D62"/>
    <w:rsid w:val="000B2A59"/>
    <w:rsid w:val="000B378B"/>
    <w:rsid w:val="000B3D3C"/>
    <w:rsid w:val="000B43B8"/>
    <w:rsid w:val="000B530E"/>
    <w:rsid w:val="000B58FC"/>
    <w:rsid w:val="000B63C8"/>
    <w:rsid w:val="000B7CB1"/>
    <w:rsid w:val="000C0048"/>
    <w:rsid w:val="000C0757"/>
    <w:rsid w:val="000C0CE6"/>
    <w:rsid w:val="000C1AF6"/>
    <w:rsid w:val="000C1B16"/>
    <w:rsid w:val="000C2B1B"/>
    <w:rsid w:val="000C2ED8"/>
    <w:rsid w:val="000C302B"/>
    <w:rsid w:val="000C45A6"/>
    <w:rsid w:val="000C475B"/>
    <w:rsid w:val="000C4D7B"/>
    <w:rsid w:val="000C5179"/>
    <w:rsid w:val="000C5ACD"/>
    <w:rsid w:val="000C6B09"/>
    <w:rsid w:val="000C7713"/>
    <w:rsid w:val="000D039A"/>
    <w:rsid w:val="000D2206"/>
    <w:rsid w:val="000D25BC"/>
    <w:rsid w:val="000D279A"/>
    <w:rsid w:val="000D2B47"/>
    <w:rsid w:val="000D3B01"/>
    <w:rsid w:val="000D3F44"/>
    <w:rsid w:val="000D4C12"/>
    <w:rsid w:val="000D66AB"/>
    <w:rsid w:val="000D6AFB"/>
    <w:rsid w:val="000D7083"/>
    <w:rsid w:val="000E03D7"/>
    <w:rsid w:val="000E0D85"/>
    <w:rsid w:val="000E21CB"/>
    <w:rsid w:val="000E3D3E"/>
    <w:rsid w:val="000E5A55"/>
    <w:rsid w:val="000F00DA"/>
    <w:rsid w:val="000F0155"/>
    <w:rsid w:val="000F01F9"/>
    <w:rsid w:val="000F0C43"/>
    <w:rsid w:val="000F1470"/>
    <w:rsid w:val="000F166A"/>
    <w:rsid w:val="000F1A43"/>
    <w:rsid w:val="000F1C2C"/>
    <w:rsid w:val="000F316E"/>
    <w:rsid w:val="000F34C4"/>
    <w:rsid w:val="000F3707"/>
    <w:rsid w:val="000F499A"/>
    <w:rsid w:val="000F4C00"/>
    <w:rsid w:val="000F5193"/>
    <w:rsid w:val="000F5D99"/>
    <w:rsid w:val="000F7489"/>
    <w:rsid w:val="0010007E"/>
    <w:rsid w:val="001008E2"/>
    <w:rsid w:val="00100B1F"/>
    <w:rsid w:val="00101048"/>
    <w:rsid w:val="0010104C"/>
    <w:rsid w:val="00101B38"/>
    <w:rsid w:val="00103CE8"/>
    <w:rsid w:val="00103D32"/>
    <w:rsid w:val="00105E3A"/>
    <w:rsid w:val="00105E41"/>
    <w:rsid w:val="00105F01"/>
    <w:rsid w:val="00106244"/>
    <w:rsid w:val="001065E6"/>
    <w:rsid w:val="00106905"/>
    <w:rsid w:val="00107B35"/>
    <w:rsid w:val="00111BD2"/>
    <w:rsid w:val="0011209D"/>
    <w:rsid w:val="001128BE"/>
    <w:rsid w:val="00113707"/>
    <w:rsid w:val="00115905"/>
    <w:rsid w:val="00115A73"/>
    <w:rsid w:val="001162AE"/>
    <w:rsid w:val="001162DC"/>
    <w:rsid w:val="00116F89"/>
    <w:rsid w:val="001170DC"/>
    <w:rsid w:val="001209EE"/>
    <w:rsid w:val="00120AAF"/>
    <w:rsid w:val="00122500"/>
    <w:rsid w:val="001228B7"/>
    <w:rsid w:val="00122A75"/>
    <w:rsid w:val="0012375C"/>
    <w:rsid w:val="00123A80"/>
    <w:rsid w:val="00123E79"/>
    <w:rsid w:val="00125454"/>
    <w:rsid w:val="0012668C"/>
    <w:rsid w:val="00126980"/>
    <w:rsid w:val="00127DE0"/>
    <w:rsid w:val="0013020F"/>
    <w:rsid w:val="001307A9"/>
    <w:rsid w:val="001308DD"/>
    <w:rsid w:val="00131FE9"/>
    <w:rsid w:val="00132BD5"/>
    <w:rsid w:val="001337CF"/>
    <w:rsid w:val="00135EFB"/>
    <w:rsid w:val="00136224"/>
    <w:rsid w:val="00136D0F"/>
    <w:rsid w:val="00140177"/>
    <w:rsid w:val="001408D9"/>
    <w:rsid w:val="00140D07"/>
    <w:rsid w:val="00141F2B"/>
    <w:rsid w:val="0014377D"/>
    <w:rsid w:val="00143F38"/>
    <w:rsid w:val="00144573"/>
    <w:rsid w:val="00145007"/>
    <w:rsid w:val="00145AB6"/>
    <w:rsid w:val="001468FC"/>
    <w:rsid w:val="00147182"/>
    <w:rsid w:val="0014727F"/>
    <w:rsid w:val="001506AB"/>
    <w:rsid w:val="00152315"/>
    <w:rsid w:val="00152A7F"/>
    <w:rsid w:val="001531C5"/>
    <w:rsid w:val="001534CE"/>
    <w:rsid w:val="001546F6"/>
    <w:rsid w:val="00154891"/>
    <w:rsid w:val="001557D2"/>
    <w:rsid w:val="0015593E"/>
    <w:rsid w:val="00155D4D"/>
    <w:rsid w:val="00155DB2"/>
    <w:rsid w:val="00157877"/>
    <w:rsid w:val="00157C3F"/>
    <w:rsid w:val="00157C97"/>
    <w:rsid w:val="00160244"/>
    <w:rsid w:val="001602ED"/>
    <w:rsid w:val="001604A8"/>
    <w:rsid w:val="001606CE"/>
    <w:rsid w:val="00161062"/>
    <w:rsid w:val="0016278C"/>
    <w:rsid w:val="00162A29"/>
    <w:rsid w:val="00162DEE"/>
    <w:rsid w:val="00162EFE"/>
    <w:rsid w:val="00163D0C"/>
    <w:rsid w:val="00163D11"/>
    <w:rsid w:val="00164549"/>
    <w:rsid w:val="0016498B"/>
    <w:rsid w:val="00164A2F"/>
    <w:rsid w:val="00164CE6"/>
    <w:rsid w:val="00165389"/>
    <w:rsid w:val="00165FCA"/>
    <w:rsid w:val="001667E8"/>
    <w:rsid w:val="0016744D"/>
    <w:rsid w:val="0016796B"/>
    <w:rsid w:val="00167F15"/>
    <w:rsid w:val="00167FD0"/>
    <w:rsid w:val="0017008A"/>
    <w:rsid w:val="00170AC9"/>
    <w:rsid w:val="00170BB5"/>
    <w:rsid w:val="00171122"/>
    <w:rsid w:val="00171691"/>
    <w:rsid w:val="001717A3"/>
    <w:rsid w:val="001718DE"/>
    <w:rsid w:val="00171E0B"/>
    <w:rsid w:val="0017200C"/>
    <w:rsid w:val="0017544D"/>
    <w:rsid w:val="00175A12"/>
    <w:rsid w:val="00176956"/>
    <w:rsid w:val="001809E3"/>
    <w:rsid w:val="00180A63"/>
    <w:rsid w:val="00181E43"/>
    <w:rsid w:val="001823F1"/>
    <w:rsid w:val="00182DA6"/>
    <w:rsid w:val="00182E88"/>
    <w:rsid w:val="00182F96"/>
    <w:rsid w:val="001831F3"/>
    <w:rsid w:val="001833DD"/>
    <w:rsid w:val="00183F58"/>
    <w:rsid w:val="00186170"/>
    <w:rsid w:val="00186E9F"/>
    <w:rsid w:val="00186FDD"/>
    <w:rsid w:val="0019053A"/>
    <w:rsid w:val="00190987"/>
    <w:rsid w:val="00190FF3"/>
    <w:rsid w:val="00191414"/>
    <w:rsid w:val="001915AE"/>
    <w:rsid w:val="00192170"/>
    <w:rsid w:val="00192CCC"/>
    <w:rsid w:val="00194C36"/>
    <w:rsid w:val="001950F8"/>
    <w:rsid w:val="0019517E"/>
    <w:rsid w:val="00195441"/>
    <w:rsid w:val="00195525"/>
    <w:rsid w:val="00195FA6"/>
    <w:rsid w:val="001962FD"/>
    <w:rsid w:val="00196367"/>
    <w:rsid w:val="00196FE7"/>
    <w:rsid w:val="0019795F"/>
    <w:rsid w:val="001A0257"/>
    <w:rsid w:val="001A0AC5"/>
    <w:rsid w:val="001A1789"/>
    <w:rsid w:val="001A22F0"/>
    <w:rsid w:val="001A2764"/>
    <w:rsid w:val="001A28AA"/>
    <w:rsid w:val="001A294C"/>
    <w:rsid w:val="001A2D0C"/>
    <w:rsid w:val="001A30D5"/>
    <w:rsid w:val="001A31E8"/>
    <w:rsid w:val="001A38B7"/>
    <w:rsid w:val="001A3D83"/>
    <w:rsid w:val="001A48CB"/>
    <w:rsid w:val="001A597B"/>
    <w:rsid w:val="001A5988"/>
    <w:rsid w:val="001A6438"/>
    <w:rsid w:val="001A7629"/>
    <w:rsid w:val="001A76BE"/>
    <w:rsid w:val="001A7A55"/>
    <w:rsid w:val="001B101F"/>
    <w:rsid w:val="001B1A2F"/>
    <w:rsid w:val="001B1EAB"/>
    <w:rsid w:val="001B228D"/>
    <w:rsid w:val="001B2B69"/>
    <w:rsid w:val="001B5325"/>
    <w:rsid w:val="001B600F"/>
    <w:rsid w:val="001B66B3"/>
    <w:rsid w:val="001B7577"/>
    <w:rsid w:val="001B77CB"/>
    <w:rsid w:val="001B7B91"/>
    <w:rsid w:val="001C018C"/>
    <w:rsid w:val="001C076B"/>
    <w:rsid w:val="001C107E"/>
    <w:rsid w:val="001C1420"/>
    <w:rsid w:val="001C194B"/>
    <w:rsid w:val="001C2544"/>
    <w:rsid w:val="001C270E"/>
    <w:rsid w:val="001C28BC"/>
    <w:rsid w:val="001C54E8"/>
    <w:rsid w:val="001C6120"/>
    <w:rsid w:val="001C7023"/>
    <w:rsid w:val="001C7AE2"/>
    <w:rsid w:val="001D0A60"/>
    <w:rsid w:val="001D1525"/>
    <w:rsid w:val="001D26F4"/>
    <w:rsid w:val="001D2CB2"/>
    <w:rsid w:val="001D34F4"/>
    <w:rsid w:val="001D350C"/>
    <w:rsid w:val="001D3F43"/>
    <w:rsid w:val="001D45DA"/>
    <w:rsid w:val="001D4DCE"/>
    <w:rsid w:val="001D4F3C"/>
    <w:rsid w:val="001D5BDA"/>
    <w:rsid w:val="001D63DF"/>
    <w:rsid w:val="001D64E2"/>
    <w:rsid w:val="001D769F"/>
    <w:rsid w:val="001E035D"/>
    <w:rsid w:val="001E0D0F"/>
    <w:rsid w:val="001E0EA2"/>
    <w:rsid w:val="001E12EF"/>
    <w:rsid w:val="001E15A2"/>
    <w:rsid w:val="001E2040"/>
    <w:rsid w:val="001E37E1"/>
    <w:rsid w:val="001E3C50"/>
    <w:rsid w:val="001E4AC8"/>
    <w:rsid w:val="001E64E8"/>
    <w:rsid w:val="001E67FF"/>
    <w:rsid w:val="001F0865"/>
    <w:rsid w:val="001F08C7"/>
    <w:rsid w:val="001F0918"/>
    <w:rsid w:val="001F0FDF"/>
    <w:rsid w:val="001F351B"/>
    <w:rsid w:val="001F36ED"/>
    <w:rsid w:val="001F4BA7"/>
    <w:rsid w:val="001F4C84"/>
    <w:rsid w:val="001F5F97"/>
    <w:rsid w:val="001F6A81"/>
    <w:rsid w:val="001F718B"/>
    <w:rsid w:val="001F739D"/>
    <w:rsid w:val="0020059C"/>
    <w:rsid w:val="0020065F"/>
    <w:rsid w:val="002024D0"/>
    <w:rsid w:val="00202F25"/>
    <w:rsid w:val="0020316C"/>
    <w:rsid w:val="00203723"/>
    <w:rsid w:val="00204F06"/>
    <w:rsid w:val="002051D6"/>
    <w:rsid w:val="002054B6"/>
    <w:rsid w:val="00207530"/>
    <w:rsid w:val="002078EE"/>
    <w:rsid w:val="00207DED"/>
    <w:rsid w:val="00207E90"/>
    <w:rsid w:val="0021079C"/>
    <w:rsid w:val="00210B14"/>
    <w:rsid w:val="00210C32"/>
    <w:rsid w:val="00210F29"/>
    <w:rsid w:val="002111DF"/>
    <w:rsid w:val="00211253"/>
    <w:rsid w:val="00213784"/>
    <w:rsid w:val="00214824"/>
    <w:rsid w:val="00215CC9"/>
    <w:rsid w:val="00216248"/>
    <w:rsid w:val="002162FB"/>
    <w:rsid w:val="00216416"/>
    <w:rsid w:val="00216FC7"/>
    <w:rsid w:val="0022030F"/>
    <w:rsid w:val="00221269"/>
    <w:rsid w:val="002214A4"/>
    <w:rsid w:val="00221811"/>
    <w:rsid w:val="00225DE5"/>
    <w:rsid w:val="00226983"/>
    <w:rsid w:val="00226D09"/>
    <w:rsid w:val="00226E46"/>
    <w:rsid w:val="0022761C"/>
    <w:rsid w:val="00227937"/>
    <w:rsid w:val="00227C98"/>
    <w:rsid w:val="00231001"/>
    <w:rsid w:val="00232157"/>
    <w:rsid w:val="00232A0C"/>
    <w:rsid w:val="00232D1D"/>
    <w:rsid w:val="002330BE"/>
    <w:rsid w:val="00233423"/>
    <w:rsid w:val="00234174"/>
    <w:rsid w:val="00234A59"/>
    <w:rsid w:val="00234C32"/>
    <w:rsid w:val="00234F5E"/>
    <w:rsid w:val="002354B9"/>
    <w:rsid w:val="00236AFE"/>
    <w:rsid w:val="002376EF"/>
    <w:rsid w:val="0023778F"/>
    <w:rsid w:val="00237BE0"/>
    <w:rsid w:val="00240617"/>
    <w:rsid w:val="00240886"/>
    <w:rsid w:val="002418F2"/>
    <w:rsid w:val="00242264"/>
    <w:rsid w:val="00242A01"/>
    <w:rsid w:val="00243CD0"/>
    <w:rsid w:val="00244A8E"/>
    <w:rsid w:val="00244E51"/>
    <w:rsid w:val="00245EEB"/>
    <w:rsid w:val="002460E4"/>
    <w:rsid w:val="00246909"/>
    <w:rsid w:val="00246992"/>
    <w:rsid w:val="00246AA7"/>
    <w:rsid w:val="00246BF7"/>
    <w:rsid w:val="00247303"/>
    <w:rsid w:val="00247CDE"/>
    <w:rsid w:val="00247E93"/>
    <w:rsid w:val="00250406"/>
    <w:rsid w:val="00250884"/>
    <w:rsid w:val="002513BA"/>
    <w:rsid w:val="00252CBB"/>
    <w:rsid w:val="002530F7"/>
    <w:rsid w:val="00253CD4"/>
    <w:rsid w:val="0025475C"/>
    <w:rsid w:val="0025538B"/>
    <w:rsid w:val="002558F5"/>
    <w:rsid w:val="00255E14"/>
    <w:rsid w:val="00256630"/>
    <w:rsid w:val="002567A8"/>
    <w:rsid w:val="00256ED7"/>
    <w:rsid w:val="00260CB2"/>
    <w:rsid w:val="00261AD0"/>
    <w:rsid w:val="00261B75"/>
    <w:rsid w:val="002631D1"/>
    <w:rsid w:val="0026346D"/>
    <w:rsid w:val="00263CA8"/>
    <w:rsid w:val="00263DE5"/>
    <w:rsid w:val="00264CE5"/>
    <w:rsid w:val="00264D26"/>
    <w:rsid w:val="00266C02"/>
    <w:rsid w:val="0026786B"/>
    <w:rsid w:val="00270960"/>
    <w:rsid w:val="00271053"/>
    <w:rsid w:val="0027211A"/>
    <w:rsid w:val="00272428"/>
    <w:rsid w:val="002729DA"/>
    <w:rsid w:val="00272D0F"/>
    <w:rsid w:val="00272DD4"/>
    <w:rsid w:val="00273167"/>
    <w:rsid w:val="00273BA1"/>
    <w:rsid w:val="00274166"/>
    <w:rsid w:val="002744AA"/>
    <w:rsid w:val="00275197"/>
    <w:rsid w:val="0027527A"/>
    <w:rsid w:val="00275CE1"/>
    <w:rsid w:val="0027643F"/>
    <w:rsid w:val="002776AC"/>
    <w:rsid w:val="00280AD9"/>
    <w:rsid w:val="00280CEE"/>
    <w:rsid w:val="00281689"/>
    <w:rsid w:val="002816EF"/>
    <w:rsid w:val="00282815"/>
    <w:rsid w:val="00283AA3"/>
    <w:rsid w:val="00283D3B"/>
    <w:rsid w:val="00283EE6"/>
    <w:rsid w:val="002842EC"/>
    <w:rsid w:val="00284ACA"/>
    <w:rsid w:val="0028545D"/>
    <w:rsid w:val="00285661"/>
    <w:rsid w:val="002858D6"/>
    <w:rsid w:val="00285BAD"/>
    <w:rsid w:val="00285F92"/>
    <w:rsid w:val="00286079"/>
    <w:rsid w:val="00286346"/>
    <w:rsid w:val="00286C80"/>
    <w:rsid w:val="00287170"/>
    <w:rsid w:val="00287677"/>
    <w:rsid w:val="0029037F"/>
    <w:rsid w:val="002906E2"/>
    <w:rsid w:val="00290C71"/>
    <w:rsid w:val="00291297"/>
    <w:rsid w:val="00291643"/>
    <w:rsid w:val="00291D60"/>
    <w:rsid w:val="00292016"/>
    <w:rsid w:val="002926E0"/>
    <w:rsid w:val="002930D7"/>
    <w:rsid w:val="0029331B"/>
    <w:rsid w:val="00293405"/>
    <w:rsid w:val="00293C21"/>
    <w:rsid w:val="00294D16"/>
    <w:rsid w:val="0029535E"/>
    <w:rsid w:val="002959B5"/>
    <w:rsid w:val="00295AA4"/>
    <w:rsid w:val="00295F0C"/>
    <w:rsid w:val="0029631A"/>
    <w:rsid w:val="00296376"/>
    <w:rsid w:val="00296D83"/>
    <w:rsid w:val="00297272"/>
    <w:rsid w:val="002A0487"/>
    <w:rsid w:val="002A076A"/>
    <w:rsid w:val="002A21F7"/>
    <w:rsid w:val="002A45E3"/>
    <w:rsid w:val="002A4D41"/>
    <w:rsid w:val="002A4D54"/>
    <w:rsid w:val="002A5789"/>
    <w:rsid w:val="002A5D38"/>
    <w:rsid w:val="002A6127"/>
    <w:rsid w:val="002A6B85"/>
    <w:rsid w:val="002A6BB8"/>
    <w:rsid w:val="002A7594"/>
    <w:rsid w:val="002B03C6"/>
    <w:rsid w:val="002B0DD5"/>
    <w:rsid w:val="002B0F30"/>
    <w:rsid w:val="002B23D9"/>
    <w:rsid w:val="002B3D8C"/>
    <w:rsid w:val="002B42BC"/>
    <w:rsid w:val="002B441B"/>
    <w:rsid w:val="002B56E5"/>
    <w:rsid w:val="002B597A"/>
    <w:rsid w:val="002B79D4"/>
    <w:rsid w:val="002B7A7F"/>
    <w:rsid w:val="002B7B02"/>
    <w:rsid w:val="002C0A9C"/>
    <w:rsid w:val="002C0C87"/>
    <w:rsid w:val="002C0D30"/>
    <w:rsid w:val="002C15CD"/>
    <w:rsid w:val="002C1EAD"/>
    <w:rsid w:val="002C223D"/>
    <w:rsid w:val="002C4207"/>
    <w:rsid w:val="002C471B"/>
    <w:rsid w:val="002C5458"/>
    <w:rsid w:val="002C63F4"/>
    <w:rsid w:val="002C661C"/>
    <w:rsid w:val="002C67BB"/>
    <w:rsid w:val="002C6EFB"/>
    <w:rsid w:val="002C6F2F"/>
    <w:rsid w:val="002C7FA2"/>
    <w:rsid w:val="002D01F3"/>
    <w:rsid w:val="002D04FB"/>
    <w:rsid w:val="002D0731"/>
    <w:rsid w:val="002D0E42"/>
    <w:rsid w:val="002D0FA7"/>
    <w:rsid w:val="002D1433"/>
    <w:rsid w:val="002D1DDA"/>
    <w:rsid w:val="002D1DF7"/>
    <w:rsid w:val="002D24BE"/>
    <w:rsid w:val="002D257D"/>
    <w:rsid w:val="002D30C7"/>
    <w:rsid w:val="002D3E39"/>
    <w:rsid w:val="002D4DE3"/>
    <w:rsid w:val="002D57B3"/>
    <w:rsid w:val="002D67ED"/>
    <w:rsid w:val="002D6887"/>
    <w:rsid w:val="002D6A9C"/>
    <w:rsid w:val="002D6E4E"/>
    <w:rsid w:val="002D7DA0"/>
    <w:rsid w:val="002E0330"/>
    <w:rsid w:val="002E06D4"/>
    <w:rsid w:val="002E19D1"/>
    <w:rsid w:val="002E2616"/>
    <w:rsid w:val="002E2BCE"/>
    <w:rsid w:val="002E2C1D"/>
    <w:rsid w:val="002E32B0"/>
    <w:rsid w:val="002E36D5"/>
    <w:rsid w:val="002E39F4"/>
    <w:rsid w:val="002E3C31"/>
    <w:rsid w:val="002E4A9A"/>
    <w:rsid w:val="002E6349"/>
    <w:rsid w:val="002E6608"/>
    <w:rsid w:val="002E693D"/>
    <w:rsid w:val="002E73A7"/>
    <w:rsid w:val="002E7CDA"/>
    <w:rsid w:val="002F068B"/>
    <w:rsid w:val="002F10E5"/>
    <w:rsid w:val="002F26F9"/>
    <w:rsid w:val="002F289B"/>
    <w:rsid w:val="002F2DEE"/>
    <w:rsid w:val="002F2E5A"/>
    <w:rsid w:val="002F3830"/>
    <w:rsid w:val="002F394E"/>
    <w:rsid w:val="002F5034"/>
    <w:rsid w:val="002F50A0"/>
    <w:rsid w:val="002F580A"/>
    <w:rsid w:val="002F58C2"/>
    <w:rsid w:val="00300753"/>
    <w:rsid w:val="00300B20"/>
    <w:rsid w:val="00301606"/>
    <w:rsid w:val="003026F6"/>
    <w:rsid w:val="003032BC"/>
    <w:rsid w:val="00303F30"/>
    <w:rsid w:val="003052FE"/>
    <w:rsid w:val="0030581D"/>
    <w:rsid w:val="00307B3B"/>
    <w:rsid w:val="003101A7"/>
    <w:rsid w:val="003104D9"/>
    <w:rsid w:val="003109C3"/>
    <w:rsid w:val="00310A6A"/>
    <w:rsid w:val="00310CBE"/>
    <w:rsid w:val="00310D9A"/>
    <w:rsid w:val="003122C5"/>
    <w:rsid w:val="00312916"/>
    <w:rsid w:val="00313319"/>
    <w:rsid w:val="00313CF5"/>
    <w:rsid w:val="00314469"/>
    <w:rsid w:val="0031472F"/>
    <w:rsid w:val="00314FE6"/>
    <w:rsid w:val="003159A8"/>
    <w:rsid w:val="00315F5F"/>
    <w:rsid w:val="00316964"/>
    <w:rsid w:val="00316A8F"/>
    <w:rsid w:val="00316EED"/>
    <w:rsid w:val="0031701E"/>
    <w:rsid w:val="00317882"/>
    <w:rsid w:val="00320A1B"/>
    <w:rsid w:val="00320E9F"/>
    <w:rsid w:val="003211D4"/>
    <w:rsid w:val="00321396"/>
    <w:rsid w:val="003221BF"/>
    <w:rsid w:val="00322E54"/>
    <w:rsid w:val="00324017"/>
    <w:rsid w:val="003245C1"/>
    <w:rsid w:val="00324854"/>
    <w:rsid w:val="00326B6C"/>
    <w:rsid w:val="003275A3"/>
    <w:rsid w:val="00330330"/>
    <w:rsid w:val="0033049C"/>
    <w:rsid w:val="00331967"/>
    <w:rsid w:val="0033273A"/>
    <w:rsid w:val="00333794"/>
    <w:rsid w:val="00334080"/>
    <w:rsid w:val="0033539B"/>
    <w:rsid w:val="00335604"/>
    <w:rsid w:val="0033593F"/>
    <w:rsid w:val="0033711A"/>
    <w:rsid w:val="00337E19"/>
    <w:rsid w:val="00337F8A"/>
    <w:rsid w:val="00340083"/>
    <w:rsid w:val="00340A50"/>
    <w:rsid w:val="003410A4"/>
    <w:rsid w:val="003420CD"/>
    <w:rsid w:val="00342878"/>
    <w:rsid w:val="00342BFE"/>
    <w:rsid w:val="00346D7F"/>
    <w:rsid w:val="00347C29"/>
    <w:rsid w:val="003503D8"/>
    <w:rsid w:val="003504F8"/>
    <w:rsid w:val="00350645"/>
    <w:rsid w:val="00350C18"/>
    <w:rsid w:val="00350F50"/>
    <w:rsid w:val="0035186A"/>
    <w:rsid w:val="003524EB"/>
    <w:rsid w:val="00352F9F"/>
    <w:rsid w:val="00353916"/>
    <w:rsid w:val="0035531E"/>
    <w:rsid w:val="00355968"/>
    <w:rsid w:val="00356AE9"/>
    <w:rsid w:val="00357510"/>
    <w:rsid w:val="003609E1"/>
    <w:rsid w:val="00360EE6"/>
    <w:rsid w:val="00361585"/>
    <w:rsid w:val="00361A01"/>
    <w:rsid w:val="00362676"/>
    <w:rsid w:val="00363144"/>
    <w:rsid w:val="003635A3"/>
    <w:rsid w:val="003637F1"/>
    <w:rsid w:val="00363ABA"/>
    <w:rsid w:val="003640A9"/>
    <w:rsid w:val="00364375"/>
    <w:rsid w:val="00366E3A"/>
    <w:rsid w:val="003679C6"/>
    <w:rsid w:val="0037442C"/>
    <w:rsid w:val="003745C8"/>
    <w:rsid w:val="003750AD"/>
    <w:rsid w:val="00375A9A"/>
    <w:rsid w:val="00375F23"/>
    <w:rsid w:val="003768C0"/>
    <w:rsid w:val="00376F40"/>
    <w:rsid w:val="003775F3"/>
    <w:rsid w:val="00377610"/>
    <w:rsid w:val="00377ACE"/>
    <w:rsid w:val="003807FB"/>
    <w:rsid w:val="00381A84"/>
    <w:rsid w:val="00381D29"/>
    <w:rsid w:val="00381E23"/>
    <w:rsid w:val="00382E64"/>
    <w:rsid w:val="0038343F"/>
    <w:rsid w:val="00383736"/>
    <w:rsid w:val="00384167"/>
    <w:rsid w:val="00384F8B"/>
    <w:rsid w:val="00385302"/>
    <w:rsid w:val="0038606E"/>
    <w:rsid w:val="003862F9"/>
    <w:rsid w:val="003866FC"/>
    <w:rsid w:val="00386B8C"/>
    <w:rsid w:val="003874ED"/>
    <w:rsid w:val="0038789E"/>
    <w:rsid w:val="00387BD5"/>
    <w:rsid w:val="003915C3"/>
    <w:rsid w:val="00391994"/>
    <w:rsid w:val="00391D6E"/>
    <w:rsid w:val="00392229"/>
    <w:rsid w:val="00392623"/>
    <w:rsid w:val="00392FD0"/>
    <w:rsid w:val="00393771"/>
    <w:rsid w:val="00393A2C"/>
    <w:rsid w:val="00394C7A"/>
    <w:rsid w:val="00396266"/>
    <w:rsid w:val="003970F6"/>
    <w:rsid w:val="00397BA4"/>
    <w:rsid w:val="003A03C0"/>
    <w:rsid w:val="003A041B"/>
    <w:rsid w:val="003A089B"/>
    <w:rsid w:val="003A1140"/>
    <w:rsid w:val="003A1CE3"/>
    <w:rsid w:val="003A2F7D"/>
    <w:rsid w:val="003A2F8B"/>
    <w:rsid w:val="003A39D6"/>
    <w:rsid w:val="003A44C5"/>
    <w:rsid w:val="003A4508"/>
    <w:rsid w:val="003A4F2E"/>
    <w:rsid w:val="003A5599"/>
    <w:rsid w:val="003A628F"/>
    <w:rsid w:val="003A73EE"/>
    <w:rsid w:val="003A7D1D"/>
    <w:rsid w:val="003B0813"/>
    <w:rsid w:val="003B0D85"/>
    <w:rsid w:val="003B14E0"/>
    <w:rsid w:val="003B1A89"/>
    <w:rsid w:val="003B2930"/>
    <w:rsid w:val="003B2C0E"/>
    <w:rsid w:val="003B2F3D"/>
    <w:rsid w:val="003B2F63"/>
    <w:rsid w:val="003B37C5"/>
    <w:rsid w:val="003B3A70"/>
    <w:rsid w:val="003B3CC4"/>
    <w:rsid w:val="003B42B4"/>
    <w:rsid w:val="003B4BDA"/>
    <w:rsid w:val="003B56BE"/>
    <w:rsid w:val="003B58B9"/>
    <w:rsid w:val="003B58EC"/>
    <w:rsid w:val="003B73EF"/>
    <w:rsid w:val="003B74EE"/>
    <w:rsid w:val="003B7697"/>
    <w:rsid w:val="003B7B32"/>
    <w:rsid w:val="003B7EE5"/>
    <w:rsid w:val="003C007B"/>
    <w:rsid w:val="003C0222"/>
    <w:rsid w:val="003C0648"/>
    <w:rsid w:val="003C0B56"/>
    <w:rsid w:val="003C1F09"/>
    <w:rsid w:val="003C2E69"/>
    <w:rsid w:val="003C3143"/>
    <w:rsid w:val="003C3C28"/>
    <w:rsid w:val="003C4B77"/>
    <w:rsid w:val="003C5666"/>
    <w:rsid w:val="003C5FCF"/>
    <w:rsid w:val="003C644C"/>
    <w:rsid w:val="003C704D"/>
    <w:rsid w:val="003C73D1"/>
    <w:rsid w:val="003C7B3F"/>
    <w:rsid w:val="003D0690"/>
    <w:rsid w:val="003D07CD"/>
    <w:rsid w:val="003D122E"/>
    <w:rsid w:val="003D1C06"/>
    <w:rsid w:val="003D323E"/>
    <w:rsid w:val="003D3A46"/>
    <w:rsid w:val="003D3ABA"/>
    <w:rsid w:val="003D3B3A"/>
    <w:rsid w:val="003D4E7D"/>
    <w:rsid w:val="003D5115"/>
    <w:rsid w:val="003D537A"/>
    <w:rsid w:val="003D5EFD"/>
    <w:rsid w:val="003D787B"/>
    <w:rsid w:val="003E01D4"/>
    <w:rsid w:val="003E02A9"/>
    <w:rsid w:val="003E04F8"/>
    <w:rsid w:val="003E079F"/>
    <w:rsid w:val="003E087B"/>
    <w:rsid w:val="003E0AEC"/>
    <w:rsid w:val="003E2193"/>
    <w:rsid w:val="003E2A00"/>
    <w:rsid w:val="003E2C02"/>
    <w:rsid w:val="003E30D0"/>
    <w:rsid w:val="003E376C"/>
    <w:rsid w:val="003E3A56"/>
    <w:rsid w:val="003E4823"/>
    <w:rsid w:val="003E5452"/>
    <w:rsid w:val="003E6188"/>
    <w:rsid w:val="003E6FC2"/>
    <w:rsid w:val="003E7BF6"/>
    <w:rsid w:val="003E7DF5"/>
    <w:rsid w:val="003F04B4"/>
    <w:rsid w:val="003F0592"/>
    <w:rsid w:val="003F1405"/>
    <w:rsid w:val="003F144A"/>
    <w:rsid w:val="003F1BEC"/>
    <w:rsid w:val="003F2709"/>
    <w:rsid w:val="003F2E65"/>
    <w:rsid w:val="003F2EF4"/>
    <w:rsid w:val="003F3D63"/>
    <w:rsid w:val="003F4ACA"/>
    <w:rsid w:val="003F4B57"/>
    <w:rsid w:val="003F5507"/>
    <w:rsid w:val="003F554A"/>
    <w:rsid w:val="003F56E1"/>
    <w:rsid w:val="003F5B2B"/>
    <w:rsid w:val="003F5E17"/>
    <w:rsid w:val="003F6139"/>
    <w:rsid w:val="003F7C10"/>
    <w:rsid w:val="004004E5"/>
    <w:rsid w:val="00400C0D"/>
    <w:rsid w:val="0040158B"/>
    <w:rsid w:val="00401639"/>
    <w:rsid w:val="00403145"/>
    <w:rsid w:val="00403510"/>
    <w:rsid w:val="0040378A"/>
    <w:rsid w:val="00404176"/>
    <w:rsid w:val="00404784"/>
    <w:rsid w:val="00404970"/>
    <w:rsid w:val="00405078"/>
    <w:rsid w:val="00405F27"/>
    <w:rsid w:val="0040628D"/>
    <w:rsid w:val="004067EF"/>
    <w:rsid w:val="00406E46"/>
    <w:rsid w:val="00407B9A"/>
    <w:rsid w:val="0041143A"/>
    <w:rsid w:val="00411F8E"/>
    <w:rsid w:val="004136B0"/>
    <w:rsid w:val="00413B95"/>
    <w:rsid w:val="00414BF2"/>
    <w:rsid w:val="004154FA"/>
    <w:rsid w:val="004161E4"/>
    <w:rsid w:val="00416DA1"/>
    <w:rsid w:val="00416F6F"/>
    <w:rsid w:val="00417065"/>
    <w:rsid w:val="00417862"/>
    <w:rsid w:val="004206A4"/>
    <w:rsid w:val="00420E42"/>
    <w:rsid w:val="0042127E"/>
    <w:rsid w:val="00421A2C"/>
    <w:rsid w:val="00422597"/>
    <w:rsid w:val="0042272E"/>
    <w:rsid w:val="00422973"/>
    <w:rsid w:val="00422F51"/>
    <w:rsid w:val="004241EC"/>
    <w:rsid w:val="004243A1"/>
    <w:rsid w:val="00424B6A"/>
    <w:rsid w:val="00424C49"/>
    <w:rsid w:val="004252B5"/>
    <w:rsid w:val="00425732"/>
    <w:rsid w:val="00425E32"/>
    <w:rsid w:val="004261D5"/>
    <w:rsid w:val="00431A99"/>
    <w:rsid w:val="00431C59"/>
    <w:rsid w:val="00431E0F"/>
    <w:rsid w:val="0043227C"/>
    <w:rsid w:val="00432528"/>
    <w:rsid w:val="00432B43"/>
    <w:rsid w:val="00432D57"/>
    <w:rsid w:val="00434362"/>
    <w:rsid w:val="0043449D"/>
    <w:rsid w:val="00434596"/>
    <w:rsid w:val="004346C7"/>
    <w:rsid w:val="00434855"/>
    <w:rsid w:val="00435BFB"/>
    <w:rsid w:val="00435C92"/>
    <w:rsid w:val="00435D8A"/>
    <w:rsid w:val="00436AD9"/>
    <w:rsid w:val="004379FC"/>
    <w:rsid w:val="00437EB1"/>
    <w:rsid w:val="00437FD2"/>
    <w:rsid w:val="00440783"/>
    <w:rsid w:val="004416CE"/>
    <w:rsid w:val="00441954"/>
    <w:rsid w:val="004421E0"/>
    <w:rsid w:val="00444559"/>
    <w:rsid w:val="004450B4"/>
    <w:rsid w:val="0044517C"/>
    <w:rsid w:val="00445181"/>
    <w:rsid w:val="00445A99"/>
    <w:rsid w:val="004478D5"/>
    <w:rsid w:val="00451BA3"/>
    <w:rsid w:val="00451BAD"/>
    <w:rsid w:val="00451E3F"/>
    <w:rsid w:val="00451E4D"/>
    <w:rsid w:val="00452386"/>
    <w:rsid w:val="00453D40"/>
    <w:rsid w:val="004541C5"/>
    <w:rsid w:val="00454A85"/>
    <w:rsid w:val="00454BB9"/>
    <w:rsid w:val="00455735"/>
    <w:rsid w:val="004558E3"/>
    <w:rsid w:val="00455E05"/>
    <w:rsid w:val="00455E75"/>
    <w:rsid w:val="00456987"/>
    <w:rsid w:val="004609B5"/>
    <w:rsid w:val="0046154A"/>
    <w:rsid w:val="00461A1E"/>
    <w:rsid w:val="004622CB"/>
    <w:rsid w:val="00462516"/>
    <w:rsid w:val="00462795"/>
    <w:rsid w:val="004631FA"/>
    <w:rsid w:val="00463748"/>
    <w:rsid w:val="00463B39"/>
    <w:rsid w:val="00463EEA"/>
    <w:rsid w:val="00464688"/>
    <w:rsid w:val="00465153"/>
    <w:rsid w:val="0046595F"/>
    <w:rsid w:val="00466780"/>
    <w:rsid w:val="004669A4"/>
    <w:rsid w:val="0046763E"/>
    <w:rsid w:val="004679DD"/>
    <w:rsid w:val="00470446"/>
    <w:rsid w:val="00470496"/>
    <w:rsid w:val="00470FF3"/>
    <w:rsid w:val="00471B9F"/>
    <w:rsid w:val="0047263C"/>
    <w:rsid w:val="0047316A"/>
    <w:rsid w:val="00475387"/>
    <w:rsid w:val="0047573F"/>
    <w:rsid w:val="00480CB5"/>
    <w:rsid w:val="00481AB6"/>
    <w:rsid w:val="00482430"/>
    <w:rsid w:val="00483B8C"/>
    <w:rsid w:val="004845A6"/>
    <w:rsid w:val="0048507B"/>
    <w:rsid w:val="0048590B"/>
    <w:rsid w:val="00485D17"/>
    <w:rsid w:val="00486A6B"/>
    <w:rsid w:val="0048726E"/>
    <w:rsid w:val="0048788E"/>
    <w:rsid w:val="00487C1E"/>
    <w:rsid w:val="00490388"/>
    <w:rsid w:val="00490579"/>
    <w:rsid w:val="004917B9"/>
    <w:rsid w:val="00491BA2"/>
    <w:rsid w:val="00492FCB"/>
    <w:rsid w:val="00493099"/>
    <w:rsid w:val="00493782"/>
    <w:rsid w:val="0049510A"/>
    <w:rsid w:val="004967B6"/>
    <w:rsid w:val="004974CF"/>
    <w:rsid w:val="00497B8A"/>
    <w:rsid w:val="00497BE3"/>
    <w:rsid w:val="004A19D9"/>
    <w:rsid w:val="004A1E0B"/>
    <w:rsid w:val="004A2144"/>
    <w:rsid w:val="004A21EF"/>
    <w:rsid w:val="004A2616"/>
    <w:rsid w:val="004A2EC2"/>
    <w:rsid w:val="004A2EF0"/>
    <w:rsid w:val="004A4E0E"/>
    <w:rsid w:val="004A5773"/>
    <w:rsid w:val="004A6EB4"/>
    <w:rsid w:val="004A7301"/>
    <w:rsid w:val="004A74E4"/>
    <w:rsid w:val="004B12C9"/>
    <w:rsid w:val="004B246F"/>
    <w:rsid w:val="004B33E1"/>
    <w:rsid w:val="004B4BC2"/>
    <w:rsid w:val="004B5882"/>
    <w:rsid w:val="004B5C13"/>
    <w:rsid w:val="004B6E7E"/>
    <w:rsid w:val="004B7FF5"/>
    <w:rsid w:val="004C0100"/>
    <w:rsid w:val="004C0B5F"/>
    <w:rsid w:val="004C0D63"/>
    <w:rsid w:val="004C0E63"/>
    <w:rsid w:val="004C1A3F"/>
    <w:rsid w:val="004C1C25"/>
    <w:rsid w:val="004C1CF1"/>
    <w:rsid w:val="004C2302"/>
    <w:rsid w:val="004C23E1"/>
    <w:rsid w:val="004C30ED"/>
    <w:rsid w:val="004C3A5B"/>
    <w:rsid w:val="004C4A5A"/>
    <w:rsid w:val="004C674F"/>
    <w:rsid w:val="004C752F"/>
    <w:rsid w:val="004C7B00"/>
    <w:rsid w:val="004D0377"/>
    <w:rsid w:val="004D0440"/>
    <w:rsid w:val="004D07AF"/>
    <w:rsid w:val="004D1F0D"/>
    <w:rsid w:val="004D2E36"/>
    <w:rsid w:val="004D3E16"/>
    <w:rsid w:val="004D3F2E"/>
    <w:rsid w:val="004D4542"/>
    <w:rsid w:val="004D59E2"/>
    <w:rsid w:val="004D6281"/>
    <w:rsid w:val="004D7042"/>
    <w:rsid w:val="004D734C"/>
    <w:rsid w:val="004D7411"/>
    <w:rsid w:val="004D7C7E"/>
    <w:rsid w:val="004E014E"/>
    <w:rsid w:val="004E05EF"/>
    <w:rsid w:val="004E1460"/>
    <w:rsid w:val="004E1715"/>
    <w:rsid w:val="004E174C"/>
    <w:rsid w:val="004E21D5"/>
    <w:rsid w:val="004E28B1"/>
    <w:rsid w:val="004E3F7B"/>
    <w:rsid w:val="004E405E"/>
    <w:rsid w:val="004E4321"/>
    <w:rsid w:val="004E55A6"/>
    <w:rsid w:val="004E5978"/>
    <w:rsid w:val="004E6185"/>
    <w:rsid w:val="004E6394"/>
    <w:rsid w:val="004E6E48"/>
    <w:rsid w:val="004E754E"/>
    <w:rsid w:val="004E75D6"/>
    <w:rsid w:val="004E76CC"/>
    <w:rsid w:val="004E792C"/>
    <w:rsid w:val="004E7F64"/>
    <w:rsid w:val="004F0245"/>
    <w:rsid w:val="004F0DC4"/>
    <w:rsid w:val="004F0FC6"/>
    <w:rsid w:val="004F1887"/>
    <w:rsid w:val="004F1B60"/>
    <w:rsid w:val="004F2653"/>
    <w:rsid w:val="004F370F"/>
    <w:rsid w:val="004F3DF9"/>
    <w:rsid w:val="004F4399"/>
    <w:rsid w:val="004F545B"/>
    <w:rsid w:val="004F55F8"/>
    <w:rsid w:val="004F6EE4"/>
    <w:rsid w:val="004F78AB"/>
    <w:rsid w:val="005006F2"/>
    <w:rsid w:val="00501DEF"/>
    <w:rsid w:val="0050229A"/>
    <w:rsid w:val="00502379"/>
    <w:rsid w:val="00502E73"/>
    <w:rsid w:val="00504057"/>
    <w:rsid w:val="00504241"/>
    <w:rsid w:val="005042B9"/>
    <w:rsid w:val="005042E2"/>
    <w:rsid w:val="00504FCE"/>
    <w:rsid w:val="00505436"/>
    <w:rsid w:val="0050543C"/>
    <w:rsid w:val="00506266"/>
    <w:rsid w:val="005068FD"/>
    <w:rsid w:val="0051028A"/>
    <w:rsid w:val="00510480"/>
    <w:rsid w:val="005122DE"/>
    <w:rsid w:val="0051233B"/>
    <w:rsid w:val="00512B1A"/>
    <w:rsid w:val="00514854"/>
    <w:rsid w:val="00515EAC"/>
    <w:rsid w:val="00516C5A"/>
    <w:rsid w:val="00516D9E"/>
    <w:rsid w:val="00520027"/>
    <w:rsid w:val="00520C59"/>
    <w:rsid w:val="00520FA0"/>
    <w:rsid w:val="005220E0"/>
    <w:rsid w:val="00522762"/>
    <w:rsid w:val="005236A0"/>
    <w:rsid w:val="005237B4"/>
    <w:rsid w:val="00523FD1"/>
    <w:rsid w:val="00524848"/>
    <w:rsid w:val="00524C7B"/>
    <w:rsid w:val="00524E19"/>
    <w:rsid w:val="00525200"/>
    <w:rsid w:val="005257E8"/>
    <w:rsid w:val="00526861"/>
    <w:rsid w:val="00526FD4"/>
    <w:rsid w:val="00527193"/>
    <w:rsid w:val="0052736A"/>
    <w:rsid w:val="005273E4"/>
    <w:rsid w:val="00530354"/>
    <w:rsid w:val="00530721"/>
    <w:rsid w:val="0053114E"/>
    <w:rsid w:val="00531F98"/>
    <w:rsid w:val="00532477"/>
    <w:rsid w:val="005324AB"/>
    <w:rsid w:val="0053340D"/>
    <w:rsid w:val="005336D3"/>
    <w:rsid w:val="00534866"/>
    <w:rsid w:val="00534F90"/>
    <w:rsid w:val="0053568D"/>
    <w:rsid w:val="00535DD1"/>
    <w:rsid w:val="00537AAC"/>
    <w:rsid w:val="005416A2"/>
    <w:rsid w:val="00542384"/>
    <w:rsid w:val="00543CDC"/>
    <w:rsid w:val="0054420B"/>
    <w:rsid w:val="0054466A"/>
    <w:rsid w:val="005449A1"/>
    <w:rsid w:val="005454C9"/>
    <w:rsid w:val="0054626A"/>
    <w:rsid w:val="00546B68"/>
    <w:rsid w:val="00547691"/>
    <w:rsid w:val="005508AF"/>
    <w:rsid w:val="00550CEC"/>
    <w:rsid w:val="00550E12"/>
    <w:rsid w:val="005521FE"/>
    <w:rsid w:val="00552C5F"/>
    <w:rsid w:val="0055349C"/>
    <w:rsid w:val="005535C0"/>
    <w:rsid w:val="00554236"/>
    <w:rsid w:val="0055424D"/>
    <w:rsid w:val="005550EE"/>
    <w:rsid w:val="00555540"/>
    <w:rsid w:val="00555676"/>
    <w:rsid w:val="00555B55"/>
    <w:rsid w:val="00555C3F"/>
    <w:rsid w:val="005576C1"/>
    <w:rsid w:val="00557D4E"/>
    <w:rsid w:val="00557E48"/>
    <w:rsid w:val="005600CF"/>
    <w:rsid w:val="005617C5"/>
    <w:rsid w:val="00561A89"/>
    <w:rsid w:val="00562CF0"/>
    <w:rsid w:val="00563950"/>
    <w:rsid w:val="005641ED"/>
    <w:rsid w:val="005645C1"/>
    <w:rsid w:val="00565137"/>
    <w:rsid w:val="00565759"/>
    <w:rsid w:val="005674B5"/>
    <w:rsid w:val="00567D01"/>
    <w:rsid w:val="00567E6C"/>
    <w:rsid w:val="00571488"/>
    <w:rsid w:val="0057186A"/>
    <w:rsid w:val="00571F34"/>
    <w:rsid w:val="005723D0"/>
    <w:rsid w:val="00574854"/>
    <w:rsid w:val="00574B8C"/>
    <w:rsid w:val="005761C5"/>
    <w:rsid w:val="00576554"/>
    <w:rsid w:val="00580BC8"/>
    <w:rsid w:val="00581703"/>
    <w:rsid w:val="005827A2"/>
    <w:rsid w:val="00584E87"/>
    <w:rsid w:val="005875C2"/>
    <w:rsid w:val="00587F72"/>
    <w:rsid w:val="0059105A"/>
    <w:rsid w:val="00591276"/>
    <w:rsid w:val="00591278"/>
    <w:rsid w:val="0059140C"/>
    <w:rsid w:val="0059205C"/>
    <w:rsid w:val="005927FF"/>
    <w:rsid w:val="00594505"/>
    <w:rsid w:val="00594B8A"/>
    <w:rsid w:val="00594E91"/>
    <w:rsid w:val="005952B6"/>
    <w:rsid w:val="00596AB0"/>
    <w:rsid w:val="00597031"/>
    <w:rsid w:val="005971F6"/>
    <w:rsid w:val="005979E7"/>
    <w:rsid w:val="00597A05"/>
    <w:rsid w:val="00597ACC"/>
    <w:rsid w:val="005A13D1"/>
    <w:rsid w:val="005A5D9F"/>
    <w:rsid w:val="005A6153"/>
    <w:rsid w:val="005A6604"/>
    <w:rsid w:val="005A6B9A"/>
    <w:rsid w:val="005A7543"/>
    <w:rsid w:val="005A7E3B"/>
    <w:rsid w:val="005B0463"/>
    <w:rsid w:val="005B057E"/>
    <w:rsid w:val="005B0CC7"/>
    <w:rsid w:val="005B0D69"/>
    <w:rsid w:val="005B1EEA"/>
    <w:rsid w:val="005B24AD"/>
    <w:rsid w:val="005B2CA3"/>
    <w:rsid w:val="005B3B90"/>
    <w:rsid w:val="005B4CBD"/>
    <w:rsid w:val="005B4E4A"/>
    <w:rsid w:val="005B5317"/>
    <w:rsid w:val="005B5BD8"/>
    <w:rsid w:val="005B5EE4"/>
    <w:rsid w:val="005B610C"/>
    <w:rsid w:val="005B6638"/>
    <w:rsid w:val="005B7E63"/>
    <w:rsid w:val="005C006B"/>
    <w:rsid w:val="005C09DA"/>
    <w:rsid w:val="005C2BAA"/>
    <w:rsid w:val="005C3C20"/>
    <w:rsid w:val="005C44DE"/>
    <w:rsid w:val="005C498C"/>
    <w:rsid w:val="005C64A9"/>
    <w:rsid w:val="005C7270"/>
    <w:rsid w:val="005C7E06"/>
    <w:rsid w:val="005D10E1"/>
    <w:rsid w:val="005D13C7"/>
    <w:rsid w:val="005D1576"/>
    <w:rsid w:val="005D1BD3"/>
    <w:rsid w:val="005D337D"/>
    <w:rsid w:val="005D35CF"/>
    <w:rsid w:val="005D3899"/>
    <w:rsid w:val="005D3BF9"/>
    <w:rsid w:val="005D3EF8"/>
    <w:rsid w:val="005D4741"/>
    <w:rsid w:val="005D48FF"/>
    <w:rsid w:val="005D4A1D"/>
    <w:rsid w:val="005D59B0"/>
    <w:rsid w:val="005D6479"/>
    <w:rsid w:val="005D6A0A"/>
    <w:rsid w:val="005D6BBD"/>
    <w:rsid w:val="005E162A"/>
    <w:rsid w:val="005E1CEB"/>
    <w:rsid w:val="005E2081"/>
    <w:rsid w:val="005E3002"/>
    <w:rsid w:val="005E455F"/>
    <w:rsid w:val="005E4A1D"/>
    <w:rsid w:val="005E6302"/>
    <w:rsid w:val="005E6CA5"/>
    <w:rsid w:val="005E73D9"/>
    <w:rsid w:val="005E78DB"/>
    <w:rsid w:val="005F0980"/>
    <w:rsid w:val="005F1070"/>
    <w:rsid w:val="005F10A3"/>
    <w:rsid w:val="005F10F7"/>
    <w:rsid w:val="005F1404"/>
    <w:rsid w:val="005F1D97"/>
    <w:rsid w:val="005F25D0"/>
    <w:rsid w:val="005F2837"/>
    <w:rsid w:val="005F28C9"/>
    <w:rsid w:val="005F2DE7"/>
    <w:rsid w:val="005F338F"/>
    <w:rsid w:val="005F3C37"/>
    <w:rsid w:val="005F41B7"/>
    <w:rsid w:val="005F422F"/>
    <w:rsid w:val="005F43B3"/>
    <w:rsid w:val="005F4675"/>
    <w:rsid w:val="005F52AE"/>
    <w:rsid w:val="005F5EC2"/>
    <w:rsid w:val="005F62BF"/>
    <w:rsid w:val="005F6C37"/>
    <w:rsid w:val="005F6F09"/>
    <w:rsid w:val="005F7542"/>
    <w:rsid w:val="0060039A"/>
    <w:rsid w:val="00600436"/>
    <w:rsid w:val="00600CE9"/>
    <w:rsid w:val="00601726"/>
    <w:rsid w:val="00601A43"/>
    <w:rsid w:val="00601A61"/>
    <w:rsid w:val="00602F05"/>
    <w:rsid w:val="0060315C"/>
    <w:rsid w:val="00604169"/>
    <w:rsid w:val="00604C4D"/>
    <w:rsid w:val="006055F9"/>
    <w:rsid w:val="00605D41"/>
    <w:rsid w:val="00606BAE"/>
    <w:rsid w:val="006074EF"/>
    <w:rsid w:val="006074FE"/>
    <w:rsid w:val="006075C9"/>
    <w:rsid w:val="006075F4"/>
    <w:rsid w:val="006076FD"/>
    <w:rsid w:val="00607B9B"/>
    <w:rsid w:val="00610327"/>
    <w:rsid w:val="00610DB2"/>
    <w:rsid w:val="0061132E"/>
    <w:rsid w:val="00611405"/>
    <w:rsid w:val="006124B8"/>
    <w:rsid w:val="00613746"/>
    <w:rsid w:val="0061383C"/>
    <w:rsid w:val="0061401C"/>
    <w:rsid w:val="006142F4"/>
    <w:rsid w:val="00616CA7"/>
    <w:rsid w:val="00616D5B"/>
    <w:rsid w:val="0062033B"/>
    <w:rsid w:val="006207B9"/>
    <w:rsid w:val="00620B35"/>
    <w:rsid w:val="00620EB5"/>
    <w:rsid w:val="0062119C"/>
    <w:rsid w:val="00621458"/>
    <w:rsid w:val="006223DB"/>
    <w:rsid w:val="00622866"/>
    <w:rsid w:val="00622D59"/>
    <w:rsid w:val="00624CD0"/>
    <w:rsid w:val="006253F0"/>
    <w:rsid w:val="00625678"/>
    <w:rsid w:val="006256FE"/>
    <w:rsid w:val="00625FB8"/>
    <w:rsid w:val="00626D22"/>
    <w:rsid w:val="00626E4E"/>
    <w:rsid w:val="00627C6A"/>
    <w:rsid w:val="00630A36"/>
    <w:rsid w:val="00630CEF"/>
    <w:rsid w:val="00631999"/>
    <w:rsid w:val="00631D5E"/>
    <w:rsid w:val="00633189"/>
    <w:rsid w:val="00634082"/>
    <w:rsid w:val="00634337"/>
    <w:rsid w:val="0063582E"/>
    <w:rsid w:val="006364E6"/>
    <w:rsid w:val="00636726"/>
    <w:rsid w:val="00637252"/>
    <w:rsid w:val="006379B5"/>
    <w:rsid w:val="00640375"/>
    <w:rsid w:val="00641BD4"/>
    <w:rsid w:val="00641D42"/>
    <w:rsid w:val="0064253D"/>
    <w:rsid w:val="006425AF"/>
    <w:rsid w:val="00643301"/>
    <w:rsid w:val="00643AC1"/>
    <w:rsid w:val="00643EDD"/>
    <w:rsid w:val="006449E1"/>
    <w:rsid w:val="00645191"/>
    <w:rsid w:val="006453B4"/>
    <w:rsid w:val="006472FE"/>
    <w:rsid w:val="0064763F"/>
    <w:rsid w:val="00650960"/>
    <w:rsid w:val="00651B35"/>
    <w:rsid w:val="0065291D"/>
    <w:rsid w:val="00652BA0"/>
    <w:rsid w:val="00653241"/>
    <w:rsid w:val="00653354"/>
    <w:rsid w:val="006537C6"/>
    <w:rsid w:val="0065406C"/>
    <w:rsid w:val="00654AD7"/>
    <w:rsid w:val="0065512A"/>
    <w:rsid w:val="006554EF"/>
    <w:rsid w:val="00655690"/>
    <w:rsid w:val="00655D93"/>
    <w:rsid w:val="00656513"/>
    <w:rsid w:val="00656E60"/>
    <w:rsid w:val="0065751D"/>
    <w:rsid w:val="0065760D"/>
    <w:rsid w:val="006600FE"/>
    <w:rsid w:val="00660162"/>
    <w:rsid w:val="006609FC"/>
    <w:rsid w:val="00660A9C"/>
    <w:rsid w:val="0066100E"/>
    <w:rsid w:val="006612C3"/>
    <w:rsid w:val="00661E11"/>
    <w:rsid w:val="006624C8"/>
    <w:rsid w:val="0066277D"/>
    <w:rsid w:val="00662DCB"/>
    <w:rsid w:val="006630B4"/>
    <w:rsid w:val="0066448B"/>
    <w:rsid w:val="00664EE1"/>
    <w:rsid w:val="00665775"/>
    <w:rsid w:val="00665A45"/>
    <w:rsid w:val="00665E5B"/>
    <w:rsid w:val="00666B07"/>
    <w:rsid w:val="006676DA"/>
    <w:rsid w:val="00667CBF"/>
    <w:rsid w:val="00667FBE"/>
    <w:rsid w:val="006710D0"/>
    <w:rsid w:val="006714E3"/>
    <w:rsid w:val="00671E71"/>
    <w:rsid w:val="00673ABC"/>
    <w:rsid w:val="006743E1"/>
    <w:rsid w:val="006747A7"/>
    <w:rsid w:val="00676288"/>
    <w:rsid w:val="00677019"/>
    <w:rsid w:val="006776E3"/>
    <w:rsid w:val="00677BF6"/>
    <w:rsid w:val="00680A95"/>
    <w:rsid w:val="006815A2"/>
    <w:rsid w:val="00683D98"/>
    <w:rsid w:val="0068552F"/>
    <w:rsid w:val="00685C38"/>
    <w:rsid w:val="00685F93"/>
    <w:rsid w:val="0068671C"/>
    <w:rsid w:val="00686751"/>
    <w:rsid w:val="00686773"/>
    <w:rsid w:val="0068689C"/>
    <w:rsid w:val="00686B23"/>
    <w:rsid w:val="00686BDB"/>
    <w:rsid w:val="00687794"/>
    <w:rsid w:val="00687B32"/>
    <w:rsid w:val="00687F0A"/>
    <w:rsid w:val="00687F51"/>
    <w:rsid w:val="00690AB1"/>
    <w:rsid w:val="00691A2A"/>
    <w:rsid w:val="0069429D"/>
    <w:rsid w:val="00694B73"/>
    <w:rsid w:val="00694BE3"/>
    <w:rsid w:val="00694DD8"/>
    <w:rsid w:val="00695605"/>
    <w:rsid w:val="00695BE7"/>
    <w:rsid w:val="00695C34"/>
    <w:rsid w:val="00696B26"/>
    <w:rsid w:val="00697116"/>
    <w:rsid w:val="0069749B"/>
    <w:rsid w:val="00697E10"/>
    <w:rsid w:val="00697EF7"/>
    <w:rsid w:val="006A1329"/>
    <w:rsid w:val="006A1EAD"/>
    <w:rsid w:val="006A25A6"/>
    <w:rsid w:val="006A2AF4"/>
    <w:rsid w:val="006A3593"/>
    <w:rsid w:val="006A376E"/>
    <w:rsid w:val="006A41B1"/>
    <w:rsid w:val="006A44C3"/>
    <w:rsid w:val="006A4D8D"/>
    <w:rsid w:val="006A4E9A"/>
    <w:rsid w:val="006A555D"/>
    <w:rsid w:val="006A680D"/>
    <w:rsid w:val="006A6F4A"/>
    <w:rsid w:val="006A744C"/>
    <w:rsid w:val="006A787C"/>
    <w:rsid w:val="006A7A37"/>
    <w:rsid w:val="006A7D1B"/>
    <w:rsid w:val="006B0D15"/>
    <w:rsid w:val="006B237F"/>
    <w:rsid w:val="006B23FD"/>
    <w:rsid w:val="006B2A4E"/>
    <w:rsid w:val="006B2BBD"/>
    <w:rsid w:val="006B32A9"/>
    <w:rsid w:val="006B37E5"/>
    <w:rsid w:val="006B4DC2"/>
    <w:rsid w:val="006B4DCC"/>
    <w:rsid w:val="006B60BF"/>
    <w:rsid w:val="006B60DD"/>
    <w:rsid w:val="006B6B3F"/>
    <w:rsid w:val="006B6DCD"/>
    <w:rsid w:val="006B754F"/>
    <w:rsid w:val="006B761F"/>
    <w:rsid w:val="006B7E0A"/>
    <w:rsid w:val="006C2619"/>
    <w:rsid w:val="006C2E79"/>
    <w:rsid w:val="006C3096"/>
    <w:rsid w:val="006C35A9"/>
    <w:rsid w:val="006C3C04"/>
    <w:rsid w:val="006C4630"/>
    <w:rsid w:val="006C517B"/>
    <w:rsid w:val="006C58EA"/>
    <w:rsid w:val="006C60B9"/>
    <w:rsid w:val="006C64B4"/>
    <w:rsid w:val="006C745A"/>
    <w:rsid w:val="006D075C"/>
    <w:rsid w:val="006D0A11"/>
    <w:rsid w:val="006D0D54"/>
    <w:rsid w:val="006D0F7F"/>
    <w:rsid w:val="006D1B3F"/>
    <w:rsid w:val="006D3143"/>
    <w:rsid w:val="006D32EB"/>
    <w:rsid w:val="006D3608"/>
    <w:rsid w:val="006D3737"/>
    <w:rsid w:val="006D3C81"/>
    <w:rsid w:val="006D3E19"/>
    <w:rsid w:val="006D499F"/>
    <w:rsid w:val="006D4FC1"/>
    <w:rsid w:val="006D50F7"/>
    <w:rsid w:val="006D55AC"/>
    <w:rsid w:val="006D5CD8"/>
    <w:rsid w:val="006D6070"/>
    <w:rsid w:val="006D61BF"/>
    <w:rsid w:val="006D6AC3"/>
    <w:rsid w:val="006D728F"/>
    <w:rsid w:val="006D7B2E"/>
    <w:rsid w:val="006D7D44"/>
    <w:rsid w:val="006E0E5B"/>
    <w:rsid w:val="006E0F78"/>
    <w:rsid w:val="006E19AD"/>
    <w:rsid w:val="006E1D97"/>
    <w:rsid w:val="006E2F25"/>
    <w:rsid w:val="006E3A84"/>
    <w:rsid w:val="006E3E22"/>
    <w:rsid w:val="006E4D8A"/>
    <w:rsid w:val="006E5FDE"/>
    <w:rsid w:val="006E6E1F"/>
    <w:rsid w:val="006E743F"/>
    <w:rsid w:val="006F01E8"/>
    <w:rsid w:val="006F08ED"/>
    <w:rsid w:val="006F12D6"/>
    <w:rsid w:val="006F1494"/>
    <w:rsid w:val="006F22FC"/>
    <w:rsid w:val="006F274E"/>
    <w:rsid w:val="006F2B98"/>
    <w:rsid w:val="006F2CA8"/>
    <w:rsid w:val="006F32CB"/>
    <w:rsid w:val="006F33AB"/>
    <w:rsid w:val="006F3A6D"/>
    <w:rsid w:val="006F5090"/>
    <w:rsid w:val="006F52BB"/>
    <w:rsid w:val="006F589E"/>
    <w:rsid w:val="006F5910"/>
    <w:rsid w:val="006F6748"/>
    <w:rsid w:val="006F6842"/>
    <w:rsid w:val="0070068E"/>
    <w:rsid w:val="007008B3"/>
    <w:rsid w:val="00700EEC"/>
    <w:rsid w:val="00701B2A"/>
    <w:rsid w:val="00701C01"/>
    <w:rsid w:val="00701C83"/>
    <w:rsid w:val="007031B0"/>
    <w:rsid w:val="00705C17"/>
    <w:rsid w:val="0070666E"/>
    <w:rsid w:val="00706BB5"/>
    <w:rsid w:val="007072D8"/>
    <w:rsid w:val="00710A9F"/>
    <w:rsid w:val="00710BEE"/>
    <w:rsid w:val="007115E3"/>
    <w:rsid w:val="0071254E"/>
    <w:rsid w:val="00712942"/>
    <w:rsid w:val="0071323E"/>
    <w:rsid w:val="007132C5"/>
    <w:rsid w:val="00713D6E"/>
    <w:rsid w:val="0071417B"/>
    <w:rsid w:val="00714765"/>
    <w:rsid w:val="0071522F"/>
    <w:rsid w:val="0071538A"/>
    <w:rsid w:val="00715492"/>
    <w:rsid w:val="007169D1"/>
    <w:rsid w:val="00717C06"/>
    <w:rsid w:val="0072064A"/>
    <w:rsid w:val="0072096B"/>
    <w:rsid w:val="00720B7C"/>
    <w:rsid w:val="0072184B"/>
    <w:rsid w:val="00721D12"/>
    <w:rsid w:val="0072217D"/>
    <w:rsid w:val="007236C2"/>
    <w:rsid w:val="00724322"/>
    <w:rsid w:val="007244C4"/>
    <w:rsid w:val="0072484B"/>
    <w:rsid w:val="007252DB"/>
    <w:rsid w:val="0072610C"/>
    <w:rsid w:val="0072616A"/>
    <w:rsid w:val="00726D2B"/>
    <w:rsid w:val="00727362"/>
    <w:rsid w:val="00727DA6"/>
    <w:rsid w:val="00730334"/>
    <w:rsid w:val="00730355"/>
    <w:rsid w:val="00731D3A"/>
    <w:rsid w:val="00731E2F"/>
    <w:rsid w:val="00732FF7"/>
    <w:rsid w:val="00734278"/>
    <w:rsid w:val="00734446"/>
    <w:rsid w:val="00735436"/>
    <w:rsid w:val="0073570B"/>
    <w:rsid w:val="00737106"/>
    <w:rsid w:val="00737A2A"/>
    <w:rsid w:val="007401D8"/>
    <w:rsid w:val="007411CC"/>
    <w:rsid w:val="00741419"/>
    <w:rsid w:val="00741627"/>
    <w:rsid w:val="00743A59"/>
    <w:rsid w:val="00743D5D"/>
    <w:rsid w:val="0074417C"/>
    <w:rsid w:val="00744F61"/>
    <w:rsid w:val="0074513C"/>
    <w:rsid w:val="00745E66"/>
    <w:rsid w:val="0074675F"/>
    <w:rsid w:val="00746A58"/>
    <w:rsid w:val="00746FD6"/>
    <w:rsid w:val="00747850"/>
    <w:rsid w:val="00750262"/>
    <w:rsid w:val="00751C64"/>
    <w:rsid w:val="0075207F"/>
    <w:rsid w:val="007523BF"/>
    <w:rsid w:val="00752537"/>
    <w:rsid w:val="00753D29"/>
    <w:rsid w:val="00753DD6"/>
    <w:rsid w:val="00754903"/>
    <w:rsid w:val="007551DD"/>
    <w:rsid w:val="0075589A"/>
    <w:rsid w:val="00755C06"/>
    <w:rsid w:val="00756C91"/>
    <w:rsid w:val="00756EE8"/>
    <w:rsid w:val="00757C09"/>
    <w:rsid w:val="00757E87"/>
    <w:rsid w:val="007600E5"/>
    <w:rsid w:val="007600EC"/>
    <w:rsid w:val="00761EE6"/>
    <w:rsid w:val="007621BD"/>
    <w:rsid w:val="0076276D"/>
    <w:rsid w:val="00762D81"/>
    <w:rsid w:val="00763ACB"/>
    <w:rsid w:val="00763C46"/>
    <w:rsid w:val="00764584"/>
    <w:rsid w:val="007654D7"/>
    <w:rsid w:val="00765634"/>
    <w:rsid w:val="00765816"/>
    <w:rsid w:val="00766392"/>
    <w:rsid w:val="00766457"/>
    <w:rsid w:val="00766803"/>
    <w:rsid w:val="0076748C"/>
    <w:rsid w:val="00767B5F"/>
    <w:rsid w:val="007701B7"/>
    <w:rsid w:val="00770618"/>
    <w:rsid w:val="00770AA5"/>
    <w:rsid w:val="00770EE0"/>
    <w:rsid w:val="00771318"/>
    <w:rsid w:val="007716B8"/>
    <w:rsid w:val="00771D3D"/>
    <w:rsid w:val="00771DA4"/>
    <w:rsid w:val="00772153"/>
    <w:rsid w:val="0077346E"/>
    <w:rsid w:val="00773FBB"/>
    <w:rsid w:val="007742AD"/>
    <w:rsid w:val="00775AD3"/>
    <w:rsid w:val="007766B9"/>
    <w:rsid w:val="007772B0"/>
    <w:rsid w:val="007775DD"/>
    <w:rsid w:val="007776D3"/>
    <w:rsid w:val="007776F8"/>
    <w:rsid w:val="00777D03"/>
    <w:rsid w:val="00780602"/>
    <w:rsid w:val="0078065C"/>
    <w:rsid w:val="00781265"/>
    <w:rsid w:val="0078134A"/>
    <w:rsid w:val="00782EC4"/>
    <w:rsid w:val="0078317F"/>
    <w:rsid w:val="00783223"/>
    <w:rsid w:val="007842C5"/>
    <w:rsid w:val="007847C4"/>
    <w:rsid w:val="00784908"/>
    <w:rsid w:val="00790AB8"/>
    <w:rsid w:val="00790C9D"/>
    <w:rsid w:val="00790E2A"/>
    <w:rsid w:val="00792036"/>
    <w:rsid w:val="00792705"/>
    <w:rsid w:val="00793728"/>
    <w:rsid w:val="00793D04"/>
    <w:rsid w:val="00795440"/>
    <w:rsid w:val="00795CAD"/>
    <w:rsid w:val="00795E84"/>
    <w:rsid w:val="007963F0"/>
    <w:rsid w:val="0079795E"/>
    <w:rsid w:val="007A01A6"/>
    <w:rsid w:val="007A078B"/>
    <w:rsid w:val="007A1051"/>
    <w:rsid w:val="007A11EF"/>
    <w:rsid w:val="007A1815"/>
    <w:rsid w:val="007A2CC2"/>
    <w:rsid w:val="007A309C"/>
    <w:rsid w:val="007A32ED"/>
    <w:rsid w:val="007A3471"/>
    <w:rsid w:val="007A4DA6"/>
    <w:rsid w:val="007A5022"/>
    <w:rsid w:val="007A6DCA"/>
    <w:rsid w:val="007A7C7F"/>
    <w:rsid w:val="007B0D40"/>
    <w:rsid w:val="007B1DBB"/>
    <w:rsid w:val="007B2063"/>
    <w:rsid w:val="007B2364"/>
    <w:rsid w:val="007B2B55"/>
    <w:rsid w:val="007B2B8F"/>
    <w:rsid w:val="007B2BA6"/>
    <w:rsid w:val="007B2FBF"/>
    <w:rsid w:val="007B3898"/>
    <w:rsid w:val="007B3B18"/>
    <w:rsid w:val="007B6526"/>
    <w:rsid w:val="007B6862"/>
    <w:rsid w:val="007B6B60"/>
    <w:rsid w:val="007B6E30"/>
    <w:rsid w:val="007B7168"/>
    <w:rsid w:val="007B792B"/>
    <w:rsid w:val="007B7C84"/>
    <w:rsid w:val="007C0877"/>
    <w:rsid w:val="007C1963"/>
    <w:rsid w:val="007C2D34"/>
    <w:rsid w:val="007C3FC0"/>
    <w:rsid w:val="007C41A8"/>
    <w:rsid w:val="007C41EC"/>
    <w:rsid w:val="007C4872"/>
    <w:rsid w:val="007C4891"/>
    <w:rsid w:val="007C519E"/>
    <w:rsid w:val="007C57B9"/>
    <w:rsid w:val="007C5ADF"/>
    <w:rsid w:val="007C681E"/>
    <w:rsid w:val="007C7170"/>
    <w:rsid w:val="007C7357"/>
    <w:rsid w:val="007C7AE4"/>
    <w:rsid w:val="007C7C14"/>
    <w:rsid w:val="007D0090"/>
    <w:rsid w:val="007D0DB9"/>
    <w:rsid w:val="007D0F34"/>
    <w:rsid w:val="007D2D0C"/>
    <w:rsid w:val="007D46A1"/>
    <w:rsid w:val="007D4D70"/>
    <w:rsid w:val="007D4DFA"/>
    <w:rsid w:val="007D664B"/>
    <w:rsid w:val="007D66D9"/>
    <w:rsid w:val="007D6937"/>
    <w:rsid w:val="007D6DBB"/>
    <w:rsid w:val="007D76D4"/>
    <w:rsid w:val="007E025F"/>
    <w:rsid w:val="007E1294"/>
    <w:rsid w:val="007E1BBE"/>
    <w:rsid w:val="007E1DB9"/>
    <w:rsid w:val="007E21DB"/>
    <w:rsid w:val="007E21F1"/>
    <w:rsid w:val="007E2B0B"/>
    <w:rsid w:val="007E2C14"/>
    <w:rsid w:val="007E39A4"/>
    <w:rsid w:val="007E45A2"/>
    <w:rsid w:val="007E47E7"/>
    <w:rsid w:val="007E4C9C"/>
    <w:rsid w:val="007E5BE8"/>
    <w:rsid w:val="007E6A77"/>
    <w:rsid w:val="007E6AC9"/>
    <w:rsid w:val="007F0AD5"/>
    <w:rsid w:val="007F2688"/>
    <w:rsid w:val="007F32BF"/>
    <w:rsid w:val="007F3686"/>
    <w:rsid w:val="007F3BB4"/>
    <w:rsid w:val="007F3F02"/>
    <w:rsid w:val="007F568A"/>
    <w:rsid w:val="007F654C"/>
    <w:rsid w:val="007F6B11"/>
    <w:rsid w:val="007F741F"/>
    <w:rsid w:val="007F79BA"/>
    <w:rsid w:val="00800DFB"/>
    <w:rsid w:val="008012F1"/>
    <w:rsid w:val="00801A66"/>
    <w:rsid w:val="00803559"/>
    <w:rsid w:val="00803762"/>
    <w:rsid w:val="00805302"/>
    <w:rsid w:val="00805412"/>
    <w:rsid w:val="008063CE"/>
    <w:rsid w:val="00806453"/>
    <w:rsid w:val="00807421"/>
    <w:rsid w:val="008078AB"/>
    <w:rsid w:val="00807BBC"/>
    <w:rsid w:val="0081041D"/>
    <w:rsid w:val="00810839"/>
    <w:rsid w:val="0081250F"/>
    <w:rsid w:val="00812788"/>
    <w:rsid w:val="0081398C"/>
    <w:rsid w:val="00814000"/>
    <w:rsid w:val="00814C4D"/>
    <w:rsid w:val="00816DBD"/>
    <w:rsid w:val="0081785D"/>
    <w:rsid w:val="00817A2D"/>
    <w:rsid w:val="0082099F"/>
    <w:rsid w:val="00820A8D"/>
    <w:rsid w:val="00821091"/>
    <w:rsid w:val="00821287"/>
    <w:rsid w:val="00821BA1"/>
    <w:rsid w:val="00821CFD"/>
    <w:rsid w:val="008220DC"/>
    <w:rsid w:val="00822A70"/>
    <w:rsid w:val="00822F37"/>
    <w:rsid w:val="00827AF0"/>
    <w:rsid w:val="00831841"/>
    <w:rsid w:val="00831D98"/>
    <w:rsid w:val="008321FE"/>
    <w:rsid w:val="008322EC"/>
    <w:rsid w:val="00832318"/>
    <w:rsid w:val="00832325"/>
    <w:rsid w:val="00832F41"/>
    <w:rsid w:val="00835D41"/>
    <w:rsid w:val="00836860"/>
    <w:rsid w:val="00840882"/>
    <w:rsid w:val="00840CC9"/>
    <w:rsid w:val="00841E65"/>
    <w:rsid w:val="00842702"/>
    <w:rsid w:val="008427DB"/>
    <w:rsid w:val="0084356D"/>
    <w:rsid w:val="00843619"/>
    <w:rsid w:val="0084365E"/>
    <w:rsid w:val="00843AC7"/>
    <w:rsid w:val="00843DF5"/>
    <w:rsid w:val="008440C0"/>
    <w:rsid w:val="00844732"/>
    <w:rsid w:val="008452A4"/>
    <w:rsid w:val="00846CA8"/>
    <w:rsid w:val="0084792B"/>
    <w:rsid w:val="00847E1F"/>
    <w:rsid w:val="008504A0"/>
    <w:rsid w:val="008504F5"/>
    <w:rsid w:val="00850CBB"/>
    <w:rsid w:val="008511BB"/>
    <w:rsid w:val="008539C9"/>
    <w:rsid w:val="00853D72"/>
    <w:rsid w:val="00854043"/>
    <w:rsid w:val="008545DD"/>
    <w:rsid w:val="00854C7D"/>
    <w:rsid w:val="00854FF5"/>
    <w:rsid w:val="008560FF"/>
    <w:rsid w:val="00860507"/>
    <w:rsid w:val="00860E84"/>
    <w:rsid w:val="0086108E"/>
    <w:rsid w:val="0086136E"/>
    <w:rsid w:val="00861F2E"/>
    <w:rsid w:val="008629E4"/>
    <w:rsid w:val="00863417"/>
    <w:rsid w:val="00863B04"/>
    <w:rsid w:val="008651E1"/>
    <w:rsid w:val="008660C3"/>
    <w:rsid w:val="0086652B"/>
    <w:rsid w:val="00867147"/>
    <w:rsid w:val="00867E72"/>
    <w:rsid w:val="00870231"/>
    <w:rsid w:val="00871026"/>
    <w:rsid w:val="008711F5"/>
    <w:rsid w:val="00871EC6"/>
    <w:rsid w:val="00872453"/>
    <w:rsid w:val="00872F25"/>
    <w:rsid w:val="00873205"/>
    <w:rsid w:val="0087361E"/>
    <w:rsid w:val="00873B8F"/>
    <w:rsid w:val="00873BC5"/>
    <w:rsid w:val="008741A2"/>
    <w:rsid w:val="00875612"/>
    <w:rsid w:val="00875F2D"/>
    <w:rsid w:val="00875F7D"/>
    <w:rsid w:val="0087667A"/>
    <w:rsid w:val="00876680"/>
    <w:rsid w:val="00876FB5"/>
    <w:rsid w:val="00876FFF"/>
    <w:rsid w:val="0088025B"/>
    <w:rsid w:val="00881E66"/>
    <w:rsid w:val="008820A6"/>
    <w:rsid w:val="00882277"/>
    <w:rsid w:val="0088273A"/>
    <w:rsid w:val="00882A7E"/>
    <w:rsid w:val="0088353B"/>
    <w:rsid w:val="00883674"/>
    <w:rsid w:val="00883FF3"/>
    <w:rsid w:val="00884284"/>
    <w:rsid w:val="00884358"/>
    <w:rsid w:val="00884D07"/>
    <w:rsid w:val="008854DC"/>
    <w:rsid w:val="00885A16"/>
    <w:rsid w:val="00886221"/>
    <w:rsid w:val="00886645"/>
    <w:rsid w:val="008877DE"/>
    <w:rsid w:val="00887BA4"/>
    <w:rsid w:val="00887BE2"/>
    <w:rsid w:val="00890061"/>
    <w:rsid w:val="00891570"/>
    <w:rsid w:val="008917A6"/>
    <w:rsid w:val="0089343C"/>
    <w:rsid w:val="00893C67"/>
    <w:rsid w:val="00894571"/>
    <w:rsid w:val="00894FD2"/>
    <w:rsid w:val="00895297"/>
    <w:rsid w:val="00895DEE"/>
    <w:rsid w:val="008966D7"/>
    <w:rsid w:val="008967CF"/>
    <w:rsid w:val="0089728E"/>
    <w:rsid w:val="00897B2B"/>
    <w:rsid w:val="008A0006"/>
    <w:rsid w:val="008A0315"/>
    <w:rsid w:val="008A0386"/>
    <w:rsid w:val="008A0975"/>
    <w:rsid w:val="008A3175"/>
    <w:rsid w:val="008A31C5"/>
    <w:rsid w:val="008A3ABE"/>
    <w:rsid w:val="008A490A"/>
    <w:rsid w:val="008A498A"/>
    <w:rsid w:val="008A4B7C"/>
    <w:rsid w:val="008A5148"/>
    <w:rsid w:val="008A582D"/>
    <w:rsid w:val="008A59ED"/>
    <w:rsid w:val="008A5C5B"/>
    <w:rsid w:val="008A601D"/>
    <w:rsid w:val="008A74E0"/>
    <w:rsid w:val="008B00F0"/>
    <w:rsid w:val="008B04C0"/>
    <w:rsid w:val="008B09F8"/>
    <w:rsid w:val="008B0F9F"/>
    <w:rsid w:val="008B1561"/>
    <w:rsid w:val="008B1B50"/>
    <w:rsid w:val="008B224A"/>
    <w:rsid w:val="008B230E"/>
    <w:rsid w:val="008B2A3D"/>
    <w:rsid w:val="008B2DA3"/>
    <w:rsid w:val="008B2FB3"/>
    <w:rsid w:val="008B3A9D"/>
    <w:rsid w:val="008B3E9A"/>
    <w:rsid w:val="008B5DF1"/>
    <w:rsid w:val="008B7675"/>
    <w:rsid w:val="008B7E60"/>
    <w:rsid w:val="008B7EAC"/>
    <w:rsid w:val="008C074A"/>
    <w:rsid w:val="008C0993"/>
    <w:rsid w:val="008C0C4B"/>
    <w:rsid w:val="008C0CD4"/>
    <w:rsid w:val="008C0F49"/>
    <w:rsid w:val="008C1A61"/>
    <w:rsid w:val="008C1D36"/>
    <w:rsid w:val="008C24F8"/>
    <w:rsid w:val="008C25B7"/>
    <w:rsid w:val="008C2AE9"/>
    <w:rsid w:val="008C34EB"/>
    <w:rsid w:val="008C363F"/>
    <w:rsid w:val="008C3666"/>
    <w:rsid w:val="008C3D95"/>
    <w:rsid w:val="008C3F78"/>
    <w:rsid w:val="008C4AD5"/>
    <w:rsid w:val="008C4C12"/>
    <w:rsid w:val="008C6610"/>
    <w:rsid w:val="008C6BFE"/>
    <w:rsid w:val="008C707A"/>
    <w:rsid w:val="008C72A2"/>
    <w:rsid w:val="008C742A"/>
    <w:rsid w:val="008C7FD1"/>
    <w:rsid w:val="008D0B90"/>
    <w:rsid w:val="008D0C08"/>
    <w:rsid w:val="008D1B7B"/>
    <w:rsid w:val="008D1F80"/>
    <w:rsid w:val="008D23CE"/>
    <w:rsid w:val="008D2585"/>
    <w:rsid w:val="008D2D11"/>
    <w:rsid w:val="008D379A"/>
    <w:rsid w:val="008D3997"/>
    <w:rsid w:val="008D3B3C"/>
    <w:rsid w:val="008D3F6E"/>
    <w:rsid w:val="008D4167"/>
    <w:rsid w:val="008D43B1"/>
    <w:rsid w:val="008D4DA5"/>
    <w:rsid w:val="008D53E3"/>
    <w:rsid w:val="008D5BBD"/>
    <w:rsid w:val="008D6128"/>
    <w:rsid w:val="008D626C"/>
    <w:rsid w:val="008D7470"/>
    <w:rsid w:val="008D7E15"/>
    <w:rsid w:val="008E0A6E"/>
    <w:rsid w:val="008E10CF"/>
    <w:rsid w:val="008E1950"/>
    <w:rsid w:val="008E35F1"/>
    <w:rsid w:val="008E3C97"/>
    <w:rsid w:val="008E41CD"/>
    <w:rsid w:val="008E61D3"/>
    <w:rsid w:val="008E6C6B"/>
    <w:rsid w:val="008E74C1"/>
    <w:rsid w:val="008E7839"/>
    <w:rsid w:val="008E7A33"/>
    <w:rsid w:val="008E7C2E"/>
    <w:rsid w:val="008F067C"/>
    <w:rsid w:val="008F0DC8"/>
    <w:rsid w:val="008F108D"/>
    <w:rsid w:val="008F11D8"/>
    <w:rsid w:val="008F1A37"/>
    <w:rsid w:val="008F40CA"/>
    <w:rsid w:val="008F4F9A"/>
    <w:rsid w:val="008F50D2"/>
    <w:rsid w:val="008F53B5"/>
    <w:rsid w:val="008F5971"/>
    <w:rsid w:val="008F5AE5"/>
    <w:rsid w:val="008F5FD4"/>
    <w:rsid w:val="008F646A"/>
    <w:rsid w:val="008F66EB"/>
    <w:rsid w:val="008F7EE4"/>
    <w:rsid w:val="00900150"/>
    <w:rsid w:val="00900207"/>
    <w:rsid w:val="00900373"/>
    <w:rsid w:val="00900A8D"/>
    <w:rsid w:val="00900CE5"/>
    <w:rsid w:val="00901147"/>
    <w:rsid w:val="0090140E"/>
    <w:rsid w:val="00901474"/>
    <w:rsid w:val="009022E9"/>
    <w:rsid w:val="009039DC"/>
    <w:rsid w:val="00904107"/>
    <w:rsid w:val="009056E3"/>
    <w:rsid w:val="00906BD6"/>
    <w:rsid w:val="009071C6"/>
    <w:rsid w:val="009074D2"/>
    <w:rsid w:val="009078BA"/>
    <w:rsid w:val="00910410"/>
    <w:rsid w:val="009110AE"/>
    <w:rsid w:val="00911BC0"/>
    <w:rsid w:val="0091296E"/>
    <w:rsid w:val="00913C4C"/>
    <w:rsid w:val="0091428A"/>
    <w:rsid w:val="0091451D"/>
    <w:rsid w:val="0091475C"/>
    <w:rsid w:val="00916387"/>
    <w:rsid w:val="00916B99"/>
    <w:rsid w:val="00916D6A"/>
    <w:rsid w:val="00920C1D"/>
    <w:rsid w:val="00920C87"/>
    <w:rsid w:val="00921E36"/>
    <w:rsid w:val="0092272F"/>
    <w:rsid w:val="00922F44"/>
    <w:rsid w:val="00923BE1"/>
    <w:rsid w:val="00924456"/>
    <w:rsid w:val="00924F28"/>
    <w:rsid w:val="00925C5A"/>
    <w:rsid w:val="00927DC0"/>
    <w:rsid w:val="00930136"/>
    <w:rsid w:val="00930472"/>
    <w:rsid w:val="00930884"/>
    <w:rsid w:val="0093335C"/>
    <w:rsid w:val="0093376E"/>
    <w:rsid w:val="00933EDD"/>
    <w:rsid w:val="0093430E"/>
    <w:rsid w:val="0093713D"/>
    <w:rsid w:val="00937FB9"/>
    <w:rsid w:val="00940F98"/>
    <w:rsid w:val="009414E8"/>
    <w:rsid w:val="00942556"/>
    <w:rsid w:val="00943B4F"/>
    <w:rsid w:val="00944F90"/>
    <w:rsid w:val="00944F93"/>
    <w:rsid w:val="0094541B"/>
    <w:rsid w:val="00945CD8"/>
    <w:rsid w:val="009466B5"/>
    <w:rsid w:val="00947E04"/>
    <w:rsid w:val="00950662"/>
    <w:rsid w:val="00950A1C"/>
    <w:rsid w:val="00951D64"/>
    <w:rsid w:val="00952296"/>
    <w:rsid w:val="00952FFC"/>
    <w:rsid w:val="00955FBD"/>
    <w:rsid w:val="00956874"/>
    <w:rsid w:val="00957885"/>
    <w:rsid w:val="009609DB"/>
    <w:rsid w:val="00960AB5"/>
    <w:rsid w:val="00961219"/>
    <w:rsid w:val="00961BBF"/>
    <w:rsid w:val="009620D6"/>
    <w:rsid w:val="009625FD"/>
    <w:rsid w:val="00962735"/>
    <w:rsid w:val="0096280F"/>
    <w:rsid w:val="009628D7"/>
    <w:rsid w:val="00963398"/>
    <w:rsid w:val="009636DA"/>
    <w:rsid w:val="00963728"/>
    <w:rsid w:val="00964BC2"/>
    <w:rsid w:val="009652E8"/>
    <w:rsid w:val="009656B4"/>
    <w:rsid w:val="00965DCC"/>
    <w:rsid w:val="00965F5C"/>
    <w:rsid w:val="009672B2"/>
    <w:rsid w:val="0096733F"/>
    <w:rsid w:val="00970196"/>
    <w:rsid w:val="00970714"/>
    <w:rsid w:val="00971260"/>
    <w:rsid w:val="0097144E"/>
    <w:rsid w:val="00971DDF"/>
    <w:rsid w:val="00972577"/>
    <w:rsid w:val="00972D16"/>
    <w:rsid w:val="00973A06"/>
    <w:rsid w:val="00977894"/>
    <w:rsid w:val="00980B05"/>
    <w:rsid w:val="00981BBF"/>
    <w:rsid w:val="00981FDF"/>
    <w:rsid w:val="00982513"/>
    <w:rsid w:val="00982688"/>
    <w:rsid w:val="009829FE"/>
    <w:rsid w:val="00982B8E"/>
    <w:rsid w:val="00984234"/>
    <w:rsid w:val="0098434D"/>
    <w:rsid w:val="00984E0B"/>
    <w:rsid w:val="00985E97"/>
    <w:rsid w:val="00986413"/>
    <w:rsid w:val="009864F7"/>
    <w:rsid w:val="00986599"/>
    <w:rsid w:val="00986708"/>
    <w:rsid w:val="009868B2"/>
    <w:rsid w:val="00986BF0"/>
    <w:rsid w:val="00987427"/>
    <w:rsid w:val="009877D2"/>
    <w:rsid w:val="00992529"/>
    <w:rsid w:val="00992638"/>
    <w:rsid w:val="00992D01"/>
    <w:rsid w:val="00992F4A"/>
    <w:rsid w:val="00995D1C"/>
    <w:rsid w:val="009969FC"/>
    <w:rsid w:val="00996BFF"/>
    <w:rsid w:val="0099708F"/>
    <w:rsid w:val="00997552"/>
    <w:rsid w:val="0099788C"/>
    <w:rsid w:val="009A05AD"/>
    <w:rsid w:val="009A072E"/>
    <w:rsid w:val="009A1012"/>
    <w:rsid w:val="009A150D"/>
    <w:rsid w:val="009A1B64"/>
    <w:rsid w:val="009A30ED"/>
    <w:rsid w:val="009A34EF"/>
    <w:rsid w:val="009A3995"/>
    <w:rsid w:val="009A4084"/>
    <w:rsid w:val="009A45B0"/>
    <w:rsid w:val="009A479E"/>
    <w:rsid w:val="009A77CE"/>
    <w:rsid w:val="009B057D"/>
    <w:rsid w:val="009B0E21"/>
    <w:rsid w:val="009B172F"/>
    <w:rsid w:val="009B199E"/>
    <w:rsid w:val="009B200A"/>
    <w:rsid w:val="009B2326"/>
    <w:rsid w:val="009B2BC3"/>
    <w:rsid w:val="009B2DF9"/>
    <w:rsid w:val="009B39F9"/>
    <w:rsid w:val="009B3F70"/>
    <w:rsid w:val="009B45D0"/>
    <w:rsid w:val="009B4BA5"/>
    <w:rsid w:val="009B5315"/>
    <w:rsid w:val="009B6A81"/>
    <w:rsid w:val="009B70CE"/>
    <w:rsid w:val="009B7D30"/>
    <w:rsid w:val="009B7E02"/>
    <w:rsid w:val="009B7F30"/>
    <w:rsid w:val="009C0D7C"/>
    <w:rsid w:val="009C1030"/>
    <w:rsid w:val="009C222B"/>
    <w:rsid w:val="009C3EA0"/>
    <w:rsid w:val="009C4A2A"/>
    <w:rsid w:val="009C5238"/>
    <w:rsid w:val="009C59BF"/>
    <w:rsid w:val="009C634E"/>
    <w:rsid w:val="009C7016"/>
    <w:rsid w:val="009C78B1"/>
    <w:rsid w:val="009C7F53"/>
    <w:rsid w:val="009D0208"/>
    <w:rsid w:val="009D074F"/>
    <w:rsid w:val="009D1395"/>
    <w:rsid w:val="009D1BD9"/>
    <w:rsid w:val="009D1C8E"/>
    <w:rsid w:val="009D1CAF"/>
    <w:rsid w:val="009D1F6B"/>
    <w:rsid w:val="009D2323"/>
    <w:rsid w:val="009D3DD6"/>
    <w:rsid w:val="009D40FB"/>
    <w:rsid w:val="009D43AE"/>
    <w:rsid w:val="009D47A0"/>
    <w:rsid w:val="009D4E99"/>
    <w:rsid w:val="009D61CE"/>
    <w:rsid w:val="009D71AD"/>
    <w:rsid w:val="009D74E6"/>
    <w:rsid w:val="009E03F7"/>
    <w:rsid w:val="009E04E0"/>
    <w:rsid w:val="009E0EC6"/>
    <w:rsid w:val="009E1084"/>
    <w:rsid w:val="009E243A"/>
    <w:rsid w:val="009E3075"/>
    <w:rsid w:val="009E3D23"/>
    <w:rsid w:val="009E3D8B"/>
    <w:rsid w:val="009E4727"/>
    <w:rsid w:val="009E4EB7"/>
    <w:rsid w:val="009E4EC4"/>
    <w:rsid w:val="009E5245"/>
    <w:rsid w:val="009E5546"/>
    <w:rsid w:val="009E573A"/>
    <w:rsid w:val="009E581B"/>
    <w:rsid w:val="009E5CDE"/>
    <w:rsid w:val="009E60E4"/>
    <w:rsid w:val="009E6B2B"/>
    <w:rsid w:val="009E6BAB"/>
    <w:rsid w:val="009E6E8C"/>
    <w:rsid w:val="009E714E"/>
    <w:rsid w:val="009E7610"/>
    <w:rsid w:val="009E76FF"/>
    <w:rsid w:val="009E7A78"/>
    <w:rsid w:val="009F013F"/>
    <w:rsid w:val="009F08FF"/>
    <w:rsid w:val="009F0BE4"/>
    <w:rsid w:val="009F1585"/>
    <w:rsid w:val="009F36BE"/>
    <w:rsid w:val="009F39EB"/>
    <w:rsid w:val="009F472D"/>
    <w:rsid w:val="009F52F2"/>
    <w:rsid w:val="009F547E"/>
    <w:rsid w:val="009F67A2"/>
    <w:rsid w:val="009F7390"/>
    <w:rsid w:val="009F7BB8"/>
    <w:rsid w:val="00A0161B"/>
    <w:rsid w:val="00A01679"/>
    <w:rsid w:val="00A01B2B"/>
    <w:rsid w:val="00A023BD"/>
    <w:rsid w:val="00A0261E"/>
    <w:rsid w:val="00A02DB1"/>
    <w:rsid w:val="00A03763"/>
    <w:rsid w:val="00A03B1D"/>
    <w:rsid w:val="00A0424B"/>
    <w:rsid w:val="00A04F34"/>
    <w:rsid w:val="00A05A17"/>
    <w:rsid w:val="00A05B70"/>
    <w:rsid w:val="00A06312"/>
    <w:rsid w:val="00A06BE7"/>
    <w:rsid w:val="00A06DD8"/>
    <w:rsid w:val="00A07289"/>
    <w:rsid w:val="00A07CAA"/>
    <w:rsid w:val="00A07E2E"/>
    <w:rsid w:val="00A07E33"/>
    <w:rsid w:val="00A10EF5"/>
    <w:rsid w:val="00A1116C"/>
    <w:rsid w:val="00A113C4"/>
    <w:rsid w:val="00A11953"/>
    <w:rsid w:val="00A1289C"/>
    <w:rsid w:val="00A12EA7"/>
    <w:rsid w:val="00A13445"/>
    <w:rsid w:val="00A145FD"/>
    <w:rsid w:val="00A1498A"/>
    <w:rsid w:val="00A15DB4"/>
    <w:rsid w:val="00A16100"/>
    <w:rsid w:val="00A16747"/>
    <w:rsid w:val="00A210DC"/>
    <w:rsid w:val="00A214E8"/>
    <w:rsid w:val="00A2162F"/>
    <w:rsid w:val="00A21884"/>
    <w:rsid w:val="00A2304B"/>
    <w:rsid w:val="00A23DD6"/>
    <w:rsid w:val="00A2414C"/>
    <w:rsid w:val="00A2454E"/>
    <w:rsid w:val="00A24789"/>
    <w:rsid w:val="00A259C2"/>
    <w:rsid w:val="00A259EF"/>
    <w:rsid w:val="00A25AE1"/>
    <w:rsid w:val="00A26E8F"/>
    <w:rsid w:val="00A2724E"/>
    <w:rsid w:val="00A317E1"/>
    <w:rsid w:val="00A32FA3"/>
    <w:rsid w:val="00A33BD0"/>
    <w:rsid w:val="00A35357"/>
    <w:rsid w:val="00A35448"/>
    <w:rsid w:val="00A355A7"/>
    <w:rsid w:val="00A3624A"/>
    <w:rsid w:val="00A36C9F"/>
    <w:rsid w:val="00A36FBB"/>
    <w:rsid w:val="00A374E4"/>
    <w:rsid w:val="00A3794A"/>
    <w:rsid w:val="00A37DBF"/>
    <w:rsid w:val="00A404D7"/>
    <w:rsid w:val="00A414DF"/>
    <w:rsid w:val="00A415B7"/>
    <w:rsid w:val="00A4181F"/>
    <w:rsid w:val="00A418FC"/>
    <w:rsid w:val="00A41B29"/>
    <w:rsid w:val="00A41E30"/>
    <w:rsid w:val="00A42BFA"/>
    <w:rsid w:val="00A43604"/>
    <w:rsid w:val="00A43796"/>
    <w:rsid w:val="00A45830"/>
    <w:rsid w:val="00A46790"/>
    <w:rsid w:val="00A468C5"/>
    <w:rsid w:val="00A47730"/>
    <w:rsid w:val="00A51FF7"/>
    <w:rsid w:val="00A52B3E"/>
    <w:rsid w:val="00A52C12"/>
    <w:rsid w:val="00A55503"/>
    <w:rsid w:val="00A56706"/>
    <w:rsid w:val="00A577C6"/>
    <w:rsid w:val="00A60612"/>
    <w:rsid w:val="00A62104"/>
    <w:rsid w:val="00A63BBF"/>
    <w:rsid w:val="00A64582"/>
    <w:rsid w:val="00A64E51"/>
    <w:rsid w:val="00A65A4D"/>
    <w:rsid w:val="00A65D18"/>
    <w:rsid w:val="00A66055"/>
    <w:rsid w:val="00A6673B"/>
    <w:rsid w:val="00A66789"/>
    <w:rsid w:val="00A66BE4"/>
    <w:rsid w:val="00A6731E"/>
    <w:rsid w:val="00A67D93"/>
    <w:rsid w:val="00A67DA6"/>
    <w:rsid w:val="00A711FA"/>
    <w:rsid w:val="00A71561"/>
    <w:rsid w:val="00A71F08"/>
    <w:rsid w:val="00A7255E"/>
    <w:rsid w:val="00A725BC"/>
    <w:rsid w:val="00A7265B"/>
    <w:rsid w:val="00A728F3"/>
    <w:rsid w:val="00A72DC3"/>
    <w:rsid w:val="00A73F02"/>
    <w:rsid w:val="00A74DA2"/>
    <w:rsid w:val="00A7517F"/>
    <w:rsid w:val="00A75C2C"/>
    <w:rsid w:val="00A76CC4"/>
    <w:rsid w:val="00A8049D"/>
    <w:rsid w:val="00A805C3"/>
    <w:rsid w:val="00A81300"/>
    <w:rsid w:val="00A82427"/>
    <w:rsid w:val="00A82443"/>
    <w:rsid w:val="00A82890"/>
    <w:rsid w:val="00A82D82"/>
    <w:rsid w:val="00A8317A"/>
    <w:rsid w:val="00A83EDB"/>
    <w:rsid w:val="00A84674"/>
    <w:rsid w:val="00A85751"/>
    <w:rsid w:val="00A861CF"/>
    <w:rsid w:val="00A87175"/>
    <w:rsid w:val="00A87C8A"/>
    <w:rsid w:val="00A9231B"/>
    <w:rsid w:val="00A923CC"/>
    <w:rsid w:val="00A926CF"/>
    <w:rsid w:val="00A926DC"/>
    <w:rsid w:val="00A93247"/>
    <w:rsid w:val="00A936E1"/>
    <w:rsid w:val="00A93C08"/>
    <w:rsid w:val="00A93F12"/>
    <w:rsid w:val="00A94653"/>
    <w:rsid w:val="00A9467A"/>
    <w:rsid w:val="00A94933"/>
    <w:rsid w:val="00A94DF6"/>
    <w:rsid w:val="00A9515E"/>
    <w:rsid w:val="00A952F9"/>
    <w:rsid w:val="00A958C2"/>
    <w:rsid w:val="00A9595F"/>
    <w:rsid w:val="00A960CB"/>
    <w:rsid w:val="00A96937"/>
    <w:rsid w:val="00A969D4"/>
    <w:rsid w:val="00AA0F10"/>
    <w:rsid w:val="00AA277B"/>
    <w:rsid w:val="00AA3554"/>
    <w:rsid w:val="00AA3623"/>
    <w:rsid w:val="00AA3DB6"/>
    <w:rsid w:val="00AA4964"/>
    <w:rsid w:val="00AA49DD"/>
    <w:rsid w:val="00AA521A"/>
    <w:rsid w:val="00AA5EC3"/>
    <w:rsid w:val="00AA6B45"/>
    <w:rsid w:val="00AA7179"/>
    <w:rsid w:val="00AA7362"/>
    <w:rsid w:val="00AA7D3F"/>
    <w:rsid w:val="00AB023A"/>
    <w:rsid w:val="00AB180A"/>
    <w:rsid w:val="00AB1C46"/>
    <w:rsid w:val="00AB1D0C"/>
    <w:rsid w:val="00AB207F"/>
    <w:rsid w:val="00AB299E"/>
    <w:rsid w:val="00AB2C01"/>
    <w:rsid w:val="00AB323B"/>
    <w:rsid w:val="00AB3575"/>
    <w:rsid w:val="00AB3670"/>
    <w:rsid w:val="00AB36FA"/>
    <w:rsid w:val="00AB4CCB"/>
    <w:rsid w:val="00AB55B8"/>
    <w:rsid w:val="00AB61A4"/>
    <w:rsid w:val="00AB732B"/>
    <w:rsid w:val="00AB7E76"/>
    <w:rsid w:val="00AC04C5"/>
    <w:rsid w:val="00AC0EE3"/>
    <w:rsid w:val="00AC102B"/>
    <w:rsid w:val="00AC2647"/>
    <w:rsid w:val="00AC3748"/>
    <w:rsid w:val="00AC37AC"/>
    <w:rsid w:val="00AC3EE4"/>
    <w:rsid w:val="00AC476E"/>
    <w:rsid w:val="00AC5F2D"/>
    <w:rsid w:val="00AC7C57"/>
    <w:rsid w:val="00AD0D8C"/>
    <w:rsid w:val="00AD15F2"/>
    <w:rsid w:val="00AD1D54"/>
    <w:rsid w:val="00AD1FB3"/>
    <w:rsid w:val="00AD26CA"/>
    <w:rsid w:val="00AD26E1"/>
    <w:rsid w:val="00AD2A5D"/>
    <w:rsid w:val="00AD2A5E"/>
    <w:rsid w:val="00AD30CA"/>
    <w:rsid w:val="00AD3934"/>
    <w:rsid w:val="00AD3B1A"/>
    <w:rsid w:val="00AD3F87"/>
    <w:rsid w:val="00AD4390"/>
    <w:rsid w:val="00AD45CA"/>
    <w:rsid w:val="00AD4836"/>
    <w:rsid w:val="00AD5004"/>
    <w:rsid w:val="00AD505C"/>
    <w:rsid w:val="00AD5B59"/>
    <w:rsid w:val="00AD5CC6"/>
    <w:rsid w:val="00AD79AB"/>
    <w:rsid w:val="00AE062F"/>
    <w:rsid w:val="00AE0B53"/>
    <w:rsid w:val="00AE1C1B"/>
    <w:rsid w:val="00AE2909"/>
    <w:rsid w:val="00AE3181"/>
    <w:rsid w:val="00AE4430"/>
    <w:rsid w:val="00AE5235"/>
    <w:rsid w:val="00AE581A"/>
    <w:rsid w:val="00AE5C3C"/>
    <w:rsid w:val="00AE64F2"/>
    <w:rsid w:val="00AE7284"/>
    <w:rsid w:val="00AE7A9C"/>
    <w:rsid w:val="00AE7CEC"/>
    <w:rsid w:val="00AE7D0F"/>
    <w:rsid w:val="00AE7F73"/>
    <w:rsid w:val="00AF25B0"/>
    <w:rsid w:val="00AF2736"/>
    <w:rsid w:val="00AF2BDA"/>
    <w:rsid w:val="00AF2D4C"/>
    <w:rsid w:val="00AF2EFC"/>
    <w:rsid w:val="00AF2FB9"/>
    <w:rsid w:val="00AF39DC"/>
    <w:rsid w:val="00AF5655"/>
    <w:rsid w:val="00AF642C"/>
    <w:rsid w:val="00AF6A4C"/>
    <w:rsid w:val="00AF7252"/>
    <w:rsid w:val="00AF7EC8"/>
    <w:rsid w:val="00AF7FE0"/>
    <w:rsid w:val="00B00FAC"/>
    <w:rsid w:val="00B01125"/>
    <w:rsid w:val="00B02193"/>
    <w:rsid w:val="00B023A4"/>
    <w:rsid w:val="00B02526"/>
    <w:rsid w:val="00B02E4D"/>
    <w:rsid w:val="00B03A48"/>
    <w:rsid w:val="00B03DDA"/>
    <w:rsid w:val="00B05421"/>
    <w:rsid w:val="00B06CE5"/>
    <w:rsid w:val="00B071A0"/>
    <w:rsid w:val="00B07575"/>
    <w:rsid w:val="00B07C9C"/>
    <w:rsid w:val="00B07F4E"/>
    <w:rsid w:val="00B10D53"/>
    <w:rsid w:val="00B1138A"/>
    <w:rsid w:val="00B116CE"/>
    <w:rsid w:val="00B11B7F"/>
    <w:rsid w:val="00B11C99"/>
    <w:rsid w:val="00B1216E"/>
    <w:rsid w:val="00B132AD"/>
    <w:rsid w:val="00B1449D"/>
    <w:rsid w:val="00B145E0"/>
    <w:rsid w:val="00B1590D"/>
    <w:rsid w:val="00B16525"/>
    <w:rsid w:val="00B166C2"/>
    <w:rsid w:val="00B1681D"/>
    <w:rsid w:val="00B17012"/>
    <w:rsid w:val="00B175DE"/>
    <w:rsid w:val="00B206A4"/>
    <w:rsid w:val="00B20D68"/>
    <w:rsid w:val="00B218A7"/>
    <w:rsid w:val="00B21C63"/>
    <w:rsid w:val="00B22FC0"/>
    <w:rsid w:val="00B23216"/>
    <w:rsid w:val="00B234AF"/>
    <w:rsid w:val="00B237CE"/>
    <w:rsid w:val="00B23D65"/>
    <w:rsid w:val="00B243EF"/>
    <w:rsid w:val="00B248A8"/>
    <w:rsid w:val="00B24E04"/>
    <w:rsid w:val="00B24E1D"/>
    <w:rsid w:val="00B24F6E"/>
    <w:rsid w:val="00B25D6E"/>
    <w:rsid w:val="00B26AD5"/>
    <w:rsid w:val="00B26E56"/>
    <w:rsid w:val="00B272CC"/>
    <w:rsid w:val="00B274A8"/>
    <w:rsid w:val="00B2759E"/>
    <w:rsid w:val="00B31F7C"/>
    <w:rsid w:val="00B3207E"/>
    <w:rsid w:val="00B32117"/>
    <w:rsid w:val="00B33460"/>
    <w:rsid w:val="00B33C04"/>
    <w:rsid w:val="00B33D43"/>
    <w:rsid w:val="00B34340"/>
    <w:rsid w:val="00B34408"/>
    <w:rsid w:val="00B34B02"/>
    <w:rsid w:val="00B34BE4"/>
    <w:rsid w:val="00B34D4D"/>
    <w:rsid w:val="00B3589A"/>
    <w:rsid w:val="00B35C9C"/>
    <w:rsid w:val="00B366C2"/>
    <w:rsid w:val="00B37BB6"/>
    <w:rsid w:val="00B37E18"/>
    <w:rsid w:val="00B402F8"/>
    <w:rsid w:val="00B40498"/>
    <w:rsid w:val="00B41398"/>
    <w:rsid w:val="00B42003"/>
    <w:rsid w:val="00B4212B"/>
    <w:rsid w:val="00B42C17"/>
    <w:rsid w:val="00B4477A"/>
    <w:rsid w:val="00B4483B"/>
    <w:rsid w:val="00B44C07"/>
    <w:rsid w:val="00B455FA"/>
    <w:rsid w:val="00B4610D"/>
    <w:rsid w:val="00B479D4"/>
    <w:rsid w:val="00B47E96"/>
    <w:rsid w:val="00B50012"/>
    <w:rsid w:val="00B50B51"/>
    <w:rsid w:val="00B50E97"/>
    <w:rsid w:val="00B52054"/>
    <w:rsid w:val="00B52BAF"/>
    <w:rsid w:val="00B535A0"/>
    <w:rsid w:val="00B53D20"/>
    <w:rsid w:val="00B5485E"/>
    <w:rsid w:val="00B54AF6"/>
    <w:rsid w:val="00B54D03"/>
    <w:rsid w:val="00B54EE7"/>
    <w:rsid w:val="00B556B7"/>
    <w:rsid w:val="00B55CBA"/>
    <w:rsid w:val="00B56D4A"/>
    <w:rsid w:val="00B5787D"/>
    <w:rsid w:val="00B601C7"/>
    <w:rsid w:val="00B6053C"/>
    <w:rsid w:val="00B60E1A"/>
    <w:rsid w:val="00B61000"/>
    <w:rsid w:val="00B616BC"/>
    <w:rsid w:val="00B620CF"/>
    <w:rsid w:val="00B629B3"/>
    <w:rsid w:val="00B62D36"/>
    <w:rsid w:val="00B62FEB"/>
    <w:rsid w:val="00B64358"/>
    <w:rsid w:val="00B64446"/>
    <w:rsid w:val="00B65184"/>
    <w:rsid w:val="00B6601E"/>
    <w:rsid w:val="00B6673A"/>
    <w:rsid w:val="00B67014"/>
    <w:rsid w:val="00B678BE"/>
    <w:rsid w:val="00B679D1"/>
    <w:rsid w:val="00B67DE8"/>
    <w:rsid w:val="00B67FDA"/>
    <w:rsid w:val="00B70087"/>
    <w:rsid w:val="00B705E7"/>
    <w:rsid w:val="00B706E3"/>
    <w:rsid w:val="00B708FA"/>
    <w:rsid w:val="00B70ACB"/>
    <w:rsid w:val="00B70B32"/>
    <w:rsid w:val="00B7168E"/>
    <w:rsid w:val="00B717B3"/>
    <w:rsid w:val="00B71819"/>
    <w:rsid w:val="00B72A8E"/>
    <w:rsid w:val="00B72B5E"/>
    <w:rsid w:val="00B736F5"/>
    <w:rsid w:val="00B74EA1"/>
    <w:rsid w:val="00B75346"/>
    <w:rsid w:val="00B75561"/>
    <w:rsid w:val="00B7566F"/>
    <w:rsid w:val="00B76668"/>
    <w:rsid w:val="00B76FEA"/>
    <w:rsid w:val="00B8088E"/>
    <w:rsid w:val="00B80B7D"/>
    <w:rsid w:val="00B80C43"/>
    <w:rsid w:val="00B81BFC"/>
    <w:rsid w:val="00B81CF4"/>
    <w:rsid w:val="00B822C9"/>
    <w:rsid w:val="00B8386A"/>
    <w:rsid w:val="00B83C39"/>
    <w:rsid w:val="00B83E21"/>
    <w:rsid w:val="00B83FF8"/>
    <w:rsid w:val="00B8431E"/>
    <w:rsid w:val="00B84536"/>
    <w:rsid w:val="00B8475D"/>
    <w:rsid w:val="00B84FC6"/>
    <w:rsid w:val="00B85C26"/>
    <w:rsid w:val="00B870B3"/>
    <w:rsid w:val="00B870E1"/>
    <w:rsid w:val="00B87A5D"/>
    <w:rsid w:val="00B906FB"/>
    <w:rsid w:val="00B90DEF"/>
    <w:rsid w:val="00B90E68"/>
    <w:rsid w:val="00B90FA2"/>
    <w:rsid w:val="00B90FB2"/>
    <w:rsid w:val="00B9105A"/>
    <w:rsid w:val="00B91214"/>
    <w:rsid w:val="00B92283"/>
    <w:rsid w:val="00B924D6"/>
    <w:rsid w:val="00B929B5"/>
    <w:rsid w:val="00B92A7D"/>
    <w:rsid w:val="00B93092"/>
    <w:rsid w:val="00B931C3"/>
    <w:rsid w:val="00B932B8"/>
    <w:rsid w:val="00B933F6"/>
    <w:rsid w:val="00B94560"/>
    <w:rsid w:val="00B94B37"/>
    <w:rsid w:val="00B962B9"/>
    <w:rsid w:val="00B96305"/>
    <w:rsid w:val="00B96FF9"/>
    <w:rsid w:val="00B97253"/>
    <w:rsid w:val="00BA026F"/>
    <w:rsid w:val="00BA0A1E"/>
    <w:rsid w:val="00BA0A3C"/>
    <w:rsid w:val="00BA15B0"/>
    <w:rsid w:val="00BA1B02"/>
    <w:rsid w:val="00BA1B9C"/>
    <w:rsid w:val="00BA2950"/>
    <w:rsid w:val="00BA3A0A"/>
    <w:rsid w:val="00BA3AC6"/>
    <w:rsid w:val="00BA43BB"/>
    <w:rsid w:val="00BA4741"/>
    <w:rsid w:val="00BA4DB2"/>
    <w:rsid w:val="00BA5043"/>
    <w:rsid w:val="00BA58B6"/>
    <w:rsid w:val="00BA5AAB"/>
    <w:rsid w:val="00BA5C1A"/>
    <w:rsid w:val="00BA6B46"/>
    <w:rsid w:val="00BA7134"/>
    <w:rsid w:val="00BA7393"/>
    <w:rsid w:val="00BA73A3"/>
    <w:rsid w:val="00BA7772"/>
    <w:rsid w:val="00BA7BE2"/>
    <w:rsid w:val="00BA7D08"/>
    <w:rsid w:val="00BB03DD"/>
    <w:rsid w:val="00BB0794"/>
    <w:rsid w:val="00BB07E3"/>
    <w:rsid w:val="00BB082E"/>
    <w:rsid w:val="00BB1B95"/>
    <w:rsid w:val="00BB24C8"/>
    <w:rsid w:val="00BB2A9C"/>
    <w:rsid w:val="00BB2C1A"/>
    <w:rsid w:val="00BB3613"/>
    <w:rsid w:val="00BB44D6"/>
    <w:rsid w:val="00BB57C1"/>
    <w:rsid w:val="00BB5EFC"/>
    <w:rsid w:val="00BB677E"/>
    <w:rsid w:val="00BB678C"/>
    <w:rsid w:val="00BB70D2"/>
    <w:rsid w:val="00BC0213"/>
    <w:rsid w:val="00BC0273"/>
    <w:rsid w:val="00BC0458"/>
    <w:rsid w:val="00BC1562"/>
    <w:rsid w:val="00BC2508"/>
    <w:rsid w:val="00BC341D"/>
    <w:rsid w:val="00BC37E0"/>
    <w:rsid w:val="00BC448D"/>
    <w:rsid w:val="00BC4804"/>
    <w:rsid w:val="00BC52A0"/>
    <w:rsid w:val="00BC7213"/>
    <w:rsid w:val="00BC7B34"/>
    <w:rsid w:val="00BD049A"/>
    <w:rsid w:val="00BD064E"/>
    <w:rsid w:val="00BD1453"/>
    <w:rsid w:val="00BD1C54"/>
    <w:rsid w:val="00BD1FA2"/>
    <w:rsid w:val="00BD2657"/>
    <w:rsid w:val="00BD2BBC"/>
    <w:rsid w:val="00BD3476"/>
    <w:rsid w:val="00BD3536"/>
    <w:rsid w:val="00BD35C5"/>
    <w:rsid w:val="00BD3A68"/>
    <w:rsid w:val="00BD506A"/>
    <w:rsid w:val="00BD6118"/>
    <w:rsid w:val="00BD73DB"/>
    <w:rsid w:val="00BE0C97"/>
    <w:rsid w:val="00BE14DD"/>
    <w:rsid w:val="00BE1C74"/>
    <w:rsid w:val="00BE33B4"/>
    <w:rsid w:val="00BE3531"/>
    <w:rsid w:val="00BE3EFA"/>
    <w:rsid w:val="00BE4780"/>
    <w:rsid w:val="00BE4A30"/>
    <w:rsid w:val="00BE4D1D"/>
    <w:rsid w:val="00BE5F69"/>
    <w:rsid w:val="00BE6D6A"/>
    <w:rsid w:val="00BE73BC"/>
    <w:rsid w:val="00BE7456"/>
    <w:rsid w:val="00BE7E59"/>
    <w:rsid w:val="00BF0DF2"/>
    <w:rsid w:val="00BF12ED"/>
    <w:rsid w:val="00BF282D"/>
    <w:rsid w:val="00BF32B6"/>
    <w:rsid w:val="00BF345E"/>
    <w:rsid w:val="00BF5171"/>
    <w:rsid w:val="00BF571A"/>
    <w:rsid w:val="00BF5DD3"/>
    <w:rsid w:val="00BF6176"/>
    <w:rsid w:val="00BF6A2C"/>
    <w:rsid w:val="00BF76A8"/>
    <w:rsid w:val="00BF7D7E"/>
    <w:rsid w:val="00C00890"/>
    <w:rsid w:val="00C01986"/>
    <w:rsid w:val="00C020B0"/>
    <w:rsid w:val="00C02A8D"/>
    <w:rsid w:val="00C032D0"/>
    <w:rsid w:val="00C03EFD"/>
    <w:rsid w:val="00C052AE"/>
    <w:rsid w:val="00C06F28"/>
    <w:rsid w:val="00C117E1"/>
    <w:rsid w:val="00C12EBC"/>
    <w:rsid w:val="00C12F0B"/>
    <w:rsid w:val="00C1328E"/>
    <w:rsid w:val="00C13835"/>
    <w:rsid w:val="00C14EF9"/>
    <w:rsid w:val="00C154F1"/>
    <w:rsid w:val="00C15779"/>
    <w:rsid w:val="00C16B8B"/>
    <w:rsid w:val="00C16EB0"/>
    <w:rsid w:val="00C17433"/>
    <w:rsid w:val="00C17956"/>
    <w:rsid w:val="00C2146C"/>
    <w:rsid w:val="00C21ABD"/>
    <w:rsid w:val="00C21FC6"/>
    <w:rsid w:val="00C22893"/>
    <w:rsid w:val="00C232EE"/>
    <w:rsid w:val="00C2338D"/>
    <w:rsid w:val="00C235C2"/>
    <w:rsid w:val="00C23F6A"/>
    <w:rsid w:val="00C243A4"/>
    <w:rsid w:val="00C2542B"/>
    <w:rsid w:val="00C25FDB"/>
    <w:rsid w:val="00C2626D"/>
    <w:rsid w:val="00C26601"/>
    <w:rsid w:val="00C26C20"/>
    <w:rsid w:val="00C26DF0"/>
    <w:rsid w:val="00C271ED"/>
    <w:rsid w:val="00C274B6"/>
    <w:rsid w:val="00C278AF"/>
    <w:rsid w:val="00C27F61"/>
    <w:rsid w:val="00C302AB"/>
    <w:rsid w:val="00C3100C"/>
    <w:rsid w:val="00C3141E"/>
    <w:rsid w:val="00C3152F"/>
    <w:rsid w:val="00C321F0"/>
    <w:rsid w:val="00C328E3"/>
    <w:rsid w:val="00C32BB8"/>
    <w:rsid w:val="00C33625"/>
    <w:rsid w:val="00C369E1"/>
    <w:rsid w:val="00C403BD"/>
    <w:rsid w:val="00C40875"/>
    <w:rsid w:val="00C40E3D"/>
    <w:rsid w:val="00C414A9"/>
    <w:rsid w:val="00C41B35"/>
    <w:rsid w:val="00C41BA4"/>
    <w:rsid w:val="00C4234F"/>
    <w:rsid w:val="00C429A6"/>
    <w:rsid w:val="00C43A23"/>
    <w:rsid w:val="00C43E09"/>
    <w:rsid w:val="00C44620"/>
    <w:rsid w:val="00C44AE2"/>
    <w:rsid w:val="00C44F2D"/>
    <w:rsid w:val="00C4562A"/>
    <w:rsid w:val="00C45921"/>
    <w:rsid w:val="00C45F35"/>
    <w:rsid w:val="00C46085"/>
    <w:rsid w:val="00C46172"/>
    <w:rsid w:val="00C4688D"/>
    <w:rsid w:val="00C47570"/>
    <w:rsid w:val="00C476F2"/>
    <w:rsid w:val="00C505C5"/>
    <w:rsid w:val="00C50C80"/>
    <w:rsid w:val="00C50CAD"/>
    <w:rsid w:val="00C510F9"/>
    <w:rsid w:val="00C5179A"/>
    <w:rsid w:val="00C51DC5"/>
    <w:rsid w:val="00C5238E"/>
    <w:rsid w:val="00C5241F"/>
    <w:rsid w:val="00C5277A"/>
    <w:rsid w:val="00C5337D"/>
    <w:rsid w:val="00C53B49"/>
    <w:rsid w:val="00C53C8C"/>
    <w:rsid w:val="00C53DC2"/>
    <w:rsid w:val="00C54CEF"/>
    <w:rsid w:val="00C577DE"/>
    <w:rsid w:val="00C57DD1"/>
    <w:rsid w:val="00C6007A"/>
    <w:rsid w:val="00C60542"/>
    <w:rsid w:val="00C60584"/>
    <w:rsid w:val="00C609F4"/>
    <w:rsid w:val="00C61567"/>
    <w:rsid w:val="00C6211D"/>
    <w:rsid w:val="00C6336D"/>
    <w:rsid w:val="00C63F9D"/>
    <w:rsid w:val="00C64820"/>
    <w:rsid w:val="00C64AD8"/>
    <w:rsid w:val="00C654C5"/>
    <w:rsid w:val="00C65585"/>
    <w:rsid w:val="00C65600"/>
    <w:rsid w:val="00C666FB"/>
    <w:rsid w:val="00C66B3C"/>
    <w:rsid w:val="00C70EC6"/>
    <w:rsid w:val="00C71279"/>
    <w:rsid w:val="00C71396"/>
    <w:rsid w:val="00C713DF"/>
    <w:rsid w:val="00C73036"/>
    <w:rsid w:val="00C7329A"/>
    <w:rsid w:val="00C73386"/>
    <w:rsid w:val="00C73907"/>
    <w:rsid w:val="00C74E7E"/>
    <w:rsid w:val="00C750DB"/>
    <w:rsid w:val="00C752D0"/>
    <w:rsid w:val="00C757C0"/>
    <w:rsid w:val="00C75C1D"/>
    <w:rsid w:val="00C7612E"/>
    <w:rsid w:val="00C76DA2"/>
    <w:rsid w:val="00C77154"/>
    <w:rsid w:val="00C77EAC"/>
    <w:rsid w:val="00C82892"/>
    <w:rsid w:val="00C84340"/>
    <w:rsid w:val="00C845EA"/>
    <w:rsid w:val="00C85BE2"/>
    <w:rsid w:val="00C919F1"/>
    <w:rsid w:val="00C927E8"/>
    <w:rsid w:val="00C9429F"/>
    <w:rsid w:val="00C947CE"/>
    <w:rsid w:val="00C948A4"/>
    <w:rsid w:val="00C94985"/>
    <w:rsid w:val="00C94D58"/>
    <w:rsid w:val="00C94D89"/>
    <w:rsid w:val="00C94DBE"/>
    <w:rsid w:val="00C95341"/>
    <w:rsid w:val="00C960EC"/>
    <w:rsid w:val="00C9614D"/>
    <w:rsid w:val="00C96A52"/>
    <w:rsid w:val="00C96B04"/>
    <w:rsid w:val="00C97077"/>
    <w:rsid w:val="00C971F7"/>
    <w:rsid w:val="00C97446"/>
    <w:rsid w:val="00C9766C"/>
    <w:rsid w:val="00CA025F"/>
    <w:rsid w:val="00CA0874"/>
    <w:rsid w:val="00CA1561"/>
    <w:rsid w:val="00CA1B05"/>
    <w:rsid w:val="00CA1CDA"/>
    <w:rsid w:val="00CA271A"/>
    <w:rsid w:val="00CA2AE7"/>
    <w:rsid w:val="00CA37F2"/>
    <w:rsid w:val="00CA3800"/>
    <w:rsid w:val="00CA4826"/>
    <w:rsid w:val="00CA4FC4"/>
    <w:rsid w:val="00CA506A"/>
    <w:rsid w:val="00CA58C7"/>
    <w:rsid w:val="00CA5D9E"/>
    <w:rsid w:val="00CA672F"/>
    <w:rsid w:val="00CA68DA"/>
    <w:rsid w:val="00CB0EC3"/>
    <w:rsid w:val="00CB1EB3"/>
    <w:rsid w:val="00CB2972"/>
    <w:rsid w:val="00CB369B"/>
    <w:rsid w:val="00CB3E23"/>
    <w:rsid w:val="00CB443F"/>
    <w:rsid w:val="00CB49E2"/>
    <w:rsid w:val="00CB4A93"/>
    <w:rsid w:val="00CB584B"/>
    <w:rsid w:val="00CB6FE1"/>
    <w:rsid w:val="00CC061B"/>
    <w:rsid w:val="00CC0C5F"/>
    <w:rsid w:val="00CC0ECB"/>
    <w:rsid w:val="00CC13B0"/>
    <w:rsid w:val="00CC154B"/>
    <w:rsid w:val="00CC186D"/>
    <w:rsid w:val="00CC200D"/>
    <w:rsid w:val="00CC2A56"/>
    <w:rsid w:val="00CC3E8E"/>
    <w:rsid w:val="00CC4673"/>
    <w:rsid w:val="00CC476B"/>
    <w:rsid w:val="00CC50BD"/>
    <w:rsid w:val="00CC55FD"/>
    <w:rsid w:val="00CC5BE2"/>
    <w:rsid w:val="00CC61EC"/>
    <w:rsid w:val="00CC64C4"/>
    <w:rsid w:val="00CC6923"/>
    <w:rsid w:val="00CC6A16"/>
    <w:rsid w:val="00CC7CE3"/>
    <w:rsid w:val="00CC7DEB"/>
    <w:rsid w:val="00CD1688"/>
    <w:rsid w:val="00CD18CC"/>
    <w:rsid w:val="00CD2B1C"/>
    <w:rsid w:val="00CD3A4B"/>
    <w:rsid w:val="00CD413C"/>
    <w:rsid w:val="00CD4504"/>
    <w:rsid w:val="00CD4D8E"/>
    <w:rsid w:val="00CD4EBF"/>
    <w:rsid w:val="00CD5BF3"/>
    <w:rsid w:val="00CD6508"/>
    <w:rsid w:val="00CD6E09"/>
    <w:rsid w:val="00CD7984"/>
    <w:rsid w:val="00CE002B"/>
    <w:rsid w:val="00CE01DE"/>
    <w:rsid w:val="00CE0B03"/>
    <w:rsid w:val="00CE2C50"/>
    <w:rsid w:val="00CE3286"/>
    <w:rsid w:val="00CE472F"/>
    <w:rsid w:val="00CE486B"/>
    <w:rsid w:val="00CE48F5"/>
    <w:rsid w:val="00CE4F9F"/>
    <w:rsid w:val="00CE636D"/>
    <w:rsid w:val="00CE73B6"/>
    <w:rsid w:val="00CE7524"/>
    <w:rsid w:val="00CE7A32"/>
    <w:rsid w:val="00CF02D5"/>
    <w:rsid w:val="00CF0DE1"/>
    <w:rsid w:val="00CF3DD2"/>
    <w:rsid w:val="00CF4258"/>
    <w:rsid w:val="00CF46CF"/>
    <w:rsid w:val="00CF4A67"/>
    <w:rsid w:val="00CF5C47"/>
    <w:rsid w:val="00CF602A"/>
    <w:rsid w:val="00CF65C6"/>
    <w:rsid w:val="00CF6A42"/>
    <w:rsid w:val="00D00BBC"/>
    <w:rsid w:val="00D00C7D"/>
    <w:rsid w:val="00D0139B"/>
    <w:rsid w:val="00D020EE"/>
    <w:rsid w:val="00D0284A"/>
    <w:rsid w:val="00D04DAD"/>
    <w:rsid w:val="00D04F50"/>
    <w:rsid w:val="00D059DC"/>
    <w:rsid w:val="00D063BC"/>
    <w:rsid w:val="00D068C8"/>
    <w:rsid w:val="00D06B43"/>
    <w:rsid w:val="00D06DCC"/>
    <w:rsid w:val="00D0765F"/>
    <w:rsid w:val="00D078B0"/>
    <w:rsid w:val="00D07CA7"/>
    <w:rsid w:val="00D108BC"/>
    <w:rsid w:val="00D12688"/>
    <w:rsid w:val="00D12FA8"/>
    <w:rsid w:val="00D13A38"/>
    <w:rsid w:val="00D140C7"/>
    <w:rsid w:val="00D15954"/>
    <w:rsid w:val="00D15A48"/>
    <w:rsid w:val="00D15D0D"/>
    <w:rsid w:val="00D15F40"/>
    <w:rsid w:val="00D162AB"/>
    <w:rsid w:val="00D164AD"/>
    <w:rsid w:val="00D17AA2"/>
    <w:rsid w:val="00D20317"/>
    <w:rsid w:val="00D21835"/>
    <w:rsid w:val="00D21B0B"/>
    <w:rsid w:val="00D220BE"/>
    <w:rsid w:val="00D22BEE"/>
    <w:rsid w:val="00D22EE9"/>
    <w:rsid w:val="00D239BB"/>
    <w:rsid w:val="00D244D4"/>
    <w:rsid w:val="00D2455B"/>
    <w:rsid w:val="00D25280"/>
    <w:rsid w:val="00D2624B"/>
    <w:rsid w:val="00D272CE"/>
    <w:rsid w:val="00D30E9D"/>
    <w:rsid w:val="00D318DD"/>
    <w:rsid w:val="00D32098"/>
    <w:rsid w:val="00D32278"/>
    <w:rsid w:val="00D3247F"/>
    <w:rsid w:val="00D32D98"/>
    <w:rsid w:val="00D33080"/>
    <w:rsid w:val="00D34866"/>
    <w:rsid w:val="00D34B7C"/>
    <w:rsid w:val="00D350CC"/>
    <w:rsid w:val="00D3695A"/>
    <w:rsid w:val="00D36AFE"/>
    <w:rsid w:val="00D36E1F"/>
    <w:rsid w:val="00D3749A"/>
    <w:rsid w:val="00D37A96"/>
    <w:rsid w:val="00D40609"/>
    <w:rsid w:val="00D40A3A"/>
    <w:rsid w:val="00D410F4"/>
    <w:rsid w:val="00D4231E"/>
    <w:rsid w:val="00D441F4"/>
    <w:rsid w:val="00D44307"/>
    <w:rsid w:val="00D4458F"/>
    <w:rsid w:val="00D44AC8"/>
    <w:rsid w:val="00D44AC9"/>
    <w:rsid w:val="00D45514"/>
    <w:rsid w:val="00D458C8"/>
    <w:rsid w:val="00D45A4B"/>
    <w:rsid w:val="00D468D3"/>
    <w:rsid w:val="00D46AFB"/>
    <w:rsid w:val="00D5064B"/>
    <w:rsid w:val="00D507E6"/>
    <w:rsid w:val="00D51C2D"/>
    <w:rsid w:val="00D5323F"/>
    <w:rsid w:val="00D54132"/>
    <w:rsid w:val="00D548DF"/>
    <w:rsid w:val="00D54E44"/>
    <w:rsid w:val="00D54EF2"/>
    <w:rsid w:val="00D54F5D"/>
    <w:rsid w:val="00D55E47"/>
    <w:rsid w:val="00D56594"/>
    <w:rsid w:val="00D56C38"/>
    <w:rsid w:val="00D56D5B"/>
    <w:rsid w:val="00D5739B"/>
    <w:rsid w:val="00D57D56"/>
    <w:rsid w:val="00D60F41"/>
    <w:rsid w:val="00D61357"/>
    <w:rsid w:val="00D6167C"/>
    <w:rsid w:val="00D61840"/>
    <w:rsid w:val="00D618AF"/>
    <w:rsid w:val="00D62105"/>
    <w:rsid w:val="00D6221E"/>
    <w:rsid w:val="00D62B71"/>
    <w:rsid w:val="00D63117"/>
    <w:rsid w:val="00D633CB"/>
    <w:rsid w:val="00D6350F"/>
    <w:rsid w:val="00D63A15"/>
    <w:rsid w:val="00D63E60"/>
    <w:rsid w:val="00D64173"/>
    <w:rsid w:val="00D65B8D"/>
    <w:rsid w:val="00D65C62"/>
    <w:rsid w:val="00D66258"/>
    <w:rsid w:val="00D66E7B"/>
    <w:rsid w:val="00D675CF"/>
    <w:rsid w:val="00D71499"/>
    <w:rsid w:val="00D71DE5"/>
    <w:rsid w:val="00D71F81"/>
    <w:rsid w:val="00D7229C"/>
    <w:rsid w:val="00D72D5C"/>
    <w:rsid w:val="00D7308A"/>
    <w:rsid w:val="00D76488"/>
    <w:rsid w:val="00D775F1"/>
    <w:rsid w:val="00D7761B"/>
    <w:rsid w:val="00D8041E"/>
    <w:rsid w:val="00D817BA"/>
    <w:rsid w:val="00D82060"/>
    <w:rsid w:val="00D82166"/>
    <w:rsid w:val="00D826BA"/>
    <w:rsid w:val="00D832A1"/>
    <w:rsid w:val="00D84ACD"/>
    <w:rsid w:val="00D84BDA"/>
    <w:rsid w:val="00D85114"/>
    <w:rsid w:val="00D853AF"/>
    <w:rsid w:val="00D854E4"/>
    <w:rsid w:val="00D85B0B"/>
    <w:rsid w:val="00D85EC6"/>
    <w:rsid w:val="00D86A1F"/>
    <w:rsid w:val="00D876F5"/>
    <w:rsid w:val="00D87D39"/>
    <w:rsid w:val="00D87FBA"/>
    <w:rsid w:val="00D9026C"/>
    <w:rsid w:val="00D90530"/>
    <w:rsid w:val="00D90642"/>
    <w:rsid w:val="00D90D7A"/>
    <w:rsid w:val="00D91A22"/>
    <w:rsid w:val="00D9360B"/>
    <w:rsid w:val="00D93C09"/>
    <w:rsid w:val="00D94061"/>
    <w:rsid w:val="00D94216"/>
    <w:rsid w:val="00D942B2"/>
    <w:rsid w:val="00D94ACF"/>
    <w:rsid w:val="00D9508F"/>
    <w:rsid w:val="00D95519"/>
    <w:rsid w:val="00D955A0"/>
    <w:rsid w:val="00D955D4"/>
    <w:rsid w:val="00D9744F"/>
    <w:rsid w:val="00D974BE"/>
    <w:rsid w:val="00DA07BA"/>
    <w:rsid w:val="00DA0ADF"/>
    <w:rsid w:val="00DA13ED"/>
    <w:rsid w:val="00DA15B6"/>
    <w:rsid w:val="00DA1C78"/>
    <w:rsid w:val="00DA1D93"/>
    <w:rsid w:val="00DA2160"/>
    <w:rsid w:val="00DA29A2"/>
    <w:rsid w:val="00DA3042"/>
    <w:rsid w:val="00DA30CC"/>
    <w:rsid w:val="00DA31B6"/>
    <w:rsid w:val="00DA31CC"/>
    <w:rsid w:val="00DA3CC2"/>
    <w:rsid w:val="00DA40AC"/>
    <w:rsid w:val="00DA4C70"/>
    <w:rsid w:val="00DA56AA"/>
    <w:rsid w:val="00DA5F35"/>
    <w:rsid w:val="00DA61CF"/>
    <w:rsid w:val="00DA64D8"/>
    <w:rsid w:val="00DA6B76"/>
    <w:rsid w:val="00DA6EC0"/>
    <w:rsid w:val="00DA7734"/>
    <w:rsid w:val="00DA7E97"/>
    <w:rsid w:val="00DB04B7"/>
    <w:rsid w:val="00DB1C74"/>
    <w:rsid w:val="00DB255D"/>
    <w:rsid w:val="00DB2D8C"/>
    <w:rsid w:val="00DB2FCB"/>
    <w:rsid w:val="00DB3DC8"/>
    <w:rsid w:val="00DB465F"/>
    <w:rsid w:val="00DB5FDC"/>
    <w:rsid w:val="00DB6847"/>
    <w:rsid w:val="00DC00F1"/>
    <w:rsid w:val="00DC086B"/>
    <w:rsid w:val="00DC12CF"/>
    <w:rsid w:val="00DC1346"/>
    <w:rsid w:val="00DC138B"/>
    <w:rsid w:val="00DC1B6B"/>
    <w:rsid w:val="00DC1DCB"/>
    <w:rsid w:val="00DC212B"/>
    <w:rsid w:val="00DC23DD"/>
    <w:rsid w:val="00DC26D5"/>
    <w:rsid w:val="00DC2DAC"/>
    <w:rsid w:val="00DC399B"/>
    <w:rsid w:val="00DC5DA7"/>
    <w:rsid w:val="00DC607E"/>
    <w:rsid w:val="00DC654C"/>
    <w:rsid w:val="00DC667C"/>
    <w:rsid w:val="00DC729B"/>
    <w:rsid w:val="00DC7630"/>
    <w:rsid w:val="00DC7E9C"/>
    <w:rsid w:val="00DD0326"/>
    <w:rsid w:val="00DD04E8"/>
    <w:rsid w:val="00DD0891"/>
    <w:rsid w:val="00DD0AAA"/>
    <w:rsid w:val="00DD139A"/>
    <w:rsid w:val="00DD2300"/>
    <w:rsid w:val="00DD276E"/>
    <w:rsid w:val="00DD4493"/>
    <w:rsid w:val="00DD46B0"/>
    <w:rsid w:val="00DD4EF4"/>
    <w:rsid w:val="00DD512D"/>
    <w:rsid w:val="00DD615C"/>
    <w:rsid w:val="00DD7949"/>
    <w:rsid w:val="00DD7AA8"/>
    <w:rsid w:val="00DD7E4B"/>
    <w:rsid w:val="00DE023A"/>
    <w:rsid w:val="00DE1A43"/>
    <w:rsid w:val="00DE1B7D"/>
    <w:rsid w:val="00DE1E75"/>
    <w:rsid w:val="00DE2D7D"/>
    <w:rsid w:val="00DE2FAA"/>
    <w:rsid w:val="00DE3EE3"/>
    <w:rsid w:val="00DE4051"/>
    <w:rsid w:val="00DE5D12"/>
    <w:rsid w:val="00DE60C4"/>
    <w:rsid w:val="00DE68AF"/>
    <w:rsid w:val="00DF038E"/>
    <w:rsid w:val="00DF1B9E"/>
    <w:rsid w:val="00DF2B63"/>
    <w:rsid w:val="00DF49A7"/>
    <w:rsid w:val="00DF51F0"/>
    <w:rsid w:val="00DF555B"/>
    <w:rsid w:val="00DF6E29"/>
    <w:rsid w:val="00DF757A"/>
    <w:rsid w:val="00E0101D"/>
    <w:rsid w:val="00E01199"/>
    <w:rsid w:val="00E01D37"/>
    <w:rsid w:val="00E0260D"/>
    <w:rsid w:val="00E028D4"/>
    <w:rsid w:val="00E03A60"/>
    <w:rsid w:val="00E03A98"/>
    <w:rsid w:val="00E04B33"/>
    <w:rsid w:val="00E06596"/>
    <w:rsid w:val="00E07247"/>
    <w:rsid w:val="00E07376"/>
    <w:rsid w:val="00E07E20"/>
    <w:rsid w:val="00E11080"/>
    <w:rsid w:val="00E11E66"/>
    <w:rsid w:val="00E11FD3"/>
    <w:rsid w:val="00E12535"/>
    <w:rsid w:val="00E12D1D"/>
    <w:rsid w:val="00E1315D"/>
    <w:rsid w:val="00E13D61"/>
    <w:rsid w:val="00E13E4B"/>
    <w:rsid w:val="00E13E97"/>
    <w:rsid w:val="00E14C18"/>
    <w:rsid w:val="00E14EFA"/>
    <w:rsid w:val="00E15E52"/>
    <w:rsid w:val="00E1757A"/>
    <w:rsid w:val="00E17E39"/>
    <w:rsid w:val="00E20448"/>
    <w:rsid w:val="00E20B20"/>
    <w:rsid w:val="00E21051"/>
    <w:rsid w:val="00E21982"/>
    <w:rsid w:val="00E21CC9"/>
    <w:rsid w:val="00E2226B"/>
    <w:rsid w:val="00E2269F"/>
    <w:rsid w:val="00E2379C"/>
    <w:rsid w:val="00E238BF"/>
    <w:rsid w:val="00E23C5D"/>
    <w:rsid w:val="00E242BB"/>
    <w:rsid w:val="00E2494B"/>
    <w:rsid w:val="00E24A39"/>
    <w:rsid w:val="00E25F35"/>
    <w:rsid w:val="00E26141"/>
    <w:rsid w:val="00E26B82"/>
    <w:rsid w:val="00E273C4"/>
    <w:rsid w:val="00E27C29"/>
    <w:rsid w:val="00E27ECA"/>
    <w:rsid w:val="00E30201"/>
    <w:rsid w:val="00E303EE"/>
    <w:rsid w:val="00E30A8A"/>
    <w:rsid w:val="00E31210"/>
    <w:rsid w:val="00E31BBF"/>
    <w:rsid w:val="00E328C6"/>
    <w:rsid w:val="00E32EBD"/>
    <w:rsid w:val="00E33446"/>
    <w:rsid w:val="00E3365D"/>
    <w:rsid w:val="00E337DE"/>
    <w:rsid w:val="00E33BBD"/>
    <w:rsid w:val="00E34140"/>
    <w:rsid w:val="00E3431F"/>
    <w:rsid w:val="00E344C3"/>
    <w:rsid w:val="00E3458C"/>
    <w:rsid w:val="00E34687"/>
    <w:rsid w:val="00E353A4"/>
    <w:rsid w:val="00E35457"/>
    <w:rsid w:val="00E356CD"/>
    <w:rsid w:val="00E36441"/>
    <w:rsid w:val="00E365DC"/>
    <w:rsid w:val="00E36CD8"/>
    <w:rsid w:val="00E3781D"/>
    <w:rsid w:val="00E37968"/>
    <w:rsid w:val="00E4024F"/>
    <w:rsid w:val="00E4034F"/>
    <w:rsid w:val="00E408AD"/>
    <w:rsid w:val="00E40989"/>
    <w:rsid w:val="00E41A89"/>
    <w:rsid w:val="00E422A6"/>
    <w:rsid w:val="00E430BB"/>
    <w:rsid w:val="00E43457"/>
    <w:rsid w:val="00E437EE"/>
    <w:rsid w:val="00E43B5C"/>
    <w:rsid w:val="00E4430A"/>
    <w:rsid w:val="00E4472A"/>
    <w:rsid w:val="00E44888"/>
    <w:rsid w:val="00E44FD4"/>
    <w:rsid w:val="00E458A3"/>
    <w:rsid w:val="00E458C4"/>
    <w:rsid w:val="00E46869"/>
    <w:rsid w:val="00E50573"/>
    <w:rsid w:val="00E522FB"/>
    <w:rsid w:val="00E52AF9"/>
    <w:rsid w:val="00E53893"/>
    <w:rsid w:val="00E538CB"/>
    <w:rsid w:val="00E548CA"/>
    <w:rsid w:val="00E55EFE"/>
    <w:rsid w:val="00E56185"/>
    <w:rsid w:val="00E56C29"/>
    <w:rsid w:val="00E6065A"/>
    <w:rsid w:val="00E61A88"/>
    <w:rsid w:val="00E61D32"/>
    <w:rsid w:val="00E62178"/>
    <w:rsid w:val="00E625B2"/>
    <w:rsid w:val="00E628F8"/>
    <w:rsid w:val="00E629C2"/>
    <w:rsid w:val="00E637F7"/>
    <w:rsid w:val="00E63894"/>
    <w:rsid w:val="00E63A33"/>
    <w:rsid w:val="00E63AD7"/>
    <w:rsid w:val="00E64DCE"/>
    <w:rsid w:val="00E65099"/>
    <w:rsid w:val="00E66AFE"/>
    <w:rsid w:val="00E67516"/>
    <w:rsid w:val="00E7020C"/>
    <w:rsid w:val="00E70840"/>
    <w:rsid w:val="00E7115F"/>
    <w:rsid w:val="00E713D3"/>
    <w:rsid w:val="00E71933"/>
    <w:rsid w:val="00E71EC8"/>
    <w:rsid w:val="00E72DC7"/>
    <w:rsid w:val="00E74181"/>
    <w:rsid w:val="00E74F75"/>
    <w:rsid w:val="00E752F7"/>
    <w:rsid w:val="00E760FB"/>
    <w:rsid w:val="00E76A70"/>
    <w:rsid w:val="00E77A57"/>
    <w:rsid w:val="00E77BDD"/>
    <w:rsid w:val="00E8050A"/>
    <w:rsid w:val="00E81F81"/>
    <w:rsid w:val="00E82BA1"/>
    <w:rsid w:val="00E84A6D"/>
    <w:rsid w:val="00E84A8E"/>
    <w:rsid w:val="00E84BCF"/>
    <w:rsid w:val="00E850D3"/>
    <w:rsid w:val="00E8610B"/>
    <w:rsid w:val="00E87194"/>
    <w:rsid w:val="00E8735B"/>
    <w:rsid w:val="00E87BBD"/>
    <w:rsid w:val="00E87F20"/>
    <w:rsid w:val="00E909CC"/>
    <w:rsid w:val="00E91373"/>
    <w:rsid w:val="00E914E8"/>
    <w:rsid w:val="00E92925"/>
    <w:rsid w:val="00E92D37"/>
    <w:rsid w:val="00E94006"/>
    <w:rsid w:val="00E951D0"/>
    <w:rsid w:val="00E9568B"/>
    <w:rsid w:val="00E956A1"/>
    <w:rsid w:val="00E956A4"/>
    <w:rsid w:val="00E9590B"/>
    <w:rsid w:val="00E96815"/>
    <w:rsid w:val="00E97E33"/>
    <w:rsid w:val="00E97F1E"/>
    <w:rsid w:val="00EA0E9D"/>
    <w:rsid w:val="00EA1EA1"/>
    <w:rsid w:val="00EA1F17"/>
    <w:rsid w:val="00EA3392"/>
    <w:rsid w:val="00EA342B"/>
    <w:rsid w:val="00EA3FED"/>
    <w:rsid w:val="00EA454C"/>
    <w:rsid w:val="00EA5714"/>
    <w:rsid w:val="00EA62C6"/>
    <w:rsid w:val="00EA6B75"/>
    <w:rsid w:val="00EA7121"/>
    <w:rsid w:val="00EA7403"/>
    <w:rsid w:val="00EA772A"/>
    <w:rsid w:val="00EB0603"/>
    <w:rsid w:val="00EB0A0F"/>
    <w:rsid w:val="00EB0AB1"/>
    <w:rsid w:val="00EB18C8"/>
    <w:rsid w:val="00EB2172"/>
    <w:rsid w:val="00EB264C"/>
    <w:rsid w:val="00EB2BDB"/>
    <w:rsid w:val="00EB2FE3"/>
    <w:rsid w:val="00EB3864"/>
    <w:rsid w:val="00EB3BF3"/>
    <w:rsid w:val="00EB40F2"/>
    <w:rsid w:val="00EB4199"/>
    <w:rsid w:val="00EB43AA"/>
    <w:rsid w:val="00EB65D5"/>
    <w:rsid w:val="00EB687A"/>
    <w:rsid w:val="00EB75D4"/>
    <w:rsid w:val="00EB7A62"/>
    <w:rsid w:val="00EC0064"/>
    <w:rsid w:val="00EC126F"/>
    <w:rsid w:val="00EC18D7"/>
    <w:rsid w:val="00EC1DBD"/>
    <w:rsid w:val="00EC23A8"/>
    <w:rsid w:val="00EC36ED"/>
    <w:rsid w:val="00EC48EE"/>
    <w:rsid w:val="00EC4A91"/>
    <w:rsid w:val="00EC4DFB"/>
    <w:rsid w:val="00EC6530"/>
    <w:rsid w:val="00EC6AEF"/>
    <w:rsid w:val="00EC6C3A"/>
    <w:rsid w:val="00EC726F"/>
    <w:rsid w:val="00EC7F59"/>
    <w:rsid w:val="00ED0115"/>
    <w:rsid w:val="00ED0842"/>
    <w:rsid w:val="00ED0B9E"/>
    <w:rsid w:val="00ED1891"/>
    <w:rsid w:val="00ED1D1A"/>
    <w:rsid w:val="00ED1E72"/>
    <w:rsid w:val="00ED32CA"/>
    <w:rsid w:val="00ED3772"/>
    <w:rsid w:val="00ED3C30"/>
    <w:rsid w:val="00ED3E04"/>
    <w:rsid w:val="00ED4494"/>
    <w:rsid w:val="00ED46CB"/>
    <w:rsid w:val="00ED4800"/>
    <w:rsid w:val="00ED63C1"/>
    <w:rsid w:val="00ED655C"/>
    <w:rsid w:val="00ED6E71"/>
    <w:rsid w:val="00ED7DF6"/>
    <w:rsid w:val="00EE0C7D"/>
    <w:rsid w:val="00EE10AA"/>
    <w:rsid w:val="00EE1739"/>
    <w:rsid w:val="00EE1C0C"/>
    <w:rsid w:val="00EE1FD0"/>
    <w:rsid w:val="00EE2369"/>
    <w:rsid w:val="00EE244F"/>
    <w:rsid w:val="00EE2529"/>
    <w:rsid w:val="00EE4D57"/>
    <w:rsid w:val="00EE62D3"/>
    <w:rsid w:val="00EE6587"/>
    <w:rsid w:val="00EE681A"/>
    <w:rsid w:val="00EE686C"/>
    <w:rsid w:val="00EE7D07"/>
    <w:rsid w:val="00EF0611"/>
    <w:rsid w:val="00EF0AD7"/>
    <w:rsid w:val="00EF0B12"/>
    <w:rsid w:val="00EF1FE9"/>
    <w:rsid w:val="00EF2414"/>
    <w:rsid w:val="00EF27BD"/>
    <w:rsid w:val="00EF4173"/>
    <w:rsid w:val="00EF43B8"/>
    <w:rsid w:val="00EF4BF4"/>
    <w:rsid w:val="00EF4F2E"/>
    <w:rsid w:val="00EF519D"/>
    <w:rsid w:val="00EF6A12"/>
    <w:rsid w:val="00EF7F26"/>
    <w:rsid w:val="00F00090"/>
    <w:rsid w:val="00F00555"/>
    <w:rsid w:val="00F00E83"/>
    <w:rsid w:val="00F0118F"/>
    <w:rsid w:val="00F01208"/>
    <w:rsid w:val="00F01D5F"/>
    <w:rsid w:val="00F01EB7"/>
    <w:rsid w:val="00F0203E"/>
    <w:rsid w:val="00F02424"/>
    <w:rsid w:val="00F02C36"/>
    <w:rsid w:val="00F03280"/>
    <w:rsid w:val="00F045BF"/>
    <w:rsid w:val="00F04FD3"/>
    <w:rsid w:val="00F0581E"/>
    <w:rsid w:val="00F0648F"/>
    <w:rsid w:val="00F07CE4"/>
    <w:rsid w:val="00F103A0"/>
    <w:rsid w:val="00F108F9"/>
    <w:rsid w:val="00F119B8"/>
    <w:rsid w:val="00F119C6"/>
    <w:rsid w:val="00F11AAA"/>
    <w:rsid w:val="00F11EFB"/>
    <w:rsid w:val="00F120AA"/>
    <w:rsid w:val="00F12447"/>
    <w:rsid w:val="00F125EF"/>
    <w:rsid w:val="00F126EF"/>
    <w:rsid w:val="00F12AAE"/>
    <w:rsid w:val="00F12D01"/>
    <w:rsid w:val="00F12DBD"/>
    <w:rsid w:val="00F1408A"/>
    <w:rsid w:val="00F14D51"/>
    <w:rsid w:val="00F15655"/>
    <w:rsid w:val="00F15795"/>
    <w:rsid w:val="00F15F46"/>
    <w:rsid w:val="00F168D3"/>
    <w:rsid w:val="00F202E3"/>
    <w:rsid w:val="00F219AD"/>
    <w:rsid w:val="00F21B83"/>
    <w:rsid w:val="00F21E30"/>
    <w:rsid w:val="00F21F03"/>
    <w:rsid w:val="00F22508"/>
    <w:rsid w:val="00F22DD5"/>
    <w:rsid w:val="00F237E9"/>
    <w:rsid w:val="00F24394"/>
    <w:rsid w:val="00F25382"/>
    <w:rsid w:val="00F25620"/>
    <w:rsid w:val="00F25821"/>
    <w:rsid w:val="00F2778A"/>
    <w:rsid w:val="00F27865"/>
    <w:rsid w:val="00F30ADD"/>
    <w:rsid w:val="00F30CC7"/>
    <w:rsid w:val="00F31550"/>
    <w:rsid w:val="00F31926"/>
    <w:rsid w:val="00F31DDA"/>
    <w:rsid w:val="00F325DA"/>
    <w:rsid w:val="00F32DC9"/>
    <w:rsid w:val="00F33752"/>
    <w:rsid w:val="00F33A63"/>
    <w:rsid w:val="00F33A92"/>
    <w:rsid w:val="00F344BA"/>
    <w:rsid w:val="00F34560"/>
    <w:rsid w:val="00F348F8"/>
    <w:rsid w:val="00F34A96"/>
    <w:rsid w:val="00F354F9"/>
    <w:rsid w:val="00F356DC"/>
    <w:rsid w:val="00F37D19"/>
    <w:rsid w:val="00F37DF3"/>
    <w:rsid w:val="00F40042"/>
    <w:rsid w:val="00F40631"/>
    <w:rsid w:val="00F40831"/>
    <w:rsid w:val="00F4092D"/>
    <w:rsid w:val="00F40DBA"/>
    <w:rsid w:val="00F40DCC"/>
    <w:rsid w:val="00F41160"/>
    <w:rsid w:val="00F411E8"/>
    <w:rsid w:val="00F412D5"/>
    <w:rsid w:val="00F41584"/>
    <w:rsid w:val="00F416B2"/>
    <w:rsid w:val="00F43B2F"/>
    <w:rsid w:val="00F43E36"/>
    <w:rsid w:val="00F4415B"/>
    <w:rsid w:val="00F44342"/>
    <w:rsid w:val="00F4497B"/>
    <w:rsid w:val="00F45122"/>
    <w:rsid w:val="00F45D69"/>
    <w:rsid w:val="00F46650"/>
    <w:rsid w:val="00F46D93"/>
    <w:rsid w:val="00F46EB6"/>
    <w:rsid w:val="00F472F9"/>
    <w:rsid w:val="00F47376"/>
    <w:rsid w:val="00F50D74"/>
    <w:rsid w:val="00F528D7"/>
    <w:rsid w:val="00F5343E"/>
    <w:rsid w:val="00F54231"/>
    <w:rsid w:val="00F54E88"/>
    <w:rsid w:val="00F55935"/>
    <w:rsid w:val="00F559F3"/>
    <w:rsid w:val="00F55EF3"/>
    <w:rsid w:val="00F57061"/>
    <w:rsid w:val="00F6030E"/>
    <w:rsid w:val="00F617F0"/>
    <w:rsid w:val="00F62AC0"/>
    <w:rsid w:val="00F646D9"/>
    <w:rsid w:val="00F64C80"/>
    <w:rsid w:val="00F65161"/>
    <w:rsid w:val="00F653CD"/>
    <w:rsid w:val="00F656A4"/>
    <w:rsid w:val="00F65F15"/>
    <w:rsid w:val="00F66794"/>
    <w:rsid w:val="00F66E41"/>
    <w:rsid w:val="00F67D7D"/>
    <w:rsid w:val="00F70CBD"/>
    <w:rsid w:val="00F71056"/>
    <w:rsid w:val="00F71AEC"/>
    <w:rsid w:val="00F71D80"/>
    <w:rsid w:val="00F71E22"/>
    <w:rsid w:val="00F72BB6"/>
    <w:rsid w:val="00F72DE5"/>
    <w:rsid w:val="00F73280"/>
    <w:rsid w:val="00F74557"/>
    <w:rsid w:val="00F75155"/>
    <w:rsid w:val="00F75B86"/>
    <w:rsid w:val="00F75C7A"/>
    <w:rsid w:val="00F75D60"/>
    <w:rsid w:val="00F7633E"/>
    <w:rsid w:val="00F76D06"/>
    <w:rsid w:val="00F81CC9"/>
    <w:rsid w:val="00F82166"/>
    <w:rsid w:val="00F831DB"/>
    <w:rsid w:val="00F83443"/>
    <w:rsid w:val="00F83665"/>
    <w:rsid w:val="00F86162"/>
    <w:rsid w:val="00F86192"/>
    <w:rsid w:val="00F868A7"/>
    <w:rsid w:val="00F86E37"/>
    <w:rsid w:val="00F87836"/>
    <w:rsid w:val="00F9008B"/>
    <w:rsid w:val="00F90227"/>
    <w:rsid w:val="00F91238"/>
    <w:rsid w:val="00F91465"/>
    <w:rsid w:val="00F92B2B"/>
    <w:rsid w:val="00F938A2"/>
    <w:rsid w:val="00F93F01"/>
    <w:rsid w:val="00F943F3"/>
    <w:rsid w:val="00F94F8A"/>
    <w:rsid w:val="00F95427"/>
    <w:rsid w:val="00F957F1"/>
    <w:rsid w:val="00F95FA1"/>
    <w:rsid w:val="00F96027"/>
    <w:rsid w:val="00F96DC8"/>
    <w:rsid w:val="00F96FFE"/>
    <w:rsid w:val="00F97774"/>
    <w:rsid w:val="00F979E8"/>
    <w:rsid w:val="00F97E27"/>
    <w:rsid w:val="00F97EE9"/>
    <w:rsid w:val="00FA000A"/>
    <w:rsid w:val="00FA0336"/>
    <w:rsid w:val="00FA0790"/>
    <w:rsid w:val="00FA210C"/>
    <w:rsid w:val="00FA2E7B"/>
    <w:rsid w:val="00FA4B99"/>
    <w:rsid w:val="00FA5F03"/>
    <w:rsid w:val="00FA7EF2"/>
    <w:rsid w:val="00FB0004"/>
    <w:rsid w:val="00FB07C2"/>
    <w:rsid w:val="00FB1033"/>
    <w:rsid w:val="00FB2E7D"/>
    <w:rsid w:val="00FB34F4"/>
    <w:rsid w:val="00FB3528"/>
    <w:rsid w:val="00FB3E49"/>
    <w:rsid w:val="00FB5170"/>
    <w:rsid w:val="00FB535D"/>
    <w:rsid w:val="00FB61F4"/>
    <w:rsid w:val="00FB6966"/>
    <w:rsid w:val="00FB7E51"/>
    <w:rsid w:val="00FC0D16"/>
    <w:rsid w:val="00FC1366"/>
    <w:rsid w:val="00FC1639"/>
    <w:rsid w:val="00FC279A"/>
    <w:rsid w:val="00FC281F"/>
    <w:rsid w:val="00FC2A3D"/>
    <w:rsid w:val="00FC2AFA"/>
    <w:rsid w:val="00FC3408"/>
    <w:rsid w:val="00FC3F07"/>
    <w:rsid w:val="00FC408D"/>
    <w:rsid w:val="00FC4482"/>
    <w:rsid w:val="00FC4BAF"/>
    <w:rsid w:val="00FC5633"/>
    <w:rsid w:val="00FC61FB"/>
    <w:rsid w:val="00FC6B3A"/>
    <w:rsid w:val="00FD0857"/>
    <w:rsid w:val="00FD1095"/>
    <w:rsid w:val="00FD1245"/>
    <w:rsid w:val="00FD179C"/>
    <w:rsid w:val="00FD1A0F"/>
    <w:rsid w:val="00FD1BDF"/>
    <w:rsid w:val="00FD1CA3"/>
    <w:rsid w:val="00FD29A4"/>
    <w:rsid w:val="00FD2A55"/>
    <w:rsid w:val="00FD3491"/>
    <w:rsid w:val="00FD3ABA"/>
    <w:rsid w:val="00FD3FE5"/>
    <w:rsid w:val="00FD402E"/>
    <w:rsid w:val="00FD4F54"/>
    <w:rsid w:val="00FD597B"/>
    <w:rsid w:val="00FD5A87"/>
    <w:rsid w:val="00FD68D1"/>
    <w:rsid w:val="00FD6A30"/>
    <w:rsid w:val="00FD6CA1"/>
    <w:rsid w:val="00FD6D3D"/>
    <w:rsid w:val="00FD7119"/>
    <w:rsid w:val="00FD7316"/>
    <w:rsid w:val="00FD770E"/>
    <w:rsid w:val="00FE029D"/>
    <w:rsid w:val="00FE09E0"/>
    <w:rsid w:val="00FE0FF2"/>
    <w:rsid w:val="00FE1015"/>
    <w:rsid w:val="00FE10EA"/>
    <w:rsid w:val="00FE126F"/>
    <w:rsid w:val="00FE201F"/>
    <w:rsid w:val="00FE31E9"/>
    <w:rsid w:val="00FE330C"/>
    <w:rsid w:val="00FE38EB"/>
    <w:rsid w:val="00FE3D58"/>
    <w:rsid w:val="00FE3FE4"/>
    <w:rsid w:val="00FE41AF"/>
    <w:rsid w:val="00FE587F"/>
    <w:rsid w:val="00FE632C"/>
    <w:rsid w:val="00FE6346"/>
    <w:rsid w:val="00FE7140"/>
    <w:rsid w:val="00FE73F8"/>
    <w:rsid w:val="00FE7781"/>
    <w:rsid w:val="00FF115C"/>
    <w:rsid w:val="00FF1465"/>
    <w:rsid w:val="00FF14BD"/>
    <w:rsid w:val="00FF1A56"/>
    <w:rsid w:val="00FF2C87"/>
    <w:rsid w:val="00FF4045"/>
    <w:rsid w:val="00FF466C"/>
    <w:rsid w:val="00FF4B6C"/>
    <w:rsid w:val="00FF4CF7"/>
    <w:rsid w:val="00FF4E3F"/>
    <w:rsid w:val="00FF6448"/>
    <w:rsid w:val="00FF6D0C"/>
    <w:rsid w:val="00FF76BC"/>
    <w:rsid w:val="00FF7D22"/>
    <w:rsid w:val="00FF7DDD"/>
    <w:rsid w:val="01160AA5"/>
    <w:rsid w:val="01C47B72"/>
    <w:rsid w:val="01C5696E"/>
    <w:rsid w:val="027E29A5"/>
    <w:rsid w:val="02A9617B"/>
    <w:rsid w:val="02CF1E1F"/>
    <w:rsid w:val="02E2003A"/>
    <w:rsid w:val="031F17CA"/>
    <w:rsid w:val="0327428D"/>
    <w:rsid w:val="03282534"/>
    <w:rsid w:val="0356048A"/>
    <w:rsid w:val="0370433C"/>
    <w:rsid w:val="038905AA"/>
    <w:rsid w:val="03936C6A"/>
    <w:rsid w:val="03AA4690"/>
    <w:rsid w:val="03B55A51"/>
    <w:rsid w:val="03DA2164"/>
    <w:rsid w:val="03FE2AE8"/>
    <w:rsid w:val="041A5F3C"/>
    <w:rsid w:val="042618CA"/>
    <w:rsid w:val="04350A21"/>
    <w:rsid w:val="051B326D"/>
    <w:rsid w:val="051B7DDB"/>
    <w:rsid w:val="05427FA4"/>
    <w:rsid w:val="054D20B5"/>
    <w:rsid w:val="054F05BF"/>
    <w:rsid w:val="05561486"/>
    <w:rsid w:val="05CB720D"/>
    <w:rsid w:val="05F44C50"/>
    <w:rsid w:val="06572FF5"/>
    <w:rsid w:val="0668414F"/>
    <w:rsid w:val="066B74E1"/>
    <w:rsid w:val="06897A95"/>
    <w:rsid w:val="06D10E9D"/>
    <w:rsid w:val="06D23427"/>
    <w:rsid w:val="06E71D14"/>
    <w:rsid w:val="07010FB6"/>
    <w:rsid w:val="076D4428"/>
    <w:rsid w:val="076D4537"/>
    <w:rsid w:val="076E4558"/>
    <w:rsid w:val="07AE5363"/>
    <w:rsid w:val="07CD6D88"/>
    <w:rsid w:val="07DC325C"/>
    <w:rsid w:val="081975CA"/>
    <w:rsid w:val="08246A68"/>
    <w:rsid w:val="08631DD0"/>
    <w:rsid w:val="08865766"/>
    <w:rsid w:val="08B04C07"/>
    <w:rsid w:val="08F311DF"/>
    <w:rsid w:val="093F316B"/>
    <w:rsid w:val="09410EFE"/>
    <w:rsid w:val="096248EE"/>
    <w:rsid w:val="09637B28"/>
    <w:rsid w:val="097A6141"/>
    <w:rsid w:val="099A0DC9"/>
    <w:rsid w:val="0A0D35D0"/>
    <w:rsid w:val="0A264801"/>
    <w:rsid w:val="0A567667"/>
    <w:rsid w:val="0A917CCA"/>
    <w:rsid w:val="0AA64D0E"/>
    <w:rsid w:val="0AB4031E"/>
    <w:rsid w:val="0AB54A7C"/>
    <w:rsid w:val="0AD13335"/>
    <w:rsid w:val="0B1A2CDA"/>
    <w:rsid w:val="0B2B74E5"/>
    <w:rsid w:val="0B6D5845"/>
    <w:rsid w:val="0C787805"/>
    <w:rsid w:val="0D2E019B"/>
    <w:rsid w:val="0D400C8F"/>
    <w:rsid w:val="0D4D058F"/>
    <w:rsid w:val="0D6C0601"/>
    <w:rsid w:val="0DC0221D"/>
    <w:rsid w:val="0E135ED2"/>
    <w:rsid w:val="0E2853AF"/>
    <w:rsid w:val="0E5C043C"/>
    <w:rsid w:val="0E726840"/>
    <w:rsid w:val="0E8037C7"/>
    <w:rsid w:val="0E8B6BD5"/>
    <w:rsid w:val="0EC93987"/>
    <w:rsid w:val="0F600B6B"/>
    <w:rsid w:val="0F9C7333"/>
    <w:rsid w:val="0FC02FE7"/>
    <w:rsid w:val="10144D91"/>
    <w:rsid w:val="101F5C97"/>
    <w:rsid w:val="103662DE"/>
    <w:rsid w:val="10454407"/>
    <w:rsid w:val="108A4111"/>
    <w:rsid w:val="109F7093"/>
    <w:rsid w:val="10A22492"/>
    <w:rsid w:val="10C57012"/>
    <w:rsid w:val="10E22E7C"/>
    <w:rsid w:val="11C101AE"/>
    <w:rsid w:val="121B06BF"/>
    <w:rsid w:val="12751798"/>
    <w:rsid w:val="12757B1F"/>
    <w:rsid w:val="12972672"/>
    <w:rsid w:val="12A606EE"/>
    <w:rsid w:val="12BA43D3"/>
    <w:rsid w:val="12E2666A"/>
    <w:rsid w:val="13207A30"/>
    <w:rsid w:val="1329162D"/>
    <w:rsid w:val="13AD35D6"/>
    <w:rsid w:val="14317ECA"/>
    <w:rsid w:val="14954B5F"/>
    <w:rsid w:val="14BC4CE8"/>
    <w:rsid w:val="1501512D"/>
    <w:rsid w:val="150A3F6D"/>
    <w:rsid w:val="15504F07"/>
    <w:rsid w:val="16106092"/>
    <w:rsid w:val="165D23F6"/>
    <w:rsid w:val="166E03D8"/>
    <w:rsid w:val="1689483B"/>
    <w:rsid w:val="169F0215"/>
    <w:rsid w:val="16BE758F"/>
    <w:rsid w:val="16D37E88"/>
    <w:rsid w:val="173E367E"/>
    <w:rsid w:val="17485042"/>
    <w:rsid w:val="17685577"/>
    <w:rsid w:val="17A553DC"/>
    <w:rsid w:val="180B5ABD"/>
    <w:rsid w:val="185B7012"/>
    <w:rsid w:val="189317E1"/>
    <w:rsid w:val="18B1550E"/>
    <w:rsid w:val="18DE2B5A"/>
    <w:rsid w:val="19041CCF"/>
    <w:rsid w:val="191552FF"/>
    <w:rsid w:val="193844ED"/>
    <w:rsid w:val="197E67A4"/>
    <w:rsid w:val="199C30F1"/>
    <w:rsid w:val="19AB6D78"/>
    <w:rsid w:val="19B85050"/>
    <w:rsid w:val="19D00EDA"/>
    <w:rsid w:val="1A1B5DE5"/>
    <w:rsid w:val="1A3F0011"/>
    <w:rsid w:val="1A615A87"/>
    <w:rsid w:val="1A7E409D"/>
    <w:rsid w:val="1B1D56FD"/>
    <w:rsid w:val="1B2B739F"/>
    <w:rsid w:val="1B575EBA"/>
    <w:rsid w:val="1B5D026B"/>
    <w:rsid w:val="1BA2374C"/>
    <w:rsid w:val="1BA558EC"/>
    <w:rsid w:val="1C5B364D"/>
    <w:rsid w:val="1C5E390E"/>
    <w:rsid w:val="1CA13205"/>
    <w:rsid w:val="1CAF1028"/>
    <w:rsid w:val="1CF51D96"/>
    <w:rsid w:val="1D495F9C"/>
    <w:rsid w:val="1D5D1757"/>
    <w:rsid w:val="1DF81D44"/>
    <w:rsid w:val="1E0D6052"/>
    <w:rsid w:val="1E430C24"/>
    <w:rsid w:val="1E442A4B"/>
    <w:rsid w:val="1E7859E8"/>
    <w:rsid w:val="1EB926C9"/>
    <w:rsid w:val="1EBB10F3"/>
    <w:rsid w:val="1F0E3740"/>
    <w:rsid w:val="1F38760A"/>
    <w:rsid w:val="1F3C0E99"/>
    <w:rsid w:val="1F506D7F"/>
    <w:rsid w:val="1F831727"/>
    <w:rsid w:val="1FF07354"/>
    <w:rsid w:val="202A707C"/>
    <w:rsid w:val="2044337B"/>
    <w:rsid w:val="20516009"/>
    <w:rsid w:val="205C5588"/>
    <w:rsid w:val="208B0495"/>
    <w:rsid w:val="209B3FAD"/>
    <w:rsid w:val="20B31600"/>
    <w:rsid w:val="212575B9"/>
    <w:rsid w:val="215A77CA"/>
    <w:rsid w:val="21637907"/>
    <w:rsid w:val="217904D8"/>
    <w:rsid w:val="21D22B6A"/>
    <w:rsid w:val="21FB130B"/>
    <w:rsid w:val="22084646"/>
    <w:rsid w:val="22280099"/>
    <w:rsid w:val="226360FF"/>
    <w:rsid w:val="2298697E"/>
    <w:rsid w:val="22A805E7"/>
    <w:rsid w:val="22DB4350"/>
    <w:rsid w:val="22E67A30"/>
    <w:rsid w:val="22EC5858"/>
    <w:rsid w:val="23202507"/>
    <w:rsid w:val="23547806"/>
    <w:rsid w:val="23D94763"/>
    <w:rsid w:val="240707DB"/>
    <w:rsid w:val="24187A20"/>
    <w:rsid w:val="24565CD4"/>
    <w:rsid w:val="25C50294"/>
    <w:rsid w:val="25FC11C5"/>
    <w:rsid w:val="261B3491"/>
    <w:rsid w:val="26255A00"/>
    <w:rsid w:val="26694B4E"/>
    <w:rsid w:val="2686714A"/>
    <w:rsid w:val="2759352C"/>
    <w:rsid w:val="27BD19A9"/>
    <w:rsid w:val="27BF6E99"/>
    <w:rsid w:val="27C863AE"/>
    <w:rsid w:val="27F02A1E"/>
    <w:rsid w:val="27FA7B61"/>
    <w:rsid w:val="281B425C"/>
    <w:rsid w:val="2852754B"/>
    <w:rsid w:val="28AF6024"/>
    <w:rsid w:val="29146748"/>
    <w:rsid w:val="294C7E51"/>
    <w:rsid w:val="296A2121"/>
    <w:rsid w:val="299D2F53"/>
    <w:rsid w:val="29AA142C"/>
    <w:rsid w:val="29CA5CB0"/>
    <w:rsid w:val="29E25879"/>
    <w:rsid w:val="29E92364"/>
    <w:rsid w:val="2A8D40F5"/>
    <w:rsid w:val="2AA76FCB"/>
    <w:rsid w:val="2AB15332"/>
    <w:rsid w:val="2B093F1A"/>
    <w:rsid w:val="2B2919F7"/>
    <w:rsid w:val="2B692C0B"/>
    <w:rsid w:val="2B6C5FBE"/>
    <w:rsid w:val="2B8302EB"/>
    <w:rsid w:val="2BAD2EF4"/>
    <w:rsid w:val="2BE1588C"/>
    <w:rsid w:val="2BF02D04"/>
    <w:rsid w:val="2C1314EF"/>
    <w:rsid w:val="2C1F0511"/>
    <w:rsid w:val="2C6A44EB"/>
    <w:rsid w:val="2C840918"/>
    <w:rsid w:val="2C8C4DFE"/>
    <w:rsid w:val="2CB73D61"/>
    <w:rsid w:val="2CF9238D"/>
    <w:rsid w:val="2CFF282A"/>
    <w:rsid w:val="2D264F4D"/>
    <w:rsid w:val="2D5434C2"/>
    <w:rsid w:val="2D6D1AE0"/>
    <w:rsid w:val="2D726F1C"/>
    <w:rsid w:val="2D800AB9"/>
    <w:rsid w:val="2E401624"/>
    <w:rsid w:val="2E7711B3"/>
    <w:rsid w:val="2E7D64D4"/>
    <w:rsid w:val="2E8B0B05"/>
    <w:rsid w:val="2EB021B5"/>
    <w:rsid w:val="2EB92842"/>
    <w:rsid w:val="2EE83B1E"/>
    <w:rsid w:val="2F22447C"/>
    <w:rsid w:val="2F5C5B42"/>
    <w:rsid w:val="2F6B1CBB"/>
    <w:rsid w:val="2F6F008E"/>
    <w:rsid w:val="2F7A79C2"/>
    <w:rsid w:val="2FE3547C"/>
    <w:rsid w:val="2FF92489"/>
    <w:rsid w:val="302E3B8A"/>
    <w:rsid w:val="3043310A"/>
    <w:rsid w:val="30B71F0F"/>
    <w:rsid w:val="30E9289F"/>
    <w:rsid w:val="31455663"/>
    <w:rsid w:val="31B872CE"/>
    <w:rsid w:val="31CE47E3"/>
    <w:rsid w:val="323F3ED1"/>
    <w:rsid w:val="326F7A10"/>
    <w:rsid w:val="32D51D6B"/>
    <w:rsid w:val="32FA4F5E"/>
    <w:rsid w:val="330306F8"/>
    <w:rsid w:val="33061EA2"/>
    <w:rsid w:val="334E7CA6"/>
    <w:rsid w:val="33850327"/>
    <w:rsid w:val="33953BA3"/>
    <w:rsid w:val="33B17FE2"/>
    <w:rsid w:val="33DC3160"/>
    <w:rsid w:val="34010D5F"/>
    <w:rsid w:val="34057765"/>
    <w:rsid w:val="343B7E11"/>
    <w:rsid w:val="345507E9"/>
    <w:rsid w:val="34797769"/>
    <w:rsid w:val="34860FB8"/>
    <w:rsid w:val="34C9402B"/>
    <w:rsid w:val="34F60CF0"/>
    <w:rsid w:val="350602DD"/>
    <w:rsid w:val="35497AE9"/>
    <w:rsid w:val="355826AF"/>
    <w:rsid w:val="35622F24"/>
    <w:rsid w:val="35895DF6"/>
    <w:rsid w:val="35B008C8"/>
    <w:rsid w:val="35D35460"/>
    <w:rsid w:val="35DA7C85"/>
    <w:rsid w:val="366767B0"/>
    <w:rsid w:val="367149F7"/>
    <w:rsid w:val="3691586D"/>
    <w:rsid w:val="36A97254"/>
    <w:rsid w:val="36B44D45"/>
    <w:rsid w:val="36F61F70"/>
    <w:rsid w:val="370D5E26"/>
    <w:rsid w:val="371A47F4"/>
    <w:rsid w:val="37536FD4"/>
    <w:rsid w:val="377175D3"/>
    <w:rsid w:val="377A7A9B"/>
    <w:rsid w:val="379C4663"/>
    <w:rsid w:val="37BA3526"/>
    <w:rsid w:val="383E603C"/>
    <w:rsid w:val="38931953"/>
    <w:rsid w:val="38F81F0C"/>
    <w:rsid w:val="39420851"/>
    <w:rsid w:val="399E6510"/>
    <w:rsid w:val="39F772D0"/>
    <w:rsid w:val="3A38007E"/>
    <w:rsid w:val="3A6634F9"/>
    <w:rsid w:val="3A8862A3"/>
    <w:rsid w:val="3A89307A"/>
    <w:rsid w:val="3A8B5C58"/>
    <w:rsid w:val="3A973285"/>
    <w:rsid w:val="3B2A7106"/>
    <w:rsid w:val="3B496FD3"/>
    <w:rsid w:val="3B6623AF"/>
    <w:rsid w:val="3B7414CA"/>
    <w:rsid w:val="3C130AD2"/>
    <w:rsid w:val="3C3A107B"/>
    <w:rsid w:val="3C3F395D"/>
    <w:rsid w:val="3C7568F2"/>
    <w:rsid w:val="3CE820FC"/>
    <w:rsid w:val="3CE84F36"/>
    <w:rsid w:val="3D1C694B"/>
    <w:rsid w:val="3D2F4300"/>
    <w:rsid w:val="3D661EC5"/>
    <w:rsid w:val="3DA475BE"/>
    <w:rsid w:val="3DD0106E"/>
    <w:rsid w:val="3DD067C4"/>
    <w:rsid w:val="3DEA5746"/>
    <w:rsid w:val="3E383A88"/>
    <w:rsid w:val="3E7B4411"/>
    <w:rsid w:val="3EB709F3"/>
    <w:rsid w:val="3ED9559B"/>
    <w:rsid w:val="3EE20AB6"/>
    <w:rsid w:val="3F14246D"/>
    <w:rsid w:val="3F211E15"/>
    <w:rsid w:val="3F410957"/>
    <w:rsid w:val="3F6135CD"/>
    <w:rsid w:val="3F683062"/>
    <w:rsid w:val="3F736BA7"/>
    <w:rsid w:val="3FAF1F06"/>
    <w:rsid w:val="3FC341E7"/>
    <w:rsid w:val="40202CFB"/>
    <w:rsid w:val="40730265"/>
    <w:rsid w:val="40BE58C5"/>
    <w:rsid w:val="40CB6066"/>
    <w:rsid w:val="41361BC7"/>
    <w:rsid w:val="41872067"/>
    <w:rsid w:val="41AD4CCA"/>
    <w:rsid w:val="41E34160"/>
    <w:rsid w:val="422D6D8F"/>
    <w:rsid w:val="424C6FC2"/>
    <w:rsid w:val="4332321F"/>
    <w:rsid w:val="43474FCA"/>
    <w:rsid w:val="43D257AC"/>
    <w:rsid w:val="43EB4BF9"/>
    <w:rsid w:val="44162144"/>
    <w:rsid w:val="4465510B"/>
    <w:rsid w:val="44745A37"/>
    <w:rsid w:val="44995CC0"/>
    <w:rsid w:val="44B52F47"/>
    <w:rsid w:val="44D5127D"/>
    <w:rsid w:val="44D6635C"/>
    <w:rsid w:val="44F214AA"/>
    <w:rsid w:val="44F71031"/>
    <w:rsid w:val="452025F6"/>
    <w:rsid w:val="455B3DFD"/>
    <w:rsid w:val="46B61793"/>
    <w:rsid w:val="46BC5DAC"/>
    <w:rsid w:val="470955DD"/>
    <w:rsid w:val="477335F6"/>
    <w:rsid w:val="477D6A9F"/>
    <w:rsid w:val="47A1784F"/>
    <w:rsid w:val="483A48CC"/>
    <w:rsid w:val="485B4C31"/>
    <w:rsid w:val="48686258"/>
    <w:rsid w:val="48730C7B"/>
    <w:rsid w:val="497F41A4"/>
    <w:rsid w:val="497F63A3"/>
    <w:rsid w:val="49974A29"/>
    <w:rsid w:val="49F07633"/>
    <w:rsid w:val="4A085002"/>
    <w:rsid w:val="4A7C5779"/>
    <w:rsid w:val="4A8B447B"/>
    <w:rsid w:val="4A8C63C6"/>
    <w:rsid w:val="4B565287"/>
    <w:rsid w:val="4BC75D67"/>
    <w:rsid w:val="4BD231A3"/>
    <w:rsid w:val="4C2E6909"/>
    <w:rsid w:val="4C3401CD"/>
    <w:rsid w:val="4C536F43"/>
    <w:rsid w:val="4C8F692D"/>
    <w:rsid w:val="4CF27919"/>
    <w:rsid w:val="4D0A23AB"/>
    <w:rsid w:val="4E487E1A"/>
    <w:rsid w:val="4E9400B8"/>
    <w:rsid w:val="4E9445BC"/>
    <w:rsid w:val="4EBB0E98"/>
    <w:rsid w:val="4EE37B1A"/>
    <w:rsid w:val="4F6A02FA"/>
    <w:rsid w:val="4FFB2C0C"/>
    <w:rsid w:val="50074B08"/>
    <w:rsid w:val="502842CC"/>
    <w:rsid w:val="508D471F"/>
    <w:rsid w:val="50A823BC"/>
    <w:rsid w:val="50E52935"/>
    <w:rsid w:val="50E664BC"/>
    <w:rsid w:val="51051DC2"/>
    <w:rsid w:val="5105657C"/>
    <w:rsid w:val="511708C4"/>
    <w:rsid w:val="5250749B"/>
    <w:rsid w:val="52DE1F04"/>
    <w:rsid w:val="52E23187"/>
    <w:rsid w:val="5310744E"/>
    <w:rsid w:val="53650812"/>
    <w:rsid w:val="537237E4"/>
    <w:rsid w:val="537E6B3A"/>
    <w:rsid w:val="53891BA8"/>
    <w:rsid w:val="53902026"/>
    <w:rsid w:val="53A000C2"/>
    <w:rsid w:val="53C72D6C"/>
    <w:rsid w:val="541B3325"/>
    <w:rsid w:val="54440C69"/>
    <w:rsid w:val="54454F70"/>
    <w:rsid w:val="549822B1"/>
    <w:rsid w:val="54D00B4F"/>
    <w:rsid w:val="55330DF9"/>
    <w:rsid w:val="55645B67"/>
    <w:rsid w:val="558069B2"/>
    <w:rsid w:val="56313518"/>
    <w:rsid w:val="566E15C5"/>
    <w:rsid w:val="56CB6D12"/>
    <w:rsid w:val="57C778F0"/>
    <w:rsid w:val="58092409"/>
    <w:rsid w:val="581E36D3"/>
    <w:rsid w:val="583E67E2"/>
    <w:rsid w:val="5865446D"/>
    <w:rsid w:val="586E0340"/>
    <w:rsid w:val="58826305"/>
    <w:rsid w:val="58A565DF"/>
    <w:rsid w:val="58EE6A99"/>
    <w:rsid w:val="596533D2"/>
    <w:rsid w:val="597B61A8"/>
    <w:rsid w:val="59CF05B4"/>
    <w:rsid w:val="59D04D80"/>
    <w:rsid w:val="5A967C4C"/>
    <w:rsid w:val="5AA46015"/>
    <w:rsid w:val="5AB36A23"/>
    <w:rsid w:val="5AC20744"/>
    <w:rsid w:val="5ADD3795"/>
    <w:rsid w:val="5B5A794B"/>
    <w:rsid w:val="5B6910D6"/>
    <w:rsid w:val="5B702C84"/>
    <w:rsid w:val="5BE5362C"/>
    <w:rsid w:val="5C647B1E"/>
    <w:rsid w:val="5C653D22"/>
    <w:rsid w:val="5C720E3A"/>
    <w:rsid w:val="5C7E4605"/>
    <w:rsid w:val="5CB404A0"/>
    <w:rsid w:val="5D1C3851"/>
    <w:rsid w:val="5DAB784C"/>
    <w:rsid w:val="5DBD11EF"/>
    <w:rsid w:val="5DE56116"/>
    <w:rsid w:val="5E43714D"/>
    <w:rsid w:val="5EA871EC"/>
    <w:rsid w:val="5EB57A47"/>
    <w:rsid w:val="5EE74BD9"/>
    <w:rsid w:val="5F2A78FB"/>
    <w:rsid w:val="5F2B4060"/>
    <w:rsid w:val="5F3333BA"/>
    <w:rsid w:val="5F37677D"/>
    <w:rsid w:val="5F3A7F59"/>
    <w:rsid w:val="5FF257E7"/>
    <w:rsid w:val="60343A63"/>
    <w:rsid w:val="606D163F"/>
    <w:rsid w:val="60974A42"/>
    <w:rsid w:val="60D966AC"/>
    <w:rsid w:val="61510099"/>
    <w:rsid w:val="617556F4"/>
    <w:rsid w:val="61833D0B"/>
    <w:rsid w:val="61AB2A03"/>
    <w:rsid w:val="61CE6EDF"/>
    <w:rsid w:val="624A30B4"/>
    <w:rsid w:val="629B0039"/>
    <w:rsid w:val="62B91756"/>
    <w:rsid w:val="62BE180C"/>
    <w:rsid w:val="62CE61AB"/>
    <w:rsid w:val="62EE22F7"/>
    <w:rsid w:val="63046673"/>
    <w:rsid w:val="63EC5DF4"/>
    <w:rsid w:val="63F501EC"/>
    <w:rsid w:val="6421247D"/>
    <w:rsid w:val="64273315"/>
    <w:rsid w:val="643C499F"/>
    <w:rsid w:val="648061D8"/>
    <w:rsid w:val="648D013B"/>
    <w:rsid w:val="64A54522"/>
    <w:rsid w:val="64B129B4"/>
    <w:rsid w:val="654E454D"/>
    <w:rsid w:val="655666AE"/>
    <w:rsid w:val="656F71A9"/>
    <w:rsid w:val="659D6E1E"/>
    <w:rsid w:val="65A5415A"/>
    <w:rsid w:val="65AA51C7"/>
    <w:rsid w:val="65B6447F"/>
    <w:rsid w:val="65EE796E"/>
    <w:rsid w:val="660211AE"/>
    <w:rsid w:val="66174109"/>
    <w:rsid w:val="66656706"/>
    <w:rsid w:val="66754A36"/>
    <w:rsid w:val="66834D8A"/>
    <w:rsid w:val="66FE5EE4"/>
    <w:rsid w:val="670A3A9C"/>
    <w:rsid w:val="677B2AD6"/>
    <w:rsid w:val="677B2E58"/>
    <w:rsid w:val="679B1D06"/>
    <w:rsid w:val="67E52FFA"/>
    <w:rsid w:val="681C3FB0"/>
    <w:rsid w:val="68443209"/>
    <w:rsid w:val="684B3EE6"/>
    <w:rsid w:val="688D37B2"/>
    <w:rsid w:val="68942431"/>
    <w:rsid w:val="68D6398B"/>
    <w:rsid w:val="693B119D"/>
    <w:rsid w:val="69686DFF"/>
    <w:rsid w:val="69A81168"/>
    <w:rsid w:val="69E508D6"/>
    <w:rsid w:val="6A6D0834"/>
    <w:rsid w:val="6AE06117"/>
    <w:rsid w:val="6B26161B"/>
    <w:rsid w:val="6B366440"/>
    <w:rsid w:val="6BBC1B4D"/>
    <w:rsid w:val="6BC45718"/>
    <w:rsid w:val="6C833F4D"/>
    <w:rsid w:val="6D0C45CC"/>
    <w:rsid w:val="6D307CE1"/>
    <w:rsid w:val="6D430C9B"/>
    <w:rsid w:val="6D760823"/>
    <w:rsid w:val="6D9272C7"/>
    <w:rsid w:val="6DA87317"/>
    <w:rsid w:val="6DB37D21"/>
    <w:rsid w:val="6DE43245"/>
    <w:rsid w:val="6DF0222D"/>
    <w:rsid w:val="6EE50B6D"/>
    <w:rsid w:val="6EF5741E"/>
    <w:rsid w:val="6F5357D0"/>
    <w:rsid w:val="6F6D3DBD"/>
    <w:rsid w:val="6F8A6DB6"/>
    <w:rsid w:val="6F9D4395"/>
    <w:rsid w:val="6FE46AAB"/>
    <w:rsid w:val="6FF5793D"/>
    <w:rsid w:val="702F1B26"/>
    <w:rsid w:val="7047770F"/>
    <w:rsid w:val="704842A4"/>
    <w:rsid w:val="71032B11"/>
    <w:rsid w:val="710377C6"/>
    <w:rsid w:val="71530FFB"/>
    <w:rsid w:val="71AD316B"/>
    <w:rsid w:val="71B4715F"/>
    <w:rsid w:val="71BD5507"/>
    <w:rsid w:val="7222576C"/>
    <w:rsid w:val="72270B56"/>
    <w:rsid w:val="722F4EF2"/>
    <w:rsid w:val="72476860"/>
    <w:rsid w:val="73085C46"/>
    <w:rsid w:val="73114E18"/>
    <w:rsid w:val="731D7D2C"/>
    <w:rsid w:val="73357986"/>
    <w:rsid w:val="73635C75"/>
    <w:rsid w:val="736946CC"/>
    <w:rsid w:val="73934614"/>
    <w:rsid w:val="73DB0932"/>
    <w:rsid w:val="73E055A6"/>
    <w:rsid w:val="73F17390"/>
    <w:rsid w:val="741C7CB9"/>
    <w:rsid w:val="74597479"/>
    <w:rsid w:val="74D82B3C"/>
    <w:rsid w:val="756C0087"/>
    <w:rsid w:val="75CC1AD0"/>
    <w:rsid w:val="75DF53EF"/>
    <w:rsid w:val="760B61B5"/>
    <w:rsid w:val="76124944"/>
    <w:rsid w:val="762D18D6"/>
    <w:rsid w:val="764705B6"/>
    <w:rsid w:val="7647739D"/>
    <w:rsid w:val="76524558"/>
    <w:rsid w:val="76567242"/>
    <w:rsid w:val="76A10D30"/>
    <w:rsid w:val="76DD66EF"/>
    <w:rsid w:val="774A0C90"/>
    <w:rsid w:val="77741ED5"/>
    <w:rsid w:val="779B715A"/>
    <w:rsid w:val="77AD5E9C"/>
    <w:rsid w:val="77B0146F"/>
    <w:rsid w:val="77C76CBB"/>
    <w:rsid w:val="77E674BB"/>
    <w:rsid w:val="785C0630"/>
    <w:rsid w:val="78D87A53"/>
    <w:rsid w:val="79104666"/>
    <w:rsid w:val="79685B70"/>
    <w:rsid w:val="79905336"/>
    <w:rsid w:val="799D5E7E"/>
    <w:rsid w:val="79BA74BC"/>
    <w:rsid w:val="79F0361A"/>
    <w:rsid w:val="7A1A7293"/>
    <w:rsid w:val="7AFD5258"/>
    <w:rsid w:val="7B1139A2"/>
    <w:rsid w:val="7B145DD0"/>
    <w:rsid w:val="7B217E94"/>
    <w:rsid w:val="7B8D56ED"/>
    <w:rsid w:val="7B8F7843"/>
    <w:rsid w:val="7BB03C6F"/>
    <w:rsid w:val="7C1F2A57"/>
    <w:rsid w:val="7C4D7C3B"/>
    <w:rsid w:val="7C8048D1"/>
    <w:rsid w:val="7C9E7A01"/>
    <w:rsid w:val="7CC3260B"/>
    <w:rsid w:val="7CFB3369"/>
    <w:rsid w:val="7D097F09"/>
    <w:rsid w:val="7D234FA3"/>
    <w:rsid w:val="7D83583B"/>
    <w:rsid w:val="7E210B8C"/>
    <w:rsid w:val="7E2A1285"/>
    <w:rsid w:val="7E615FD7"/>
    <w:rsid w:val="7EE87E5D"/>
    <w:rsid w:val="7F323F7F"/>
    <w:rsid w:val="7F451518"/>
    <w:rsid w:val="7F492E62"/>
    <w:rsid w:val="7FDE443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iPriority="39" w:name="toc 3" w:locked="1"/>
    <w:lsdException w:uiPriority="39" w:name="toc 4" w:locked="1"/>
    <w:lsdException w:uiPriority="39" w:name="toc 5" w:locked="1"/>
    <w:lsdException w:qFormat="1" w:unhideWhenUsed="0" w:uiPriority="99" w:semiHidden="0" w:name="toc 6"/>
    <w:lsdException w:qFormat="1" w:unhideWhenUsed="0" w:uiPriority="99" w:name="toc 7"/>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qFormat="1" w:uiPriority="99" w:semiHidden="0"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iPriority="99" w:semiHidden="0"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57"/>
    <w:qFormat/>
    <w:uiPriority w:val="99"/>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58"/>
    <w:qFormat/>
    <w:uiPriority w:val="99"/>
    <w:pPr>
      <w:keepNext/>
      <w:keepLines/>
      <w:spacing w:before="260" w:after="260" w:line="416" w:lineRule="auto"/>
      <w:outlineLvl w:val="2"/>
    </w:pPr>
    <w:rPr>
      <w:b/>
      <w:bCs/>
      <w:kern w:val="0"/>
      <w:sz w:val="32"/>
      <w:szCs w:val="32"/>
    </w:rPr>
  </w:style>
  <w:style w:type="paragraph" w:styleId="2">
    <w:name w:val="heading 4"/>
    <w:basedOn w:val="1"/>
    <w:next w:val="1"/>
    <w:link w:val="59"/>
    <w:qFormat/>
    <w:uiPriority w:val="99"/>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0"/>
    <w:qFormat/>
    <w:uiPriority w:val="99"/>
    <w:pPr>
      <w:keepNext/>
      <w:keepLines/>
      <w:numPr>
        <w:ilvl w:val="4"/>
        <w:numId w:val="1"/>
      </w:numPr>
      <w:spacing w:before="280" w:after="290" w:line="376" w:lineRule="auto"/>
      <w:outlineLvl w:val="4"/>
    </w:pPr>
    <w:rPr>
      <w:b/>
      <w:sz w:val="28"/>
    </w:rPr>
  </w:style>
  <w:style w:type="paragraph" w:styleId="8">
    <w:name w:val="heading 6"/>
    <w:basedOn w:val="1"/>
    <w:next w:val="7"/>
    <w:link w:val="61"/>
    <w:qFormat/>
    <w:uiPriority w:val="99"/>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7"/>
    <w:link w:val="62"/>
    <w:qFormat/>
    <w:uiPriority w:val="99"/>
    <w:pPr>
      <w:keepNext/>
      <w:keepLines/>
      <w:numPr>
        <w:ilvl w:val="6"/>
        <w:numId w:val="1"/>
      </w:numPr>
      <w:spacing w:before="240" w:after="64" w:line="320" w:lineRule="auto"/>
      <w:outlineLvl w:val="6"/>
    </w:pPr>
    <w:rPr>
      <w:b/>
      <w:sz w:val="24"/>
    </w:rPr>
  </w:style>
  <w:style w:type="paragraph" w:styleId="10">
    <w:name w:val="heading 8"/>
    <w:basedOn w:val="1"/>
    <w:next w:val="7"/>
    <w:link w:val="63"/>
    <w:qFormat/>
    <w:uiPriority w:val="99"/>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7"/>
    <w:link w:val="64"/>
    <w:qFormat/>
    <w:uiPriority w:val="99"/>
    <w:pPr>
      <w:keepNext/>
      <w:keepLines/>
      <w:numPr>
        <w:ilvl w:val="8"/>
        <w:numId w:val="1"/>
      </w:numPr>
      <w:spacing w:before="240" w:after="64" w:line="320" w:lineRule="auto"/>
      <w:outlineLvl w:val="8"/>
    </w:pPr>
    <w:rPr>
      <w:rFonts w:ascii="Arial" w:hAnsi="Arial" w:eastAsia="黑体"/>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26"/>
    <w:qFormat/>
    <w:uiPriority w:val="99"/>
    <w:pPr>
      <w:ind w:firstLine="420"/>
    </w:pPr>
    <w:rPr>
      <w:szCs w:val="20"/>
    </w:rPr>
  </w:style>
  <w:style w:type="paragraph" w:styleId="12">
    <w:name w:val="toc 7"/>
    <w:basedOn w:val="1"/>
    <w:next w:val="1"/>
    <w:semiHidden/>
    <w:qFormat/>
    <w:uiPriority w:val="99"/>
    <w:pPr>
      <w:ind w:left="2520" w:leftChars="1200"/>
    </w:pPr>
  </w:style>
  <w:style w:type="paragraph" w:styleId="13">
    <w:name w:val="List Number"/>
    <w:basedOn w:val="1"/>
    <w:qFormat/>
    <w:uiPriority w:val="99"/>
    <w:pPr>
      <w:widowControl/>
      <w:tabs>
        <w:tab w:val="left" w:pos="454"/>
        <w:tab w:val="left" w:pos="720"/>
        <w:tab w:val="left" w:pos="840"/>
      </w:tabs>
      <w:spacing w:afterLines="50"/>
      <w:ind w:left="454" w:hanging="284"/>
      <w:jc w:val="left"/>
    </w:pPr>
    <w:rPr>
      <w:kern w:val="0"/>
      <w:sz w:val="24"/>
      <w:szCs w:val="20"/>
    </w:rPr>
  </w:style>
  <w:style w:type="paragraph" w:styleId="14">
    <w:name w:val="caption"/>
    <w:basedOn w:val="1"/>
    <w:next w:val="1"/>
    <w:qFormat/>
    <w:uiPriority w:val="99"/>
    <w:pPr>
      <w:spacing w:before="152" w:after="160"/>
    </w:pPr>
    <w:rPr>
      <w:rFonts w:ascii="Arial" w:hAnsi="Arial" w:eastAsia="黑体" w:cs="Arial"/>
      <w:sz w:val="20"/>
      <w:szCs w:val="20"/>
    </w:rPr>
  </w:style>
  <w:style w:type="paragraph" w:styleId="15">
    <w:name w:val="Document Map"/>
    <w:basedOn w:val="1"/>
    <w:link w:val="68"/>
    <w:qFormat/>
    <w:uiPriority w:val="99"/>
    <w:rPr>
      <w:rFonts w:ascii="宋体"/>
      <w:sz w:val="18"/>
      <w:szCs w:val="18"/>
    </w:rPr>
  </w:style>
  <w:style w:type="paragraph" w:styleId="16">
    <w:name w:val="annotation text"/>
    <w:basedOn w:val="1"/>
    <w:link w:val="69"/>
    <w:qFormat/>
    <w:uiPriority w:val="99"/>
    <w:pPr>
      <w:jc w:val="left"/>
    </w:pPr>
  </w:style>
  <w:style w:type="paragraph" w:styleId="17">
    <w:name w:val="Body Text 3"/>
    <w:basedOn w:val="1"/>
    <w:link w:val="70"/>
    <w:qFormat/>
    <w:uiPriority w:val="99"/>
    <w:pPr>
      <w:spacing w:line="500" w:lineRule="exact"/>
    </w:pPr>
    <w:rPr>
      <w:b/>
      <w:bCs/>
      <w:kern w:val="0"/>
      <w:sz w:val="24"/>
    </w:rPr>
  </w:style>
  <w:style w:type="paragraph" w:styleId="18">
    <w:name w:val="Body Text"/>
    <w:basedOn w:val="1"/>
    <w:next w:val="19"/>
    <w:link w:val="65"/>
    <w:qFormat/>
    <w:uiPriority w:val="99"/>
    <w:pPr>
      <w:spacing w:line="380" w:lineRule="exact"/>
    </w:pPr>
    <w:rPr>
      <w:kern w:val="0"/>
      <w:sz w:val="24"/>
    </w:rPr>
  </w:style>
  <w:style w:type="paragraph" w:styleId="19">
    <w:name w:val="Body Text First Indent 2"/>
    <w:basedOn w:val="20"/>
    <w:link w:val="67"/>
    <w:qFormat/>
    <w:uiPriority w:val="99"/>
    <w:pPr>
      <w:spacing w:after="120"/>
      <w:ind w:left="420" w:leftChars="200" w:firstLine="420" w:firstLineChars="200"/>
    </w:pPr>
    <w:rPr>
      <w:rFonts w:ascii="Calibri" w:hAnsi="Calibri"/>
      <w:sz w:val="21"/>
      <w:szCs w:val="24"/>
    </w:rPr>
  </w:style>
  <w:style w:type="paragraph" w:styleId="20">
    <w:name w:val="Body Text Indent"/>
    <w:basedOn w:val="1"/>
    <w:link w:val="66"/>
    <w:qFormat/>
    <w:uiPriority w:val="99"/>
    <w:pPr>
      <w:ind w:firstLine="830" w:firstLineChars="352"/>
    </w:pPr>
    <w:rPr>
      <w:rFonts w:ascii="仿宋_GB2312" w:eastAsia="仿宋_GB2312"/>
      <w:kern w:val="0"/>
      <w:sz w:val="32"/>
      <w:szCs w:val="20"/>
    </w:rPr>
  </w:style>
  <w:style w:type="paragraph" w:styleId="21">
    <w:name w:val="List Number 3"/>
    <w:basedOn w:val="1"/>
    <w:qFormat/>
    <w:uiPriority w:val="99"/>
    <w:pPr>
      <w:numPr>
        <w:ilvl w:val="0"/>
        <w:numId w:val="2"/>
      </w:numPr>
    </w:pPr>
  </w:style>
  <w:style w:type="paragraph" w:styleId="22">
    <w:name w:val="List 2"/>
    <w:basedOn w:val="1"/>
    <w:qFormat/>
    <w:uiPriority w:val="99"/>
    <w:pPr>
      <w:ind w:left="100" w:leftChars="200" w:hanging="200" w:hangingChars="200"/>
    </w:pPr>
    <w:rPr>
      <w:sz w:val="28"/>
    </w:rPr>
  </w:style>
  <w:style w:type="paragraph" w:styleId="23">
    <w:name w:val="Plain Text"/>
    <w:basedOn w:val="1"/>
    <w:link w:val="71"/>
    <w:qFormat/>
    <w:uiPriority w:val="99"/>
    <w:rPr>
      <w:rFonts w:ascii="宋体" w:hAnsi="Courier New"/>
      <w:kern w:val="0"/>
      <w:sz w:val="20"/>
      <w:szCs w:val="21"/>
    </w:rPr>
  </w:style>
  <w:style w:type="paragraph" w:styleId="24">
    <w:name w:val="Date"/>
    <w:basedOn w:val="1"/>
    <w:next w:val="1"/>
    <w:link w:val="72"/>
    <w:qFormat/>
    <w:uiPriority w:val="99"/>
    <w:pPr>
      <w:ind w:left="100" w:leftChars="2500"/>
    </w:pPr>
    <w:rPr>
      <w:rFonts w:ascii="宋体" w:hAnsi="Courier New"/>
      <w:kern w:val="0"/>
      <w:sz w:val="20"/>
      <w:szCs w:val="21"/>
    </w:rPr>
  </w:style>
  <w:style w:type="paragraph" w:styleId="25">
    <w:name w:val="Body Text Indent 2"/>
    <w:basedOn w:val="1"/>
    <w:link w:val="73"/>
    <w:qFormat/>
    <w:uiPriority w:val="99"/>
    <w:pPr>
      <w:ind w:firstLine="630"/>
    </w:pPr>
    <w:rPr>
      <w:kern w:val="0"/>
      <w:sz w:val="32"/>
      <w:szCs w:val="20"/>
    </w:rPr>
  </w:style>
  <w:style w:type="paragraph" w:styleId="26">
    <w:name w:val="Balloon Text"/>
    <w:basedOn w:val="1"/>
    <w:link w:val="74"/>
    <w:semiHidden/>
    <w:qFormat/>
    <w:uiPriority w:val="99"/>
    <w:rPr>
      <w:kern w:val="0"/>
      <w:sz w:val="18"/>
      <w:szCs w:val="18"/>
    </w:rPr>
  </w:style>
  <w:style w:type="paragraph" w:styleId="27">
    <w:name w:val="footer"/>
    <w:basedOn w:val="1"/>
    <w:link w:val="75"/>
    <w:qFormat/>
    <w:uiPriority w:val="99"/>
    <w:pPr>
      <w:tabs>
        <w:tab w:val="center" w:pos="4153"/>
        <w:tab w:val="right" w:pos="8306"/>
      </w:tabs>
      <w:snapToGrid w:val="0"/>
      <w:jc w:val="left"/>
    </w:pPr>
    <w:rPr>
      <w:kern w:val="0"/>
      <w:sz w:val="18"/>
      <w:szCs w:val="18"/>
    </w:rPr>
  </w:style>
  <w:style w:type="paragraph" w:styleId="28">
    <w:name w:val="header"/>
    <w:basedOn w:val="1"/>
    <w:link w:val="76"/>
    <w:qFormat/>
    <w:uiPriority w:val="99"/>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semiHidden/>
    <w:qFormat/>
    <w:uiPriority w:val="99"/>
    <w:pPr>
      <w:tabs>
        <w:tab w:val="right" w:leader="dot" w:pos="9360"/>
      </w:tabs>
      <w:spacing w:before="120" w:after="120"/>
      <w:ind w:firstLine="190" w:firstLineChars="79"/>
      <w:jc w:val="left"/>
    </w:pPr>
    <w:rPr>
      <w:rFonts w:ascii="宋体" w:hAnsi="宋体"/>
      <w:bCs/>
      <w:caps/>
      <w:sz w:val="24"/>
    </w:rPr>
  </w:style>
  <w:style w:type="paragraph" w:styleId="30">
    <w:name w:val="List"/>
    <w:basedOn w:val="1"/>
    <w:qFormat/>
    <w:uiPriority w:val="99"/>
    <w:pPr>
      <w:ind w:left="200" w:hanging="200" w:hangingChars="200"/>
    </w:pPr>
    <w:rPr>
      <w:sz w:val="28"/>
    </w:rPr>
  </w:style>
  <w:style w:type="paragraph" w:styleId="31">
    <w:name w:val="toc 6"/>
    <w:basedOn w:val="1"/>
    <w:next w:val="1"/>
    <w:qFormat/>
    <w:uiPriority w:val="99"/>
    <w:pPr>
      <w:ind w:left="2100" w:leftChars="1000"/>
    </w:pPr>
  </w:style>
  <w:style w:type="paragraph" w:styleId="32">
    <w:name w:val="Body Text Indent 3"/>
    <w:basedOn w:val="1"/>
    <w:link w:val="77"/>
    <w:qFormat/>
    <w:uiPriority w:val="99"/>
    <w:pPr>
      <w:spacing w:after="120"/>
      <w:ind w:left="420" w:leftChars="200"/>
    </w:pPr>
    <w:rPr>
      <w:kern w:val="0"/>
      <w:sz w:val="16"/>
      <w:szCs w:val="16"/>
    </w:rPr>
  </w:style>
  <w:style w:type="paragraph" w:styleId="33">
    <w:name w:val="toc 2"/>
    <w:basedOn w:val="1"/>
    <w:next w:val="1"/>
    <w:semiHidden/>
    <w:qFormat/>
    <w:uiPriority w:val="99"/>
    <w:pPr>
      <w:ind w:left="420" w:leftChars="200"/>
    </w:pPr>
  </w:style>
  <w:style w:type="paragraph" w:styleId="34">
    <w:name w:val="Body Text 2"/>
    <w:basedOn w:val="1"/>
    <w:link w:val="78"/>
    <w:qFormat/>
    <w:uiPriority w:val="99"/>
    <w:pPr>
      <w:spacing w:after="120" w:line="480" w:lineRule="auto"/>
    </w:pPr>
    <w:rPr>
      <w:kern w:val="0"/>
      <w:sz w:val="20"/>
    </w:rPr>
  </w:style>
  <w:style w:type="paragraph" w:styleId="35">
    <w:name w:val="Normal (Web)"/>
    <w:basedOn w:val="1"/>
    <w:qFormat/>
    <w:uiPriority w:val="99"/>
    <w:pPr>
      <w:widowControl/>
      <w:spacing w:before="100" w:beforeAutospacing="1" w:after="100" w:afterAutospacing="1"/>
      <w:jc w:val="left"/>
    </w:pPr>
    <w:rPr>
      <w:rFonts w:ascii="宋体" w:hAnsi="宋体"/>
      <w:kern w:val="0"/>
      <w:sz w:val="24"/>
    </w:rPr>
  </w:style>
  <w:style w:type="paragraph" w:styleId="36">
    <w:name w:val="index 1"/>
    <w:basedOn w:val="1"/>
    <w:next w:val="1"/>
    <w:semiHidden/>
    <w:qFormat/>
    <w:uiPriority w:val="99"/>
    <w:pPr>
      <w:spacing w:line="400" w:lineRule="exact"/>
      <w:ind w:firstLine="420" w:firstLineChars="200"/>
    </w:pPr>
    <w:rPr>
      <w:rFonts w:ascii="宋体" w:hAnsi="Courier New"/>
      <w:b/>
      <w:szCs w:val="20"/>
    </w:rPr>
  </w:style>
  <w:style w:type="paragraph" w:styleId="37">
    <w:name w:val="Title"/>
    <w:basedOn w:val="1"/>
    <w:link w:val="79"/>
    <w:qFormat/>
    <w:uiPriority w:val="99"/>
    <w:pPr>
      <w:spacing w:before="240" w:after="60"/>
      <w:jc w:val="center"/>
      <w:outlineLvl w:val="0"/>
    </w:pPr>
    <w:rPr>
      <w:rFonts w:ascii="Arial" w:hAnsi="Arial" w:cs="Arial"/>
      <w:b/>
      <w:bCs/>
      <w:sz w:val="32"/>
      <w:szCs w:val="32"/>
    </w:rPr>
  </w:style>
  <w:style w:type="paragraph" w:styleId="38">
    <w:name w:val="annotation subject"/>
    <w:basedOn w:val="16"/>
    <w:next w:val="16"/>
    <w:link w:val="80"/>
    <w:qFormat/>
    <w:uiPriority w:val="99"/>
    <w:rPr>
      <w:b/>
      <w:bCs/>
    </w:rPr>
  </w:style>
  <w:style w:type="paragraph" w:styleId="39">
    <w:name w:val="Body Text First Indent"/>
    <w:basedOn w:val="18"/>
    <w:link w:val="81"/>
    <w:qFormat/>
    <w:uiPriority w:val="99"/>
    <w:pPr>
      <w:spacing w:after="120" w:line="240" w:lineRule="auto"/>
      <w:ind w:firstLine="420" w:firstLineChars="100"/>
    </w:pPr>
    <w:rPr>
      <w:kern w:val="2"/>
      <w:sz w:val="21"/>
    </w:rPr>
  </w:style>
  <w:style w:type="table" w:styleId="41">
    <w:name w:val="Table Grid"/>
    <w:basedOn w:val="4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99"/>
    <w:rPr>
      <w:rFonts w:cs="Times New Roman"/>
      <w:b/>
    </w:rPr>
  </w:style>
  <w:style w:type="character" w:styleId="44">
    <w:name w:val="page number"/>
    <w:basedOn w:val="42"/>
    <w:qFormat/>
    <w:uiPriority w:val="99"/>
    <w:rPr>
      <w:rFonts w:cs="Times New Roman"/>
    </w:rPr>
  </w:style>
  <w:style w:type="character" w:styleId="45">
    <w:name w:val="FollowedHyperlink"/>
    <w:basedOn w:val="42"/>
    <w:qFormat/>
    <w:uiPriority w:val="99"/>
    <w:rPr>
      <w:rFonts w:ascii="微软雅黑" w:hAnsi="微软雅黑" w:eastAsia="微软雅黑" w:cs="微软雅黑"/>
      <w:color w:val="02396F"/>
      <w:u w:val="single"/>
    </w:rPr>
  </w:style>
  <w:style w:type="character" w:styleId="46">
    <w:name w:val="Emphasis"/>
    <w:basedOn w:val="42"/>
    <w:qFormat/>
    <w:uiPriority w:val="99"/>
    <w:rPr>
      <w:rFonts w:cs="Times New Roman"/>
      <w:i/>
    </w:rPr>
  </w:style>
  <w:style w:type="character" w:styleId="47">
    <w:name w:val="line number"/>
    <w:basedOn w:val="42"/>
    <w:qFormat/>
    <w:uiPriority w:val="99"/>
    <w:rPr>
      <w:rFonts w:cs="Times New Roman"/>
    </w:rPr>
  </w:style>
  <w:style w:type="character" w:styleId="48">
    <w:name w:val="HTML Definition"/>
    <w:basedOn w:val="42"/>
    <w:unhideWhenUsed/>
    <w:qFormat/>
    <w:locked/>
    <w:uiPriority w:val="99"/>
  </w:style>
  <w:style w:type="character" w:styleId="49">
    <w:name w:val="HTML Acronym"/>
    <w:basedOn w:val="42"/>
    <w:unhideWhenUsed/>
    <w:qFormat/>
    <w:locked/>
    <w:uiPriority w:val="99"/>
  </w:style>
  <w:style w:type="character" w:styleId="50">
    <w:name w:val="HTML Variable"/>
    <w:basedOn w:val="42"/>
    <w:unhideWhenUsed/>
    <w:qFormat/>
    <w:locked/>
    <w:uiPriority w:val="99"/>
  </w:style>
  <w:style w:type="character" w:styleId="51">
    <w:name w:val="Hyperlink"/>
    <w:basedOn w:val="42"/>
    <w:qFormat/>
    <w:uiPriority w:val="99"/>
    <w:rPr>
      <w:rFonts w:ascii="微软雅黑" w:hAnsi="微软雅黑" w:eastAsia="微软雅黑" w:cs="微软雅黑"/>
      <w:color w:val="02396F"/>
      <w:u w:val="single"/>
    </w:rPr>
  </w:style>
  <w:style w:type="character" w:styleId="52">
    <w:name w:val="HTML Code"/>
    <w:basedOn w:val="42"/>
    <w:unhideWhenUsed/>
    <w:qFormat/>
    <w:locked/>
    <w:uiPriority w:val="99"/>
    <w:rPr>
      <w:rFonts w:ascii="Courier New" w:hAnsi="Courier New"/>
      <w:sz w:val="20"/>
    </w:rPr>
  </w:style>
  <w:style w:type="character" w:styleId="53">
    <w:name w:val="annotation reference"/>
    <w:basedOn w:val="42"/>
    <w:qFormat/>
    <w:uiPriority w:val="99"/>
    <w:rPr>
      <w:rFonts w:cs="Times New Roman"/>
      <w:sz w:val="21"/>
    </w:rPr>
  </w:style>
  <w:style w:type="character" w:styleId="54">
    <w:name w:val="HTML Cite"/>
    <w:basedOn w:val="42"/>
    <w:unhideWhenUsed/>
    <w:qFormat/>
    <w:locked/>
    <w:uiPriority w:val="99"/>
  </w:style>
  <w:style w:type="paragraph" w:customStyle="1" w:styleId="55">
    <w:name w:val="表格文字"/>
    <w:basedOn w:val="1"/>
    <w:qFormat/>
    <w:uiPriority w:val="99"/>
    <w:pPr>
      <w:spacing w:before="25" w:after="25"/>
      <w:jc w:val="left"/>
    </w:pPr>
    <w:rPr>
      <w:bCs/>
      <w:spacing w:val="10"/>
      <w:kern w:val="0"/>
      <w:sz w:val="24"/>
    </w:rPr>
  </w:style>
  <w:style w:type="character" w:customStyle="1" w:styleId="56">
    <w:name w:val="标题 1 Char"/>
    <w:basedOn w:val="42"/>
    <w:link w:val="3"/>
    <w:qFormat/>
    <w:locked/>
    <w:uiPriority w:val="99"/>
    <w:rPr>
      <w:rFonts w:ascii="Times New Roman" w:hAnsi="Times New Roman" w:eastAsia="宋体"/>
      <w:b/>
      <w:kern w:val="44"/>
      <w:sz w:val="44"/>
    </w:rPr>
  </w:style>
  <w:style w:type="character" w:customStyle="1" w:styleId="57">
    <w:name w:val="标题 2 Char"/>
    <w:basedOn w:val="42"/>
    <w:link w:val="4"/>
    <w:qFormat/>
    <w:locked/>
    <w:uiPriority w:val="99"/>
    <w:rPr>
      <w:rFonts w:ascii="Arial" w:hAnsi="Arial" w:eastAsia="黑体"/>
      <w:b/>
      <w:sz w:val="32"/>
    </w:rPr>
  </w:style>
  <w:style w:type="character" w:customStyle="1" w:styleId="58">
    <w:name w:val="标题 3 Char"/>
    <w:basedOn w:val="42"/>
    <w:link w:val="5"/>
    <w:qFormat/>
    <w:locked/>
    <w:uiPriority w:val="99"/>
    <w:rPr>
      <w:rFonts w:ascii="Times New Roman" w:hAnsi="Times New Roman" w:eastAsia="宋体"/>
      <w:b/>
      <w:sz w:val="32"/>
    </w:rPr>
  </w:style>
  <w:style w:type="character" w:customStyle="1" w:styleId="59">
    <w:name w:val="标题 4 Char"/>
    <w:basedOn w:val="42"/>
    <w:link w:val="2"/>
    <w:semiHidden/>
    <w:qFormat/>
    <w:uiPriority w:val="9"/>
    <w:rPr>
      <w:rFonts w:asciiTheme="majorHAnsi" w:hAnsiTheme="majorHAnsi" w:eastAsiaTheme="majorEastAsia" w:cstheme="majorBidi"/>
      <w:b/>
      <w:bCs/>
      <w:sz w:val="28"/>
      <w:szCs w:val="28"/>
    </w:rPr>
  </w:style>
  <w:style w:type="character" w:customStyle="1" w:styleId="60">
    <w:name w:val="标题 5 Char"/>
    <w:basedOn w:val="42"/>
    <w:link w:val="6"/>
    <w:qFormat/>
    <w:locked/>
    <w:uiPriority w:val="99"/>
    <w:rPr>
      <w:b/>
      <w:sz w:val="28"/>
      <w:szCs w:val="24"/>
    </w:rPr>
  </w:style>
  <w:style w:type="character" w:customStyle="1" w:styleId="61">
    <w:name w:val="标题 6 Char"/>
    <w:basedOn w:val="42"/>
    <w:link w:val="8"/>
    <w:qFormat/>
    <w:locked/>
    <w:uiPriority w:val="99"/>
    <w:rPr>
      <w:rFonts w:ascii="Arial" w:hAnsi="Arial" w:eastAsia="黑体"/>
      <w:b/>
      <w:sz w:val="24"/>
      <w:szCs w:val="24"/>
    </w:rPr>
  </w:style>
  <w:style w:type="character" w:customStyle="1" w:styleId="62">
    <w:name w:val="标题 7 Char"/>
    <w:basedOn w:val="42"/>
    <w:link w:val="9"/>
    <w:qFormat/>
    <w:locked/>
    <w:uiPriority w:val="99"/>
    <w:rPr>
      <w:b/>
      <w:sz w:val="24"/>
      <w:szCs w:val="24"/>
    </w:rPr>
  </w:style>
  <w:style w:type="character" w:customStyle="1" w:styleId="63">
    <w:name w:val="标题 8 Char"/>
    <w:basedOn w:val="42"/>
    <w:link w:val="10"/>
    <w:qFormat/>
    <w:locked/>
    <w:uiPriority w:val="99"/>
    <w:rPr>
      <w:rFonts w:ascii="Arial" w:hAnsi="Arial" w:eastAsia="黑体"/>
      <w:sz w:val="24"/>
      <w:szCs w:val="24"/>
    </w:rPr>
  </w:style>
  <w:style w:type="character" w:customStyle="1" w:styleId="64">
    <w:name w:val="标题 9 Char"/>
    <w:basedOn w:val="42"/>
    <w:link w:val="11"/>
    <w:qFormat/>
    <w:locked/>
    <w:uiPriority w:val="99"/>
    <w:rPr>
      <w:rFonts w:ascii="Arial" w:hAnsi="Arial" w:eastAsia="黑体"/>
      <w:szCs w:val="24"/>
    </w:rPr>
  </w:style>
  <w:style w:type="character" w:customStyle="1" w:styleId="65">
    <w:name w:val="正文文本 Char"/>
    <w:basedOn w:val="42"/>
    <w:link w:val="18"/>
    <w:qFormat/>
    <w:locked/>
    <w:uiPriority w:val="99"/>
    <w:rPr>
      <w:rFonts w:ascii="Times New Roman" w:hAnsi="Times New Roman" w:eastAsia="宋体"/>
      <w:sz w:val="24"/>
    </w:rPr>
  </w:style>
  <w:style w:type="character" w:customStyle="1" w:styleId="66">
    <w:name w:val="正文文本缩进 Char"/>
    <w:basedOn w:val="42"/>
    <w:link w:val="20"/>
    <w:qFormat/>
    <w:locked/>
    <w:uiPriority w:val="99"/>
    <w:rPr>
      <w:rFonts w:ascii="仿宋_GB2312" w:hAnsi="Times New Roman" w:eastAsia="仿宋_GB2312"/>
      <w:sz w:val="20"/>
    </w:rPr>
  </w:style>
  <w:style w:type="character" w:customStyle="1" w:styleId="67">
    <w:name w:val="正文首行缩进 2 Char"/>
    <w:basedOn w:val="66"/>
    <w:link w:val="19"/>
    <w:semiHidden/>
    <w:qFormat/>
    <w:uiPriority w:val="99"/>
    <w:rPr>
      <w:szCs w:val="24"/>
    </w:rPr>
  </w:style>
  <w:style w:type="character" w:customStyle="1" w:styleId="68">
    <w:name w:val="文档结构图 Char"/>
    <w:basedOn w:val="42"/>
    <w:link w:val="15"/>
    <w:semiHidden/>
    <w:qFormat/>
    <w:locked/>
    <w:uiPriority w:val="99"/>
    <w:rPr>
      <w:rFonts w:ascii="宋体" w:cs="Times New Roman"/>
      <w:kern w:val="2"/>
      <w:sz w:val="18"/>
      <w:szCs w:val="18"/>
    </w:rPr>
  </w:style>
  <w:style w:type="character" w:customStyle="1" w:styleId="69">
    <w:name w:val="批注文字 Char"/>
    <w:basedOn w:val="42"/>
    <w:link w:val="16"/>
    <w:semiHidden/>
    <w:qFormat/>
    <w:locked/>
    <w:uiPriority w:val="99"/>
    <w:rPr>
      <w:rFonts w:ascii="Times New Roman" w:hAnsi="Times New Roman"/>
      <w:kern w:val="2"/>
      <w:sz w:val="24"/>
    </w:rPr>
  </w:style>
  <w:style w:type="character" w:customStyle="1" w:styleId="70">
    <w:name w:val="正文文本 3 Char"/>
    <w:basedOn w:val="42"/>
    <w:link w:val="17"/>
    <w:qFormat/>
    <w:locked/>
    <w:uiPriority w:val="99"/>
    <w:rPr>
      <w:rFonts w:ascii="Times New Roman" w:hAnsi="Times New Roman" w:eastAsia="宋体"/>
      <w:b/>
      <w:sz w:val="24"/>
    </w:rPr>
  </w:style>
  <w:style w:type="character" w:customStyle="1" w:styleId="71">
    <w:name w:val="纯文本 Char"/>
    <w:basedOn w:val="42"/>
    <w:link w:val="23"/>
    <w:qFormat/>
    <w:locked/>
    <w:uiPriority w:val="99"/>
    <w:rPr>
      <w:rFonts w:ascii="宋体" w:hAnsi="Courier New" w:eastAsia="宋体"/>
      <w:sz w:val="21"/>
    </w:rPr>
  </w:style>
  <w:style w:type="character" w:customStyle="1" w:styleId="72">
    <w:name w:val="日期 Char"/>
    <w:basedOn w:val="42"/>
    <w:link w:val="24"/>
    <w:qFormat/>
    <w:locked/>
    <w:uiPriority w:val="99"/>
    <w:rPr>
      <w:rFonts w:ascii="宋体" w:hAnsi="Courier New" w:eastAsia="宋体"/>
      <w:sz w:val="21"/>
    </w:rPr>
  </w:style>
  <w:style w:type="character" w:customStyle="1" w:styleId="73">
    <w:name w:val="正文文本缩进 2 Char"/>
    <w:basedOn w:val="42"/>
    <w:link w:val="25"/>
    <w:qFormat/>
    <w:locked/>
    <w:uiPriority w:val="99"/>
    <w:rPr>
      <w:rFonts w:ascii="Times New Roman" w:hAnsi="Times New Roman" w:eastAsia="宋体"/>
      <w:sz w:val="20"/>
    </w:rPr>
  </w:style>
  <w:style w:type="character" w:customStyle="1" w:styleId="74">
    <w:name w:val="批注框文本 Char"/>
    <w:basedOn w:val="42"/>
    <w:link w:val="26"/>
    <w:semiHidden/>
    <w:qFormat/>
    <w:locked/>
    <w:uiPriority w:val="99"/>
    <w:rPr>
      <w:rFonts w:ascii="Times New Roman" w:hAnsi="Times New Roman" w:eastAsia="宋体"/>
      <w:sz w:val="18"/>
    </w:rPr>
  </w:style>
  <w:style w:type="character" w:customStyle="1" w:styleId="75">
    <w:name w:val="页脚 Char"/>
    <w:basedOn w:val="42"/>
    <w:link w:val="27"/>
    <w:qFormat/>
    <w:locked/>
    <w:uiPriority w:val="99"/>
    <w:rPr>
      <w:sz w:val="18"/>
    </w:rPr>
  </w:style>
  <w:style w:type="character" w:customStyle="1" w:styleId="76">
    <w:name w:val="页眉 Char"/>
    <w:basedOn w:val="42"/>
    <w:link w:val="28"/>
    <w:qFormat/>
    <w:locked/>
    <w:uiPriority w:val="99"/>
    <w:rPr>
      <w:sz w:val="18"/>
    </w:rPr>
  </w:style>
  <w:style w:type="character" w:customStyle="1" w:styleId="77">
    <w:name w:val="正文文本缩进 3 Char"/>
    <w:basedOn w:val="42"/>
    <w:link w:val="32"/>
    <w:qFormat/>
    <w:locked/>
    <w:uiPriority w:val="99"/>
    <w:rPr>
      <w:rFonts w:ascii="Times New Roman" w:hAnsi="Times New Roman" w:eastAsia="宋体"/>
      <w:sz w:val="16"/>
    </w:rPr>
  </w:style>
  <w:style w:type="character" w:customStyle="1" w:styleId="78">
    <w:name w:val="正文文本 2 Char"/>
    <w:basedOn w:val="42"/>
    <w:link w:val="34"/>
    <w:qFormat/>
    <w:locked/>
    <w:uiPriority w:val="99"/>
    <w:rPr>
      <w:rFonts w:ascii="Times New Roman" w:hAnsi="Times New Roman" w:eastAsia="宋体"/>
      <w:sz w:val="24"/>
    </w:rPr>
  </w:style>
  <w:style w:type="character" w:customStyle="1" w:styleId="79">
    <w:name w:val="标题 Char"/>
    <w:basedOn w:val="42"/>
    <w:link w:val="37"/>
    <w:qFormat/>
    <w:uiPriority w:val="10"/>
    <w:rPr>
      <w:rFonts w:asciiTheme="majorHAnsi" w:hAnsiTheme="majorHAnsi" w:cstheme="majorBidi"/>
      <w:b/>
      <w:bCs/>
      <w:sz w:val="32"/>
      <w:szCs w:val="32"/>
    </w:rPr>
  </w:style>
  <w:style w:type="character" w:customStyle="1" w:styleId="80">
    <w:name w:val="批注主题 Char"/>
    <w:basedOn w:val="69"/>
    <w:link w:val="38"/>
    <w:semiHidden/>
    <w:qFormat/>
    <w:locked/>
    <w:uiPriority w:val="99"/>
    <w:rPr>
      <w:b/>
    </w:rPr>
  </w:style>
  <w:style w:type="character" w:customStyle="1" w:styleId="81">
    <w:name w:val="正文首行缩进 Char"/>
    <w:basedOn w:val="65"/>
    <w:link w:val="39"/>
    <w:semiHidden/>
    <w:qFormat/>
    <w:uiPriority w:val="99"/>
    <w:rPr>
      <w:szCs w:val="24"/>
    </w:rPr>
  </w:style>
  <w:style w:type="paragraph" w:customStyle="1" w:styleId="82">
    <w:name w:val="Char1"/>
    <w:basedOn w:val="1"/>
    <w:qFormat/>
    <w:uiPriority w:val="99"/>
    <w:rPr>
      <w:szCs w:val="21"/>
    </w:rPr>
  </w:style>
  <w:style w:type="paragraph" w:customStyle="1" w:styleId="83">
    <w:name w:val="默认段落字体 Para Char Char Char Char Char Char Char Char Char1 Char Char Char Char"/>
    <w:basedOn w:val="1"/>
    <w:qFormat/>
    <w:uiPriority w:val="99"/>
    <w:rPr>
      <w:rFonts w:ascii="Tahoma" w:hAnsi="Tahoma"/>
      <w:sz w:val="24"/>
      <w:szCs w:val="20"/>
    </w:rPr>
  </w:style>
  <w:style w:type="paragraph" w:customStyle="1" w:styleId="84">
    <w:name w:val="Char"/>
    <w:basedOn w:val="1"/>
    <w:qFormat/>
    <w:uiPriority w:val="99"/>
    <w:rPr>
      <w:szCs w:val="21"/>
    </w:rPr>
  </w:style>
  <w:style w:type="paragraph" w:customStyle="1" w:styleId="85">
    <w:name w:val="font5"/>
    <w:basedOn w:val="1"/>
    <w:qFormat/>
    <w:uiPriority w:val="99"/>
    <w:pPr>
      <w:widowControl/>
      <w:spacing w:before="100" w:beforeAutospacing="1" w:after="100" w:afterAutospacing="1"/>
      <w:jc w:val="left"/>
    </w:pPr>
    <w:rPr>
      <w:rFonts w:ascii="宋体" w:hAnsi="宋体"/>
      <w:kern w:val="0"/>
      <w:sz w:val="24"/>
    </w:rPr>
  </w:style>
  <w:style w:type="paragraph" w:customStyle="1" w:styleId="86">
    <w:name w:val="列出段落11"/>
    <w:basedOn w:val="1"/>
    <w:qFormat/>
    <w:uiPriority w:val="99"/>
    <w:pPr>
      <w:ind w:firstLine="420" w:firstLineChars="200"/>
    </w:pPr>
    <w:rPr>
      <w:rFonts w:ascii="Calibri" w:hAnsi="Calibri"/>
      <w:szCs w:val="22"/>
    </w:rPr>
  </w:style>
  <w:style w:type="paragraph" w:customStyle="1" w:styleId="87">
    <w:name w:val="_Style 2"/>
    <w:basedOn w:val="1"/>
    <w:qFormat/>
    <w:uiPriority w:val="99"/>
    <w:pPr>
      <w:ind w:firstLine="420" w:firstLineChars="200"/>
    </w:pPr>
    <w:rPr>
      <w:rFonts w:ascii="Calibri" w:hAnsi="Calibri"/>
      <w:szCs w:val="22"/>
    </w:rPr>
  </w:style>
  <w:style w:type="paragraph" w:customStyle="1" w:styleId="88">
    <w:name w:val="正文首行缩进两字符"/>
    <w:basedOn w:val="1"/>
    <w:qFormat/>
    <w:uiPriority w:val="99"/>
    <w:pPr>
      <w:spacing w:line="360" w:lineRule="auto"/>
      <w:ind w:firstLine="200" w:firstLineChars="200"/>
    </w:pPr>
  </w:style>
  <w:style w:type="paragraph" w:customStyle="1" w:styleId="89">
    <w:name w:val="样式 标题 3 + (中文) 黑体 小四 非加粗 段前: 7.8 磅 段后: 0 磅 行距: 固定值 20 磅"/>
    <w:basedOn w:val="5"/>
    <w:qFormat/>
    <w:uiPriority w:val="99"/>
    <w:pPr>
      <w:spacing w:before="0" w:after="0" w:line="400" w:lineRule="exact"/>
    </w:pPr>
    <w:rPr>
      <w:rFonts w:eastAsia="黑体" w:cs="宋体"/>
      <w:b w:val="0"/>
      <w:bCs w:val="0"/>
      <w:sz w:val="24"/>
      <w:szCs w:val="20"/>
    </w:rPr>
  </w:style>
  <w:style w:type="paragraph" w:customStyle="1" w:styleId="90">
    <w:name w:val="xl22"/>
    <w:basedOn w:val="1"/>
    <w:qFormat/>
    <w:uiPriority w:val="99"/>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91">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92">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bCs w:val="0"/>
      <w:sz w:val="28"/>
      <w:szCs w:val="20"/>
    </w:rPr>
  </w:style>
  <w:style w:type="paragraph" w:customStyle="1" w:styleId="93">
    <w:name w:val="正文1"/>
    <w:basedOn w:val="1"/>
    <w:qFormat/>
    <w:uiPriority w:val="99"/>
    <w:pPr>
      <w:spacing w:line="360" w:lineRule="auto"/>
      <w:ind w:left="1260" w:leftChars="600" w:firstLine="540" w:firstLineChars="257"/>
    </w:pPr>
    <w:rPr>
      <w:rFonts w:ascii="宋体" w:hAnsi="宋体"/>
    </w:rPr>
  </w:style>
  <w:style w:type="paragraph" w:customStyle="1" w:styleId="94">
    <w:name w:val="Char Char Char Char"/>
    <w:basedOn w:val="1"/>
    <w:qFormat/>
    <w:uiPriority w:val="99"/>
    <w:pPr>
      <w:adjustRightInd w:val="0"/>
      <w:spacing w:line="360" w:lineRule="auto"/>
    </w:pPr>
  </w:style>
  <w:style w:type="paragraph" w:customStyle="1" w:styleId="95">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96">
    <w:name w:val="表内文字"/>
    <w:basedOn w:val="1"/>
    <w:qFormat/>
    <w:uiPriority w:val="99"/>
    <w:pPr>
      <w:snapToGrid w:val="0"/>
      <w:spacing w:before="50" w:after="50"/>
      <w:jc w:val="center"/>
    </w:pPr>
    <w:rPr>
      <w:rFonts w:ascii="仿宋_GB2312" w:hAnsi="宋体" w:eastAsia="仿宋_GB2312"/>
      <w:b/>
      <w:color w:val="000000"/>
      <w:sz w:val="32"/>
      <w:szCs w:val="32"/>
    </w:rPr>
  </w:style>
  <w:style w:type="paragraph" w:customStyle="1" w:styleId="97">
    <w:name w:val="正文段"/>
    <w:basedOn w:val="1"/>
    <w:qFormat/>
    <w:uiPriority w:val="99"/>
    <w:pPr>
      <w:widowControl/>
      <w:snapToGrid w:val="0"/>
      <w:spacing w:afterLines="50"/>
      <w:ind w:firstLine="200" w:firstLineChars="200"/>
    </w:pPr>
    <w:rPr>
      <w:kern w:val="0"/>
      <w:sz w:val="24"/>
      <w:szCs w:val="20"/>
    </w:rPr>
  </w:style>
  <w:style w:type="paragraph" w:customStyle="1" w:styleId="98">
    <w:name w:val="列出段落1"/>
    <w:basedOn w:val="1"/>
    <w:qFormat/>
    <w:uiPriority w:val="99"/>
    <w:pPr>
      <w:ind w:firstLine="420" w:firstLineChars="200"/>
    </w:pPr>
  </w:style>
  <w:style w:type="paragraph" w:customStyle="1" w:styleId="99">
    <w:name w:val="Char Char"/>
    <w:basedOn w:val="1"/>
    <w:qFormat/>
    <w:uiPriority w:val="99"/>
    <w:rPr>
      <w:rFonts w:ascii="仿宋_GB2312" w:eastAsia="仿宋_GB2312"/>
      <w:b/>
      <w:sz w:val="32"/>
      <w:szCs w:val="32"/>
    </w:rPr>
  </w:style>
  <w:style w:type="paragraph" w:customStyle="1" w:styleId="100">
    <w:name w:val="列出段落2"/>
    <w:basedOn w:val="1"/>
    <w:link w:val="122"/>
    <w:qFormat/>
    <w:uiPriority w:val="99"/>
    <w:pPr>
      <w:ind w:firstLine="420" w:firstLineChars="200"/>
    </w:pPr>
  </w:style>
  <w:style w:type="paragraph" w:customStyle="1" w:styleId="101">
    <w:name w:val="bb"/>
    <w:basedOn w:val="1"/>
    <w:qFormat/>
    <w:uiPriority w:val="99"/>
    <w:pPr>
      <w:widowControl/>
      <w:spacing w:beforeAutospacing="1" w:afterAutospacing="1"/>
      <w:jc w:val="left"/>
    </w:pPr>
    <w:rPr>
      <w:rFonts w:ascii="宋体" w:hAnsi="宋体"/>
      <w:sz w:val="24"/>
    </w:rPr>
  </w:style>
  <w:style w:type="paragraph" w:customStyle="1" w:styleId="102">
    <w:name w:val="List Paragraph_1145dc67-f31e-41a7-8a1c-16c8a28c48c6"/>
    <w:basedOn w:val="1"/>
    <w:qFormat/>
    <w:uiPriority w:val="99"/>
    <w:pPr>
      <w:ind w:firstLine="420" w:firstLineChars="200"/>
    </w:pPr>
  </w:style>
  <w:style w:type="paragraph" w:customStyle="1" w:styleId="103">
    <w:name w:val="样式 首行缩进:  2 字符"/>
    <w:basedOn w:val="1"/>
    <w:qFormat/>
    <w:uiPriority w:val="99"/>
    <w:pPr>
      <w:spacing w:line="400" w:lineRule="exact"/>
      <w:ind w:firstLine="200" w:firstLineChars="200"/>
    </w:pPr>
    <w:rPr>
      <w:rFonts w:cs="宋体"/>
      <w:sz w:val="24"/>
    </w:rPr>
  </w:style>
  <w:style w:type="paragraph" w:customStyle="1" w:styleId="104">
    <w:name w:val="列出段落12"/>
    <w:basedOn w:val="1"/>
    <w:qFormat/>
    <w:uiPriority w:val="99"/>
    <w:pPr>
      <w:ind w:firstLine="420" w:firstLineChars="200"/>
    </w:pPr>
  </w:style>
  <w:style w:type="paragraph" w:customStyle="1" w:styleId="105">
    <w:name w:val="表格"/>
    <w:basedOn w:val="1"/>
    <w:qFormat/>
    <w:uiPriority w:val="99"/>
    <w:pPr>
      <w:spacing w:line="400" w:lineRule="exact"/>
    </w:pPr>
    <w:rPr>
      <w:sz w:val="24"/>
    </w:rPr>
  </w:style>
  <w:style w:type="paragraph" w:customStyle="1" w:styleId="106">
    <w:name w:val="style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07">
    <w:name w:val="_Style 75"/>
    <w:qFormat/>
    <w:uiPriority w:val="99"/>
    <w:rPr>
      <w:rFonts w:ascii="Times New Roman" w:hAnsi="Times New Roman" w:eastAsia="宋体" w:cs="Times New Roman"/>
      <w:kern w:val="2"/>
      <w:sz w:val="21"/>
      <w:szCs w:val="24"/>
      <w:lang w:val="en-US" w:eastAsia="zh-CN" w:bidi="ar-SA"/>
    </w:rPr>
  </w:style>
  <w:style w:type="paragraph" w:customStyle="1" w:styleId="108">
    <w:name w:val="正文 New New New New"/>
    <w:qFormat/>
    <w:uiPriority w:val="99"/>
    <w:pPr>
      <w:widowControl w:val="0"/>
      <w:jc w:val="both"/>
    </w:pPr>
    <w:rPr>
      <w:rFonts w:ascii="Times New Roman" w:hAnsi="Times New Roman" w:eastAsia="宋体" w:cs="Times New Roman"/>
      <w:szCs w:val="24"/>
      <w:lang w:val="en-US" w:eastAsia="zh-CN" w:bidi="ar-SA"/>
    </w:rPr>
  </w:style>
  <w:style w:type="character" w:customStyle="1" w:styleId="109">
    <w:name w:val="Body text (2) + Times New Roman"/>
    <w:qFormat/>
    <w:uiPriority w:val="99"/>
    <w:rPr>
      <w:rFonts w:ascii="Times New Roman" w:hAnsi="Times New Roman"/>
      <w:color w:val="000000"/>
      <w:spacing w:val="0"/>
      <w:w w:val="100"/>
      <w:position w:val="0"/>
      <w:sz w:val="22"/>
      <w:shd w:val="clear" w:color="auto" w:fill="FFFFFF"/>
      <w:lang w:val="en-US" w:eastAsia="en-US"/>
    </w:rPr>
  </w:style>
  <w:style w:type="character" w:customStyle="1" w:styleId="110">
    <w:name w:val="font41"/>
    <w:qFormat/>
    <w:uiPriority w:val="99"/>
    <w:rPr>
      <w:rFonts w:ascii="宋体" w:hAnsi="宋体" w:eastAsia="宋体"/>
      <w:color w:val="000000"/>
      <w:sz w:val="20"/>
      <w:u w:val="none"/>
    </w:rPr>
  </w:style>
  <w:style w:type="character" w:customStyle="1" w:styleId="111">
    <w:name w:val="font61"/>
    <w:qFormat/>
    <w:uiPriority w:val="99"/>
    <w:rPr>
      <w:rFonts w:ascii="微软雅黑" w:hAnsi="微软雅黑" w:eastAsia="微软雅黑"/>
      <w:color w:val="000000"/>
      <w:sz w:val="20"/>
      <w:u w:val="none"/>
    </w:rPr>
  </w:style>
  <w:style w:type="character" w:customStyle="1" w:styleId="112">
    <w:name w:val="qxdate"/>
    <w:basedOn w:val="42"/>
    <w:qFormat/>
    <w:uiPriority w:val="99"/>
    <w:rPr>
      <w:rFonts w:cs="Times New Roman"/>
      <w:color w:val="333333"/>
      <w:sz w:val="18"/>
      <w:szCs w:val="18"/>
    </w:rPr>
  </w:style>
  <w:style w:type="character" w:customStyle="1" w:styleId="113">
    <w:name w:val="font21"/>
    <w:basedOn w:val="42"/>
    <w:qFormat/>
    <w:uiPriority w:val="99"/>
    <w:rPr>
      <w:rFonts w:ascii="宋体" w:hAnsi="宋体" w:eastAsia="宋体" w:cs="宋体"/>
      <w:color w:val="000000"/>
      <w:sz w:val="20"/>
      <w:szCs w:val="20"/>
      <w:u w:val="none"/>
    </w:rPr>
  </w:style>
  <w:style w:type="character" w:customStyle="1" w:styleId="114">
    <w:name w:val="textcontents"/>
    <w:qFormat/>
    <w:uiPriority w:val="99"/>
    <w:rPr>
      <w:rFonts w:ascii="Calibri" w:hAnsi="Calibri" w:eastAsia="宋体"/>
    </w:rPr>
  </w:style>
  <w:style w:type="character" w:customStyle="1" w:styleId="115">
    <w:name w:val="font01"/>
    <w:qFormat/>
    <w:uiPriority w:val="99"/>
    <w:rPr>
      <w:rFonts w:ascii="宋体" w:hAnsi="宋体" w:eastAsia="宋体"/>
      <w:color w:val="000000"/>
      <w:sz w:val="20"/>
      <w:u w:val="none"/>
    </w:rPr>
  </w:style>
  <w:style w:type="character" w:customStyle="1" w:styleId="116">
    <w:name w:val="at_4"/>
    <w:basedOn w:val="42"/>
    <w:qFormat/>
    <w:uiPriority w:val="99"/>
    <w:rPr>
      <w:rFonts w:cs="Times New Roman"/>
    </w:rPr>
  </w:style>
  <w:style w:type="character" w:customStyle="1" w:styleId="117">
    <w:name w:val="gjfg"/>
    <w:basedOn w:val="42"/>
    <w:qFormat/>
    <w:uiPriority w:val="99"/>
    <w:rPr>
      <w:rFonts w:cs="Times New Roman"/>
    </w:rPr>
  </w:style>
  <w:style w:type="character" w:customStyle="1" w:styleId="118">
    <w:name w:val="displayarti"/>
    <w:basedOn w:val="42"/>
    <w:qFormat/>
    <w:uiPriority w:val="99"/>
    <w:rPr>
      <w:rFonts w:cs="Times New Roman"/>
      <w:color w:val="FFFFFF"/>
      <w:shd w:val="clear" w:color="auto" w:fill="A00000"/>
    </w:rPr>
  </w:style>
  <w:style w:type="character" w:customStyle="1" w:styleId="119">
    <w:name w:val="纯文本 字符"/>
    <w:qFormat/>
    <w:uiPriority w:val="99"/>
    <w:rPr>
      <w:rFonts w:ascii="宋体" w:hAnsi="Courier New" w:eastAsia="宋体"/>
      <w:sz w:val="21"/>
    </w:rPr>
  </w:style>
  <w:style w:type="character" w:customStyle="1" w:styleId="120">
    <w:name w:val="普通文字 Char Char2"/>
    <w:qFormat/>
    <w:uiPriority w:val="99"/>
    <w:rPr>
      <w:rFonts w:ascii="宋体" w:hAnsi="Courier New" w:eastAsia="宋体"/>
      <w:sz w:val="21"/>
    </w:rPr>
  </w:style>
  <w:style w:type="character" w:customStyle="1" w:styleId="121">
    <w:name w:val="redfilefwwh"/>
    <w:basedOn w:val="42"/>
    <w:qFormat/>
    <w:uiPriority w:val="99"/>
    <w:rPr>
      <w:rFonts w:cs="Times New Roman"/>
      <w:color w:val="BA2636"/>
      <w:sz w:val="18"/>
      <w:szCs w:val="18"/>
    </w:rPr>
  </w:style>
  <w:style w:type="character" w:customStyle="1" w:styleId="122">
    <w:name w:val="列出段落 Char"/>
    <w:link w:val="100"/>
    <w:qFormat/>
    <w:locked/>
    <w:uiPriority w:val="99"/>
    <w:rPr>
      <w:kern w:val="2"/>
      <w:sz w:val="24"/>
    </w:rPr>
  </w:style>
  <w:style w:type="character" w:customStyle="1" w:styleId="123">
    <w:name w:val="font81"/>
    <w:qFormat/>
    <w:uiPriority w:val="99"/>
    <w:rPr>
      <w:rFonts w:ascii="微软雅黑" w:hAnsi="微软雅黑" w:eastAsia="微软雅黑"/>
      <w:color w:val="000000"/>
      <w:sz w:val="20"/>
      <w:u w:val="none"/>
    </w:rPr>
  </w:style>
  <w:style w:type="character" w:customStyle="1" w:styleId="124">
    <w:name w:val="font31"/>
    <w:qFormat/>
    <w:uiPriority w:val="99"/>
    <w:rPr>
      <w:rFonts w:ascii="微软雅黑" w:hAnsi="微软雅黑" w:eastAsia="微软雅黑"/>
      <w:color w:val="000000"/>
      <w:sz w:val="20"/>
      <w:u w:val="none"/>
    </w:rPr>
  </w:style>
  <w:style w:type="character" w:customStyle="1" w:styleId="125">
    <w:name w:val="font11"/>
    <w:qFormat/>
    <w:uiPriority w:val="99"/>
    <w:rPr>
      <w:rFonts w:ascii="宋体" w:hAnsi="宋体" w:eastAsia="宋体"/>
      <w:color w:val="000000"/>
      <w:sz w:val="20"/>
      <w:u w:val="none"/>
    </w:rPr>
  </w:style>
  <w:style w:type="character" w:customStyle="1" w:styleId="126">
    <w:name w:val="正文缩进 Char"/>
    <w:link w:val="7"/>
    <w:qFormat/>
    <w:locked/>
    <w:uiPriority w:val="99"/>
    <w:rPr>
      <w:kern w:val="2"/>
      <w:sz w:val="21"/>
    </w:rPr>
  </w:style>
  <w:style w:type="character" w:customStyle="1" w:styleId="127">
    <w:name w:val="redfilenumber"/>
    <w:basedOn w:val="42"/>
    <w:qFormat/>
    <w:uiPriority w:val="99"/>
    <w:rPr>
      <w:rFonts w:cs="Times New Roman"/>
      <w:color w:val="BA2636"/>
      <w:sz w:val="18"/>
      <w:szCs w:val="18"/>
    </w:rPr>
  </w:style>
  <w:style w:type="character" w:customStyle="1" w:styleId="128">
    <w:name w:val="case31"/>
    <w:qFormat/>
    <w:uiPriority w:val="99"/>
    <w:rPr>
      <w:rFonts w:ascii="_x000B__x000C_" w:hAnsi="_x000B__x000C_"/>
      <w:sz w:val="21"/>
    </w:rPr>
  </w:style>
  <w:style w:type="character" w:customStyle="1" w:styleId="129">
    <w:name w:val="cfdate"/>
    <w:basedOn w:val="42"/>
    <w:qFormat/>
    <w:uiPriority w:val="99"/>
    <w:rPr>
      <w:rFonts w:cs="Times New Roman"/>
      <w:color w:val="333333"/>
      <w:sz w:val="18"/>
      <w:szCs w:val="18"/>
    </w:rPr>
  </w:style>
  <w:style w:type="paragraph" w:customStyle="1" w:styleId="130">
    <w:name w:val="Heading 11"/>
    <w:basedOn w:val="1"/>
    <w:qFormat/>
    <w:uiPriority w:val="99"/>
    <w:pPr>
      <w:ind w:left="177" w:right="3608"/>
      <w:jc w:val="center"/>
      <w:outlineLvl w:val="1"/>
    </w:pPr>
    <w:rPr>
      <w:rFonts w:ascii="Microsoft JhengHei" w:hAnsi="Microsoft JhengHei" w:eastAsia="Microsoft JhengHei" w:cs="Microsoft JhengHei"/>
      <w:b/>
      <w:bCs/>
      <w:sz w:val="30"/>
      <w:szCs w:val="30"/>
    </w:rPr>
  </w:style>
  <w:style w:type="paragraph" w:customStyle="1" w:styleId="131">
    <w:name w:val="Pa3"/>
    <w:basedOn w:val="1"/>
    <w:next w:val="1"/>
    <w:qFormat/>
    <w:uiPriority w:val="99"/>
    <w:pPr>
      <w:autoSpaceDE w:val="0"/>
      <w:autoSpaceDN w:val="0"/>
      <w:adjustRightInd w:val="0"/>
      <w:spacing w:line="241" w:lineRule="atLeast"/>
      <w:jc w:val="left"/>
    </w:pPr>
    <w:rPr>
      <w:rFonts w:ascii="Microsoft YaHei UI Light" w:eastAsia="Microsoft YaHei UI Light"/>
      <w:kern w:val="0"/>
      <w:sz w:val="24"/>
    </w:rPr>
  </w:style>
  <w:style w:type="character" w:customStyle="1" w:styleId="132">
    <w:name w:val="layui-layer-tabnow"/>
    <w:basedOn w:val="42"/>
    <w:qFormat/>
    <w:uiPriority w:val="0"/>
    <w:rPr>
      <w:bdr w:val="single" w:color="CCCCCC" w:sz="6" w:space="0"/>
      <w:shd w:val="clear" w:color="auto" w:fill="FFFFFF"/>
    </w:rPr>
  </w:style>
  <w:style w:type="character" w:customStyle="1" w:styleId="133">
    <w:name w:val="first-child"/>
    <w:basedOn w:val="42"/>
    <w:qFormat/>
    <w:uiPriority w:val="0"/>
  </w:style>
  <w:style w:type="character" w:customStyle="1" w:styleId="134">
    <w:name w:val="first-child1"/>
    <w:basedOn w:val="4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Pages>
  <Words>6662</Words>
  <Characters>37979</Characters>
  <Lines>316</Lines>
  <Paragraphs>89</Paragraphs>
  <TotalTime>45</TotalTime>
  <ScaleCrop>false</ScaleCrop>
  <LinksUpToDate>false</LinksUpToDate>
  <CharactersWithSpaces>44552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2019-06-19T07:56:00Z</dcterms:created>
  <dc:creator>LLP</dc:creator>
  <cp:lastModifiedBy>可乐乐乐乐</cp:lastModifiedBy>
  <cp:lastPrinted>2020-08-05T07:59:00Z</cp:lastPrinted>
  <dcterms:modified xsi:type="dcterms:W3CDTF">2020-12-08T02:37:32Z</dcterms:modified>
  <dc:title>广西科联招标中心</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