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52"/>
          <w:szCs w:val="21"/>
        </w:rPr>
      </w:pPr>
      <w:r>
        <w:rPr>
          <w:color w:val="auto"/>
        </w:rPr>
        <w:drawing>
          <wp:anchor distT="0" distB="0" distL="114300" distR="114300" simplePos="0" relativeHeight="251655168" behindDoc="1" locked="0" layoutInCell="1" allowOverlap="1">
            <wp:simplePos x="0" y="0"/>
            <wp:positionH relativeFrom="column">
              <wp:posOffset>-1028700</wp:posOffset>
            </wp:positionH>
            <wp:positionV relativeFrom="paragraph">
              <wp:posOffset>-470535</wp:posOffset>
            </wp:positionV>
            <wp:extent cx="1561465" cy="1706880"/>
            <wp:effectExtent l="0" t="0" r="0" b="0"/>
            <wp:wrapNone/>
            <wp:docPr id="1" name="图片 25"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科联标志"/>
                    <pic:cNvPicPr>
                      <a:picLocks noChangeAspect="1"/>
                    </pic:cNvPicPr>
                  </pic:nvPicPr>
                  <pic:blipFill>
                    <a:blip r:embed="rId12"/>
                    <a:stretch>
                      <a:fillRect/>
                    </a:stretch>
                  </pic:blipFill>
                  <pic:spPr>
                    <a:xfrm>
                      <a:off x="0" y="0"/>
                      <a:ext cx="1561465" cy="1706880"/>
                    </a:xfrm>
                    <a:prstGeom prst="rect">
                      <a:avLst/>
                    </a:prstGeom>
                    <a:noFill/>
                    <a:ln>
                      <a:noFill/>
                    </a:ln>
                  </pic:spPr>
                </pic:pic>
              </a:graphicData>
            </a:graphic>
          </wp:anchor>
        </w:drawing>
      </w:r>
      <w:r>
        <w:rPr>
          <w:rFonts w:hint="eastAsia"/>
          <w:color w:val="auto"/>
          <w:sz w:val="52"/>
          <w:szCs w:val="21"/>
        </w:rPr>
        <w:t>广西科联招标中心有限公司</w:t>
      </w:r>
    </w:p>
    <w:p>
      <w:pPr>
        <w:jc w:val="center"/>
        <w:rPr>
          <w:color w:val="auto"/>
          <w:sz w:val="24"/>
        </w:rPr>
      </w:pPr>
      <w:r>
        <w:rPr>
          <w:color w:val="auto"/>
          <w:sz w:val="24"/>
        </w:rPr>
        <w:t>GUANGXI   KELIAN  ZHAOBIAO   ZHONGXIN  YOUXIAN  GONGSI</w:t>
      </w:r>
    </w:p>
    <w:p>
      <w:pPr>
        <w:rPr>
          <w:color w:val="auto"/>
          <w:sz w:val="32"/>
          <w:u w:val="single"/>
        </w:rPr>
      </w:pPr>
      <w:r>
        <w:rPr>
          <w:color w:val="auto"/>
          <w:sz w:val="32"/>
          <w:u w:val="single"/>
        </w:rPr>
        <w:t xml:space="preserve">                                                          </w:t>
      </w:r>
    </w:p>
    <w:p>
      <w:pPr>
        <w:rPr>
          <w:color w:val="auto"/>
          <w:sz w:val="84"/>
        </w:rPr>
      </w:pPr>
    </w:p>
    <w:p>
      <w:pPr>
        <w:jc w:val="center"/>
        <w:rPr>
          <w:bCs/>
          <w:color w:val="auto"/>
          <w:sz w:val="96"/>
          <w:szCs w:val="144"/>
        </w:rPr>
      </w:pPr>
    </w:p>
    <w:p>
      <w:pPr>
        <w:jc w:val="center"/>
        <w:rPr>
          <w:bCs/>
          <w:color w:val="auto"/>
          <w:sz w:val="84"/>
          <w:szCs w:val="56"/>
        </w:rPr>
      </w:pPr>
      <w:r>
        <w:rPr>
          <w:rFonts w:hint="eastAsia"/>
          <w:bCs/>
          <w:color w:val="auto"/>
          <w:sz w:val="96"/>
          <w:szCs w:val="144"/>
        </w:rPr>
        <w:t>招</w:t>
      </w:r>
      <w:r>
        <w:rPr>
          <w:bCs/>
          <w:color w:val="auto"/>
          <w:sz w:val="96"/>
          <w:szCs w:val="144"/>
        </w:rPr>
        <w:t xml:space="preserve"> </w:t>
      </w:r>
      <w:r>
        <w:rPr>
          <w:rFonts w:hint="eastAsia"/>
          <w:bCs/>
          <w:color w:val="auto"/>
          <w:sz w:val="96"/>
          <w:szCs w:val="144"/>
        </w:rPr>
        <w:t>标</w:t>
      </w:r>
      <w:r>
        <w:rPr>
          <w:bCs/>
          <w:color w:val="auto"/>
          <w:sz w:val="96"/>
          <w:szCs w:val="144"/>
        </w:rPr>
        <w:t xml:space="preserve"> </w:t>
      </w:r>
      <w:r>
        <w:rPr>
          <w:rFonts w:hint="eastAsia"/>
          <w:bCs/>
          <w:color w:val="auto"/>
          <w:sz w:val="96"/>
          <w:szCs w:val="144"/>
        </w:rPr>
        <w:t>文</w:t>
      </w:r>
      <w:r>
        <w:rPr>
          <w:bCs/>
          <w:color w:val="auto"/>
          <w:sz w:val="96"/>
          <w:szCs w:val="144"/>
        </w:rPr>
        <w:t xml:space="preserve"> </w:t>
      </w:r>
      <w:r>
        <w:rPr>
          <w:rFonts w:hint="eastAsia"/>
          <w:bCs/>
          <w:color w:val="auto"/>
          <w:sz w:val="96"/>
          <w:szCs w:val="144"/>
        </w:rPr>
        <w:t>件</w:t>
      </w: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jc w:val="center"/>
        <w:rPr>
          <w:color w:val="auto"/>
          <w:sz w:val="32"/>
          <w:szCs w:val="32"/>
        </w:rPr>
      </w:pPr>
      <w:r>
        <w:rPr>
          <w:rFonts w:hint="eastAsia" w:hAnsi="宋体"/>
          <w:color w:val="auto"/>
          <w:sz w:val="32"/>
          <w:szCs w:val="32"/>
        </w:rPr>
        <w:t>项目名称：防城港市医疗废物处置中心设备升级改造生产线设备采购</w:t>
      </w:r>
    </w:p>
    <w:p>
      <w:pPr>
        <w:jc w:val="center"/>
        <w:rPr>
          <w:rFonts w:hAnsi="宋体"/>
          <w:color w:val="auto"/>
          <w:sz w:val="32"/>
          <w:szCs w:val="32"/>
        </w:rPr>
      </w:pPr>
    </w:p>
    <w:p>
      <w:pPr>
        <w:jc w:val="center"/>
        <w:rPr>
          <w:rFonts w:hAnsi="宋体"/>
          <w:color w:val="auto"/>
          <w:sz w:val="32"/>
          <w:szCs w:val="32"/>
        </w:rPr>
      </w:pPr>
      <w:r>
        <w:rPr>
          <w:rFonts w:hint="eastAsia" w:hAnsi="宋体"/>
          <w:color w:val="auto"/>
          <w:sz w:val="32"/>
          <w:szCs w:val="32"/>
        </w:rPr>
        <w:t>项目编号：FCZC2020-G1-10007-KLZB</w:t>
      </w:r>
    </w:p>
    <w:p>
      <w:pPr>
        <w:jc w:val="center"/>
        <w:rPr>
          <w:rFonts w:hAnsi="宋体"/>
          <w:color w:val="auto"/>
          <w:sz w:val="32"/>
          <w:szCs w:val="32"/>
        </w:rPr>
      </w:pPr>
    </w:p>
    <w:p>
      <w:pPr>
        <w:rPr>
          <w:color w:val="auto"/>
          <w:sz w:val="32"/>
          <w:szCs w:val="18"/>
        </w:rPr>
      </w:pPr>
    </w:p>
    <w:p>
      <w:pPr>
        <w:jc w:val="center"/>
        <w:rPr>
          <w:color w:val="auto"/>
          <w:sz w:val="40"/>
          <w:szCs w:val="21"/>
        </w:rPr>
      </w:pPr>
      <w:r>
        <w:rPr>
          <w:rFonts w:hint="eastAsia"/>
          <w:color w:val="auto"/>
          <w:sz w:val="32"/>
          <w:szCs w:val="18"/>
        </w:rPr>
        <w:t>采购代理机构：广西科联招标中心有限公司</w:t>
      </w:r>
    </w:p>
    <w:p>
      <w:pPr>
        <w:pStyle w:val="55"/>
        <w:jc w:val="center"/>
        <w:rPr>
          <w:color w:val="auto"/>
          <w:sz w:val="32"/>
        </w:rPr>
      </w:pPr>
      <w:r>
        <w:rPr>
          <w:rFonts w:hint="eastAsia"/>
          <w:color w:val="auto"/>
          <w:sz w:val="32"/>
        </w:rPr>
        <w:t>采  购  人：防城港市环境卫生管理处</w:t>
      </w:r>
    </w:p>
    <w:p>
      <w:pPr>
        <w:jc w:val="center"/>
        <w:rPr>
          <w:color w:val="auto"/>
          <w:sz w:val="32"/>
        </w:rPr>
      </w:pPr>
    </w:p>
    <w:p>
      <w:pPr>
        <w:pStyle w:val="55"/>
        <w:jc w:val="center"/>
        <w:rPr>
          <w:color w:val="auto"/>
          <w:sz w:val="32"/>
        </w:rPr>
      </w:pPr>
      <w:r>
        <w:rPr>
          <w:color w:val="auto"/>
          <w:sz w:val="32"/>
        </w:rPr>
        <w:t>2020</w:t>
      </w:r>
      <w:r>
        <w:rPr>
          <w:rFonts w:hint="eastAsia"/>
          <w:color w:val="auto"/>
          <w:sz w:val="32"/>
        </w:rPr>
        <w:t>年12月</w:t>
      </w:r>
    </w:p>
    <w:p>
      <w:pPr>
        <w:pStyle w:val="55"/>
        <w:rPr>
          <w:color w:val="auto"/>
          <w:sz w:val="32"/>
        </w:rPr>
      </w:pPr>
    </w:p>
    <w:p>
      <w:pPr>
        <w:pStyle w:val="23"/>
        <w:spacing w:before="120" w:after="120" w:line="360" w:lineRule="auto"/>
        <w:rPr>
          <w:rFonts w:ascii="仿宋_GB2312" w:hAnsi="宋体" w:eastAsia="仿宋_GB2312"/>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23"/>
        <w:spacing w:before="120" w:after="120" w:line="360" w:lineRule="auto"/>
        <w:jc w:val="center"/>
        <w:rPr>
          <w:rFonts w:ascii="仿宋_GB2312" w:hAnsi="宋体" w:eastAsia="仿宋_GB2312"/>
          <w:color w:val="auto"/>
          <w:sz w:val="44"/>
          <w:szCs w:val="44"/>
        </w:rPr>
      </w:pPr>
      <w:r>
        <w:rPr>
          <w:rFonts w:hint="eastAsia" w:ascii="仿宋_GB2312" w:hAnsi="宋体" w:eastAsia="仿宋_GB2312"/>
          <w:color w:val="auto"/>
          <w:sz w:val="44"/>
          <w:szCs w:val="44"/>
        </w:rPr>
        <w:t>目</w:t>
      </w:r>
      <w:r>
        <w:rPr>
          <w:rFonts w:ascii="仿宋_GB2312" w:hAnsi="宋体" w:eastAsia="仿宋_GB2312"/>
          <w:color w:val="auto"/>
          <w:sz w:val="44"/>
          <w:szCs w:val="44"/>
        </w:rPr>
        <w:t xml:space="preserve">    </w:t>
      </w:r>
      <w:r>
        <w:rPr>
          <w:rFonts w:hint="eastAsia" w:ascii="仿宋_GB2312" w:hAnsi="宋体" w:eastAsia="仿宋_GB2312"/>
          <w:color w:val="auto"/>
          <w:sz w:val="44"/>
          <w:szCs w:val="44"/>
        </w:rPr>
        <w:t>录</w:t>
      </w:r>
    </w:p>
    <w:p>
      <w:pPr>
        <w:pStyle w:val="29"/>
        <w:tabs>
          <w:tab w:val="right" w:leader="dot" w:pos="8730"/>
          <w:tab w:val="clear" w:pos="9360"/>
        </w:tabs>
        <w:rPr>
          <w:color w:val="auto"/>
        </w:rPr>
      </w:pPr>
      <w:r>
        <w:rPr>
          <w:rFonts w:cs="宋体"/>
          <w:color w:val="auto"/>
        </w:rPr>
        <w:fldChar w:fldCharType="begin"/>
      </w:r>
      <w:r>
        <w:rPr>
          <w:rFonts w:cs="宋体"/>
          <w:color w:val="auto"/>
        </w:rPr>
        <w:instrText xml:space="preserve"> TOC \o "1-2" \u </w:instrText>
      </w:r>
      <w:r>
        <w:rPr>
          <w:rFonts w:cs="宋体"/>
          <w:color w:val="auto"/>
        </w:rPr>
        <w:fldChar w:fldCharType="separate"/>
      </w:r>
      <w:r>
        <w:rPr>
          <w:rFonts w:hint="eastAsia"/>
          <w:color w:val="auto"/>
          <w:szCs w:val="36"/>
        </w:rPr>
        <w:t>第一章</w:t>
      </w:r>
      <w:r>
        <w:rPr>
          <w:color w:val="auto"/>
          <w:szCs w:val="36"/>
        </w:rPr>
        <w:t xml:space="preserve">  </w:t>
      </w:r>
      <w:r>
        <w:rPr>
          <w:rFonts w:hint="eastAsia"/>
          <w:color w:val="auto"/>
          <w:szCs w:val="36"/>
        </w:rPr>
        <w:t>招标公告</w:t>
      </w:r>
      <w:r>
        <w:rPr>
          <w:color w:val="auto"/>
        </w:rPr>
        <w:tab/>
      </w:r>
      <w:r>
        <w:rPr>
          <w:color w:val="auto"/>
        </w:rPr>
        <w:fldChar w:fldCharType="begin"/>
      </w:r>
      <w:r>
        <w:rPr>
          <w:color w:val="auto"/>
        </w:rPr>
        <w:instrText xml:space="preserve"> PAGEREF _Toc602 </w:instrText>
      </w:r>
      <w:r>
        <w:rPr>
          <w:color w:val="auto"/>
        </w:rPr>
        <w:fldChar w:fldCharType="separate"/>
      </w:r>
      <w:r>
        <w:rPr>
          <w:color w:val="auto"/>
        </w:rPr>
        <w:t>2</w:t>
      </w:r>
      <w:r>
        <w:rPr>
          <w:color w:val="auto"/>
        </w:rPr>
        <w:fldChar w:fldCharType="end"/>
      </w:r>
    </w:p>
    <w:p>
      <w:pPr>
        <w:pStyle w:val="29"/>
        <w:tabs>
          <w:tab w:val="right" w:leader="dot" w:pos="8730"/>
          <w:tab w:val="clear" w:pos="9360"/>
        </w:tabs>
        <w:rPr>
          <w:color w:val="auto"/>
        </w:rPr>
      </w:pPr>
      <w:r>
        <w:rPr>
          <w:rFonts w:hint="eastAsia"/>
          <w:color w:val="auto"/>
          <w:szCs w:val="36"/>
        </w:rPr>
        <w:t>第二章</w:t>
      </w:r>
      <w:r>
        <w:rPr>
          <w:color w:val="auto"/>
          <w:szCs w:val="36"/>
        </w:rPr>
        <w:t xml:space="preserve"> </w:t>
      </w:r>
      <w:r>
        <w:rPr>
          <w:rFonts w:hint="eastAsia"/>
          <w:color w:val="auto"/>
          <w:szCs w:val="36"/>
        </w:rPr>
        <w:t>招标项目采购需求</w:t>
      </w:r>
      <w:r>
        <w:rPr>
          <w:color w:val="auto"/>
        </w:rPr>
        <w:tab/>
      </w:r>
      <w:r>
        <w:rPr>
          <w:color w:val="auto"/>
        </w:rPr>
        <w:fldChar w:fldCharType="begin"/>
      </w:r>
      <w:r>
        <w:rPr>
          <w:color w:val="auto"/>
        </w:rPr>
        <w:instrText xml:space="preserve"> PAGEREF _Toc16610 </w:instrText>
      </w:r>
      <w:r>
        <w:rPr>
          <w:color w:val="auto"/>
        </w:rPr>
        <w:fldChar w:fldCharType="separate"/>
      </w:r>
      <w:r>
        <w:rPr>
          <w:color w:val="auto"/>
        </w:rPr>
        <w:t>5</w:t>
      </w:r>
      <w:r>
        <w:rPr>
          <w:color w:val="auto"/>
        </w:rPr>
        <w:fldChar w:fldCharType="end"/>
      </w:r>
    </w:p>
    <w:p>
      <w:pPr>
        <w:pStyle w:val="29"/>
        <w:tabs>
          <w:tab w:val="right" w:leader="dot" w:pos="8730"/>
          <w:tab w:val="clear" w:pos="9360"/>
        </w:tabs>
        <w:rPr>
          <w:color w:val="auto"/>
        </w:rPr>
      </w:pPr>
      <w:r>
        <w:rPr>
          <w:rFonts w:hint="eastAsia"/>
          <w:color w:val="auto"/>
          <w:szCs w:val="36"/>
        </w:rPr>
        <w:t>第三章</w:t>
      </w:r>
      <w:r>
        <w:rPr>
          <w:color w:val="auto"/>
          <w:szCs w:val="36"/>
        </w:rPr>
        <w:t xml:space="preserve">  </w:t>
      </w:r>
      <w:r>
        <w:rPr>
          <w:rFonts w:hint="eastAsia"/>
          <w:color w:val="auto"/>
          <w:szCs w:val="36"/>
        </w:rPr>
        <w:t>投标人须知</w:t>
      </w:r>
      <w:r>
        <w:rPr>
          <w:color w:val="auto"/>
        </w:rPr>
        <w:tab/>
      </w:r>
      <w:r>
        <w:rPr>
          <w:color w:val="auto"/>
        </w:rPr>
        <w:fldChar w:fldCharType="begin"/>
      </w:r>
      <w:r>
        <w:rPr>
          <w:color w:val="auto"/>
        </w:rPr>
        <w:instrText xml:space="preserve"> PAGEREF _Toc25502 </w:instrText>
      </w:r>
      <w:r>
        <w:rPr>
          <w:color w:val="auto"/>
        </w:rPr>
        <w:fldChar w:fldCharType="separate"/>
      </w:r>
      <w:r>
        <w:rPr>
          <w:color w:val="auto"/>
        </w:rPr>
        <w:t>19</w:t>
      </w:r>
      <w:r>
        <w:rPr>
          <w:color w:val="auto"/>
        </w:rPr>
        <w:fldChar w:fldCharType="end"/>
      </w:r>
    </w:p>
    <w:p>
      <w:pPr>
        <w:pStyle w:val="29"/>
        <w:tabs>
          <w:tab w:val="right" w:leader="dot" w:pos="8730"/>
          <w:tab w:val="clear" w:pos="9360"/>
        </w:tabs>
        <w:rPr>
          <w:color w:val="auto"/>
        </w:rPr>
      </w:pPr>
      <w:r>
        <w:rPr>
          <w:rFonts w:hint="eastAsia"/>
          <w:color w:val="auto"/>
          <w:szCs w:val="36"/>
        </w:rPr>
        <w:t>第四章</w:t>
      </w:r>
      <w:r>
        <w:rPr>
          <w:color w:val="auto"/>
          <w:szCs w:val="36"/>
        </w:rPr>
        <w:t xml:space="preserve">  </w:t>
      </w:r>
      <w:r>
        <w:rPr>
          <w:rFonts w:hint="eastAsia"/>
          <w:color w:val="auto"/>
          <w:szCs w:val="36"/>
        </w:rPr>
        <w:t>评标办法及评分标准</w:t>
      </w:r>
      <w:r>
        <w:rPr>
          <w:color w:val="auto"/>
        </w:rPr>
        <w:tab/>
      </w:r>
      <w:r>
        <w:rPr>
          <w:color w:val="auto"/>
        </w:rPr>
        <w:fldChar w:fldCharType="begin"/>
      </w:r>
      <w:r>
        <w:rPr>
          <w:color w:val="auto"/>
        </w:rPr>
        <w:instrText xml:space="preserve"> PAGEREF _Toc22507 </w:instrText>
      </w:r>
      <w:r>
        <w:rPr>
          <w:color w:val="auto"/>
        </w:rPr>
        <w:fldChar w:fldCharType="separate"/>
      </w:r>
      <w:r>
        <w:rPr>
          <w:color w:val="auto"/>
        </w:rPr>
        <w:t>33</w:t>
      </w:r>
      <w:r>
        <w:rPr>
          <w:color w:val="auto"/>
        </w:rPr>
        <w:fldChar w:fldCharType="end"/>
      </w:r>
    </w:p>
    <w:p>
      <w:pPr>
        <w:pStyle w:val="29"/>
        <w:tabs>
          <w:tab w:val="right" w:leader="dot" w:pos="8730"/>
          <w:tab w:val="clear" w:pos="9360"/>
        </w:tabs>
        <w:rPr>
          <w:color w:val="auto"/>
        </w:rPr>
      </w:pPr>
      <w:r>
        <w:rPr>
          <w:rFonts w:hint="eastAsia"/>
          <w:color w:val="auto"/>
          <w:szCs w:val="36"/>
        </w:rPr>
        <w:t>第五章</w:t>
      </w:r>
      <w:r>
        <w:rPr>
          <w:color w:val="auto"/>
          <w:szCs w:val="36"/>
        </w:rPr>
        <w:t xml:space="preserve">  </w:t>
      </w:r>
      <w:r>
        <w:rPr>
          <w:rFonts w:hint="eastAsia"/>
          <w:color w:val="auto"/>
          <w:szCs w:val="36"/>
        </w:rPr>
        <w:t>合同主要条款格式</w:t>
      </w:r>
      <w:r>
        <w:rPr>
          <w:color w:val="auto"/>
        </w:rPr>
        <w:tab/>
      </w:r>
      <w:r>
        <w:rPr>
          <w:color w:val="auto"/>
        </w:rPr>
        <w:fldChar w:fldCharType="begin"/>
      </w:r>
      <w:r>
        <w:rPr>
          <w:color w:val="auto"/>
        </w:rPr>
        <w:instrText xml:space="preserve"> PAGEREF _Toc32131 </w:instrText>
      </w:r>
      <w:r>
        <w:rPr>
          <w:color w:val="auto"/>
        </w:rPr>
        <w:fldChar w:fldCharType="separate"/>
      </w:r>
      <w:r>
        <w:rPr>
          <w:color w:val="auto"/>
        </w:rPr>
        <w:t>37</w:t>
      </w:r>
      <w:r>
        <w:rPr>
          <w:color w:val="auto"/>
        </w:rPr>
        <w:fldChar w:fldCharType="end"/>
      </w:r>
    </w:p>
    <w:p>
      <w:pPr>
        <w:pStyle w:val="29"/>
        <w:tabs>
          <w:tab w:val="right" w:leader="dot" w:pos="8730"/>
          <w:tab w:val="clear" w:pos="9360"/>
        </w:tabs>
        <w:rPr>
          <w:color w:val="auto"/>
        </w:rPr>
      </w:pPr>
      <w:r>
        <w:rPr>
          <w:rFonts w:hint="eastAsia"/>
          <w:color w:val="auto"/>
          <w:szCs w:val="36"/>
        </w:rPr>
        <w:t>第六章　投标文件格式</w:t>
      </w:r>
      <w:r>
        <w:rPr>
          <w:color w:val="auto"/>
        </w:rPr>
        <w:tab/>
      </w:r>
      <w:r>
        <w:rPr>
          <w:color w:val="auto"/>
        </w:rPr>
        <w:t>63</w:t>
      </w:r>
    </w:p>
    <w:p>
      <w:pPr>
        <w:pStyle w:val="37"/>
        <w:rPr>
          <w:rFonts w:ascii="华文中宋" w:hAnsi="华文中宋" w:eastAsia="华文中宋"/>
          <w:color w:val="auto"/>
        </w:rPr>
      </w:pPr>
      <w:r>
        <w:rPr>
          <w:rFonts w:ascii="宋体" w:cs="宋体"/>
          <w:color w:val="auto"/>
        </w:rPr>
        <w:br w:type="page"/>
      </w:r>
      <w:r>
        <w:rPr>
          <w:rFonts w:cs="宋体"/>
          <w:color w:val="auto"/>
        </w:rPr>
        <w:fldChar w:fldCharType="end"/>
      </w:r>
      <w:bookmarkStart w:id="0" w:name="_Toc254970489"/>
      <w:bookmarkStart w:id="1" w:name="_Toc254970630"/>
      <w:bookmarkStart w:id="2" w:name="_Toc602"/>
      <w:bookmarkStart w:id="3" w:name="_Toc327735634"/>
      <w:r>
        <w:rPr>
          <w:rFonts w:hint="eastAsia"/>
          <w:color w:val="auto"/>
          <w:sz w:val="36"/>
          <w:szCs w:val="36"/>
        </w:rPr>
        <w:t>第一章</w:t>
      </w:r>
      <w:r>
        <w:rPr>
          <w:color w:val="auto"/>
          <w:sz w:val="36"/>
          <w:szCs w:val="36"/>
        </w:rPr>
        <w:t xml:space="preserve">  </w:t>
      </w:r>
      <w:r>
        <w:rPr>
          <w:rFonts w:hint="eastAsia"/>
          <w:color w:val="auto"/>
          <w:sz w:val="36"/>
          <w:szCs w:val="36"/>
        </w:rPr>
        <w:t>招标公告</w:t>
      </w:r>
      <w:bookmarkEnd w:id="0"/>
      <w:bookmarkEnd w:id="1"/>
      <w:bookmarkEnd w:id="2"/>
      <w:bookmarkEnd w:id="3"/>
    </w:p>
    <w:p>
      <w:pPr>
        <w:spacing w:line="400" w:lineRule="exact"/>
        <w:ind w:firstLine="420" w:firstLineChars="200"/>
        <w:rPr>
          <w:rFonts w:ascii="宋体" w:hAnsi="宋体" w:cs="宋体"/>
          <w:color w:val="auto"/>
          <w:szCs w:val="21"/>
        </w:rPr>
      </w:pPr>
      <w:r>
        <w:rPr>
          <w:rFonts w:hint="eastAsia" w:ascii="宋体" w:hAnsi="宋体" w:cs="宋体"/>
          <w:color w:val="auto"/>
          <w:szCs w:val="21"/>
        </w:rPr>
        <w:t>项目概况</w:t>
      </w:r>
    </w:p>
    <w:p>
      <w:pPr>
        <w:spacing w:line="400" w:lineRule="exact"/>
        <w:ind w:firstLine="420" w:firstLineChars="200"/>
        <w:rPr>
          <w:rFonts w:ascii="宋体" w:hAnsi="宋体" w:cs="宋体"/>
          <w:color w:val="auto"/>
          <w:szCs w:val="21"/>
        </w:rPr>
      </w:pPr>
      <w:r>
        <w:rPr>
          <w:rFonts w:hint="eastAsia" w:ascii="宋体" w:hAnsi="宋体" w:cs="宋体"/>
          <w:color w:val="auto"/>
          <w:szCs w:val="21"/>
        </w:rPr>
        <w:t>防城港市医疗废物处置中心设备升级改造生产线设备采购招标项目的潜在投标人应在政采云平台上获取招标文件，并于</w:t>
      </w:r>
      <w:r>
        <w:rPr>
          <w:rFonts w:hint="eastAsia" w:ascii="宋体" w:hAnsi="宋体" w:cs="宋体"/>
          <w:color w:val="auto"/>
          <w:szCs w:val="21"/>
          <w:lang w:eastAsia="zh-CN"/>
        </w:rPr>
        <w:t>2020年12月30日9点30分整</w:t>
      </w:r>
      <w:r>
        <w:rPr>
          <w:rFonts w:hint="eastAsia" w:ascii="宋体" w:hAnsi="宋体" w:cs="宋体"/>
          <w:color w:val="auto"/>
          <w:szCs w:val="21"/>
        </w:rPr>
        <w:t>（北京时间）前递交投标文件。</w:t>
      </w:r>
    </w:p>
    <w:p>
      <w:pPr>
        <w:spacing w:line="400" w:lineRule="exact"/>
        <w:ind w:firstLine="420" w:firstLineChars="200"/>
        <w:rPr>
          <w:rFonts w:ascii="宋体" w:hAnsi="宋体" w:cs="宋体"/>
          <w:color w:val="auto"/>
          <w:szCs w:val="21"/>
        </w:rPr>
      </w:pPr>
      <w:bookmarkStart w:id="4" w:name="_Toc28359079"/>
      <w:bookmarkStart w:id="5" w:name="_Toc35393790"/>
      <w:bookmarkStart w:id="6" w:name="_Toc35393621"/>
      <w:bookmarkStart w:id="7" w:name="_Toc28359002"/>
      <w:bookmarkStart w:id="8" w:name="_Hlk24379207"/>
      <w:r>
        <w:rPr>
          <w:rFonts w:hint="eastAsia" w:ascii="宋体" w:hAnsi="宋体" w:cs="宋体"/>
          <w:color w:val="auto"/>
          <w:szCs w:val="21"/>
        </w:rPr>
        <w:t>一、项目基本情况</w:t>
      </w:r>
      <w:bookmarkEnd w:id="4"/>
      <w:bookmarkEnd w:id="5"/>
      <w:bookmarkEnd w:id="6"/>
      <w:bookmarkEnd w:id="7"/>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项目编号：FCZC2020-G1-10007-KLZB </w:t>
      </w:r>
    </w:p>
    <w:p>
      <w:pPr>
        <w:spacing w:line="400" w:lineRule="exact"/>
        <w:ind w:firstLine="420" w:firstLineChars="200"/>
        <w:rPr>
          <w:rFonts w:ascii="宋体" w:hAnsi="宋体" w:cs="宋体"/>
          <w:color w:val="auto"/>
          <w:szCs w:val="21"/>
        </w:rPr>
      </w:pPr>
      <w:r>
        <w:rPr>
          <w:rFonts w:hint="eastAsia" w:ascii="宋体" w:hAnsi="宋体" w:cs="宋体"/>
          <w:color w:val="auto"/>
          <w:szCs w:val="21"/>
        </w:rPr>
        <w:t>项目名称：防城港市医疗废物处置中心设备升级改造生产线设备采购</w:t>
      </w:r>
    </w:p>
    <w:bookmarkEnd w:id="8"/>
    <w:p>
      <w:pPr>
        <w:spacing w:line="400" w:lineRule="exact"/>
        <w:ind w:firstLine="420" w:firstLineChars="200"/>
        <w:rPr>
          <w:rFonts w:ascii="宋体" w:hAnsi="宋体" w:cs="宋体"/>
          <w:color w:val="auto"/>
          <w:szCs w:val="21"/>
        </w:rPr>
      </w:pPr>
      <w:r>
        <w:rPr>
          <w:rFonts w:hint="eastAsia" w:ascii="宋体" w:hAnsi="宋体" w:cs="宋体"/>
          <w:color w:val="auto"/>
          <w:szCs w:val="21"/>
        </w:rPr>
        <w:t>预算金额：人民币伍佰陆拾万元整（￥5600000.00）</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最高限价（如有）：同采购预算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采购需求：防城港市医疗废物处置中心设备升级改造生产线设备1批，具体详见采购需求。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合同履行期限：自合同签订之日起90天内交付使用。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20" w:firstLineChars="200"/>
        <w:rPr>
          <w:rFonts w:ascii="宋体" w:hAnsi="宋体" w:cs="宋体"/>
          <w:color w:val="auto"/>
          <w:szCs w:val="21"/>
        </w:rPr>
      </w:pPr>
      <w:bookmarkStart w:id="9" w:name="_Toc35393791"/>
      <w:bookmarkStart w:id="10" w:name="_Toc35393622"/>
      <w:bookmarkStart w:id="11" w:name="_Toc28359080"/>
      <w:bookmarkStart w:id="12" w:name="_Toc28359003"/>
      <w:r>
        <w:rPr>
          <w:rFonts w:hint="eastAsia" w:ascii="宋体" w:hAnsi="宋体" w:cs="宋体"/>
          <w:color w:val="auto"/>
          <w:szCs w:val="21"/>
        </w:rPr>
        <w:t>二、投标人的资格要求：</w:t>
      </w:r>
      <w:bookmarkEnd w:id="9"/>
      <w:bookmarkEnd w:id="10"/>
      <w:bookmarkEnd w:id="11"/>
      <w:bookmarkEnd w:id="12"/>
    </w:p>
    <w:p>
      <w:pPr>
        <w:spacing w:line="40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400" w:lineRule="exact"/>
        <w:ind w:firstLine="420" w:firstLineChars="200"/>
        <w:rPr>
          <w:rFonts w:ascii="宋体" w:hAnsi="宋体" w:cs="宋体"/>
          <w:color w:val="auto"/>
          <w:szCs w:val="21"/>
        </w:rPr>
      </w:pPr>
      <w:bookmarkStart w:id="13" w:name="_Toc28359081"/>
      <w:bookmarkStart w:id="14" w:name="_Toc28359004"/>
      <w:r>
        <w:rPr>
          <w:rFonts w:hint="eastAsia" w:ascii="宋体" w:hAnsi="宋体" w:cs="宋体"/>
          <w:color w:val="auto"/>
          <w:szCs w:val="21"/>
        </w:rPr>
        <w:t>2.国内注册（指按国家有关规定要求注册的），能提供本次采购货物的供应商；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4.对在“信用中国”网站、中国政府采购网等渠道列入失信被执行人、重大税收违法案件当事人名单、政府采购严重违法失信行为记录名单不得参与政府采购活动；</w:t>
      </w:r>
    </w:p>
    <w:p>
      <w:pPr>
        <w:spacing w:line="400" w:lineRule="exact"/>
        <w:ind w:firstLine="420" w:firstLineChars="200"/>
        <w:rPr>
          <w:rFonts w:ascii="宋体" w:hAnsi="宋体" w:cs="宋体"/>
          <w:color w:val="auto"/>
          <w:szCs w:val="21"/>
        </w:rPr>
      </w:pPr>
      <w:r>
        <w:rPr>
          <w:rFonts w:hint="eastAsia" w:ascii="宋体" w:hAnsi="宋体" w:cs="宋体"/>
          <w:color w:val="auto"/>
          <w:szCs w:val="21"/>
        </w:rPr>
        <w:t>5.落实政府采购政策需满足的资格要求：无。</w:t>
      </w:r>
    </w:p>
    <w:p>
      <w:pPr>
        <w:spacing w:line="400" w:lineRule="exact"/>
        <w:ind w:firstLine="420" w:firstLineChars="200"/>
        <w:rPr>
          <w:rFonts w:ascii="宋体" w:hAnsi="宋体" w:cs="宋体"/>
          <w:color w:val="auto"/>
          <w:szCs w:val="21"/>
        </w:rPr>
      </w:pPr>
      <w:r>
        <w:rPr>
          <w:rFonts w:hint="eastAsia" w:ascii="宋体" w:hAnsi="宋体" w:cs="宋体"/>
          <w:color w:val="auto"/>
          <w:szCs w:val="21"/>
        </w:rPr>
        <w:t>6.本项目的特定资格要求：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(1)具有质量技术监督部门颁发的特种设备制造许可证（压力容器） 或特种设备安装改造维修许可证（压力容器）；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（2）具有质量技术监督部门颁发的特种设备设计许可证（压力管道）和质量技术监督部门颁发的特种设备安装改造维修许可证（压力管道）或质量技术监督部门颁发的特种设备生产许可证（工业管道安装）；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(3)具备履行合同所必须的专业技术能力，须具有建设主管部门颁发的建筑机电安装工程专业承包三级及以上资质。</w:t>
      </w:r>
    </w:p>
    <w:p>
      <w:pPr>
        <w:spacing w:line="400" w:lineRule="exact"/>
        <w:ind w:firstLine="420" w:firstLineChars="200"/>
        <w:rPr>
          <w:rFonts w:ascii="宋体" w:hAnsi="宋体" w:cs="宋体"/>
          <w:color w:val="auto"/>
          <w:szCs w:val="21"/>
        </w:rPr>
      </w:pPr>
      <w:bookmarkStart w:id="15" w:name="_Toc35393792"/>
      <w:bookmarkStart w:id="16" w:name="_Toc35393623"/>
      <w:r>
        <w:rPr>
          <w:rFonts w:hint="eastAsia" w:ascii="宋体" w:hAnsi="宋体" w:cs="宋体"/>
          <w:color w:val="auto"/>
          <w:szCs w:val="21"/>
        </w:rPr>
        <w:t>三、获取招标文件</w:t>
      </w:r>
      <w:bookmarkEnd w:id="13"/>
      <w:bookmarkEnd w:id="14"/>
      <w:bookmarkEnd w:id="15"/>
      <w:bookmarkEnd w:id="16"/>
    </w:p>
    <w:p>
      <w:pPr>
        <w:spacing w:line="400" w:lineRule="exact"/>
        <w:ind w:firstLine="420" w:firstLineChars="200"/>
        <w:rPr>
          <w:rFonts w:ascii="宋体" w:hAnsi="宋体" w:cs="宋体"/>
          <w:color w:val="auto"/>
          <w:szCs w:val="21"/>
        </w:rPr>
      </w:pPr>
      <w:r>
        <w:rPr>
          <w:rFonts w:hint="eastAsia" w:ascii="宋体" w:hAnsi="宋体" w:cs="宋体"/>
          <w:color w:val="auto"/>
          <w:szCs w:val="21"/>
        </w:rPr>
        <w:t>1.时间：2020年12月</w:t>
      </w:r>
      <w:r>
        <w:rPr>
          <w:rFonts w:hint="eastAsia" w:ascii="宋体" w:hAnsi="宋体" w:cs="宋体"/>
          <w:color w:val="auto"/>
          <w:szCs w:val="21"/>
          <w:lang w:val="en-US" w:eastAsia="zh-CN"/>
        </w:rPr>
        <w:t>9</w:t>
      </w:r>
      <w:r>
        <w:rPr>
          <w:rFonts w:hint="eastAsia" w:ascii="宋体" w:hAnsi="宋体" w:cs="宋体"/>
          <w:color w:val="auto"/>
          <w:szCs w:val="21"/>
        </w:rPr>
        <w:t>日至2020年12月</w:t>
      </w:r>
      <w:r>
        <w:rPr>
          <w:rFonts w:hint="eastAsia" w:ascii="宋体" w:hAnsi="宋体" w:cs="宋体"/>
          <w:color w:val="auto"/>
          <w:szCs w:val="21"/>
          <w:lang w:val="en-US" w:eastAsia="zh-CN"/>
        </w:rPr>
        <w:t>16</w:t>
      </w:r>
      <w:r>
        <w:rPr>
          <w:rFonts w:hint="eastAsia" w:ascii="宋体" w:hAnsi="宋体" w:cs="宋体"/>
          <w:color w:val="auto"/>
          <w:szCs w:val="21"/>
        </w:rPr>
        <w:t>日，每天上午8时00分至12时00分，下午3时00分至6时00分（北京时间，法定节假日除外）</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2.地点：政采云平台</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方式：本项目由潜在投标人登陆政采云平台下载招标文件电子版，并根据招标文件规定的投标文件递交截止时间和地点提交投标文件。未注册的供应商可登录政采云平台进行注册（政采云平台-商家入驻-注册），如在操作过程中遇到问题或者需要技术支持，请致电政采云客服热线：400-881-7190。</w:t>
      </w:r>
    </w:p>
    <w:p>
      <w:pPr>
        <w:spacing w:line="400" w:lineRule="exact"/>
        <w:ind w:firstLine="420" w:firstLineChars="200"/>
        <w:rPr>
          <w:rFonts w:ascii="宋体" w:hAnsi="宋体" w:cs="宋体"/>
          <w:color w:val="auto"/>
          <w:szCs w:val="21"/>
        </w:rPr>
      </w:pPr>
      <w:r>
        <w:rPr>
          <w:rFonts w:hint="eastAsia" w:ascii="宋体" w:hAnsi="宋体" w:cs="宋体"/>
          <w:color w:val="auto"/>
          <w:szCs w:val="21"/>
        </w:rPr>
        <w:t>4.售价：0元</w:t>
      </w:r>
    </w:p>
    <w:p>
      <w:pPr>
        <w:spacing w:line="400" w:lineRule="exact"/>
        <w:ind w:firstLine="420" w:firstLineChars="200"/>
        <w:rPr>
          <w:rFonts w:ascii="宋体" w:hAnsi="宋体" w:cs="宋体"/>
          <w:color w:val="auto"/>
          <w:szCs w:val="21"/>
        </w:rPr>
      </w:pPr>
      <w:bookmarkStart w:id="17" w:name="_Toc28359005"/>
      <w:bookmarkStart w:id="18" w:name="_Toc28359082"/>
      <w:bookmarkStart w:id="19" w:name="_Toc35393624"/>
      <w:bookmarkStart w:id="20" w:name="_Toc35393793"/>
      <w:r>
        <w:rPr>
          <w:rFonts w:hint="eastAsia" w:ascii="宋体" w:hAnsi="宋体" w:cs="宋体"/>
          <w:color w:val="auto"/>
          <w:szCs w:val="21"/>
        </w:rPr>
        <w:t>四、提交投标文件</w:t>
      </w:r>
      <w:bookmarkEnd w:id="17"/>
      <w:bookmarkEnd w:id="18"/>
      <w:r>
        <w:rPr>
          <w:rFonts w:hint="eastAsia" w:ascii="宋体" w:hAnsi="宋体" w:cs="宋体"/>
          <w:color w:val="auto"/>
          <w:szCs w:val="21"/>
        </w:rPr>
        <w:t>截止时间、开标时间和地点</w:t>
      </w:r>
      <w:bookmarkEnd w:id="19"/>
      <w:bookmarkEnd w:id="20"/>
    </w:p>
    <w:p>
      <w:pPr>
        <w:spacing w:line="400" w:lineRule="exact"/>
        <w:ind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分整</w:t>
      </w:r>
      <w:r>
        <w:rPr>
          <w:rFonts w:hint="eastAsia" w:ascii="宋体" w:hAnsi="宋体" w:cs="宋体"/>
          <w:color w:val="auto"/>
          <w:szCs w:val="21"/>
        </w:rPr>
        <w:t>（北京时间）</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地点：防城港市公共资源交易中心（防城港市迎宾路红树林大厦东塔）（具体开标厅根据防城港市公共资源交易中心网站公示或防城港市迎宾路红树林大厦东塔6楼电子屏幕显示的安排）</w:t>
      </w:r>
    </w:p>
    <w:p>
      <w:pPr>
        <w:spacing w:line="400" w:lineRule="exact"/>
        <w:ind w:firstLine="420" w:firstLineChars="200"/>
        <w:rPr>
          <w:rFonts w:ascii="宋体" w:hAnsi="宋体" w:cs="宋体"/>
          <w:color w:val="auto"/>
          <w:szCs w:val="21"/>
        </w:rPr>
      </w:pPr>
      <w:r>
        <w:rPr>
          <w:rFonts w:hint="eastAsia" w:ascii="宋体" w:hAnsi="宋体" w:cs="宋体"/>
          <w:color w:val="auto"/>
          <w:szCs w:val="21"/>
        </w:rPr>
        <w:t>逾期送达或未按要求密封的将予以拒收（或作无效投标文件处理）</w:t>
      </w:r>
    </w:p>
    <w:p>
      <w:pPr>
        <w:spacing w:line="400" w:lineRule="exact"/>
        <w:ind w:firstLine="420" w:firstLineChars="200"/>
        <w:rPr>
          <w:rFonts w:ascii="宋体" w:hAnsi="宋体" w:cs="宋体"/>
          <w:color w:val="auto"/>
          <w:szCs w:val="21"/>
        </w:rPr>
      </w:pPr>
      <w:bookmarkStart w:id="21" w:name="_Toc28359084"/>
      <w:bookmarkStart w:id="22" w:name="_Toc35393625"/>
      <w:bookmarkStart w:id="23" w:name="_Toc28359007"/>
      <w:bookmarkStart w:id="24" w:name="_Toc35393794"/>
      <w:r>
        <w:rPr>
          <w:rFonts w:hint="eastAsia" w:ascii="宋体" w:hAnsi="宋体" w:cs="宋体"/>
          <w:color w:val="auto"/>
          <w:szCs w:val="21"/>
        </w:rPr>
        <w:t>五、公告期限</w:t>
      </w:r>
      <w:bookmarkEnd w:id="21"/>
      <w:bookmarkEnd w:id="22"/>
      <w:bookmarkEnd w:id="23"/>
      <w:bookmarkEnd w:id="24"/>
    </w:p>
    <w:p>
      <w:pPr>
        <w:spacing w:line="40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pPr>
        <w:spacing w:line="400" w:lineRule="exact"/>
        <w:ind w:firstLine="420" w:firstLineChars="200"/>
        <w:rPr>
          <w:rFonts w:ascii="宋体" w:hAnsi="宋体" w:cs="宋体"/>
          <w:color w:val="auto"/>
          <w:szCs w:val="21"/>
        </w:rPr>
      </w:pPr>
      <w:bookmarkStart w:id="25" w:name="_Toc35393795"/>
      <w:bookmarkStart w:id="26" w:name="_Toc35393626"/>
      <w:r>
        <w:rPr>
          <w:rFonts w:hint="eastAsia" w:ascii="宋体" w:hAnsi="宋体" w:cs="宋体"/>
          <w:color w:val="auto"/>
          <w:szCs w:val="21"/>
        </w:rPr>
        <w:t>六、其他补充事宜</w:t>
      </w:r>
      <w:bookmarkEnd w:id="25"/>
      <w:bookmarkEnd w:id="26"/>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1.网上查询地址：中国政府采购网、广西壮族自治区政府采购网、广西防城港政府采购网站、防城港市公共资源交易中心网。</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2.本项目需要落实的政府采购政策：</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（2）政府采购支持采用本国产品的政策。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（3）强制采购、优先采购环境标志产品、节能产品。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（4）支持监狱企业发展政策。 </w:t>
      </w:r>
    </w:p>
    <w:p>
      <w:pPr>
        <w:spacing w:line="400" w:lineRule="exact"/>
        <w:ind w:firstLine="420" w:firstLineChars="200"/>
        <w:rPr>
          <w:rFonts w:ascii="宋体" w:hAnsi="宋体" w:cs="宋体"/>
          <w:color w:val="auto"/>
          <w:szCs w:val="21"/>
        </w:rPr>
      </w:pPr>
      <w:r>
        <w:rPr>
          <w:rFonts w:hint="eastAsia" w:ascii="宋体" w:hAnsi="宋体" w:cs="宋体"/>
          <w:color w:val="auto"/>
          <w:szCs w:val="21"/>
        </w:rPr>
        <w:t>（5）政府采购促进残疾人就业政策。</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3.投标保证金：不收取投标保证金。</w:t>
      </w:r>
    </w:p>
    <w:p>
      <w:pPr>
        <w:spacing w:line="400" w:lineRule="exact"/>
        <w:ind w:firstLine="420" w:firstLineChars="200"/>
        <w:rPr>
          <w:rFonts w:ascii="宋体" w:hAnsi="宋体" w:cs="宋体"/>
          <w:color w:val="auto"/>
          <w:szCs w:val="21"/>
        </w:rPr>
      </w:pPr>
      <w:bookmarkStart w:id="27" w:name="_Toc28359008"/>
      <w:bookmarkStart w:id="28" w:name="_Toc28359085"/>
      <w:bookmarkStart w:id="29" w:name="_Toc35393627"/>
      <w:bookmarkStart w:id="30" w:name="_Toc35393796"/>
      <w:r>
        <w:rPr>
          <w:rFonts w:hint="eastAsia" w:ascii="宋体" w:hAnsi="宋体" w:cs="宋体"/>
          <w:color w:val="auto"/>
          <w:szCs w:val="21"/>
        </w:rPr>
        <w:t>七、对本次招标提出询问，请按以下方式联系。</w:t>
      </w:r>
      <w:bookmarkEnd w:id="27"/>
      <w:bookmarkEnd w:id="28"/>
      <w:bookmarkEnd w:id="29"/>
      <w:bookmarkEnd w:id="30"/>
    </w:p>
    <w:p>
      <w:pPr>
        <w:spacing w:line="400" w:lineRule="exact"/>
        <w:ind w:firstLine="420" w:firstLineChars="200"/>
        <w:rPr>
          <w:rFonts w:ascii="宋体" w:hAnsi="宋体" w:cs="宋体"/>
          <w:color w:val="auto"/>
          <w:szCs w:val="21"/>
        </w:rPr>
      </w:pPr>
      <w:r>
        <w:rPr>
          <w:rFonts w:hint="eastAsia" w:ascii="宋体" w:hAnsi="宋体" w:cs="宋体"/>
          <w:color w:val="auto"/>
          <w:szCs w:val="21"/>
        </w:rPr>
        <w:t>1.采购人信息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名称：防城港市环境卫生管理处；</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地址：广西防城港市港口区凯乐路33号6栋；</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联系方式：0770-2838138，13097703666；</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联系人：潘兴</w:t>
      </w:r>
      <w:bookmarkStart w:id="31" w:name="_Toc28359086"/>
      <w:bookmarkStart w:id="32" w:name="_Toc28359009"/>
    </w:p>
    <w:p>
      <w:pPr>
        <w:spacing w:line="400" w:lineRule="exact"/>
        <w:ind w:firstLine="420" w:firstLineChars="200"/>
        <w:rPr>
          <w:rFonts w:ascii="宋体" w:hAnsi="宋体" w:cs="宋体"/>
          <w:color w:val="auto"/>
          <w:szCs w:val="21"/>
        </w:rPr>
      </w:pPr>
      <w:r>
        <w:rPr>
          <w:rFonts w:hint="eastAsia" w:ascii="宋体" w:hAnsi="宋体" w:cs="宋体"/>
          <w:color w:val="auto"/>
          <w:szCs w:val="21"/>
        </w:rPr>
        <w:t>2.采购代理机构信息</w:t>
      </w:r>
      <w:bookmarkEnd w:id="31"/>
      <w:bookmarkEnd w:id="32"/>
    </w:p>
    <w:p>
      <w:pPr>
        <w:spacing w:line="400" w:lineRule="exact"/>
        <w:ind w:firstLine="420" w:firstLineChars="200"/>
        <w:rPr>
          <w:rFonts w:ascii="宋体" w:hAnsi="宋体" w:cs="宋体"/>
          <w:color w:val="auto"/>
          <w:szCs w:val="21"/>
        </w:rPr>
      </w:pPr>
      <w:r>
        <w:rPr>
          <w:rFonts w:hint="eastAsia" w:ascii="宋体" w:hAnsi="宋体" w:cs="宋体"/>
          <w:color w:val="auto"/>
          <w:szCs w:val="21"/>
        </w:rPr>
        <w:t>名称：广西科联招标中心有限公司；</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地址：防城港市港口区桃花湾广场珍珠路6号桂海东盟新城9＃（H栋）605号房</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33" w:name="_Toc28359010"/>
      <w:bookmarkStart w:id="34" w:name="_Toc28359087"/>
      <w:r>
        <w:rPr>
          <w:rFonts w:hint="eastAsia" w:ascii="宋体" w:hAnsi="宋体" w:cs="宋体"/>
          <w:color w:val="auto"/>
          <w:szCs w:val="21"/>
        </w:rPr>
        <w:t>0770-2821504</w:t>
      </w:r>
    </w:p>
    <w:bookmarkEnd w:id="33"/>
    <w:bookmarkEnd w:id="34"/>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3.项目联系方式</w:t>
      </w:r>
    </w:p>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项目联系人：梁莉萍</w:t>
      </w:r>
    </w:p>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电话：0770-2821504</w:t>
      </w:r>
    </w:p>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4.政府采购监督管理部门</w:t>
      </w:r>
    </w:p>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名称：防城港市政府采购管理中心</w:t>
      </w:r>
    </w:p>
    <w:p>
      <w:pPr>
        <w:snapToGri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电话：0770-6102319</w:t>
      </w:r>
    </w:p>
    <w:p>
      <w:pPr>
        <w:snapToGrid w:val="0"/>
        <w:spacing w:line="340" w:lineRule="exact"/>
        <w:ind w:left="238"/>
        <w:jc w:val="right"/>
        <w:rPr>
          <w:rFonts w:ascii="宋体" w:hAnsi="宋体" w:cs="宋体"/>
          <w:color w:val="auto"/>
          <w:szCs w:val="21"/>
        </w:rPr>
      </w:pPr>
      <w:r>
        <w:rPr>
          <w:rFonts w:hint="eastAsia" w:ascii="宋体" w:hAnsi="宋体" w:cs="宋体"/>
          <w:color w:val="auto"/>
          <w:szCs w:val="21"/>
        </w:rPr>
        <w:t xml:space="preserve">   广西科联招标中心有限公司  </w:t>
      </w:r>
    </w:p>
    <w:p>
      <w:pPr>
        <w:jc w:val="righ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p>
    <w:p>
      <w:pPr>
        <w:pStyle w:val="2"/>
        <w:rPr>
          <w:rFonts w:ascii="宋体" w:hAnsi="宋体"/>
          <w:b w:val="0"/>
          <w:bCs w:val="0"/>
          <w:color w:val="auto"/>
          <w:szCs w:val="21"/>
        </w:rPr>
      </w:pPr>
    </w:p>
    <w:p>
      <w:pPr>
        <w:rPr>
          <w:rFonts w:ascii="宋体" w:hAnsi="宋体"/>
          <w:color w:val="auto"/>
          <w:szCs w:val="21"/>
        </w:rPr>
      </w:pPr>
    </w:p>
    <w:p>
      <w:pPr>
        <w:pStyle w:val="2"/>
        <w:rPr>
          <w:rFonts w:ascii="宋体" w:hAnsi="宋体"/>
          <w:b w:val="0"/>
          <w:bCs w:val="0"/>
          <w:color w:val="auto"/>
          <w:szCs w:val="21"/>
        </w:rPr>
      </w:pPr>
    </w:p>
    <w:p>
      <w:pPr>
        <w:rPr>
          <w:rFonts w:ascii="宋体" w:hAnsi="宋体"/>
          <w:color w:val="auto"/>
          <w:szCs w:val="21"/>
        </w:rPr>
      </w:pPr>
    </w:p>
    <w:p>
      <w:pPr>
        <w:pStyle w:val="2"/>
        <w:rPr>
          <w:rFonts w:ascii="宋体" w:hAnsi="宋体"/>
          <w:b w:val="0"/>
          <w:bCs w:val="0"/>
          <w:color w:val="auto"/>
          <w:szCs w:val="21"/>
        </w:rPr>
      </w:pPr>
    </w:p>
    <w:p>
      <w:pPr>
        <w:rPr>
          <w:rFonts w:ascii="宋体" w:hAnsi="宋体"/>
          <w:color w:val="auto"/>
          <w:szCs w:val="21"/>
        </w:rPr>
      </w:pPr>
    </w:p>
    <w:p>
      <w:pPr>
        <w:pStyle w:val="2"/>
        <w:rPr>
          <w:rFonts w:ascii="宋体" w:hAnsi="宋体"/>
          <w:b w:val="0"/>
          <w:bCs w:val="0"/>
          <w:color w:val="auto"/>
          <w:szCs w:val="21"/>
        </w:rPr>
      </w:pPr>
    </w:p>
    <w:p>
      <w:pPr>
        <w:rPr>
          <w:rFonts w:ascii="宋体" w:hAnsi="宋体"/>
          <w:color w:val="auto"/>
          <w:szCs w:val="21"/>
        </w:rPr>
      </w:pPr>
    </w:p>
    <w:p>
      <w:pPr>
        <w:pStyle w:val="2"/>
        <w:rPr>
          <w:rFonts w:ascii="宋体" w:hAnsi="宋体"/>
          <w:b w:val="0"/>
          <w:bCs w:val="0"/>
          <w:color w:val="auto"/>
          <w:szCs w:val="21"/>
        </w:rPr>
      </w:pPr>
    </w:p>
    <w:p>
      <w:pPr>
        <w:rPr>
          <w:rFonts w:ascii="宋体" w:hAnsi="宋体"/>
          <w:color w:val="auto"/>
          <w:szCs w:val="21"/>
        </w:rPr>
      </w:pPr>
    </w:p>
    <w:p>
      <w:pPr>
        <w:pStyle w:val="2"/>
        <w:rPr>
          <w:rFonts w:ascii="宋体" w:hAnsi="宋体"/>
          <w:b w:val="0"/>
          <w:bCs w:val="0"/>
          <w:color w:val="auto"/>
          <w:szCs w:val="21"/>
        </w:rPr>
      </w:pPr>
    </w:p>
    <w:p>
      <w:pPr>
        <w:pStyle w:val="2"/>
        <w:rPr>
          <w:color w:val="auto"/>
        </w:rPr>
      </w:pPr>
    </w:p>
    <w:p>
      <w:pPr>
        <w:rPr>
          <w:color w:val="auto"/>
        </w:rPr>
      </w:pPr>
    </w:p>
    <w:p>
      <w:pPr>
        <w:pStyle w:val="3"/>
        <w:numPr>
          <w:ilvl w:val="0"/>
          <w:numId w:val="3"/>
        </w:numPr>
        <w:spacing w:line="240" w:lineRule="auto"/>
        <w:jc w:val="center"/>
        <w:rPr>
          <w:color w:val="auto"/>
          <w:sz w:val="36"/>
          <w:szCs w:val="36"/>
        </w:rPr>
      </w:pPr>
      <w:bookmarkStart w:id="35" w:name="_Toc327735635"/>
      <w:bookmarkStart w:id="36" w:name="_Toc16610"/>
      <w:r>
        <w:rPr>
          <w:rFonts w:hint="eastAsia"/>
          <w:color w:val="auto"/>
          <w:sz w:val="36"/>
          <w:szCs w:val="36"/>
        </w:rPr>
        <w:t>招标项目采购需求</w:t>
      </w:r>
      <w:bookmarkEnd w:id="35"/>
      <w:bookmarkEnd w:id="36"/>
    </w:p>
    <w:p>
      <w:pPr>
        <w:spacing w:line="360" w:lineRule="auto"/>
        <w:rPr>
          <w:rFonts w:ascii="宋体" w:cs="宋体"/>
          <w:b/>
          <w:bCs/>
          <w:color w:val="auto"/>
        </w:rPr>
      </w:pPr>
      <w:bookmarkStart w:id="37" w:name="_Toc327735652"/>
      <w:r>
        <w:rPr>
          <w:rFonts w:hint="eastAsia" w:ascii="宋体" w:hAnsi="宋体" w:cs="宋体"/>
          <w:b/>
          <w:bCs/>
          <w:color w:val="auto"/>
        </w:rPr>
        <w:t>说明：</w:t>
      </w:r>
    </w:p>
    <w:p>
      <w:pPr>
        <w:spacing w:line="360" w:lineRule="auto"/>
        <w:ind w:firstLine="411" w:firstLineChars="195"/>
        <w:rPr>
          <w:rFonts w:ascii="宋体" w:cs="宋体"/>
          <w:b/>
          <w:bCs/>
          <w:color w:val="auto"/>
        </w:rPr>
      </w:pPr>
      <w:r>
        <w:rPr>
          <w:rFonts w:ascii="宋体" w:hAnsi="宋体" w:cs="宋体"/>
          <w:b/>
          <w:color w:val="auto"/>
          <w:szCs w:val="21"/>
        </w:rPr>
        <w:t>1</w:t>
      </w:r>
      <w:r>
        <w:rPr>
          <w:rFonts w:hint="eastAsia" w:ascii="宋体" w:hAnsi="宋体" w:cs="宋体"/>
          <w:b/>
          <w:color w:val="auto"/>
          <w:szCs w:val="21"/>
        </w:rPr>
        <w:t>、</w:t>
      </w:r>
      <w:r>
        <w:rPr>
          <w:rFonts w:hint="eastAsia" w:ascii="宋体" w:hAnsi="宋体" w:cs="宋体"/>
          <w:b/>
          <w:bCs/>
          <w:color w:val="auto"/>
          <w:szCs w:val="21"/>
        </w:rPr>
        <w:t>根据《国务院办公厅关于建立政府强制采购节能产品制度的通知》（国办发〔</w:t>
      </w:r>
      <w:r>
        <w:rPr>
          <w:rFonts w:ascii="宋体" w:hAnsi="宋体" w:cs="宋体"/>
          <w:b/>
          <w:bCs/>
          <w:color w:val="auto"/>
          <w:szCs w:val="21"/>
        </w:rPr>
        <w:t>2007</w:t>
      </w:r>
      <w:r>
        <w:rPr>
          <w:rFonts w:hint="eastAsia" w:ascii="宋体" w:hAnsi="宋体" w:cs="宋体"/>
          <w:b/>
          <w:bCs/>
          <w:color w:val="auto"/>
          <w:szCs w:val="21"/>
        </w:rPr>
        <w:t>〕</w:t>
      </w:r>
      <w:r>
        <w:rPr>
          <w:rFonts w:ascii="宋体" w:hAnsi="宋体" w:cs="宋体"/>
          <w:b/>
          <w:bCs/>
          <w:color w:val="auto"/>
          <w:szCs w:val="21"/>
        </w:rPr>
        <w:t>51</w:t>
      </w:r>
      <w:r>
        <w:rPr>
          <w:rFonts w:hint="eastAsia" w:ascii="宋体" w:hAnsi="宋体" w:cs="宋体"/>
          <w:b/>
          <w:bCs/>
          <w:color w:val="auto"/>
          <w:szCs w:val="21"/>
        </w:rPr>
        <w:t>号）和财政部、国家发展改革委发布的《节能产品政府采购实施意见》（财库〔</w:t>
      </w:r>
      <w:r>
        <w:rPr>
          <w:rFonts w:ascii="宋体" w:hAnsi="宋体" w:cs="宋体"/>
          <w:b/>
          <w:bCs/>
          <w:color w:val="auto"/>
          <w:szCs w:val="21"/>
        </w:rPr>
        <w:t>2004</w:t>
      </w:r>
      <w:r>
        <w:rPr>
          <w:rFonts w:hint="eastAsia" w:ascii="宋体" w:hAnsi="宋体" w:cs="宋体"/>
          <w:b/>
          <w:bCs/>
          <w:color w:val="auto"/>
          <w:szCs w:val="21"/>
        </w:rPr>
        <w:t>〕</w:t>
      </w:r>
      <w:r>
        <w:rPr>
          <w:rFonts w:ascii="宋体" w:hAnsi="宋体" w:cs="宋体"/>
          <w:b/>
          <w:bCs/>
          <w:color w:val="auto"/>
          <w:szCs w:val="21"/>
        </w:rPr>
        <w:t>185</w:t>
      </w:r>
      <w:r>
        <w:rPr>
          <w:rFonts w:hint="eastAsia" w:ascii="宋体" w:hAnsi="宋体" w:cs="宋体"/>
          <w:b/>
          <w:bCs/>
          <w:color w:val="auto"/>
          <w:szCs w:val="21"/>
        </w:rPr>
        <w:t>号）的规定，采购需求中凡列入国家财政部在中国政府采购网上公布的最新一期节能产品政府采购清单的产品，投标人投标时必须于投标文件中提供所投产品属于强制采购最新一期节能产品清单的证明。</w:t>
      </w:r>
    </w:p>
    <w:p>
      <w:pPr>
        <w:spacing w:line="360" w:lineRule="auto"/>
        <w:ind w:firstLine="411" w:firstLineChars="195"/>
        <w:rPr>
          <w:rFonts w:ascii="宋体" w:cs="宋体"/>
          <w:b/>
          <w:bCs/>
          <w:color w:val="auto"/>
        </w:rPr>
      </w:pPr>
      <w:r>
        <w:rPr>
          <w:rFonts w:ascii="宋体" w:hAnsi="宋体" w:cs="宋体"/>
          <w:b/>
          <w:bCs/>
          <w:color w:val="auto"/>
        </w:rPr>
        <w:t>2</w:t>
      </w:r>
      <w:r>
        <w:rPr>
          <w:rFonts w:hint="eastAsia" w:ascii="宋体" w:hAnsi="宋体" w:cs="宋体"/>
          <w:b/>
          <w:bCs/>
          <w:color w:val="auto"/>
        </w:rPr>
        <w:t>、</w:t>
      </w:r>
      <w:r>
        <w:rPr>
          <w:rFonts w:hint="eastAsia" w:ascii="宋体" w:hAnsi="宋体" w:cs="宋体"/>
          <w:b/>
          <w:color w:val="auto"/>
          <w:szCs w:val="21"/>
        </w:rPr>
        <w:t>投标人应对投标内容所涉及的专利承担法律责任，并负责保护业主的利益不受任何损害。一切由于文字、商标、技术和软件专利授权引起的法律裁决、诉讼和赔偿费用均由中标人负责。</w:t>
      </w:r>
      <w:r>
        <w:rPr>
          <w:rFonts w:hint="eastAsia" w:ascii="宋体" w:hAnsi="宋体" w:cs="宋体"/>
          <w:b/>
          <w:color w:val="auto"/>
        </w:rPr>
        <w:t>同时，具有产品专利的投标人应在其投标文件中提供与其自有产品专利相关的有效证明材料，否则，</w:t>
      </w:r>
      <w:r>
        <w:rPr>
          <w:rFonts w:hint="eastAsia" w:ascii="宋体" w:hAnsi="宋体" w:cs="宋体"/>
          <w:b/>
          <w:bCs/>
          <w:color w:val="auto"/>
        </w:rPr>
        <w:t>不能就其产品的专利在本项目投标过程中被侵权问题而提出异议。</w:t>
      </w:r>
    </w:p>
    <w:p>
      <w:pPr>
        <w:spacing w:line="360" w:lineRule="auto"/>
        <w:ind w:firstLine="411" w:firstLineChars="195"/>
        <w:rPr>
          <w:rFonts w:ascii="宋体" w:cs="宋体"/>
          <w:b/>
          <w:bCs/>
          <w:color w:val="auto"/>
          <w:szCs w:val="21"/>
        </w:rPr>
      </w:pPr>
      <w:r>
        <w:rPr>
          <w:rFonts w:ascii="宋体" w:hAnsi="宋体" w:cs="宋体"/>
          <w:b/>
          <w:bCs/>
          <w:color w:val="auto"/>
        </w:rPr>
        <w:t>3</w:t>
      </w:r>
      <w:r>
        <w:rPr>
          <w:rFonts w:hint="eastAsia" w:ascii="宋体" w:hAnsi="宋体" w:cs="宋体"/>
          <w:b/>
          <w:bCs/>
          <w:color w:val="auto"/>
        </w:rPr>
        <w:t>、</w:t>
      </w:r>
      <w:r>
        <w:rPr>
          <w:rFonts w:hint="eastAsia" w:ascii="宋体" w:hAnsi="宋体" w:cs="宋体"/>
          <w:b/>
          <w:bCs/>
          <w:color w:val="auto"/>
          <w:szCs w:val="21"/>
        </w:rPr>
        <w:t>根据《关于信息安全产品实施政府采购的通知》（财库</w:t>
      </w:r>
      <w:r>
        <w:rPr>
          <w:rFonts w:ascii="宋体" w:hAnsi="宋体" w:cs="宋体"/>
          <w:b/>
          <w:bCs/>
          <w:color w:val="auto"/>
          <w:szCs w:val="21"/>
        </w:rPr>
        <w:t>[2010]48</w:t>
      </w:r>
      <w:r>
        <w:rPr>
          <w:rFonts w:hint="eastAsia" w:ascii="宋体" w:hAnsi="宋体" w:cs="宋体"/>
          <w:b/>
          <w:bCs/>
          <w:color w:val="auto"/>
          <w:szCs w:val="21"/>
        </w:rPr>
        <w:t>号）的规定，如采购需求中有涉及信息安全产品的设备，必须提供由中国信息安全认证中心按国家标准认证颁发的有效认证证书复印件。</w:t>
      </w:r>
    </w:p>
    <w:p>
      <w:pPr>
        <w:spacing w:line="360" w:lineRule="auto"/>
        <w:ind w:firstLine="422" w:firstLineChars="200"/>
        <w:jc w:val="left"/>
        <w:rPr>
          <w:rFonts w:ascii="宋体" w:cs="宋体"/>
          <w:b/>
          <w:bCs/>
          <w:color w:val="auto"/>
          <w:szCs w:val="21"/>
        </w:rPr>
      </w:pPr>
      <w:r>
        <w:rPr>
          <w:rFonts w:ascii="宋体" w:hAnsi="宋体" w:cs="宋体"/>
          <w:b/>
          <w:bCs/>
          <w:color w:val="auto"/>
          <w:szCs w:val="21"/>
        </w:rPr>
        <w:t>4</w:t>
      </w:r>
      <w:r>
        <w:rPr>
          <w:rFonts w:hint="eastAsia" w:ascii="宋体" w:hAnsi="宋体" w:cs="宋体"/>
          <w:b/>
          <w:bCs/>
          <w:color w:val="auto"/>
          <w:szCs w:val="21"/>
        </w:rPr>
        <w:t>、投标人应注意下列内容：</w:t>
      </w:r>
    </w:p>
    <w:p>
      <w:pPr>
        <w:spacing w:line="360" w:lineRule="auto"/>
        <w:ind w:firstLine="422" w:firstLineChars="200"/>
        <w:jc w:val="left"/>
        <w:rPr>
          <w:rFonts w:ascii="宋体" w:cs="宋体"/>
          <w:b/>
          <w:bCs/>
          <w:color w:val="auto"/>
          <w:szCs w:val="21"/>
        </w:rPr>
      </w:pPr>
      <w:r>
        <w:rPr>
          <w:rFonts w:ascii="宋体" w:hAnsi="宋体" w:cs="宋体"/>
          <w:b/>
          <w:bCs/>
          <w:color w:val="auto"/>
          <w:szCs w:val="21"/>
        </w:rPr>
        <w:t>1</w:t>
      </w:r>
      <w:r>
        <w:rPr>
          <w:rFonts w:hint="eastAsia" w:ascii="宋体" w:hAnsi="宋体" w:cs="宋体"/>
          <w:b/>
          <w:bCs/>
          <w:color w:val="auto"/>
          <w:szCs w:val="21"/>
        </w:rPr>
        <w:t>）招标文件中带“</w:t>
      </w:r>
      <w:r>
        <w:rPr>
          <w:rFonts w:hint="eastAsia" w:ascii="宋体" w:hAnsi="宋体" w:cs="宋体"/>
          <w:color w:val="auto"/>
          <w:szCs w:val="21"/>
        </w:rPr>
        <w:t>★</w:t>
      </w:r>
      <w:r>
        <w:rPr>
          <w:rFonts w:hint="eastAsia" w:ascii="宋体" w:hAnsi="宋体" w:cs="宋体"/>
          <w:b/>
          <w:bCs/>
          <w:color w:val="auto"/>
          <w:kern w:val="0"/>
        </w:rPr>
        <w:t>”</w:t>
      </w:r>
      <w:r>
        <w:rPr>
          <w:rFonts w:hint="eastAsia" w:ascii="宋体" w:hAnsi="宋体" w:cs="宋体"/>
          <w:b/>
          <w:bCs/>
          <w:color w:val="auto"/>
          <w:szCs w:val="21"/>
        </w:rPr>
        <w:t>的条款为本次采购的实质性的商务、技术或服务要求，投标人须满足或响应，若无法完全满足，将会被认定为无效投标。</w:t>
      </w:r>
    </w:p>
    <w:p>
      <w:pPr>
        <w:spacing w:line="360" w:lineRule="auto"/>
        <w:ind w:firstLine="422" w:firstLineChars="200"/>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）投标人须在投标文件中填写</w:t>
      </w:r>
      <w:r>
        <w:rPr>
          <w:rFonts w:ascii="宋体" w:hAnsi="宋体" w:cs="宋体"/>
          <w:b/>
          <w:bCs/>
          <w:color w:val="auto"/>
          <w:szCs w:val="21"/>
        </w:rPr>
        <w:t>/</w:t>
      </w:r>
      <w:r>
        <w:rPr>
          <w:rFonts w:hint="eastAsia" w:ascii="宋体" w:hAnsi="宋体" w:cs="宋体"/>
          <w:b/>
          <w:bCs/>
          <w:color w:val="auto"/>
          <w:szCs w:val="21"/>
        </w:rPr>
        <w:t>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spacing w:line="360" w:lineRule="auto"/>
        <w:ind w:firstLine="422" w:firstLineChars="200"/>
        <w:jc w:val="left"/>
        <w:rPr>
          <w:rFonts w:ascii="宋体" w:cs="宋体"/>
          <w:b/>
          <w:bCs/>
          <w:color w:val="auto"/>
          <w:szCs w:val="21"/>
        </w:rPr>
      </w:pPr>
      <w:r>
        <w:rPr>
          <w:rFonts w:ascii="宋体" w:hAnsi="宋体" w:cs="宋体"/>
          <w:b/>
          <w:bCs/>
          <w:color w:val="auto"/>
          <w:szCs w:val="21"/>
        </w:rPr>
        <w:t>3</w:t>
      </w:r>
      <w:r>
        <w:rPr>
          <w:rFonts w:hint="eastAsia" w:ascii="宋体" w:hAnsi="宋体" w:cs="宋体"/>
          <w:b/>
          <w:bCs/>
          <w:color w:val="auto"/>
          <w:szCs w:val="21"/>
        </w:rPr>
        <w:t>）本货物需求一览表中所列的品牌、型号仅起参考作用，供应商可选用其他品牌、型号替代，但替代的品牌、型号在实质性要求和条件上要相当于或优于参考品牌、型号。</w:t>
      </w:r>
    </w:p>
    <w:p>
      <w:pPr>
        <w:adjustRightInd w:val="0"/>
        <w:snapToGrid w:val="0"/>
        <w:spacing w:line="360" w:lineRule="auto"/>
        <w:ind w:firstLine="422" w:firstLineChars="200"/>
        <w:rPr>
          <w:rFonts w:ascii="宋体" w:cs="宋体"/>
          <w:b/>
          <w:bCs/>
          <w:color w:val="auto"/>
          <w:szCs w:val="21"/>
        </w:rPr>
      </w:pPr>
      <w:r>
        <w:rPr>
          <w:rFonts w:ascii="宋体" w:hAnsi="宋体" w:cs="宋体"/>
          <w:b/>
          <w:bCs/>
          <w:color w:val="auto"/>
          <w:szCs w:val="21"/>
        </w:rPr>
        <w:t>5</w:t>
      </w:r>
      <w:r>
        <w:rPr>
          <w:rFonts w:hint="eastAsia" w:ascii="宋体" w:hAnsi="宋体" w:cs="宋体"/>
          <w:b/>
          <w:bCs/>
          <w:color w:val="auto"/>
          <w:szCs w:val="21"/>
        </w:rPr>
        <w:t>、投标人投标产品中的主要设备需提供有关产品说明书或产品彩页，这些资料文件应以附件形式在投标文件中列出。若提供的产品说明书或产品彩页与投标文件中响应的同一技术指标不一致时，应由生产厂商出具相关说明，否则以产品说明书或产品彩页为准。</w:t>
      </w:r>
    </w:p>
    <w:p>
      <w:pPr>
        <w:adjustRightInd w:val="0"/>
        <w:snapToGrid w:val="0"/>
        <w:spacing w:line="360" w:lineRule="auto"/>
        <w:ind w:firstLine="422" w:firstLineChars="200"/>
        <w:rPr>
          <w:rFonts w:ascii="宋体" w:cs="宋体"/>
          <w:b/>
          <w:bCs/>
          <w:color w:val="auto"/>
        </w:rPr>
      </w:pPr>
      <w:bookmarkStart w:id="38" w:name="工期要求"/>
      <w:bookmarkEnd w:id="38"/>
      <w:r>
        <w:rPr>
          <w:rFonts w:ascii="宋体" w:hAnsi="宋体" w:cs="宋体"/>
          <w:b/>
          <w:bCs/>
          <w:color w:val="auto"/>
          <w:szCs w:val="21"/>
        </w:rPr>
        <w:t>6</w:t>
      </w:r>
      <w:r>
        <w:rPr>
          <w:rFonts w:hint="eastAsia" w:ascii="宋体" w:hAnsi="宋体" w:cs="宋体"/>
          <w:b/>
          <w:bCs/>
          <w:color w:val="auto"/>
          <w:szCs w:val="21"/>
        </w:rPr>
        <w:t>、投标人应承诺投标文件中提供的证明材料和资质文件真实，如出现虚假应标情况，投标人除了应接受有关部门的处罚外，还应</w:t>
      </w:r>
      <w:r>
        <w:rPr>
          <w:rFonts w:hint="eastAsia" w:ascii="宋体" w:hAnsi="宋体" w:cs="宋体"/>
          <w:b/>
          <w:bCs/>
          <w:color w:val="auto"/>
        </w:rPr>
        <w:t>依据《中华人民共和国合同法》的相关条款来确定赔偿金额</w:t>
      </w:r>
    </w:p>
    <w:tbl>
      <w:tblPr>
        <w:tblStyle w:val="4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88"/>
        <w:gridCol w:w="5050"/>
        <w:gridCol w:w="82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98"/>
              <w:ind w:firstLine="0" w:firstLineChars="0"/>
              <w:jc w:val="center"/>
              <w:rPr>
                <w:rFonts w:ascii="宋体" w:hAnsi="宋体" w:cs="宋体"/>
                <w:b/>
                <w:bCs/>
                <w:color w:val="auto"/>
                <w:szCs w:val="21"/>
              </w:rPr>
            </w:pPr>
            <w:r>
              <w:rPr>
                <w:rFonts w:hint="eastAsia" w:ascii="宋体" w:hAnsi="宋体" w:cs="宋体"/>
                <w:color w:val="auto"/>
                <w:szCs w:val="21"/>
              </w:rPr>
              <w:t>序号</w:t>
            </w:r>
          </w:p>
        </w:tc>
        <w:tc>
          <w:tcPr>
            <w:tcW w:w="1588" w:type="dxa"/>
            <w:vAlign w:val="center"/>
          </w:tcPr>
          <w:p>
            <w:pPr>
              <w:pStyle w:val="98"/>
              <w:ind w:firstLine="0" w:firstLineChars="0"/>
              <w:jc w:val="center"/>
              <w:rPr>
                <w:rFonts w:ascii="宋体" w:hAnsi="宋体" w:cs="宋体"/>
                <w:b/>
                <w:bCs/>
                <w:color w:val="auto"/>
                <w:szCs w:val="21"/>
              </w:rPr>
            </w:pPr>
            <w:r>
              <w:rPr>
                <w:rFonts w:hint="eastAsia" w:ascii="宋体" w:hAnsi="宋体" w:cs="宋体"/>
                <w:color w:val="auto"/>
                <w:szCs w:val="21"/>
              </w:rPr>
              <w:t>名称</w:t>
            </w:r>
          </w:p>
        </w:tc>
        <w:tc>
          <w:tcPr>
            <w:tcW w:w="5050" w:type="dxa"/>
            <w:vAlign w:val="center"/>
          </w:tcPr>
          <w:p>
            <w:pPr>
              <w:pStyle w:val="98"/>
              <w:ind w:firstLine="0" w:firstLineChars="0"/>
              <w:jc w:val="center"/>
              <w:rPr>
                <w:rFonts w:ascii="宋体" w:hAnsi="宋体" w:cs="宋体"/>
                <w:b/>
                <w:bCs/>
                <w:color w:val="auto"/>
                <w:szCs w:val="21"/>
              </w:rPr>
            </w:pPr>
            <w:r>
              <w:rPr>
                <w:rFonts w:hint="eastAsia" w:ascii="宋体" w:hAnsi="宋体" w:cs="宋体"/>
                <w:color w:val="auto"/>
                <w:szCs w:val="21"/>
              </w:rPr>
              <w:t>技术要求</w:t>
            </w:r>
          </w:p>
        </w:tc>
        <w:tc>
          <w:tcPr>
            <w:tcW w:w="825" w:type="dxa"/>
            <w:vAlign w:val="center"/>
          </w:tcPr>
          <w:p>
            <w:pPr>
              <w:pStyle w:val="98"/>
              <w:ind w:firstLine="0" w:firstLineChars="0"/>
              <w:jc w:val="center"/>
              <w:rPr>
                <w:rFonts w:ascii="宋体" w:hAnsi="宋体" w:cs="宋体"/>
                <w:b/>
                <w:bCs/>
                <w:color w:val="auto"/>
                <w:szCs w:val="21"/>
              </w:rPr>
            </w:pPr>
            <w:r>
              <w:rPr>
                <w:rFonts w:hint="eastAsia" w:ascii="宋体" w:hAnsi="宋体" w:cs="宋体"/>
                <w:color w:val="auto"/>
                <w:szCs w:val="21"/>
              </w:rPr>
              <w:t>单位</w:t>
            </w:r>
          </w:p>
        </w:tc>
        <w:tc>
          <w:tcPr>
            <w:tcW w:w="816" w:type="dxa"/>
            <w:vAlign w:val="center"/>
          </w:tcPr>
          <w:p>
            <w:pPr>
              <w:pStyle w:val="98"/>
              <w:ind w:firstLine="0" w:firstLineChars="0"/>
              <w:jc w:val="center"/>
              <w:rPr>
                <w:rFonts w:ascii="宋体" w:hAnsi="宋体" w:cs="宋体"/>
                <w:color w:val="auto"/>
                <w:szCs w:val="21"/>
              </w:rPr>
            </w:pPr>
            <w:r>
              <w:rPr>
                <w:rFonts w:hint="eastAsia" w:ascii="宋体" w:hAnsi="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98"/>
              <w:ind w:firstLine="0" w:firstLineChars="0"/>
              <w:jc w:val="center"/>
              <w:rPr>
                <w:rFonts w:ascii="宋体" w:hAnsi="宋体" w:cs="宋体"/>
                <w:color w:val="auto"/>
                <w:szCs w:val="21"/>
              </w:rPr>
            </w:pPr>
            <w:r>
              <w:rPr>
                <w:rFonts w:hint="eastAsia" w:ascii="宋体" w:hAnsi="宋体" w:cs="宋体"/>
                <w:b/>
                <w:bCs/>
                <w:color w:val="auto"/>
                <w:szCs w:val="21"/>
              </w:rPr>
              <w:t>一</w:t>
            </w:r>
          </w:p>
        </w:tc>
        <w:tc>
          <w:tcPr>
            <w:tcW w:w="8279" w:type="dxa"/>
            <w:gridSpan w:val="4"/>
            <w:vAlign w:val="center"/>
          </w:tcPr>
          <w:p>
            <w:pPr>
              <w:pStyle w:val="98"/>
              <w:ind w:firstLine="0" w:firstLineChars="0"/>
              <w:jc w:val="center"/>
              <w:rPr>
                <w:rFonts w:ascii="宋体" w:hAnsi="宋体" w:cs="宋体"/>
                <w:color w:val="auto"/>
                <w:szCs w:val="21"/>
              </w:rPr>
            </w:pPr>
            <w:r>
              <w:rPr>
                <w:rFonts w:hint="eastAsia" w:ascii="宋体" w:hAnsi="宋体" w:cs="宋体"/>
                <w:b/>
                <w:bCs/>
                <w:color w:val="auto"/>
                <w:szCs w:val="21"/>
              </w:rPr>
              <w:t>高温蒸汽灭菌系统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98"/>
              <w:ind w:firstLine="0" w:firstLineChars="0"/>
              <w:jc w:val="center"/>
              <w:rPr>
                <w:rFonts w:ascii="宋体" w:hAnsi="宋体" w:cs="宋体"/>
                <w:color w:val="auto"/>
                <w:kern w:val="0"/>
                <w:szCs w:val="21"/>
              </w:rPr>
            </w:pPr>
            <w:r>
              <w:rPr>
                <w:rFonts w:hint="eastAsia" w:ascii="宋体" w:hAnsi="宋体" w:cs="宋体"/>
                <w:bCs/>
                <w:color w:val="auto"/>
                <w:szCs w:val="21"/>
              </w:rPr>
              <w:t>1.1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医疗废物高温蒸汽灭菌器</w:t>
            </w:r>
          </w:p>
        </w:tc>
        <w:tc>
          <w:tcPr>
            <w:tcW w:w="5050" w:type="dxa"/>
            <w:vAlign w:val="center"/>
          </w:tcPr>
          <w:p>
            <w:pPr>
              <w:rPr>
                <w:rFonts w:ascii="宋体" w:hAnsi="宋体" w:cs="宋体"/>
                <w:color w:val="auto"/>
                <w:szCs w:val="21"/>
              </w:rPr>
            </w:pPr>
            <w:r>
              <w:rPr>
                <w:rFonts w:hint="eastAsia" w:ascii="宋体" w:hAnsi="宋体" w:cs="宋体"/>
                <w:color w:val="auto"/>
                <w:szCs w:val="21"/>
              </w:rPr>
              <w:t>★1）处理量≥4t/d/台（每天16小时运行）。</w:t>
            </w:r>
          </w:p>
          <w:p>
            <w:pPr>
              <w:rPr>
                <w:rFonts w:ascii="宋体" w:hAnsi="宋体" w:cs="宋体"/>
                <w:color w:val="auto"/>
                <w:szCs w:val="21"/>
              </w:rPr>
            </w:pPr>
            <w:r>
              <w:rPr>
                <w:rFonts w:hint="eastAsia" w:ascii="宋体" w:hAnsi="宋体" w:cs="宋体"/>
                <w:color w:val="auto"/>
                <w:szCs w:val="21"/>
              </w:rPr>
              <w:t>★2）灭菌温度≥134℃，灭菌压力≥220Kpa（表压），灭菌时间≥45分钟。</w:t>
            </w:r>
          </w:p>
          <w:p>
            <w:pPr>
              <w:rPr>
                <w:rFonts w:ascii="宋体" w:hAnsi="宋体" w:cs="宋体"/>
                <w:color w:val="auto"/>
                <w:szCs w:val="21"/>
              </w:rPr>
            </w:pPr>
            <w:r>
              <w:rPr>
                <w:rFonts w:hint="eastAsia" w:ascii="宋体" w:hAnsi="宋体" w:cs="宋体"/>
                <w:color w:val="auto"/>
                <w:szCs w:val="21"/>
              </w:rPr>
              <w:t>★3）主体结构应为矩形卧式带夹层，内室材质应不低于316L不锈钢，厚度≥8mm。</w:t>
            </w:r>
          </w:p>
          <w:p>
            <w:pPr>
              <w:rPr>
                <w:rFonts w:ascii="宋体" w:hAnsi="宋体" w:cs="宋体"/>
                <w:color w:val="auto"/>
                <w:szCs w:val="21"/>
              </w:rPr>
            </w:pPr>
            <w:r>
              <w:rPr>
                <w:rFonts w:hint="eastAsia" w:ascii="宋体" w:hAnsi="宋体" w:cs="宋体"/>
                <w:color w:val="auto"/>
                <w:szCs w:val="21"/>
              </w:rPr>
              <w:t>4）主体外表面应采用优质保温材料包裹，保温隔热。</w:t>
            </w:r>
          </w:p>
          <w:p>
            <w:pPr>
              <w:rPr>
                <w:rFonts w:ascii="宋体" w:hAnsi="宋体" w:cs="宋体"/>
                <w:color w:val="auto"/>
                <w:szCs w:val="21"/>
              </w:rPr>
            </w:pPr>
            <w:r>
              <w:rPr>
                <w:rFonts w:hint="eastAsia" w:ascii="宋体" w:hAnsi="宋体" w:cs="宋体"/>
                <w:color w:val="auto"/>
                <w:szCs w:val="21"/>
              </w:rPr>
              <w:t>5）设备进料口和出料口应分开设置（前后门分开设置），密封门材质应不低于304不锈钢，密封形式应采用气动密封结构。</w:t>
            </w:r>
          </w:p>
          <w:p>
            <w:pPr>
              <w:rPr>
                <w:rFonts w:ascii="宋体" w:hAnsi="宋体" w:cs="宋体"/>
                <w:color w:val="auto"/>
                <w:szCs w:val="21"/>
              </w:rPr>
            </w:pPr>
            <w:r>
              <w:rPr>
                <w:rFonts w:hint="eastAsia" w:ascii="宋体" w:hAnsi="宋体" w:cs="宋体"/>
                <w:color w:val="auto"/>
                <w:szCs w:val="21"/>
              </w:rPr>
              <w:t>6）密封门上应装有安全联锁装置，当门没有关闭、密封时，不会对灭菌室进行加热升温、升压；灭菌室压力没有完全释放时，密封门不能开启。</w:t>
            </w:r>
          </w:p>
          <w:p>
            <w:pPr>
              <w:rPr>
                <w:rFonts w:ascii="宋体" w:hAnsi="宋体" w:cs="宋体"/>
                <w:color w:val="auto"/>
                <w:szCs w:val="21"/>
              </w:rPr>
            </w:pPr>
            <w:r>
              <w:rPr>
                <w:rFonts w:hint="eastAsia" w:ascii="宋体" w:hAnsi="宋体" w:cs="宋体"/>
                <w:color w:val="auto"/>
                <w:szCs w:val="21"/>
              </w:rPr>
              <w:t>7）抽真空形式应采用脉动真空形式，真空泵应采用水环式真空泵，脉动次数≥3次（可调），灭菌室内冷空气排除率≥98%。</w:t>
            </w:r>
          </w:p>
          <w:p>
            <w:pPr>
              <w:rPr>
                <w:rFonts w:ascii="宋体" w:hAnsi="宋体" w:cs="宋体"/>
                <w:color w:val="auto"/>
                <w:szCs w:val="21"/>
              </w:rPr>
            </w:pPr>
            <w:r>
              <w:rPr>
                <w:rFonts w:hint="eastAsia" w:ascii="宋体" w:hAnsi="宋体" w:cs="宋体"/>
                <w:color w:val="auto"/>
                <w:szCs w:val="21"/>
              </w:rPr>
              <w:t>8）过滤装置应采用疏水性介孔材料，满足耐温要求，过滤孔径≤0.2μm，微生物、挥发性有机物（VOCs）等污染物的去除率≥99.99％。</w:t>
            </w:r>
          </w:p>
          <w:p>
            <w:pPr>
              <w:rPr>
                <w:rFonts w:ascii="宋体" w:hAnsi="宋体" w:cs="宋体"/>
                <w:color w:val="auto"/>
                <w:szCs w:val="21"/>
              </w:rPr>
            </w:pPr>
            <w:r>
              <w:rPr>
                <w:rFonts w:hint="eastAsia" w:ascii="宋体" w:hAnsi="宋体" w:cs="宋体"/>
                <w:color w:val="auto"/>
                <w:szCs w:val="21"/>
              </w:rPr>
              <w:t>9）设备应装有安全阀，在达到设定压力时或在设备工作过程中出现故障时可自动打开进行泄压。</w:t>
            </w:r>
          </w:p>
          <w:p>
            <w:pPr>
              <w:rPr>
                <w:rFonts w:ascii="宋体" w:hAnsi="宋体" w:cs="宋体"/>
                <w:color w:val="auto"/>
                <w:szCs w:val="21"/>
              </w:rPr>
            </w:pPr>
            <w:r>
              <w:rPr>
                <w:rFonts w:hint="eastAsia" w:ascii="宋体" w:hAnsi="宋体" w:cs="宋体"/>
                <w:color w:val="auto"/>
                <w:szCs w:val="21"/>
              </w:rPr>
              <w:t>10）管路管件应采用304不锈钢，各焊接处和接头的密闭性均应能满足设备加压和抽真空的要求。</w:t>
            </w:r>
          </w:p>
          <w:p>
            <w:pPr>
              <w:rPr>
                <w:rFonts w:ascii="宋体" w:hAnsi="宋体" w:cs="宋体"/>
                <w:color w:val="auto"/>
                <w:szCs w:val="21"/>
              </w:rPr>
            </w:pPr>
            <w:r>
              <w:rPr>
                <w:rFonts w:hint="eastAsia" w:ascii="宋体" w:hAnsi="宋体" w:cs="宋体"/>
                <w:color w:val="auto"/>
                <w:szCs w:val="21"/>
              </w:rPr>
              <w:t>11）设备设计、制造、监督检验、检测和使用均应符合有关压力容器的安全标准要求和国家有关规定，技术要求应完全符合《医疗废物高温蒸汽集中处置技术规范》（试行）（HJT 276－2006）。</w:t>
            </w:r>
          </w:p>
          <w:p>
            <w:pPr>
              <w:rPr>
                <w:rFonts w:ascii="宋体" w:hAnsi="宋体" w:cs="宋体"/>
                <w:color w:val="auto"/>
                <w:szCs w:val="21"/>
              </w:rPr>
            </w:pPr>
            <w:r>
              <w:rPr>
                <w:rFonts w:hint="eastAsia" w:ascii="宋体" w:hAnsi="宋体" w:cs="宋体"/>
                <w:color w:val="auto"/>
                <w:szCs w:val="21"/>
              </w:rPr>
              <w:t>12）控制系统应采用PLC可编程控制器，对整个处理过程进行自动控制。</w:t>
            </w:r>
          </w:p>
          <w:p>
            <w:pPr>
              <w:rPr>
                <w:rFonts w:ascii="宋体" w:hAnsi="宋体" w:cs="宋体"/>
                <w:color w:val="auto"/>
                <w:szCs w:val="21"/>
              </w:rPr>
            </w:pPr>
            <w:r>
              <w:rPr>
                <w:rFonts w:hint="eastAsia" w:ascii="宋体" w:hAnsi="宋体" w:cs="宋体"/>
                <w:color w:val="auto"/>
                <w:szCs w:val="21"/>
              </w:rPr>
              <w:t>13）控制系统应具有但不限于的功能：</w:t>
            </w:r>
          </w:p>
          <w:p>
            <w:pPr>
              <w:rPr>
                <w:rFonts w:ascii="宋体" w:hAnsi="宋体" w:cs="宋体"/>
                <w:color w:val="auto"/>
                <w:szCs w:val="21"/>
              </w:rPr>
            </w:pPr>
            <w:r>
              <w:rPr>
                <w:rFonts w:hint="eastAsia" w:ascii="宋体" w:hAnsi="宋体" w:cs="宋体"/>
                <w:color w:val="auto"/>
                <w:szCs w:val="21"/>
              </w:rPr>
              <w:t>①空气排除效果、设备密封性能及灭菌质量自检功能；</w:t>
            </w:r>
          </w:p>
          <w:p>
            <w:pPr>
              <w:rPr>
                <w:rFonts w:ascii="宋体" w:hAnsi="宋体" w:cs="宋体"/>
                <w:color w:val="auto"/>
                <w:szCs w:val="21"/>
              </w:rPr>
            </w:pPr>
            <w:r>
              <w:rPr>
                <w:rFonts w:hint="eastAsia" w:ascii="宋体" w:hAnsi="宋体" w:cs="宋体"/>
                <w:color w:val="auto"/>
                <w:szCs w:val="21"/>
              </w:rPr>
              <w:t>②处理过程状态实时显示功能；</w:t>
            </w:r>
          </w:p>
          <w:p>
            <w:pPr>
              <w:rPr>
                <w:rFonts w:ascii="宋体" w:hAnsi="宋体" w:cs="宋体"/>
                <w:color w:val="auto"/>
                <w:szCs w:val="21"/>
              </w:rPr>
            </w:pPr>
            <w:r>
              <w:rPr>
                <w:rFonts w:hint="eastAsia" w:ascii="宋体" w:hAnsi="宋体" w:cs="宋体"/>
                <w:color w:val="auto"/>
                <w:szCs w:val="21"/>
              </w:rPr>
              <w:t>③运行过程中主要参数值的实时显示、记录、保存及打印功能；</w:t>
            </w:r>
          </w:p>
          <w:p>
            <w:pPr>
              <w:rPr>
                <w:rFonts w:ascii="宋体" w:hAnsi="宋体" w:cs="宋体"/>
                <w:color w:val="auto"/>
                <w:szCs w:val="21"/>
              </w:rPr>
            </w:pPr>
            <w:r>
              <w:rPr>
                <w:rFonts w:hint="eastAsia" w:ascii="宋体" w:hAnsi="宋体" w:cs="宋体"/>
                <w:color w:val="auto"/>
                <w:szCs w:val="21"/>
              </w:rPr>
              <w:t>④人工操作模式功能，且在人工操作模式下，不可简化或回避任何处理环节；</w:t>
            </w:r>
          </w:p>
          <w:p>
            <w:pPr>
              <w:rPr>
                <w:rFonts w:ascii="宋体" w:hAnsi="宋体" w:cs="宋体"/>
                <w:color w:val="auto"/>
                <w:szCs w:val="21"/>
              </w:rPr>
            </w:pPr>
            <w:r>
              <w:rPr>
                <w:rFonts w:hint="eastAsia" w:ascii="宋体" w:hAnsi="宋体" w:cs="宋体"/>
                <w:color w:val="auto"/>
                <w:szCs w:val="21"/>
              </w:rPr>
              <w:t>⑤操作号的记录功能及三级密码管理制度功能；</w:t>
            </w:r>
          </w:p>
          <w:p>
            <w:pPr>
              <w:rPr>
                <w:rFonts w:ascii="宋体" w:hAnsi="宋体" w:cs="宋体"/>
                <w:color w:val="auto"/>
                <w:szCs w:val="21"/>
              </w:rPr>
            </w:pPr>
            <w:r>
              <w:rPr>
                <w:rFonts w:hint="eastAsia" w:ascii="宋体" w:hAnsi="宋体" w:cs="宋体"/>
                <w:color w:val="auto"/>
                <w:szCs w:val="21"/>
              </w:rPr>
              <w:t>⑥处理参数修改限制功能；</w:t>
            </w:r>
          </w:p>
          <w:p>
            <w:pPr>
              <w:rPr>
                <w:rFonts w:ascii="宋体" w:hAnsi="宋体" w:cs="宋体"/>
                <w:color w:val="auto"/>
                <w:szCs w:val="21"/>
              </w:rPr>
            </w:pPr>
            <w:r>
              <w:rPr>
                <w:rFonts w:hint="eastAsia" w:ascii="宋体" w:hAnsi="宋体" w:cs="宋体"/>
                <w:color w:val="auto"/>
                <w:szCs w:val="21"/>
              </w:rPr>
              <w:t>⑦应急保护功能；</w:t>
            </w:r>
          </w:p>
          <w:p>
            <w:pPr>
              <w:rPr>
                <w:rFonts w:ascii="宋体" w:hAnsi="宋体" w:cs="宋体"/>
                <w:color w:val="auto"/>
                <w:szCs w:val="21"/>
              </w:rPr>
            </w:pPr>
            <w:r>
              <w:rPr>
                <w:rFonts w:hint="eastAsia" w:ascii="宋体" w:hAnsi="宋体" w:cs="宋体"/>
                <w:color w:val="auto"/>
                <w:szCs w:val="21"/>
              </w:rPr>
              <w:t>⑧远程监控、自动控制和操作功能；</w:t>
            </w:r>
          </w:p>
          <w:p>
            <w:pPr>
              <w:rPr>
                <w:rFonts w:ascii="宋体" w:hAnsi="宋体" w:cs="宋体"/>
                <w:color w:val="auto"/>
                <w:szCs w:val="21"/>
              </w:rPr>
            </w:pPr>
            <w:r>
              <w:rPr>
                <w:rFonts w:hint="eastAsia" w:ascii="宋体" w:hAnsi="宋体" w:cs="宋体"/>
                <w:color w:val="auto"/>
                <w:szCs w:val="21"/>
              </w:rPr>
              <w:t>⑨控制精度：温度的控制精度≤±0.5℃,压力控制精度≤±1.6%,时间控制精度≤±1%。</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ind w:firstLine="210" w:firstLineChars="100"/>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98"/>
              <w:ind w:firstLine="0" w:firstLineChars="0"/>
              <w:jc w:val="center"/>
              <w:rPr>
                <w:rFonts w:ascii="宋体" w:hAnsi="宋体" w:cs="宋体"/>
                <w:color w:val="auto"/>
                <w:kern w:val="0"/>
                <w:szCs w:val="21"/>
              </w:rPr>
            </w:pPr>
            <w:r>
              <w:rPr>
                <w:rFonts w:hint="eastAsia" w:ascii="宋体" w:hAnsi="宋体" w:cs="宋体"/>
                <w:bCs/>
                <w:color w:val="auto"/>
                <w:szCs w:val="21"/>
              </w:rPr>
              <w:t>1.2</w:t>
            </w:r>
          </w:p>
        </w:tc>
        <w:tc>
          <w:tcPr>
            <w:tcW w:w="1588" w:type="dxa"/>
            <w:vAlign w:val="center"/>
          </w:tcPr>
          <w:p>
            <w:pPr>
              <w:jc w:val="center"/>
              <w:rPr>
                <w:rFonts w:ascii="宋体" w:hAnsi="宋体" w:cs="宋体"/>
                <w:color w:val="auto"/>
                <w:szCs w:val="21"/>
              </w:rPr>
            </w:pPr>
            <w:r>
              <w:rPr>
                <w:rFonts w:hint="eastAsia" w:ascii="宋体" w:hAnsi="宋体" w:cs="宋体"/>
                <w:bCs/>
                <w:color w:val="auto"/>
                <w:szCs w:val="21"/>
              </w:rPr>
              <w:t>灭菌小车</w:t>
            </w:r>
          </w:p>
        </w:tc>
        <w:tc>
          <w:tcPr>
            <w:tcW w:w="5050" w:type="dxa"/>
            <w:vAlign w:val="center"/>
          </w:tcPr>
          <w:p>
            <w:pPr>
              <w:rPr>
                <w:rFonts w:ascii="宋体" w:hAnsi="宋体" w:cs="宋体"/>
                <w:color w:val="auto"/>
                <w:szCs w:val="21"/>
              </w:rPr>
            </w:pPr>
            <w:r>
              <w:rPr>
                <w:rFonts w:hint="eastAsia" w:ascii="宋体" w:hAnsi="宋体" w:cs="宋体"/>
                <w:color w:val="auto"/>
                <w:szCs w:val="21"/>
              </w:rPr>
              <w:t>1）应采用全不锈钢结构，材质不低于304不锈钢，厚度为≥3mm，容积≥0.54m</w:t>
            </w:r>
            <w:r>
              <w:rPr>
                <w:rFonts w:hint="eastAsia" w:ascii="宋体" w:hAnsi="宋体" w:cs="宋体"/>
                <w:color w:val="auto"/>
                <w:szCs w:val="21"/>
                <w:vertAlign w:val="superscript"/>
              </w:rPr>
              <w:t>3</w:t>
            </w:r>
            <w:r>
              <w:rPr>
                <w:rFonts w:hint="eastAsia" w:ascii="宋体" w:hAnsi="宋体" w:cs="宋体"/>
                <w:color w:val="auto"/>
                <w:szCs w:val="21"/>
              </w:rPr>
              <w:t>，可承受蒸汽处理过程中的温度和压力变化。</w:t>
            </w:r>
          </w:p>
          <w:p>
            <w:pPr>
              <w:rPr>
                <w:rFonts w:ascii="宋体" w:hAnsi="宋体" w:cs="宋体"/>
                <w:color w:val="auto"/>
                <w:szCs w:val="21"/>
              </w:rPr>
            </w:pPr>
            <w:r>
              <w:rPr>
                <w:rFonts w:hint="eastAsia" w:ascii="宋体" w:hAnsi="宋体" w:cs="宋体"/>
                <w:color w:val="auto"/>
                <w:szCs w:val="21"/>
              </w:rPr>
              <w:t>2）应有防止医疗垃圾黏连内壁的有效措施 。</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jc w:val="center"/>
              <w:rPr>
                <w:rFonts w:ascii="宋体" w:hAnsi="宋体" w:cs="宋体"/>
                <w:color w:val="auto"/>
                <w:szCs w:val="21"/>
              </w:rPr>
            </w:pPr>
            <w:r>
              <w:rPr>
                <w:rFonts w:hint="eastAsia" w:ascii="宋体" w:hAnsi="宋体" w:cs="宋体"/>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b/>
                <w:bCs/>
                <w:color w:val="auto"/>
                <w:szCs w:val="21"/>
              </w:rPr>
              <w:t>二</w:t>
            </w:r>
          </w:p>
        </w:tc>
        <w:tc>
          <w:tcPr>
            <w:tcW w:w="8279" w:type="dxa"/>
            <w:gridSpan w:val="4"/>
            <w:vAlign w:val="center"/>
          </w:tcPr>
          <w:p>
            <w:pPr>
              <w:widowControl/>
              <w:jc w:val="left"/>
              <w:rPr>
                <w:rFonts w:ascii="宋体" w:hAnsi="宋体" w:cs="宋体"/>
                <w:color w:val="auto"/>
                <w:szCs w:val="21"/>
              </w:rPr>
            </w:pPr>
            <w:r>
              <w:rPr>
                <w:rFonts w:hint="eastAsia" w:ascii="宋体" w:hAnsi="宋体" w:cs="宋体"/>
                <w:b/>
                <w:bCs/>
                <w:color w:val="auto"/>
                <w:szCs w:val="21"/>
              </w:rPr>
              <w:t>周转箱自动搬运清洗系统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2.1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直线输送单元</w:t>
            </w:r>
          </w:p>
        </w:tc>
        <w:tc>
          <w:tcPr>
            <w:tcW w:w="5050" w:type="dxa"/>
            <w:vAlign w:val="center"/>
          </w:tcPr>
          <w:p>
            <w:pPr>
              <w:rPr>
                <w:rFonts w:ascii="宋体" w:hAnsi="宋体" w:cs="宋体"/>
                <w:color w:val="auto"/>
                <w:szCs w:val="21"/>
              </w:rPr>
            </w:pPr>
            <w:r>
              <w:rPr>
                <w:rFonts w:hint="eastAsia" w:ascii="宋体" w:hAnsi="宋体" w:cs="宋体"/>
                <w:color w:val="auto"/>
                <w:szCs w:val="21"/>
              </w:rPr>
              <w:t>直线输送单元主要用于周转箱的直线输送，采用链式传动，整个过程自动完成，无需人工干预。</w:t>
            </w:r>
          </w:p>
          <w:p>
            <w:pPr>
              <w:rPr>
                <w:rFonts w:ascii="宋体" w:hAnsi="宋体" w:cs="宋体"/>
                <w:color w:val="auto"/>
                <w:szCs w:val="21"/>
              </w:rPr>
            </w:pPr>
            <w:r>
              <w:rPr>
                <w:rFonts w:hint="eastAsia" w:ascii="宋体" w:hAnsi="宋体" w:cs="宋体"/>
                <w:color w:val="auto"/>
                <w:szCs w:val="21"/>
              </w:rPr>
              <w:t>输送电机功率：≤0.2kw</w:t>
            </w:r>
          </w:p>
          <w:p>
            <w:pPr>
              <w:rPr>
                <w:rFonts w:ascii="宋体" w:hAnsi="宋体" w:cs="宋体"/>
                <w:color w:val="auto"/>
                <w:szCs w:val="21"/>
              </w:rPr>
            </w:pPr>
            <w:r>
              <w:rPr>
                <w:rFonts w:hint="eastAsia" w:ascii="宋体" w:hAnsi="宋体" w:cs="宋体"/>
                <w:color w:val="auto"/>
                <w:szCs w:val="21"/>
              </w:rPr>
              <w:t>额定最高输送速度：≥11m/min</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2.2</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往复升降机</w:t>
            </w:r>
          </w:p>
        </w:tc>
        <w:tc>
          <w:tcPr>
            <w:tcW w:w="5050" w:type="dxa"/>
            <w:vAlign w:val="center"/>
          </w:tcPr>
          <w:p>
            <w:pPr>
              <w:rPr>
                <w:rFonts w:ascii="宋体" w:hAnsi="宋体" w:cs="宋体"/>
                <w:color w:val="auto"/>
                <w:szCs w:val="21"/>
              </w:rPr>
            </w:pPr>
            <w:r>
              <w:rPr>
                <w:rFonts w:hint="eastAsia" w:ascii="宋体" w:hAnsi="宋体" w:cs="宋体"/>
                <w:color w:val="auto"/>
                <w:szCs w:val="21"/>
              </w:rPr>
              <w:t>往复升降机主要用于周转箱提升或降落，满足工位不同高度的需求，采用链式传动，整个过程自动完成，无需人工干预。</w:t>
            </w:r>
          </w:p>
          <w:p>
            <w:pPr>
              <w:rPr>
                <w:rFonts w:ascii="宋体" w:hAnsi="宋体" w:cs="宋体"/>
                <w:color w:val="auto"/>
                <w:szCs w:val="21"/>
              </w:rPr>
            </w:pPr>
            <w:r>
              <w:rPr>
                <w:rFonts w:hint="eastAsia" w:ascii="宋体" w:hAnsi="宋体" w:cs="宋体"/>
                <w:color w:val="auto"/>
                <w:szCs w:val="21"/>
              </w:rPr>
              <w:t>输送电机功率：≤0.4kw</w:t>
            </w:r>
          </w:p>
          <w:p>
            <w:pPr>
              <w:rPr>
                <w:rFonts w:ascii="宋体" w:hAnsi="宋体" w:cs="宋体"/>
                <w:color w:val="auto"/>
                <w:szCs w:val="21"/>
              </w:rPr>
            </w:pPr>
            <w:r>
              <w:rPr>
                <w:rFonts w:hint="eastAsia" w:ascii="宋体" w:hAnsi="宋体" w:cs="宋体"/>
                <w:color w:val="auto"/>
                <w:szCs w:val="21"/>
              </w:rPr>
              <w:t>提升电机功率：≤0.4kw</w:t>
            </w:r>
          </w:p>
          <w:p>
            <w:pPr>
              <w:rPr>
                <w:rFonts w:ascii="宋体" w:hAnsi="宋体" w:cs="宋体"/>
                <w:color w:val="auto"/>
                <w:szCs w:val="21"/>
              </w:rPr>
            </w:pPr>
            <w:r>
              <w:rPr>
                <w:rFonts w:hint="eastAsia" w:ascii="宋体" w:hAnsi="宋体" w:cs="宋体"/>
                <w:color w:val="auto"/>
                <w:szCs w:val="21"/>
              </w:rPr>
              <w:t>额定最高输送速度：≥11m/min</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ind w:firstLine="210" w:firstLineChars="100"/>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2.3</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液压快速上料机</w:t>
            </w:r>
          </w:p>
        </w:tc>
        <w:tc>
          <w:tcPr>
            <w:tcW w:w="5050" w:type="dxa"/>
            <w:vAlign w:val="center"/>
          </w:tcPr>
          <w:p>
            <w:pPr>
              <w:rPr>
                <w:rFonts w:ascii="宋体" w:hAnsi="宋体" w:cs="宋体"/>
                <w:color w:val="auto"/>
                <w:szCs w:val="21"/>
              </w:rPr>
            </w:pPr>
            <w:r>
              <w:rPr>
                <w:rFonts w:hint="eastAsia" w:ascii="宋体" w:hAnsi="宋体" w:cs="宋体"/>
                <w:color w:val="auto"/>
                <w:szCs w:val="21"/>
              </w:rPr>
              <w:t>液压快速上料机对周转箱进行提升旋转，实现物料的倾倒。周转箱在升降过程被锁紧机构牢牢夹紧，可靠性极高，当周转箱提升到极限位置时，机构对箱体施加一冲击力，将箱体内物料完全倾倒入压料机料仓及灭菌车内，往复时间在20S以内，整个倒料过程实现完全自动化。</w:t>
            </w:r>
          </w:p>
          <w:p>
            <w:pPr>
              <w:rPr>
                <w:rFonts w:ascii="宋体" w:hAnsi="宋体" w:cs="宋体"/>
                <w:color w:val="auto"/>
                <w:szCs w:val="21"/>
              </w:rPr>
            </w:pPr>
            <w:r>
              <w:rPr>
                <w:rFonts w:hint="eastAsia" w:ascii="宋体" w:hAnsi="宋体" w:cs="宋体"/>
                <w:color w:val="auto"/>
                <w:szCs w:val="21"/>
              </w:rPr>
              <w:t>提升内容：满足400×500×600mm周转箱尺寸</w:t>
            </w:r>
          </w:p>
          <w:p>
            <w:pPr>
              <w:rPr>
                <w:rFonts w:ascii="宋体" w:hAnsi="宋体" w:cs="宋体"/>
                <w:color w:val="auto"/>
                <w:szCs w:val="21"/>
              </w:rPr>
            </w:pPr>
            <w:r>
              <w:rPr>
                <w:rFonts w:hint="eastAsia" w:ascii="宋体" w:hAnsi="宋体" w:cs="宋体"/>
                <w:color w:val="auto"/>
                <w:szCs w:val="21"/>
              </w:rPr>
              <w:t>液压缸缸径：≥50mm</w:t>
            </w:r>
          </w:p>
          <w:p>
            <w:pPr>
              <w:rPr>
                <w:rFonts w:ascii="宋体" w:hAnsi="宋体" w:cs="宋体"/>
                <w:color w:val="auto"/>
                <w:szCs w:val="21"/>
              </w:rPr>
            </w:pPr>
            <w:r>
              <w:rPr>
                <w:rFonts w:hint="eastAsia" w:ascii="宋体" w:hAnsi="宋体" w:cs="宋体"/>
                <w:color w:val="auto"/>
                <w:szCs w:val="21"/>
              </w:rPr>
              <w:t>往复时间：≤20S</w:t>
            </w:r>
          </w:p>
          <w:p>
            <w:pPr>
              <w:rPr>
                <w:rFonts w:ascii="宋体" w:hAnsi="宋体" w:cs="宋体"/>
                <w:color w:val="auto"/>
                <w:szCs w:val="21"/>
              </w:rPr>
            </w:pPr>
            <w:r>
              <w:rPr>
                <w:rFonts w:hint="eastAsia" w:ascii="宋体" w:hAnsi="宋体" w:cs="宋体"/>
                <w:color w:val="auto"/>
                <w:szCs w:val="21"/>
              </w:rPr>
              <w:t>功率：≤6kw</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ind w:firstLine="210" w:firstLineChars="100"/>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2.4</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气动翻转机</w:t>
            </w:r>
          </w:p>
        </w:tc>
        <w:tc>
          <w:tcPr>
            <w:tcW w:w="5050" w:type="dxa"/>
            <w:vAlign w:val="center"/>
          </w:tcPr>
          <w:p>
            <w:pPr>
              <w:rPr>
                <w:rFonts w:ascii="宋体" w:hAnsi="宋体" w:cs="宋体"/>
                <w:color w:val="auto"/>
                <w:szCs w:val="21"/>
              </w:rPr>
            </w:pPr>
            <w:r>
              <w:rPr>
                <w:rFonts w:hint="eastAsia" w:ascii="宋体" w:hAnsi="宋体" w:cs="宋体"/>
                <w:color w:val="auto"/>
                <w:szCs w:val="21"/>
              </w:rPr>
              <w:t>气动翻转机在传输线上实现将空的周转箱翻转180°，以便于周转箱在自动清洗机内的清洗，结构紧凑、运行平稳、定位准确、维修方便。</w:t>
            </w:r>
          </w:p>
          <w:p>
            <w:pPr>
              <w:rPr>
                <w:rFonts w:ascii="宋体" w:hAnsi="宋体" w:cs="宋体"/>
                <w:color w:val="auto"/>
                <w:szCs w:val="21"/>
              </w:rPr>
            </w:pPr>
            <w:r>
              <w:rPr>
                <w:rFonts w:hint="eastAsia" w:ascii="宋体" w:hAnsi="宋体" w:cs="宋体"/>
                <w:color w:val="auto"/>
                <w:szCs w:val="21"/>
              </w:rPr>
              <w:t>气缸数量：3（升降气缸、夹紧气缸、翻转气缸）</w:t>
            </w:r>
          </w:p>
          <w:p>
            <w:pPr>
              <w:rPr>
                <w:rFonts w:ascii="宋体" w:hAnsi="宋体" w:cs="宋体"/>
                <w:color w:val="auto"/>
                <w:szCs w:val="21"/>
              </w:rPr>
            </w:pPr>
            <w:r>
              <w:rPr>
                <w:rFonts w:hint="eastAsia" w:ascii="宋体" w:hAnsi="宋体" w:cs="宋体"/>
                <w:color w:val="auto"/>
                <w:szCs w:val="21"/>
              </w:rPr>
              <w:t>升降气缸缸径：≥40mm</w:t>
            </w:r>
          </w:p>
          <w:p>
            <w:pPr>
              <w:rPr>
                <w:rFonts w:ascii="宋体" w:hAnsi="宋体" w:cs="宋体"/>
                <w:color w:val="auto"/>
                <w:szCs w:val="21"/>
              </w:rPr>
            </w:pPr>
            <w:r>
              <w:rPr>
                <w:rFonts w:hint="eastAsia" w:ascii="宋体" w:hAnsi="宋体" w:cs="宋体"/>
                <w:color w:val="auto"/>
                <w:szCs w:val="21"/>
              </w:rPr>
              <w:t>升降气缸行程：≥300mm</w:t>
            </w:r>
          </w:p>
          <w:p>
            <w:pPr>
              <w:rPr>
                <w:rFonts w:ascii="宋体" w:hAnsi="宋体" w:cs="宋体"/>
                <w:color w:val="auto"/>
                <w:szCs w:val="21"/>
              </w:rPr>
            </w:pPr>
            <w:r>
              <w:rPr>
                <w:rFonts w:hint="eastAsia" w:ascii="宋体" w:hAnsi="宋体" w:cs="宋体"/>
                <w:color w:val="auto"/>
                <w:szCs w:val="21"/>
              </w:rPr>
              <w:t>夹紧气缸缸径：≥25mm</w:t>
            </w:r>
          </w:p>
          <w:p>
            <w:pPr>
              <w:rPr>
                <w:rFonts w:ascii="宋体" w:hAnsi="宋体" w:cs="宋体"/>
                <w:color w:val="auto"/>
                <w:szCs w:val="21"/>
              </w:rPr>
            </w:pPr>
            <w:r>
              <w:rPr>
                <w:rFonts w:hint="eastAsia" w:ascii="宋体" w:hAnsi="宋体" w:cs="宋体"/>
                <w:color w:val="auto"/>
                <w:szCs w:val="21"/>
              </w:rPr>
              <w:t>夹紧气缸行程：≥50mm</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周转箱自动清洗机</w:t>
            </w:r>
          </w:p>
        </w:tc>
        <w:tc>
          <w:tcPr>
            <w:tcW w:w="5050" w:type="dxa"/>
            <w:vAlign w:val="center"/>
          </w:tcPr>
          <w:p>
            <w:pPr>
              <w:rPr>
                <w:rFonts w:ascii="宋体" w:hAnsi="宋体" w:cs="宋体"/>
                <w:color w:val="auto"/>
                <w:szCs w:val="21"/>
              </w:rPr>
            </w:pPr>
            <w:r>
              <w:rPr>
                <w:rFonts w:hint="eastAsia" w:ascii="宋体" w:hAnsi="宋体" w:cs="宋体"/>
                <w:color w:val="auto"/>
                <w:szCs w:val="21"/>
              </w:rPr>
              <w:t>清洗机主要是由机架、外罩、水箱喷淋系统、输送系统、电气控制系统等组成，实现周转箱的自动清洗及消毒。</w:t>
            </w:r>
          </w:p>
          <w:p>
            <w:pPr>
              <w:rPr>
                <w:rFonts w:ascii="宋体" w:hAnsi="宋体" w:cs="宋体"/>
                <w:color w:val="auto"/>
                <w:szCs w:val="21"/>
              </w:rPr>
            </w:pPr>
            <w:r>
              <w:rPr>
                <w:rFonts w:hint="eastAsia" w:ascii="宋体" w:hAnsi="宋体" w:cs="宋体"/>
                <w:color w:val="auto"/>
                <w:szCs w:val="21"/>
              </w:rPr>
              <w:t>材质：不低于304不锈钢</w:t>
            </w:r>
          </w:p>
          <w:p>
            <w:pPr>
              <w:rPr>
                <w:rFonts w:ascii="宋体" w:hAnsi="宋体" w:cs="宋体"/>
                <w:color w:val="auto"/>
                <w:szCs w:val="21"/>
              </w:rPr>
            </w:pPr>
            <w:r>
              <w:rPr>
                <w:rFonts w:hint="eastAsia" w:ascii="宋体" w:hAnsi="宋体" w:cs="宋体"/>
                <w:color w:val="auto"/>
                <w:szCs w:val="21"/>
              </w:rPr>
              <w:t>传送方式：链式传动</w:t>
            </w:r>
          </w:p>
          <w:p>
            <w:pPr>
              <w:rPr>
                <w:rFonts w:ascii="宋体" w:hAnsi="宋体" w:cs="宋体"/>
                <w:color w:val="auto"/>
                <w:szCs w:val="21"/>
              </w:rPr>
            </w:pPr>
            <w:r>
              <w:rPr>
                <w:rFonts w:hint="eastAsia" w:ascii="宋体" w:hAnsi="宋体" w:cs="宋体"/>
                <w:color w:val="auto"/>
                <w:szCs w:val="21"/>
              </w:rPr>
              <w:t>传送速度：≥1.5-4.0m/min</w:t>
            </w:r>
          </w:p>
          <w:p>
            <w:pPr>
              <w:rPr>
                <w:rFonts w:ascii="宋体" w:hAnsi="宋体" w:cs="宋体"/>
                <w:color w:val="auto"/>
                <w:szCs w:val="21"/>
              </w:rPr>
            </w:pPr>
            <w:r>
              <w:rPr>
                <w:rFonts w:hint="eastAsia" w:ascii="宋体" w:hAnsi="宋体" w:cs="宋体"/>
                <w:color w:val="auto"/>
                <w:szCs w:val="21"/>
              </w:rPr>
              <w:t>通过清洗周转箱尺寸：400×500×600mm</w:t>
            </w:r>
          </w:p>
          <w:p>
            <w:pPr>
              <w:rPr>
                <w:rFonts w:ascii="宋体" w:hAnsi="宋体" w:cs="宋体"/>
                <w:color w:val="auto"/>
                <w:szCs w:val="21"/>
              </w:rPr>
            </w:pPr>
            <w:r>
              <w:rPr>
                <w:rFonts w:hint="eastAsia" w:ascii="宋体" w:hAnsi="宋体" w:cs="宋体"/>
                <w:color w:val="auto"/>
                <w:szCs w:val="21"/>
              </w:rPr>
              <w:t>水箱数量：≥2个（清洗及消毒水箱）</w:t>
            </w:r>
          </w:p>
          <w:p>
            <w:pPr>
              <w:rPr>
                <w:rFonts w:ascii="宋体" w:hAnsi="宋体" w:cs="宋体"/>
                <w:color w:val="auto"/>
                <w:szCs w:val="21"/>
              </w:rPr>
            </w:pPr>
            <w:r>
              <w:rPr>
                <w:rFonts w:hint="eastAsia" w:ascii="宋体" w:hAnsi="宋体" w:cs="宋体"/>
                <w:color w:val="auto"/>
                <w:szCs w:val="21"/>
              </w:rPr>
              <w:t>工艺流程：上料--消毒液清洗--清水冲洗---人工下料</w:t>
            </w:r>
          </w:p>
        </w:tc>
        <w:tc>
          <w:tcPr>
            <w:tcW w:w="825"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kern w:val="0"/>
                <w:szCs w:val="21"/>
              </w:rPr>
            </w:pPr>
            <w:r>
              <w:rPr>
                <w:rFonts w:hint="eastAsia" w:ascii="宋体" w:hAnsi="宋体" w:cs="宋体"/>
                <w:b/>
                <w:bCs/>
                <w:color w:val="auto"/>
                <w:szCs w:val="21"/>
              </w:rPr>
              <w:t>三</w:t>
            </w:r>
          </w:p>
        </w:tc>
        <w:tc>
          <w:tcPr>
            <w:tcW w:w="8279" w:type="dxa"/>
            <w:gridSpan w:val="4"/>
            <w:vAlign w:val="center"/>
          </w:tcPr>
          <w:p>
            <w:pPr>
              <w:widowControl/>
              <w:jc w:val="left"/>
              <w:rPr>
                <w:rFonts w:ascii="宋体" w:hAnsi="宋体" w:cs="宋体"/>
                <w:color w:val="auto"/>
                <w:szCs w:val="21"/>
              </w:rPr>
            </w:pPr>
            <w:r>
              <w:rPr>
                <w:rFonts w:hint="eastAsia" w:ascii="宋体" w:hAnsi="宋体" w:cs="宋体"/>
                <w:b/>
                <w:color w:val="auto"/>
                <w:szCs w:val="21"/>
              </w:rPr>
              <w:t>灭菌车自动搬运系统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3.1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压料机</w:t>
            </w:r>
          </w:p>
        </w:tc>
        <w:tc>
          <w:tcPr>
            <w:tcW w:w="5050" w:type="dxa"/>
            <w:vAlign w:val="center"/>
          </w:tcPr>
          <w:p>
            <w:pPr>
              <w:rPr>
                <w:rFonts w:ascii="宋体" w:hAnsi="宋体" w:cs="宋体"/>
                <w:color w:val="auto"/>
                <w:szCs w:val="21"/>
              </w:rPr>
            </w:pPr>
            <w:r>
              <w:rPr>
                <w:rFonts w:hint="eastAsia" w:ascii="宋体" w:hAnsi="宋体" w:cs="宋体"/>
                <w:color w:val="auto"/>
                <w:szCs w:val="21"/>
              </w:rPr>
              <w:t>压料机用于连接周转箱上料机和灭菌车，将倒入灭菌车内的物料压实，避免操作人员与医疗废物直接接触，降低感染风险，提高产能。</w:t>
            </w:r>
          </w:p>
          <w:p>
            <w:pPr>
              <w:pStyle w:val="7"/>
              <w:ind w:firstLine="0"/>
              <w:rPr>
                <w:rFonts w:ascii="宋体" w:hAnsi="宋体" w:cs="宋体"/>
                <w:color w:val="auto"/>
                <w:szCs w:val="21"/>
              </w:rPr>
            </w:pPr>
            <w:r>
              <w:rPr>
                <w:rFonts w:hint="eastAsia" w:ascii="宋体" w:hAnsi="宋体" w:cs="宋体"/>
                <w:color w:val="auto"/>
                <w:szCs w:val="21"/>
              </w:rPr>
              <w:t>动力来源：气缸</w:t>
            </w:r>
          </w:p>
          <w:p>
            <w:pPr>
              <w:pStyle w:val="7"/>
              <w:ind w:firstLine="0"/>
              <w:rPr>
                <w:rFonts w:ascii="宋体" w:hAnsi="宋体" w:cs="宋体"/>
                <w:color w:val="auto"/>
                <w:szCs w:val="21"/>
              </w:rPr>
            </w:pPr>
            <w:r>
              <w:rPr>
                <w:rFonts w:hint="eastAsia" w:ascii="宋体" w:hAnsi="宋体" w:cs="宋体"/>
                <w:color w:val="auto"/>
                <w:szCs w:val="21"/>
              </w:rPr>
              <w:t>气缸数量：2（行走气缸+下压气缸）</w:t>
            </w:r>
          </w:p>
          <w:p>
            <w:pPr>
              <w:pStyle w:val="7"/>
              <w:ind w:firstLine="0"/>
              <w:rPr>
                <w:rFonts w:ascii="宋体" w:hAnsi="宋体" w:cs="宋体"/>
                <w:color w:val="auto"/>
                <w:szCs w:val="21"/>
              </w:rPr>
            </w:pPr>
            <w:r>
              <w:rPr>
                <w:rFonts w:hint="eastAsia" w:ascii="宋体" w:hAnsi="宋体" w:cs="宋体"/>
                <w:color w:val="auto"/>
                <w:szCs w:val="21"/>
              </w:rPr>
              <w:t>行走气缸缸径：≥80mm</w:t>
            </w:r>
          </w:p>
          <w:p>
            <w:pPr>
              <w:pStyle w:val="7"/>
              <w:ind w:firstLine="0"/>
              <w:rPr>
                <w:rFonts w:ascii="宋体" w:hAnsi="宋体" w:cs="宋体"/>
                <w:color w:val="auto"/>
                <w:szCs w:val="21"/>
              </w:rPr>
            </w:pPr>
            <w:r>
              <w:rPr>
                <w:rFonts w:hint="eastAsia" w:ascii="宋体" w:hAnsi="宋体" w:cs="宋体"/>
                <w:color w:val="auto"/>
                <w:szCs w:val="21"/>
              </w:rPr>
              <w:t>行走气缸行程：≥900 mm</w:t>
            </w:r>
          </w:p>
          <w:p>
            <w:pPr>
              <w:pStyle w:val="7"/>
              <w:ind w:firstLine="0"/>
              <w:rPr>
                <w:rFonts w:ascii="宋体" w:hAnsi="宋体" w:cs="宋体"/>
                <w:color w:val="auto"/>
                <w:szCs w:val="21"/>
              </w:rPr>
            </w:pPr>
            <w:r>
              <w:rPr>
                <w:rFonts w:hint="eastAsia" w:ascii="宋体" w:hAnsi="宋体" w:cs="宋体"/>
                <w:color w:val="auto"/>
                <w:szCs w:val="21"/>
              </w:rPr>
              <w:t>下压气缸缸径：≥160/100 mm（两级气缸）</w:t>
            </w:r>
          </w:p>
          <w:p>
            <w:pPr>
              <w:pStyle w:val="7"/>
              <w:ind w:firstLine="0"/>
              <w:rPr>
                <w:rFonts w:ascii="宋体" w:hAnsi="宋体" w:cs="宋体"/>
                <w:color w:val="auto"/>
                <w:szCs w:val="21"/>
              </w:rPr>
            </w:pPr>
            <w:r>
              <w:rPr>
                <w:rFonts w:hint="eastAsia" w:ascii="宋体" w:hAnsi="宋体" w:cs="宋体"/>
                <w:color w:val="auto"/>
                <w:szCs w:val="21"/>
              </w:rPr>
              <w:t>下压气缸行程：≥416/534 mm（两级气缸）</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3.2</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1000单工位直线辊子输送单元</w:t>
            </w:r>
          </w:p>
        </w:tc>
        <w:tc>
          <w:tcPr>
            <w:tcW w:w="5050" w:type="dxa"/>
            <w:vAlign w:val="center"/>
          </w:tcPr>
          <w:p>
            <w:pPr>
              <w:rPr>
                <w:rFonts w:ascii="宋体" w:hAnsi="宋体" w:cs="宋体"/>
                <w:color w:val="auto"/>
                <w:szCs w:val="21"/>
              </w:rPr>
            </w:pPr>
            <w:r>
              <w:rPr>
                <w:rFonts w:hint="eastAsia" w:ascii="宋体" w:hAnsi="宋体" w:cs="宋体"/>
                <w:color w:val="auto"/>
                <w:szCs w:val="21"/>
              </w:rPr>
              <w:t>辊道式输送机用于运送灭菌车实现直线传送，具有结构紧凑、外形美观、维修方便的特点。</w:t>
            </w:r>
          </w:p>
          <w:p>
            <w:pPr>
              <w:rPr>
                <w:rFonts w:ascii="宋体" w:hAnsi="宋体" w:cs="宋体"/>
                <w:color w:val="auto"/>
                <w:szCs w:val="21"/>
              </w:rPr>
            </w:pPr>
            <w:r>
              <w:rPr>
                <w:rFonts w:hint="eastAsia" w:ascii="宋体" w:hAnsi="宋体" w:cs="宋体"/>
                <w:color w:val="auto"/>
                <w:szCs w:val="21"/>
              </w:rPr>
              <w:t>外型尺寸：≥1000×1060×725</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辊子材质：不锈钢</w:t>
            </w:r>
          </w:p>
          <w:p>
            <w:pPr>
              <w:rPr>
                <w:rFonts w:ascii="宋体" w:hAnsi="宋体" w:cs="宋体"/>
                <w:color w:val="auto"/>
                <w:szCs w:val="21"/>
              </w:rPr>
            </w:pPr>
            <w:r>
              <w:rPr>
                <w:rFonts w:hint="eastAsia" w:ascii="宋体" w:hAnsi="宋体" w:cs="宋体"/>
                <w:color w:val="auto"/>
                <w:szCs w:val="21"/>
              </w:rPr>
              <w:t>功率：≤0.4kw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3.3</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1300单工位直线辊子输送单元</w:t>
            </w:r>
          </w:p>
        </w:tc>
        <w:tc>
          <w:tcPr>
            <w:tcW w:w="5050" w:type="dxa"/>
            <w:vAlign w:val="center"/>
          </w:tcPr>
          <w:p>
            <w:pPr>
              <w:rPr>
                <w:rFonts w:ascii="宋体" w:hAnsi="宋体" w:cs="宋体"/>
                <w:color w:val="auto"/>
                <w:szCs w:val="21"/>
              </w:rPr>
            </w:pPr>
            <w:r>
              <w:rPr>
                <w:rFonts w:hint="eastAsia" w:ascii="宋体" w:hAnsi="宋体" w:cs="宋体"/>
                <w:color w:val="auto"/>
                <w:szCs w:val="21"/>
              </w:rPr>
              <w:t>辊道式输送机用于运送灭菌车实现直线传送，具有结构紧凑、外形美观、维修方便的特点。</w:t>
            </w:r>
          </w:p>
          <w:p>
            <w:pPr>
              <w:rPr>
                <w:rFonts w:ascii="宋体" w:hAnsi="宋体" w:cs="宋体"/>
                <w:color w:val="auto"/>
                <w:szCs w:val="21"/>
              </w:rPr>
            </w:pPr>
            <w:r>
              <w:rPr>
                <w:rFonts w:hint="eastAsia" w:ascii="宋体" w:hAnsi="宋体" w:cs="宋体"/>
                <w:color w:val="auto"/>
                <w:szCs w:val="21"/>
              </w:rPr>
              <w:t>外型尺寸：≥1300×1060×725</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辊子材质：不锈钢</w:t>
            </w:r>
          </w:p>
          <w:p>
            <w:pPr>
              <w:rPr>
                <w:rFonts w:ascii="宋体" w:hAnsi="宋体" w:cs="宋体"/>
                <w:color w:val="auto"/>
                <w:szCs w:val="21"/>
              </w:rPr>
            </w:pPr>
            <w:r>
              <w:rPr>
                <w:rFonts w:hint="eastAsia" w:ascii="宋体" w:hAnsi="宋体" w:cs="宋体"/>
                <w:color w:val="auto"/>
                <w:szCs w:val="21"/>
              </w:rPr>
              <w:t>功率：≤0.4kw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3.4</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2000单工位直线辊子输送单元</w:t>
            </w:r>
          </w:p>
        </w:tc>
        <w:tc>
          <w:tcPr>
            <w:tcW w:w="5050" w:type="dxa"/>
            <w:vAlign w:val="center"/>
          </w:tcPr>
          <w:p>
            <w:pPr>
              <w:rPr>
                <w:rFonts w:ascii="宋体" w:hAnsi="宋体" w:cs="宋体"/>
                <w:color w:val="auto"/>
                <w:szCs w:val="21"/>
              </w:rPr>
            </w:pPr>
            <w:r>
              <w:rPr>
                <w:rFonts w:hint="eastAsia" w:ascii="宋体" w:hAnsi="宋体" w:cs="宋体"/>
                <w:color w:val="auto"/>
                <w:szCs w:val="21"/>
              </w:rPr>
              <w:t>辊道式输送机用于运送灭菌车实现直线传送，具有结构紧凑、外形美观、维修方便的特点。</w:t>
            </w:r>
          </w:p>
          <w:p>
            <w:pPr>
              <w:rPr>
                <w:rFonts w:ascii="宋体" w:hAnsi="宋体" w:cs="宋体"/>
                <w:color w:val="auto"/>
                <w:szCs w:val="21"/>
              </w:rPr>
            </w:pPr>
            <w:r>
              <w:rPr>
                <w:rFonts w:hint="eastAsia" w:ascii="宋体" w:hAnsi="宋体" w:cs="宋体"/>
                <w:color w:val="auto"/>
                <w:szCs w:val="21"/>
              </w:rPr>
              <w:t>外型尺寸:≥ 2000×1060×725</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辊子材质：不锈钢</w:t>
            </w:r>
          </w:p>
          <w:p>
            <w:pPr>
              <w:rPr>
                <w:rFonts w:ascii="宋体" w:hAnsi="宋体" w:cs="宋体"/>
                <w:color w:val="auto"/>
                <w:szCs w:val="21"/>
              </w:rPr>
            </w:pPr>
            <w:r>
              <w:rPr>
                <w:rFonts w:hint="eastAsia" w:ascii="宋体" w:hAnsi="宋体" w:cs="宋体"/>
                <w:color w:val="auto"/>
                <w:szCs w:val="21"/>
              </w:rPr>
              <w:t>功率：≤0.4kw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3.5</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2000双工位直线辊子输送单元</w:t>
            </w:r>
          </w:p>
        </w:tc>
        <w:tc>
          <w:tcPr>
            <w:tcW w:w="5050" w:type="dxa"/>
            <w:vAlign w:val="center"/>
          </w:tcPr>
          <w:p>
            <w:pPr>
              <w:rPr>
                <w:rFonts w:ascii="宋体" w:hAnsi="宋体" w:cs="宋体"/>
                <w:color w:val="auto"/>
                <w:szCs w:val="21"/>
              </w:rPr>
            </w:pPr>
            <w:r>
              <w:rPr>
                <w:rFonts w:hint="eastAsia" w:ascii="宋体" w:hAnsi="宋体" w:cs="宋体"/>
                <w:color w:val="auto"/>
                <w:szCs w:val="21"/>
              </w:rPr>
              <w:t>辊道式输送机用于运送灭菌车实现直线传送，具有结构紧凑、外形美观、维修方便的特点。</w:t>
            </w:r>
          </w:p>
          <w:p>
            <w:pPr>
              <w:rPr>
                <w:rFonts w:ascii="宋体" w:hAnsi="宋体" w:cs="宋体"/>
                <w:color w:val="auto"/>
                <w:szCs w:val="21"/>
              </w:rPr>
            </w:pPr>
            <w:r>
              <w:rPr>
                <w:rFonts w:hint="eastAsia" w:ascii="宋体" w:hAnsi="宋体" w:cs="宋体"/>
                <w:color w:val="auto"/>
                <w:szCs w:val="21"/>
              </w:rPr>
              <w:t>外型尺寸:≥ 2000×1060×725</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辊子材质：不锈钢</w:t>
            </w:r>
          </w:p>
          <w:p>
            <w:pPr>
              <w:rPr>
                <w:rFonts w:ascii="宋体" w:hAnsi="宋体" w:cs="宋体"/>
                <w:color w:val="auto"/>
                <w:szCs w:val="21"/>
              </w:rPr>
            </w:pPr>
            <w:r>
              <w:rPr>
                <w:rFonts w:hint="eastAsia" w:ascii="宋体" w:hAnsi="宋体" w:cs="宋体"/>
                <w:color w:val="auto"/>
                <w:szCs w:val="21"/>
              </w:rPr>
              <w:t>功率：≤0.8kw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3.6</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2850单工位直线辊子输送单元</w:t>
            </w:r>
          </w:p>
        </w:tc>
        <w:tc>
          <w:tcPr>
            <w:tcW w:w="5050" w:type="dxa"/>
            <w:vAlign w:val="center"/>
          </w:tcPr>
          <w:p>
            <w:pPr>
              <w:rPr>
                <w:rFonts w:ascii="宋体" w:hAnsi="宋体" w:cs="宋体"/>
                <w:color w:val="auto"/>
                <w:szCs w:val="21"/>
              </w:rPr>
            </w:pPr>
            <w:r>
              <w:rPr>
                <w:rFonts w:hint="eastAsia" w:ascii="宋体" w:hAnsi="宋体" w:cs="宋体"/>
                <w:color w:val="auto"/>
                <w:szCs w:val="21"/>
              </w:rPr>
              <w:t>辊道式输送机用于运送灭菌车实现直线传送，具有结构紧凑、外形美观、维修方便的特点。</w:t>
            </w:r>
          </w:p>
          <w:p>
            <w:pPr>
              <w:rPr>
                <w:rFonts w:ascii="宋体" w:hAnsi="宋体" w:cs="宋体"/>
                <w:color w:val="auto"/>
                <w:szCs w:val="21"/>
              </w:rPr>
            </w:pPr>
            <w:r>
              <w:rPr>
                <w:rFonts w:hint="eastAsia" w:ascii="宋体" w:hAnsi="宋体" w:cs="宋体"/>
                <w:color w:val="auto"/>
                <w:szCs w:val="21"/>
              </w:rPr>
              <w:t>外型尺寸:≥ 2850×1060×725</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辊子材质：不锈钢</w:t>
            </w:r>
          </w:p>
          <w:p>
            <w:pPr>
              <w:rPr>
                <w:rFonts w:ascii="宋体" w:hAnsi="宋体" w:cs="宋体"/>
                <w:color w:val="auto"/>
                <w:szCs w:val="21"/>
              </w:rPr>
            </w:pPr>
            <w:r>
              <w:rPr>
                <w:rFonts w:hint="eastAsia" w:ascii="宋体" w:hAnsi="宋体" w:cs="宋体"/>
                <w:color w:val="auto"/>
                <w:szCs w:val="21"/>
              </w:rPr>
              <w:t>功率：≤0.4kw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3.7</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灭菌车旋转输送台</w:t>
            </w:r>
          </w:p>
        </w:tc>
        <w:tc>
          <w:tcPr>
            <w:tcW w:w="5050" w:type="dxa"/>
            <w:vAlign w:val="center"/>
          </w:tcPr>
          <w:p>
            <w:pPr>
              <w:rPr>
                <w:rFonts w:ascii="宋体" w:hAnsi="宋体" w:cs="宋体"/>
                <w:color w:val="auto"/>
                <w:szCs w:val="21"/>
              </w:rPr>
            </w:pPr>
            <w:r>
              <w:rPr>
                <w:rFonts w:hint="eastAsia" w:ascii="宋体" w:hAnsi="宋体" w:cs="宋体"/>
                <w:color w:val="auto"/>
                <w:szCs w:val="21"/>
              </w:rPr>
              <w:t>旋转输送台用于灭菌车输送过程中的转向，旋转角度为90°，具有结构紧凑、外形美观、维修方便的特点，其输送部分为辊道。</w:t>
            </w:r>
          </w:p>
          <w:p>
            <w:pPr>
              <w:rPr>
                <w:rFonts w:ascii="宋体" w:hAnsi="宋体" w:cs="宋体"/>
                <w:color w:val="auto"/>
                <w:szCs w:val="21"/>
              </w:rPr>
            </w:pPr>
            <w:r>
              <w:rPr>
                <w:rFonts w:hint="eastAsia" w:ascii="宋体" w:hAnsi="宋体" w:cs="宋体"/>
                <w:color w:val="auto"/>
                <w:szCs w:val="21"/>
              </w:rPr>
              <w:t>辊子直径：≥45mm</w:t>
            </w:r>
          </w:p>
          <w:p>
            <w:pPr>
              <w:rPr>
                <w:rFonts w:ascii="宋体" w:hAnsi="宋体" w:cs="宋体"/>
                <w:color w:val="auto"/>
                <w:szCs w:val="21"/>
              </w:rPr>
            </w:pPr>
            <w:r>
              <w:rPr>
                <w:rFonts w:hint="eastAsia" w:ascii="宋体" w:hAnsi="宋体" w:cs="宋体"/>
                <w:color w:val="auto"/>
                <w:szCs w:val="21"/>
              </w:rPr>
              <w:t>辊子轴径：≥15mm</w:t>
            </w:r>
          </w:p>
          <w:p>
            <w:pPr>
              <w:rPr>
                <w:rFonts w:ascii="宋体" w:hAnsi="宋体" w:cs="宋体"/>
                <w:color w:val="auto"/>
                <w:szCs w:val="21"/>
              </w:rPr>
            </w:pPr>
            <w:r>
              <w:rPr>
                <w:rFonts w:hint="eastAsia" w:ascii="宋体" w:hAnsi="宋体" w:cs="宋体"/>
                <w:color w:val="auto"/>
                <w:szCs w:val="21"/>
              </w:rPr>
              <w:t>辊子间距：≥152.4mm</w:t>
            </w:r>
          </w:p>
          <w:p>
            <w:pPr>
              <w:rPr>
                <w:rFonts w:ascii="宋体" w:hAnsi="宋体" w:cs="宋体"/>
                <w:color w:val="auto"/>
                <w:szCs w:val="21"/>
              </w:rPr>
            </w:pPr>
            <w:r>
              <w:rPr>
                <w:rFonts w:hint="eastAsia" w:ascii="宋体" w:hAnsi="宋体" w:cs="宋体"/>
                <w:color w:val="auto"/>
                <w:szCs w:val="21"/>
              </w:rPr>
              <w:t>辊子有效宽：≥850mm</w:t>
            </w:r>
          </w:p>
          <w:p>
            <w:pPr>
              <w:rPr>
                <w:rFonts w:ascii="宋体" w:hAnsi="宋体" w:cs="宋体"/>
                <w:color w:val="auto"/>
                <w:szCs w:val="21"/>
              </w:rPr>
            </w:pPr>
            <w:r>
              <w:rPr>
                <w:rFonts w:hint="eastAsia" w:ascii="宋体" w:hAnsi="宋体" w:cs="宋体"/>
                <w:color w:val="auto"/>
                <w:szCs w:val="21"/>
              </w:rPr>
              <w:t>链条节距：≥12.7mm（08B）</w:t>
            </w:r>
          </w:p>
          <w:p>
            <w:pPr>
              <w:rPr>
                <w:rFonts w:ascii="宋体" w:hAnsi="宋体" w:cs="宋体"/>
                <w:color w:val="auto"/>
                <w:szCs w:val="21"/>
              </w:rPr>
            </w:pPr>
            <w:r>
              <w:rPr>
                <w:rFonts w:hint="eastAsia" w:ascii="宋体" w:hAnsi="宋体" w:cs="宋体"/>
                <w:color w:val="auto"/>
                <w:szCs w:val="21"/>
              </w:rPr>
              <w:t>辊道电机功率：≤0.4kw</w:t>
            </w:r>
          </w:p>
          <w:p>
            <w:pPr>
              <w:rPr>
                <w:rFonts w:ascii="宋体" w:hAnsi="宋体" w:cs="宋体"/>
                <w:color w:val="auto"/>
                <w:szCs w:val="21"/>
              </w:rPr>
            </w:pPr>
            <w:r>
              <w:rPr>
                <w:rFonts w:hint="eastAsia" w:ascii="宋体" w:hAnsi="宋体" w:cs="宋体"/>
                <w:color w:val="auto"/>
                <w:szCs w:val="21"/>
              </w:rPr>
              <w:t>转向电机功率：≤0.37kw</w:t>
            </w:r>
          </w:p>
          <w:p>
            <w:pPr>
              <w:rPr>
                <w:rFonts w:ascii="宋体" w:hAnsi="宋体" w:cs="宋体"/>
                <w:color w:val="auto"/>
                <w:szCs w:val="21"/>
              </w:rPr>
            </w:pPr>
            <w:r>
              <w:rPr>
                <w:rFonts w:hint="eastAsia" w:ascii="宋体" w:hAnsi="宋体" w:cs="宋体"/>
                <w:color w:val="auto"/>
                <w:szCs w:val="21"/>
              </w:rPr>
              <w:t>辊子材质：不锈钢</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3.8</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自动进出装置</w:t>
            </w:r>
          </w:p>
        </w:tc>
        <w:tc>
          <w:tcPr>
            <w:tcW w:w="5050" w:type="dxa"/>
            <w:vAlign w:val="center"/>
          </w:tcPr>
          <w:p>
            <w:pPr>
              <w:rPr>
                <w:rFonts w:ascii="宋体" w:hAnsi="宋体" w:cs="宋体"/>
                <w:color w:val="auto"/>
                <w:szCs w:val="21"/>
              </w:rPr>
            </w:pPr>
            <w:r>
              <w:rPr>
                <w:rFonts w:hint="eastAsia" w:ascii="宋体" w:hAnsi="宋体" w:cs="宋体"/>
                <w:color w:val="auto"/>
                <w:szCs w:val="21"/>
              </w:rPr>
              <w:t>自动进出装置用于将灭菌车推进或勾出灭菌器内，实现无人操作。采用齿轮齿条啮合传动输出动力，结构紧凑、运行平稳、定位准确、维修方便。</w:t>
            </w:r>
          </w:p>
          <w:p>
            <w:pPr>
              <w:rPr>
                <w:rFonts w:ascii="宋体" w:hAnsi="宋体" w:cs="宋体"/>
                <w:color w:val="auto"/>
                <w:szCs w:val="21"/>
              </w:rPr>
            </w:pPr>
            <w:r>
              <w:rPr>
                <w:rFonts w:hint="eastAsia" w:ascii="宋体" w:hAnsi="宋体" w:cs="宋体"/>
                <w:color w:val="auto"/>
                <w:szCs w:val="21"/>
              </w:rPr>
              <w:t>辊子直径 ：≥45mm</w:t>
            </w:r>
          </w:p>
          <w:p>
            <w:pPr>
              <w:rPr>
                <w:rFonts w:ascii="宋体" w:hAnsi="宋体" w:cs="宋体"/>
                <w:color w:val="auto"/>
                <w:szCs w:val="21"/>
              </w:rPr>
            </w:pPr>
            <w:r>
              <w:rPr>
                <w:rFonts w:hint="eastAsia" w:ascii="宋体" w:hAnsi="宋体" w:cs="宋体"/>
                <w:color w:val="auto"/>
                <w:szCs w:val="21"/>
              </w:rPr>
              <w:t>辊子轴径 ：≥15mm</w:t>
            </w:r>
          </w:p>
          <w:p>
            <w:pPr>
              <w:rPr>
                <w:rFonts w:ascii="宋体" w:hAnsi="宋体" w:cs="宋体"/>
                <w:color w:val="auto"/>
                <w:szCs w:val="21"/>
              </w:rPr>
            </w:pPr>
            <w:r>
              <w:rPr>
                <w:rFonts w:hint="eastAsia" w:ascii="宋体" w:hAnsi="宋体" w:cs="宋体"/>
                <w:color w:val="auto"/>
                <w:szCs w:val="21"/>
              </w:rPr>
              <w:t>辊子间距 ：≥152.4mm</w:t>
            </w:r>
          </w:p>
          <w:p>
            <w:pPr>
              <w:rPr>
                <w:rFonts w:ascii="宋体" w:hAnsi="宋体" w:cs="宋体"/>
                <w:color w:val="auto"/>
                <w:szCs w:val="21"/>
              </w:rPr>
            </w:pPr>
            <w:r>
              <w:rPr>
                <w:rFonts w:hint="eastAsia" w:ascii="宋体" w:hAnsi="宋体" w:cs="宋体"/>
                <w:color w:val="auto"/>
                <w:szCs w:val="21"/>
              </w:rPr>
              <w:t>辊子有效宽 ：≥850mm</w:t>
            </w:r>
          </w:p>
          <w:p>
            <w:pPr>
              <w:rPr>
                <w:rFonts w:ascii="宋体" w:hAnsi="宋体" w:cs="宋体"/>
                <w:color w:val="auto"/>
                <w:szCs w:val="21"/>
              </w:rPr>
            </w:pPr>
            <w:r>
              <w:rPr>
                <w:rFonts w:hint="eastAsia" w:ascii="宋体" w:hAnsi="宋体" w:cs="宋体"/>
                <w:color w:val="auto"/>
                <w:szCs w:val="21"/>
              </w:rPr>
              <w:t>链条节距 ：≥12.7mm（10A）</w:t>
            </w:r>
          </w:p>
          <w:p>
            <w:pPr>
              <w:rPr>
                <w:rFonts w:ascii="宋体" w:hAnsi="宋体" w:cs="宋体"/>
                <w:color w:val="auto"/>
                <w:szCs w:val="21"/>
              </w:rPr>
            </w:pPr>
            <w:r>
              <w:rPr>
                <w:rFonts w:hint="eastAsia" w:ascii="宋体" w:hAnsi="宋体" w:cs="宋体"/>
                <w:color w:val="auto"/>
                <w:szCs w:val="21"/>
              </w:rPr>
              <w:t>辊道电机功率：≤0.4kw</w:t>
            </w:r>
          </w:p>
          <w:p>
            <w:pPr>
              <w:rPr>
                <w:rFonts w:ascii="宋体" w:hAnsi="宋体" w:cs="宋体"/>
                <w:color w:val="auto"/>
                <w:szCs w:val="21"/>
              </w:rPr>
            </w:pPr>
            <w:r>
              <w:rPr>
                <w:rFonts w:hint="eastAsia" w:ascii="宋体" w:hAnsi="宋体" w:cs="宋体"/>
                <w:color w:val="auto"/>
                <w:szCs w:val="21"/>
              </w:rPr>
              <w:t>推进电机功率：≤0.75kw</w:t>
            </w:r>
          </w:p>
          <w:p>
            <w:pPr>
              <w:rPr>
                <w:rFonts w:ascii="宋体" w:hAnsi="宋体" w:cs="宋体"/>
                <w:color w:val="auto"/>
                <w:szCs w:val="21"/>
              </w:rPr>
            </w:pPr>
            <w:r>
              <w:rPr>
                <w:rFonts w:hint="eastAsia" w:ascii="宋体" w:hAnsi="宋体" w:cs="宋体"/>
                <w:color w:val="auto"/>
                <w:szCs w:val="21"/>
              </w:rPr>
              <w:t>辊子材质：不锈钢</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3.9</w:t>
            </w:r>
          </w:p>
        </w:tc>
        <w:tc>
          <w:tcPr>
            <w:tcW w:w="1588" w:type="dxa"/>
            <w:vAlign w:val="center"/>
          </w:tcPr>
          <w:p>
            <w:pPr>
              <w:widowControl/>
              <w:jc w:val="center"/>
              <w:rPr>
                <w:rFonts w:ascii="宋体" w:hAnsi="宋体" w:cs="宋体"/>
                <w:color w:val="auto"/>
                <w:szCs w:val="21"/>
              </w:rPr>
            </w:pPr>
            <w:r>
              <w:rPr>
                <w:rFonts w:hint="eastAsia" w:ascii="宋体" w:hAnsi="宋体" w:cs="宋体"/>
                <w:color w:val="auto"/>
                <w:szCs w:val="21"/>
              </w:rPr>
              <w:t>松料装置</w:t>
            </w:r>
          </w:p>
        </w:tc>
        <w:tc>
          <w:tcPr>
            <w:tcW w:w="5050" w:type="dxa"/>
            <w:vAlign w:val="center"/>
          </w:tcPr>
          <w:p>
            <w:pPr>
              <w:rPr>
                <w:rFonts w:ascii="宋体" w:hAnsi="宋体" w:cs="宋体"/>
                <w:color w:val="auto"/>
                <w:szCs w:val="21"/>
              </w:rPr>
            </w:pPr>
            <w:r>
              <w:rPr>
                <w:rFonts w:hint="eastAsia" w:ascii="宋体" w:hAnsi="宋体" w:cs="宋体"/>
                <w:color w:val="auto"/>
                <w:szCs w:val="21"/>
              </w:rPr>
              <w:t>自动松料机构设置于卸料机前面工位，用于将灭菌车内框提升一定高度，使车内物料与内壁剥离，彻底解决物料粘连难题，该机构采用双气缸左右顶升结构，顶升力度大，行程可靠，无需操作人员干预。</w:t>
            </w:r>
          </w:p>
          <w:p>
            <w:pPr>
              <w:pStyle w:val="7"/>
              <w:ind w:firstLine="0"/>
              <w:rPr>
                <w:rFonts w:ascii="宋体" w:hAnsi="宋体" w:cs="宋体"/>
                <w:color w:val="auto"/>
                <w:szCs w:val="21"/>
              </w:rPr>
            </w:pPr>
            <w:r>
              <w:rPr>
                <w:rFonts w:hint="eastAsia" w:ascii="宋体" w:hAnsi="宋体" w:cs="宋体"/>
                <w:color w:val="auto"/>
                <w:szCs w:val="21"/>
              </w:rPr>
              <w:t>动力来源：气缸</w:t>
            </w:r>
          </w:p>
          <w:p>
            <w:pPr>
              <w:pStyle w:val="7"/>
              <w:ind w:firstLine="0"/>
              <w:rPr>
                <w:rFonts w:ascii="宋体" w:hAnsi="宋体" w:cs="宋体"/>
                <w:color w:val="auto"/>
                <w:szCs w:val="21"/>
              </w:rPr>
            </w:pPr>
            <w:r>
              <w:rPr>
                <w:rFonts w:hint="eastAsia" w:ascii="宋体" w:hAnsi="宋体" w:cs="宋体"/>
                <w:color w:val="auto"/>
                <w:szCs w:val="21"/>
              </w:rPr>
              <w:t>气缸数量：2</w:t>
            </w:r>
          </w:p>
          <w:p>
            <w:pPr>
              <w:pStyle w:val="7"/>
              <w:ind w:firstLine="0"/>
              <w:rPr>
                <w:rFonts w:ascii="宋体" w:hAnsi="宋体" w:cs="宋体"/>
                <w:color w:val="auto"/>
                <w:szCs w:val="21"/>
              </w:rPr>
            </w:pPr>
            <w:r>
              <w:rPr>
                <w:rFonts w:hint="eastAsia" w:ascii="宋体" w:hAnsi="宋体" w:cs="宋体"/>
                <w:color w:val="auto"/>
                <w:szCs w:val="21"/>
              </w:rPr>
              <w:t>气缸缸径：≥100mm</w:t>
            </w:r>
          </w:p>
          <w:p>
            <w:pPr>
              <w:pStyle w:val="7"/>
              <w:ind w:firstLine="0"/>
              <w:rPr>
                <w:rFonts w:ascii="宋体" w:hAnsi="宋体" w:cs="宋体"/>
                <w:color w:val="auto"/>
                <w:szCs w:val="21"/>
              </w:rPr>
            </w:pPr>
            <w:r>
              <w:rPr>
                <w:rFonts w:hint="eastAsia" w:ascii="宋体" w:hAnsi="宋体" w:cs="宋体"/>
                <w:color w:val="auto"/>
                <w:szCs w:val="21"/>
              </w:rPr>
              <w:t>气缸行程：≥450mm</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3.10</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自动进出车卸料提升机</w:t>
            </w:r>
          </w:p>
        </w:tc>
        <w:tc>
          <w:tcPr>
            <w:tcW w:w="5050" w:type="dxa"/>
            <w:vAlign w:val="center"/>
          </w:tcPr>
          <w:p>
            <w:pPr>
              <w:rPr>
                <w:rFonts w:ascii="宋体" w:hAnsi="宋体" w:cs="宋体"/>
                <w:color w:val="auto"/>
                <w:szCs w:val="21"/>
              </w:rPr>
            </w:pPr>
            <w:r>
              <w:rPr>
                <w:rFonts w:hint="eastAsia" w:ascii="宋体" w:hAnsi="宋体" w:cs="宋体"/>
                <w:color w:val="auto"/>
                <w:szCs w:val="21"/>
              </w:rPr>
              <w:t>自动进出车卸料提升机实现灭菌车的提升及翻转，将车内物料倒入破碎机料斗内。提升筐上装有输送设备，与出入口输送设备相配合，使输送过程实现完全自动化。</w:t>
            </w:r>
          </w:p>
          <w:p>
            <w:pPr>
              <w:rPr>
                <w:rFonts w:ascii="宋体" w:hAnsi="宋体" w:cs="宋体"/>
                <w:color w:val="auto"/>
                <w:szCs w:val="21"/>
              </w:rPr>
            </w:pPr>
            <w:r>
              <w:rPr>
                <w:rFonts w:hint="eastAsia" w:ascii="宋体" w:hAnsi="宋体" w:cs="宋体"/>
                <w:color w:val="auto"/>
                <w:szCs w:val="21"/>
              </w:rPr>
              <w:t>链条节距：≥25.4mm</w:t>
            </w:r>
          </w:p>
          <w:p>
            <w:pPr>
              <w:rPr>
                <w:rFonts w:ascii="宋体" w:hAnsi="宋体" w:cs="宋体"/>
                <w:color w:val="auto"/>
                <w:szCs w:val="21"/>
              </w:rPr>
            </w:pPr>
            <w:r>
              <w:rPr>
                <w:rFonts w:hint="eastAsia" w:ascii="宋体" w:hAnsi="宋体" w:cs="宋体"/>
                <w:color w:val="auto"/>
                <w:szCs w:val="21"/>
              </w:rPr>
              <w:t>额定最高输送速度：≥9m/min</w:t>
            </w:r>
          </w:p>
          <w:p>
            <w:pPr>
              <w:rPr>
                <w:rFonts w:ascii="宋体" w:hAnsi="宋体" w:cs="宋体"/>
                <w:color w:val="auto"/>
                <w:szCs w:val="21"/>
              </w:rPr>
            </w:pPr>
            <w:r>
              <w:rPr>
                <w:rFonts w:hint="eastAsia" w:ascii="宋体" w:hAnsi="宋体" w:cs="宋体"/>
                <w:color w:val="auto"/>
                <w:szCs w:val="21"/>
              </w:rPr>
              <w:t>辊道电机功率：≤0.4kw</w:t>
            </w:r>
          </w:p>
          <w:p>
            <w:pPr>
              <w:rPr>
                <w:rFonts w:ascii="宋体" w:hAnsi="宋体" w:cs="宋体"/>
                <w:color w:val="auto"/>
                <w:szCs w:val="21"/>
              </w:rPr>
            </w:pPr>
            <w:r>
              <w:rPr>
                <w:rFonts w:hint="eastAsia" w:ascii="宋体" w:hAnsi="宋体" w:cs="宋体"/>
                <w:color w:val="auto"/>
                <w:szCs w:val="21"/>
              </w:rPr>
              <w:t>提升电机功率：≤2.2kw</w:t>
            </w:r>
          </w:p>
          <w:p>
            <w:pPr>
              <w:rPr>
                <w:rFonts w:ascii="宋体" w:hAnsi="宋体" w:cs="宋体"/>
                <w:color w:val="auto"/>
                <w:szCs w:val="21"/>
              </w:rPr>
            </w:pPr>
            <w:r>
              <w:rPr>
                <w:rFonts w:hint="eastAsia" w:ascii="宋体" w:hAnsi="宋体" w:cs="宋体"/>
                <w:color w:val="auto"/>
                <w:szCs w:val="21"/>
              </w:rPr>
              <w:t>提升高度为：3.0-5米</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3.11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钢梯</w:t>
            </w:r>
          </w:p>
        </w:tc>
        <w:tc>
          <w:tcPr>
            <w:tcW w:w="5050" w:type="dxa"/>
            <w:vAlign w:val="center"/>
          </w:tcPr>
          <w:p>
            <w:pPr>
              <w:rPr>
                <w:rFonts w:ascii="宋体" w:hAnsi="宋体" w:cs="宋体"/>
                <w:color w:val="auto"/>
                <w:szCs w:val="21"/>
              </w:rPr>
            </w:pPr>
            <w:r>
              <w:rPr>
                <w:rFonts w:hint="eastAsia" w:ascii="宋体" w:hAnsi="宋体" w:cs="宋体"/>
                <w:color w:val="auto"/>
                <w:szCs w:val="21"/>
              </w:rPr>
              <w:t>实现车间内自动轨道之间的跨越，为检修维护提供便利，踏板应采用轧花钢板，外观应美观，与系统色调一致。</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套</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3.12</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电气控制系统</w:t>
            </w:r>
          </w:p>
        </w:tc>
        <w:tc>
          <w:tcPr>
            <w:tcW w:w="5050" w:type="dxa"/>
            <w:vAlign w:val="center"/>
          </w:tcPr>
          <w:p>
            <w:pPr>
              <w:rPr>
                <w:rFonts w:ascii="宋体" w:hAnsi="宋体" w:cs="宋体"/>
                <w:color w:val="auto"/>
                <w:szCs w:val="21"/>
              </w:rPr>
            </w:pPr>
            <w:r>
              <w:rPr>
                <w:rFonts w:hint="eastAsia" w:ascii="宋体" w:hAnsi="宋体" w:cs="宋体"/>
                <w:color w:val="auto"/>
                <w:szCs w:val="21"/>
              </w:rPr>
              <w:t>控制系统由可编程控制器PLC、手动装置、传感元件、高灵敏的温度与压力探测装置、调节控制阀、报警装置、电气部件、测控部件、上位机、自动记录及数据打印系统等设备组成。</w:t>
            </w:r>
          </w:p>
          <w:p>
            <w:pPr>
              <w:rPr>
                <w:rFonts w:ascii="宋体" w:hAnsi="宋体" w:cs="宋体"/>
                <w:color w:val="auto"/>
                <w:szCs w:val="21"/>
              </w:rPr>
            </w:pPr>
            <w:r>
              <w:rPr>
                <w:rFonts w:hint="eastAsia" w:ascii="宋体" w:hAnsi="宋体" w:cs="宋体"/>
                <w:color w:val="auto"/>
                <w:szCs w:val="21"/>
              </w:rPr>
              <w:t>上位机、下位机采用高可靠性耐用元器件。操作部位设有应急按钮，采用单独控制柜安装，所有的控制仪表的技术指标、精度与寿命均符合相应的国家标准或行业标准的规定。</w:t>
            </w:r>
          </w:p>
          <w:p>
            <w:pPr>
              <w:rPr>
                <w:rFonts w:ascii="宋体" w:hAnsi="宋体" w:cs="宋体"/>
                <w:color w:val="auto"/>
                <w:szCs w:val="21"/>
              </w:rPr>
            </w:pPr>
            <w:r>
              <w:rPr>
                <w:rFonts w:hint="eastAsia" w:ascii="宋体" w:hAnsi="宋体" w:cs="宋体"/>
                <w:color w:val="auto"/>
                <w:szCs w:val="21"/>
              </w:rPr>
              <w:t>控制系统应具有但不限于的功能：</w:t>
            </w:r>
          </w:p>
          <w:p>
            <w:pPr>
              <w:rPr>
                <w:rFonts w:ascii="宋体" w:hAnsi="宋体" w:cs="宋体"/>
                <w:color w:val="auto"/>
                <w:szCs w:val="21"/>
              </w:rPr>
            </w:pPr>
            <w:r>
              <w:rPr>
                <w:rFonts w:hint="eastAsia" w:ascii="宋体" w:hAnsi="宋体" w:cs="宋体"/>
                <w:color w:val="auto"/>
                <w:szCs w:val="21"/>
              </w:rPr>
              <w:t>①整个工艺流程和各技术过程的全自动控制。</w:t>
            </w:r>
          </w:p>
          <w:p>
            <w:pPr>
              <w:rPr>
                <w:rFonts w:ascii="宋体" w:hAnsi="宋体" w:cs="宋体"/>
                <w:color w:val="auto"/>
                <w:szCs w:val="21"/>
              </w:rPr>
            </w:pPr>
            <w:r>
              <w:rPr>
                <w:rFonts w:hint="eastAsia" w:ascii="宋体" w:hAnsi="宋体" w:cs="宋体"/>
                <w:color w:val="auto"/>
                <w:szCs w:val="21"/>
              </w:rPr>
              <w:t>②处置过程状态显示与异常状态警示功能。</w:t>
            </w:r>
          </w:p>
          <w:p>
            <w:pPr>
              <w:rPr>
                <w:rFonts w:ascii="宋体" w:hAnsi="宋体" w:cs="宋体"/>
                <w:color w:val="auto"/>
                <w:szCs w:val="21"/>
              </w:rPr>
            </w:pPr>
            <w:r>
              <w:rPr>
                <w:rFonts w:hint="eastAsia" w:ascii="宋体" w:hAnsi="宋体" w:cs="宋体"/>
                <w:color w:val="auto"/>
                <w:szCs w:val="21"/>
              </w:rPr>
              <w:t>③消毒灭菌处理各个阶段的人工操作模式功能。</w:t>
            </w:r>
          </w:p>
          <w:p>
            <w:pPr>
              <w:rPr>
                <w:rFonts w:ascii="宋体" w:hAnsi="宋体" w:cs="宋体"/>
                <w:color w:val="auto"/>
                <w:szCs w:val="21"/>
              </w:rPr>
            </w:pPr>
            <w:r>
              <w:rPr>
                <w:rFonts w:hint="eastAsia" w:ascii="宋体" w:hAnsi="宋体" w:cs="宋体"/>
                <w:color w:val="auto"/>
                <w:szCs w:val="21"/>
              </w:rPr>
              <w:t>④远程在线监控功能。</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套</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kern w:val="0"/>
                <w:szCs w:val="21"/>
              </w:rPr>
            </w:pPr>
            <w:r>
              <w:rPr>
                <w:rFonts w:hint="eastAsia" w:ascii="宋体" w:hAnsi="宋体" w:cs="宋体"/>
                <w:b/>
                <w:bCs/>
                <w:color w:val="auto"/>
                <w:szCs w:val="21"/>
              </w:rPr>
              <w:t>四</w:t>
            </w:r>
          </w:p>
        </w:tc>
        <w:tc>
          <w:tcPr>
            <w:tcW w:w="8279" w:type="dxa"/>
            <w:gridSpan w:val="4"/>
            <w:vAlign w:val="center"/>
          </w:tcPr>
          <w:p>
            <w:pPr>
              <w:widowControl/>
              <w:jc w:val="left"/>
              <w:rPr>
                <w:rFonts w:ascii="宋体" w:hAnsi="宋体" w:cs="宋体"/>
                <w:color w:val="auto"/>
                <w:szCs w:val="21"/>
              </w:rPr>
            </w:pPr>
            <w:r>
              <w:rPr>
                <w:rFonts w:hint="eastAsia" w:ascii="宋体" w:hAnsi="宋体" w:cs="宋体"/>
                <w:b/>
                <w:color w:val="auto"/>
                <w:szCs w:val="21"/>
              </w:rPr>
              <w:t>破碎传输系统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kern w:val="0"/>
                <w:szCs w:val="21"/>
              </w:rPr>
            </w:pPr>
            <w:r>
              <w:rPr>
                <w:rFonts w:hint="eastAsia" w:ascii="宋体" w:hAnsi="宋体" w:cs="宋体"/>
                <w:color w:val="auto"/>
                <w:szCs w:val="21"/>
              </w:rPr>
              <w:t>4.1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医疗废物专用破碎机</w:t>
            </w:r>
          </w:p>
        </w:tc>
        <w:tc>
          <w:tcPr>
            <w:tcW w:w="5050" w:type="dxa"/>
            <w:vAlign w:val="center"/>
          </w:tcPr>
          <w:p>
            <w:pPr>
              <w:rPr>
                <w:rFonts w:ascii="宋体" w:hAnsi="宋体" w:cs="宋体"/>
                <w:color w:val="auto"/>
                <w:szCs w:val="21"/>
              </w:rPr>
            </w:pPr>
            <w:r>
              <w:rPr>
                <w:rFonts w:hint="eastAsia" w:ascii="宋体" w:hAnsi="宋体" w:cs="宋体"/>
                <w:color w:val="auto"/>
                <w:szCs w:val="21"/>
              </w:rPr>
              <w:t>1）设备应满足医疗废物成分复杂、工况条件差的特点，不论对软质的物料（如纱布、包装袋、纸类废物等）还是硬质物料（如玻璃、针头、手术刀等）都有同样的破碎毁形效果。</w:t>
            </w:r>
          </w:p>
          <w:p>
            <w:pPr>
              <w:rPr>
                <w:rFonts w:ascii="宋体" w:hAnsi="宋体" w:cs="宋体"/>
                <w:color w:val="auto"/>
                <w:szCs w:val="21"/>
              </w:rPr>
            </w:pPr>
            <w:r>
              <w:rPr>
                <w:rFonts w:hint="eastAsia" w:ascii="宋体" w:hAnsi="宋体" w:cs="宋体"/>
                <w:color w:val="auto"/>
                <w:szCs w:val="21"/>
              </w:rPr>
              <w:t>2）采用双轴回转剪切式破碎机，处理量≥2t/h，功率≤22kw。</w:t>
            </w:r>
          </w:p>
          <w:p>
            <w:pPr>
              <w:rPr>
                <w:rFonts w:ascii="宋体" w:hAnsi="宋体" w:cs="宋体"/>
                <w:color w:val="auto"/>
                <w:szCs w:val="21"/>
              </w:rPr>
            </w:pPr>
            <w:r>
              <w:rPr>
                <w:rFonts w:hint="eastAsia" w:ascii="宋体" w:hAnsi="宋体" w:cs="宋体"/>
                <w:color w:val="auto"/>
                <w:szCs w:val="21"/>
              </w:rPr>
              <w:t>3）刀片材质应不低于高合金钢，并经过热处理，具有高韧性及耐磨性，使用寿命≥2年，刀片数：≥21，刀片厚度：≥40mm，每片刀片刀齿数：≥5</w:t>
            </w:r>
          </w:p>
          <w:p>
            <w:pPr>
              <w:rPr>
                <w:rFonts w:ascii="宋体" w:hAnsi="宋体" w:cs="宋体"/>
                <w:color w:val="auto"/>
                <w:szCs w:val="21"/>
              </w:rPr>
            </w:pPr>
            <w:r>
              <w:rPr>
                <w:rFonts w:hint="eastAsia" w:ascii="宋体" w:hAnsi="宋体" w:cs="宋体"/>
                <w:color w:val="auto"/>
                <w:szCs w:val="21"/>
              </w:rPr>
              <w:t>4）具有过载保护功能，一旦遇到不可破物或很难破碎的物料，破碎机的过载保护系统可以有效地保护机器。</w:t>
            </w:r>
          </w:p>
          <w:p>
            <w:pPr>
              <w:rPr>
                <w:rFonts w:ascii="宋体" w:hAnsi="宋体" w:cs="宋体"/>
                <w:color w:val="auto"/>
                <w:szCs w:val="21"/>
              </w:rPr>
            </w:pPr>
            <w:r>
              <w:rPr>
                <w:rFonts w:hint="eastAsia" w:ascii="宋体" w:hAnsi="宋体" w:cs="宋体"/>
                <w:color w:val="auto"/>
                <w:szCs w:val="21"/>
              </w:rPr>
              <w:t>5）机架应喷涂防腐漆，可根据转运车的大小、高度进行定制。</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b/>
                <w:bCs/>
                <w:color w:val="auto"/>
                <w:szCs w:val="21"/>
              </w:rPr>
              <w:t>五</w:t>
            </w:r>
          </w:p>
        </w:tc>
        <w:tc>
          <w:tcPr>
            <w:tcW w:w="8279" w:type="dxa"/>
            <w:gridSpan w:val="4"/>
            <w:vAlign w:val="center"/>
          </w:tcPr>
          <w:p>
            <w:pPr>
              <w:widowControl/>
              <w:jc w:val="center"/>
              <w:rPr>
                <w:rFonts w:ascii="宋体" w:hAnsi="宋体" w:cs="宋体"/>
                <w:color w:val="auto"/>
                <w:szCs w:val="21"/>
              </w:rPr>
            </w:pPr>
            <w:r>
              <w:rPr>
                <w:rFonts w:hint="eastAsia" w:ascii="宋体" w:hAnsi="宋体" w:cs="宋体"/>
                <w:b/>
                <w:bCs/>
                <w:color w:val="auto"/>
                <w:szCs w:val="21"/>
              </w:rPr>
              <w:t>冷却循环辅助系统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5.1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管道泵</w:t>
            </w:r>
          </w:p>
        </w:tc>
        <w:tc>
          <w:tcPr>
            <w:tcW w:w="5050" w:type="dxa"/>
            <w:vAlign w:val="center"/>
          </w:tcPr>
          <w:p>
            <w:pPr>
              <w:rPr>
                <w:rFonts w:ascii="宋体" w:hAnsi="宋体" w:cs="宋体"/>
                <w:color w:val="auto"/>
                <w:szCs w:val="21"/>
              </w:rPr>
            </w:pPr>
            <w:r>
              <w:rPr>
                <w:rFonts w:hint="eastAsia" w:ascii="宋体" w:hAnsi="宋体" w:cs="宋体"/>
                <w:color w:val="auto"/>
                <w:szCs w:val="21"/>
              </w:rPr>
              <w:t>流量：≥11.7m</w:t>
            </w:r>
            <w:r>
              <w:rPr>
                <w:rFonts w:hint="eastAsia" w:ascii="宋体" w:hAnsi="宋体" w:cs="宋体"/>
                <w:color w:val="auto"/>
                <w:szCs w:val="21"/>
                <w:vertAlign w:val="superscript"/>
              </w:rPr>
              <w:t>3</w:t>
            </w:r>
            <w:r>
              <w:rPr>
                <w:rFonts w:hint="eastAsia" w:ascii="宋体" w:hAnsi="宋体" w:cs="宋体"/>
                <w:color w:val="auto"/>
                <w:szCs w:val="21"/>
              </w:rPr>
              <w:t>/h</w:t>
            </w:r>
          </w:p>
          <w:p>
            <w:pPr>
              <w:rPr>
                <w:rFonts w:ascii="宋体" w:hAnsi="宋体" w:cs="宋体"/>
                <w:color w:val="auto"/>
                <w:szCs w:val="21"/>
              </w:rPr>
            </w:pPr>
            <w:r>
              <w:rPr>
                <w:rFonts w:hint="eastAsia" w:ascii="宋体" w:hAnsi="宋体" w:cs="宋体"/>
                <w:color w:val="auto"/>
                <w:szCs w:val="21"/>
              </w:rPr>
              <w:t>扬程：≥28m</w:t>
            </w:r>
          </w:p>
          <w:p>
            <w:pPr>
              <w:rPr>
                <w:rFonts w:ascii="宋体" w:hAnsi="宋体" w:cs="宋体"/>
                <w:color w:val="auto"/>
                <w:szCs w:val="21"/>
              </w:rPr>
            </w:pPr>
            <w:r>
              <w:rPr>
                <w:rFonts w:hint="eastAsia" w:ascii="宋体" w:hAnsi="宋体" w:cs="宋体"/>
                <w:color w:val="auto"/>
                <w:szCs w:val="21"/>
              </w:rPr>
              <w:t>功率：≤2.2Kw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5.2</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冷却塔</w:t>
            </w:r>
          </w:p>
        </w:tc>
        <w:tc>
          <w:tcPr>
            <w:tcW w:w="5050" w:type="dxa"/>
            <w:vAlign w:val="center"/>
          </w:tcPr>
          <w:p>
            <w:pPr>
              <w:rPr>
                <w:rFonts w:ascii="宋体" w:hAnsi="宋体" w:cs="宋体"/>
                <w:color w:val="auto"/>
                <w:szCs w:val="21"/>
              </w:rPr>
            </w:pPr>
            <w:r>
              <w:rPr>
                <w:rFonts w:hint="eastAsia" w:ascii="宋体" w:hAnsi="宋体" w:cs="宋体"/>
                <w:color w:val="auto"/>
                <w:szCs w:val="21"/>
              </w:rPr>
              <w:t>处理量：20m</w:t>
            </w:r>
            <w:r>
              <w:rPr>
                <w:rFonts w:hint="eastAsia" w:ascii="宋体" w:hAnsi="宋体" w:cs="宋体"/>
                <w:color w:val="auto"/>
                <w:szCs w:val="21"/>
                <w:vertAlign w:val="superscript"/>
              </w:rPr>
              <w:t>3</w:t>
            </w:r>
            <w:r>
              <w:rPr>
                <w:rFonts w:hint="eastAsia" w:ascii="宋体" w:hAnsi="宋体" w:cs="宋体"/>
                <w:color w:val="auto"/>
                <w:szCs w:val="21"/>
              </w:rPr>
              <w:t>/h</w:t>
            </w:r>
          </w:p>
          <w:p>
            <w:pPr>
              <w:rPr>
                <w:rFonts w:ascii="宋体" w:hAnsi="宋体" w:cs="宋体"/>
                <w:color w:val="auto"/>
                <w:szCs w:val="21"/>
              </w:rPr>
            </w:pPr>
            <w:r>
              <w:rPr>
                <w:rFonts w:hint="eastAsia" w:ascii="宋体" w:hAnsi="宋体" w:cs="宋体"/>
                <w:color w:val="auto"/>
                <w:szCs w:val="21"/>
              </w:rPr>
              <w:t>功率：≤0.75kw</w:t>
            </w:r>
          </w:p>
          <w:p>
            <w:pPr>
              <w:rPr>
                <w:rFonts w:ascii="宋体" w:hAnsi="宋体" w:cs="宋体"/>
                <w:color w:val="auto"/>
                <w:szCs w:val="21"/>
              </w:rPr>
            </w:pPr>
            <w:r>
              <w:rPr>
                <w:rFonts w:hint="eastAsia" w:ascii="宋体" w:hAnsi="宋体" w:cs="宋体"/>
                <w:color w:val="auto"/>
                <w:szCs w:val="21"/>
              </w:rPr>
              <w:t>材质：玻璃钢</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5.3</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软水机</w:t>
            </w:r>
          </w:p>
        </w:tc>
        <w:tc>
          <w:tcPr>
            <w:tcW w:w="5050" w:type="dxa"/>
            <w:vAlign w:val="center"/>
          </w:tcPr>
          <w:p>
            <w:pPr>
              <w:rPr>
                <w:rFonts w:ascii="宋体" w:hAnsi="宋体" w:cs="宋体"/>
                <w:color w:val="auto"/>
                <w:szCs w:val="21"/>
              </w:rPr>
            </w:pPr>
            <w:r>
              <w:rPr>
                <w:rFonts w:hint="eastAsia" w:ascii="宋体" w:hAnsi="宋体" w:cs="宋体"/>
                <w:color w:val="auto"/>
                <w:szCs w:val="21"/>
              </w:rPr>
              <w:t>再生过程时间：120分钟；</w:t>
            </w:r>
          </w:p>
          <w:p>
            <w:pPr>
              <w:rPr>
                <w:rFonts w:ascii="宋体" w:hAnsi="宋体" w:cs="宋体"/>
                <w:color w:val="auto"/>
                <w:szCs w:val="21"/>
              </w:rPr>
            </w:pPr>
            <w:r>
              <w:rPr>
                <w:rFonts w:hint="eastAsia" w:ascii="宋体" w:hAnsi="宋体" w:cs="宋体"/>
                <w:color w:val="auto"/>
                <w:szCs w:val="21"/>
              </w:rPr>
              <w:t>最大额定流量：≥1.5吨/小时；</w:t>
            </w:r>
          </w:p>
          <w:p>
            <w:pPr>
              <w:rPr>
                <w:rFonts w:ascii="宋体" w:hAnsi="宋体" w:cs="宋体"/>
                <w:color w:val="auto"/>
                <w:szCs w:val="21"/>
              </w:rPr>
            </w:pPr>
            <w:r>
              <w:rPr>
                <w:rFonts w:hint="eastAsia" w:ascii="宋体" w:hAnsi="宋体" w:cs="宋体"/>
                <w:color w:val="auto"/>
                <w:szCs w:val="21"/>
              </w:rPr>
              <w:t>最佳工作压力：0.15-0.3兆帕；</w:t>
            </w:r>
          </w:p>
          <w:p>
            <w:pPr>
              <w:rPr>
                <w:rFonts w:ascii="宋体" w:hAnsi="宋体" w:cs="宋体"/>
                <w:color w:val="auto"/>
                <w:szCs w:val="21"/>
              </w:rPr>
            </w:pPr>
            <w:r>
              <w:rPr>
                <w:rFonts w:hint="eastAsia" w:ascii="宋体" w:hAnsi="宋体" w:cs="宋体"/>
                <w:color w:val="auto"/>
                <w:szCs w:val="21"/>
              </w:rPr>
              <w:t>进水温度要求：1-42℃；</w:t>
            </w:r>
          </w:p>
          <w:p>
            <w:pPr>
              <w:rPr>
                <w:rFonts w:ascii="宋体" w:hAnsi="宋体" w:cs="宋体"/>
                <w:color w:val="auto"/>
                <w:szCs w:val="21"/>
              </w:rPr>
            </w:pPr>
            <w:r>
              <w:rPr>
                <w:rFonts w:hint="eastAsia" w:ascii="宋体" w:hAnsi="宋体" w:cs="宋体"/>
                <w:color w:val="auto"/>
                <w:szCs w:val="21"/>
              </w:rPr>
              <w:t>电源：交流220V/50Hz；</w:t>
            </w:r>
          </w:p>
          <w:p>
            <w:pPr>
              <w:rPr>
                <w:rFonts w:ascii="宋体" w:hAnsi="宋体" w:cs="宋体"/>
                <w:color w:val="auto"/>
                <w:szCs w:val="21"/>
              </w:rPr>
            </w:pPr>
            <w:r>
              <w:rPr>
                <w:rFonts w:hint="eastAsia" w:ascii="宋体" w:hAnsi="宋体" w:cs="宋体"/>
                <w:color w:val="auto"/>
                <w:szCs w:val="21"/>
              </w:rPr>
              <w:t>树脂装填量：≥140升</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5.4</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软水箱</w:t>
            </w:r>
          </w:p>
        </w:tc>
        <w:tc>
          <w:tcPr>
            <w:tcW w:w="5050" w:type="dxa"/>
            <w:vAlign w:val="center"/>
          </w:tcPr>
          <w:p>
            <w:pPr>
              <w:rPr>
                <w:rFonts w:ascii="宋体" w:hAnsi="宋体" w:cs="宋体"/>
                <w:color w:val="auto"/>
                <w:szCs w:val="21"/>
              </w:rPr>
            </w:pPr>
            <w:r>
              <w:rPr>
                <w:rFonts w:hint="eastAsia" w:ascii="宋体" w:hAnsi="宋体" w:cs="宋体"/>
                <w:color w:val="auto"/>
                <w:szCs w:val="21"/>
              </w:rPr>
              <w:t>容积：4m</w:t>
            </w:r>
            <w:r>
              <w:rPr>
                <w:rFonts w:hint="eastAsia" w:ascii="宋体" w:hAnsi="宋体" w:cs="宋体"/>
                <w:color w:val="auto"/>
                <w:szCs w:val="21"/>
                <w:vertAlign w:val="superscript"/>
              </w:rPr>
              <w:t>3</w:t>
            </w:r>
          </w:p>
          <w:p>
            <w:pPr>
              <w:rPr>
                <w:rFonts w:ascii="宋体" w:hAnsi="宋体" w:cs="宋体"/>
                <w:color w:val="auto"/>
                <w:szCs w:val="21"/>
              </w:rPr>
            </w:pPr>
            <w:r>
              <w:rPr>
                <w:rFonts w:hint="eastAsia" w:ascii="宋体" w:hAnsi="宋体" w:cs="宋体"/>
                <w:color w:val="auto"/>
                <w:szCs w:val="21"/>
              </w:rPr>
              <w:t>外形尺寸：≥2m×1m×2m</w:t>
            </w:r>
          </w:p>
          <w:p>
            <w:pPr>
              <w:rPr>
                <w:rFonts w:ascii="宋体" w:hAnsi="宋体" w:cs="宋体"/>
                <w:color w:val="auto"/>
                <w:szCs w:val="21"/>
              </w:rPr>
            </w:pPr>
            <w:r>
              <w:rPr>
                <w:rFonts w:hint="eastAsia" w:ascii="宋体" w:hAnsi="宋体" w:cs="宋体"/>
                <w:color w:val="auto"/>
                <w:szCs w:val="21"/>
              </w:rPr>
              <w:t>材质：全不锈钢</w:t>
            </w:r>
          </w:p>
          <w:p>
            <w:pPr>
              <w:rPr>
                <w:rFonts w:ascii="宋体" w:hAnsi="宋体" w:cs="宋体"/>
                <w:color w:val="auto"/>
                <w:szCs w:val="21"/>
              </w:rPr>
            </w:pPr>
            <w:r>
              <w:rPr>
                <w:rFonts w:hint="eastAsia" w:ascii="宋体" w:hAnsi="宋体" w:cs="宋体"/>
                <w:color w:val="auto"/>
                <w:szCs w:val="21"/>
              </w:rPr>
              <w:t>箱底厚度：≥2mm，箱壁厚度：≥1.2mm</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宋体" w:hAnsi="宋体" w:cs="宋体"/>
                <w:color w:val="auto"/>
                <w:szCs w:val="21"/>
              </w:rPr>
            </w:pPr>
            <w:r>
              <w:rPr>
                <w:rFonts w:hint="eastAsia" w:ascii="宋体" w:hAnsi="宋体" w:cs="宋体"/>
                <w:color w:val="auto"/>
                <w:szCs w:val="21"/>
              </w:rPr>
              <w:t>5.5</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空压机</w:t>
            </w:r>
          </w:p>
        </w:tc>
        <w:tc>
          <w:tcPr>
            <w:tcW w:w="5050" w:type="dxa"/>
            <w:vAlign w:val="center"/>
          </w:tcPr>
          <w:p>
            <w:pPr>
              <w:widowControl/>
              <w:rPr>
                <w:rFonts w:ascii="宋体" w:hAnsi="宋体" w:cs="宋体"/>
                <w:color w:val="auto"/>
                <w:szCs w:val="21"/>
              </w:rPr>
            </w:pPr>
            <w:r>
              <w:rPr>
                <w:rFonts w:hint="eastAsia" w:ascii="宋体" w:hAnsi="宋体" w:cs="宋体"/>
                <w:color w:val="auto"/>
                <w:szCs w:val="21"/>
              </w:rPr>
              <w:t xml:space="preserve">压缩方式：活塞式，全无油 </w:t>
            </w:r>
          </w:p>
          <w:p>
            <w:pPr>
              <w:widowControl/>
              <w:rPr>
                <w:rFonts w:ascii="宋体" w:hAnsi="宋体" w:cs="宋体"/>
                <w:color w:val="auto"/>
                <w:szCs w:val="21"/>
              </w:rPr>
            </w:pPr>
            <w:r>
              <w:rPr>
                <w:rFonts w:hint="eastAsia" w:ascii="宋体" w:hAnsi="宋体" w:cs="宋体"/>
                <w:color w:val="auto"/>
                <w:szCs w:val="21"/>
              </w:rPr>
              <w:t xml:space="preserve">排气量：≥0.67m3/min </w:t>
            </w:r>
          </w:p>
          <w:p>
            <w:pPr>
              <w:widowControl/>
              <w:rPr>
                <w:rFonts w:ascii="宋体" w:hAnsi="宋体" w:cs="宋体"/>
                <w:color w:val="auto"/>
                <w:szCs w:val="21"/>
              </w:rPr>
            </w:pPr>
            <w:r>
              <w:rPr>
                <w:rFonts w:hint="eastAsia" w:ascii="宋体" w:hAnsi="宋体" w:cs="宋体"/>
                <w:color w:val="auto"/>
                <w:szCs w:val="21"/>
              </w:rPr>
              <w:t xml:space="preserve">排气压力：≥1.0mpa </w:t>
            </w:r>
          </w:p>
          <w:p>
            <w:pPr>
              <w:widowControl/>
              <w:rPr>
                <w:rFonts w:ascii="宋体" w:hAnsi="宋体" w:cs="宋体"/>
                <w:color w:val="auto"/>
                <w:szCs w:val="21"/>
              </w:rPr>
            </w:pPr>
            <w:r>
              <w:rPr>
                <w:rFonts w:hint="eastAsia" w:ascii="宋体" w:hAnsi="宋体" w:cs="宋体"/>
                <w:color w:val="auto"/>
                <w:szCs w:val="21"/>
              </w:rPr>
              <w:t>配套动力：≤11kw</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b/>
                <w:bCs/>
                <w:color w:val="auto"/>
                <w:szCs w:val="21"/>
              </w:rPr>
            </w:pPr>
            <w:r>
              <w:rPr>
                <w:rFonts w:hint="eastAsia" w:ascii="宋体" w:hAnsi="宋体" w:cs="宋体"/>
                <w:b/>
                <w:bCs/>
                <w:color w:val="auto"/>
                <w:szCs w:val="21"/>
              </w:rPr>
              <w:t>六</w:t>
            </w:r>
          </w:p>
        </w:tc>
        <w:tc>
          <w:tcPr>
            <w:tcW w:w="8279" w:type="dxa"/>
            <w:gridSpan w:val="4"/>
            <w:vAlign w:val="center"/>
          </w:tcPr>
          <w:p>
            <w:pPr>
              <w:widowControl/>
              <w:jc w:val="center"/>
              <w:rPr>
                <w:rFonts w:ascii="宋体" w:hAnsi="宋体" w:cs="宋体"/>
                <w:b/>
                <w:bCs/>
                <w:color w:val="auto"/>
                <w:szCs w:val="21"/>
              </w:rPr>
            </w:pPr>
            <w:r>
              <w:rPr>
                <w:rFonts w:hint="eastAsia" w:ascii="宋体" w:hAnsi="宋体" w:cs="宋体"/>
                <w:b/>
                <w:bCs/>
                <w:color w:val="auto"/>
                <w:szCs w:val="21"/>
              </w:rPr>
              <w:t>蒸汽供应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6.1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蒸汽锅炉</w:t>
            </w:r>
          </w:p>
        </w:tc>
        <w:tc>
          <w:tcPr>
            <w:tcW w:w="5050" w:type="dxa"/>
            <w:vAlign w:val="center"/>
          </w:tcPr>
          <w:p>
            <w:pPr>
              <w:rPr>
                <w:rFonts w:ascii="宋体" w:hAnsi="宋体" w:cs="宋体"/>
                <w:color w:val="auto"/>
                <w:szCs w:val="21"/>
              </w:rPr>
            </w:pPr>
            <w:r>
              <w:rPr>
                <w:rFonts w:hint="eastAsia" w:ascii="宋体" w:hAnsi="宋体" w:cs="宋体"/>
                <w:color w:val="auto"/>
                <w:szCs w:val="21"/>
              </w:rPr>
              <w:t>额定蒸发量：340kg/h  热效率≥93%</w:t>
            </w:r>
          </w:p>
          <w:p>
            <w:pPr>
              <w:rPr>
                <w:rFonts w:ascii="宋体" w:hAnsi="宋体" w:cs="宋体"/>
                <w:color w:val="auto"/>
                <w:szCs w:val="21"/>
              </w:rPr>
            </w:pPr>
            <w:r>
              <w:rPr>
                <w:rFonts w:hint="eastAsia" w:ascii="宋体" w:hAnsi="宋体" w:cs="宋体"/>
                <w:color w:val="auto"/>
                <w:szCs w:val="21"/>
              </w:rPr>
              <w:t>额定压力：1.0Mpa</w:t>
            </w:r>
          </w:p>
          <w:p>
            <w:pPr>
              <w:rPr>
                <w:rFonts w:ascii="宋体" w:hAnsi="宋体" w:cs="宋体"/>
                <w:color w:val="auto"/>
                <w:szCs w:val="21"/>
              </w:rPr>
            </w:pPr>
            <w:r>
              <w:rPr>
                <w:rFonts w:hint="eastAsia" w:ascii="宋体" w:hAnsi="宋体" w:cs="宋体"/>
                <w:color w:val="auto"/>
                <w:szCs w:val="21"/>
              </w:rPr>
              <w:t>饱和蒸汽温度：185摄氏度</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套</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b/>
                <w:bCs/>
                <w:color w:val="auto"/>
                <w:szCs w:val="21"/>
              </w:rPr>
            </w:pPr>
            <w:r>
              <w:rPr>
                <w:rFonts w:hint="eastAsia" w:ascii="宋体" w:hAnsi="宋体" w:cs="宋体"/>
                <w:b/>
                <w:bCs/>
                <w:color w:val="auto"/>
                <w:szCs w:val="21"/>
              </w:rPr>
              <w:t>七</w:t>
            </w:r>
          </w:p>
        </w:tc>
        <w:tc>
          <w:tcPr>
            <w:tcW w:w="8279" w:type="dxa"/>
            <w:gridSpan w:val="4"/>
            <w:vAlign w:val="center"/>
          </w:tcPr>
          <w:p>
            <w:pPr>
              <w:widowControl/>
              <w:jc w:val="center"/>
              <w:rPr>
                <w:rFonts w:ascii="宋体" w:hAnsi="宋体" w:cs="宋体"/>
                <w:b/>
                <w:bCs/>
                <w:color w:val="auto"/>
                <w:szCs w:val="21"/>
              </w:rPr>
            </w:pPr>
            <w:r>
              <w:rPr>
                <w:rFonts w:hint="eastAsia" w:ascii="宋体" w:hAnsi="宋体" w:cs="宋体"/>
                <w:b/>
                <w:bCs/>
                <w:color w:val="auto"/>
                <w:szCs w:val="21"/>
              </w:rPr>
              <w:t>尾气处理设备（除臭设备）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7.1</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尾气处理设备（除臭设备）</w:t>
            </w:r>
          </w:p>
        </w:tc>
        <w:tc>
          <w:tcPr>
            <w:tcW w:w="5050" w:type="dxa"/>
            <w:vAlign w:val="center"/>
          </w:tcPr>
          <w:p>
            <w:pPr>
              <w:rPr>
                <w:rFonts w:ascii="宋体" w:hAnsi="宋体" w:cs="宋体"/>
                <w:color w:val="auto"/>
                <w:szCs w:val="21"/>
              </w:rPr>
            </w:pPr>
            <w:r>
              <w:rPr>
                <w:rFonts w:hint="eastAsia" w:ascii="宋体" w:hAnsi="宋体" w:cs="宋体"/>
                <w:color w:val="auto"/>
                <w:szCs w:val="21"/>
              </w:rPr>
              <w:t>1）车间废气采用局部收集+光催化氧化+活性炭过滤的处理工艺</w:t>
            </w:r>
          </w:p>
          <w:p>
            <w:pPr>
              <w:rPr>
                <w:rFonts w:ascii="宋体" w:hAnsi="宋体" w:cs="宋体"/>
                <w:color w:val="auto"/>
                <w:szCs w:val="21"/>
              </w:rPr>
            </w:pPr>
            <w:r>
              <w:rPr>
                <w:rFonts w:hint="eastAsia" w:ascii="宋体" w:hAnsi="宋体" w:cs="宋体"/>
                <w:color w:val="auto"/>
                <w:szCs w:val="21"/>
              </w:rPr>
              <w:t>2）集中收集点包括上料区、灭菌器出口处、破碎区</w:t>
            </w:r>
          </w:p>
          <w:p>
            <w:pPr>
              <w:rPr>
                <w:rFonts w:ascii="宋体" w:hAnsi="宋体" w:cs="宋体"/>
                <w:color w:val="auto"/>
                <w:szCs w:val="21"/>
              </w:rPr>
            </w:pPr>
            <w:r>
              <w:rPr>
                <w:rFonts w:hint="eastAsia" w:ascii="宋体" w:hAnsi="宋体" w:cs="宋体"/>
                <w:color w:val="auto"/>
                <w:szCs w:val="21"/>
              </w:rPr>
              <w:t>3）风量≥5000m3/h</w:t>
            </w:r>
          </w:p>
          <w:p>
            <w:pPr>
              <w:rPr>
                <w:rFonts w:ascii="宋体" w:hAnsi="宋体" w:cs="宋体"/>
                <w:color w:val="auto"/>
                <w:szCs w:val="21"/>
              </w:rPr>
            </w:pPr>
            <w:r>
              <w:rPr>
                <w:rFonts w:hint="eastAsia" w:ascii="宋体" w:hAnsi="宋体" w:cs="宋体"/>
                <w:color w:val="auto"/>
                <w:szCs w:val="21"/>
              </w:rPr>
              <w:t>4）风罩及风管采用PP材质，布局美观合理，便于维修</w:t>
            </w:r>
          </w:p>
          <w:p>
            <w:pPr>
              <w:rPr>
                <w:rFonts w:ascii="宋体" w:hAnsi="宋体" w:cs="宋体"/>
                <w:color w:val="auto"/>
                <w:szCs w:val="21"/>
              </w:rPr>
            </w:pPr>
            <w:r>
              <w:rPr>
                <w:rFonts w:hint="eastAsia" w:ascii="宋体" w:hAnsi="宋体" w:cs="宋体"/>
                <w:color w:val="auto"/>
                <w:szCs w:val="21"/>
              </w:rPr>
              <w:t>5）废气处理排放满足《大气污染物综合排放标准》（GB16297-1996），《恶臭污染物排放标准》（GB14554-1993）。</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套</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widowControl/>
              <w:jc w:val="center"/>
              <w:rPr>
                <w:rFonts w:ascii="宋体" w:hAnsi="宋体" w:cs="宋体"/>
                <w:b/>
                <w:bCs/>
                <w:color w:val="auto"/>
                <w:szCs w:val="21"/>
              </w:rPr>
            </w:pPr>
            <w:r>
              <w:rPr>
                <w:rFonts w:hint="eastAsia" w:ascii="宋体" w:hAnsi="宋体" w:cs="宋体"/>
                <w:b/>
                <w:bCs/>
                <w:color w:val="auto"/>
                <w:szCs w:val="21"/>
              </w:rPr>
              <w:t>八</w:t>
            </w:r>
          </w:p>
        </w:tc>
        <w:tc>
          <w:tcPr>
            <w:tcW w:w="8279" w:type="dxa"/>
            <w:gridSpan w:val="4"/>
            <w:vAlign w:val="center"/>
          </w:tcPr>
          <w:p>
            <w:pPr>
              <w:widowControl/>
              <w:jc w:val="center"/>
              <w:rPr>
                <w:rFonts w:ascii="宋体" w:hAnsi="宋体" w:cs="宋体"/>
                <w:b/>
                <w:bCs/>
                <w:color w:val="auto"/>
                <w:szCs w:val="21"/>
              </w:rPr>
            </w:pPr>
            <w:r>
              <w:rPr>
                <w:rFonts w:hint="eastAsia" w:ascii="宋体" w:hAnsi="宋体" w:cs="宋体"/>
                <w:b/>
                <w:bCs/>
                <w:color w:val="auto"/>
                <w:szCs w:val="21"/>
              </w:rPr>
              <w:t>污水处理系统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667" w:type="dxa"/>
            <w:vAlign w:val="center"/>
          </w:tcPr>
          <w:p>
            <w:pPr>
              <w:widowControl/>
              <w:jc w:val="center"/>
              <w:rPr>
                <w:rFonts w:ascii="宋体" w:hAnsi="宋体" w:cs="宋体"/>
                <w:color w:val="auto"/>
                <w:szCs w:val="21"/>
              </w:rPr>
            </w:pPr>
            <w:r>
              <w:rPr>
                <w:rFonts w:hint="eastAsia" w:ascii="宋体" w:hAnsi="宋体" w:cs="宋体"/>
                <w:color w:val="auto"/>
                <w:szCs w:val="21"/>
              </w:rPr>
              <w:t>8.1</w:t>
            </w:r>
          </w:p>
        </w:tc>
        <w:tc>
          <w:tcPr>
            <w:tcW w:w="1588" w:type="dxa"/>
            <w:vAlign w:val="center"/>
          </w:tcPr>
          <w:p>
            <w:pPr>
              <w:rPr>
                <w:rFonts w:ascii="宋体" w:hAnsi="宋体" w:cs="宋体"/>
                <w:color w:val="auto"/>
              </w:rPr>
            </w:pPr>
            <w:r>
              <w:rPr>
                <w:rFonts w:hint="eastAsia" w:ascii="宋体" w:hAnsi="宋体" w:cs="宋体"/>
                <w:color w:val="auto"/>
              </w:rPr>
              <w:t>污水处理系统</w:t>
            </w:r>
          </w:p>
        </w:tc>
        <w:tc>
          <w:tcPr>
            <w:tcW w:w="5050" w:type="dxa"/>
            <w:vAlign w:val="center"/>
          </w:tcPr>
          <w:p>
            <w:pPr>
              <w:numPr>
                <w:ilvl w:val="0"/>
                <w:numId w:val="4"/>
              </w:numPr>
              <w:rPr>
                <w:rFonts w:ascii="宋体" w:hAnsi="宋体" w:cs="宋体"/>
                <w:color w:val="auto"/>
              </w:rPr>
            </w:pPr>
            <w:r>
              <w:rPr>
                <w:rFonts w:hint="eastAsia" w:ascii="宋体" w:hAnsi="宋体" w:cs="宋体"/>
                <w:color w:val="auto"/>
              </w:rPr>
              <w:t>初雨调蓄池</w:t>
            </w:r>
          </w:p>
          <w:p>
            <w:pPr>
              <w:rPr>
                <w:rFonts w:ascii="宋体" w:hAnsi="宋体" w:cs="宋体"/>
                <w:color w:val="auto"/>
              </w:rPr>
            </w:pPr>
            <w:r>
              <w:rPr>
                <w:rFonts w:hint="eastAsia" w:ascii="宋体" w:hAnsi="宋体" w:cs="宋体"/>
                <w:color w:val="auto"/>
              </w:rPr>
              <w:t>1.1池体7.6×6.6×5.5m，304不锈钢材质，数量1座；</w:t>
            </w:r>
          </w:p>
          <w:p>
            <w:pPr>
              <w:rPr>
                <w:rFonts w:ascii="宋体" w:hAnsi="宋体" w:cs="宋体"/>
                <w:color w:val="auto"/>
              </w:rPr>
            </w:pPr>
            <w:r>
              <w:rPr>
                <w:rFonts w:hint="eastAsia" w:ascii="宋体" w:hAnsi="宋体" w:cs="宋体"/>
                <w:color w:val="auto"/>
              </w:rPr>
              <w:t>1.2提升泵：潜水泵，Q=10m3/h，H=8m，P=1.5kW，数量2台；</w:t>
            </w:r>
          </w:p>
          <w:p>
            <w:pPr>
              <w:rPr>
                <w:rFonts w:ascii="宋体" w:hAnsi="宋体" w:cs="宋体"/>
                <w:color w:val="auto"/>
              </w:rPr>
            </w:pPr>
            <w:r>
              <w:rPr>
                <w:rFonts w:hint="eastAsia" w:ascii="宋体" w:hAnsi="宋体" w:cs="宋体"/>
                <w:color w:val="auto"/>
              </w:rPr>
              <w:t>2、絮凝沉淀设备</w:t>
            </w:r>
          </w:p>
          <w:p>
            <w:pPr>
              <w:rPr>
                <w:rFonts w:ascii="宋体" w:hAnsi="宋体" w:cs="宋体"/>
                <w:color w:val="auto"/>
              </w:rPr>
            </w:pPr>
            <w:r>
              <w:rPr>
                <w:rFonts w:hint="eastAsia" w:ascii="宋体" w:hAnsi="宋体" w:cs="宋体"/>
                <w:color w:val="auto"/>
              </w:rPr>
              <w:t>2.1 壳体：5.0×3.0×3.5m，304不锈钢材质，含絮凝区、沉淀区，数量1个。</w:t>
            </w:r>
          </w:p>
          <w:p>
            <w:pPr>
              <w:rPr>
                <w:rFonts w:ascii="宋体" w:hAnsi="宋体" w:cs="宋体"/>
                <w:color w:val="auto"/>
              </w:rPr>
            </w:pPr>
            <w:r>
              <w:rPr>
                <w:rFonts w:hint="eastAsia" w:ascii="宋体" w:hAnsi="宋体" w:cs="宋体"/>
                <w:color w:val="auto"/>
              </w:rPr>
              <w:t>2.2 立式搅拌器：P=0.2kW，数量2台。</w:t>
            </w:r>
          </w:p>
          <w:p>
            <w:pPr>
              <w:rPr>
                <w:rFonts w:ascii="宋体" w:hAnsi="宋体" w:cs="宋体"/>
                <w:color w:val="auto"/>
              </w:rPr>
            </w:pPr>
            <w:r>
              <w:rPr>
                <w:rFonts w:hint="eastAsia" w:ascii="宋体" w:hAnsi="宋体" w:cs="宋体"/>
                <w:color w:val="auto"/>
              </w:rPr>
              <w:t>2.3 蜂窝填料：安装角度60°，数量16m³。</w:t>
            </w:r>
          </w:p>
          <w:p>
            <w:pPr>
              <w:rPr>
                <w:rFonts w:ascii="宋体" w:hAnsi="宋体" w:cs="宋体"/>
                <w:color w:val="auto"/>
              </w:rPr>
            </w:pPr>
            <w:r>
              <w:rPr>
                <w:rFonts w:hint="eastAsia" w:ascii="宋体" w:hAnsi="宋体" w:cs="宋体"/>
                <w:color w:val="auto"/>
              </w:rPr>
              <w:t>3、PAC加药系统：加药量25mg/L，壳体PP，数量1套；</w:t>
            </w:r>
          </w:p>
          <w:p>
            <w:pPr>
              <w:rPr>
                <w:rFonts w:ascii="宋体" w:hAnsi="宋体" w:cs="宋体"/>
                <w:color w:val="auto"/>
              </w:rPr>
            </w:pPr>
            <w:r>
              <w:rPr>
                <w:rFonts w:hint="eastAsia" w:ascii="宋体" w:hAnsi="宋体" w:cs="宋体"/>
                <w:color w:val="auto"/>
              </w:rPr>
              <w:t>4、二氧化氯发生器：有效氯0.2kg/h，数量1套。</w:t>
            </w:r>
          </w:p>
        </w:tc>
        <w:tc>
          <w:tcPr>
            <w:tcW w:w="825" w:type="dxa"/>
            <w:vAlign w:val="center"/>
          </w:tcPr>
          <w:p>
            <w:pPr>
              <w:widowControl/>
              <w:jc w:val="center"/>
              <w:rPr>
                <w:rFonts w:ascii="宋体" w:hAnsi="宋体" w:cs="宋体"/>
                <w:color w:val="auto"/>
                <w:szCs w:val="21"/>
              </w:rPr>
            </w:pPr>
            <w:r>
              <w:rPr>
                <w:rFonts w:hint="eastAsia" w:ascii="宋体" w:hAnsi="宋体" w:cs="宋体"/>
                <w:color w:val="auto"/>
                <w:szCs w:val="21"/>
              </w:rPr>
              <w:t>套</w:t>
            </w:r>
          </w:p>
        </w:tc>
        <w:tc>
          <w:tcPr>
            <w:tcW w:w="816" w:type="dxa"/>
            <w:vAlign w:val="center"/>
          </w:tcPr>
          <w:p>
            <w:pPr>
              <w:widowControl/>
              <w:jc w:val="center"/>
              <w:rPr>
                <w:rFonts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5"/>
            <w:vAlign w:val="center"/>
          </w:tcPr>
          <w:p>
            <w:pPr>
              <w:pStyle w:val="23"/>
              <w:snapToGrid w:val="0"/>
              <w:spacing w:line="400" w:lineRule="exact"/>
              <w:outlineLvl w:val="0"/>
              <w:rPr>
                <w:rFonts w:hAnsi="宋体" w:cs="宋体"/>
                <w:color w:val="auto"/>
                <w:sz w:val="21"/>
              </w:rPr>
            </w:pPr>
            <w:r>
              <w:rPr>
                <w:rFonts w:hint="eastAsia" w:hAnsi="宋体" w:cs="宋体"/>
                <w:color w:val="auto"/>
                <w:sz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255" w:type="dxa"/>
            <w:gridSpan w:val="2"/>
            <w:vAlign w:val="center"/>
          </w:tcPr>
          <w:p>
            <w:pPr>
              <w:snapToGrid w:val="0"/>
              <w:jc w:val="center"/>
              <w:rPr>
                <w:rFonts w:ascii="宋体" w:hAnsi="宋体" w:cs="宋体"/>
                <w:color w:val="auto"/>
                <w:szCs w:val="21"/>
              </w:rPr>
            </w:pPr>
            <w:r>
              <w:rPr>
                <w:rFonts w:hint="eastAsia" w:ascii="宋体" w:hAnsi="宋体" w:cs="宋体"/>
                <w:b/>
                <w:color w:val="auto"/>
                <w:szCs w:val="21"/>
              </w:rPr>
              <w:t>项目交货地点及交货期</w:t>
            </w:r>
          </w:p>
        </w:tc>
        <w:tc>
          <w:tcPr>
            <w:tcW w:w="6691" w:type="dxa"/>
            <w:gridSpan w:val="3"/>
            <w:vAlign w:val="center"/>
          </w:tcPr>
          <w:p>
            <w:pPr>
              <w:spacing w:line="360" w:lineRule="exact"/>
              <w:rPr>
                <w:rFonts w:ascii="宋体" w:hAnsi="宋体" w:cs="宋体"/>
                <w:color w:val="auto"/>
                <w:szCs w:val="21"/>
              </w:rPr>
            </w:pPr>
            <w:r>
              <w:rPr>
                <w:rFonts w:hint="eastAsia" w:ascii="宋体" w:hAnsi="宋体" w:cs="宋体"/>
                <w:color w:val="auto"/>
                <w:szCs w:val="21"/>
              </w:rPr>
              <w:t>1、交货地点：广西壮族自治区防城港市内采购人指定地点。</w:t>
            </w:r>
          </w:p>
          <w:p>
            <w:pPr>
              <w:spacing w:line="360" w:lineRule="exact"/>
              <w:rPr>
                <w:rFonts w:ascii="宋体" w:hAnsi="宋体" w:cs="宋体"/>
                <w:color w:val="auto"/>
                <w:szCs w:val="21"/>
              </w:rPr>
            </w:pPr>
            <w:r>
              <w:rPr>
                <w:rFonts w:hint="eastAsia" w:ascii="宋体" w:hAnsi="宋体" w:cs="宋体"/>
                <w:color w:val="auto"/>
                <w:szCs w:val="21"/>
              </w:rPr>
              <w:t>2、交货期：自合同签订之日起90天内交付使用。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gridSpan w:val="2"/>
            <w:vAlign w:val="center"/>
          </w:tcPr>
          <w:p>
            <w:pPr>
              <w:spacing w:line="360" w:lineRule="exact"/>
              <w:jc w:val="center"/>
              <w:rPr>
                <w:rFonts w:ascii="宋体" w:hAnsi="宋体" w:cs="宋体"/>
                <w:color w:val="auto"/>
                <w:szCs w:val="21"/>
              </w:rPr>
            </w:pPr>
            <w:r>
              <w:rPr>
                <w:rFonts w:hint="eastAsia" w:ascii="宋体" w:hAnsi="宋体" w:cs="宋体"/>
                <w:b/>
                <w:color w:val="auto"/>
                <w:szCs w:val="21"/>
              </w:rPr>
              <w:t>质保期</w:t>
            </w:r>
          </w:p>
        </w:tc>
        <w:tc>
          <w:tcPr>
            <w:tcW w:w="6691" w:type="dxa"/>
            <w:gridSpan w:val="3"/>
          </w:tcPr>
          <w:p>
            <w:pPr>
              <w:spacing w:line="360" w:lineRule="exact"/>
              <w:rPr>
                <w:rFonts w:ascii="宋体" w:hAnsi="宋体" w:cs="宋体"/>
                <w:b/>
                <w:color w:val="auto"/>
                <w:szCs w:val="21"/>
              </w:rPr>
            </w:pPr>
            <w:r>
              <w:rPr>
                <w:rFonts w:hint="eastAsia" w:ascii="宋体" w:hAnsi="宋体" w:cs="宋体"/>
                <w:color w:val="auto"/>
                <w:szCs w:val="21"/>
              </w:rPr>
              <w:t>除特别说明外，交货验收合格之日起，产品质保期</w:t>
            </w:r>
            <w:r>
              <w:rPr>
                <w:rFonts w:hint="eastAsia" w:ascii="宋体" w:hAnsi="宋体" w:cs="宋体"/>
                <w:color w:val="auto"/>
                <w:kern w:val="0"/>
                <w:szCs w:val="21"/>
              </w:rPr>
              <w:t>2</w:t>
            </w:r>
            <w:r>
              <w:rPr>
                <w:rFonts w:hint="eastAsia" w:ascii="宋体" w:hAnsi="宋体" w:cs="宋体"/>
                <w:color w:val="auto"/>
                <w:szCs w:val="21"/>
              </w:rPr>
              <w:t>年，质保期内全免费上门维修、免费更换零部件。</w:t>
            </w:r>
            <w:bookmarkStart w:id="597" w:name="_GoBack"/>
            <w:bookmarkEnd w:id="5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gridSpan w:val="2"/>
            <w:vAlign w:val="center"/>
          </w:tcPr>
          <w:p>
            <w:pPr>
              <w:spacing w:line="360" w:lineRule="exact"/>
              <w:jc w:val="center"/>
              <w:rPr>
                <w:rFonts w:ascii="宋体" w:cs="宋体"/>
                <w:color w:val="auto"/>
                <w:szCs w:val="21"/>
              </w:rPr>
            </w:pPr>
            <w:r>
              <w:rPr>
                <w:rFonts w:hint="eastAsia" w:ascii="宋体" w:hAnsi="宋体" w:cs="宋体"/>
                <w:b/>
                <w:color w:val="auto"/>
                <w:szCs w:val="21"/>
              </w:rPr>
              <w:t>售后服务要求</w:t>
            </w:r>
          </w:p>
        </w:tc>
        <w:tc>
          <w:tcPr>
            <w:tcW w:w="6691" w:type="dxa"/>
            <w:gridSpan w:val="3"/>
          </w:tcPr>
          <w:p>
            <w:pPr>
              <w:spacing w:line="360" w:lineRule="exact"/>
              <w:rPr>
                <w:rFonts w:ascii="宋体" w:cs="宋体"/>
                <w:color w:val="auto"/>
                <w:spacing w:val="4"/>
                <w:szCs w:val="21"/>
              </w:rPr>
            </w:pPr>
            <w:r>
              <w:rPr>
                <w:rFonts w:hint="eastAsia" w:ascii="宋体" w:cs="宋体"/>
                <w:color w:val="auto"/>
                <w:spacing w:val="4"/>
                <w:szCs w:val="21"/>
              </w:rPr>
              <w:t>1.设备调试完成后，提供相关技术资料和操作手册（包括：设备的操作和保养程序、日常检查和维修方案、紧急情况应急预案等）。</w:t>
            </w:r>
          </w:p>
          <w:p>
            <w:pPr>
              <w:spacing w:line="360" w:lineRule="exact"/>
              <w:rPr>
                <w:rFonts w:ascii="宋体" w:cs="宋体"/>
                <w:color w:val="auto"/>
                <w:spacing w:val="4"/>
                <w:szCs w:val="21"/>
              </w:rPr>
            </w:pPr>
            <w:r>
              <w:rPr>
                <w:rFonts w:hint="eastAsia" w:ascii="宋体" w:cs="宋体"/>
                <w:color w:val="auto"/>
                <w:spacing w:val="4"/>
                <w:szCs w:val="21"/>
              </w:rPr>
              <w:t>2.保修期内免收全部维修费用，保修期后设备发生故障，免费进行维修，只收取损零抨件的费用。</w:t>
            </w:r>
          </w:p>
          <w:p>
            <w:pPr>
              <w:spacing w:line="360" w:lineRule="exact"/>
              <w:rPr>
                <w:rFonts w:ascii="宋体" w:cs="宋体"/>
                <w:color w:val="auto"/>
                <w:spacing w:val="4"/>
                <w:szCs w:val="21"/>
              </w:rPr>
            </w:pPr>
            <w:r>
              <w:rPr>
                <w:rFonts w:hint="eastAsia" w:ascii="宋体" w:cs="宋体"/>
                <w:color w:val="auto"/>
                <w:spacing w:val="4"/>
                <w:szCs w:val="21"/>
              </w:rPr>
              <w:t>3.负责对买方工作人员进行全套设备的培训并提供培训资料，培训内容主要包括供货设备及系统的工作原理、操作、运行及维护等方面的知识，直至对方能独立熟练操作、运行、维护，理论及实际操作的培训时间各不少于一周。</w:t>
            </w:r>
          </w:p>
          <w:p>
            <w:pPr>
              <w:spacing w:line="360" w:lineRule="exact"/>
              <w:rPr>
                <w:rFonts w:ascii="宋体" w:cs="宋体"/>
                <w:color w:val="auto"/>
                <w:spacing w:val="4"/>
                <w:szCs w:val="21"/>
              </w:rPr>
            </w:pPr>
            <w:r>
              <w:rPr>
                <w:rFonts w:hint="eastAsia" w:ascii="宋体" w:cs="宋体"/>
                <w:color w:val="auto"/>
                <w:spacing w:val="4"/>
                <w:szCs w:val="21"/>
              </w:rPr>
              <w:t>4.对设备进行跟踪服务，保修期内每年6次保修期外每年4次免费巡查，就设备、管线使用情况进行定期检查。</w:t>
            </w:r>
          </w:p>
          <w:p>
            <w:pPr>
              <w:spacing w:line="360" w:lineRule="exact"/>
              <w:rPr>
                <w:rFonts w:ascii="宋体" w:cs="宋体"/>
                <w:color w:val="auto"/>
                <w:spacing w:val="4"/>
                <w:szCs w:val="21"/>
              </w:rPr>
            </w:pPr>
            <w:r>
              <w:rPr>
                <w:rFonts w:hint="eastAsia" w:ascii="宋体" w:cs="宋体"/>
                <w:color w:val="auto"/>
                <w:spacing w:val="4"/>
                <w:szCs w:val="21"/>
              </w:rPr>
              <w:t>5.为买方提供7×24小时全天候服务，对买方的服务需求迅速作出响应，设备发生故障时，保证在接到故障电话后立即响应，30分钟内由专业技术人员给予答复；对一般性技术问题通过电话或网络技术支持在2小时解决；对通过电话或网络技术支持不能解决的较大问题应2小时内响应，12小时内到达现场解决；对现场无法修复的设备，采用同类完好设备进行应急替换，替换设备发送、安装、调试时间不超过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55" w:type="dxa"/>
            <w:gridSpan w:val="2"/>
            <w:vAlign w:val="center"/>
          </w:tcPr>
          <w:p>
            <w:pPr>
              <w:snapToGrid w:val="0"/>
              <w:jc w:val="center"/>
              <w:rPr>
                <w:rFonts w:ascii="宋体" w:cs="宋体"/>
                <w:color w:val="auto"/>
                <w:szCs w:val="21"/>
              </w:rPr>
            </w:pPr>
            <w:r>
              <w:rPr>
                <w:rFonts w:hint="eastAsia" w:ascii="宋体" w:hAnsi="宋体" w:cs="宋体"/>
                <w:b/>
                <w:color w:val="auto"/>
                <w:szCs w:val="21"/>
              </w:rPr>
              <w:t>合同签订期</w:t>
            </w:r>
          </w:p>
        </w:tc>
        <w:tc>
          <w:tcPr>
            <w:tcW w:w="6691" w:type="dxa"/>
            <w:gridSpan w:val="3"/>
            <w:vAlign w:val="center"/>
          </w:tcPr>
          <w:p>
            <w:pPr>
              <w:snapToGrid w:val="0"/>
              <w:rPr>
                <w:rFonts w:ascii="宋体" w:cs="宋体"/>
                <w:color w:val="auto"/>
                <w:szCs w:val="21"/>
              </w:rPr>
            </w:pPr>
            <w:r>
              <w:rPr>
                <w:rFonts w:hint="eastAsia" w:ascii="宋体" w:hAnsi="宋体" w:cs="宋体"/>
                <w:color w:val="auto"/>
                <w:szCs w:val="21"/>
              </w:rPr>
              <w:t>自中标通知书发出之日起5天内，超过时间不签订合同的，采购人有权作自动放弃中标资格处理。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55" w:type="dxa"/>
            <w:gridSpan w:val="2"/>
            <w:vAlign w:val="center"/>
          </w:tcPr>
          <w:p>
            <w:pPr>
              <w:snapToGrid w:val="0"/>
              <w:jc w:val="center"/>
              <w:rPr>
                <w:rFonts w:ascii="宋体" w:cs="宋体"/>
                <w:color w:val="auto"/>
                <w:szCs w:val="21"/>
              </w:rPr>
            </w:pPr>
            <w:r>
              <w:rPr>
                <w:rFonts w:hint="eastAsia" w:ascii="宋体" w:hAnsi="宋体" w:cs="宋体"/>
                <w:b/>
                <w:color w:val="auto"/>
                <w:szCs w:val="21"/>
              </w:rPr>
              <w:t>付款条件</w:t>
            </w:r>
          </w:p>
        </w:tc>
        <w:tc>
          <w:tcPr>
            <w:tcW w:w="6691" w:type="dxa"/>
            <w:gridSpan w:val="3"/>
            <w:vAlign w:val="center"/>
          </w:tcPr>
          <w:p>
            <w:pPr>
              <w:snapToGrid w:val="0"/>
              <w:rPr>
                <w:rFonts w:ascii="宋体" w:cs="宋体"/>
                <w:color w:val="auto"/>
                <w:szCs w:val="21"/>
              </w:rPr>
            </w:pPr>
            <w:r>
              <w:rPr>
                <w:rFonts w:hint="eastAsia" w:ascii="宋体" w:cs="宋体"/>
                <w:color w:val="auto"/>
                <w:szCs w:val="21"/>
              </w:rPr>
              <w:t>合同签订后15个工作日内，甲方支付合同价款30%，所采购设备全部运输到现场，经初步验收后支付至合同价款的50%，安装调试完成支付至合同价款的70%，验收合格支付至合同价款的95%，余款作为质保金，在质保期满后，根据质保履行情况支付，每次支付时间期限为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255" w:type="dxa"/>
            <w:gridSpan w:val="2"/>
            <w:vAlign w:val="center"/>
          </w:tcPr>
          <w:p>
            <w:pPr>
              <w:snapToGrid w:val="0"/>
              <w:jc w:val="center"/>
              <w:rPr>
                <w:rFonts w:ascii="宋体" w:cs="宋体"/>
                <w:color w:val="auto"/>
                <w:szCs w:val="21"/>
              </w:rPr>
            </w:pPr>
            <w:r>
              <w:rPr>
                <w:rFonts w:hint="eastAsia" w:ascii="宋体" w:hAnsi="宋体" w:cs="宋体"/>
                <w:b/>
                <w:color w:val="auto"/>
                <w:szCs w:val="21"/>
              </w:rPr>
              <w:t>核心产品</w:t>
            </w:r>
          </w:p>
        </w:tc>
        <w:tc>
          <w:tcPr>
            <w:tcW w:w="6691" w:type="dxa"/>
            <w:gridSpan w:val="3"/>
            <w:vAlign w:val="center"/>
          </w:tcPr>
          <w:p>
            <w:pPr>
              <w:tabs>
                <w:tab w:val="center" w:pos="3345"/>
              </w:tabs>
              <w:snapToGrid w:val="0"/>
              <w:rPr>
                <w:rFonts w:ascii="宋体" w:cs="宋体"/>
                <w:color w:val="auto"/>
                <w:szCs w:val="21"/>
              </w:rPr>
            </w:pPr>
            <w:r>
              <w:rPr>
                <w:rFonts w:hint="eastAsia" w:ascii="宋体" w:cs="宋体"/>
                <w:b/>
                <w:bCs/>
                <w:color w:val="auto"/>
                <w:szCs w:val="21"/>
              </w:rPr>
              <w:t>医疗废物高温蒸汽灭菌器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gridSpan w:val="2"/>
            <w:vAlign w:val="center"/>
          </w:tcPr>
          <w:p>
            <w:pPr>
              <w:snapToGrid w:val="0"/>
              <w:jc w:val="center"/>
              <w:rPr>
                <w:rFonts w:ascii="宋体" w:cs="宋体"/>
                <w:color w:val="auto"/>
                <w:szCs w:val="21"/>
              </w:rPr>
            </w:pPr>
            <w:r>
              <w:rPr>
                <w:rFonts w:hint="eastAsia" w:ascii="宋体" w:cs="宋体"/>
                <w:color w:val="auto"/>
                <w:szCs w:val="21"/>
              </w:rPr>
              <w:t>设备安装要求</w:t>
            </w:r>
          </w:p>
        </w:tc>
        <w:tc>
          <w:tcPr>
            <w:tcW w:w="6691" w:type="dxa"/>
            <w:gridSpan w:val="3"/>
            <w:vAlign w:val="center"/>
          </w:tcPr>
          <w:p>
            <w:pPr>
              <w:spacing w:line="360" w:lineRule="exact"/>
              <w:rPr>
                <w:rFonts w:ascii="宋体" w:cs="宋体"/>
                <w:color w:val="auto"/>
                <w:spacing w:val="4"/>
                <w:szCs w:val="21"/>
              </w:rPr>
            </w:pPr>
            <w:r>
              <w:rPr>
                <w:rFonts w:hint="eastAsia" w:ascii="宋体" w:cs="宋体"/>
                <w:color w:val="auto"/>
                <w:spacing w:val="4"/>
                <w:szCs w:val="21"/>
              </w:rPr>
              <w:t>1、负责所有采购设备的安装及调试，设备安装达到“合格”标准。</w:t>
            </w:r>
          </w:p>
          <w:p>
            <w:pPr>
              <w:spacing w:line="360" w:lineRule="exact"/>
              <w:rPr>
                <w:rFonts w:ascii="宋体" w:cs="宋体"/>
                <w:color w:val="auto"/>
                <w:spacing w:val="4"/>
                <w:szCs w:val="21"/>
              </w:rPr>
            </w:pPr>
            <w:r>
              <w:rPr>
                <w:rFonts w:hint="eastAsia" w:ascii="宋体" w:cs="宋体"/>
                <w:color w:val="auto"/>
                <w:spacing w:val="4"/>
                <w:szCs w:val="21"/>
              </w:rPr>
              <w:t>2、灭菌器安装应按照相关技术规范的要求，建立质量保证体系并有效运行。</w:t>
            </w:r>
          </w:p>
          <w:p>
            <w:pPr>
              <w:spacing w:line="360" w:lineRule="exact"/>
              <w:rPr>
                <w:rFonts w:ascii="宋体" w:cs="宋体"/>
                <w:color w:val="auto"/>
                <w:spacing w:val="4"/>
                <w:szCs w:val="21"/>
              </w:rPr>
            </w:pPr>
            <w:r>
              <w:rPr>
                <w:rFonts w:hint="eastAsia" w:ascii="宋体" w:cs="宋体"/>
                <w:color w:val="auto"/>
                <w:spacing w:val="4"/>
                <w:szCs w:val="21"/>
              </w:rPr>
              <w:t>3、安装时向买方提供安装施工方案、图纸、施工质量证明文件等技术资料（含电子版资料），成套电器设备要提供二次接线图纸资料。</w:t>
            </w:r>
          </w:p>
          <w:p>
            <w:pPr>
              <w:spacing w:line="360" w:lineRule="exact"/>
              <w:rPr>
                <w:rFonts w:ascii="宋体" w:cs="宋体"/>
                <w:color w:val="auto"/>
                <w:spacing w:val="4"/>
                <w:szCs w:val="21"/>
              </w:rPr>
            </w:pPr>
            <w:r>
              <w:rPr>
                <w:rFonts w:hint="eastAsia" w:ascii="宋体" w:cs="宋体"/>
                <w:color w:val="auto"/>
                <w:spacing w:val="4"/>
                <w:szCs w:val="21"/>
              </w:rPr>
              <w:t>4、所有需要现场组装的设备应细致安装、配合精密，各螺栓、定位销等须安装到位并紧固，不可漏装、少装。</w:t>
            </w:r>
          </w:p>
          <w:p>
            <w:pPr>
              <w:spacing w:line="360" w:lineRule="exact"/>
              <w:rPr>
                <w:rFonts w:hAnsi="宋体" w:cs="宋体"/>
                <w:color w:val="auto"/>
                <w:szCs w:val="21"/>
              </w:rPr>
            </w:pPr>
            <w:r>
              <w:rPr>
                <w:rFonts w:hint="eastAsia" w:ascii="宋体" w:cs="宋体"/>
                <w:color w:val="auto"/>
                <w:spacing w:val="4"/>
                <w:szCs w:val="21"/>
              </w:rPr>
              <w:t>5、负责灭菌车间内配套预留的水、电、气等相关的</w:t>
            </w:r>
            <w:r>
              <w:rPr>
                <w:color w:val="auto"/>
              </w:rPr>
              <w:fldChar w:fldCharType="begin"/>
            </w:r>
            <w:r>
              <w:rPr>
                <w:color w:val="auto"/>
              </w:rPr>
              <w:instrText xml:space="preserve"> HYPERLINK "https://baike.baidu.com/item/%E7%BA%BF%E8%B7%AF/1005992" \t "https://baike.baidu.com/item/%E5%BB%BA%E7%AD%91%E5%B7%A5%E7%A8%8B/_blank" </w:instrText>
            </w:r>
            <w:r>
              <w:rPr>
                <w:color w:val="auto"/>
              </w:rPr>
              <w:fldChar w:fldCharType="separate"/>
            </w:r>
            <w:r>
              <w:rPr>
                <w:rFonts w:hint="eastAsia" w:ascii="宋体" w:cs="宋体"/>
                <w:color w:val="auto"/>
                <w:spacing w:val="4"/>
                <w:szCs w:val="21"/>
              </w:rPr>
              <w:t>线路</w:t>
            </w:r>
            <w:r>
              <w:rPr>
                <w:rFonts w:hint="eastAsia" w:ascii="宋体" w:cs="宋体"/>
                <w:color w:val="auto"/>
                <w:spacing w:val="4"/>
                <w:szCs w:val="21"/>
              </w:rPr>
              <w:fldChar w:fldCharType="end"/>
            </w:r>
            <w:r>
              <w:rPr>
                <w:rFonts w:hint="eastAsia" w:ascii="宋体" w:cs="宋体"/>
                <w:color w:val="auto"/>
                <w:spacing w:val="4"/>
                <w:szCs w:val="21"/>
              </w:rPr>
              <w:t>、</w:t>
            </w:r>
            <w:r>
              <w:rPr>
                <w:color w:val="auto"/>
              </w:rPr>
              <w:fldChar w:fldCharType="begin"/>
            </w:r>
            <w:r>
              <w:rPr>
                <w:color w:val="auto"/>
              </w:rPr>
              <w:instrText xml:space="preserve"> HYPERLINK "https://baike.baidu.com/item/%E7%AE%A1%E9%81%93/476943" \t "https://baike.baidu.com/item/%E5%BB%BA%E7%AD%91%E5%B7%A5%E7%A8%8B/_blank" </w:instrText>
            </w:r>
            <w:r>
              <w:rPr>
                <w:color w:val="auto"/>
              </w:rPr>
              <w:fldChar w:fldCharType="separate"/>
            </w:r>
            <w:r>
              <w:rPr>
                <w:rFonts w:hint="eastAsia" w:ascii="宋体" w:cs="宋体"/>
                <w:color w:val="auto"/>
                <w:spacing w:val="4"/>
                <w:szCs w:val="21"/>
              </w:rPr>
              <w:t>管道</w:t>
            </w:r>
            <w:r>
              <w:rPr>
                <w:rFonts w:hint="eastAsia" w:ascii="宋体" w:cs="宋体"/>
                <w:color w:val="auto"/>
                <w:spacing w:val="4"/>
                <w:szCs w:val="21"/>
              </w:rPr>
              <w:fldChar w:fldCharType="end"/>
            </w:r>
            <w:r>
              <w:rPr>
                <w:rFonts w:hint="eastAsia" w:ascii="宋体" w:cs="宋体"/>
                <w:color w:val="auto"/>
                <w:spacing w:val="4"/>
                <w:szCs w:val="21"/>
              </w:rPr>
              <w:t>、设备等与采购设备的连接，所有连接的管道须整齐美观，各水、电、气接口须连接紧固到位，不能出现渗漏现象。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gridSpan w:val="2"/>
            <w:vAlign w:val="center"/>
          </w:tcPr>
          <w:p>
            <w:pPr>
              <w:snapToGrid w:val="0"/>
              <w:jc w:val="center"/>
              <w:rPr>
                <w:rFonts w:ascii="宋体" w:cs="宋体"/>
                <w:color w:val="auto"/>
                <w:szCs w:val="21"/>
              </w:rPr>
            </w:pPr>
            <w:r>
              <w:rPr>
                <w:rFonts w:hint="eastAsia" w:ascii="宋体" w:cs="宋体"/>
                <w:color w:val="auto"/>
                <w:szCs w:val="21"/>
              </w:rPr>
              <w:t>其他要求</w:t>
            </w:r>
          </w:p>
        </w:tc>
        <w:tc>
          <w:tcPr>
            <w:tcW w:w="6691" w:type="dxa"/>
            <w:gridSpan w:val="3"/>
            <w:vAlign w:val="center"/>
          </w:tcPr>
          <w:p>
            <w:pPr>
              <w:keepNext/>
              <w:suppressAutoHyphens/>
              <w:topLinePunct/>
              <w:autoSpaceDE w:val="0"/>
              <w:autoSpaceDN w:val="0"/>
              <w:spacing w:line="320" w:lineRule="exact"/>
              <w:jc w:val="left"/>
              <w:outlineLvl w:val="0"/>
              <w:rPr>
                <w:rFonts w:ascii="宋体" w:hAnsi="宋体" w:cs="宋体"/>
                <w:b/>
                <w:color w:val="auto"/>
                <w:kern w:val="0"/>
                <w:szCs w:val="21"/>
              </w:rPr>
            </w:pPr>
            <w:r>
              <w:rPr>
                <w:rFonts w:hint="eastAsia" w:ascii="宋体" w:hAnsi="宋体" w:cs="宋体"/>
                <w:b/>
                <w:color w:val="auto"/>
                <w:kern w:val="0"/>
                <w:szCs w:val="21"/>
              </w:rPr>
              <w:t>1、技术资料和交付进度</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39" w:name="_Toc49860355"/>
            <w:bookmarkStart w:id="40" w:name="_Toc10017"/>
            <w:bookmarkStart w:id="41" w:name="_Toc534350503"/>
            <w:bookmarkStart w:id="42" w:name="_Toc59887855"/>
            <w:bookmarkStart w:id="43" w:name="_Toc59877274"/>
            <w:bookmarkStart w:id="44" w:name="_Toc57116757"/>
            <w:bookmarkStart w:id="45" w:name="_Toc59877217"/>
            <w:bookmarkStart w:id="46" w:name="_Toc86034917"/>
            <w:r>
              <w:rPr>
                <w:rFonts w:hint="eastAsia" w:ascii="宋体" w:hAnsi="宋体" w:cs="宋体"/>
                <w:b/>
                <w:color w:val="auto"/>
                <w:kern w:val="0"/>
                <w:szCs w:val="21"/>
              </w:rPr>
              <w:t>1.1　一般要求</w:t>
            </w:r>
            <w:bookmarkEnd w:id="39"/>
            <w:bookmarkEnd w:id="40"/>
            <w:bookmarkEnd w:id="41"/>
            <w:bookmarkEnd w:id="42"/>
            <w:bookmarkEnd w:id="43"/>
            <w:bookmarkEnd w:id="44"/>
            <w:bookmarkEnd w:id="45"/>
            <w:bookmarkEnd w:id="46"/>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1.1.1 所有资料分为合同签订阶段，配合设计阶段，设备监造检验、施工调试试运、性能试验验收和运行维护等四个方面。中标人根据计划和工程的进展更新所有资料，并根据总的合同条件提交所有最终资料。</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1.1.2 对于其它没有列入合同技术资料清单，却是工程所必需文件和资料，一经发现，中标人及时免费提供。后续设备有改进时，中标人也应及时免费提供新的技术资料。</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1.1.3 中标人配合采购人，及时提供与合同设备设计制造有关的资料。</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1.1.4 在相关的图纸和设计资料被最终认可之前，中标人不进行设备的装运。超出合同范围的图纸和设计资料的修改不作为调整合同价格变动的依据。</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1.1.5 中标人所提供的资料使用国家法定单位制即国际单位制(文字为中文)，进口部件的外文图纸及文件由中标人免费翻译成中文。图纸采用AutoCAD2004版本，文字资料采用Word2003版本。</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1.1.6 资料的组织结构清晰、逻辑性强。资料内容正确、准确、一致、清晰完整，满足工程要求。</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1.1.7 所有资料和图纸的改变做明确的标记，以便清楚地找到改变之处。</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1.1.8 中标人资料的提交及时、充分，满足工程进度要求。</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47" w:name="_Toc49860356"/>
            <w:bookmarkStart w:id="48" w:name="_Toc10917"/>
            <w:bookmarkStart w:id="49" w:name="_Toc86034918"/>
            <w:bookmarkStart w:id="50" w:name="_Toc59877218"/>
            <w:bookmarkStart w:id="51" w:name="_Toc534350504"/>
            <w:bookmarkStart w:id="52" w:name="_Toc57116758"/>
            <w:bookmarkStart w:id="53" w:name="_Toc59877275"/>
            <w:bookmarkStart w:id="54" w:name="_Toc59887856"/>
            <w:r>
              <w:rPr>
                <w:rFonts w:hint="eastAsia" w:ascii="宋体" w:hAnsi="宋体" w:cs="宋体"/>
                <w:b/>
                <w:color w:val="auto"/>
                <w:kern w:val="0"/>
                <w:szCs w:val="21"/>
              </w:rPr>
              <w:t>1.2　技术资料内容和交付进度</w:t>
            </w:r>
            <w:bookmarkEnd w:id="47"/>
            <w:bookmarkEnd w:id="48"/>
            <w:bookmarkEnd w:id="49"/>
            <w:bookmarkEnd w:id="50"/>
            <w:bookmarkEnd w:id="51"/>
            <w:bookmarkEnd w:id="52"/>
            <w:bookmarkEnd w:id="53"/>
            <w:bookmarkEnd w:id="54"/>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1.2.1技术协议签订后的资料和图纸</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技术协议签订后7天之内向采购人提交全部设计用技术资料2份。</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1.2.2设备发运同时中标人向采购人提供（采购人收到的时间为第一批设备到达现场前）：</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（1）维护保养及操作手册</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（2）工艺管路安装图</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(3)电器仪表控制原理图、接线图</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(4)压力容器检验报告和材质报告（发货后两周内提供）</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(5)主要部件的技术资料</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(6)随机备品备件、专用工具明细单</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1.2.3 设备监造检查所需要的技术资料；</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1.2.4 施工、调试、试运、机组性能试验和运行维护所需的技术资料，随设备发货。</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1.2.5 中标人提供的其它技术资料随设备发货。</w:t>
            </w:r>
            <w:bookmarkStart w:id="55" w:name="_Toc24225"/>
            <w:bookmarkStart w:id="56" w:name="_Toc59887857"/>
            <w:bookmarkStart w:id="57" w:name="_Toc57116759"/>
            <w:bookmarkStart w:id="58" w:name="_Toc59877219"/>
            <w:bookmarkStart w:id="59" w:name="_Toc49860357"/>
            <w:bookmarkStart w:id="60" w:name="_Toc534350505"/>
            <w:bookmarkStart w:id="61" w:name="_Toc59877276"/>
            <w:bookmarkStart w:id="62" w:name="_Toc102032484"/>
            <w:bookmarkStart w:id="63" w:name="_Toc86034919"/>
          </w:p>
          <w:p>
            <w:pPr>
              <w:autoSpaceDE w:val="0"/>
              <w:autoSpaceDN w:val="0"/>
              <w:spacing w:line="320" w:lineRule="exact"/>
              <w:jc w:val="left"/>
              <w:rPr>
                <w:rFonts w:ascii="宋体" w:hAnsi="宋体" w:cs="宋体"/>
                <w:b/>
                <w:color w:val="auto"/>
                <w:kern w:val="0"/>
                <w:szCs w:val="21"/>
              </w:rPr>
            </w:pPr>
            <w:r>
              <w:rPr>
                <w:rFonts w:hint="eastAsia" w:ascii="宋体" w:hAnsi="宋体" w:cs="宋体"/>
                <w:b/>
                <w:color w:val="auto"/>
                <w:kern w:val="0"/>
                <w:szCs w:val="21"/>
              </w:rPr>
              <w:t>2　进度</w:t>
            </w:r>
            <w:bookmarkEnd w:id="55"/>
            <w:bookmarkEnd w:id="56"/>
            <w:bookmarkEnd w:id="57"/>
            <w:bookmarkEnd w:id="58"/>
            <w:bookmarkEnd w:id="59"/>
            <w:bookmarkEnd w:id="60"/>
            <w:bookmarkEnd w:id="61"/>
            <w:bookmarkEnd w:id="62"/>
            <w:bookmarkEnd w:id="63"/>
          </w:p>
          <w:p>
            <w:pPr>
              <w:overflowPunct w:val="0"/>
              <w:autoSpaceDE w:val="0"/>
              <w:autoSpaceDN w:val="0"/>
              <w:adjustRightInd w:val="0"/>
              <w:spacing w:line="320" w:lineRule="exact"/>
              <w:jc w:val="left"/>
              <w:rPr>
                <w:rFonts w:ascii="宋体" w:hAnsi="宋体" w:cs="宋体"/>
                <w:color w:val="auto"/>
                <w:kern w:val="0"/>
                <w:szCs w:val="21"/>
              </w:rPr>
            </w:pPr>
            <w:bookmarkStart w:id="64" w:name="_Toc59877280"/>
            <w:bookmarkStart w:id="65" w:name="_Toc534350509"/>
            <w:bookmarkStart w:id="66" w:name="_Toc59887861"/>
            <w:bookmarkStart w:id="67" w:name="_Toc86034920"/>
            <w:bookmarkStart w:id="68" w:name="_Toc57116763"/>
            <w:bookmarkStart w:id="69" w:name="_Toc59877223"/>
            <w:r>
              <w:rPr>
                <w:rFonts w:hint="eastAsia" w:ascii="宋体" w:hAnsi="宋体" w:cs="宋体"/>
                <w:color w:val="auto"/>
                <w:kern w:val="0"/>
                <w:szCs w:val="21"/>
              </w:rPr>
              <w:t>2.1 交货</w:t>
            </w:r>
            <w:bookmarkEnd w:id="64"/>
            <w:bookmarkEnd w:id="65"/>
            <w:bookmarkEnd w:id="66"/>
            <w:bookmarkEnd w:id="67"/>
            <w:bookmarkEnd w:id="68"/>
            <w:bookmarkEnd w:id="69"/>
          </w:p>
          <w:p>
            <w:pPr>
              <w:overflowPunct w:val="0"/>
              <w:autoSpaceDE w:val="0"/>
              <w:autoSpaceDN w:val="0"/>
              <w:adjustRightInd w:val="0"/>
              <w:spacing w:line="320" w:lineRule="exact"/>
              <w:ind w:firstLine="399" w:firstLineChars="190"/>
              <w:jc w:val="left"/>
              <w:rPr>
                <w:rFonts w:ascii="宋体" w:hAnsi="宋体" w:cs="宋体"/>
                <w:color w:val="auto"/>
                <w:kern w:val="0"/>
                <w:szCs w:val="21"/>
              </w:rPr>
            </w:pPr>
            <w:r>
              <w:rPr>
                <w:rFonts w:hint="eastAsia" w:ascii="宋体" w:hAnsi="宋体" w:cs="宋体"/>
                <w:color w:val="auto"/>
                <w:kern w:val="0"/>
                <w:szCs w:val="21"/>
              </w:rPr>
              <w:t>交货地点：广西壮族自治区防城港市内采购人指定地点。交货时间：自合同签订之日起90天内交付使用，调试完毕且具备生产条件。</w:t>
            </w:r>
          </w:p>
          <w:p>
            <w:pPr>
              <w:keepNext/>
              <w:suppressAutoHyphens/>
              <w:topLinePunct/>
              <w:autoSpaceDE w:val="0"/>
              <w:autoSpaceDN w:val="0"/>
              <w:spacing w:line="320" w:lineRule="exact"/>
              <w:jc w:val="left"/>
              <w:outlineLvl w:val="0"/>
              <w:rPr>
                <w:rFonts w:ascii="宋体" w:hAnsi="宋体" w:cs="宋体"/>
                <w:b/>
                <w:color w:val="auto"/>
                <w:kern w:val="0"/>
                <w:szCs w:val="21"/>
              </w:rPr>
            </w:pPr>
            <w:bookmarkStart w:id="70" w:name="_Toc59877283"/>
            <w:bookmarkStart w:id="71" w:name="_Toc59887864"/>
            <w:bookmarkStart w:id="72" w:name="_Toc102032485"/>
            <w:bookmarkStart w:id="73" w:name="_Toc86034921"/>
            <w:bookmarkStart w:id="74" w:name="_Toc534350512"/>
            <w:bookmarkStart w:id="75" w:name="_Toc57116766"/>
            <w:bookmarkStart w:id="76" w:name="_Toc49860358"/>
            <w:bookmarkStart w:id="77" w:name="_Toc29383"/>
            <w:bookmarkStart w:id="78" w:name="_Toc59877226"/>
            <w:r>
              <w:rPr>
                <w:rFonts w:hint="eastAsia" w:ascii="宋体" w:hAnsi="宋体" w:cs="宋体"/>
                <w:b/>
                <w:color w:val="auto"/>
                <w:kern w:val="0"/>
                <w:szCs w:val="21"/>
              </w:rPr>
              <w:t>3 监造、工厂检查和性能验收试验</w:t>
            </w:r>
            <w:bookmarkEnd w:id="70"/>
            <w:bookmarkEnd w:id="71"/>
            <w:bookmarkEnd w:id="72"/>
            <w:bookmarkEnd w:id="73"/>
            <w:bookmarkEnd w:id="74"/>
            <w:bookmarkEnd w:id="75"/>
            <w:bookmarkEnd w:id="76"/>
            <w:bookmarkEnd w:id="77"/>
            <w:bookmarkEnd w:id="78"/>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79" w:name="_Toc59877227"/>
            <w:bookmarkStart w:id="80" w:name="_Toc8948"/>
            <w:bookmarkStart w:id="81" w:name="_Toc59877284"/>
            <w:bookmarkStart w:id="82" w:name="_Toc49860359"/>
            <w:bookmarkStart w:id="83" w:name="_Toc86034922"/>
            <w:bookmarkStart w:id="84" w:name="_Toc534350513"/>
            <w:bookmarkStart w:id="85" w:name="_Toc59887865"/>
            <w:r>
              <w:rPr>
                <w:rFonts w:hint="eastAsia" w:ascii="宋体" w:hAnsi="宋体" w:cs="宋体"/>
                <w:b/>
                <w:color w:val="auto"/>
                <w:kern w:val="0"/>
                <w:szCs w:val="21"/>
              </w:rPr>
              <w:t>3.1 概述</w:t>
            </w:r>
            <w:bookmarkEnd w:id="79"/>
            <w:bookmarkEnd w:id="80"/>
            <w:bookmarkEnd w:id="81"/>
            <w:bookmarkEnd w:id="82"/>
            <w:bookmarkEnd w:id="83"/>
            <w:bookmarkEnd w:id="84"/>
            <w:bookmarkEnd w:id="85"/>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本章节用于合同执行期间对中标人所提供的设备(包括对分包外购设备)进行监造、检查和性能验收试验，确保中标人所提供的设备符合采购相关</w:t>
            </w:r>
            <w:r>
              <w:rPr>
                <w:rFonts w:hint="eastAsia" w:ascii="宋体" w:hAnsi="宋体" w:cs="宋体"/>
                <w:color w:val="auto"/>
                <w:szCs w:val="21"/>
              </w:rPr>
              <w:t>技术</w:t>
            </w:r>
            <w:r>
              <w:rPr>
                <w:rFonts w:hint="eastAsia" w:ascii="宋体" w:hAnsi="宋体" w:cs="宋体"/>
                <w:color w:val="auto"/>
                <w:kern w:val="0"/>
                <w:szCs w:val="21"/>
              </w:rPr>
              <w:t>规定的要求。</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86" w:name="_Toc86034923"/>
            <w:bookmarkStart w:id="87" w:name="_Toc59877228"/>
            <w:bookmarkStart w:id="88" w:name="_Toc59887866"/>
            <w:bookmarkStart w:id="89" w:name="_Toc49860360"/>
            <w:bookmarkStart w:id="90" w:name="_Toc5565"/>
            <w:bookmarkStart w:id="91" w:name="_Toc59877285"/>
            <w:bookmarkStart w:id="92" w:name="_Toc57116768"/>
            <w:bookmarkStart w:id="93" w:name="_Toc534350514"/>
            <w:r>
              <w:rPr>
                <w:rFonts w:hint="eastAsia" w:ascii="宋体" w:hAnsi="宋体" w:cs="宋体"/>
                <w:b/>
                <w:color w:val="auto"/>
                <w:kern w:val="0"/>
                <w:szCs w:val="21"/>
              </w:rPr>
              <w:t>3.2监造</w:t>
            </w:r>
            <w:bookmarkEnd w:id="86"/>
            <w:bookmarkEnd w:id="87"/>
            <w:bookmarkEnd w:id="88"/>
            <w:bookmarkEnd w:id="89"/>
            <w:bookmarkEnd w:id="90"/>
            <w:bookmarkEnd w:id="91"/>
            <w:bookmarkEnd w:id="92"/>
            <w:bookmarkEnd w:id="93"/>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3.2.1监造依据</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参照相关规范标准</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3.2.2监造方式</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3.2.3.1中标人有配合采购人监造的义务，并及时提供相关资料，并不由此发生任何费用。中标人必须为采购人委托的驻厂代表和监造代表的监造检验提供食宿方便：</w:t>
            </w:r>
          </w:p>
          <w:p>
            <w:pPr>
              <w:autoSpaceDE w:val="0"/>
              <w:autoSpaceDN w:val="0"/>
              <w:spacing w:line="320" w:lineRule="exact"/>
              <w:ind w:firstLine="399" w:firstLineChars="190"/>
              <w:jc w:val="left"/>
              <w:rPr>
                <w:rFonts w:ascii="宋体" w:hAnsi="宋体" w:cs="宋体"/>
                <w:color w:val="auto"/>
                <w:kern w:val="0"/>
                <w:szCs w:val="21"/>
              </w:rPr>
            </w:pPr>
            <w:r>
              <w:rPr>
                <w:rFonts w:hint="eastAsia" w:ascii="宋体" w:hAnsi="宋体" w:cs="宋体"/>
                <w:color w:val="auto"/>
                <w:kern w:val="0"/>
                <w:szCs w:val="21"/>
              </w:rPr>
              <w:t>·驻厂代表可以查阅与本合同设备监造有关的标准（包括工厂标准）、图纸、资料、工艺及实际工艺过程和检验记录（包括中间检验记录和／或不一致性报告）及技术规定书规定的有关文件以及复印件，中标人提供由特种设备检验监督机构出具的质量证明书。</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94" w:name="_Toc49860361"/>
            <w:bookmarkStart w:id="95" w:name="_Toc59877229"/>
            <w:bookmarkStart w:id="96" w:name="_Toc57116769"/>
            <w:bookmarkStart w:id="97" w:name="_Toc534350515"/>
            <w:bookmarkStart w:id="98" w:name="_Toc59887867"/>
            <w:bookmarkStart w:id="99" w:name="_Toc59877286"/>
            <w:bookmarkStart w:id="100" w:name="_Toc6119"/>
            <w:bookmarkStart w:id="101" w:name="_Toc86034924"/>
            <w:bookmarkStart w:id="102" w:name="_Toc11761794"/>
            <w:bookmarkStart w:id="103" w:name="_Toc86034925"/>
            <w:bookmarkStart w:id="104" w:name="_Toc534350516"/>
            <w:bookmarkStart w:id="105" w:name="_Toc57036767"/>
            <w:bookmarkStart w:id="106" w:name="_Toc519863010"/>
            <w:bookmarkStart w:id="107" w:name="_Toc59887868"/>
            <w:bookmarkStart w:id="108" w:name="_Toc59877287"/>
            <w:bookmarkStart w:id="109" w:name="_Toc59877230"/>
            <w:bookmarkStart w:id="110" w:name="_Toc11762029"/>
            <w:r>
              <w:rPr>
                <w:rFonts w:hint="eastAsia" w:ascii="宋体" w:hAnsi="宋体" w:cs="宋体"/>
                <w:b/>
                <w:color w:val="auto"/>
                <w:kern w:val="0"/>
                <w:szCs w:val="21"/>
              </w:rPr>
              <w:t>3.3 工厂检查</w:t>
            </w:r>
            <w:bookmarkEnd w:id="94"/>
            <w:bookmarkEnd w:id="95"/>
            <w:bookmarkEnd w:id="96"/>
            <w:bookmarkEnd w:id="97"/>
            <w:bookmarkEnd w:id="98"/>
            <w:bookmarkEnd w:id="99"/>
            <w:bookmarkEnd w:id="100"/>
            <w:bookmarkEnd w:id="101"/>
          </w:p>
          <w:p>
            <w:pPr>
              <w:tabs>
                <w:tab w:val="left" w:pos="210"/>
              </w:tabs>
              <w:autoSpaceDE w:val="0"/>
              <w:autoSpaceDN w:val="0"/>
              <w:spacing w:line="320" w:lineRule="exact"/>
              <w:jc w:val="left"/>
              <w:outlineLvl w:val="2"/>
              <w:rPr>
                <w:rFonts w:ascii="宋体" w:hAnsi="宋体" w:cs="宋体"/>
                <w:b/>
                <w:color w:val="auto"/>
                <w:kern w:val="0"/>
                <w:szCs w:val="21"/>
              </w:rPr>
            </w:pPr>
            <w:bookmarkStart w:id="111" w:name="_Toc5259"/>
            <w:bookmarkStart w:id="112" w:name="_Toc49860362"/>
            <w:r>
              <w:rPr>
                <w:rFonts w:hint="eastAsia" w:ascii="宋体" w:hAnsi="宋体" w:cs="宋体"/>
                <w:b/>
                <w:color w:val="auto"/>
                <w:kern w:val="0"/>
                <w:szCs w:val="21"/>
              </w:rPr>
              <w:t>3.3.1总则</w:t>
            </w:r>
            <w:bookmarkEnd w:id="111"/>
            <w:bookmarkEnd w:id="112"/>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工厂检查是质量控制的一个重要组成部分。中标人严格进行厂内各生产环节的检查和试验。中标人提供的合同设备签发质量证明、检验记录和测试报告，并且作为交货时质量证明文件的组成部分。</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检查范围包括原材料和元器件的进厂，部件的加工、组装、试验、出厂试验。</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中标人检查的结果满足相关</w:t>
            </w:r>
            <w:r>
              <w:rPr>
                <w:rFonts w:hint="eastAsia" w:ascii="宋体" w:hAnsi="宋体" w:cs="宋体"/>
                <w:color w:val="auto"/>
                <w:szCs w:val="21"/>
              </w:rPr>
              <w:t>技术规定</w:t>
            </w:r>
            <w:r>
              <w:rPr>
                <w:rFonts w:hint="eastAsia" w:ascii="宋体" w:hAnsi="宋体" w:cs="宋体"/>
                <w:color w:val="auto"/>
                <w:kern w:val="0"/>
                <w:szCs w:val="21"/>
              </w:rPr>
              <w:t>的要求，如有不符之处或达不到标准要求，中标人采取措施处理直至满足要求，同时向采购人提交不一致性报告。中标人发生重大质量问题时将情况及时通知采购人。</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由中标人供的所有合同设备／部件（包括分包与外购），在生产过程中都须进行严格的检验和试验，出厂前须进行部套和／或整机总装和试验。所有检验、试验和总装（装配）必须有正式的记录文件。以上工作完成之后，合格者才能出厂发运。所有这些正式的记录文件及合格证作为技术资料的一部分邮寄给采购人存档。此外，中标人在随机文件中提供合格证和质量证明文件。</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国内工厂检查的所有费用包括在合同总价之中。</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113" w:name="_Toc49860363"/>
            <w:bookmarkStart w:id="114" w:name="_Toc12250"/>
            <w:r>
              <w:rPr>
                <w:rFonts w:hint="eastAsia" w:ascii="宋体" w:hAnsi="宋体" w:cs="宋体"/>
                <w:b/>
                <w:color w:val="auto"/>
                <w:kern w:val="0"/>
                <w:szCs w:val="21"/>
              </w:rPr>
              <w:t>3</w:t>
            </w:r>
            <w:r>
              <w:rPr>
                <w:rFonts w:hint="eastAsia" w:ascii="宋体" w:hAnsi="宋体" w:cs="宋体"/>
                <w:b/>
                <w:color w:val="auto"/>
                <w:kern w:val="0"/>
                <w:szCs w:val="21"/>
                <w:lang w:eastAsia="en-US"/>
              </w:rPr>
              <w:t>.4</w:t>
            </w:r>
            <w:bookmarkStart w:id="115" w:name="_Toc45668097"/>
            <w:bookmarkStart w:id="116" w:name="_Toc21480"/>
            <w:bookmarkStart w:id="117" w:name="_Toc32322"/>
            <w:r>
              <w:rPr>
                <w:rFonts w:hint="eastAsia" w:ascii="宋体" w:hAnsi="宋体" w:cs="宋体"/>
                <w:b/>
                <w:bCs/>
                <w:color w:val="auto"/>
                <w:kern w:val="0"/>
                <w:szCs w:val="21"/>
                <w:lang w:eastAsia="en-US"/>
              </w:rPr>
              <w:t>安装</w:t>
            </w:r>
            <w:bookmarkEnd w:id="113"/>
            <w:bookmarkEnd w:id="115"/>
            <w:bookmarkEnd w:id="116"/>
            <w:bookmarkEnd w:id="117"/>
          </w:p>
          <w:p>
            <w:pPr>
              <w:keepNext/>
              <w:numPr>
                <w:ilvl w:val="0"/>
                <w:numId w:val="5"/>
              </w:numPr>
              <w:spacing w:before="120" w:after="120" w:line="320" w:lineRule="exact"/>
              <w:outlineLvl w:val="3"/>
              <w:rPr>
                <w:rFonts w:ascii="宋体" w:hAnsi="宋体" w:cs="宋体"/>
                <w:b/>
                <w:bCs/>
                <w:color w:val="auto"/>
                <w:szCs w:val="21"/>
                <w:lang w:eastAsia="en-US"/>
              </w:rPr>
            </w:pPr>
            <w:r>
              <w:rPr>
                <w:rFonts w:hint="eastAsia" w:ascii="宋体" w:hAnsi="宋体" w:cs="宋体"/>
                <w:b/>
                <w:bCs/>
                <w:color w:val="auto"/>
                <w:szCs w:val="21"/>
                <w:lang w:eastAsia="en-US"/>
              </w:rPr>
              <w:t xml:space="preserve">安装要求 </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中标方负责医废高温蒸汽灭菌处理系统成套设备的安装与调试工作。</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安装工程包括工艺系统设备、管道、阀门的安装；电气设备的安装；控制设备的安装；供货设备水、电、气与外部管线连接的安装。</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设备安装期的水费、电费由甲方承担。</w:t>
            </w:r>
          </w:p>
          <w:p>
            <w:pPr>
              <w:autoSpaceDE w:val="0"/>
              <w:autoSpaceDN w:val="0"/>
              <w:spacing w:line="320" w:lineRule="exact"/>
              <w:ind w:firstLine="413" w:firstLineChars="197"/>
              <w:jc w:val="left"/>
              <w:rPr>
                <w:rFonts w:ascii="宋体" w:hAnsi="宋体" w:cs="宋体"/>
                <w:color w:val="auto"/>
                <w:kern w:val="0"/>
                <w:szCs w:val="21"/>
              </w:rPr>
            </w:pPr>
            <w:r>
              <w:rPr>
                <w:rFonts w:hint="eastAsia" w:ascii="宋体" w:hAnsi="宋体" w:cs="宋体"/>
                <w:color w:val="auto"/>
                <w:kern w:val="0"/>
                <w:szCs w:val="21"/>
              </w:rPr>
              <w:t>设备标志标牌的做法执行甲方统一规定。</w:t>
            </w:r>
          </w:p>
          <w:p>
            <w:pPr>
              <w:keepNext/>
              <w:numPr>
                <w:ilvl w:val="0"/>
                <w:numId w:val="5"/>
              </w:numPr>
              <w:spacing w:before="120" w:after="120" w:line="320" w:lineRule="exact"/>
              <w:outlineLvl w:val="3"/>
              <w:rPr>
                <w:rFonts w:ascii="宋体" w:hAnsi="宋体" w:cs="宋体"/>
                <w:b/>
                <w:bCs/>
                <w:color w:val="auto"/>
                <w:szCs w:val="21"/>
                <w:lang w:eastAsia="en-US"/>
              </w:rPr>
            </w:pPr>
            <w:r>
              <w:rPr>
                <w:rFonts w:hint="eastAsia" w:ascii="宋体" w:hAnsi="宋体" w:cs="宋体"/>
                <w:b/>
                <w:bCs/>
                <w:color w:val="auto"/>
                <w:szCs w:val="21"/>
                <w:lang w:eastAsia="en-US"/>
              </w:rPr>
              <w:t>安装接口</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1）工程现场的水、电、蒸汽条件由采购人负责。接口为电气电缆到设备用电位置，水、蒸汽送至设备接口位置。</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2）设备的安装、调试由中标人负责，包括设备内部的管线连接（水电管线），甲方负责按提资图要求将所需预留管线敷设至相应位置。</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118" w:name="_Toc49860364"/>
            <w:r>
              <w:rPr>
                <w:rFonts w:hint="eastAsia" w:ascii="宋体" w:hAnsi="宋体" w:cs="宋体"/>
                <w:b/>
                <w:color w:val="auto"/>
                <w:kern w:val="0"/>
                <w:szCs w:val="21"/>
              </w:rPr>
              <w:t>3.5调试</w:t>
            </w:r>
            <w:bookmarkEnd w:id="118"/>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供货范围内所有设备和材料的运输和卸货，由中标人负责。</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供货范围内所有设备和材料的安装和调试均由中标人负责。</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设备调试分为单机调试与联机调试。系统各子单元设备安装完成后，可进行单机调试，单机调试主要包括辅助单元调试、灭菌器调试、破碎机调试、自动轨调试。</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辅助单元主要为循环水及空压设备，现场安装完成且水电条件具备后，依次进行点动测试、自动测试、进水测试、回水测试、反洗测试、冷却效果测试。</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灭菌器出厂时已完成厂内调试，现场安装完成且自来水、循环水、电、压缩空气、蒸汽、排水、排汽等条件均具备后，依次进行输入点核对、输出点核对、传感器核对、执行器核对、门动作测试、密封性测试、抽空能力测试、空载标准程序测试。</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破碎机出厂时已完成厂内调试，现场安装完成且电气条件具备后，依次进行输入点核对、输出点核对、传感器核对、执行器核对、变频器参数核对、手动运行测试、自动运行测试、过载保护测试。</w:t>
            </w:r>
          </w:p>
          <w:p>
            <w:pPr>
              <w:tabs>
                <w:tab w:val="left" w:pos="840"/>
              </w:tabs>
              <w:autoSpaceDE w:val="0"/>
              <w:autoSpaceDN w:val="0"/>
              <w:spacing w:line="320" w:lineRule="exact"/>
              <w:ind w:left="-36" w:firstLine="420" w:firstLineChars="200"/>
              <w:jc w:val="left"/>
              <w:rPr>
                <w:rFonts w:ascii="宋体" w:hAnsi="宋体" w:cs="宋体"/>
                <w:color w:val="auto"/>
                <w:kern w:val="0"/>
                <w:szCs w:val="21"/>
              </w:rPr>
            </w:pPr>
            <w:r>
              <w:rPr>
                <w:rFonts w:hint="eastAsia" w:ascii="宋体" w:hAnsi="宋体" w:cs="宋体"/>
                <w:color w:val="auto"/>
                <w:kern w:val="0"/>
                <w:szCs w:val="21"/>
              </w:rPr>
              <w:t>自动轨道安装完成且电气条件具备后，按区域依次进行输入点核对、输出点核对、传感器核对、执行器核对、单机测试、单机联动测试、系统联动测试。</w:t>
            </w:r>
          </w:p>
          <w:p>
            <w:pPr>
              <w:autoSpaceDE w:val="0"/>
              <w:autoSpaceDN w:val="0"/>
              <w:spacing w:line="320" w:lineRule="exact"/>
              <w:ind w:firstLine="420" w:firstLineChars="200"/>
              <w:jc w:val="left"/>
              <w:rPr>
                <w:rFonts w:ascii="宋体" w:hAnsi="宋体" w:cs="宋体"/>
                <w:b/>
                <w:color w:val="auto"/>
                <w:kern w:val="0"/>
                <w:szCs w:val="21"/>
              </w:rPr>
            </w:pPr>
            <w:r>
              <w:rPr>
                <w:rFonts w:hint="eastAsia" w:ascii="宋体" w:hAnsi="宋体" w:cs="宋体"/>
                <w:color w:val="auto"/>
                <w:kern w:val="0"/>
                <w:szCs w:val="21"/>
              </w:rPr>
              <w:t>系统各子单元单机调试完成后，将进行系统联机调试，分为空载调试为带负载调试，空载调试流程同正常工作流程一致，用于测试空载条件下系统各单元协调联动能力。空载调试完成且其他条件具备后，设备进行带负载调试，直至设备可正常运行。</w:t>
            </w:r>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119" w:name="_Toc49860365"/>
            <w:r>
              <w:rPr>
                <w:rFonts w:hint="eastAsia" w:ascii="宋体" w:hAnsi="宋体" w:cs="宋体"/>
                <w:b/>
                <w:color w:val="auto"/>
                <w:kern w:val="0"/>
                <w:szCs w:val="21"/>
              </w:rPr>
              <w:t>3.6 性能验收试验</w:t>
            </w:r>
            <w:bookmarkEnd w:id="102"/>
            <w:bookmarkEnd w:id="103"/>
            <w:bookmarkEnd w:id="104"/>
            <w:bookmarkEnd w:id="105"/>
            <w:bookmarkEnd w:id="106"/>
            <w:bookmarkEnd w:id="107"/>
            <w:bookmarkEnd w:id="108"/>
            <w:bookmarkEnd w:id="109"/>
            <w:bookmarkEnd w:id="110"/>
            <w:bookmarkEnd w:id="114"/>
            <w:bookmarkEnd w:id="119"/>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3.6.1性能验收试验的地点由合同确定。</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3.6.2性能验收试验的时间：性能试验一般在系统稳定投运后3天内进行，具体试验时间由供需双方协商确定。性能试验时间为16*2小时。</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3.6.3性能验收试验所需的测点、一次元件和就地仪表的装设由中标人提供，参加方配合,并应符合有关规程、规范和标准的规定，并经采购人确认。中标人也要提供试验所需的技术配合和人员配合。</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3.6.4 性能验收试验至少包括以下内容，但不限于此：</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验收检测标准首先达到高温蒸汽灭菌技术协议要求。当技术要求没有明确约定按照 相关的国家规范、行业规范为标准。</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（1）灭菌柜主体耐压检测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标准： GB /T150.01~04-2011     钢制一类压力容器</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压力容器安全技术监察规程（提供生产所在地特检院出具的质量证明书）</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（2）B-D检测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设备试运转时进行B-D检测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双方认定使用试纸由中标人负责进行检测及所需材料，性能试验期间每天至少一次。</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（3）真空密封检测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真空测试是为了保证设备脉动真空灭菌装置在使用时无泄漏，能达到要求的真空度，测试方法参见本协议性能保证值有关约定。</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 化学检测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在性能测试期间，每天至少测试一次。</w:t>
            </w:r>
          </w:p>
          <w:p>
            <w:pPr>
              <w:numPr>
                <w:ilvl w:val="0"/>
                <w:numId w:val="6"/>
              </w:numPr>
              <w:spacing w:line="320" w:lineRule="exact"/>
              <w:ind w:firstLine="420" w:firstLineChars="200"/>
              <w:rPr>
                <w:rFonts w:ascii="宋体" w:hAnsi="宋体" w:cs="宋体"/>
                <w:color w:val="auto"/>
                <w:kern w:val="0"/>
                <w:szCs w:val="21"/>
                <w:lang w:eastAsia="en-US"/>
              </w:rPr>
            </w:pPr>
            <w:r>
              <w:rPr>
                <w:rFonts w:hint="eastAsia" w:ascii="宋体" w:hAnsi="宋体" w:cs="宋体"/>
                <w:color w:val="auto"/>
                <w:kern w:val="0"/>
                <w:szCs w:val="21"/>
                <w:lang w:eastAsia="en-US"/>
              </w:rPr>
              <w:t>化学指示卡(管)</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将既能指示蒸汽温度，又能指示温度持续时间的化学指示管(卡)放入大包和难以消毒部位的物品包中央，经一个灭菌周期后，取出指示管(卡)，根据其颜色及性状的改变判断是否达到灭菌条件。</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2）化学指示胶带监测法</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将化学指示胶带粘贴于每一待灭菌物品包外，经一个灭菌周期后，观察其颜色的改变，以指示是否经过灭菌处理。</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3）结果判定</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检测时，所放置的指示管(卡)、胶带的性状或颜色均变至规定的条件，判为灭菌合格;若其中之一末达到规定的条件，则灭菌过程不合格。</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4）注意事项</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监测所用化学指示物须经行政职能部门批准，并在有效期内使用。</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3.6.5性能验收试验由采购人主持，中标人及相关部门参加。试验大纲由采购人提供，与中标人讨论后确定。具体试验由采购人、中标人双方认可的测试部门完成。如试验在现场进行，中标人进行配合；如试验在工厂进行，试验所需的人力和财力等由中标人提供。</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3.6.6性能验收试验结果的确认</w:t>
            </w:r>
          </w:p>
          <w:p>
            <w:pPr>
              <w:spacing w:line="320" w:lineRule="exact"/>
              <w:ind w:firstLine="420" w:firstLineChars="200"/>
              <w:rPr>
                <w:rFonts w:ascii="宋体" w:hAnsi="宋体" w:cs="宋体"/>
                <w:color w:val="auto"/>
                <w:szCs w:val="21"/>
              </w:rPr>
            </w:pPr>
            <w:r>
              <w:rPr>
                <w:rFonts w:hint="eastAsia" w:ascii="宋体" w:hAnsi="宋体" w:cs="宋体"/>
                <w:color w:val="auto"/>
                <w:szCs w:val="21"/>
              </w:rPr>
              <w:t>性能验收试验报告由测试单位编写，报告结论采购人、中标人双方均承认。如双方对试验的结果有不一致意见，双方协商解决；如仍不能达成一致，则提交项目所在地项目主管部门处理。</w:t>
            </w:r>
          </w:p>
          <w:p>
            <w:pPr>
              <w:spacing w:line="320" w:lineRule="exact"/>
              <w:ind w:firstLine="420" w:firstLineChars="200"/>
              <w:rPr>
                <w:rFonts w:ascii="宋体" w:hAnsi="宋体" w:cs="宋体"/>
                <w:color w:val="auto"/>
                <w:szCs w:val="21"/>
              </w:rPr>
            </w:pPr>
            <w:r>
              <w:rPr>
                <w:rFonts w:hint="eastAsia" w:ascii="宋体" w:hAnsi="宋体" w:cs="宋体"/>
                <w:color w:val="auto"/>
                <w:szCs w:val="21"/>
              </w:rPr>
              <w:t>进行性能验收试验时，一方接到另一方试验通知而不派人参加试验，则被视为对验收试验结果的同意。</w:t>
            </w:r>
          </w:p>
          <w:p>
            <w:pPr>
              <w:keepNext/>
              <w:suppressAutoHyphens/>
              <w:topLinePunct/>
              <w:autoSpaceDE w:val="0"/>
              <w:autoSpaceDN w:val="0"/>
              <w:spacing w:line="320" w:lineRule="exact"/>
              <w:jc w:val="left"/>
              <w:outlineLvl w:val="0"/>
              <w:rPr>
                <w:rFonts w:ascii="宋体" w:hAnsi="宋体" w:cs="宋体"/>
                <w:b/>
                <w:color w:val="auto"/>
                <w:kern w:val="0"/>
                <w:szCs w:val="21"/>
              </w:rPr>
            </w:pPr>
            <w:bookmarkStart w:id="120" w:name="_Toc49860367"/>
            <w:bookmarkStart w:id="121" w:name="_Toc59887869"/>
            <w:bookmarkStart w:id="122" w:name="_Toc86034926"/>
            <w:bookmarkStart w:id="123" w:name="_Toc102032486"/>
            <w:bookmarkStart w:id="124" w:name="_Toc534350517"/>
            <w:bookmarkStart w:id="125" w:name="_Toc14742"/>
            <w:bookmarkStart w:id="126" w:name="_Toc59877288"/>
            <w:bookmarkStart w:id="127" w:name="_Toc59877231"/>
            <w:bookmarkStart w:id="128" w:name="_Toc57116771"/>
            <w:r>
              <w:rPr>
                <w:rFonts w:hint="eastAsia" w:ascii="宋体" w:hAnsi="宋体" w:cs="宋体"/>
                <w:b/>
                <w:color w:val="auto"/>
                <w:kern w:val="0"/>
                <w:szCs w:val="21"/>
              </w:rPr>
              <w:t>4 技术服务和联络</w:t>
            </w:r>
            <w:bookmarkEnd w:id="120"/>
            <w:bookmarkEnd w:id="121"/>
            <w:bookmarkEnd w:id="122"/>
            <w:bookmarkEnd w:id="123"/>
            <w:bookmarkEnd w:id="124"/>
            <w:bookmarkEnd w:id="125"/>
            <w:bookmarkEnd w:id="126"/>
            <w:bookmarkEnd w:id="127"/>
            <w:bookmarkEnd w:id="128"/>
          </w:p>
          <w:p>
            <w:pPr>
              <w:keepNext/>
              <w:suppressAutoHyphens/>
              <w:topLinePunct/>
              <w:autoSpaceDE w:val="0"/>
              <w:autoSpaceDN w:val="0"/>
              <w:spacing w:line="320" w:lineRule="exact"/>
              <w:jc w:val="left"/>
              <w:outlineLvl w:val="1"/>
              <w:rPr>
                <w:rFonts w:ascii="宋体" w:hAnsi="宋体" w:cs="宋体"/>
                <w:b/>
                <w:color w:val="auto"/>
                <w:kern w:val="0"/>
                <w:szCs w:val="21"/>
              </w:rPr>
            </w:pPr>
            <w:bookmarkStart w:id="129" w:name="_Toc49860368"/>
            <w:bookmarkStart w:id="130" w:name="_Toc57116772"/>
            <w:bookmarkStart w:id="131" w:name="_Toc86034927"/>
            <w:bookmarkStart w:id="132" w:name="_Toc16550"/>
            <w:bookmarkStart w:id="133" w:name="_Toc59887870"/>
            <w:bookmarkStart w:id="134" w:name="_Toc534350518"/>
            <w:bookmarkStart w:id="135" w:name="_Toc59877289"/>
            <w:bookmarkStart w:id="136" w:name="_Toc59877232"/>
            <w:r>
              <w:rPr>
                <w:rFonts w:hint="eastAsia" w:ascii="宋体" w:hAnsi="宋体" w:cs="宋体"/>
                <w:b/>
                <w:color w:val="auto"/>
                <w:kern w:val="0"/>
                <w:szCs w:val="21"/>
              </w:rPr>
              <w:t>4.1 中标人现场技术服务</w:t>
            </w:r>
            <w:bookmarkEnd w:id="129"/>
            <w:bookmarkEnd w:id="130"/>
            <w:bookmarkEnd w:id="131"/>
            <w:bookmarkEnd w:id="132"/>
            <w:bookmarkEnd w:id="133"/>
            <w:bookmarkEnd w:id="134"/>
            <w:bookmarkEnd w:id="135"/>
            <w:bookmarkEnd w:id="136"/>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4.1.1中标人配备现场服务人员的目的是使所供设备安全、正常投运。中标人要派合格的现场服务人员。在投标阶段应提供包括服务人日数的现场服务计划表。如果此人日数不能满足正常工程需要，中标人要追加人日数，但采购人无须为此支付任何额外费用。</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4.1.2中标人现场服务人员具有下列资格：</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4.1.2.1遵守法纪，遵守现场的各项规章和制度；</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4.1.2.2有较强的责任感和事业心，按时到位；</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4.1.2.3了解合同设备的设计，熟悉其结构，有相同或相近机组的现场工作经验，能够正确地进行现场指导；</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4.1.2.4身体健康，适应现场工作的条件；</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4.1.2.5中标人须更换采购人认为不合格的中标人现场服务人员。</w:t>
            </w:r>
          </w:p>
          <w:p>
            <w:pPr>
              <w:autoSpaceDE w:val="0"/>
              <w:autoSpaceDN w:val="0"/>
              <w:spacing w:line="320" w:lineRule="exact"/>
              <w:jc w:val="left"/>
              <w:rPr>
                <w:rFonts w:ascii="宋体" w:hAnsi="宋体" w:cs="宋体"/>
                <w:color w:val="auto"/>
                <w:kern w:val="0"/>
                <w:szCs w:val="21"/>
              </w:rPr>
            </w:pPr>
            <w:r>
              <w:rPr>
                <w:rFonts w:hint="eastAsia" w:ascii="宋体" w:hAnsi="宋体" w:cs="宋体"/>
                <w:color w:val="auto"/>
                <w:kern w:val="0"/>
                <w:szCs w:val="21"/>
              </w:rPr>
              <w:t>4.1.3中标人现场服务人员的职责</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4.1.3.1中标人现场服务人员的任务主要包括设备催交、货物的开箱检验、设备质量问题的处理、指导安装和调试、参加试运和性能验收试验。</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4.1.3.2在安装和调试前，中标人技术服务人员应向采购人进行技术交底，讲解和示范将要进行的程序和方法。对重要工序中标人技术人员要对施工情况进行确认和签证，否则采购人不能进行下一道工序。经中标人确认和签证的工序如因中标人技术服务人员指导错误而发生问题，中标人负全部责任。</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4.1.3.3中标人现场服务人员有权全权处理现场出现的一切技术和商务问题。如现场发生质量问题，中标人现场人员要在采购人规定的时间内处理解决。如中标人委托采购人进行处理，中标人现场服务人员要出委托书并承担相应的经济责任。</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4.1.3.4中标人对其现场服务人员的一切行为负全部责任。</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4.1.3.5中标人现场服务人员的正常来去和更换应事先与采购人协商。</w:t>
            </w:r>
          </w:p>
          <w:p>
            <w:pPr>
              <w:spacing w:line="320" w:lineRule="exact"/>
              <w:ind w:firstLine="420" w:firstLineChars="200"/>
              <w:rPr>
                <w:rFonts w:ascii="宋体" w:hAnsi="宋体" w:cs="宋体"/>
                <w:color w:val="auto"/>
                <w:szCs w:val="21"/>
              </w:rPr>
            </w:pPr>
            <w:r>
              <w:rPr>
                <w:rFonts w:hint="eastAsia" w:ascii="宋体" w:hAnsi="宋体" w:cs="宋体"/>
                <w:color w:val="auto"/>
                <w:szCs w:val="21"/>
              </w:rPr>
              <w:t>4.1.4调试</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调试分单机调试、冷态调试、性能保证调试及系统性能调试。单机调试：指设备的手动转动；冷态调试：指通电后设备运转调试；性能保证调试：指设备达到性能保证要求的调试；系统性能调试。</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机械安装、保温及现场检验和试验工作都完成之后，进行装置的启动和调试。单机调试、冷态调试、热态调试由中标人指导并主持，采购人协助，系统性能调试由采购人负责完成、中标人协助，中标人对调试结果负责。调试在仅只需少量校正和优化工作时才能开始。</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调试阶段之前，中标人须向采购人提交一份详细的调试程序及调试时间，以便采购人协助调试。采购人负责为调试和试运行准备并提供所有的试验仪器和工具。若设备存在缺陷或错误功能，中标人在采购人同意的时间内消除。根据消除故障时间，设备的接收推迟。由中标人引起的试运行的中断，将相应延长试运行时间，如果必要，需重新开始试验。在调试和试运行成功结束时，中标人提交报告取得采购人审查。</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4.1.5采购人的义务</w:t>
            </w:r>
          </w:p>
          <w:p>
            <w:pPr>
              <w:autoSpaceDE w:val="0"/>
              <w:autoSpaceDN w:val="0"/>
              <w:spacing w:line="320" w:lineRule="exact"/>
              <w:ind w:firstLine="382" w:firstLineChars="182"/>
              <w:jc w:val="left"/>
              <w:rPr>
                <w:rFonts w:ascii="宋体" w:hAnsi="宋体" w:cs="宋体"/>
                <w:color w:val="auto"/>
                <w:kern w:val="0"/>
                <w:szCs w:val="21"/>
              </w:rPr>
            </w:pPr>
            <w:r>
              <w:rPr>
                <w:rFonts w:hint="eastAsia" w:ascii="宋体" w:hAnsi="宋体" w:cs="宋体"/>
                <w:color w:val="auto"/>
                <w:kern w:val="0"/>
                <w:szCs w:val="21"/>
              </w:rPr>
              <w:t>采购人要配合中标人安装现场服务人员的工作，并在生活、交通和通讯上提供方便。安装调试期间，采购人指定专人配合中标人工作。</w:t>
            </w:r>
          </w:p>
          <w:p>
            <w:pPr>
              <w:keepNext/>
              <w:suppressAutoHyphens/>
              <w:topLinePunct/>
              <w:autoSpaceDE w:val="0"/>
              <w:autoSpaceDN w:val="0"/>
              <w:spacing w:line="320" w:lineRule="exact"/>
              <w:ind w:firstLine="422" w:firstLineChars="200"/>
              <w:jc w:val="left"/>
              <w:outlineLvl w:val="1"/>
              <w:rPr>
                <w:rFonts w:ascii="宋体" w:hAnsi="宋体" w:cs="宋体"/>
                <w:b/>
                <w:color w:val="auto"/>
                <w:kern w:val="0"/>
                <w:szCs w:val="21"/>
              </w:rPr>
            </w:pPr>
            <w:bookmarkStart w:id="137" w:name="_Toc57116773"/>
            <w:bookmarkStart w:id="138" w:name="_Toc86034928"/>
            <w:bookmarkStart w:id="139" w:name="_Toc59877233"/>
            <w:bookmarkStart w:id="140" w:name="_Toc59887871"/>
            <w:bookmarkStart w:id="141" w:name="_Toc16794"/>
            <w:bookmarkStart w:id="142" w:name="_Toc59877290"/>
            <w:bookmarkStart w:id="143" w:name="_Toc49860369"/>
            <w:bookmarkStart w:id="144" w:name="_Toc534350519"/>
            <w:r>
              <w:rPr>
                <w:rFonts w:hint="eastAsia" w:ascii="宋体" w:hAnsi="宋体" w:cs="宋体"/>
                <w:b/>
                <w:color w:val="auto"/>
                <w:kern w:val="0"/>
                <w:szCs w:val="21"/>
              </w:rPr>
              <w:t>4.2　培训</w:t>
            </w:r>
            <w:bookmarkEnd w:id="137"/>
            <w:bookmarkEnd w:id="138"/>
            <w:bookmarkEnd w:id="139"/>
            <w:bookmarkEnd w:id="140"/>
            <w:bookmarkEnd w:id="141"/>
            <w:bookmarkEnd w:id="142"/>
            <w:bookmarkEnd w:id="143"/>
            <w:bookmarkEnd w:id="144"/>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4.2.1为使合同设备能正常安装、调试、运行、维护及检修，中标人有责任提供相应的技术培训。培训内容应与工程进度相一致。</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4.2.2培训计划和内容由采购人、中标人双方商定。</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4.2.3培训的时间、人数、地点等具体内容由采购人、中标人双方商定。</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4.2.4对于工厂培训，中标人为采购人培训人员提供设备、场地、资料等培训条件，并提供食宿和交通；对于现场培训，采购人为中标人培训人员提供设备、场地等培训条件，并提供食宿和交通方便。</w:t>
            </w:r>
          </w:p>
          <w:p>
            <w:pPr>
              <w:keepNext/>
              <w:suppressAutoHyphens/>
              <w:topLinePunct/>
              <w:autoSpaceDE w:val="0"/>
              <w:autoSpaceDN w:val="0"/>
              <w:spacing w:line="320" w:lineRule="exact"/>
              <w:ind w:firstLine="422" w:firstLineChars="200"/>
              <w:jc w:val="left"/>
              <w:outlineLvl w:val="1"/>
              <w:rPr>
                <w:rFonts w:ascii="宋体" w:hAnsi="宋体" w:cs="宋体"/>
                <w:b/>
                <w:color w:val="auto"/>
                <w:kern w:val="0"/>
                <w:szCs w:val="21"/>
              </w:rPr>
            </w:pPr>
            <w:bookmarkStart w:id="145" w:name="_Toc86034929"/>
            <w:bookmarkStart w:id="146" w:name="_Toc57116774"/>
            <w:bookmarkStart w:id="147" w:name="_Toc59877234"/>
            <w:bookmarkStart w:id="148" w:name="_Toc534350520"/>
            <w:bookmarkStart w:id="149" w:name="_Toc13188"/>
            <w:bookmarkStart w:id="150" w:name="_Toc59887872"/>
            <w:bookmarkStart w:id="151" w:name="_Toc49860370"/>
            <w:bookmarkStart w:id="152" w:name="_Toc59877291"/>
            <w:r>
              <w:rPr>
                <w:rFonts w:hint="eastAsia" w:ascii="宋体" w:hAnsi="宋体" w:cs="宋体"/>
                <w:b/>
                <w:color w:val="auto"/>
                <w:kern w:val="0"/>
                <w:szCs w:val="21"/>
              </w:rPr>
              <w:t>4.3　设计联络会</w:t>
            </w:r>
            <w:bookmarkEnd w:id="145"/>
            <w:bookmarkEnd w:id="146"/>
            <w:bookmarkEnd w:id="147"/>
            <w:bookmarkEnd w:id="148"/>
            <w:bookmarkEnd w:id="149"/>
            <w:bookmarkEnd w:id="150"/>
            <w:bookmarkEnd w:id="151"/>
            <w:bookmarkEnd w:id="152"/>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有关设计联络的计划、时间、地点和内容由采购人、中标人双方商定。</w:t>
            </w:r>
          </w:p>
          <w:p>
            <w:pPr>
              <w:keepNext/>
              <w:suppressAutoHyphens/>
              <w:topLinePunct/>
              <w:autoSpaceDE w:val="0"/>
              <w:autoSpaceDN w:val="0"/>
              <w:spacing w:line="320" w:lineRule="exact"/>
              <w:ind w:firstLine="422" w:firstLineChars="200"/>
              <w:jc w:val="left"/>
              <w:outlineLvl w:val="1"/>
              <w:rPr>
                <w:rFonts w:ascii="宋体" w:hAnsi="宋体" w:cs="宋体"/>
                <w:b/>
                <w:color w:val="auto"/>
                <w:kern w:val="0"/>
                <w:szCs w:val="21"/>
              </w:rPr>
            </w:pPr>
            <w:bookmarkStart w:id="153" w:name="_Toc534350521"/>
            <w:bookmarkStart w:id="154" w:name="_Toc59887873"/>
            <w:bookmarkStart w:id="155" w:name="_Toc49860371"/>
            <w:bookmarkStart w:id="156" w:name="_Toc6634"/>
            <w:bookmarkStart w:id="157" w:name="_Toc57116775"/>
            <w:bookmarkStart w:id="158" w:name="_Toc86034930"/>
            <w:bookmarkStart w:id="159" w:name="_Toc59877235"/>
            <w:bookmarkStart w:id="160" w:name="_Toc59877292"/>
            <w:r>
              <w:rPr>
                <w:rFonts w:hint="eastAsia" w:ascii="宋体" w:hAnsi="宋体" w:cs="宋体"/>
                <w:b/>
                <w:color w:val="auto"/>
                <w:kern w:val="0"/>
                <w:szCs w:val="21"/>
              </w:rPr>
              <w:t>4.4　售后服务</w:t>
            </w:r>
            <w:bookmarkEnd w:id="153"/>
            <w:bookmarkEnd w:id="154"/>
            <w:bookmarkEnd w:id="155"/>
            <w:bookmarkEnd w:id="156"/>
            <w:bookmarkEnd w:id="157"/>
            <w:bookmarkEnd w:id="158"/>
            <w:bookmarkEnd w:id="159"/>
            <w:bookmarkEnd w:id="160"/>
          </w:p>
          <w:p>
            <w:pPr>
              <w:keepNext/>
              <w:keepLines/>
              <w:spacing w:line="320" w:lineRule="exact"/>
              <w:ind w:firstLine="422" w:firstLineChars="200"/>
              <w:outlineLvl w:val="2"/>
              <w:rPr>
                <w:rFonts w:ascii="宋体" w:hAnsi="宋体" w:cs="宋体"/>
                <w:b/>
                <w:bCs/>
                <w:color w:val="auto"/>
                <w:szCs w:val="21"/>
              </w:rPr>
            </w:pPr>
            <w:bookmarkStart w:id="161" w:name="_Toc49860372"/>
            <w:bookmarkStart w:id="162" w:name="_Toc7411"/>
            <w:bookmarkStart w:id="163" w:name="_Toc500594182"/>
            <w:r>
              <w:rPr>
                <w:rFonts w:hint="eastAsia" w:ascii="宋体" w:hAnsi="宋体" w:cs="宋体"/>
                <w:b/>
                <w:bCs/>
                <w:color w:val="auto"/>
                <w:szCs w:val="21"/>
              </w:rPr>
              <w:t>4.4.1售后服务承诺书</w:t>
            </w:r>
            <w:bookmarkEnd w:id="161"/>
            <w:bookmarkEnd w:id="162"/>
            <w:bookmarkEnd w:id="163"/>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a.提供售后服务承诺书</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b.设备到货且具备安装条件后，中标人应派有经验的专业技术人员到现场免费进行指导安装调试，直至设备能够正常运转。</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c.设备调试完成后，中标人应提供相关技术资料和操作手册（包括：设备的操作和保养程序、日常检查和维修方案、紧急情况应急预案等）。</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d.中标人应保证所提供的设备、材料是全新的、合格的，如发现质量问题，将立即以同品牌同样型号的设备在7日内予以更换。</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e.产品自安装验收合格交付使用之日起，质保期2年。在保修期内免收全部维修费用，且在使用期内保证能提供所需配件及耗材。保修期后如果设备发生故障，中标人应免费进行维修，只收取损坏元件的费用。</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f.在质保期内，中标人应保证系统正常运行并免费提供技术指导和人员培训。若在此期间发生质量问题，中标人应负责免费更换或维修。</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g.中标人应在全国各省都设有办事处和售后服务中心。设备发生故障时，中标人应保证在接到用户故障电话后立即响应，半小时内由专业技术人员给予答复，48小时内维修人员到达现场，并在48小时内恢复正常生产。</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h.中标人应特派有经验的专业技术人员负责对采购人工作人员进行全套设备的培训，并提供培训资料，培训内容主要包括供货设备及系统的工作原理、操作、运行及维护等方面的知识，直至采购人能独立熟练操作、运行、维护。理论及实际操作的培训时间各不少于一周。材料预加工时，在公司所在地免费（含差旅费）培训采购人工程师2名，时间一周。</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i.中标人应对该设备进行跟踪服务，保修期内每年6次保修期外每年4次免费走访，就设备、管线使用情况进行定期检查，使用户达到最满意的效果。</w:t>
            </w:r>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j.设备安装调试后，由供、需双方组织有关人员按照有关标准进行现场验收，确保工程的施工质量，由供、需双方签署验收书。</w:t>
            </w:r>
          </w:p>
          <w:p>
            <w:pPr>
              <w:keepNext/>
              <w:keepLines/>
              <w:spacing w:line="320" w:lineRule="exact"/>
              <w:outlineLvl w:val="2"/>
              <w:rPr>
                <w:rFonts w:ascii="宋体" w:hAnsi="宋体" w:cs="宋体"/>
                <w:b/>
                <w:bCs/>
                <w:color w:val="auto"/>
                <w:szCs w:val="21"/>
              </w:rPr>
            </w:pPr>
            <w:bookmarkStart w:id="164" w:name="_Toc500594186"/>
            <w:bookmarkStart w:id="165" w:name="_Toc12897"/>
            <w:bookmarkStart w:id="166" w:name="_Toc630"/>
            <w:bookmarkStart w:id="167" w:name="_Toc49860375"/>
            <w:bookmarkStart w:id="168" w:name="_Toc1103"/>
            <w:r>
              <w:rPr>
                <w:rFonts w:hint="eastAsia" w:ascii="宋体" w:hAnsi="宋体" w:cs="宋体"/>
                <w:b/>
                <w:bCs/>
                <w:color w:val="auto"/>
                <w:szCs w:val="21"/>
              </w:rPr>
              <w:t>4.4.2培训方案</w:t>
            </w:r>
            <w:bookmarkEnd w:id="164"/>
            <w:bookmarkEnd w:id="165"/>
            <w:bookmarkEnd w:id="166"/>
            <w:bookmarkEnd w:id="167"/>
            <w:bookmarkEnd w:id="168"/>
          </w:p>
          <w:p>
            <w:pPr>
              <w:keepNext/>
              <w:keepLines/>
              <w:autoSpaceDE w:val="0"/>
              <w:autoSpaceDN w:val="0"/>
              <w:spacing w:line="320" w:lineRule="exact"/>
              <w:outlineLvl w:val="3"/>
              <w:rPr>
                <w:rFonts w:ascii="宋体" w:hAnsi="宋体" w:cs="宋体"/>
                <w:b/>
                <w:bCs/>
                <w:color w:val="auto"/>
                <w:szCs w:val="21"/>
              </w:rPr>
            </w:pPr>
            <w:bookmarkStart w:id="169" w:name="_Toc4734"/>
            <w:bookmarkStart w:id="170" w:name="_Toc15753"/>
            <w:bookmarkStart w:id="171" w:name="_Toc30567"/>
            <w:bookmarkStart w:id="172" w:name="_Toc803"/>
            <w:bookmarkStart w:id="173" w:name="_Toc12434"/>
            <w:bookmarkStart w:id="174" w:name="_Toc23882"/>
            <w:bookmarkStart w:id="175" w:name="_Toc22788"/>
            <w:bookmarkStart w:id="176" w:name="_Toc32460"/>
            <w:bookmarkStart w:id="177" w:name="_Toc4777"/>
            <w:r>
              <w:rPr>
                <w:rFonts w:hint="eastAsia" w:ascii="宋体" w:hAnsi="宋体" w:cs="宋体"/>
                <w:b/>
                <w:bCs/>
                <w:color w:val="auto"/>
                <w:szCs w:val="21"/>
              </w:rPr>
              <w:t>（1）培训地点</w:t>
            </w:r>
            <w:bookmarkEnd w:id="169"/>
            <w:bookmarkEnd w:id="170"/>
            <w:bookmarkEnd w:id="171"/>
            <w:bookmarkEnd w:id="172"/>
            <w:bookmarkEnd w:id="173"/>
            <w:bookmarkEnd w:id="174"/>
            <w:bookmarkEnd w:id="175"/>
            <w:bookmarkEnd w:id="176"/>
            <w:bookmarkEnd w:id="177"/>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可根据采购人的需要在中标人工厂或采购人所在地进行培训。</w:t>
            </w:r>
          </w:p>
          <w:p>
            <w:pPr>
              <w:keepNext/>
              <w:keepLines/>
              <w:autoSpaceDE w:val="0"/>
              <w:autoSpaceDN w:val="0"/>
              <w:spacing w:line="320" w:lineRule="exact"/>
              <w:outlineLvl w:val="3"/>
              <w:rPr>
                <w:rFonts w:ascii="宋体" w:hAnsi="宋体" w:cs="宋体"/>
                <w:b/>
                <w:bCs/>
                <w:color w:val="auto"/>
                <w:szCs w:val="21"/>
              </w:rPr>
            </w:pPr>
            <w:bookmarkStart w:id="178" w:name="_Toc12894"/>
            <w:bookmarkStart w:id="179" w:name="_Toc289"/>
            <w:bookmarkStart w:id="180" w:name="_Toc1995"/>
            <w:bookmarkStart w:id="181" w:name="_Toc21975"/>
            <w:bookmarkStart w:id="182" w:name="_Toc20680"/>
            <w:bookmarkStart w:id="183" w:name="_Toc5086"/>
            <w:bookmarkStart w:id="184" w:name="_Toc757"/>
            <w:bookmarkStart w:id="185" w:name="_Toc16966"/>
            <w:bookmarkStart w:id="186" w:name="_Toc13505"/>
            <w:r>
              <w:rPr>
                <w:rFonts w:hint="eastAsia" w:ascii="宋体" w:hAnsi="宋体" w:cs="宋体"/>
                <w:b/>
                <w:bCs/>
                <w:color w:val="auto"/>
                <w:szCs w:val="21"/>
              </w:rPr>
              <w:t>（2）培训内容</w:t>
            </w:r>
            <w:bookmarkEnd w:id="178"/>
            <w:bookmarkEnd w:id="179"/>
            <w:bookmarkEnd w:id="180"/>
            <w:bookmarkEnd w:id="181"/>
            <w:bookmarkEnd w:id="182"/>
            <w:bookmarkEnd w:id="183"/>
            <w:bookmarkEnd w:id="184"/>
            <w:bookmarkEnd w:id="185"/>
            <w:bookmarkEnd w:id="186"/>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对本系统设备的操作人员、设备维修人员进行设备基本原理、设备性能、机械常识、操作规程、设备运行及维护以及使用说明书中的内容进行培训。</w:t>
            </w:r>
          </w:p>
          <w:p>
            <w:pPr>
              <w:keepNext/>
              <w:keepLines/>
              <w:autoSpaceDE w:val="0"/>
              <w:autoSpaceDN w:val="0"/>
              <w:spacing w:line="320" w:lineRule="exact"/>
              <w:outlineLvl w:val="3"/>
              <w:rPr>
                <w:rFonts w:ascii="宋体" w:hAnsi="宋体" w:cs="宋体"/>
                <w:b/>
                <w:bCs/>
                <w:color w:val="auto"/>
                <w:szCs w:val="21"/>
              </w:rPr>
            </w:pPr>
            <w:bookmarkStart w:id="187" w:name="_Toc12199"/>
            <w:bookmarkStart w:id="188" w:name="_Toc18580"/>
            <w:bookmarkStart w:id="189" w:name="_Toc17075"/>
            <w:bookmarkStart w:id="190" w:name="_Toc10093"/>
            <w:bookmarkStart w:id="191" w:name="_Toc22997"/>
            <w:bookmarkStart w:id="192" w:name="_Toc19115"/>
            <w:bookmarkStart w:id="193" w:name="_Toc3545"/>
            <w:bookmarkStart w:id="194" w:name="_Toc31317"/>
            <w:bookmarkStart w:id="195" w:name="_Toc21547"/>
            <w:r>
              <w:rPr>
                <w:rFonts w:hint="eastAsia" w:ascii="宋体" w:hAnsi="宋体" w:cs="宋体"/>
                <w:b/>
                <w:bCs/>
                <w:color w:val="auto"/>
                <w:szCs w:val="21"/>
              </w:rPr>
              <w:t>（3）培训进度</w:t>
            </w:r>
            <w:bookmarkEnd w:id="187"/>
            <w:bookmarkEnd w:id="188"/>
            <w:bookmarkEnd w:id="189"/>
            <w:bookmarkEnd w:id="190"/>
            <w:bookmarkEnd w:id="191"/>
            <w:bookmarkEnd w:id="192"/>
            <w:bookmarkEnd w:id="193"/>
            <w:bookmarkEnd w:id="194"/>
            <w:bookmarkEnd w:id="195"/>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中标人应负责培训的技术人员，将在设备安装调试期间完成培训工作，培训时间自安装之日起。</w:t>
            </w:r>
          </w:p>
          <w:p>
            <w:pPr>
              <w:keepNext/>
              <w:keepLines/>
              <w:autoSpaceDE w:val="0"/>
              <w:autoSpaceDN w:val="0"/>
              <w:spacing w:line="320" w:lineRule="exact"/>
              <w:outlineLvl w:val="3"/>
              <w:rPr>
                <w:rFonts w:ascii="宋体" w:hAnsi="宋体" w:cs="宋体"/>
                <w:b/>
                <w:bCs/>
                <w:color w:val="auto"/>
                <w:szCs w:val="21"/>
              </w:rPr>
            </w:pPr>
            <w:bookmarkStart w:id="196" w:name="_Toc24303"/>
            <w:bookmarkStart w:id="197" w:name="_Toc9094"/>
            <w:bookmarkStart w:id="198" w:name="_Toc437844936"/>
            <w:bookmarkStart w:id="199" w:name="_Toc7665"/>
            <w:bookmarkStart w:id="200" w:name="_Toc12303"/>
            <w:bookmarkStart w:id="201" w:name="_Toc16256"/>
            <w:bookmarkStart w:id="202" w:name="_Toc466394283"/>
            <w:bookmarkStart w:id="203" w:name="_Toc12743"/>
            <w:bookmarkStart w:id="204" w:name="_Toc20240"/>
            <w:bookmarkStart w:id="205" w:name="_Toc13459"/>
            <w:bookmarkStart w:id="206" w:name="_Toc483077685"/>
            <w:bookmarkStart w:id="207" w:name="_Toc7329"/>
            <w:r>
              <w:rPr>
                <w:rFonts w:hint="eastAsia" w:ascii="宋体" w:hAnsi="宋体" w:cs="宋体"/>
                <w:b/>
                <w:bCs/>
                <w:color w:val="auto"/>
                <w:szCs w:val="21"/>
              </w:rPr>
              <w:t>（4）对操作人员的水平要求</w:t>
            </w:r>
            <w:bookmarkEnd w:id="196"/>
            <w:bookmarkEnd w:id="197"/>
            <w:bookmarkEnd w:id="198"/>
            <w:bookmarkEnd w:id="199"/>
            <w:bookmarkEnd w:id="200"/>
            <w:bookmarkEnd w:id="201"/>
            <w:bookmarkEnd w:id="202"/>
            <w:bookmarkEnd w:id="203"/>
            <w:bookmarkEnd w:id="204"/>
            <w:bookmarkEnd w:id="205"/>
            <w:bookmarkEnd w:id="206"/>
            <w:bookmarkEnd w:id="207"/>
          </w:p>
          <w:p>
            <w:pPr>
              <w:autoSpaceDE w:val="0"/>
              <w:autoSpaceDN w:val="0"/>
              <w:spacing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设备操作和维修人员应参与设备的安装和调试。</w:t>
            </w:r>
          </w:p>
          <w:p>
            <w:pPr>
              <w:keepNext/>
              <w:keepLines/>
              <w:autoSpaceDE w:val="0"/>
              <w:autoSpaceDN w:val="0"/>
              <w:spacing w:line="320" w:lineRule="exact"/>
              <w:outlineLvl w:val="3"/>
              <w:rPr>
                <w:rFonts w:ascii="宋体" w:hAnsi="宋体" w:cs="宋体"/>
                <w:b/>
                <w:bCs/>
                <w:color w:val="auto"/>
                <w:szCs w:val="21"/>
              </w:rPr>
            </w:pPr>
            <w:r>
              <w:rPr>
                <w:rFonts w:hint="eastAsia" w:ascii="宋体" w:hAnsi="宋体" w:cs="宋体"/>
                <w:b/>
                <w:bCs/>
                <w:color w:val="auto"/>
                <w:szCs w:val="21"/>
              </w:rPr>
              <w:t>设备操作人员和维修人员应具备中级以上机械、电气技术知识和水平。</w:t>
            </w:r>
            <w:bookmarkStart w:id="208" w:name="_Toc27630"/>
            <w:bookmarkStart w:id="209" w:name="_Toc22426"/>
            <w:bookmarkStart w:id="210" w:name="_Toc21631"/>
            <w:bookmarkStart w:id="211" w:name="_Toc17549"/>
            <w:bookmarkStart w:id="212" w:name="_Toc8289"/>
            <w:bookmarkStart w:id="213" w:name="_Toc27960"/>
            <w:bookmarkStart w:id="214" w:name="_Toc437844937"/>
            <w:bookmarkStart w:id="215" w:name="_Toc6162"/>
            <w:bookmarkStart w:id="216" w:name="_Toc483077686"/>
            <w:bookmarkStart w:id="217" w:name="_Toc466394284"/>
            <w:bookmarkStart w:id="218" w:name="_Toc20626"/>
            <w:bookmarkStart w:id="219" w:name="_Toc12562"/>
            <w:bookmarkStart w:id="220" w:name="_Toc18107"/>
          </w:p>
          <w:bookmarkEnd w:id="208"/>
          <w:bookmarkEnd w:id="209"/>
          <w:bookmarkEnd w:id="210"/>
          <w:bookmarkEnd w:id="211"/>
          <w:bookmarkEnd w:id="212"/>
          <w:bookmarkEnd w:id="213"/>
          <w:bookmarkEnd w:id="214"/>
          <w:bookmarkEnd w:id="215"/>
          <w:bookmarkEnd w:id="216"/>
          <w:bookmarkEnd w:id="217"/>
          <w:bookmarkEnd w:id="218"/>
          <w:bookmarkEnd w:id="219"/>
          <w:bookmarkEnd w:id="220"/>
          <w:p>
            <w:pPr>
              <w:keepNext/>
              <w:keepLines/>
              <w:autoSpaceDE w:val="0"/>
              <w:autoSpaceDN w:val="0"/>
              <w:spacing w:line="320" w:lineRule="exact"/>
              <w:outlineLvl w:val="3"/>
              <w:rPr>
                <w:rFonts w:ascii="宋体" w:hAnsi="宋体" w:cs="宋体"/>
                <w:b/>
                <w:bCs/>
                <w:color w:val="auto"/>
                <w:szCs w:val="21"/>
              </w:rPr>
            </w:pPr>
            <w:bookmarkStart w:id="221" w:name="_Toc437844938"/>
            <w:bookmarkStart w:id="222" w:name="_Toc466394285"/>
            <w:bookmarkStart w:id="223" w:name="_Toc4039"/>
            <w:bookmarkStart w:id="224" w:name="_Toc24957"/>
            <w:bookmarkStart w:id="225" w:name="_Toc483077687"/>
            <w:bookmarkStart w:id="226" w:name="_Toc18744"/>
            <w:bookmarkStart w:id="227" w:name="_Toc4063"/>
            <w:bookmarkStart w:id="228" w:name="_Toc6112"/>
            <w:bookmarkStart w:id="229" w:name="_Toc9785"/>
            <w:bookmarkStart w:id="230" w:name="_Toc1068"/>
            <w:bookmarkStart w:id="231" w:name="_Toc10562"/>
            <w:bookmarkStart w:id="232" w:name="_Toc1287"/>
            <w:r>
              <w:rPr>
                <w:rFonts w:hint="eastAsia" w:ascii="宋体" w:hAnsi="宋体" w:cs="宋体"/>
                <w:b/>
                <w:bCs/>
                <w:color w:val="auto"/>
                <w:szCs w:val="21"/>
              </w:rPr>
              <w:t>（5）培训目标</w:t>
            </w:r>
            <w:bookmarkEnd w:id="221"/>
            <w:bookmarkEnd w:id="222"/>
            <w:bookmarkEnd w:id="223"/>
            <w:bookmarkEnd w:id="224"/>
            <w:bookmarkEnd w:id="225"/>
            <w:bookmarkEnd w:id="226"/>
            <w:bookmarkEnd w:id="227"/>
            <w:bookmarkEnd w:id="228"/>
            <w:bookmarkEnd w:id="229"/>
            <w:bookmarkEnd w:id="230"/>
            <w:bookmarkEnd w:id="231"/>
            <w:bookmarkEnd w:id="232"/>
          </w:p>
          <w:p>
            <w:pPr>
              <w:autoSpaceDE w:val="0"/>
              <w:autoSpaceDN w:val="0"/>
              <w:spacing w:line="320" w:lineRule="exact"/>
              <w:ind w:firstLine="420" w:firstLineChars="200"/>
              <w:jc w:val="left"/>
              <w:rPr>
                <w:rFonts w:ascii="宋体" w:cs="宋体"/>
                <w:color w:val="auto"/>
                <w:spacing w:val="4"/>
                <w:szCs w:val="21"/>
              </w:rPr>
            </w:pPr>
            <w:r>
              <w:rPr>
                <w:rFonts w:hint="eastAsia" w:ascii="宋体" w:hAnsi="宋体" w:cs="宋体"/>
                <w:color w:val="auto"/>
                <w:kern w:val="0"/>
                <w:szCs w:val="21"/>
              </w:rPr>
              <w:t>本系统设备的操作人员可以熟练操作设备，设备维修人员可以进行设备的日常维护以及简单故障的处理。</w:t>
            </w:r>
          </w:p>
        </w:tc>
      </w:tr>
    </w:tbl>
    <w:p>
      <w:pPr>
        <w:pStyle w:val="37"/>
        <w:rPr>
          <w:color w:val="auto"/>
          <w:sz w:val="36"/>
          <w:szCs w:val="36"/>
        </w:rPr>
      </w:pPr>
      <w:bookmarkStart w:id="233" w:name="_Toc25502"/>
      <w:r>
        <w:rPr>
          <w:rFonts w:hint="eastAsia"/>
          <w:color w:val="auto"/>
          <w:sz w:val="36"/>
          <w:szCs w:val="36"/>
        </w:rPr>
        <w:t>第三章</w:t>
      </w:r>
      <w:r>
        <w:rPr>
          <w:color w:val="auto"/>
          <w:sz w:val="36"/>
          <w:szCs w:val="36"/>
        </w:rPr>
        <w:t xml:space="preserve">  </w:t>
      </w:r>
      <w:r>
        <w:rPr>
          <w:rFonts w:hint="eastAsia"/>
          <w:color w:val="auto"/>
          <w:sz w:val="36"/>
          <w:szCs w:val="36"/>
        </w:rPr>
        <w:t>投标人须知</w:t>
      </w:r>
      <w:bookmarkEnd w:id="37"/>
      <w:bookmarkEnd w:id="233"/>
    </w:p>
    <w:p>
      <w:pPr>
        <w:snapToGrid w:val="0"/>
        <w:spacing w:beforeLines="50" w:afterLines="50"/>
        <w:ind w:left="238"/>
        <w:jc w:val="center"/>
        <w:outlineLvl w:val="1"/>
        <w:rPr>
          <w:rFonts w:ascii="宋体"/>
          <w:b/>
          <w:color w:val="auto"/>
          <w:sz w:val="28"/>
          <w:szCs w:val="28"/>
        </w:rPr>
      </w:pPr>
      <w:bookmarkStart w:id="234" w:name="_Toc254970667"/>
      <w:bookmarkStart w:id="235" w:name="_Toc3682"/>
      <w:bookmarkStart w:id="236" w:name="_Toc327735653"/>
      <w:bookmarkStart w:id="237" w:name="_Toc254970526"/>
      <w:r>
        <w:rPr>
          <w:rFonts w:hint="eastAsia" w:ascii="宋体" w:hAnsi="宋体"/>
          <w:b/>
          <w:color w:val="auto"/>
          <w:sz w:val="28"/>
          <w:szCs w:val="28"/>
        </w:rPr>
        <w:t>前</w:t>
      </w:r>
      <w:r>
        <w:rPr>
          <w:rFonts w:ascii="宋体" w:hAnsi="宋体"/>
          <w:b/>
          <w:color w:val="auto"/>
          <w:sz w:val="28"/>
          <w:szCs w:val="28"/>
        </w:rPr>
        <w:t xml:space="preserve">  </w:t>
      </w:r>
      <w:r>
        <w:rPr>
          <w:rFonts w:hint="eastAsia" w:ascii="宋体" w:hAnsi="宋体"/>
          <w:b/>
          <w:color w:val="auto"/>
          <w:sz w:val="28"/>
          <w:szCs w:val="28"/>
        </w:rPr>
        <w:t>附</w:t>
      </w:r>
      <w:r>
        <w:rPr>
          <w:rFonts w:ascii="宋体" w:hAnsi="宋体"/>
          <w:b/>
          <w:color w:val="auto"/>
          <w:sz w:val="28"/>
          <w:szCs w:val="28"/>
        </w:rPr>
        <w:t xml:space="preserve">  </w:t>
      </w:r>
      <w:r>
        <w:rPr>
          <w:rFonts w:hint="eastAsia" w:ascii="宋体" w:hAnsi="宋体"/>
          <w:b/>
          <w:color w:val="auto"/>
          <w:sz w:val="28"/>
          <w:szCs w:val="28"/>
        </w:rPr>
        <w:t>表</w:t>
      </w:r>
      <w:bookmarkEnd w:id="234"/>
      <w:bookmarkEnd w:id="235"/>
      <w:bookmarkEnd w:id="236"/>
      <w:bookmarkEnd w:id="237"/>
    </w:p>
    <w:tbl>
      <w:tblPr>
        <w:tblStyle w:val="4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hint="eastAsia" w:ascii="宋体" w:hAnsi="宋体" w:cs="宋体"/>
                <w:color w:val="auto"/>
                <w:szCs w:val="21"/>
              </w:rPr>
              <w:t>序号</w:t>
            </w:r>
          </w:p>
        </w:tc>
        <w:tc>
          <w:tcPr>
            <w:tcW w:w="8131" w:type="dxa"/>
            <w:tcBorders>
              <w:top w:val="single" w:color="auto" w:sz="4" w:space="0"/>
              <w:left w:val="single" w:color="auto" w:sz="4" w:space="0"/>
              <w:bottom w:val="single" w:color="auto" w:sz="4" w:space="0"/>
            </w:tcBorders>
            <w:vAlign w:val="center"/>
          </w:tcPr>
          <w:p>
            <w:pPr>
              <w:snapToGrid w:val="0"/>
              <w:spacing w:line="410" w:lineRule="exact"/>
              <w:jc w:val="center"/>
              <w:rPr>
                <w:rFonts w:ascii="宋体"/>
                <w:color w:val="auto"/>
                <w:sz w:val="22"/>
                <w:szCs w:val="22"/>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olor w:val="auto"/>
                <w:sz w:val="22"/>
                <w:szCs w:val="22"/>
              </w:rPr>
              <w:t>项目名称：防城港市医疗废物处置中心设备升级改造生产线设备采购</w:t>
            </w:r>
          </w:p>
          <w:p>
            <w:pPr>
              <w:snapToGrid w:val="0"/>
              <w:spacing w:line="410" w:lineRule="exact"/>
              <w:rPr>
                <w:rFonts w:ascii="宋体"/>
                <w:color w:val="auto"/>
                <w:sz w:val="22"/>
                <w:szCs w:val="22"/>
              </w:rPr>
            </w:pPr>
            <w:r>
              <w:rPr>
                <w:rFonts w:hint="eastAsia" w:ascii="宋体" w:hAnsi="宋体"/>
                <w:color w:val="auto"/>
                <w:sz w:val="22"/>
                <w:szCs w:val="22"/>
              </w:rPr>
              <w:t>项目编号：FCZC2020-G1-10007-KLZB</w:t>
            </w:r>
            <w:r>
              <w:rPr>
                <w:rFonts w:ascii="宋体" w:hAnsi="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2</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b/>
                <w:color w:val="auto"/>
                <w:szCs w:val="21"/>
              </w:rPr>
              <w:t>投标报价及费用</w:t>
            </w:r>
            <w:r>
              <w:rPr>
                <w:rFonts w:hint="eastAsia" w:ascii="宋体" w:hAnsi="宋体" w:cs="宋体"/>
                <w:color w:val="auto"/>
                <w:szCs w:val="21"/>
              </w:rPr>
              <w:t>：</w:t>
            </w:r>
            <w:r>
              <w:rPr>
                <w:rFonts w:ascii="宋体" w:hAnsi="宋体" w:cs="宋体"/>
                <w:color w:val="auto"/>
                <w:szCs w:val="21"/>
              </w:rPr>
              <w:t>1.</w:t>
            </w:r>
            <w:r>
              <w:rPr>
                <w:rFonts w:hint="eastAsia" w:ascii="宋体" w:hAnsi="宋体" w:cs="宋体"/>
                <w:b/>
                <w:color w:val="auto"/>
                <w:szCs w:val="21"/>
              </w:rPr>
              <w:t>投标人须对《项目需求》中所有货物及服务内容作完全响应；</w:t>
            </w:r>
            <w:r>
              <w:rPr>
                <w:rFonts w:ascii="宋体" w:hAnsi="宋体" w:cs="宋体"/>
                <w:color w:val="auto"/>
                <w:szCs w:val="21"/>
              </w:rPr>
              <w:t xml:space="preserve">2. </w:t>
            </w:r>
            <w:r>
              <w:rPr>
                <w:rFonts w:hint="eastAsia" w:ascii="宋体" w:hAnsi="宋体" w:cs="宋体"/>
                <w:color w:val="auto"/>
                <w:szCs w:val="21"/>
              </w:rPr>
              <w:t>不论投标结果如何，投标人均应自行承担所有与投标有关的全部费用；</w:t>
            </w:r>
            <w:r>
              <w:rPr>
                <w:rFonts w:ascii="宋体" w:hAnsi="宋体" w:cs="宋体"/>
                <w:color w:val="auto"/>
                <w:szCs w:val="21"/>
              </w:rPr>
              <w:t>3.</w:t>
            </w:r>
            <w:r>
              <w:rPr>
                <w:rFonts w:hint="eastAsia" w:ascii="宋体" w:hAnsi="宋体" w:cs="宋体"/>
                <w:color w:val="auto"/>
                <w:szCs w:val="21"/>
              </w:rPr>
              <w:t>本项目代理服务费参照桂价费〔</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55</w:t>
            </w:r>
            <w:r>
              <w:rPr>
                <w:rFonts w:hint="eastAsia" w:ascii="宋体" w:hAnsi="宋体" w:cs="宋体"/>
                <w:color w:val="auto"/>
                <w:szCs w:val="21"/>
              </w:rPr>
              <w:t>号文件规定（货物招标类）标准执行，详见《总则》第八条规定，由中标供应商向采购代理机构一次性付清。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3</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hAnsi="宋体" w:cs="宋体"/>
                <w:color w:val="auto"/>
                <w:szCs w:val="21"/>
              </w:rPr>
            </w:pPr>
            <w:r>
              <w:rPr>
                <w:rFonts w:hint="eastAsia" w:ascii="宋体" w:hAnsi="宋体" w:cs="宋体"/>
                <w:color w:val="auto"/>
                <w:szCs w:val="21"/>
              </w:rPr>
              <w:t>采购预算：人民币560万元</w:t>
            </w:r>
          </w:p>
          <w:p>
            <w:pPr>
              <w:snapToGrid w:val="0"/>
              <w:spacing w:line="410" w:lineRule="exact"/>
              <w:rPr>
                <w:rFonts w:ascii="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4</w:t>
            </w:r>
          </w:p>
        </w:tc>
        <w:tc>
          <w:tcPr>
            <w:tcW w:w="8131" w:type="dxa"/>
            <w:tcBorders>
              <w:top w:val="single" w:color="auto" w:sz="4" w:space="0"/>
              <w:left w:val="single" w:color="auto" w:sz="4" w:space="0"/>
              <w:bottom w:val="single" w:color="auto" w:sz="4" w:space="0"/>
            </w:tcBorders>
            <w:vAlign w:val="center"/>
          </w:tcPr>
          <w:p>
            <w:pPr>
              <w:rPr>
                <w:color w:val="auto"/>
              </w:rPr>
            </w:pPr>
            <w:r>
              <w:rPr>
                <w:rFonts w:hint="eastAsia" w:ascii="宋体" w:hAnsi="宋体" w:cs="宋体"/>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5</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s="宋体"/>
                <w:b/>
                <w:bCs/>
                <w:color w:val="auto"/>
              </w:rPr>
            </w:pPr>
            <w:r>
              <w:rPr>
                <w:rFonts w:hint="eastAsia" w:ascii="宋体" w:hAnsi="宋体" w:cs="宋体"/>
                <w:bCs/>
                <w:color w:val="auto"/>
              </w:rPr>
              <w:t>功能及效果演示：</w:t>
            </w:r>
            <w:r>
              <w:rPr>
                <w:rFonts w:ascii="宋体" w:hAnsi="宋体" w:cs="宋体"/>
                <w:bCs/>
                <w:color w:val="auto"/>
              </w:rPr>
              <w:t xml:space="preserve"> </w:t>
            </w:r>
            <w:r>
              <w:rPr>
                <w:rFonts w:hint="eastAsia" w:ascii="宋体" w:hAnsi="宋体" w:cs="宋体"/>
                <w:bCs/>
                <w:color w:val="auto"/>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7"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答疑与澄清：投标人如认为招标文件表述不清晰、存在歧视性、排他性或者其他违法内容的，应当于</w:t>
            </w:r>
            <w:r>
              <w:rPr>
                <w:rFonts w:hint="eastAsia" w:ascii="宋体" w:hAnsi="宋体" w:cs="宋体"/>
                <w:bCs/>
                <w:color w:val="auto"/>
                <w:szCs w:val="21"/>
              </w:rPr>
              <w:t>收到招标文件之日起</w:t>
            </w:r>
            <w:r>
              <w:rPr>
                <w:rFonts w:ascii="宋体" w:hAnsi="宋体" w:cs="宋体"/>
                <w:bCs/>
                <w:color w:val="auto"/>
                <w:szCs w:val="21"/>
              </w:rPr>
              <w:t>7</w:t>
            </w:r>
            <w:r>
              <w:rPr>
                <w:rFonts w:hint="eastAsia" w:ascii="宋体" w:hAnsi="宋体" w:cs="宋体"/>
                <w:bCs/>
                <w:color w:val="auto"/>
                <w:szCs w:val="21"/>
              </w:rPr>
              <w:t>个工作日内</w:t>
            </w:r>
            <w:r>
              <w:rPr>
                <w:rFonts w:hint="eastAsia" w:ascii="宋体" w:hAnsi="宋体" w:cs="宋体"/>
                <w:color w:val="auto"/>
                <w:szCs w:val="21"/>
              </w:rPr>
              <w:t>，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7</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color w:val="auto"/>
                <w:szCs w:val="21"/>
              </w:rPr>
            </w:pPr>
            <w:r>
              <w:rPr>
                <w:rFonts w:hint="eastAsia" w:ascii="宋体" w:hAnsi="宋体" w:cs="宋体"/>
                <w:color w:val="auto"/>
                <w:szCs w:val="21"/>
              </w:rPr>
              <w:t>投标文件组成和装订要求：</w:t>
            </w:r>
          </w:p>
          <w:p>
            <w:pPr>
              <w:numPr>
                <w:ilvl w:val="0"/>
                <w:numId w:val="7"/>
              </w:numPr>
              <w:autoSpaceDE w:val="0"/>
              <w:autoSpaceDN w:val="0"/>
              <w:snapToGrid w:val="0"/>
              <w:spacing w:line="410" w:lineRule="exact"/>
              <w:textAlignment w:val="bottom"/>
              <w:rPr>
                <w:rFonts w:ascii="宋体" w:cs="宋体"/>
                <w:b/>
                <w:bCs/>
                <w:color w:val="auto"/>
                <w:szCs w:val="21"/>
              </w:rPr>
            </w:pPr>
            <w:r>
              <w:rPr>
                <w:rFonts w:hint="eastAsia" w:ascii="宋体" w:hAnsi="宋体" w:cs="宋体"/>
                <w:b/>
                <w:bCs/>
                <w:color w:val="auto"/>
                <w:szCs w:val="21"/>
              </w:rPr>
              <w:t>装订要求：资格部分单独装订成册，封面注明投标文件（资格部分）（“正本”或“副本”），数量：正本</w:t>
            </w:r>
            <w:r>
              <w:rPr>
                <w:rFonts w:ascii="宋体" w:hAnsi="宋体" w:cs="宋体"/>
                <w:b/>
                <w:bCs/>
                <w:color w:val="auto"/>
                <w:szCs w:val="21"/>
                <w:u w:val="single"/>
              </w:rPr>
              <w:t>1</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份；商务及技术部分、报价部分合并装订成册，封面注明投标文件（商务及技术部分、报价部分）（“正本”或“副本”），数量：正本</w:t>
            </w:r>
            <w:r>
              <w:rPr>
                <w:rFonts w:ascii="宋体" w:hAnsi="宋体" w:cs="宋体"/>
                <w:b/>
                <w:bCs/>
                <w:color w:val="auto"/>
                <w:szCs w:val="21"/>
                <w:u w:val="single"/>
              </w:rPr>
              <w:t>1</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w:t>
            </w:r>
            <w:r>
              <w:rPr>
                <w:rFonts w:hint="eastAsia" w:ascii="宋体" w:hAnsi="宋体"/>
                <w:b/>
                <w:bCs/>
                <w:color w:val="auto"/>
                <w:szCs w:val="21"/>
              </w:rPr>
              <w:t>投标文件均应标注页码，装订应牢固，不易拆散和换页（</w:t>
            </w:r>
            <w:r>
              <w:rPr>
                <w:rFonts w:ascii="宋体" w:hAnsi="宋体"/>
                <w:b/>
                <w:bCs/>
                <w:color w:val="auto"/>
                <w:szCs w:val="21"/>
              </w:rPr>
              <w:t>A4</w:t>
            </w:r>
            <w:r>
              <w:rPr>
                <w:rFonts w:hint="eastAsia" w:ascii="宋体" w:hAnsi="宋体"/>
                <w:b/>
                <w:bCs/>
                <w:color w:val="auto"/>
                <w:szCs w:val="21"/>
              </w:rPr>
              <w:t>标准纸装订）</w:t>
            </w:r>
            <w:r>
              <w:rPr>
                <w:rFonts w:hint="eastAsia" w:ascii="宋体" w:hAnsi="宋体" w:cs="宋体"/>
                <w:b/>
                <w:bCs/>
                <w:color w:val="auto"/>
                <w:szCs w:val="21"/>
              </w:rPr>
              <w:t>。</w:t>
            </w:r>
          </w:p>
          <w:p>
            <w:pPr>
              <w:autoSpaceDE w:val="0"/>
              <w:autoSpaceDN w:val="0"/>
              <w:snapToGrid w:val="0"/>
              <w:spacing w:line="410" w:lineRule="exact"/>
              <w:textAlignment w:val="bottom"/>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）投标文件组成：所有投标文件（资格部分、商务及技术部分、报价部分）正本</w:t>
            </w:r>
            <w:r>
              <w:rPr>
                <w:rFonts w:ascii="宋体" w:hAnsi="宋体" w:cs="宋体"/>
                <w:b/>
                <w:bCs/>
                <w:color w:val="auto"/>
                <w:szCs w:val="21"/>
                <w:u w:val="single"/>
              </w:rPr>
              <w:t xml:space="preserve"> 1 </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份一并密封封装在一个投标文件袋（盒、箱）中</w:t>
            </w:r>
            <w:r>
              <w:rPr>
                <w:rFonts w:hint="eastAsia" w:hAnsi="宋体"/>
                <w:b/>
                <w:bCs/>
                <w:color w:val="auto"/>
                <w:spacing w:val="-2"/>
                <w:szCs w:val="21"/>
              </w:rPr>
              <w:t>（要求文件袋无明显缝隙露出袋内文件）</w:t>
            </w:r>
            <w:r>
              <w:rPr>
                <w:rFonts w:hint="eastAsia" w:ascii="宋体" w:hAnsi="宋体" w:cs="宋体"/>
                <w:b/>
                <w:bCs/>
                <w:color w:val="auto"/>
                <w:szCs w:val="21"/>
              </w:rPr>
              <w:t>，并在密封处密封签章（加盖投标人公章或由法定代表人（委托代理人）盖章或签字）；开标一览表、投标函各</w:t>
            </w:r>
            <w:r>
              <w:rPr>
                <w:rFonts w:ascii="宋体" w:hAnsi="宋体" w:cs="宋体"/>
                <w:b/>
                <w:bCs/>
                <w:color w:val="auto"/>
                <w:szCs w:val="21"/>
                <w:u w:val="single"/>
              </w:rPr>
              <w:t xml:space="preserve"> 1 </w:t>
            </w:r>
            <w:r>
              <w:rPr>
                <w:rFonts w:hint="eastAsia" w:ascii="宋体" w:hAnsi="宋体" w:cs="宋体"/>
                <w:b/>
                <w:bCs/>
                <w:color w:val="auto"/>
                <w:szCs w:val="21"/>
              </w:rPr>
              <w:t>份，必须一并密封封装在一个信封中</w:t>
            </w:r>
            <w:r>
              <w:rPr>
                <w:rFonts w:hint="eastAsia" w:hAnsi="宋体"/>
                <w:b/>
                <w:bCs/>
                <w:color w:val="auto"/>
                <w:spacing w:val="-2"/>
                <w:szCs w:val="21"/>
              </w:rPr>
              <w:t>（要求文件袋无明显缝隙露出袋内文件）</w:t>
            </w:r>
            <w:r>
              <w:rPr>
                <w:rFonts w:hint="eastAsia" w:ascii="宋体" w:hAnsi="宋体" w:cs="宋体"/>
                <w:b/>
                <w:bCs/>
                <w:color w:val="auto"/>
                <w:szCs w:val="21"/>
              </w:rPr>
              <w:t>，</w:t>
            </w:r>
            <w:r>
              <w:rPr>
                <w:rFonts w:hint="eastAsia" w:ascii="宋体" w:hAnsi="宋体"/>
                <w:b/>
                <w:bCs/>
                <w:color w:val="auto"/>
                <w:szCs w:val="21"/>
              </w:rPr>
              <w:t>并在密封处密封签章（加盖投标人公章或由法定代表人（委托代理人）盖章或签字）</w:t>
            </w:r>
            <w:r>
              <w:rPr>
                <w:rFonts w:hint="eastAsia" w:ascii="宋体" w:hAnsi="宋体" w:cs="宋体"/>
                <w:b/>
                <w:bCs/>
                <w:color w:val="auto"/>
                <w:szCs w:val="21"/>
              </w:rPr>
              <w:t>，单独提交。</w:t>
            </w:r>
          </w:p>
          <w:p>
            <w:pPr>
              <w:autoSpaceDE w:val="0"/>
              <w:autoSpaceDN w:val="0"/>
              <w:snapToGrid w:val="0"/>
              <w:spacing w:line="410" w:lineRule="exact"/>
              <w:textAlignment w:val="bottom"/>
              <w:rPr>
                <w:rFonts w:ascii="宋体" w:cs="宋体"/>
                <w:b/>
                <w:bCs/>
                <w:color w:val="auto"/>
                <w:szCs w:val="21"/>
              </w:rPr>
            </w:pPr>
            <w:r>
              <w:rPr>
                <w:rFonts w:hint="eastAsia" w:ascii="宋体" w:hAnsi="宋体" w:cs="宋体"/>
                <w:b/>
                <w:bCs/>
                <w:color w:val="auto"/>
                <w:szCs w:val="21"/>
              </w:rPr>
              <w:t>投标文件及信封的外包装封面上均应注明投标人名称、投标人地址、投标项目名称、项目编号及“开标时启封”字样，并加盖投标人公章。</w:t>
            </w:r>
          </w:p>
          <w:p>
            <w:pPr>
              <w:autoSpaceDE w:val="0"/>
              <w:autoSpaceDN w:val="0"/>
              <w:snapToGrid w:val="0"/>
              <w:spacing w:line="410" w:lineRule="exact"/>
              <w:textAlignment w:val="bottom"/>
              <w:rPr>
                <w:rFonts w:ascii="宋体"/>
                <w:b/>
                <w:color w:val="auto"/>
                <w:sz w:val="22"/>
                <w:szCs w:val="22"/>
                <w:u w:val="single"/>
              </w:rPr>
            </w:pPr>
            <w:r>
              <w:rPr>
                <w:rFonts w:hint="eastAsia" w:ascii="宋体" w:hAnsi="宋体" w:cs="宋体"/>
                <w:b/>
                <w:bCs/>
                <w:color w:val="auto"/>
                <w:szCs w:val="21"/>
              </w:rPr>
              <w:t>投标文件必须包边装订，使用活页夹、订书钉等可能导致投标文件散落或脱页方式装订的将被视为无效投标文件。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8</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hint="eastAsia" w:ascii="宋体" w:eastAsia="宋体" w:cs="宋体"/>
                <w:color w:val="auto"/>
                <w:szCs w:val="21"/>
                <w:lang w:eastAsia="zh-CN"/>
              </w:rPr>
            </w:pPr>
            <w:r>
              <w:rPr>
                <w:rFonts w:hint="eastAsia" w:ascii="宋体" w:hAnsi="宋体" w:cs="宋体"/>
                <w:color w:val="auto"/>
                <w:szCs w:val="21"/>
              </w:rPr>
              <w:t>投标文件递交截止时间：</w:t>
            </w:r>
            <w:r>
              <w:rPr>
                <w:rFonts w:hint="eastAsia" w:ascii="宋体" w:hAnsi="宋体" w:cs="宋体"/>
                <w:color w:val="auto"/>
                <w:szCs w:val="21"/>
                <w:lang w:eastAsia="zh-CN"/>
              </w:rPr>
              <w:t>2020年12月30日9点30分整</w:t>
            </w:r>
          </w:p>
          <w:p>
            <w:pPr>
              <w:snapToGrid w:val="0"/>
              <w:spacing w:line="360" w:lineRule="exact"/>
              <w:rPr>
                <w:rFonts w:ascii="宋体" w:cs="宋体"/>
                <w:color w:val="auto"/>
                <w:szCs w:val="21"/>
              </w:rPr>
            </w:pPr>
            <w:r>
              <w:rPr>
                <w:rFonts w:hint="eastAsia" w:ascii="宋体" w:hAnsi="宋体" w:cs="宋体"/>
                <w:color w:val="auto"/>
                <w:szCs w:val="21"/>
              </w:rPr>
              <w:t>投标文件递交地点：防城港市公共资源交易中心（防城港市迎宾路红树林大厦东塔）（具体开标厅根据防城港市公共资源交易中心网站公示或防城港市迎宾路红树林大厦东塔</w:t>
            </w:r>
            <w:r>
              <w:rPr>
                <w:rFonts w:ascii="宋体" w:hAnsi="宋体" w:cs="宋体"/>
                <w:color w:val="auto"/>
                <w:szCs w:val="21"/>
              </w:rPr>
              <w:t>6</w:t>
            </w:r>
            <w:r>
              <w:rPr>
                <w:rFonts w:hint="eastAsia" w:ascii="宋体" w:hAnsi="宋体" w:cs="宋体"/>
                <w:color w:val="auto"/>
                <w:szCs w:val="21"/>
              </w:rPr>
              <w:t>楼电子屏幕显示的安排）</w:t>
            </w:r>
          </w:p>
          <w:p>
            <w:pPr>
              <w:snapToGrid w:val="0"/>
              <w:spacing w:line="360" w:lineRule="exact"/>
              <w:rPr>
                <w:rFonts w:ascii="宋体" w:cs="宋体"/>
                <w:color w:val="auto"/>
                <w:szCs w:val="21"/>
              </w:rPr>
            </w:pPr>
            <w:r>
              <w:rPr>
                <w:rFonts w:hint="eastAsia" w:ascii="宋体" w:hAnsi="宋体" w:cs="宋体"/>
                <w:color w:val="auto"/>
                <w:szCs w:val="21"/>
              </w:rPr>
              <w:t>逾期送达或未按要求密封的将予以拒收（或作无效投标文件处理）</w:t>
            </w:r>
          </w:p>
          <w:p>
            <w:pPr>
              <w:snapToGrid w:val="0"/>
              <w:spacing w:line="360" w:lineRule="exact"/>
              <w:rPr>
                <w:rFonts w:ascii="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9</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hint="eastAsia" w:ascii="宋体" w:eastAsia="宋体" w:cs="宋体"/>
                <w:color w:val="auto"/>
                <w:szCs w:val="21"/>
                <w:lang w:eastAsia="zh-CN"/>
              </w:rPr>
            </w:pPr>
            <w:r>
              <w:rPr>
                <w:rFonts w:hint="eastAsia" w:ascii="宋体" w:hAnsi="宋体" w:cs="宋体"/>
                <w:color w:val="auto"/>
                <w:szCs w:val="21"/>
              </w:rPr>
              <w:t>开标时间：</w:t>
            </w:r>
            <w:r>
              <w:rPr>
                <w:rFonts w:hint="eastAsia" w:ascii="宋体" w:hAnsi="宋体" w:cs="宋体"/>
                <w:color w:val="auto"/>
                <w:szCs w:val="21"/>
                <w:lang w:eastAsia="zh-CN"/>
              </w:rPr>
              <w:t>2020年12月30日9点30分整</w:t>
            </w:r>
          </w:p>
          <w:p>
            <w:pPr>
              <w:snapToGrid w:val="0"/>
              <w:spacing w:line="360" w:lineRule="exact"/>
              <w:rPr>
                <w:rFonts w:ascii="宋体" w:cs="宋体"/>
                <w:color w:val="auto"/>
                <w:szCs w:val="21"/>
              </w:rPr>
            </w:pPr>
            <w:r>
              <w:rPr>
                <w:rFonts w:hint="eastAsia" w:ascii="宋体" w:hAnsi="宋体" w:cs="宋体"/>
                <w:color w:val="auto"/>
                <w:szCs w:val="21"/>
              </w:rPr>
              <w:t>开标地点：防城港市公共资源交易中心开标厅（防城港市迎宾路红树林大厦东塔）（具体开标厅根据防城港市公共资源交易中心网站公示或防城港市迎宾路红树林大厦东塔</w:t>
            </w:r>
            <w:r>
              <w:rPr>
                <w:rFonts w:ascii="宋体" w:hAnsi="宋体" w:cs="宋体"/>
                <w:color w:val="auto"/>
                <w:szCs w:val="21"/>
              </w:rPr>
              <w:t>6</w:t>
            </w:r>
            <w:r>
              <w:rPr>
                <w:rFonts w:hint="eastAsia" w:ascii="宋体" w:hAnsi="宋体" w:cs="宋体"/>
                <w:color w:val="auto"/>
                <w:szCs w:val="21"/>
              </w:rPr>
              <w:t>楼电子屏幕显示的安排）</w:t>
            </w:r>
          </w:p>
          <w:p>
            <w:pPr>
              <w:snapToGrid w:val="0"/>
              <w:spacing w:line="360" w:lineRule="exact"/>
              <w:rPr>
                <w:rFonts w:ascii="宋体"/>
                <w:b/>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10</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color w:val="auto"/>
                <w:szCs w:val="21"/>
              </w:rPr>
            </w:pPr>
            <w:r>
              <w:rPr>
                <w:rFonts w:hint="eastAsia" w:ascii="宋体" w:hAnsi="宋体" w:cs="宋体"/>
                <w:color w:val="auto"/>
                <w:szCs w:val="21"/>
              </w:rPr>
              <w:t>评分标准：综合评分法</w:t>
            </w:r>
          </w:p>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评标委员会组成：本招标采购项目的评委由采购人代表、政府采购评审专家库中随机抽取的专家共</w:t>
            </w:r>
            <w:r>
              <w:rPr>
                <w:rFonts w:ascii="宋体" w:hAnsi="宋体" w:cs="宋体"/>
                <w:color w:val="auto"/>
                <w:szCs w:val="21"/>
              </w:rPr>
              <w:t>5</w:t>
            </w:r>
            <w:r>
              <w:rPr>
                <w:rFonts w:hint="eastAsia" w:ascii="宋体" w:hAnsi="宋体" w:cs="宋体"/>
                <w:color w:val="auto"/>
                <w:szCs w:val="21"/>
              </w:rPr>
              <w:t>人以上（含</w:t>
            </w:r>
            <w:r>
              <w:rPr>
                <w:rFonts w:ascii="宋体" w:hAnsi="宋体" w:cs="宋体"/>
                <w:color w:val="auto"/>
                <w:szCs w:val="21"/>
              </w:rPr>
              <w:t>5</w:t>
            </w:r>
            <w:r>
              <w:rPr>
                <w:rFonts w:hint="eastAsia" w:ascii="宋体" w:hAnsi="宋体" w:cs="宋体"/>
                <w:color w:val="auto"/>
                <w:szCs w:val="21"/>
              </w:rPr>
              <w:t>人）单数构成，其中专家人数不少于成员总数的三分之二。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11</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公告发布媒体：中国政府采购网（</w:t>
            </w:r>
            <w:r>
              <w:rPr>
                <w:rFonts w:ascii="宋体" w:hAnsi="宋体" w:cs="宋体"/>
                <w:color w:val="auto"/>
                <w:szCs w:val="21"/>
              </w:rPr>
              <w:t>http://www.ccgp.gov.cn</w:t>
            </w:r>
            <w:r>
              <w:rPr>
                <w:rFonts w:hint="eastAsia" w:ascii="宋体" w:hAnsi="宋体" w:cs="宋体"/>
                <w:color w:val="auto"/>
                <w:szCs w:val="21"/>
              </w:rPr>
              <w:t>）、广西壮族自治区政府采购网（</w:t>
            </w:r>
            <w:r>
              <w:rPr>
                <w:rFonts w:ascii="宋体" w:hAnsi="宋体" w:cs="宋体"/>
                <w:color w:val="auto"/>
                <w:szCs w:val="21"/>
              </w:rPr>
              <w:t>http://www.gxzfcg.gov.cn</w:t>
            </w:r>
            <w:r>
              <w:rPr>
                <w:rFonts w:hint="eastAsia" w:ascii="宋体" w:hAnsi="宋体" w:cs="宋体"/>
                <w:color w:val="auto"/>
                <w:szCs w:val="21"/>
              </w:rPr>
              <w:t>）、广西防城港政府采购网站（</w:t>
            </w:r>
            <w:r>
              <w:rPr>
                <w:rFonts w:ascii="宋体" w:hAnsi="宋体" w:cs="宋体"/>
                <w:color w:val="auto"/>
                <w:szCs w:val="21"/>
              </w:rPr>
              <w:t>http://zfcg.fcgs.gov.cn</w:t>
            </w:r>
            <w:r>
              <w:rPr>
                <w:rFonts w:hint="eastAsia" w:ascii="宋体" w:hAnsi="宋体" w:cs="宋体"/>
                <w:color w:val="auto"/>
                <w:szCs w:val="21"/>
              </w:rPr>
              <w:t>）、防城港市公共资源交易中心网（</w:t>
            </w:r>
            <w:r>
              <w:rPr>
                <w:rFonts w:ascii="宋体" w:hAnsi="宋体" w:cs="宋体"/>
                <w:color w:val="auto"/>
                <w:szCs w:val="21"/>
              </w:rPr>
              <w:t>http://www.fcgggzy.cn</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12</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履约保证金的收取</w:t>
            </w:r>
            <w:r>
              <w:rPr>
                <w:rFonts w:ascii="宋体" w:hAnsi="宋体" w:cs="宋体"/>
                <w:color w:val="auto"/>
                <w:szCs w:val="21"/>
              </w:rPr>
              <w:t>:</w:t>
            </w:r>
            <w:r>
              <w:rPr>
                <w:rFonts w:hint="eastAsia" w:ascii="宋体" w:hAnsi="宋体" w:cs="宋体"/>
                <w:color w:val="auto"/>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13</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签订合同时间：应当在中标通知书发出后</w:t>
            </w:r>
            <w:r>
              <w:rPr>
                <w:rFonts w:hint="eastAsia" w:ascii="宋体" w:hAnsi="宋体" w:cs="宋体"/>
                <w:color w:val="auto"/>
                <w:szCs w:val="21"/>
                <w:lang w:val="en-US" w:eastAsia="zh-CN"/>
              </w:rPr>
              <w:t>5</w:t>
            </w:r>
            <w:r>
              <w:rPr>
                <w:rFonts w:hint="eastAsia" w:ascii="宋体" w:hAnsi="宋体" w:cs="宋体"/>
                <w:color w:val="auto"/>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14</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采购资金来源：一般公共预算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15</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投标文件有效期：自投标截止之日起</w:t>
            </w:r>
            <w:r>
              <w:rPr>
                <w:rFonts w:ascii="宋体" w:hAnsi="宋体" w:cs="宋体"/>
                <w:color w:val="auto"/>
                <w:szCs w:val="21"/>
              </w:rPr>
              <w:t>60</w:t>
            </w:r>
            <w:r>
              <w:rPr>
                <w:rFonts w:hint="eastAsia" w:ascii="宋体" w:hAnsi="宋体" w:cs="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解释：本招标文件的解释权属于招标采购单位</w:t>
            </w:r>
          </w:p>
        </w:tc>
      </w:tr>
    </w:tbl>
    <w:p>
      <w:pPr>
        <w:snapToGrid w:val="0"/>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55"/>
        <w:rPr>
          <w:rFonts w:ascii="宋体"/>
          <w:color w:val="auto"/>
          <w:sz w:val="22"/>
          <w:szCs w:val="22"/>
        </w:rPr>
      </w:pPr>
    </w:p>
    <w:p>
      <w:pPr>
        <w:pStyle w:val="23"/>
        <w:snapToGrid w:val="0"/>
        <w:spacing w:before="120" w:after="120" w:line="400" w:lineRule="exact"/>
        <w:ind w:firstLine="517" w:firstLineChars="245"/>
        <w:rPr>
          <w:rFonts w:hAnsi="宋体" w:cs="宋体"/>
          <w:b/>
          <w:color w:val="auto"/>
          <w:sz w:val="21"/>
        </w:rPr>
      </w:pPr>
      <w:bookmarkStart w:id="238" w:name="_Toc254970548"/>
      <w:bookmarkStart w:id="239" w:name="_Toc327735672"/>
      <w:bookmarkStart w:id="240" w:name="_Toc254970689"/>
      <w:r>
        <w:rPr>
          <w:rFonts w:hint="eastAsia" w:hAnsi="宋体" w:cs="宋体"/>
          <w:b/>
          <w:color w:val="auto"/>
          <w:sz w:val="21"/>
        </w:rPr>
        <w:t>一、总</w:t>
      </w:r>
      <w:r>
        <w:rPr>
          <w:rFonts w:hAnsi="宋体" w:cs="宋体"/>
          <w:b/>
          <w:color w:val="auto"/>
          <w:sz w:val="21"/>
        </w:rPr>
        <w:t xml:space="preserve">  </w:t>
      </w:r>
      <w:r>
        <w:rPr>
          <w:rFonts w:hint="eastAsia" w:hAnsi="宋体" w:cs="宋体"/>
          <w:b/>
          <w:color w:val="auto"/>
          <w:sz w:val="21"/>
        </w:rPr>
        <w:t>则</w:t>
      </w:r>
    </w:p>
    <w:p>
      <w:pPr>
        <w:snapToGrid w:val="0"/>
        <w:spacing w:line="400" w:lineRule="exact"/>
        <w:ind w:firstLine="411" w:firstLineChars="195"/>
        <w:jc w:val="left"/>
        <w:outlineLvl w:val="1"/>
        <w:rPr>
          <w:rFonts w:ascii="宋体" w:cs="宋体"/>
          <w:b/>
          <w:color w:val="auto"/>
          <w:szCs w:val="21"/>
        </w:rPr>
      </w:pPr>
      <w:bookmarkStart w:id="241" w:name="_Toc482864534"/>
      <w:bookmarkStart w:id="242" w:name="_Toc293863036"/>
      <w:bookmarkStart w:id="243" w:name="_Toc293863303"/>
      <w:bookmarkStart w:id="244" w:name="_Toc254970527"/>
      <w:bookmarkStart w:id="245" w:name="_Toc482865305"/>
      <w:bookmarkStart w:id="246" w:name="_Toc400465696"/>
      <w:bookmarkStart w:id="247" w:name="_Toc483327794"/>
      <w:bookmarkStart w:id="248" w:name="_Toc2910"/>
      <w:bookmarkStart w:id="249" w:name="_Toc445223663"/>
      <w:bookmarkStart w:id="250" w:name="_Toc254970668"/>
      <w:bookmarkStart w:id="251" w:name="_Toc308018660"/>
      <w:bookmarkStart w:id="252" w:name="_Toc448421125"/>
      <w:bookmarkStart w:id="253" w:name="_Toc482865135"/>
      <w:r>
        <w:rPr>
          <w:rFonts w:hint="eastAsia" w:ascii="宋体" w:hAnsi="宋体" w:cs="宋体"/>
          <w:b/>
          <w:color w:val="auto"/>
          <w:szCs w:val="21"/>
        </w:rPr>
        <w:t>（一）</w:t>
      </w:r>
      <w:r>
        <w:rPr>
          <w:rFonts w:ascii="宋体" w:hAnsi="宋体" w:cs="宋体"/>
          <w:b/>
          <w:color w:val="auto"/>
          <w:szCs w:val="21"/>
        </w:rPr>
        <w:t xml:space="preserve"> </w:t>
      </w:r>
      <w:r>
        <w:rPr>
          <w:rFonts w:hint="eastAsia" w:ascii="宋体" w:hAnsi="宋体" w:cs="宋体"/>
          <w:b/>
          <w:color w:val="auto"/>
          <w:szCs w:val="21"/>
        </w:rPr>
        <w:t>适用范围</w:t>
      </w:r>
      <w:bookmarkEnd w:id="241"/>
      <w:bookmarkEnd w:id="242"/>
      <w:bookmarkEnd w:id="243"/>
      <w:bookmarkEnd w:id="244"/>
      <w:bookmarkEnd w:id="245"/>
      <w:bookmarkEnd w:id="246"/>
      <w:bookmarkEnd w:id="247"/>
      <w:bookmarkEnd w:id="248"/>
      <w:bookmarkEnd w:id="249"/>
      <w:bookmarkEnd w:id="250"/>
      <w:bookmarkEnd w:id="251"/>
      <w:bookmarkEnd w:id="252"/>
      <w:bookmarkEnd w:id="253"/>
    </w:p>
    <w:p>
      <w:pPr>
        <w:snapToGrid w:val="0"/>
        <w:spacing w:line="400" w:lineRule="exact"/>
        <w:ind w:firstLine="409" w:firstLineChars="195"/>
        <w:jc w:val="left"/>
        <w:rPr>
          <w:rFonts w:ascii="宋体" w:cs="宋体"/>
          <w:color w:val="auto"/>
          <w:szCs w:val="21"/>
        </w:rPr>
      </w:pPr>
      <w:r>
        <w:rPr>
          <w:rFonts w:hint="eastAsia" w:ascii="宋体" w:hAnsi="宋体" w:cs="宋体"/>
          <w:color w:val="auto"/>
          <w:szCs w:val="21"/>
        </w:rPr>
        <w:t>本招标文件适用于防城港市医疗废物处置中心设备升级改造生产线设备采购的招标、投标、评标、定标、验收、合同履约、付款等行为（法律、法规另有规定的，从其规定）。</w:t>
      </w:r>
    </w:p>
    <w:p>
      <w:pPr>
        <w:snapToGrid w:val="0"/>
        <w:spacing w:beforeLines="50" w:line="400" w:lineRule="exact"/>
        <w:ind w:firstLine="411" w:firstLineChars="195"/>
        <w:jc w:val="left"/>
        <w:outlineLvl w:val="1"/>
        <w:rPr>
          <w:rFonts w:ascii="宋体" w:cs="宋体"/>
          <w:b/>
          <w:color w:val="auto"/>
          <w:szCs w:val="21"/>
        </w:rPr>
      </w:pPr>
      <w:bookmarkStart w:id="254" w:name="_Toc293863037"/>
      <w:bookmarkStart w:id="255" w:name="_Toc400465697"/>
      <w:bookmarkStart w:id="256" w:name="_Toc483327795"/>
      <w:bookmarkStart w:id="257" w:name="_Toc254970528"/>
      <w:bookmarkStart w:id="258" w:name="_Toc293863304"/>
      <w:bookmarkStart w:id="259" w:name="_Toc445223664"/>
      <w:bookmarkStart w:id="260" w:name="_Toc482864535"/>
      <w:bookmarkStart w:id="261" w:name="_Toc254970669"/>
      <w:bookmarkStart w:id="262" w:name="_Toc308018661"/>
      <w:bookmarkStart w:id="263" w:name="_Toc482865136"/>
      <w:bookmarkStart w:id="264" w:name="_Toc14848"/>
      <w:bookmarkStart w:id="265" w:name="_Toc482865306"/>
      <w:bookmarkStart w:id="266" w:name="_Toc448421126"/>
      <w:r>
        <w:rPr>
          <w:rFonts w:hint="eastAsia" w:ascii="宋体" w:hAnsi="宋体" w:cs="宋体"/>
          <w:b/>
          <w:color w:val="auto"/>
          <w:szCs w:val="21"/>
        </w:rPr>
        <w:t>（二）定义</w:t>
      </w:r>
      <w:bookmarkEnd w:id="254"/>
      <w:bookmarkEnd w:id="255"/>
      <w:bookmarkEnd w:id="256"/>
      <w:bookmarkEnd w:id="257"/>
      <w:bookmarkEnd w:id="258"/>
      <w:bookmarkEnd w:id="259"/>
      <w:bookmarkEnd w:id="260"/>
      <w:bookmarkEnd w:id="261"/>
      <w:bookmarkEnd w:id="262"/>
      <w:bookmarkEnd w:id="263"/>
      <w:bookmarkEnd w:id="264"/>
      <w:bookmarkEnd w:id="265"/>
      <w:bookmarkEnd w:id="266"/>
    </w:p>
    <w:p>
      <w:pPr>
        <w:snapToGrid w:val="0"/>
        <w:spacing w:line="360" w:lineRule="exact"/>
        <w:ind w:firstLine="409" w:firstLineChars="195"/>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招标采购单位系指组织本次招标的采购人及采购代理机构。</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“投标人”系指向招标采购单位提交投标文件的法人、其他组织或者自然人。</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“产品”系指投标人按招标文件规定，须向采购人提供的一切设备、货物、保险、税金、备品备件、工具、手册及其它有关技术资料和材料。</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“服务”系指招标文件规定投标人须承担的技术服务或设备安装、调试、技术协助、校准、培训、技术指导以及其他类似的义务。</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“项目”系指投标人按招标文件规定向采购人提供的产品和服务。</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“书面形式”包括信函、传真、电报等。</w:t>
      </w:r>
    </w:p>
    <w:p>
      <w:pPr>
        <w:tabs>
          <w:tab w:val="left" w:pos="7605"/>
        </w:tabs>
        <w:snapToGrid w:val="0"/>
        <w:spacing w:line="360" w:lineRule="exact"/>
        <w:ind w:firstLine="409" w:firstLineChars="195"/>
        <w:jc w:val="left"/>
        <w:rPr>
          <w:rFonts w:ascii="宋体" w:cs="宋体"/>
          <w:color w:val="auto"/>
          <w:szCs w:val="21"/>
        </w:rPr>
      </w:pPr>
      <w:r>
        <w:rPr>
          <w:rFonts w:ascii="宋体" w:hAnsi="宋体" w:cs="宋体"/>
          <w:color w:val="auto"/>
          <w:szCs w:val="21"/>
        </w:rPr>
        <w:t>7.</w:t>
      </w:r>
      <w:r>
        <w:rPr>
          <w:rFonts w:hint="eastAsia" w:ascii="宋体" w:hAnsi="宋体" w:cs="宋体"/>
          <w:color w:val="auto"/>
          <w:szCs w:val="21"/>
        </w:rPr>
        <w:t>“★”系指实质性要求条款。</w:t>
      </w:r>
      <w:r>
        <w:rPr>
          <w:rFonts w:ascii="宋体" w:cs="宋体"/>
          <w:color w:val="auto"/>
          <w:szCs w:val="21"/>
        </w:rPr>
        <w:tab/>
      </w:r>
    </w:p>
    <w:p>
      <w:pPr>
        <w:snapToGrid w:val="0"/>
        <w:spacing w:beforeLines="50" w:line="400" w:lineRule="exact"/>
        <w:ind w:firstLine="411" w:firstLineChars="195"/>
        <w:jc w:val="left"/>
        <w:outlineLvl w:val="1"/>
        <w:rPr>
          <w:rFonts w:ascii="宋体" w:cs="宋体"/>
          <w:b/>
          <w:color w:val="auto"/>
          <w:szCs w:val="21"/>
        </w:rPr>
      </w:pPr>
      <w:bookmarkStart w:id="267" w:name="_Toc254970529"/>
      <w:bookmarkStart w:id="268" w:name="_Toc483327796"/>
      <w:bookmarkStart w:id="269" w:name="_Toc400465698"/>
      <w:bookmarkStart w:id="270" w:name="_Toc482864536"/>
      <w:bookmarkStart w:id="271" w:name="_Toc254970670"/>
      <w:bookmarkStart w:id="272" w:name="_Toc308018662"/>
      <w:bookmarkStart w:id="273" w:name="_Toc448421127"/>
      <w:bookmarkStart w:id="274" w:name="_Toc482865307"/>
      <w:bookmarkStart w:id="275" w:name="_Toc293863038"/>
      <w:bookmarkStart w:id="276" w:name="_Toc482865137"/>
      <w:bookmarkStart w:id="277" w:name="_Toc445223665"/>
      <w:bookmarkStart w:id="278" w:name="_Toc293863305"/>
      <w:bookmarkStart w:id="279" w:name="_Toc9481"/>
      <w:r>
        <w:rPr>
          <w:rFonts w:hint="eastAsia" w:ascii="宋体" w:hAnsi="宋体" w:cs="宋体"/>
          <w:b/>
          <w:color w:val="auto"/>
          <w:szCs w:val="21"/>
        </w:rPr>
        <w:t>（三）招标方式</w:t>
      </w:r>
      <w:bookmarkEnd w:id="267"/>
      <w:bookmarkEnd w:id="268"/>
      <w:bookmarkEnd w:id="269"/>
      <w:bookmarkEnd w:id="270"/>
      <w:bookmarkEnd w:id="271"/>
      <w:bookmarkEnd w:id="272"/>
      <w:bookmarkEnd w:id="273"/>
      <w:bookmarkEnd w:id="274"/>
      <w:bookmarkEnd w:id="275"/>
      <w:bookmarkEnd w:id="276"/>
      <w:bookmarkEnd w:id="277"/>
      <w:bookmarkEnd w:id="278"/>
      <w:bookmarkEnd w:id="279"/>
    </w:p>
    <w:p>
      <w:pPr>
        <w:snapToGrid w:val="0"/>
        <w:spacing w:line="400" w:lineRule="exact"/>
        <w:ind w:firstLine="409" w:firstLineChars="195"/>
        <w:jc w:val="left"/>
        <w:rPr>
          <w:rFonts w:ascii="宋体" w:cs="宋体"/>
          <w:color w:val="auto"/>
          <w:szCs w:val="21"/>
        </w:rPr>
      </w:pPr>
      <w:r>
        <w:rPr>
          <w:rFonts w:hint="eastAsia" w:ascii="宋体" w:hAnsi="宋体" w:cs="宋体"/>
          <w:color w:val="auto"/>
          <w:szCs w:val="21"/>
        </w:rPr>
        <w:t>公开招标方式。</w:t>
      </w:r>
    </w:p>
    <w:p>
      <w:pPr>
        <w:snapToGrid w:val="0"/>
        <w:spacing w:beforeLines="50" w:line="400" w:lineRule="exact"/>
        <w:ind w:firstLine="413" w:firstLineChars="196"/>
        <w:jc w:val="left"/>
        <w:outlineLvl w:val="1"/>
        <w:rPr>
          <w:rFonts w:ascii="宋体" w:cs="宋体"/>
          <w:b/>
          <w:color w:val="auto"/>
          <w:szCs w:val="21"/>
        </w:rPr>
      </w:pPr>
      <w:bookmarkStart w:id="280" w:name="_Toc448421128"/>
      <w:bookmarkStart w:id="281" w:name="_Toc482864537"/>
      <w:bookmarkStart w:id="282" w:name="_Toc293863306"/>
      <w:bookmarkStart w:id="283" w:name="_Toc2069"/>
      <w:bookmarkStart w:id="284" w:name="_Toc482865308"/>
      <w:bookmarkStart w:id="285" w:name="_Toc400465699"/>
      <w:bookmarkStart w:id="286" w:name="_Toc254970671"/>
      <w:bookmarkStart w:id="287" w:name="_Toc482865138"/>
      <w:bookmarkStart w:id="288" w:name="_Toc293863039"/>
      <w:bookmarkStart w:id="289" w:name="_Toc445223666"/>
      <w:bookmarkStart w:id="290" w:name="_Toc254970530"/>
      <w:bookmarkStart w:id="291" w:name="_Toc483327797"/>
      <w:bookmarkStart w:id="292" w:name="_Toc308018663"/>
      <w:r>
        <w:rPr>
          <w:rFonts w:hint="eastAsia" w:ascii="宋体" w:hAnsi="宋体" w:cs="宋体"/>
          <w:b/>
          <w:color w:val="auto"/>
          <w:szCs w:val="21"/>
        </w:rPr>
        <w:t>（四）投标委托</w:t>
      </w:r>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20"/>
        <w:snapToGrid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投标人代表须携带有效身份证件。如投标人代表不是法定代表人，须有法定代表人出具的授权委托书（正本用原件，副本用复印件，格式见第六章）。</w:t>
      </w:r>
    </w:p>
    <w:p>
      <w:pPr>
        <w:snapToGrid w:val="0"/>
        <w:spacing w:beforeLines="50" w:line="400" w:lineRule="exact"/>
        <w:ind w:firstLine="422" w:firstLineChars="200"/>
        <w:jc w:val="left"/>
        <w:outlineLvl w:val="1"/>
        <w:rPr>
          <w:rFonts w:ascii="宋体" w:cs="宋体"/>
          <w:b/>
          <w:color w:val="auto"/>
          <w:szCs w:val="21"/>
        </w:rPr>
      </w:pPr>
      <w:bookmarkStart w:id="293" w:name="_Toc254970672"/>
      <w:bookmarkStart w:id="294" w:name="_Toc448421129"/>
      <w:bookmarkStart w:id="295" w:name="_Toc445223667"/>
      <w:bookmarkStart w:id="296" w:name="_Toc293863040"/>
      <w:bookmarkStart w:id="297" w:name="_Toc308018664"/>
      <w:bookmarkStart w:id="298" w:name="_Toc483327798"/>
      <w:bookmarkStart w:id="299" w:name="_Toc254970531"/>
      <w:bookmarkStart w:id="300" w:name="_Toc482865309"/>
      <w:bookmarkStart w:id="301" w:name="_Toc482864538"/>
      <w:bookmarkStart w:id="302" w:name="_Toc400465700"/>
      <w:bookmarkStart w:id="303" w:name="_Toc293863307"/>
      <w:bookmarkStart w:id="304" w:name="_Toc482865139"/>
      <w:bookmarkStart w:id="305" w:name="_Toc6056"/>
      <w:r>
        <w:rPr>
          <w:rFonts w:hint="eastAsia" w:ascii="宋体" w:hAnsi="宋体" w:cs="宋体"/>
          <w:b/>
          <w:color w:val="auto"/>
          <w:szCs w:val="21"/>
        </w:rPr>
        <w:t>（五）投标费用</w:t>
      </w:r>
      <w:bookmarkEnd w:id="293"/>
      <w:bookmarkEnd w:id="294"/>
      <w:bookmarkEnd w:id="295"/>
      <w:bookmarkEnd w:id="296"/>
      <w:bookmarkEnd w:id="297"/>
      <w:bookmarkEnd w:id="298"/>
      <w:bookmarkEnd w:id="299"/>
      <w:bookmarkEnd w:id="300"/>
      <w:bookmarkEnd w:id="301"/>
      <w:bookmarkEnd w:id="302"/>
      <w:bookmarkEnd w:id="303"/>
      <w:bookmarkEnd w:id="304"/>
      <w:bookmarkEnd w:id="305"/>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投标人均应自行承担所有与投标有关的全部费用（招标文件有相关规定的除外）。</w:t>
      </w:r>
    </w:p>
    <w:p>
      <w:pPr>
        <w:numPr>
          <w:ilvl w:val="0"/>
          <w:numId w:val="8"/>
        </w:numPr>
        <w:snapToGrid w:val="0"/>
        <w:spacing w:beforeLines="50" w:line="400" w:lineRule="exact"/>
        <w:ind w:firstLine="422" w:firstLineChars="200"/>
        <w:jc w:val="left"/>
        <w:rPr>
          <w:rFonts w:ascii="宋体" w:cs="宋体"/>
          <w:b/>
          <w:color w:val="auto"/>
          <w:szCs w:val="21"/>
        </w:rPr>
      </w:pPr>
      <w:r>
        <w:rPr>
          <w:rFonts w:hint="eastAsia" w:ascii="宋体" w:hAnsi="宋体" w:cs="宋体"/>
          <w:b/>
          <w:color w:val="auto"/>
          <w:szCs w:val="21"/>
        </w:rPr>
        <w:t>联合体投标</w:t>
      </w:r>
    </w:p>
    <w:p>
      <w:pPr>
        <w:snapToGrid w:val="0"/>
        <w:spacing w:line="400" w:lineRule="exact"/>
        <w:ind w:firstLine="420" w:firstLineChars="200"/>
        <w:jc w:val="left"/>
        <w:rPr>
          <w:color w:val="auto"/>
        </w:rPr>
      </w:pPr>
      <w:r>
        <w:rPr>
          <w:rFonts w:hint="eastAsia"/>
          <w:color w:val="auto"/>
        </w:rPr>
        <w:t>本项目不</w:t>
      </w:r>
      <w:r>
        <w:rPr>
          <w:rFonts w:hint="eastAsia" w:ascii="宋体" w:hAnsi="宋体" w:cs="宋体"/>
          <w:color w:val="auto"/>
          <w:szCs w:val="21"/>
        </w:rPr>
        <w:t>接受联合体投标。</w:t>
      </w:r>
    </w:p>
    <w:p>
      <w:pPr>
        <w:snapToGrid w:val="0"/>
        <w:spacing w:beforeLines="50" w:line="400" w:lineRule="exact"/>
        <w:ind w:firstLine="413" w:firstLineChars="196"/>
        <w:rPr>
          <w:rFonts w:ascii="宋体" w:cs="宋体"/>
          <w:b/>
          <w:color w:val="auto"/>
          <w:kern w:val="0"/>
          <w:szCs w:val="21"/>
        </w:rPr>
      </w:pPr>
      <w:r>
        <w:rPr>
          <w:rFonts w:hint="eastAsia" w:ascii="宋体" w:hAnsi="宋体" w:cs="宋体"/>
          <w:b/>
          <w:color w:val="auto"/>
          <w:szCs w:val="21"/>
        </w:rPr>
        <w:t>（七）</w:t>
      </w:r>
      <w:r>
        <w:rPr>
          <w:rFonts w:hint="eastAsia" w:ascii="宋体" w:hAnsi="宋体" w:cs="宋体"/>
          <w:b/>
          <w:color w:val="auto"/>
          <w:kern w:val="0"/>
          <w:szCs w:val="21"/>
        </w:rPr>
        <w:t>转包与分包</w:t>
      </w:r>
      <w:r>
        <w:rPr>
          <w:rFonts w:ascii="宋体" w:hAnsi="宋体" w:cs="宋体"/>
          <w:b/>
          <w:color w:val="auto"/>
          <w:kern w:val="0"/>
          <w:szCs w:val="21"/>
        </w:rPr>
        <w:t xml:space="preserve">             </w:t>
      </w:r>
    </w:p>
    <w:p>
      <w:pPr>
        <w:snapToGrid w:val="0"/>
        <w:spacing w:line="400" w:lineRule="exact"/>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pPr>
        <w:snapToGrid w:val="0"/>
        <w:spacing w:line="400" w:lineRule="exact"/>
        <w:ind w:firstLine="420" w:firstLineChars="200"/>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本项目不允许分包。</w:t>
      </w:r>
    </w:p>
    <w:p>
      <w:pPr>
        <w:snapToGrid w:val="0"/>
        <w:spacing w:beforeLines="50" w:line="400" w:lineRule="exact"/>
        <w:ind w:firstLine="413" w:firstLineChars="196"/>
        <w:jc w:val="left"/>
        <w:outlineLvl w:val="1"/>
        <w:rPr>
          <w:rFonts w:ascii="宋体" w:cs="宋体"/>
          <w:b/>
          <w:color w:val="auto"/>
          <w:szCs w:val="21"/>
        </w:rPr>
      </w:pPr>
      <w:bookmarkStart w:id="306" w:name="_Toc400465701"/>
      <w:bookmarkStart w:id="307" w:name="_Toc293863041"/>
      <w:bookmarkStart w:id="308" w:name="_Toc254970532"/>
      <w:bookmarkStart w:id="309" w:name="_Toc3891"/>
      <w:bookmarkStart w:id="310" w:name="_Toc293863308"/>
      <w:bookmarkStart w:id="311" w:name="_Toc448421130"/>
      <w:bookmarkStart w:id="312" w:name="_Toc482865310"/>
      <w:bookmarkStart w:id="313" w:name="_Toc483327799"/>
      <w:bookmarkStart w:id="314" w:name="_Toc482864539"/>
      <w:bookmarkStart w:id="315" w:name="_Toc482865140"/>
      <w:bookmarkStart w:id="316" w:name="_Toc445223668"/>
      <w:bookmarkStart w:id="317" w:name="_Toc308018665"/>
      <w:bookmarkStart w:id="318" w:name="_Toc254970673"/>
      <w:r>
        <w:rPr>
          <w:rFonts w:hint="eastAsia" w:ascii="宋体" w:hAnsi="宋体" w:cs="宋体"/>
          <w:b/>
          <w:color w:val="auto"/>
          <w:szCs w:val="21"/>
        </w:rPr>
        <w:t>（八）特别说明</w:t>
      </w:r>
      <w:bookmarkEnd w:id="306"/>
      <w:bookmarkEnd w:id="307"/>
      <w:bookmarkEnd w:id="308"/>
      <w:bookmarkEnd w:id="309"/>
      <w:bookmarkEnd w:id="310"/>
      <w:bookmarkEnd w:id="311"/>
      <w:bookmarkEnd w:id="312"/>
      <w:bookmarkEnd w:id="313"/>
      <w:bookmarkEnd w:id="314"/>
      <w:bookmarkEnd w:id="315"/>
      <w:bookmarkEnd w:id="316"/>
      <w:bookmarkEnd w:id="317"/>
      <w:bookmarkEnd w:id="318"/>
    </w:p>
    <w:p>
      <w:pPr>
        <w:widowControl/>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单位负责人为同一人或者存在直接控股、管理关系的不同供应商，不得参加同一合同项下的政府采购活动。</w:t>
      </w:r>
    </w:p>
    <w:p>
      <w:pPr>
        <w:widowControl/>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投标人投标所使用的资格、信誉、荣誉、业绩与企业认证必须为本法人所拥有。</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pStyle w:val="23"/>
        <w:snapToGrid w:val="0"/>
        <w:spacing w:line="360" w:lineRule="exact"/>
        <w:ind w:left="2" w:leftChars="1" w:firstLine="400" w:firstLineChars="200"/>
        <w:rPr>
          <w:rFonts w:hAnsi="宋体" w:cs="宋体"/>
          <w:color w:val="auto"/>
          <w:sz w:val="21"/>
        </w:rPr>
      </w:pPr>
      <w:r>
        <w:rPr>
          <w:rFonts w:hint="eastAsia" w:hAnsi="宋体" w:cs="宋体"/>
          <w:color w:val="auto"/>
        </w:rPr>
        <w:t>★</w:t>
      </w:r>
      <w:r>
        <w:rPr>
          <w:rFonts w:hAnsi="宋体" w:cs="宋体"/>
          <w:color w:val="auto"/>
          <w:sz w:val="21"/>
        </w:rPr>
        <w:t xml:space="preserve">4. </w:t>
      </w:r>
      <w:r>
        <w:rPr>
          <w:rFonts w:hint="eastAsia" w:hAnsi="宋体" w:cs="宋体"/>
          <w:color w:val="auto"/>
          <w:sz w:val="21"/>
        </w:rPr>
        <w:t>投标人应仔细阅读招标文件的所有内容，按照招标文件的要求提交投标文件，并对所提供的全部资料的真实性承担法律责任。</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5. </w:t>
      </w:r>
      <w:r>
        <w:rPr>
          <w:rFonts w:hint="eastAsia" w:ascii="宋体" w:hAnsi="宋体" w:cs="宋体"/>
          <w:color w:val="auto"/>
          <w:szCs w:val="21"/>
        </w:rPr>
        <w:t>投标人在投标活动中提供任何虚假材料，其投标无效，并报监管部门查处；中标后发现的，中标人须依照《中华人民共和国合同法》之规定赔偿采购人，且民事赔偿并不免除违法投标人的行政与刑事责任。</w:t>
      </w:r>
    </w:p>
    <w:p>
      <w:pPr>
        <w:widowControl/>
        <w:spacing w:line="360" w:lineRule="exact"/>
        <w:ind w:firstLine="420" w:firstLineChars="200"/>
        <w:jc w:val="left"/>
        <w:rPr>
          <w:rFonts w:ascii="宋体" w:cs="宋体"/>
          <w:color w:val="auto"/>
          <w:szCs w:val="21"/>
        </w:rPr>
      </w:pPr>
      <w:bookmarkStart w:id="319" w:name="_Toc483327800"/>
      <w:bookmarkStart w:id="320" w:name="_Toc482865311"/>
      <w:bookmarkStart w:id="321" w:name="_Toc400465702"/>
      <w:bookmarkStart w:id="322" w:name="_Toc308018666"/>
      <w:bookmarkStart w:id="323" w:name="_Toc254970533"/>
      <w:bookmarkStart w:id="324" w:name="_Toc293863309"/>
      <w:bookmarkStart w:id="325" w:name="_Toc293863042"/>
      <w:bookmarkStart w:id="326" w:name="_Toc448421131"/>
      <w:bookmarkStart w:id="327" w:name="_Toc445223669"/>
      <w:bookmarkStart w:id="328" w:name="_Toc482864540"/>
      <w:bookmarkStart w:id="329" w:name="_Toc254970674"/>
      <w:bookmarkStart w:id="330" w:name="_Toc482865141"/>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r>
        <w:rPr>
          <w:rFonts w:ascii="宋体" w:hAnsi="宋体" w:cs="宋体"/>
          <w:color w:val="auto"/>
          <w:szCs w:val="21"/>
        </w:rPr>
        <w:t xml:space="preserve"> </w:t>
      </w:r>
      <w:r>
        <w:rPr>
          <w:rFonts w:ascii="宋体" w:hAnsi="宋体" w:cs="宋体"/>
          <w:color w:val="auto"/>
          <w:szCs w:val="21"/>
        </w:rPr>
        <w:br w:type="textWrapping"/>
      </w:r>
      <w:r>
        <w:rPr>
          <w:rFonts w:ascii="宋体" w:hAnsi="宋体" w:cs="宋体"/>
          <w:color w:val="auto"/>
          <w:szCs w:val="21"/>
        </w:rPr>
        <w:t xml:space="preserve">    </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、本文件中描述投标人的“签字”是指投标人的法定代表人或被授权人亲自在文件规定签署处亲笔写上个人的名字的行为，私章、签字章、印鉴、影印等其它形式均不能代替亲笔签字。</w:t>
      </w:r>
      <w:r>
        <w:rPr>
          <w:rFonts w:ascii="宋体" w:hAnsi="宋体" w:cs="宋体"/>
          <w:color w:val="auto"/>
          <w:szCs w:val="21"/>
        </w:rPr>
        <w:t xml:space="preserve"> </w:t>
      </w:r>
    </w:p>
    <w:p>
      <w:pPr>
        <w:pStyle w:val="23"/>
        <w:snapToGrid w:val="0"/>
        <w:spacing w:line="360" w:lineRule="exact"/>
        <w:ind w:firstLine="413" w:firstLineChars="196"/>
        <w:outlineLvl w:val="1"/>
        <w:rPr>
          <w:rFonts w:hAnsi="宋体" w:cs="宋体"/>
          <w:b/>
          <w:bCs/>
          <w:color w:val="auto"/>
          <w:sz w:val="21"/>
        </w:rPr>
      </w:pPr>
      <w:bookmarkStart w:id="331" w:name="_Toc1143"/>
      <w:r>
        <w:rPr>
          <w:rFonts w:hint="eastAsia" w:hAnsi="宋体" w:cs="宋体"/>
          <w:b/>
          <w:bCs/>
          <w:color w:val="auto"/>
          <w:sz w:val="21"/>
        </w:rPr>
        <w:t>（九）质疑和投诉</w:t>
      </w:r>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3"/>
        <w:snapToGrid w:val="0"/>
        <w:spacing w:line="360" w:lineRule="exact"/>
        <w:ind w:firstLine="420" w:firstLineChars="200"/>
        <w:rPr>
          <w:rFonts w:hAnsi="宋体" w:cs="宋体"/>
          <w:bCs/>
          <w:color w:val="auto"/>
          <w:sz w:val="21"/>
        </w:rPr>
      </w:pPr>
      <w:r>
        <w:rPr>
          <w:rFonts w:hAnsi="宋体" w:cs="宋体"/>
          <w:bCs/>
          <w:color w:val="auto"/>
          <w:sz w:val="21"/>
        </w:rPr>
        <w:t xml:space="preserve">1. </w:t>
      </w:r>
      <w:r>
        <w:rPr>
          <w:rFonts w:hint="eastAsia" w:hAnsi="宋体" w:cs="宋体"/>
          <w:bCs/>
          <w:color w:val="auto"/>
          <w:sz w:val="21"/>
        </w:rPr>
        <w:t>投标人认为招标文件使自己的合法权益受到损害的，应当在收到招标文件之日起</w:t>
      </w:r>
      <w:r>
        <w:rPr>
          <w:rFonts w:hAnsi="宋体" w:cs="宋体"/>
          <w:bCs/>
          <w:color w:val="auto"/>
          <w:sz w:val="21"/>
        </w:rPr>
        <w:t>7</w:t>
      </w:r>
      <w:r>
        <w:rPr>
          <w:rFonts w:hint="eastAsia" w:hAnsi="宋体" w:cs="宋体"/>
          <w:bCs/>
          <w:color w:val="auto"/>
          <w:sz w:val="21"/>
        </w:rPr>
        <w:t>个工作日内，以书面形式向采购人、采购代理机构提出质疑。投标人认为招标过程使自己的合法权益受到损害的，应当在各采购程序环节结束之日起</w:t>
      </w:r>
      <w:r>
        <w:rPr>
          <w:rFonts w:hAnsi="宋体" w:cs="宋体"/>
          <w:bCs/>
          <w:color w:val="auto"/>
          <w:sz w:val="21"/>
        </w:rPr>
        <w:t>7</w:t>
      </w:r>
      <w:r>
        <w:rPr>
          <w:rFonts w:hint="eastAsia" w:hAnsi="宋体" w:cs="宋体"/>
          <w:bCs/>
          <w:color w:val="auto"/>
          <w:sz w:val="21"/>
        </w:rPr>
        <w:t>个工作日内，以书面形式向采购人、采购代理机构提出质疑。投标人认为中标结果使自己的合法权益受到损害的，应当在中标结果公告期限（中标结果公告期限为</w:t>
      </w:r>
      <w:r>
        <w:rPr>
          <w:rFonts w:hAnsi="宋体" w:cs="宋体"/>
          <w:bCs/>
          <w:color w:val="auto"/>
          <w:sz w:val="21"/>
        </w:rPr>
        <w:t>1</w:t>
      </w:r>
      <w:r>
        <w:rPr>
          <w:rFonts w:hint="eastAsia" w:hAnsi="宋体" w:cs="宋体"/>
          <w:bCs/>
          <w:color w:val="auto"/>
          <w:sz w:val="21"/>
        </w:rPr>
        <w:t>个工作日）届满之日起</w:t>
      </w:r>
      <w:r>
        <w:rPr>
          <w:rFonts w:hAnsi="宋体" w:cs="宋体"/>
          <w:bCs/>
          <w:color w:val="auto"/>
          <w:sz w:val="21"/>
        </w:rPr>
        <w:t>7</w:t>
      </w:r>
      <w:r>
        <w:rPr>
          <w:rFonts w:hint="eastAsia" w:hAnsi="宋体" w:cs="宋体"/>
          <w:bCs/>
          <w:color w:val="auto"/>
          <w:sz w:val="21"/>
        </w:rPr>
        <w:t>个工作日内，以书面形式向采购人、采购代理机构提出质疑。投标人对招标采购单位的质疑答复不满意或者招标采购单位未在规定时间内作出答复的，可以在答复期满后</w:t>
      </w:r>
      <w:r>
        <w:rPr>
          <w:rFonts w:hAnsi="宋体" w:cs="宋体"/>
          <w:bCs/>
          <w:color w:val="auto"/>
          <w:sz w:val="21"/>
        </w:rPr>
        <w:t>15</w:t>
      </w:r>
      <w:r>
        <w:rPr>
          <w:rFonts w:hint="eastAsia" w:hAnsi="宋体" w:cs="宋体"/>
          <w:bCs/>
          <w:color w:val="auto"/>
          <w:sz w:val="21"/>
        </w:rPr>
        <w:t>个工作日内向同级政府采购监督管理部门投诉。</w:t>
      </w:r>
    </w:p>
    <w:p>
      <w:pPr>
        <w:pStyle w:val="23"/>
        <w:snapToGrid w:val="0"/>
        <w:spacing w:line="360" w:lineRule="exact"/>
        <w:ind w:firstLine="420" w:firstLineChars="200"/>
        <w:rPr>
          <w:rFonts w:hAnsi="宋体" w:cs="宋体"/>
          <w:bCs/>
          <w:color w:val="auto"/>
          <w:sz w:val="21"/>
        </w:rPr>
      </w:pPr>
      <w:r>
        <w:rPr>
          <w:rFonts w:hAnsi="宋体" w:cs="宋体"/>
          <w:bCs/>
          <w:color w:val="auto"/>
          <w:sz w:val="21"/>
        </w:rPr>
        <w:t xml:space="preserve">2. </w:t>
      </w:r>
      <w:bookmarkStart w:id="332" w:name="_Toc400465703"/>
      <w:bookmarkStart w:id="333" w:name="_Toc254970675"/>
      <w:bookmarkStart w:id="334" w:name="_Toc448421132"/>
      <w:bookmarkStart w:id="335" w:name="_Toc293863310"/>
      <w:bookmarkStart w:id="336" w:name="_Toc254970534"/>
      <w:bookmarkStart w:id="337" w:name="_Toc483327801"/>
      <w:bookmarkStart w:id="338" w:name="_Toc482864541"/>
      <w:bookmarkStart w:id="339" w:name="_Toc293863043"/>
      <w:bookmarkStart w:id="340" w:name="_Toc482865312"/>
      <w:bookmarkStart w:id="341" w:name="_Toc482865142"/>
      <w:bookmarkStart w:id="342" w:name="_Toc445223670"/>
      <w:bookmarkStart w:id="343" w:name="_Toc308018667"/>
      <w:r>
        <w:rPr>
          <w:rFonts w:hint="eastAsia" w:hAnsi="宋体" w:cs="宋体"/>
          <w:bCs/>
          <w:color w:val="auto"/>
          <w:sz w:val="21"/>
        </w:rPr>
        <w:t>投标人提出质疑、投诉，应当遵守中华人民共和国财政部令第</w:t>
      </w:r>
      <w:r>
        <w:rPr>
          <w:rFonts w:hAnsi="宋体" w:cs="宋体"/>
          <w:bCs/>
          <w:color w:val="auto"/>
          <w:sz w:val="21"/>
        </w:rPr>
        <w:t>94</w:t>
      </w:r>
      <w:r>
        <w:rPr>
          <w:rFonts w:hint="eastAsia" w:hAnsi="宋体" w:cs="宋体"/>
          <w:bCs/>
          <w:color w:val="auto"/>
          <w:sz w:val="21"/>
        </w:rPr>
        <w:t>号《政府采购质疑和投诉办法》的相关规定，且采用书面形式。质疑书、投诉书均应明确阐述招标文件、招标过程或中标结果中使自己合法权益受到损害的实质性内容，并提供相关事实、依据和证据及其来源。</w:t>
      </w:r>
    </w:p>
    <w:p>
      <w:pPr>
        <w:pStyle w:val="23"/>
        <w:snapToGrid w:val="0"/>
        <w:spacing w:line="360" w:lineRule="exact"/>
        <w:ind w:firstLine="420" w:firstLineChars="200"/>
        <w:rPr>
          <w:rFonts w:hAnsi="宋体" w:cs="宋体"/>
          <w:bCs/>
          <w:color w:val="auto"/>
          <w:sz w:val="21"/>
        </w:rPr>
      </w:pPr>
      <w:r>
        <w:rPr>
          <w:rFonts w:hAnsi="宋体" w:cs="宋体"/>
          <w:bCs/>
          <w:color w:val="auto"/>
          <w:sz w:val="21"/>
        </w:rPr>
        <w:t>3.</w:t>
      </w:r>
      <w:r>
        <w:rPr>
          <w:rFonts w:hint="eastAsia" w:hAnsi="宋体" w:cs="宋体"/>
          <w:bCs/>
          <w:color w:val="auto"/>
          <w:sz w:val="21"/>
        </w:rPr>
        <w:t>递交质疑函的联系事项：</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rPr>
        <w:t>广西科联招标中心有限公司防城港分公司</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rPr>
        <w:t>联系人：梁莉萍；联系电话：</w:t>
      </w:r>
      <w:r>
        <w:rPr>
          <w:rFonts w:hAnsi="宋体" w:cs="宋体"/>
          <w:bCs/>
          <w:color w:val="auto"/>
          <w:sz w:val="21"/>
        </w:rPr>
        <w:t xml:space="preserve">0770-2821504    </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rPr>
        <w:t>地址：防城港市港口区桃花湾广场珍珠路</w:t>
      </w:r>
      <w:r>
        <w:rPr>
          <w:rFonts w:hAnsi="宋体" w:cs="宋体"/>
          <w:bCs/>
          <w:color w:val="auto"/>
          <w:sz w:val="21"/>
        </w:rPr>
        <w:t>6</w:t>
      </w:r>
      <w:r>
        <w:rPr>
          <w:rFonts w:hint="eastAsia" w:hAnsi="宋体" w:cs="宋体"/>
          <w:bCs/>
          <w:color w:val="auto"/>
          <w:sz w:val="21"/>
        </w:rPr>
        <w:t>号桂海东盟新城</w:t>
      </w:r>
      <w:r>
        <w:rPr>
          <w:rFonts w:hAnsi="宋体" w:cs="宋体"/>
          <w:bCs/>
          <w:color w:val="auto"/>
          <w:sz w:val="21"/>
        </w:rPr>
        <w:t>9</w:t>
      </w:r>
      <w:r>
        <w:rPr>
          <w:rFonts w:hint="eastAsia" w:hAnsi="宋体" w:cs="宋体"/>
          <w:bCs/>
          <w:color w:val="auto"/>
          <w:sz w:val="21"/>
        </w:rPr>
        <w:t>＃（</w:t>
      </w:r>
      <w:r>
        <w:rPr>
          <w:rFonts w:hAnsi="宋体" w:cs="宋体"/>
          <w:bCs/>
          <w:color w:val="auto"/>
          <w:sz w:val="21"/>
        </w:rPr>
        <w:t>H</w:t>
      </w:r>
      <w:r>
        <w:rPr>
          <w:rFonts w:hint="eastAsia" w:hAnsi="宋体" w:cs="宋体"/>
          <w:bCs/>
          <w:color w:val="auto"/>
          <w:sz w:val="21"/>
        </w:rPr>
        <w:t>栋）</w:t>
      </w:r>
      <w:r>
        <w:rPr>
          <w:rFonts w:hAnsi="宋体" w:cs="宋体"/>
          <w:bCs/>
          <w:color w:val="auto"/>
          <w:sz w:val="21"/>
        </w:rPr>
        <w:t>605</w:t>
      </w:r>
      <w:r>
        <w:rPr>
          <w:rFonts w:hint="eastAsia" w:hAnsi="宋体" w:cs="宋体"/>
          <w:bCs/>
          <w:color w:val="auto"/>
          <w:sz w:val="21"/>
        </w:rPr>
        <w:t>号房</w:t>
      </w:r>
    </w:p>
    <w:p>
      <w:pPr>
        <w:pStyle w:val="23"/>
        <w:snapToGrid w:val="0"/>
        <w:spacing w:line="360" w:lineRule="exact"/>
        <w:ind w:firstLine="422" w:firstLineChars="200"/>
        <w:rPr>
          <w:rFonts w:hAnsi="宋体" w:cs="宋体"/>
          <w:b/>
          <w:color w:val="auto"/>
          <w:sz w:val="21"/>
        </w:rPr>
      </w:pPr>
    </w:p>
    <w:p>
      <w:pPr>
        <w:pStyle w:val="23"/>
        <w:snapToGrid w:val="0"/>
        <w:spacing w:line="360" w:lineRule="exact"/>
        <w:ind w:firstLine="413" w:firstLineChars="196"/>
        <w:outlineLvl w:val="0"/>
        <w:rPr>
          <w:rFonts w:hAnsi="宋体" w:cs="宋体"/>
          <w:b/>
          <w:color w:val="auto"/>
          <w:sz w:val="21"/>
        </w:rPr>
      </w:pPr>
      <w:bookmarkStart w:id="344" w:name="_Toc25839"/>
      <w:r>
        <w:rPr>
          <w:rFonts w:hint="eastAsia" w:hAnsi="宋体" w:cs="宋体"/>
          <w:b/>
          <w:color w:val="auto"/>
          <w:sz w:val="21"/>
        </w:rPr>
        <w:t>二、招标文件</w:t>
      </w:r>
      <w:bookmarkEnd w:id="332"/>
      <w:bookmarkEnd w:id="333"/>
      <w:bookmarkEnd w:id="334"/>
      <w:bookmarkEnd w:id="335"/>
      <w:bookmarkEnd w:id="336"/>
      <w:bookmarkEnd w:id="337"/>
      <w:bookmarkEnd w:id="338"/>
      <w:bookmarkEnd w:id="339"/>
      <w:bookmarkEnd w:id="340"/>
      <w:bookmarkEnd w:id="341"/>
      <w:bookmarkEnd w:id="342"/>
      <w:bookmarkEnd w:id="343"/>
      <w:bookmarkEnd w:id="344"/>
    </w:p>
    <w:p>
      <w:pPr>
        <w:snapToGrid w:val="0"/>
        <w:spacing w:line="400" w:lineRule="exact"/>
        <w:ind w:firstLine="413" w:firstLineChars="196"/>
        <w:jc w:val="left"/>
        <w:rPr>
          <w:rFonts w:ascii="宋体" w:cs="宋体"/>
          <w:b/>
          <w:color w:val="auto"/>
          <w:szCs w:val="21"/>
        </w:rPr>
      </w:pPr>
      <w:r>
        <w:rPr>
          <w:rFonts w:hint="eastAsia" w:ascii="宋体" w:hAnsi="宋体" w:cs="宋体"/>
          <w:b/>
          <w:color w:val="auto"/>
          <w:szCs w:val="21"/>
        </w:rPr>
        <w:t>（一）招标文件的构成</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招标公告；</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招标项目采购需求；</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投标人须知；</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评标原则及评分标准；</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合同主要条款格式；</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投标文件格式。</w:t>
      </w:r>
    </w:p>
    <w:p>
      <w:pPr>
        <w:snapToGrid w:val="0"/>
        <w:spacing w:beforeLines="50" w:line="400" w:lineRule="exact"/>
        <w:ind w:firstLine="413" w:firstLineChars="196"/>
        <w:jc w:val="left"/>
        <w:rPr>
          <w:rFonts w:ascii="宋体" w:cs="宋体"/>
          <w:b/>
          <w:color w:val="auto"/>
          <w:szCs w:val="21"/>
        </w:rPr>
      </w:pPr>
      <w:r>
        <w:rPr>
          <w:rFonts w:hint="eastAsia" w:ascii="宋体" w:hAnsi="宋体" w:cs="宋体"/>
          <w:b/>
          <w:color w:val="auto"/>
          <w:szCs w:val="21"/>
        </w:rPr>
        <w:t>（二）投标人的风险</w:t>
      </w:r>
    </w:p>
    <w:p>
      <w:pPr>
        <w:pStyle w:val="23"/>
        <w:snapToGrid w:val="0"/>
        <w:spacing w:line="400" w:lineRule="exact"/>
        <w:ind w:firstLine="420" w:firstLineChars="200"/>
        <w:rPr>
          <w:rFonts w:hAnsi="宋体" w:cs="宋体"/>
          <w:color w:val="auto"/>
          <w:sz w:val="21"/>
        </w:rPr>
      </w:pPr>
      <w:r>
        <w:rPr>
          <w:rFonts w:hint="eastAsia" w:hAnsi="宋体" w:cs="宋体"/>
          <w:color w:val="auto"/>
          <w:sz w:val="21"/>
        </w:rPr>
        <w:t>投标人没有按照招标文件要求提供全部资料，或者投标人没有对招标文件在各方面作出实质性响应是投标人的风险，并可能导致其投标被拒绝。</w:t>
      </w:r>
    </w:p>
    <w:p>
      <w:pPr>
        <w:pStyle w:val="13"/>
        <w:widowControl w:val="0"/>
        <w:tabs>
          <w:tab w:val="clear" w:pos="454"/>
        </w:tabs>
        <w:snapToGrid w:val="0"/>
        <w:spacing w:beforeLines="50" w:afterLines="0" w:line="400" w:lineRule="exact"/>
        <w:ind w:left="0" w:firstLine="413" w:firstLineChars="196"/>
        <w:rPr>
          <w:rFonts w:ascii="宋体" w:cs="宋体"/>
          <w:b/>
          <w:color w:val="auto"/>
          <w:sz w:val="21"/>
          <w:szCs w:val="21"/>
        </w:rPr>
      </w:pPr>
      <w:r>
        <w:rPr>
          <w:rFonts w:hint="eastAsia" w:ascii="宋体" w:hAnsi="宋体" w:cs="宋体"/>
          <w:b/>
          <w:color w:val="auto"/>
          <w:sz w:val="21"/>
          <w:szCs w:val="21"/>
        </w:rPr>
        <w:t>（三）招标文件的澄清和修改</w:t>
      </w:r>
      <w:r>
        <w:rPr>
          <w:rFonts w:ascii="宋体" w:hAnsi="宋体" w:cs="宋体"/>
          <w:b/>
          <w:color w:val="auto"/>
          <w:sz w:val="21"/>
          <w:szCs w:val="21"/>
        </w:rPr>
        <w:t xml:space="preserve"> </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1. </w:t>
      </w:r>
      <w:r>
        <w:rPr>
          <w:rFonts w:hint="eastAsia" w:hAnsi="宋体" w:cs="宋体"/>
          <w:color w:val="auto"/>
          <w:sz w:val="21"/>
        </w:rPr>
        <w:t>采购代理机构可以对已发出的招标文件进行必要的澄清或修改。澄清或修改的内容可能影响投标文件编制的，应当在招标文件要求提交投标文件截止时间</w:t>
      </w:r>
      <w:r>
        <w:rPr>
          <w:rFonts w:hAnsi="宋体" w:cs="宋体"/>
          <w:color w:val="auto"/>
          <w:sz w:val="21"/>
        </w:rPr>
        <w:t>15</w:t>
      </w:r>
      <w:r>
        <w:rPr>
          <w:rFonts w:hint="eastAsia" w:hAnsi="宋体" w:cs="宋体"/>
          <w:color w:val="auto"/>
          <w:sz w:val="21"/>
        </w:rPr>
        <w:t>日前，在财政部门指定的政府采购信息发布媒体上发布更正公告，并以书面形式通知所有招标文件收受人。</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2. </w:t>
      </w:r>
      <w:r>
        <w:rPr>
          <w:rFonts w:hint="eastAsia" w:hAnsi="宋体" w:cs="宋体"/>
          <w:color w:val="auto"/>
          <w:sz w:val="21"/>
        </w:rPr>
        <w:t>招标文件澄清、修改的内容为招标文件的组成部分。当招标文件与招标文件的澄清、修改通知就同一内容的表述不一致时，以最后发出的书面文件为准。</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3. </w:t>
      </w:r>
      <w:r>
        <w:rPr>
          <w:rFonts w:hint="eastAsia" w:hAnsi="宋体" w:cs="宋体"/>
          <w:color w:val="auto"/>
          <w:sz w:val="21"/>
        </w:rPr>
        <w:t>招标文件的澄清、修改都应该通过本采购代理机构以法定形式发布，采购人非通过本机构，不得擅自答复、修改招标文件。</w:t>
      </w:r>
    </w:p>
    <w:p>
      <w:pPr>
        <w:pStyle w:val="23"/>
        <w:snapToGrid w:val="0"/>
        <w:spacing w:beforeLines="50" w:line="400" w:lineRule="exact"/>
        <w:ind w:firstLine="413" w:firstLineChars="196"/>
        <w:outlineLvl w:val="1"/>
        <w:rPr>
          <w:rFonts w:hAnsi="宋体" w:cs="宋体"/>
          <w:b/>
          <w:color w:val="auto"/>
          <w:sz w:val="21"/>
        </w:rPr>
      </w:pPr>
      <w:bookmarkStart w:id="345" w:name="_Toc482865143"/>
      <w:bookmarkStart w:id="346" w:name="_Toc400465704"/>
      <w:bookmarkStart w:id="347" w:name="_Toc293863311"/>
      <w:bookmarkStart w:id="348" w:name="_Toc445223671"/>
      <w:bookmarkStart w:id="349" w:name="_Toc18157"/>
      <w:bookmarkStart w:id="350" w:name="_Toc483327802"/>
      <w:bookmarkStart w:id="351" w:name="_Toc293863044"/>
      <w:bookmarkStart w:id="352" w:name="_Toc308018668"/>
      <w:bookmarkStart w:id="353" w:name="_Toc254970676"/>
      <w:bookmarkStart w:id="354" w:name="_Toc482864542"/>
      <w:bookmarkStart w:id="355" w:name="_Toc254970535"/>
      <w:bookmarkStart w:id="356" w:name="_Toc448421133"/>
      <w:bookmarkStart w:id="357" w:name="_Toc482865313"/>
      <w:r>
        <w:rPr>
          <w:rFonts w:hint="eastAsia" w:hAnsi="宋体" w:cs="宋体"/>
          <w:b/>
          <w:color w:val="auto"/>
          <w:sz w:val="21"/>
        </w:rPr>
        <w:t>三、投标文件的编制</w:t>
      </w:r>
      <w:bookmarkEnd w:id="345"/>
      <w:bookmarkEnd w:id="346"/>
      <w:bookmarkEnd w:id="347"/>
      <w:bookmarkEnd w:id="348"/>
      <w:bookmarkEnd w:id="349"/>
      <w:bookmarkEnd w:id="350"/>
      <w:bookmarkEnd w:id="351"/>
      <w:bookmarkEnd w:id="352"/>
      <w:bookmarkEnd w:id="353"/>
      <w:bookmarkEnd w:id="354"/>
      <w:bookmarkEnd w:id="355"/>
      <w:bookmarkEnd w:id="356"/>
      <w:bookmarkEnd w:id="357"/>
    </w:p>
    <w:p>
      <w:pPr>
        <w:snapToGrid w:val="0"/>
        <w:spacing w:beforeLines="50" w:line="400" w:lineRule="exact"/>
        <w:ind w:firstLine="413" w:firstLineChars="196"/>
        <w:jc w:val="left"/>
        <w:outlineLvl w:val="0"/>
        <w:rPr>
          <w:rFonts w:ascii="宋体" w:cs="宋体"/>
          <w:b/>
          <w:color w:val="auto"/>
          <w:szCs w:val="21"/>
        </w:rPr>
      </w:pPr>
      <w:bookmarkStart w:id="358" w:name="_Toc448421134"/>
      <w:bookmarkStart w:id="359" w:name="_Toc293863045"/>
      <w:bookmarkStart w:id="360" w:name="_Toc445223672"/>
      <w:bookmarkStart w:id="361" w:name="_Toc482864543"/>
      <w:bookmarkStart w:id="362" w:name="_Toc400465705"/>
      <w:bookmarkStart w:id="363" w:name="_Toc2609"/>
      <w:bookmarkStart w:id="364" w:name="_Toc308018669"/>
      <w:bookmarkStart w:id="365" w:name="_Toc254970536"/>
      <w:bookmarkStart w:id="366" w:name="_Toc482865144"/>
      <w:bookmarkStart w:id="367" w:name="_Toc293863312"/>
      <w:bookmarkStart w:id="368" w:name="_Toc483327803"/>
      <w:bookmarkStart w:id="369" w:name="_Toc482865314"/>
      <w:bookmarkStart w:id="370" w:name="_Toc254970677"/>
      <w:r>
        <w:rPr>
          <w:rFonts w:hint="eastAsia" w:ascii="宋体" w:hAnsi="宋体" w:cs="宋体"/>
          <w:b/>
          <w:color w:val="auto"/>
          <w:szCs w:val="21"/>
        </w:rPr>
        <w:t>（一）投标文件的组成</w:t>
      </w:r>
      <w:bookmarkEnd w:id="358"/>
      <w:bookmarkEnd w:id="359"/>
      <w:bookmarkEnd w:id="360"/>
      <w:bookmarkEnd w:id="361"/>
      <w:bookmarkEnd w:id="362"/>
      <w:bookmarkEnd w:id="363"/>
      <w:bookmarkEnd w:id="364"/>
      <w:bookmarkEnd w:id="365"/>
      <w:bookmarkEnd w:id="366"/>
      <w:bookmarkEnd w:id="367"/>
      <w:bookmarkEnd w:id="368"/>
      <w:bookmarkEnd w:id="369"/>
      <w:bookmarkEnd w:id="370"/>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投标文件由资格部分、商务及技术部分、投标报价部分三部份组成。</w:t>
      </w:r>
    </w:p>
    <w:p>
      <w:pPr>
        <w:snapToGrid w:val="0"/>
        <w:spacing w:line="400" w:lineRule="exact"/>
        <w:ind w:firstLine="413" w:firstLineChars="196"/>
        <w:jc w:val="left"/>
        <w:rPr>
          <w:rFonts w:ascii="宋体" w:cs="宋体"/>
          <w:b/>
          <w:color w:val="auto"/>
          <w:szCs w:val="21"/>
        </w:rPr>
      </w:pPr>
      <w:r>
        <w:rPr>
          <w:rFonts w:ascii="宋体" w:hAnsi="宋体" w:cs="宋体"/>
          <w:b/>
          <w:color w:val="auto"/>
          <w:szCs w:val="21"/>
        </w:rPr>
        <w:t>1.</w:t>
      </w:r>
      <w:r>
        <w:rPr>
          <w:rFonts w:ascii="宋体" w:hAnsi="宋体" w:cs="宋体"/>
          <w:color w:val="auto"/>
          <w:szCs w:val="21"/>
        </w:rPr>
        <w:t xml:space="preserve"> </w:t>
      </w:r>
      <w:r>
        <w:rPr>
          <w:rFonts w:hint="eastAsia" w:ascii="宋体" w:hAnsi="宋体" w:cs="宋体"/>
          <w:b/>
          <w:color w:val="auto"/>
          <w:szCs w:val="21"/>
        </w:rPr>
        <w:t>资格部分：</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）有效的营业执照副本复印件（必须提供，同时要加盖单位公章，不是三证合一的营业执照还必须提供有效的组织机构代码证副本、税务登记证副本复印件）；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color w:val="auto"/>
        </w:rPr>
        <w:t>建设主管部门颁发的建筑机电安装工程专业承包三级及以上资质复印件</w:t>
      </w:r>
      <w:r>
        <w:rPr>
          <w:rFonts w:hint="eastAsia" w:ascii="宋体" w:hAnsi="宋体" w:cs="宋体"/>
          <w:color w:val="auto"/>
          <w:szCs w:val="21"/>
        </w:rPr>
        <w:t>；</w:t>
      </w:r>
    </w:p>
    <w:p>
      <w:pPr>
        <w:spacing w:line="400" w:lineRule="exact"/>
        <w:ind w:firstLine="420" w:firstLineChars="200"/>
        <w:rPr>
          <w:color w:val="auto"/>
        </w:rPr>
      </w:pPr>
      <w:r>
        <w:rPr>
          <w:rFonts w:hint="eastAsia" w:ascii="宋体" w:hAnsi="宋体" w:cs="宋体"/>
          <w:color w:val="auto"/>
          <w:szCs w:val="21"/>
        </w:rPr>
        <w:t>★（3）</w:t>
      </w:r>
      <w:r>
        <w:rPr>
          <w:rFonts w:hint="eastAsia"/>
          <w:color w:val="auto"/>
        </w:rPr>
        <w:t>具有质量技术监督部门颁发的特种设备制造许可证（压力容器） 或特种设备安装改造维修许可证（压力容器）复印件；</w:t>
      </w:r>
    </w:p>
    <w:p>
      <w:pPr>
        <w:spacing w:line="400" w:lineRule="exact"/>
        <w:ind w:firstLine="420" w:firstLineChars="200"/>
        <w:rPr>
          <w:color w:val="auto"/>
        </w:rPr>
      </w:pPr>
      <w:r>
        <w:rPr>
          <w:rFonts w:hint="eastAsia" w:ascii="宋体" w:hAnsi="宋体" w:cs="宋体"/>
          <w:color w:val="auto"/>
          <w:szCs w:val="21"/>
        </w:rPr>
        <w:t>★</w:t>
      </w:r>
      <w:r>
        <w:rPr>
          <w:rFonts w:hint="eastAsia"/>
          <w:color w:val="auto"/>
        </w:rPr>
        <w:t>（4）具有质量技术监督部门颁发的特种设备设计许可证（压力管道）和质量技术监督部门颁发的特种设备安装改造维修许可证（压力管道）或质量技术监督部门颁发的特种设备生产许可证（工业管道安装）复印件</w:t>
      </w:r>
      <w:r>
        <w:rPr>
          <w:rFonts w:hint="eastAsia" w:ascii="宋体" w:hAnsi="宋体" w:cs="宋体"/>
          <w:color w:val="auto"/>
          <w:w w:val="95"/>
          <w:sz w:val="24"/>
        </w:rPr>
        <w:t>；</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★（5）法定代表人完整有效的身份证复印件（第二代身份证必须提供正反面复印件，同时要加盖单位公章）；</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★（6）法定代表人授权委托书</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 xml:space="preserve">) </w:t>
      </w:r>
      <w:r>
        <w:rPr>
          <w:rFonts w:hint="eastAsia" w:ascii="宋体" w:hAnsi="宋体" w:cs="宋体"/>
          <w:color w:val="auto"/>
          <w:szCs w:val="21"/>
        </w:rPr>
        <w:t>和委托代理人完整有效的身份证复印件（委托代理时必须提供。第二代身份证必须提供正反面复印件，同时要加盖单位公章）；</w:t>
      </w:r>
    </w:p>
    <w:p>
      <w:pPr>
        <w:snapToGrid w:val="0"/>
        <w:spacing w:line="400" w:lineRule="exact"/>
        <w:ind w:firstLine="420"/>
        <w:jc w:val="left"/>
        <w:rPr>
          <w:rFonts w:ascii="宋体" w:cs="宋体"/>
          <w:color w:val="auto"/>
          <w:szCs w:val="21"/>
        </w:rPr>
      </w:pPr>
      <w:r>
        <w:rPr>
          <w:rFonts w:hint="eastAsia" w:ascii="宋体" w:hAnsi="宋体" w:cs="宋体"/>
          <w:color w:val="auto"/>
          <w:szCs w:val="21"/>
        </w:rPr>
        <w:t>★（7）截标时间前半年内，连续三个月投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ascii="宋体" w:hAnsi="宋体"/>
          <w:color w:val="auto"/>
          <w:szCs w:val="21"/>
        </w:rPr>
        <w:t>（成立不足3个月的供应商按实际情况提供）</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8）截标时间前半年内，连续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eastAsia" w:ascii="宋体" w:hAnsi="宋体"/>
          <w:color w:val="auto"/>
          <w:szCs w:val="21"/>
        </w:rPr>
        <w:t>（成立不足3个月的供应商按实际情况提供）</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★（9）参加政府采购活动前</w:t>
      </w:r>
      <w:r>
        <w:rPr>
          <w:rFonts w:ascii="宋体" w:hAnsi="宋体" w:cs="宋体"/>
          <w:color w:val="auto"/>
          <w:szCs w:val="21"/>
        </w:rPr>
        <w:t>3</w:t>
      </w:r>
      <w:r>
        <w:rPr>
          <w:rFonts w:hint="eastAsia" w:ascii="宋体" w:hAnsi="宋体" w:cs="宋体"/>
          <w:color w:val="auto"/>
          <w:szCs w:val="21"/>
        </w:rPr>
        <w:t>年内在经营活动中没有重大违法记录的书面声明；</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★（10）信用记录网站〔“信用中国”网站(www.creditchina.gov.cn)、中国政府采购网(www.ccgp.gov.cn/cr/list)〕查询结果信用声明函（格式见第六章）；</w:t>
      </w:r>
    </w:p>
    <w:p>
      <w:pPr>
        <w:snapToGrid w:val="0"/>
        <w:spacing w:line="400" w:lineRule="exact"/>
        <w:ind w:firstLine="420" w:firstLineChars="200"/>
        <w:jc w:val="left"/>
        <w:rPr>
          <w:rFonts w:ascii="宋体" w:cs="宋体"/>
          <w:b/>
          <w:bCs/>
          <w:color w:val="auto"/>
          <w:szCs w:val="21"/>
        </w:rPr>
      </w:pPr>
      <w:r>
        <w:rPr>
          <w:rFonts w:hint="eastAsia" w:ascii="宋体" w:hAnsi="宋体" w:cs="宋体"/>
          <w:color w:val="auto"/>
          <w:szCs w:val="21"/>
        </w:rPr>
        <w:t>★（11）投标人近期财务状况报告</w:t>
      </w:r>
      <w:r>
        <w:rPr>
          <w:rFonts w:hint="eastAsia" w:ascii="宋体" w:hAnsi="宋体" w:cs="宋体"/>
          <w:b/>
          <w:bCs/>
          <w:color w:val="auto"/>
          <w:szCs w:val="21"/>
        </w:rPr>
        <w:t>（上一年度经第三方审计的财务报告；或截标时间前半年内能反映财务状况的报表；或投标人自拟的截标时间前半年内的财务情况说明）。</w:t>
      </w:r>
    </w:p>
    <w:p>
      <w:pPr>
        <w:snapToGrid w:val="0"/>
        <w:spacing w:line="440" w:lineRule="exact"/>
        <w:ind w:firstLine="420" w:firstLineChars="200"/>
        <w:jc w:val="left"/>
        <w:rPr>
          <w:rFonts w:ascii="宋体" w:cs="宋体"/>
          <w:b/>
          <w:color w:val="auto"/>
          <w:szCs w:val="21"/>
        </w:rPr>
      </w:pPr>
      <w:r>
        <w:rPr>
          <w:rFonts w:hint="eastAsia" w:ascii="宋体" w:hAnsi="宋体" w:cs="宋体"/>
          <w:color w:val="auto"/>
          <w:szCs w:val="21"/>
        </w:rPr>
        <w:t>★</w:t>
      </w:r>
      <w:r>
        <w:rPr>
          <w:rFonts w:hint="eastAsia" w:ascii="宋体" w:hAnsi="宋体" w:cs="宋体"/>
          <w:b/>
          <w:bCs/>
          <w:color w:val="auto"/>
          <w:szCs w:val="21"/>
        </w:rPr>
        <w:t>注：</w:t>
      </w:r>
      <w:r>
        <w:rPr>
          <w:rFonts w:hint="eastAsia" w:ascii="宋体" w:hAnsi="宋体" w:cs="宋体"/>
          <w:color w:val="auto"/>
          <w:szCs w:val="21"/>
        </w:rPr>
        <w:t>上述提交的材料必须加盖投标人单位公章。</w:t>
      </w:r>
    </w:p>
    <w:p>
      <w:pPr>
        <w:snapToGrid w:val="0"/>
        <w:spacing w:line="440" w:lineRule="exact"/>
        <w:ind w:firstLine="413" w:firstLineChars="196"/>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商务及技术部分</w:t>
      </w:r>
    </w:p>
    <w:p>
      <w:pPr>
        <w:snapToGrid w:val="0"/>
        <w:spacing w:line="440" w:lineRule="exact"/>
        <w:ind w:firstLine="422" w:firstLineChars="200"/>
        <w:jc w:val="left"/>
        <w:rPr>
          <w:rFonts w:ascii="宋体" w:cs="宋体"/>
          <w:b/>
          <w:bCs/>
          <w:color w:val="auto"/>
          <w:szCs w:val="21"/>
        </w:rPr>
      </w:pPr>
      <w:r>
        <w:rPr>
          <w:rFonts w:hint="eastAsia" w:ascii="宋体" w:hAnsi="宋体" w:cs="宋体"/>
          <w:b/>
          <w:bCs/>
          <w:color w:val="auto"/>
          <w:szCs w:val="21"/>
        </w:rPr>
        <w:t>商务部分</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）投标声明书</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）投标人情况介绍；</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属于投标人的资质及信誉等方面的证书或材料；</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）商务响应表</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rPr>
        <w:t>投标人需要说明的其他文件和说明</w:t>
      </w:r>
      <w:r>
        <w:rPr>
          <w:rFonts w:hint="eastAsia" w:ascii="宋体" w:hAnsi="宋体" w:cs="宋体"/>
          <w:color w:val="auto"/>
          <w:szCs w:val="21"/>
        </w:rPr>
        <w:t>；</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）投标人的类似成功案例的业绩证明文件</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）投标人符合中小企业划型标准的，按《政府采购促进中小企业发展暂行办法》（财库〔</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181</w:t>
      </w:r>
      <w:r>
        <w:rPr>
          <w:rFonts w:hint="eastAsia" w:ascii="宋体" w:hAnsi="宋体" w:cs="宋体"/>
          <w:color w:val="auto"/>
          <w:szCs w:val="21"/>
        </w:rPr>
        <w:t>号）要求，提供中小企业声明函。监</w:t>
      </w:r>
      <w:r>
        <w:rPr>
          <w:rFonts w:hint="eastAsia" w:ascii="宋体" w:hAnsi="宋体"/>
          <w:color w:val="auto"/>
          <w:szCs w:val="21"/>
        </w:rPr>
        <w:t>狱企业参加政府采购活动时，应当提供由省级以上监狱管理局、戒毒管理局（含新疆生产建设兵团）出具的属于监狱企业的证明文件。</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）投标产品符合</w:t>
      </w:r>
      <w:r>
        <w:rPr>
          <w:rFonts w:hint="eastAsia" w:ascii="宋体" w:hAnsi="宋体" w:cs="宋体"/>
          <w:bCs/>
          <w:color w:val="auto"/>
        </w:rPr>
        <w:t>《招标采购促进广西工业产品产销对接实施细则的通知》（桂政办发【</w:t>
      </w:r>
      <w:r>
        <w:rPr>
          <w:rFonts w:ascii="宋体" w:hAnsi="宋体" w:cs="宋体"/>
          <w:bCs/>
          <w:color w:val="auto"/>
        </w:rPr>
        <w:t>2015</w:t>
      </w:r>
      <w:r>
        <w:rPr>
          <w:rFonts w:hint="eastAsia" w:ascii="宋体" w:hAnsi="宋体" w:cs="宋体"/>
          <w:bCs/>
          <w:color w:val="auto"/>
        </w:rPr>
        <w:t>】</w:t>
      </w:r>
      <w:r>
        <w:rPr>
          <w:rFonts w:ascii="宋体" w:hAnsi="宋体" w:cs="宋体"/>
          <w:bCs/>
          <w:color w:val="auto"/>
        </w:rPr>
        <w:t>78</w:t>
      </w:r>
      <w:r>
        <w:rPr>
          <w:rFonts w:hint="eastAsia" w:ascii="宋体" w:hAnsi="宋体" w:cs="宋体"/>
          <w:bCs/>
          <w:color w:val="auto"/>
        </w:rPr>
        <w:t>号）</w:t>
      </w:r>
      <w:r>
        <w:rPr>
          <w:rFonts w:hint="eastAsia" w:ascii="宋体" w:hAnsi="宋体" w:cs="宋体"/>
          <w:color w:val="auto"/>
          <w:szCs w:val="21"/>
        </w:rPr>
        <w:t>要求</w:t>
      </w:r>
      <w:r>
        <w:rPr>
          <w:rFonts w:hint="eastAsia" w:ascii="宋体" w:hAnsi="宋体" w:cs="宋体"/>
          <w:bCs/>
          <w:color w:val="auto"/>
        </w:rPr>
        <w:t>的，</w:t>
      </w:r>
      <w:r>
        <w:rPr>
          <w:rFonts w:hint="eastAsia" w:ascii="宋体" w:hAnsi="宋体" w:cs="宋体"/>
          <w:color w:val="auto"/>
          <w:szCs w:val="21"/>
        </w:rPr>
        <w:t>提供广西工业产品声明函</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w:t>
      </w:r>
      <w:r>
        <w:rPr>
          <w:rFonts w:hint="eastAsia" w:ascii="宋体" w:hAnsi="宋体"/>
          <w:color w:val="auto"/>
          <w:szCs w:val="21"/>
        </w:rPr>
        <w:t>投标产品提供单位按《关于促进残疾人就业政府采购政策的通知》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olor w:val="auto"/>
          <w:szCs w:val="21"/>
        </w:rPr>
        <w:t>。</w:t>
      </w:r>
    </w:p>
    <w:p>
      <w:pPr>
        <w:snapToGrid w:val="0"/>
        <w:spacing w:line="400" w:lineRule="exact"/>
        <w:ind w:firstLine="413" w:firstLineChars="196"/>
        <w:jc w:val="left"/>
        <w:rPr>
          <w:rFonts w:ascii="宋体" w:cs="宋体"/>
          <w:b/>
          <w:color w:val="auto"/>
          <w:szCs w:val="21"/>
        </w:rPr>
      </w:pPr>
    </w:p>
    <w:p>
      <w:pPr>
        <w:snapToGrid w:val="0"/>
        <w:spacing w:line="400" w:lineRule="exact"/>
        <w:ind w:firstLine="413" w:firstLineChars="196"/>
        <w:jc w:val="left"/>
        <w:rPr>
          <w:rFonts w:ascii="宋体" w:cs="宋体"/>
          <w:b/>
          <w:color w:val="auto"/>
          <w:szCs w:val="21"/>
        </w:rPr>
      </w:pPr>
      <w:r>
        <w:rPr>
          <w:rFonts w:hint="eastAsia" w:ascii="宋体" w:hAnsi="宋体" w:cs="宋体"/>
          <w:b/>
          <w:color w:val="auto"/>
          <w:szCs w:val="21"/>
        </w:rPr>
        <w:t>技术部分</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zCs w:val="21"/>
        </w:rPr>
        <w:t>投标产品配置清单（均不含报价）</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ascii="宋体" w:hAnsi="宋体" w:cs="宋体"/>
          <w:color w:val="auto"/>
        </w:rPr>
        <w:t xml:space="preserve"> </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rPr>
        <w:t>产品技术响应表</w:t>
      </w:r>
      <w:r>
        <w:rPr>
          <w:rFonts w:ascii="宋体" w:hAnsi="宋体" w:cs="宋体"/>
          <w:color w:val="auto"/>
        </w:rPr>
        <w:t>(</w:t>
      </w:r>
      <w:r>
        <w:rPr>
          <w:rFonts w:hint="eastAsia" w:ascii="宋体" w:hAnsi="宋体" w:cs="宋体"/>
          <w:color w:val="auto"/>
        </w:rPr>
        <w:t>格式见第六章</w:t>
      </w:r>
      <w:r>
        <w:rPr>
          <w:rFonts w:ascii="宋体" w:hAnsi="宋体" w:cs="宋体"/>
          <w:color w:val="auto"/>
        </w:rPr>
        <w:t>)</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售后服务方案；</w:t>
      </w:r>
    </w:p>
    <w:p>
      <w:pPr>
        <w:snapToGrid w:val="0"/>
        <w:spacing w:line="400" w:lineRule="exact"/>
        <w:ind w:firstLine="630" w:firstLineChars="300"/>
        <w:jc w:val="left"/>
        <w:rPr>
          <w:rFonts w:ascii="宋体" w:cs="宋体"/>
          <w:color w:val="auto"/>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）项目实施人员一览表</w:t>
      </w:r>
      <w:r>
        <w:rPr>
          <w:rFonts w:hint="eastAsia" w:ascii="宋体" w:hAnsi="宋体" w:cs="宋体"/>
          <w:color w:val="auto"/>
        </w:rPr>
        <w:t>；</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）产品出厂标准、质量检测报告。</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）培训计划方案；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）投标人需要说明的其他文件和说明。</w:t>
      </w:r>
    </w:p>
    <w:p>
      <w:pPr>
        <w:snapToGrid w:val="0"/>
        <w:spacing w:line="400" w:lineRule="exact"/>
        <w:ind w:firstLine="413" w:firstLineChars="196"/>
        <w:jc w:val="left"/>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报价部分：</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）投标函（格式见第六章）；</w:t>
      </w:r>
      <w:r>
        <w:rPr>
          <w:rFonts w:ascii="宋体" w:hAnsi="宋体" w:cs="宋体"/>
          <w:color w:val="auto"/>
          <w:szCs w:val="21"/>
        </w:rPr>
        <w:t xml:space="preserve"> </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）投标报价明细表（格式见第六章）；</w:t>
      </w:r>
    </w:p>
    <w:p>
      <w:pPr>
        <w:tabs>
          <w:tab w:val="left" w:pos="3870"/>
          <w:tab w:val="left" w:pos="4085"/>
        </w:tabs>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）投标人针对报价需要说明的其他文件和说明（格式自拟）；</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）开标一览表（与投标函一起单独用小信封密封并单独递交，格式见第六章）；</w:t>
      </w:r>
    </w:p>
    <w:p>
      <w:pPr>
        <w:pStyle w:val="34"/>
        <w:spacing w:line="400" w:lineRule="exact"/>
        <w:ind w:firstLine="400" w:firstLineChars="200"/>
        <w:rPr>
          <w:rFonts w:ascii="宋体" w:cs="宋体"/>
          <w:color w:val="auto"/>
          <w:sz w:val="21"/>
          <w:szCs w:val="21"/>
        </w:rPr>
      </w:pPr>
      <w:r>
        <w:rPr>
          <w:rFonts w:hint="eastAsia" w:ascii="宋体" w:hAnsi="宋体" w:cs="宋体"/>
          <w:color w:val="auto"/>
          <w:szCs w:val="21"/>
        </w:rPr>
        <w:t>★</w:t>
      </w:r>
      <w:r>
        <w:rPr>
          <w:rFonts w:ascii="宋体" w:hAnsi="宋体" w:cs="宋体"/>
          <w:b/>
          <w:bCs/>
          <w:color w:val="auto"/>
          <w:sz w:val="21"/>
          <w:szCs w:val="21"/>
        </w:rPr>
        <w:t>4.</w:t>
      </w:r>
      <w:r>
        <w:rPr>
          <w:rFonts w:hint="eastAsia" w:ascii="宋体" w:hAnsi="宋体" w:cs="宋体"/>
          <w:b/>
          <w:bCs/>
          <w:color w:val="auto"/>
          <w:sz w:val="21"/>
          <w:szCs w:val="21"/>
        </w:rPr>
        <w:t>特别备注：招标文件第六章有格式要求的，必须按要求在规定处由法定代表人或授权代表签名并加盖投标人公章。</w:t>
      </w:r>
    </w:p>
    <w:p>
      <w:pPr>
        <w:snapToGrid w:val="0"/>
        <w:spacing w:line="400" w:lineRule="exact"/>
        <w:ind w:firstLine="413" w:firstLineChars="196"/>
        <w:jc w:val="left"/>
        <w:outlineLvl w:val="0"/>
        <w:rPr>
          <w:rFonts w:ascii="宋体" w:cs="宋体"/>
          <w:b/>
          <w:color w:val="auto"/>
          <w:szCs w:val="21"/>
        </w:rPr>
      </w:pPr>
      <w:bookmarkStart w:id="371" w:name="_Toc254970537"/>
      <w:bookmarkStart w:id="372" w:name="_Toc482865145"/>
      <w:bookmarkStart w:id="373" w:name="_Toc27229"/>
      <w:bookmarkStart w:id="374" w:name="_Toc482865315"/>
      <w:bookmarkStart w:id="375" w:name="_Toc448421135"/>
      <w:bookmarkStart w:id="376" w:name="_Toc254970678"/>
      <w:bookmarkStart w:id="377" w:name="_Toc445223673"/>
      <w:bookmarkStart w:id="378" w:name="_Toc400465706"/>
      <w:bookmarkStart w:id="379" w:name="_Toc293863046"/>
      <w:bookmarkStart w:id="380" w:name="_Toc483327804"/>
      <w:bookmarkStart w:id="381" w:name="_Toc293863313"/>
      <w:bookmarkStart w:id="382" w:name="_Toc482864544"/>
      <w:bookmarkStart w:id="383" w:name="_Toc308018670"/>
      <w:r>
        <w:rPr>
          <w:rFonts w:hint="eastAsia" w:ascii="宋体" w:hAnsi="宋体" w:cs="宋体"/>
          <w:b/>
          <w:color w:val="auto"/>
          <w:szCs w:val="21"/>
        </w:rPr>
        <w:t>（二）投标文件的语言及计量</w:t>
      </w:r>
      <w:bookmarkEnd w:id="371"/>
      <w:bookmarkEnd w:id="372"/>
      <w:bookmarkEnd w:id="373"/>
      <w:bookmarkEnd w:id="374"/>
      <w:bookmarkEnd w:id="375"/>
      <w:bookmarkEnd w:id="376"/>
      <w:bookmarkEnd w:id="377"/>
      <w:bookmarkEnd w:id="378"/>
      <w:bookmarkEnd w:id="379"/>
      <w:bookmarkEnd w:id="380"/>
      <w:bookmarkEnd w:id="381"/>
      <w:bookmarkEnd w:id="382"/>
      <w:bookmarkEnd w:id="383"/>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投标计量单位，招标文件已有明确规定的，使用招标文件规定的计量单位；招标文件没有规定的，应采用中华人民共和国法定计量单位（货币单位：人民币），否则视同未响应。</w:t>
      </w:r>
    </w:p>
    <w:p>
      <w:pPr>
        <w:snapToGrid w:val="0"/>
        <w:spacing w:beforeLines="50" w:line="400" w:lineRule="exact"/>
        <w:ind w:firstLine="413" w:firstLineChars="196"/>
        <w:jc w:val="left"/>
        <w:outlineLvl w:val="0"/>
        <w:rPr>
          <w:rFonts w:ascii="宋体" w:cs="宋体"/>
          <w:b/>
          <w:color w:val="auto"/>
          <w:szCs w:val="21"/>
        </w:rPr>
      </w:pPr>
      <w:bookmarkStart w:id="384" w:name="_Toc482864545"/>
      <w:bookmarkStart w:id="385" w:name="_Toc293863314"/>
      <w:bookmarkStart w:id="386" w:name="_Toc448421136"/>
      <w:bookmarkStart w:id="387" w:name="_Toc483327805"/>
      <w:bookmarkStart w:id="388" w:name="_Toc23268"/>
      <w:bookmarkStart w:id="389" w:name="_Toc254970538"/>
      <w:bookmarkStart w:id="390" w:name="_Toc445223674"/>
      <w:bookmarkStart w:id="391" w:name="_Toc293863047"/>
      <w:bookmarkStart w:id="392" w:name="_Toc308018671"/>
      <w:bookmarkStart w:id="393" w:name="_Toc482865316"/>
      <w:bookmarkStart w:id="394" w:name="_Toc482865146"/>
      <w:bookmarkStart w:id="395" w:name="_Toc400465707"/>
      <w:bookmarkStart w:id="396" w:name="_Toc254970679"/>
      <w:r>
        <w:rPr>
          <w:rFonts w:hint="eastAsia" w:ascii="宋体" w:hAnsi="宋体" w:cs="宋体"/>
          <w:b/>
          <w:color w:val="auto"/>
          <w:szCs w:val="21"/>
        </w:rPr>
        <w:t>（三）投标报价</w:t>
      </w:r>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23"/>
        <w:snapToGrid w:val="0"/>
        <w:spacing w:line="400" w:lineRule="exact"/>
        <w:ind w:firstLine="420" w:firstLineChars="200"/>
        <w:jc w:val="left"/>
        <w:rPr>
          <w:rFonts w:hAnsi="宋体" w:cs="宋体"/>
          <w:color w:val="auto"/>
          <w:sz w:val="21"/>
        </w:rPr>
      </w:pPr>
      <w:r>
        <w:rPr>
          <w:rFonts w:hAnsi="宋体" w:cs="宋体"/>
          <w:color w:val="auto"/>
          <w:sz w:val="21"/>
        </w:rPr>
        <w:t xml:space="preserve">1. </w:t>
      </w:r>
      <w:r>
        <w:rPr>
          <w:rFonts w:hint="eastAsia" w:hAnsi="宋体" w:cs="宋体"/>
          <w:color w:val="auto"/>
          <w:sz w:val="21"/>
        </w:rPr>
        <w:t>投标报价应按招标文件中相关附表格式填写。</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rPr>
        <w:t xml:space="preserve">2. </w:t>
      </w:r>
      <w:r>
        <w:rPr>
          <w:rFonts w:hint="eastAsia" w:ascii="宋体" w:hAnsi="宋体" w:cs="宋体"/>
          <w:color w:val="auto"/>
        </w:rPr>
        <w:t>投标报价是履行合同的最终价格，货物采购应包括货款、标准附件、备品备件、专用工具、包装、运输、装卸、保险、税金、货到就位以及安装、调试、培训、保修等一切税金和费用；服务采购应包括整体服务价格</w:t>
      </w:r>
      <w:r>
        <w:rPr>
          <w:rFonts w:hint="eastAsia" w:ascii="宋体" w:hAnsi="宋体" w:cs="宋体"/>
          <w:color w:val="auto"/>
          <w:szCs w:val="21"/>
        </w:rPr>
        <w:t>以及</w:t>
      </w:r>
      <w:r>
        <w:rPr>
          <w:rFonts w:hint="eastAsia" w:ascii="宋体" w:hAnsi="宋体" w:cs="宋体"/>
          <w:color w:val="auto"/>
        </w:rPr>
        <w:t>安装调试、培训、维护等一切税金和费用。</w:t>
      </w:r>
      <w:r>
        <w:rPr>
          <w:rFonts w:hint="eastAsia" w:hAnsi="宋体"/>
          <w:bCs/>
          <w:color w:val="auto"/>
        </w:rPr>
        <w:t>采购人不再支付任何额外费用，本项目为交钥匙工程。</w:t>
      </w:r>
    </w:p>
    <w:p>
      <w:pPr>
        <w:tabs>
          <w:tab w:val="left" w:pos="52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3. </w:t>
      </w:r>
      <w:r>
        <w:rPr>
          <w:rFonts w:hint="eastAsia" w:ascii="宋体" w:hAnsi="宋体" w:cs="宋体"/>
          <w:color w:val="auto"/>
          <w:szCs w:val="21"/>
        </w:rPr>
        <w:t>投标文件每个分标只允许有一个报价，有选择的或有条件的报价将不予接受。</w:t>
      </w:r>
    </w:p>
    <w:p>
      <w:pPr>
        <w:pStyle w:val="13"/>
        <w:widowControl w:val="0"/>
        <w:tabs>
          <w:tab w:val="clear" w:pos="454"/>
        </w:tabs>
        <w:snapToGrid w:val="0"/>
        <w:spacing w:beforeLines="50" w:afterLines="0" w:line="400" w:lineRule="exact"/>
        <w:ind w:left="0" w:firstLine="413" w:firstLineChars="196"/>
        <w:rPr>
          <w:rFonts w:ascii="宋体" w:cs="宋体"/>
          <w:b/>
          <w:color w:val="auto"/>
          <w:sz w:val="21"/>
          <w:szCs w:val="21"/>
        </w:rPr>
      </w:pPr>
      <w:r>
        <w:rPr>
          <w:rFonts w:hint="eastAsia" w:ascii="宋体" w:hAnsi="宋体" w:cs="宋体"/>
          <w:b/>
          <w:color w:val="auto"/>
          <w:sz w:val="21"/>
          <w:szCs w:val="21"/>
        </w:rPr>
        <w:t>（四）投标文件的有效期</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自投标截止日起</w:t>
      </w:r>
      <w:r>
        <w:rPr>
          <w:rFonts w:ascii="宋体" w:hAnsi="宋体" w:cs="宋体"/>
          <w:color w:val="auto"/>
          <w:szCs w:val="21"/>
        </w:rPr>
        <w:t>60</w:t>
      </w:r>
      <w:r>
        <w:rPr>
          <w:rFonts w:hint="eastAsia" w:ascii="宋体" w:hAnsi="宋体" w:cs="宋体"/>
          <w:color w:val="auto"/>
          <w:szCs w:val="21"/>
        </w:rPr>
        <w:t>天投标文件应保持有效。有效期不足的投标文件将被拒绝。</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在特殊情况下，招标采购单位可与投标人协商延长投标书的有效期，这种要求和答复均以书面形式进行。</w:t>
      </w:r>
    </w:p>
    <w:p>
      <w:pPr>
        <w:snapToGrid w:val="0"/>
        <w:spacing w:line="400" w:lineRule="exact"/>
        <w:ind w:firstLine="420" w:firstLineChars="200"/>
        <w:jc w:val="left"/>
        <w:rPr>
          <w:rFonts w:ascii="宋体" w:cs="宋体"/>
          <w:b/>
          <w:color w:val="auto"/>
          <w:szCs w:val="21"/>
        </w:rPr>
      </w:pPr>
      <w:bookmarkStart w:id="397" w:name="_Toc482864546"/>
      <w:bookmarkStart w:id="398" w:name="_Toc400465708"/>
      <w:bookmarkStart w:id="399" w:name="_Toc448421137"/>
      <w:bookmarkStart w:id="400" w:name="_Toc483327806"/>
      <w:bookmarkStart w:id="401" w:name="_Toc482865147"/>
      <w:bookmarkStart w:id="402" w:name="_Toc445223675"/>
      <w:bookmarkStart w:id="403" w:name="_Toc482865317"/>
      <w:bookmarkStart w:id="404" w:name="_Toc254970539"/>
      <w:bookmarkStart w:id="405" w:name="_Toc254970680"/>
      <w:bookmarkStart w:id="406" w:name="_Toc308018672"/>
      <w:bookmarkStart w:id="407" w:name="_Toc293863048"/>
      <w:bookmarkStart w:id="408" w:name="_Toc293863315"/>
      <w:r>
        <w:rPr>
          <w:rFonts w:ascii="宋体" w:hAnsi="宋体" w:cs="宋体"/>
          <w:color w:val="auto"/>
          <w:szCs w:val="21"/>
        </w:rPr>
        <w:t xml:space="preserve">3. </w:t>
      </w:r>
      <w:r>
        <w:rPr>
          <w:rFonts w:hint="eastAsia" w:ascii="宋体" w:hAnsi="宋体" w:cs="宋体"/>
          <w:color w:val="auto"/>
          <w:szCs w:val="21"/>
        </w:rPr>
        <w:t>投标人可拒绝接受延期要求，但不能修改投标文件。</w:t>
      </w:r>
      <w:bookmarkEnd w:id="397"/>
      <w:bookmarkEnd w:id="398"/>
      <w:bookmarkEnd w:id="399"/>
      <w:bookmarkEnd w:id="400"/>
      <w:bookmarkEnd w:id="401"/>
      <w:bookmarkEnd w:id="402"/>
      <w:bookmarkEnd w:id="403"/>
      <w:bookmarkEnd w:id="404"/>
      <w:bookmarkEnd w:id="405"/>
      <w:bookmarkEnd w:id="406"/>
      <w:bookmarkEnd w:id="407"/>
      <w:bookmarkEnd w:id="408"/>
      <w:r>
        <w:rPr>
          <w:rFonts w:ascii="宋体" w:hAnsi="宋体" w:cs="宋体"/>
          <w:b/>
          <w:color w:val="auto"/>
          <w:szCs w:val="21"/>
        </w:rPr>
        <w:t xml:space="preserve"> </w:t>
      </w:r>
    </w:p>
    <w:p>
      <w:pPr>
        <w:snapToGrid w:val="0"/>
        <w:spacing w:line="400" w:lineRule="exact"/>
        <w:ind w:firstLine="420" w:firstLineChars="200"/>
        <w:jc w:val="left"/>
        <w:outlineLvl w:val="0"/>
        <w:rPr>
          <w:rFonts w:ascii="宋体" w:cs="宋体"/>
          <w:b/>
          <w:color w:val="auto"/>
          <w:szCs w:val="21"/>
        </w:rPr>
      </w:pPr>
      <w:bookmarkStart w:id="409" w:name="_Toc293863316"/>
      <w:bookmarkStart w:id="410" w:name="_Toc308018673"/>
      <w:bookmarkStart w:id="411" w:name="_Toc445223676"/>
      <w:bookmarkStart w:id="412" w:name="_Toc482865148"/>
      <w:bookmarkStart w:id="413" w:name="_Toc400465709"/>
      <w:bookmarkStart w:id="414" w:name="_Toc482865318"/>
      <w:bookmarkStart w:id="415" w:name="_Toc254970540"/>
      <w:bookmarkStart w:id="416" w:name="_Toc448421138"/>
      <w:bookmarkStart w:id="417" w:name="_Toc483327807"/>
      <w:bookmarkStart w:id="418" w:name="_Toc293863049"/>
      <w:bookmarkStart w:id="419" w:name="_Toc254970681"/>
      <w:bookmarkStart w:id="420" w:name="_Toc482864547"/>
      <w:bookmarkStart w:id="421" w:name="_Toc26972"/>
      <w:r>
        <w:rPr>
          <w:rFonts w:ascii="宋体" w:hAnsi="宋体" w:cs="宋体"/>
          <w:color w:val="auto"/>
          <w:szCs w:val="21"/>
        </w:rPr>
        <w:t xml:space="preserve">4. </w:t>
      </w:r>
      <w:r>
        <w:rPr>
          <w:rFonts w:hint="eastAsia" w:ascii="宋体" w:hAnsi="宋体" w:cs="宋体"/>
          <w:color w:val="auto"/>
          <w:szCs w:val="21"/>
        </w:rPr>
        <w:t>中标人的投标文件自开标之日起至合同履行完毕止均应保持有效。</w:t>
      </w:r>
      <w:bookmarkEnd w:id="409"/>
      <w:bookmarkEnd w:id="410"/>
      <w:bookmarkEnd w:id="411"/>
      <w:bookmarkEnd w:id="412"/>
      <w:bookmarkEnd w:id="413"/>
      <w:bookmarkEnd w:id="414"/>
      <w:bookmarkEnd w:id="415"/>
      <w:bookmarkEnd w:id="416"/>
      <w:bookmarkEnd w:id="417"/>
      <w:bookmarkEnd w:id="418"/>
      <w:bookmarkEnd w:id="419"/>
      <w:bookmarkEnd w:id="420"/>
      <w:bookmarkEnd w:id="421"/>
    </w:p>
    <w:p>
      <w:pPr>
        <w:snapToGrid w:val="0"/>
        <w:spacing w:beforeLines="50" w:line="400" w:lineRule="exact"/>
        <w:ind w:firstLine="413" w:firstLineChars="196"/>
        <w:jc w:val="left"/>
        <w:outlineLvl w:val="0"/>
        <w:rPr>
          <w:rFonts w:ascii="宋体" w:cs="宋体"/>
          <w:b/>
          <w:color w:val="auto"/>
          <w:szCs w:val="21"/>
        </w:rPr>
      </w:pPr>
      <w:bookmarkStart w:id="422" w:name="_Toc483327809"/>
      <w:bookmarkStart w:id="423" w:name="_Toc482864549"/>
      <w:bookmarkStart w:id="424" w:name="_Toc293863051"/>
      <w:bookmarkStart w:id="425" w:name="_Toc448421140"/>
      <w:bookmarkStart w:id="426" w:name="_Toc254970542"/>
      <w:bookmarkStart w:id="427" w:name="_Toc445223678"/>
      <w:bookmarkStart w:id="428" w:name="_Toc293863318"/>
      <w:bookmarkStart w:id="429" w:name="_Toc254970683"/>
      <w:bookmarkStart w:id="430" w:name="_Toc400465711"/>
      <w:bookmarkStart w:id="431" w:name="_Toc482865150"/>
      <w:bookmarkStart w:id="432" w:name="_Toc308018675"/>
      <w:bookmarkStart w:id="433" w:name="_Toc482865320"/>
      <w:bookmarkStart w:id="434" w:name="_Toc28043"/>
      <w:r>
        <w:rPr>
          <w:rFonts w:hint="eastAsia" w:ascii="宋体" w:hAnsi="宋体" w:cs="宋体"/>
          <w:b/>
          <w:color w:val="auto"/>
          <w:szCs w:val="21"/>
        </w:rPr>
        <w:t>（五）投标文件的签署和份数</w:t>
      </w:r>
      <w:bookmarkEnd w:id="422"/>
      <w:bookmarkEnd w:id="423"/>
      <w:bookmarkEnd w:id="424"/>
      <w:bookmarkEnd w:id="425"/>
      <w:bookmarkEnd w:id="426"/>
      <w:bookmarkEnd w:id="427"/>
      <w:bookmarkEnd w:id="428"/>
      <w:bookmarkEnd w:id="429"/>
      <w:bookmarkEnd w:id="430"/>
      <w:bookmarkEnd w:id="431"/>
      <w:bookmarkEnd w:id="432"/>
      <w:bookmarkEnd w:id="433"/>
      <w:bookmarkEnd w:id="434"/>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投标文件组成和份数要求详见投标人须知前附表第</w:t>
      </w:r>
      <w:r>
        <w:rPr>
          <w:rFonts w:ascii="宋体" w:hAnsi="宋体" w:cs="宋体"/>
          <w:color w:val="auto"/>
          <w:szCs w:val="21"/>
        </w:rPr>
        <w:t>7</w:t>
      </w:r>
      <w:r>
        <w:rPr>
          <w:rFonts w:hint="eastAsia" w:ascii="宋体" w:hAnsi="宋体" w:cs="宋体"/>
          <w:color w:val="auto"/>
          <w:szCs w:val="21"/>
        </w:rPr>
        <w:t>条要求。</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4. </w:t>
      </w:r>
      <w:r>
        <w:rPr>
          <w:rFonts w:hint="eastAsia" w:ascii="宋体" w:hAnsi="宋体" w:cs="宋体"/>
          <w:color w:val="auto"/>
          <w:spacing w:val="-2"/>
          <w:szCs w:val="21"/>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jc w:val="left"/>
        <w:rPr>
          <w:rFonts w:ascii="宋体" w:cs="宋体"/>
          <w:b/>
          <w:color w:val="auto"/>
          <w:szCs w:val="21"/>
        </w:rPr>
      </w:pPr>
      <w:r>
        <w:rPr>
          <w:rFonts w:hint="eastAsia" w:ascii="宋体" w:hAnsi="宋体" w:cs="宋体"/>
          <w:b/>
          <w:color w:val="auto"/>
          <w:szCs w:val="21"/>
        </w:rPr>
        <w:t>（六）投标文件的包装、递交、修改和撤回</w:t>
      </w:r>
    </w:p>
    <w:p>
      <w:pPr>
        <w:snapToGrid w:val="0"/>
        <w:spacing w:line="400" w:lineRule="exact"/>
        <w:ind w:firstLine="42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投标文件封装要求详见投标人须知前附表第</w:t>
      </w:r>
      <w:r>
        <w:rPr>
          <w:rFonts w:ascii="宋体" w:hAnsi="宋体" w:cs="宋体"/>
          <w:color w:val="auto"/>
          <w:szCs w:val="21"/>
        </w:rPr>
        <w:t>7</w:t>
      </w:r>
      <w:r>
        <w:rPr>
          <w:rFonts w:hint="eastAsia" w:ascii="宋体" w:hAnsi="宋体" w:cs="宋体"/>
          <w:color w:val="auto"/>
          <w:szCs w:val="21"/>
        </w:rPr>
        <w:t>条要求。</w:t>
      </w:r>
    </w:p>
    <w:p>
      <w:pPr>
        <w:snapToGrid w:val="0"/>
        <w:spacing w:line="400" w:lineRule="exact"/>
        <w:ind w:right="-336" w:rightChars="-160" w:firstLine="42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line="400" w:lineRule="exact"/>
        <w:ind w:firstLine="413" w:firstLineChars="196"/>
        <w:outlineLvl w:val="2"/>
        <w:rPr>
          <w:rFonts w:ascii="宋体" w:cs="宋体"/>
          <w:b/>
          <w:color w:val="auto"/>
          <w:szCs w:val="21"/>
        </w:rPr>
      </w:pPr>
      <w:bookmarkStart w:id="435" w:name="_Toc482865321"/>
      <w:bookmarkStart w:id="436" w:name="_Toc482864550"/>
      <w:bookmarkStart w:id="437" w:name="_Toc482865151"/>
      <w:bookmarkStart w:id="438" w:name="_Toc293863052"/>
      <w:bookmarkStart w:id="439" w:name="_Toc254970543"/>
      <w:bookmarkStart w:id="440" w:name="_Toc445223679"/>
      <w:bookmarkStart w:id="441" w:name="_Toc308018676"/>
      <w:bookmarkStart w:id="442" w:name="_Toc400465712"/>
      <w:bookmarkStart w:id="443" w:name="_Toc293863319"/>
      <w:bookmarkStart w:id="444" w:name="_Toc254970684"/>
      <w:bookmarkStart w:id="445" w:name="_Toc483327810"/>
      <w:bookmarkStart w:id="446" w:name="_Toc448421141"/>
      <w:r>
        <w:rPr>
          <w:rFonts w:hint="eastAsia" w:ascii="宋体" w:hAnsi="宋体" w:cs="宋体"/>
          <w:b/>
          <w:color w:val="auto"/>
          <w:szCs w:val="21"/>
        </w:rPr>
        <w:t>（七）投标无效的情形</w:t>
      </w:r>
      <w:bookmarkEnd w:id="435"/>
      <w:bookmarkEnd w:id="436"/>
      <w:bookmarkEnd w:id="437"/>
      <w:bookmarkEnd w:id="438"/>
      <w:bookmarkEnd w:id="439"/>
      <w:bookmarkEnd w:id="440"/>
      <w:bookmarkEnd w:id="441"/>
      <w:bookmarkEnd w:id="442"/>
      <w:bookmarkEnd w:id="443"/>
      <w:bookmarkEnd w:id="444"/>
      <w:bookmarkEnd w:id="445"/>
      <w:bookmarkEnd w:id="446"/>
    </w:p>
    <w:p>
      <w:pPr>
        <w:snapToGrid w:val="0"/>
        <w:spacing w:line="400" w:lineRule="exact"/>
        <w:ind w:firstLine="420" w:firstLineChars="200"/>
        <w:rPr>
          <w:rFonts w:asci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cs="宋体"/>
          <w:color w:val="auto"/>
          <w:szCs w:val="21"/>
        </w:rPr>
      </w:pPr>
      <w:r>
        <w:rPr>
          <w:rFonts w:ascii="宋体" w:hAnsi="宋体" w:cs="宋体"/>
          <w:b/>
          <w:bCs/>
          <w:color w:val="auto"/>
          <w:szCs w:val="21"/>
        </w:rPr>
        <w:t>1.</w:t>
      </w:r>
      <w:r>
        <w:rPr>
          <w:rFonts w:hint="eastAsia" w:ascii="宋体" w:hAnsi="宋体" w:cs="宋体"/>
          <w:b/>
          <w:bCs/>
          <w:color w:val="auto"/>
          <w:szCs w:val="21"/>
        </w:rPr>
        <w:t>在资格审查时，如发现下列情形之一的，投标文件将被视为无效：</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）不具备招标文件中规定的资格要求的；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）招标文件要求必须提供的资格部分文件不齐全或者内容虚假的；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）法律、法规和招标文件规定的其他无效情形。</w:t>
      </w:r>
    </w:p>
    <w:p>
      <w:pPr>
        <w:pStyle w:val="20"/>
        <w:snapToGrid w:val="0"/>
        <w:spacing w:line="400" w:lineRule="exact"/>
        <w:ind w:firstLine="413" w:firstLineChars="196"/>
        <w:rPr>
          <w:rFonts w:ascii="宋体" w:hAnsi="宋体" w:eastAsia="宋体" w:cs="宋体"/>
          <w:b/>
          <w:bCs/>
          <w:color w:val="auto"/>
          <w:sz w:val="21"/>
          <w:szCs w:val="21"/>
        </w:rPr>
      </w:pPr>
      <w:r>
        <w:rPr>
          <w:rFonts w:ascii="宋体" w:hAnsi="宋体" w:eastAsia="宋体" w:cs="宋体"/>
          <w:b/>
          <w:bCs/>
          <w:color w:val="auto"/>
          <w:sz w:val="21"/>
          <w:szCs w:val="21"/>
        </w:rPr>
        <w:t>2.</w:t>
      </w:r>
      <w:r>
        <w:rPr>
          <w:rFonts w:hint="eastAsia" w:ascii="宋体" w:hAnsi="宋体" w:eastAsia="宋体" w:cs="宋体"/>
          <w:b/>
          <w:bCs/>
          <w:color w:val="auto"/>
          <w:sz w:val="21"/>
          <w:szCs w:val="21"/>
        </w:rPr>
        <w:t>在商务性及技术评审时，如发现下列情形之一的，投标文件将被视为无效：</w:t>
      </w:r>
    </w:p>
    <w:p>
      <w:pPr>
        <w:pStyle w:val="20"/>
        <w:snapToGrid w:val="0"/>
        <w:spacing w:line="400" w:lineRule="exact"/>
        <w:ind w:firstLine="411" w:firstLineChars="196"/>
        <w:rPr>
          <w:rFonts w:ascii="宋体" w:hAnsi="宋体" w:eastAsia="宋体" w:cs="宋体"/>
          <w:color w:val="auto"/>
          <w:kern w:val="2"/>
          <w:sz w:val="21"/>
          <w:szCs w:val="21"/>
        </w:rPr>
      </w:pPr>
      <w:r>
        <w:rPr>
          <w:rFonts w:hint="eastAsia" w:ascii="宋体" w:hAnsi="宋体" w:eastAsia="宋体" w:cs="宋体"/>
          <w:color w:val="auto"/>
          <w:kern w:val="2"/>
          <w:sz w:val="21"/>
          <w:szCs w:val="21"/>
        </w:rPr>
        <w:t>（</w:t>
      </w:r>
      <w:r>
        <w:rPr>
          <w:rFonts w:ascii="宋体" w:hAnsi="宋体" w:eastAsia="宋体" w:cs="宋体"/>
          <w:color w:val="auto"/>
          <w:kern w:val="2"/>
          <w:sz w:val="21"/>
          <w:szCs w:val="21"/>
        </w:rPr>
        <w:t>1</w:t>
      </w:r>
      <w:r>
        <w:rPr>
          <w:rFonts w:hint="eastAsia" w:ascii="宋体" w:hAnsi="宋体" w:eastAsia="宋体" w:cs="宋体"/>
          <w:color w:val="auto"/>
          <w:kern w:val="2"/>
          <w:sz w:val="21"/>
          <w:szCs w:val="21"/>
        </w:rPr>
        <w:t>）未按照招标文件的规定提交投标声明书的；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）投标文件未按招标文件要求签署、盖章的；</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snapToGrid w:val="0"/>
          <w:color w:val="auto"/>
          <w:sz w:val="21"/>
          <w:szCs w:val="21"/>
        </w:rPr>
        <w:t>3</w:t>
      </w:r>
      <w:r>
        <w:rPr>
          <w:rFonts w:hint="eastAsia" w:ascii="宋体" w:hAnsi="宋体" w:eastAsia="宋体" w:cs="宋体"/>
          <w:snapToGrid w:val="0"/>
          <w:color w:val="auto"/>
          <w:sz w:val="21"/>
          <w:szCs w:val="21"/>
        </w:rPr>
        <w:t>）</w:t>
      </w:r>
      <w:r>
        <w:rPr>
          <w:rFonts w:hint="eastAsia" w:ascii="宋体" w:hAnsi="宋体" w:eastAsia="宋体" w:cs="宋体"/>
          <w:color w:val="auto"/>
          <w:sz w:val="21"/>
          <w:szCs w:val="21"/>
        </w:rPr>
        <w:t>招标文件要求必须提供的商务及技术部分的文件不齐全或者内容虚假的；</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4</w:t>
      </w:r>
      <w:r>
        <w:rPr>
          <w:rFonts w:hint="eastAsia" w:ascii="宋体" w:hAnsi="宋体" w:eastAsia="宋体"/>
          <w:color w:val="auto"/>
          <w:sz w:val="21"/>
          <w:szCs w:val="21"/>
        </w:rPr>
        <w:t>）投标文件的实质性内容未使用中文表述、意思表述不明确、前后矛盾或者使用计量单位不符合招标文件要求的（经评标委员会认定并允许其当场更正的笔误除外）</w:t>
      </w:r>
    </w:p>
    <w:p>
      <w:pPr>
        <w:pStyle w:val="20"/>
        <w:snapToGrid w:val="0"/>
        <w:spacing w:line="400" w:lineRule="exact"/>
        <w:ind w:firstLine="411" w:firstLineChars="196"/>
        <w:rPr>
          <w:rFonts w:ascii="宋体" w:hAnsi="宋体" w:eastAsia="宋体" w:cs="宋体"/>
          <w:snapToGrid w:val="0"/>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snapToGrid w:val="0"/>
          <w:color w:val="auto"/>
          <w:sz w:val="21"/>
          <w:szCs w:val="21"/>
        </w:rPr>
        <w:t>投标有效期、交货时间、质保期等商务条款不能满足招标文件要求的；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）投标文件有采购人不能接受的附加条件的；</w:t>
      </w:r>
    </w:p>
    <w:p>
      <w:pPr>
        <w:pStyle w:val="20"/>
        <w:snapToGrid w:val="0"/>
        <w:spacing w:line="400" w:lineRule="exact"/>
        <w:ind w:right="-143" w:rightChars="-68"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7</w:t>
      </w:r>
      <w:r>
        <w:rPr>
          <w:rFonts w:hint="eastAsia" w:ascii="宋体" w:hAnsi="宋体" w:eastAsia="宋体" w:cs="宋体"/>
          <w:color w:val="auto"/>
          <w:sz w:val="21"/>
          <w:szCs w:val="21"/>
        </w:rPr>
        <w:t>）</w:t>
      </w:r>
      <w:r>
        <w:rPr>
          <w:rFonts w:hint="eastAsia" w:ascii="宋体" w:hAnsi="宋体" w:eastAsia="宋体" w:cs="宋体"/>
          <w:color w:val="auto"/>
          <w:spacing w:val="-6"/>
          <w:sz w:val="21"/>
          <w:szCs w:val="21"/>
        </w:rPr>
        <w:t>未提供或未如实提供投标货物的技术参数，或者投标文件标明的响应或偏离与事实不符或虚假投标的</w:t>
      </w:r>
      <w:r>
        <w:rPr>
          <w:rFonts w:hint="eastAsia" w:ascii="宋体" w:hAnsi="宋体" w:eastAsia="宋体" w:cs="宋体"/>
          <w:color w:val="auto"/>
          <w:spacing w:val="-2"/>
          <w:sz w:val="21"/>
          <w:szCs w:val="21"/>
        </w:rPr>
        <w:t>；</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8</w:t>
      </w:r>
      <w:r>
        <w:rPr>
          <w:rFonts w:hint="eastAsia" w:ascii="宋体" w:hAnsi="宋体" w:eastAsia="宋体" w:cs="宋体"/>
          <w:color w:val="auto"/>
          <w:sz w:val="21"/>
          <w:szCs w:val="21"/>
        </w:rPr>
        <w:t>）</w:t>
      </w:r>
      <w:r>
        <w:rPr>
          <w:rFonts w:hint="eastAsia" w:ascii="宋体" w:hAnsi="宋体" w:eastAsia="宋体" w:cs="宋体"/>
          <w:snapToGrid w:val="0"/>
          <w:color w:val="auto"/>
          <w:sz w:val="21"/>
          <w:szCs w:val="21"/>
        </w:rPr>
        <w:t>明显不符合招标文件要求的规格型号、质量标准，或者与</w:t>
      </w:r>
      <w:r>
        <w:rPr>
          <w:rFonts w:hint="eastAsia" w:ascii="宋体" w:hAnsi="宋体" w:eastAsia="宋体" w:cs="宋体"/>
          <w:color w:val="auto"/>
          <w:sz w:val="21"/>
          <w:szCs w:val="21"/>
        </w:rPr>
        <w:t>招标文件中标“★”的技术指标、主要功能项目、商务条款要求发生实质性偏离的；</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9</w:t>
      </w:r>
      <w:r>
        <w:rPr>
          <w:rFonts w:hint="eastAsia" w:ascii="宋体" w:hAnsi="宋体" w:eastAsia="宋体" w:cs="宋体"/>
          <w:color w:val="auto"/>
          <w:sz w:val="21"/>
          <w:szCs w:val="21"/>
        </w:rPr>
        <w:t>）</w:t>
      </w:r>
      <w:r>
        <w:rPr>
          <w:rFonts w:hint="eastAsia" w:ascii="宋体" w:hAnsi="宋体" w:eastAsia="宋体"/>
          <w:color w:val="auto"/>
          <w:spacing w:val="-6"/>
          <w:sz w:val="21"/>
          <w:szCs w:val="21"/>
        </w:rPr>
        <w:t>经评委评定，允许偏离的技术、性能指标或者辅助功能项目发生负偏离的项数达</w:t>
      </w:r>
      <w:r>
        <w:rPr>
          <w:rFonts w:ascii="宋体" w:hAnsi="宋体" w:eastAsia="宋体"/>
          <w:color w:val="auto"/>
          <w:spacing w:val="-6"/>
          <w:sz w:val="21"/>
          <w:szCs w:val="21"/>
        </w:rPr>
        <w:t xml:space="preserve"> </w:t>
      </w:r>
      <w:r>
        <w:rPr>
          <w:rFonts w:hint="eastAsia" w:ascii="宋体" w:hAnsi="宋体" w:eastAsia="宋体"/>
          <w:color w:val="auto"/>
          <w:spacing w:val="-6"/>
          <w:sz w:val="21"/>
          <w:szCs w:val="21"/>
          <w:u w:val="single"/>
        </w:rPr>
        <w:t>3</w:t>
      </w:r>
      <w:r>
        <w:rPr>
          <w:rFonts w:hint="eastAsia" w:ascii="宋体" w:hAnsi="宋体" w:eastAsia="宋体"/>
          <w:color w:val="auto"/>
          <w:spacing w:val="-6"/>
          <w:sz w:val="21"/>
          <w:szCs w:val="21"/>
        </w:rPr>
        <w:t>项（含）以上的</w:t>
      </w:r>
      <w:r>
        <w:rPr>
          <w:rFonts w:hint="eastAsia" w:ascii="宋体" w:hAnsi="宋体" w:eastAsia="宋体"/>
          <w:color w:val="auto"/>
          <w:sz w:val="21"/>
          <w:szCs w:val="21"/>
        </w:rPr>
        <w:t>；</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10</w:t>
      </w:r>
      <w:r>
        <w:rPr>
          <w:rFonts w:hint="eastAsia" w:ascii="宋体" w:hAnsi="宋体" w:eastAsia="宋体" w:cs="宋体"/>
          <w:color w:val="auto"/>
          <w:sz w:val="21"/>
          <w:szCs w:val="21"/>
        </w:rPr>
        <w:t>）投标技术方案不明确，存在一个或一个以上备选（替代）投标方案的；</w:t>
      </w:r>
    </w:p>
    <w:p>
      <w:pPr>
        <w:pStyle w:val="20"/>
        <w:snapToGrid w:val="0"/>
        <w:spacing w:line="400" w:lineRule="exact"/>
        <w:ind w:firstLine="413" w:firstLineChars="196"/>
        <w:rPr>
          <w:rFonts w:ascii="宋体" w:hAnsi="宋体" w:eastAsia="宋体" w:cs="宋体"/>
          <w:b/>
          <w:bCs/>
          <w:color w:val="auto"/>
          <w:sz w:val="21"/>
          <w:szCs w:val="21"/>
        </w:rPr>
      </w:pPr>
      <w:r>
        <w:rPr>
          <w:rFonts w:ascii="宋体" w:hAnsi="宋体" w:eastAsia="宋体" w:cs="宋体"/>
          <w:b/>
          <w:bCs/>
          <w:color w:val="auto"/>
          <w:sz w:val="21"/>
          <w:szCs w:val="21"/>
        </w:rPr>
        <w:t>3.</w:t>
      </w:r>
      <w:r>
        <w:rPr>
          <w:rFonts w:hint="eastAsia" w:ascii="宋体" w:hAnsi="宋体" w:eastAsia="宋体" w:cs="宋体"/>
          <w:b/>
          <w:bCs/>
          <w:color w:val="auto"/>
          <w:sz w:val="21"/>
          <w:szCs w:val="21"/>
        </w:rPr>
        <w:t>在报价评审时，如发现下列情形之一的，投标文件将被视为无效：</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t>未按照招标文件的规定提交投标函的；</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）未采用人民币报价或者未按照招标文件标明的币种报价的；</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3</w:t>
      </w:r>
      <w:r>
        <w:rPr>
          <w:rFonts w:hint="eastAsia" w:ascii="宋体" w:hAnsi="宋体" w:eastAsia="宋体" w:cs="宋体"/>
          <w:color w:val="auto"/>
          <w:sz w:val="21"/>
          <w:szCs w:val="21"/>
        </w:rPr>
        <w:t>）报价超出最高限价，或者超出采购预算金额，采购人不能支付的；</w:t>
      </w:r>
    </w:p>
    <w:p>
      <w:pPr>
        <w:pStyle w:val="20"/>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4</w:t>
      </w:r>
      <w:r>
        <w:rPr>
          <w:rFonts w:hint="eastAsia" w:ascii="宋体" w:hAnsi="宋体" w:eastAsia="宋体" w:cs="宋体"/>
          <w:color w:val="auto"/>
          <w:sz w:val="21"/>
          <w:szCs w:val="21"/>
        </w:rPr>
        <w:t>）投标报价不是唯一报价，具有选择性。</w:t>
      </w:r>
    </w:p>
    <w:p>
      <w:pPr>
        <w:spacing w:line="400" w:lineRule="exact"/>
        <w:ind w:firstLine="413" w:firstLineChars="196"/>
        <w:rPr>
          <w:rFonts w:ascii="宋体" w:cs="宋体"/>
          <w:b/>
          <w:color w:val="auto"/>
          <w:sz w:val="24"/>
        </w:rPr>
      </w:pPr>
      <w:r>
        <w:rPr>
          <w:rFonts w:ascii="宋体" w:hAnsi="宋体" w:cs="宋体"/>
          <w:b/>
          <w:color w:val="auto"/>
          <w:szCs w:val="21"/>
        </w:rPr>
        <w:t>4.</w:t>
      </w:r>
      <w:r>
        <w:rPr>
          <w:rFonts w:hint="eastAsia" w:ascii="宋体" w:hAnsi="宋体" w:cs="宋体"/>
          <w:b/>
          <w:bCs/>
          <w:color w:val="auto"/>
          <w:kern w:val="0"/>
          <w:szCs w:val="21"/>
        </w:rPr>
        <w:t>有下列情形之一的视为投标人相互串通投标，投标文件将被视为无效</w:t>
      </w:r>
      <w:r>
        <w:rPr>
          <w:rFonts w:hint="eastAsia" w:ascii="宋体" w:hAnsi="宋体" w:cs="宋体"/>
          <w:b/>
          <w:bCs/>
          <w:color w:val="auto"/>
          <w:szCs w:val="21"/>
        </w:rPr>
        <w:t>：</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）不同投标人的投标文件由同一单位或者个人编制；</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）不同投标人委托同一单位或者个人办理投标事宜；</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3</w:t>
      </w:r>
      <w:r>
        <w:rPr>
          <w:rFonts w:hint="eastAsia" w:ascii="宋体" w:hAnsi="宋体" w:eastAsia="宋体" w:cs="宋体"/>
          <w:color w:val="auto"/>
          <w:sz w:val="21"/>
          <w:szCs w:val="21"/>
        </w:rPr>
        <w:t>）不同的投标人的投标文件载明的项目管理员为同一个人；</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4</w:t>
      </w:r>
      <w:r>
        <w:rPr>
          <w:rFonts w:hint="eastAsia" w:ascii="宋体" w:hAnsi="宋体" w:eastAsia="宋体" w:cs="宋体"/>
          <w:color w:val="auto"/>
          <w:sz w:val="21"/>
          <w:szCs w:val="21"/>
        </w:rPr>
        <w:t>）不同投标人的投标文件异常一致或投标报价呈规律性差异；</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）不同投标人的投标文件相互混装；</w:t>
      </w:r>
    </w:p>
    <w:p>
      <w:pPr>
        <w:spacing w:line="400" w:lineRule="exact"/>
        <w:ind w:firstLine="413" w:firstLineChars="196"/>
        <w:rPr>
          <w:rFonts w:ascii="宋体" w:cs="宋体"/>
          <w:b/>
          <w:bCs/>
          <w:color w:val="auto"/>
          <w:kern w:val="0"/>
          <w:szCs w:val="21"/>
        </w:rPr>
      </w:pPr>
      <w:r>
        <w:rPr>
          <w:rFonts w:ascii="宋体" w:hAnsi="宋体" w:cs="宋体"/>
          <w:b/>
          <w:bCs/>
          <w:color w:val="auto"/>
          <w:kern w:val="0"/>
          <w:szCs w:val="21"/>
        </w:rPr>
        <w:t>5</w:t>
      </w:r>
      <w:r>
        <w:rPr>
          <w:rFonts w:ascii="宋体" w:cs="宋体"/>
          <w:b/>
          <w:color w:val="auto"/>
          <w:szCs w:val="21"/>
        </w:rPr>
        <w:t>.</w:t>
      </w:r>
      <w:r>
        <w:rPr>
          <w:rFonts w:hint="eastAsia" w:ascii="宋体" w:hAnsi="宋体" w:cs="宋体"/>
          <w:b/>
          <w:bCs/>
          <w:color w:val="auto"/>
          <w:kern w:val="0"/>
          <w:szCs w:val="21"/>
        </w:rPr>
        <w:t>关联供应商不得参加同一合同项下政府采购活动，否则投标文件将被视为无效</w:t>
      </w:r>
    </w:p>
    <w:p>
      <w:pPr>
        <w:pStyle w:val="20"/>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单位负责人为同一人或者存在直接控股、管理关系的不同的供应商，不得参加同一合同项下的政府采购活动。</w:t>
      </w:r>
    </w:p>
    <w:p>
      <w:pPr>
        <w:pStyle w:val="20"/>
        <w:numPr>
          <w:ilvl w:val="0"/>
          <w:numId w:val="9"/>
        </w:numPr>
        <w:snapToGrid w:val="0"/>
        <w:spacing w:line="400" w:lineRule="exact"/>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rPr>
        <w:t>被拒绝的投标文件为无效。</w:t>
      </w:r>
    </w:p>
    <w:p>
      <w:pPr>
        <w:pStyle w:val="20"/>
        <w:snapToGrid w:val="0"/>
        <w:spacing w:line="400" w:lineRule="exact"/>
        <w:ind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（八）废标</w:t>
      </w:r>
    </w:p>
    <w:p>
      <w:pPr>
        <w:pStyle w:val="20"/>
        <w:snapToGrid w:val="0"/>
        <w:spacing w:line="400" w:lineRule="exact"/>
        <w:ind w:firstLine="422" w:firstLineChars="200"/>
        <w:rPr>
          <w:rFonts w:ascii="宋体" w:hAnsi="宋体" w:eastAsia="宋体" w:cs="宋体"/>
          <w:b/>
          <w:color w:val="auto"/>
          <w:sz w:val="21"/>
          <w:szCs w:val="21"/>
        </w:rPr>
      </w:pPr>
      <w:r>
        <w:rPr>
          <w:rFonts w:ascii="宋体" w:hAnsi="宋体" w:eastAsia="宋体" w:cs="宋体"/>
          <w:b/>
          <w:color w:val="auto"/>
          <w:sz w:val="21"/>
          <w:szCs w:val="21"/>
        </w:rPr>
        <w:t>1.</w:t>
      </w:r>
      <w:r>
        <w:rPr>
          <w:rFonts w:hint="eastAsia" w:ascii="宋体" w:hAnsi="宋体" w:eastAsia="宋体" w:cs="宋体"/>
          <w:b/>
          <w:color w:val="auto"/>
          <w:sz w:val="21"/>
          <w:szCs w:val="21"/>
        </w:rPr>
        <w:t>招标采购项目出现下列情形之一的，采购代理机构将予废标：</w:t>
      </w:r>
    </w:p>
    <w:p>
      <w:pPr>
        <w:pStyle w:val="20"/>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⑴评标过程中符合专业条件或者对招标文件作实质响应的投标人不足三家的；</w:t>
      </w:r>
    </w:p>
    <w:p>
      <w:pPr>
        <w:pStyle w:val="20"/>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⑵出现影响采购公正的违法、违规行为的；</w:t>
      </w:r>
    </w:p>
    <w:p>
      <w:pPr>
        <w:pStyle w:val="20"/>
        <w:snapToGrid w:val="0"/>
        <w:spacing w:line="400" w:lineRule="exact"/>
        <w:ind w:left="420" w:leftChars="200" w:firstLine="0" w:firstLineChars="0"/>
        <w:rPr>
          <w:rFonts w:ascii="宋体" w:hAnsi="宋体" w:eastAsia="宋体" w:cs="宋体"/>
          <w:bCs/>
          <w:color w:val="auto"/>
          <w:sz w:val="21"/>
          <w:szCs w:val="21"/>
        </w:rPr>
      </w:pPr>
      <w:r>
        <w:rPr>
          <w:rFonts w:hint="eastAsia" w:ascii="宋体" w:hAnsi="宋体" w:eastAsia="宋体" w:cs="宋体"/>
          <w:bCs/>
          <w:color w:val="auto"/>
          <w:sz w:val="21"/>
          <w:szCs w:val="21"/>
        </w:rPr>
        <w:t>⑶投标人的报价均超过了采购预算价的；</w:t>
      </w:r>
    </w:p>
    <w:p>
      <w:pPr>
        <w:pStyle w:val="20"/>
        <w:snapToGrid w:val="0"/>
        <w:spacing w:line="400" w:lineRule="exact"/>
        <w:ind w:left="420" w:leftChars="200" w:firstLine="0" w:firstLineChars="0"/>
        <w:rPr>
          <w:rFonts w:ascii="宋体" w:hAnsi="宋体" w:eastAsia="宋体" w:cs="宋体"/>
          <w:bCs/>
          <w:color w:val="auto"/>
          <w:sz w:val="21"/>
          <w:szCs w:val="21"/>
        </w:rPr>
      </w:pPr>
      <w:r>
        <w:rPr>
          <w:rFonts w:hint="eastAsia" w:ascii="宋体" w:hAnsi="宋体" w:eastAsia="宋体" w:cs="宋体"/>
          <w:bCs/>
          <w:color w:val="auto"/>
          <w:sz w:val="21"/>
          <w:szCs w:val="21"/>
        </w:rPr>
        <w:t>⑷因重大变故，采购任务取消的。</w:t>
      </w:r>
    </w:p>
    <w:p>
      <w:pPr>
        <w:pStyle w:val="20"/>
        <w:snapToGrid w:val="0"/>
        <w:spacing w:line="400" w:lineRule="exact"/>
        <w:ind w:firstLine="417" w:firstLineChars="198"/>
        <w:rPr>
          <w:rFonts w:ascii="宋体" w:hAnsi="宋体" w:eastAsia="宋体" w:cs="宋体"/>
          <w:b/>
          <w:color w:val="auto"/>
          <w:sz w:val="21"/>
          <w:szCs w:val="21"/>
        </w:rPr>
      </w:pPr>
      <w:r>
        <w:rPr>
          <w:rFonts w:ascii="宋体" w:hAnsi="宋体" w:eastAsia="宋体" w:cs="宋体"/>
          <w:b/>
          <w:color w:val="auto"/>
          <w:sz w:val="21"/>
          <w:szCs w:val="21"/>
        </w:rPr>
        <w:t>2.</w:t>
      </w:r>
      <w:r>
        <w:rPr>
          <w:rFonts w:hint="eastAsia" w:ascii="宋体" w:hAnsi="宋体" w:eastAsia="宋体" w:cs="宋体"/>
          <w:b/>
          <w:color w:val="auto"/>
          <w:sz w:val="21"/>
          <w:szCs w:val="21"/>
        </w:rPr>
        <w:t>废标后，采购代理机构将把废标理由通知所有投标人。</w:t>
      </w:r>
    </w:p>
    <w:p>
      <w:pPr>
        <w:pStyle w:val="20"/>
        <w:snapToGrid w:val="0"/>
        <w:spacing w:line="400" w:lineRule="exact"/>
        <w:ind w:firstLine="0" w:firstLineChars="0"/>
        <w:rPr>
          <w:rFonts w:ascii="宋体" w:hAnsi="宋体" w:eastAsia="宋体" w:cs="宋体"/>
          <w:b/>
          <w:color w:val="auto"/>
          <w:sz w:val="21"/>
          <w:szCs w:val="21"/>
        </w:rPr>
      </w:pPr>
    </w:p>
    <w:p>
      <w:pPr>
        <w:pStyle w:val="20"/>
        <w:snapToGrid w:val="0"/>
        <w:spacing w:line="400" w:lineRule="exact"/>
        <w:ind w:firstLine="0" w:firstLineChars="0"/>
        <w:outlineLvl w:val="1"/>
        <w:rPr>
          <w:rFonts w:ascii="宋体" w:hAnsi="宋体" w:eastAsia="宋体" w:cs="宋体"/>
          <w:b/>
          <w:snapToGrid w:val="0"/>
          <w:color w:val="auto"/>
          <w:sz w:val="21"/>
          <w:szCs w:val="21"/>
        </w:rPr>
      </w:pPr>
      <w:bookmarkStart w:id="447" w:name="_Toc254970544"/>
      <w:bookmarkStart w:id="448" w:name="_Toc293863320"/>
      <w:bookmarkStart w:id="449" w:name="_Toc308018677"/>
      <w:bookmarkStart w:id="450" w:name="_Toc24015"/>
      <w:bookmarkStart w:id="451" w:name="_Toc293863053"/>
      <w:bookmarkStart w:id="452" w:name="_Toc482865152"/>
      <w:bookmarkStart w:id="453" w:name="_Toc483327811"/>
      <w:bookmarkStart w:id="454" w:name="_Toc482865322"/>
      <w:bookmarkStart w:id="455" w:name="_Toc445223680"/>
      <w:bookmarkStart w:id="456" w:name="_Toc482864551"/>
      <w:bookmarkStart w:id="457" w:name="_Toc400465713"/>
      <w:bookmarkStart w:id="458" w:name="_Toc254970685"/>
      <w:bookmarkStart w:id="459" w:name="_Toc448421142"/>
      <w:r>
        <w:rPr>
          <w:rFonts w:hint="eastAsia" w:ascii="宋体" w:hAnsi="宋体" w:eastAsia="宋体" w:cs="宋体"/>
          <w:b/>
          <w:color w:val="auto"/>
          <w:sz w:val="21"/>
          <w:szCs w:val="21"/>
        </w:rPr>
        <w:t>四、开标</w:t>
      </w:r>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23"/>
        <w:snapToGrid w:val="0"/>
        <w:spacing w:line="400" w:lineRule="exact"/>
        <w:ind w:firstLine="413" w:firstLineChars="196"/>
        <w:rPr>
          <w:rFonts w:hAnsi="宋体" w:cs="宋体"/>
          <w:b/>
          <w:color w:val="auto"/>
          <w:sz w:val="21"/>
        </w:rPr>
      </w:pPr>
      <w:r>
        <w:rPr>
          <w:rFonts w:hint="eastAsia" w:hAnsi="宋体" w:cs="宋体"/>
          <w:b/>
          <w:color w:val="auto"/>
          <w:sz w:val="21"/>
        </w:rPr>
        <w:t>（一）开标准备</w:t>
      </w:r>
    </w:p>
    <w:p>
      <w:pPr>
        <w:pStyle w:val="23"/>
        <w:snapToGrid w:val="0"/>
        <w:spacing w:line="400" w:lineRule="exact"/>
        <w:ind w:firstLine="420" w:firstLineChars="200"/>
        <w:rPr>
          <w:rFonts w:hAnsi="宋体" w:cs="宋体"/>
          <w:bCs/>
          <w:color w:val="auto"/>
          <w:sz w:val="21"/>
        </w:rPr>
      </w:pPr>
      <w:r>
        <w:rPr>
          <w:rFonts w:hint="eastAsia" w:hAnsi="宋体" w:cs="宋体"/>
          <w:bCs/>
          <w:color w:val="auto"/>
          <w:sz w:val="21"/>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23"/>
        <w:snapToGrid w:val="0"/>
        <w:spacing w:line="400" w:lineRule="exact"/>
        <w:ind w:firstLine="211" w:firstLineChars="100"/>
        <w:rPr>
          <w:rFonts w:hAnsi="宋体" w:cs="宋体"/>
          <w:b/>
          <w:color w:val="auto"/>
          <w:sz w:val="21"/>
        </w:rPr>
      </w:pPr>
      <w:r>
        <w:rPr>
          <w:rFonts w:hint="eastAsia" w:hAnsi="宋体" w:cs="宋体"/>
          <w:b/>
          <w:color w:val="auto"/>
          <w:sz w:val="21"/>
        </w:rPr>
        <w:t>（二）开标程序</w:t>
      </w:r>
    </w:p>
    <w:p>
      <w:pPr>
        <w:pStyle w:val="23"/>
        <w:snapToGrid w:val="0"/>
        <w:spacing w:line="400" w:lineRule="exact"/>
        <w:ind w:firstLine="420" w:firstLineChars="200"/>
        <w:outlineLvl w:val="1"/>
        <w:rPr>
          <w:rFonts w:hAnsi="宋体" w:cs="宋体"/>
          <w:bCs/>
          <w:color w:val="auto"/>
          <w:sz w:val="21"/>
        </w:rPr>
      </w:pPr>
      <w:bookmarkStart w:id="460" w:name="_Toc293863054"/>
      <w:bookmarkStart w:id="461" w:name="_Toc445223681"/>
      <w:bookmarkStart w:id="462" w:name="_Toc254970686"/>
      <w:bookmarkStart w:id="463" w:name="_Toc400465714"/>
      <w:bookmarkStart w:id="464" w:name="_Toc483327812"/>
      <w:bookmarkStart w:id="465" w:name="_Toc254970545"/>
      <w:bookmarkStart w:id="466" w:name="_Toc14966"/>
      <w:bookmarkStart w:id="467" w:name="_Toc482865323"/>
      <w:bookmarkStart w:id="468" w:name="_Toc448421143"/>
      <w:bookmarkStart w:id="469" w:name="_Toc293863321"/>
      <w:bookmarkStart w:id="470" w:name="_Toc482865153"/>
      <w:bookmarkStart w:id="471" w:name="_Toc482864552"/>
      <w:bookmarkStart w:id="472" w:name="_Toc308018678"/>
      <w:r>
        <w:rPr>
          <w:rFonts w:hint="eastAsia" w:hAnsi="宋体" w:cs="宋体"/>
          <w:bCs/>
          <w:color w:val="auto"/>
          <w:sz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pPr>
        <w:pStyle w:val="23"/>
        <w:snapToGrid w:val="0"/>
        <w:spacing w:line="400" w:lineRule="exact"/>
        <w:ind w:firstLine="420" w:firstLineChars="200"/>
        <w:outlineLvl w:val="1"/>
        <w:rPr>
          <w:rFonts w:hAnsi="宋体" w:cs="宋体"/>
          <w:bCs/>
          <w:color w:val="auto"/>
          <w:sz w:val="21"/>
        </w:rPr>
      </w:pPr>
      <w:r>
        <w:rPr>
          <w:rFonts w:hint="eastAsia" w:hAnsi="宋体" w:cs="宋体"/>
          <w:bCs/>
          <w:color w:val="auto"/>
          <w:sz w:val="21"/>
        </w:rPr>
        <w:t>2.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23"/>
        <w:snapToGrid w:val="0"/>
        <w:spacing w:line="400" w:lineRule="exact"/>
        <w:ind w:firstLine="420" w:firstLineChars="200"/>
        <w:outlineLvl w:val="1"/>
        <w:rPr>
          <w:rFonts w:hAnsi="宋体" w:cs="宋体"/>
          <w:bCs/>
          <w:color w:val="auto"/>
          <w:sz w:val="21"/>
        </w:rPr>
      </w:pPr>
      <w:r>
        <w:rPr>
          <w:rFonts w:hint="eastAsia" w:hAnsi="宋体" w:cs="宋体"/>
          <w:bCs/>
          <w:color w:val="auto"/>
          <w:sz w:val="21"/>
        </w:rPr>
        <w:t>3.开标会议结束。</w:t>
      </w:r>
    </w:p>
    <w:p>
      <w:pPr>
        <w:pStyle w:val="23"/>
        <w:snapToGrid w:val="0"/>
        <w:spacing w:line="400" w:lineRule="exact"/>
        <w:outlineLvl w:val="1"/>
        <w:rPr>
          <w:rFonts w:hAnsi="宋体" w:cs="宋体"/>
          <w:b/>
          <w:color w:val="auto"/>
          <w:sz w:val="21"/>
        </w:rPr>
      </w:pPr>
      <w:r>
        <w:rPr>
          <w:rFonts w:hint="eastAsia" w:hAnsi="宋体" w:cs="宋体"/>
          <w:b/>
          <w:color w:val="auto"/>
          <w:sz w:val="21"/>
        </w:rPr>
        <w:t>五、评标</w:t>
      </w:r>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（一）组建评标委员会</w:t>
      </w:r>
    </w:p>
    <w:p>
      <w:pPr>
        <w:pStyle w:val="23"/>
        <w:snapToGrid w:val="0"/>
        <w:spacing w:line="400" w:lineRule="exact"/>
        <w:ind w:firstLine="489" w:firstLineChars="233"/>
        <w:rPr>
          <w:rFonts w:hAnsi="宋体" w:cs="宋体"/>
          <w:color w:val="auto"/>
          <w:sz w:val="21"/>
        </w:rPr>
      </w:pPr>
      <w:r>
        <w:rPr>
          <w:rFonts w:hint="eastAsia" w:hAnsi="宋体" w:cs="宋体"/>
          <w:color w:val="auto"/>
          <w:sz w:val="21"/>
        </w:rPr>
        <w:t>本项目评标委员会的组成详见投标人须知前附表第</w:t>
      </w:r>
      <w:r>
        <w:rPr>
          <w:rFonts w:hAnsi="宋体" w:cs="宋体"/>
          <w:color w:val="auto"/>
          <w:sz w:val="21"/>
        </w:rPr>
        <w:t>10</w:t>
      </w:r>
      <w:r>
        <w:rPr>
          <w:rFonts w:hint="eastAsia" w:hAnsi="宋体" w:cs="宋体"/>
          <w:color w:val="auto"/>
          <w:sz w:val="21"/>
        </w:rPr>
        <w:t>条。</w:t>
      </w:r>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（二）评标的方式</w:t>
      </w:r>
    </w:p>
    <w:p>
      <w:pPr>
        <w:pStyle w:val="23"/>
        <w:snapToGrid w:val="0"/>
        <w:spacing w:line="400" w:lineRule="exact"/>
        <w:ind w:left="689" w:leftChars="228" w:hanging="210" w:hangingChars="100"/>
        <w:rPr>
          <w:rFonts w:hAnsi="宋体" w:cs="宋体"/>
          <w:color w:val="auto"/>
          <w:sz w:val="21"/>
        </w:rPr>
      </w:pPr>
      <w:r>
        <w:rPr>
          <w:rFonts w:hint="eastAsia" w:hAnsi="宋体" w:cs="宋体"/>
          <w:color w:val="auto"/>
          <w:sz w:val="21"/>
        </w:rPr>
        <w:t>本项目采用不公开方式评标，评标的依据为招标文件和投标文件。</w:t>
      </w:r>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（三）</w:t>
      </w:r>
      <w:r>
        <w:rPr>
          <w:rFonts w:hint="eastAsia" w:hAnsi="宋体" w:cs="宋体"/>
          <w:b/>
          <w:bCs/>
          <w:color w:val="auto"/>
          <w:sz w:val="21"/>
        </w:rPr>
        <w:t>评标程序</w:t>
      </w:r>
    </w:p>
    <w:p>
      <w:pPr>
        <w:snapToGrid w:val="0"/>
        <w:spacing w:line="400" w:lineRule="exact"/>
        <w:ind w:firstLine="413" w:firstLineChars="196"/>
        <w:rPr>
          <w:rFonts w:ascii="宋体" w:cs="宋体"/>
          <w:b/>
          <w:bCs/>
          <w:color w:val="auto"/>
          <w:szCs w:val="21"/>
        </w:rPr>
      </w:pPr>
      <w:r>
        <w:rPr>
          <w:rFonts w:ascii="宋体" w:hAnsi="宋体" w:cs="宋体"/>
          <w:b/>
          <w:bCs/>
          <w:color w:val="auto"/>
          <w:szCs w:val="21"/>
        </w:rPr>
        <w:t xml:space="preserve">1. </w:t>
      </w:r>
      <w:r>
        <w:rPr>
          <w:rFonts w:hint="eastAsia" w:ascii="宋体" w:hAnsi="宋体" w:cs="宋体"/>
          <w:b/>
          <w:bCs/>
          <w:color w:val="auto"/>
          <w:szCs w:val="21"/>
        </w:rPr>
        <w:t>资格审查</w:t>
      </w:r>
    </w:p>
    <w:p>
      <w:pPr>
        <w:snapToGrid w:val="0"/>
        <w:spacing w:line="400" w:lineRule="exact"/>
        <w:ind w:right="-336" w:rightChars="-160" w:firstLine="420" w:firstLineChars="200"/>
        <w:rPr>
          <w:rFonts w:ascii="宋体" w:cs="宋体"/>
          <w:b/>
          <w:color w:val="auto"/>
          <w:spacing w:val="-2"/>
          <w:szCs w:val="21"/>
        </w:rPr>
      </w:pPr>
      <w:r>
        <w:rPr>
          <w:rFonts w:hint="eastAsia" w:ascii="宋体" w:hAnsi="宋体" w:cs="宋体"/>
          <w:color w:val="auto"/>
          <w:szCs w:val="21"/>
        </w:rPr>
        <w:t>采购人或采购代理机构依法对投标人的资格进行审查</w:t>
      </w:r>
      <w:r>
        <w:rPr>
          <w:rFonts w:hint="eastAsia" w:ascii="宋体" w:hAnsi="宋体" w:cs="宋体"/>
          <w:color w:val="auto"/>
          <w:spacing w:val="-2"/>
          <w:szCs w:val="21"/>
        </w:rPr>
        <w:t>。</w:t>
      </w:r>
    </w:p>
    <w:p>
      <w:pPr>
        <w:snapToGrid w:val="0"/>
        <w:spacing w:line="400" w:lineRule="exact"/>
        <w:ind w:firstLine="413" w:firstLineChars="196"/>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实质审查与比较</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1</w:t>
      </w:r>
      <w:r>
        <w:rPr>
          <w:rFonts w:hint="eastAsia" w:hAnsi="宋体" w:cs="宋体"/>
          <w:color w:val="auto"/>
          <w:sz w:val="21"/>
        </w:rPr>
        <w:t>）评标委员会应当对符合资格要求的投标人的投标文件进行商务和技术审查，以确定其是否满足招标文件的实质性要求。</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2</w:t>
      </w:r>
      <w:r>
        <w:rPr>
          <w:rFonts w:hint="eastAsia" w:hAnsi="宋体" w:cs="宋体"/>
          <w:color w:val="auto"/>
          <w:sz w:val="21"/>
        </w:rPr>
        <w:t>）评标委员会应当按照招标文件第四章规定的评标原则和评标标准，对商务和技术审查合格的投标文件进行评审，综合比较与评价。</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3</w:t>
      </w:r>
      <w:r>
        <w:rPr>
          <w:rFonts w:hint="eastAsia" w:hAnsi="宋体" w:cs="宋体"/>
          <w:color w:val="auto"/>
          <w:sz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投标人代表未到场或者拒绝澄清或者澄清的内容改变了投标文件的实质性内容的，评标委员会有权视该投标文件为无效。</w:t>
      </w:r>
    </w:p>
    <w:p>
      <w:pPr>
        <w:pStyle w:val="23"/>
        <w:tabs>
          <w:tab w:val="left" w:pos="420"/>
        </w:tabs>
        <w:snapToGrid w:val="0"/>
        <w:spacing w:line="400" w:lineRule="exact"/>
        <w:ind w:firstLine="420" w:firstLineChars="200"/>
        <w:rPr>
          <w:rFonts w:hAnsi="宋体" w:cs="宋体"/>
          <w:color w:val="auto"/>
        </w:rPr>
      </w:pPr>
      <w:r>
        <w:rPr>
          <w:rFonts w:hint="eastAsia" w:hAnsi="宋体" w:cs="宋体"/>
          <w:color w:val="auto"/>
          <w:sz w:val="21"/>
        </w:rPr>
        <w:t>（</w:t>
      </w:r>
      <w:r>
        <w:rPr>
          <w:rFonts w:hAnsi="宋体" w:cs="宋体"/>
          <w:color w:val="auto"/>
          <w:sz w:val="21"/>
        </w:rPr>
        <w:t>4</w:t>
      </w:r>
      <w:r>
        <w:rPr>
          <w:rFonts w:hint="eastAsia" w:hAnsi="宋体" w:cs="宋体"/>
          <w:color w:val="auto"/>
          <w:sz w:val="21"/>
        </w:rPr>
        <w:t>）评标委员会完成评标后，评委对各部分得分汇总，计算出本项目进入详评的所有投标人的最终得分。评标委员会按中标候选人</w:t>
      </w:r>
      <w:r>
        <w:rPr>
          <w:rFonts w:hint="eastAsia" w:hAnsi="宋体" w:cs="宋体"/>
          <w:bCs/>
          <w:color w:val="auto"/>
          <w:sz w:val="21"/>
        </w:rPr>
        <w:t>推荐原则</w:t>
      </w:r>
      <w:r>
        <w:rPr>
          <w:rFonts w:hint="eastAsia" w:hAnsi="宋体" w:cs="宋体"/>
          <w:color w:val="auto"/>
          <w:sz w:val="21"/>
        </w:rPr>
        <w:t>推荐中标候选人同时起草评标报告。</w:t>
      </w:r>
    </w:p>
    <w:p>
      <w:pPr>
        <w:snapToGrid w:val="0"/>
        <w:spacing w:line="400" w:lineRule="exact"/>
        <w:ind w:firstLine="422" w:firstLineChars="200"/>
        <w:rPr>
          <w:rFonts w:ascii="宋体" w:cs="宋体"/>
          <w:b/>
          <w:color w:val="auto"/>
          <w:szCs w:val="21"/>
        </w:rPr>
      </w:pPr>
      <w:r>
        <w:rPr>
          <w:rFonts w:hint="eastAsia" w:ascii="宋体" w:hAnsi="宋体" w:cs="宋体"/>
          <w:b/>
          <w:bCs/>
          <w:color w:val="auto"/>
          <w:szCs w:val="21"/>
        </w:rPr>
        <w:t>（四）</w:t>
      </w:r>
      <w:r>
        <w:rPr>
          <w:rFonts w:hint="eastAsia" w:ascii="宋体" w:hAnsi="宋体" w:cs="宋体"/>
          <w:b/>
          <w:color w:val="auto"/>
          <w:szCs w:val="21"/>
        </w:rPr>
        <w:t>澄清问题的形式</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23"/>
        <w:snapToGrid w:val="0"/>
        <w:spacing w:line="400" w:lineRule="exact"/>
        <w:ind w:left="690" w:leftChars="228" w:hanging="211" w:hangingChars="100"/>
        <w:rPr>
          <w:rFonts w:hAnsi="宋体" w:cs="宋体"/>
          <w:b/>
          <w:color w:val="auto"/>
          <w:sz w:val="21"/>
        </w:rPr>
      </w:pPr>
      <w:r>
        <w:rPr>
          <w:rFonts w:hint="eastAsia" w:hAnsi="宋体" w:cs="宋体"/>
          <w:b/>
          <w:bCs/>
          <w:color w:val="auto"/>
          <w:sz w:val="21"/>
        </w:rPr>
        <w:t>（五）</w:t>
      </w:r>
      <w:r>
        <w:rPr>
          <w:rFonts w:hint="eastAsia" w:hAnsi="宋体" w:cs="宋体"/>
          <w:b/>
          <w:color w:val="auto"/>
          <w:sz w:val="21"/>
        </w:rPr>
        <w:t>错误修正</w:t>
      </w:r>
    </w:p>
    <w:p>
      <w:pPr>
        <w:pStyle w:val="23"/>
        <w:snapToGrid w:val="0"/>
        <w:spacing w:line="400" w:lineRule="exact"/>
        <w:ind w:left="689" w:leftChars="228" w:hanging="210" w:hangingChars="100"/>
        <w:rPr>
          <w:rFonts w:hAnsi="宋体" w:cs="宋体"/>
          <w:color w:val="auto"/>
          <w:sz w:val="21"/>
        </w:rPr>
      </w:pPr>
      <w:r>
        <w:rPr>
          <w:rFonts w:hint="eastAsia" w:hAnsi="宋体" w:cs="宋体"/>
          <w:color w:val="auto"/>
          <w:sz w:val="21"/>
        </w:rPr>
        <w:t>投标文件如果出现计算或表达上的错误，修正错误的原则如下：</w:t>
      </w:r>
    </w:p>
    <w:p>
      <w:pPr>
        <w:pStyle w:val="23"/>
        <w:numPr>
          <w:ilvl w:val="0"/>
          <w:numId w:val="10"/>
        </w:numPr>
        <w:snapToGrid w:val="0"/>
        <w:spacing w:line="400" w:lineRule="exact"/>
        <w:ind w:left="689" w:leftChars="228" w:hanging="210" w:hangingChars="100"/>
        <w:rPr>
          <w:rFonts w:hAnsi="宋体" w:cs="宋体"/>
          <w:color w:val="auto"/>
          <w:sz w:val="21"/>
        </w:rPr>
      </w:pPr>
      <w:r>
        <w:rPr>
          <w:rFonts w:hint="eastAsia" w:hAnsi="宋体" w:cs="宋体"/>
          <w:color w:val="auto"/>
          <w:kern w:val="2"/>
          <w:sz w:val="21"/>
        </w:rPr>
        <w:t>投标文件中开标一览表（报价表）内容与投标文件中相应内容不一致的，以开标一览表（报价表）为准；</w:t>
      </w:r>
    </w:p>
    <w:p>
      <w:pPr>
        <w:pStyle w:val="23"/>
        <w:numPr>
          <w:ilvl w:val="0"/>
          <w:numId w:val="10"/>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大写金额和小写金额不一致的，以大写金额为准；</w:t>
      </w:r>
    </w:p>
    <w:p>
      <w:pPr>
        <w:pStyle w:val="23"/>
        <w:numPr>
          <w:ilvl w:val="0"/>
          <w:numId w:val="10"/>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单价金额小数点或者百分比有明显错位的，以开标一览表的总价为准，并修改单价；</w:t>
      </w:r>
    </w:p>
    <w:p>
      <w:pPr>
        <w:pStyle w:val="23"/>
        <w:numPr>
          <w:ilvl w:val="0"/>
          <w:numId w:val="10"/>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总价金额与按单价汇总金额不一致的，以单价金额计算结果为准；</w:t>
      </w:r>
    </w:p>
    <w:p>
      <w:pPr>
        <w:pStyle w:val="23"/>
        <w:snapToGrid w:val="0"/>
        <w:spacing w:line="400" w:lineRule="exact"/>
        <w:ind w:left="269" w:leftChars="128" w:firstLine="210" w:firstLineChars="100"/>
        <w:rPr>
          <w:rFonts w:hAnsi="宋体" w:cs="宋体"/>
          <w:color w:val="auto"/>
          <w:sz w:val="21"/>
        </w:rPr>
      </w:pPr>
      <w:r>
        <w:rPr>
          <w:rFonts w:hAnsi="宋体" w:cs="宋体"/>
          <w:color w:val="auto"/>
          <w:sz w:val="21"/>
        </w:rPr>
        <w:t xml:space="preserve">5. </w:t>
      </w:r>
      <w:r>
        <w:rPr>
          <w:rFonts w:hint="eastAsia" w:hAnsi="宋体" w:cs="宋体"/>
          <w:color w:val="auto"/>
          <w:sz w:val="21"/>
        </w:rPr>
        <w:t>对不同文字文本投标文件的解释发生异议的，以中文文本为准。</w:t>
      </w:r>
    </w:p>
    <w:p>
      <w:pPr>
        <w:pStyle w:val="23"/>
        <w:snapToGrid w:val="0"/>
        <w:spacing w:line="400" w:lineRule="exact"/>
        <w:ind w:firstLine="420" w:firstLineChars="200"/>
        <w:rPr>
          <w:rFonts w:hAnsi="宋体" w:cs="宋体"/>
          <w:color w:val="auto"/>
          <w:sz w:val="21"/>
        </w:rPr>
      </w:pPr>
      <w:r>
        <w:rPr>
          <w:rFonts w:hint="eastAsia" w:hAnsi="宋体" w:cs="宋体"/>
          <w:color w:val="auto"/>
          <w:kern w:val="2"/>
          <w:sz w:val="21"/>
        </w:rPr>
        <w:t>同时出现两种以上不一致的，按照前款规定的顺序修正。修正后的报价经投标人确认后产生约束力，投标人不确认的，其投标无效。</w:t>
      </w:r>
    </w:p>
    <w:p>
      <w:pPr>
        <w:pStyle w:val="23"/>
        <w:snapToGrid w:val="0"/>
        <w:spacing w:line="400" w:lineRule="exact"/>
        <w:ind w:firstLine="413" w:firstLineChars="196"/>
        <w:rPr>
          <w:rFonts w:hAnsi="宋体" w:cs="宋体"/>
          <w:b/>
          <w:color w:val="auto"/>
          <w:sz w:val="21"/>
        </w:rPr>
      </w:pPr>
      <w:r>
        <w:rPr>
          <w:rFonts w:hint="eastAsia" w:hAnsi="宋体" w:cs="宋体"/>
          <w:b/>
          <w:color w:val="auto"/>
          <w:sz w:val="21"/>
        </w:rPr>
        <w:t>（六）评标过程的监控</w:t>
      </w:r>
    </w:p>
    <w:p>
      <w:pPr>
        <w:pStyle w:val="23"/>
        <w:snapToGrid w:val="0"/>
        <w:spacing w:line="400" w:lineRule="exact"/>
        <w:ind w:firstLine="420" w:firstLineChars="200"/>
        <w:rPr>
          <w:rFonts w:hAnsi="宋体" w:cs="宋体"/>
          <w:color w:val="auto"/>
          <w:sz w:val="21"/>
        </w:rPr>
      </w:pPr>
      <w:r>
        <w:rPr>
          <w:rFonts w:hint="eastAsia" w:hAnsi="宋体" w:cs="宋体"/>
          <w:color w:val="auto"/>
          <w:sz w:val="21"/>
        </w:rPr>
        <w:t>本项目评标过程实行全程录音、录像监控，投标人在评标过程中所进行的试图影响评标结果的不公正活动，可能导致其投标被拒绝。</w:t>
      </w:r>
    </w:p>
    <w:p>
      <w:pPr>
        <w:pStyle w:val="23"/>
        <w:snapToGrid w:val="0"/>
        <w:spacing w:line="400" w:lineRule="exact"/>
        <w:outlineLvl w:val="1"/>
        <w:rPr>
          <w:rFonts w:hAnsi="宋体" w:cs="宋体"/>
          <w:b/>
          <w:color w:val="auto"/>
          <w:sz w:val="21"/>
        </w:rPr>
      </w:pPr>
      <w:bookmarkStart w:id="473" w:name="_Toc254970546"/>
      <w:bookmarkStart w:id="474" w:name="_Toc254970687"/>
      <w:bookmarkStart w:id="475" w:name="_Toc308018679"/>
      <w:bookmarkStart w:id="476" w:name="_Toc445223682"/>
      <w:bookmarkStart w:id="477" w:name="_Toc482865154"/>
      <w:bookmarkStart w:id="478" w:name="_Toc483327813"/>
      <w:bookmarkStart w:id="479" w:name="_Toc293863322"/>
      <w:bookmarkStart w:id="480" w:name="_Toc293863055"/>
      <w:bookmarkStart w:id="481" w:name="_Toc400465715"/>
      <w:bookmarkStart w:id="482" w:name="_Toc9622"/>
      <w:bookmarkStart w:id="483" w:name="_Toc482864553"/>
      <w:bookmarkStart w:id="484" w:name="_Toc448421144"/>
      <w:bookmarkStart w:id="485" w:name="_Toc482865324"/>
      <w:r>
        <w:rPr>
          <w:rFonts w:hint="eastAsia" w:hAnsi="宋体" w:cs="宋体"/>
          <w:b/>
          <w:color w:val="auto"/>
          <w:sz w:val="21"/>
        </w:rPr>
        <w:t>六、</w:t>
      </w:r>
      <w:bookmarkEnd w:id="473"/>
      <w:bookmarkEnd w:id="474"/>
      <w:r>
        <w:rPr>
          <w:rFonts w:hint="eastAsia" w:hAnsi="宋体" w:cs="宋体"/>
          <w:b/>
          <w:color w:val="auto"/>
          <w:sz w:val="21"/>
        </w:rPr>
        <w:t>评标结果</w:t>
      </w:r>
      <w:bookmarkEnd w:id="475"/>
      <w:bookmarkEnd w:id="476"/>
      <w:bookmarkEnd w:id="477"/>
      <w:bookmarkEnd w:id="478"/>
      <w:bookmarkEnd w:id="479"/>
      <w:bookmarkEnd w:id="480"/>
      <w:bookmarkEnd w:id="481"/>
      <w:bookmarkEnd w:id="482"/>
      <w:bookmarkEnd w:id="483"/>
      <w:bookmarkEnd w:id="484"/>
      <w:bookmarkEnd w:id="485"/>
    </w:p>
    <w:p>
      <w:pPr>
        <w:pStyle w:val="23"/>
        <w:snapToGrid w:val="0"/>
        <w:spacing w:line="400" w:lineRule="exact"/>
        <w:ind w:firstLine="411" w:firstLineChars="196"/>
        <w:rPr>
          <w:rFonts w:hAnsi="宋体" w:cs="宋体"/>
          <w:b/>
          <w:bCs/>
          <w:color w:val="auto"/>
          <w:sz w:val="21"/>
        </w:rPr>
      </w:pPr>
      <w:r>
        <w:rPr>
          <w:rFonts w:hint="eastAsia" w:hAnsi="宋体" w:cs="宋体"/>
          <w:bCs/>
          <w:color w:val="auto"/>
          <w:sz w:val="21"/>
        </w:rPr>
        <w:t>（一）</w:t>
      </w:r>
      <w:r>
        <w:rPr>
          <w:rFonts w:hint="eastAsia" w:hAnsi="宋体" w:cs="宋体"/>
          <w:color w:val="auto"/>
          <w:sz w:val="21"/>
        </w:rPr>
        <w:t>采购代理机构在评标结束后</w:t>
      </w:r>
      <w:r>
        <w:rPr>
          <w:rFonts w:hAnsi="宋体" w:cs="宋体"/>
          <w:color w:val="auto"/>
          <w:sz w:val="21"/>
        </w:rPr>
        <w:t>2</w:t>
      </w:r>
      <w:r>
        <w:rPr>
          <w:rFonts w:hint="eastAsia" w:hAnsi="宋体" w:cs="宋体"/>
          <w:color w:val="auto"/>
          <w:sz w:val="21"/>
        </w:rPr>
        <w:t>个工作日内将评标报告送采购人，采购人在收到评标报告之日起</w:t>
      </w:r>
      <w:r>
        <w:rPr>
          <w:rFonts w:hAnsi="宋体" w:cs="宋体"/>
          <w:color w:val="auto"/>
          <w:sz w:val="21"/>
        </w:rPr>
        <w:t>5</w:t>
      </w:r>
      <w:r>
        <w:rPr>
          <w:rFonts w:hint="eastAsia" w:hAnsi="宋体" w:cs="宋体"/>
          <w:color w:val="auto"/>
          <w:sz w:val="21"/>
        </w:rPr>
        <w:t>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（二）中标人确定之日起</w:t>
      </w:r>
      <w:r>
        <w:rPr>
          <w:rFonts w:ascii="宋体" w:hAnsi="宋体" w:cs="宋体"/>
          <w:color w:val="auto"/>
          <w:szCs w:val="21"/>
        </w:rPr>
        <w:t>2</w:t>
      </w:r>
      <w:r>
        <w:rPr>
          <w:rFonts w:hint="eastAsia" w:ascii="宋体" w:hAnsi="宋体" w:cs="宋体"/>
          <w:color w:val="auto"/>
          <w:szCs w:val="21"/>
        </w:rPr>
        <w:t>个工作日内，采购代理机构在本项目招标公告媒体公告</w:t>
      </w:r>
      <w:r>
        <w:rPr>
          <w:rFonts w:hint="eastAsia" w:ascii="宋体" w:hAnsi="宋体"/>
          <w:color w:val="auto"/>
        </w:rPr>
        <w:t>中标结果，招标文件随中标结果同时公告</w:t>
      </w:r>
      <w:r>
        <w:rPr>
          <w:rFonts w:hint="eastAsia" w:ascii="宋体" w:hAnsi="宋体" w:cs="宋体"/>
          <w:color w:val="auto"/>
          <w:szCs w:val="21"/>
        </w:rPr>
        <w:t>。</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（三）在中标通知书发出前，采购人或采购代理机构应当对中标人信用进行查询，如中标人</w:t>
      </w:r>
      <w:r>
        <w:rPr>
          <w:rFonts w:hint="eastAsia" w:ascii="宋体" w:hAnsi="宋体" w:cs="宋体"/>
          <w:color w:val="auto"/>
        </w:rPr>
        <w:t>被列入失信被执行人、重大税收违法案件当事人名单、政府采购严重违法失信行为记录名单，则将被取消中标资格。</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（四）</w:t>
      </w:r>
      <w:r>
        <w:rPr>
          <w:rFonts w:hint="eastAsia" w:ascii="宋体" w:hAnsi="宋体"/>
          <w:color w:val="auto"/>
        </w:rPr>
        <w:t>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（五）投标人认为中标结果使自己的权益受到损害的，应当在中标结果公告期限</w:t>
      </w:r>
      <w:r>
        <w:rPr>
          <w:rFonts w:hint="eastAsia" w:ascii="宋体" w:hAnsi="宋体" w:cs="宋体"/>
          <w:bCs/>
          <w:color w:val="auto"/>
        </w:rPr>
        <w:t>（中标结果公告期限为</w:t>
      </w:r>
      <w:r>
        <w:rPr>
          <w:rFonts w:ascii="宋体" w:hAnsi="宋体" w:cs="宋体"/>
          <w:bCs/>
          <w:color w:val="auto"/>
        </w:rPr>
        <w:t>1</w:t>
      </w:r>
      <w:r>
        <w:rPr>
          <w:rFonts w:hint="eastAsia" w:ascii="宋体" w:hAnsi="宋体" w:cs="宋体"/>
          <w:bCs/>
          <w:color w:val="auto"/>
        </w:rPr>
        <w:t>个工作日）</w:t>
      </w:r>
      <w:r>
        <w:rPr>
          <w:rFonts w:hint="eastAsia" w:ascii="宋体" w:hAnsi="宋体" w:cs="宋体"/>
          <w:color w:val="auto"/>
          <w:szCs w:val="21"/>
        </w:rPr>
        <w:t>届满之日起</w:t>
      </w:r>
      <w:r>
        <w:rPr>
          <w:rFonts w:ascii="宋体" w:hAnsi="宋体" w:cs="宋体"/>
          <w:color w:val="auto"/>
          <w:szCs w:val="21"/>
        </w:rPr>
        <w:t>7</w:t>
      </w:r>
      <w:r>
        <w:rPr>
          <w:rFonts w:hint="eastAsia" w:ascii="宋体" w:hAnsi="宋体" w:cs="宋体"/>
          <w:color w:val="auto"/>
          <w:szCs w:val="21"/>
        </w:rPr>
        <w:t>个工作日内，以书面形式向采购代理机构提出质疑，并及时索要书面回执。</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（六）采购代理机构应当按照有关规定就采购人委托授权范围内的事项在收到投标人的书面质疑后</w:t>
      </w:r>
      <w:r>
        <w:rPr>
          <w:rFonts w:ascii="宋体" w:hAnsi="宋体" w:cs="宋体"/>
          <w:color w:val="auto"/>
          <w:szCs w:val="21"/>
        </w:rPr>
        <w:t>7</w:t>
      </w:r>
      <w:r>
        <w:rPr>
          <w:rFonts w:hint="eastAsia" w:ascii="宋体" w:hAnsi="宋体" w:cs="宋体"/>
          <w:color w:val="auto"/>
          <w:szCs w:val="21"/>
        </w:rPr>
        <w:t>个工作日内做出答复，但答复的内容不得涉及商业秘密。</w:t>
      </w:r>
    </w:p>
    <w:p>
      <w:pPr>
        <w:snapToGrid w:val="0"/>
        <w:spacing w:line="400" w:lineRule="exact"/>
        <w:ind w:firstLine="422" w:firstLineChars="200"/>
        <w:rPr>
          <w:rFonts w:ascii="宋体"/>
          <w:color w:val="auto"/>
        </w:rPr>
      </w:pPr>
      <w:r>
        <w:rPr>
          <w:rFonts w:hint="eastAsia" w:ascii="宋体" w:hAnsi="宋体" w:cs="宋体"/>
          <w:b/>
          <w:color w:val="auto"/>
        </w:rPr>
        <w:t>七、</w:t>
      </w:r>
      <w:bookmarkStart w:id="486" w:name="_Toc254970547"/>
      <w:bookmarkStart w:id="487" w:name="_Toc254970688"/>
      <w:bookmarkStart w:id="488" w:name="_Toc293863323"/>
      <w:bookmarkStart w:id="489" w:name="_Toc482865325"/>
      <w:bookmarkStart w:id="490" w:name="_Toc482865155"/>
      <w:bookmarkStart w:id="491" w:name="_Toc482864554"/>
      <w:bookmarkStart w:id="492" w:name="_Toc308018680"/>
      <w:bookmarkStart w:id="493" w:name="_Toc293863056"/>
      <w:bookmarkStart w:id="494" w:name="_Toc483327814"/>
      <w:bookmarkStart w:id="495" w:name="_Toc400465716"/>
      <w:bookmarkStart w:id="496" w:name="_Toc448421145"/>
      <w:bookmarkStart w:id="497" w:name="_Toc445223683"/>
      <w:r>
        <w:rPr>
          <w:rFonts w:hint="eastAsia" w:ascii="宋体" w:hAnsi="宋体"/>
          <w:b/>
          <w:bCs/>
          <w:color w:val="auto"/>
        </w:rPr>
        <w:t>合同</w:t>
      </w:r>
      <w:bookmarkEnd w:id="486"/>
      <w:bookmarkEnd w:id="487"/>
      <w:r>
        <w:rPr>
          <w:rFonts w:hint="eastAsia" w:ascii="宋体" w:hAnsi="宋体"/>
          <w:b/>
          <w:bCs/>
          <w:color w:val="auto"/>
        </w:rPr>
        <w:t>签订</w:t>
      </w:r>
      <w:bookmarkEnd w:id="488"/>
      <w:bookmarkEnd w:id="489"/>
      <w:bookmarkEnd w:id="490"/>
      <w:bookmarkEnd w:id="491"/>
      <w:bookmarkEnd w:id="492"/>
      <w:bookmarkEnd w:id="493"/>
      <w:bookmarkEnd w:id="494"/>
      <w:bookmarkEnd w:id="495"/>
      <w:bookmarkEnd w:id="496"/>
      <w:bookmarkEnd w:id="497"/>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（一）合同授予标准</w:t>
      </w:r>
    </w:p>
    <w:p>
      <w:pPr>
        <w:snapToGrid w:val="0"/>
        <w:spacing w:line="400" w:lineRule="exact"/>
        <w:ind w:firstLine="411" w:firstLineChars="196"/>
        <w:rPr>
          <w:rFonts w:ascii="宋体" w:cs="宋体"/>
          <w:bCs/>
          <w:color w:val="auto"/>
          <w:szCs w:val="21"/>
        </w:rPr>
      </w:pPr>
      <w:r>
        <w:rPr>
          <w:rFonts w:hint="eastAsia" w:ascii="宋体" w:hAnsi="宋体" w:cs="宋体"/>
          <w:bCs/>
          <w:color w:val="auto"/>
          <w:szCs w:val="21"/>
        </w:rPr>
        <w:t>合同将授予被确定实质上响应招标文件要求，具备履行合同能力，综合评分排名第一的投标人。</w:t>
      </w:r>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（二）履约保证金</w:t>
      </w:r>
    </w:p>
    <w:p>
      <w:pPr>
        <w:snapToGrid w:val="0"/>
        <w:spacing w:line="400" w:lineRule="exact"/>
        <w:ind w:firstLine="411" w:firstLineChars="196"/>
        <w:rPr>
          <w:rFonts w:hint="eastAsia" w:ascii="宋体" w:hAnsi="宋体" w:cs="宋体"/>
          <w:bCs/>
          <w:color w:val="auto"/>
          <w:szCs w:val="21"/>
          <w:lang w:val="en-US" w:eastAsia="zh-CN"/>
        </w:rPr>
      </w:pPr>
      <w:r>
        <w:rPr>
          <w:rFonts w:hint="eastAsia" w:ascii="宋体" w:hAnsi="宋体" w:cs="宋体"/>
          <w:bCs/>
          <w:color w:val="auto"/>
          <w:szCs w:val="21"/>
          <w:lang w:val="en-US" w:eastAsia="zh-CN"/>
        </w:rPr>
        <w:t>本项目不收取履约保证金</w:t>
      </w:r>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（三）签订合同</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）投标人接到中标通知书后，应按中标通知书规定的时间、地点与采购人签订合同。（投标人中标后可以由项目所在地分公司在总公司授权下签订合同，相应的法律责任由总公司承担。）</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）如中标人不按中标通知书的规定签订合同，则按中标人违约处理。</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）中标人因不可抗力或者自身原因不能履行采购合同的，采购人可以与中标人之后排名第一的中标候选人签订采购合同，以此类推。</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）政府采购合同公告</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根据《中华人民共和国政府采购法实施条例》第五十条规定，采购人应当自政府采购合同签订之日起</w:t>
      </w:r>
      <w:r>
        <w:rPr>
          <w:rFonts w:ascii="宋体" w:hAnsi="宋体" w:cs="宋体"/>
          <w:bCs/>
          <w:color w:val="auto"/>
          <w:szCs w:val="21"/>
        </w:rPr>
        <w:t>2</w:t>
      </w:r>
      <w:r>
        <w:rPr>
          <w:rFonts w:hint="eastAsia" w:ascii="宋体" w:hAnsi="宋体" w:cs="宋体"/>
          <w:bCs/>
          <w:color w:val="auto"/>
          <w:szCs w:val="21"/>
        </w:rPr>
        <w:t>个工作日内，将政府采购合同在省级以上人民政府财政部门指定的媒体上公告，但政府采购合同中涉及国家秘密、商业秘密的内容除外。</w:t>
      </w:r>
    </w:p>
    <w:p>
      <w:pPr>
        <w:pStyle w:val="23"/>
        <w:snapToGrid w:val="0"/>
        <w:spacing w:line="400" w:lineRule="exact"/>
        <w:outlineLvl w:val="1"/>
        <w:rPr>
          <w:rFonts w:hAnsi="宋体" w:cs="宋体"/>
          <w:b/>
          <w:bCs/>
          <w:color w:val="auto"/>
          <w:sz w:val="21"/>
        </w:rPr>
      </w:pPr>
      <w:bookmarkStart w:id="498" w:name="_Toc293863324"/>
      <w:bookmarkStart w:id="499" w:name="_Toc308018681"/>
      <w:bookmarkStart w:id="500" w:name="_Toc445223684"/>
      <w:bookmarkStart w:id="501" w:name="_Toc293863057"/>
      <w:bookmarkStart w:id="502" w:name="_Toc482865326"/>
      <w:bookmarkStart w:id="503" w:name="_Toc1191"/>
      <w:bookmarkStart w:id="504" w:name="_Toc482864555"/>
      <w:bookmarkStart w:id="505" w:name="_Toc448421146"/>
      <w:bookmarkStart w:id="506" w:name="_Toc482865156"/>
      <w:bookmarkStart w:id="507" w:name="_Toc400465717"/>
      <w:bookmarkStart w:id="508" w:name="_Toc483327815"/>
      <w:r>
        <w:rPr>
          <w:rFonts w:hint="eastAsia" w:hAnsi="宋体" w:cs="宋体"/>
          <w:b/>
          <w:bCs/>
          <w:color w:val="auto"/>
          <w:sz w:val="21"/>
        </w:rPr>
        <w:t>八、其它事项</w:t>
      </w:r>
      <w:bookmarkEnd w:id="498"/>
      <w:bookmarkEnd w:id="499"/>
      <w:bookmarkEnd w:id="500"/>
      <w:bookmarkEnd w:id="501"/>
      <w:bookmarkEnd w:id="502"/>
      <w:bookmarkEnd w:id="503"/>
      <w:bookmarkEnd w:id="504"/>
      <w:bookmarkEnd w:id="505"/>
      <w:bookmarkEnd w:id="506"/>
      <w:bookmarkEnd w:id="507"/>
      <w:bookmarkEnd w:id="508"/>
    </w:p>
    <w:p>
      <w:pPr>
        <w:pStyle w:val="23"/>
        <w:snapToGrid w:val="0"/>
        <w:spacing w:line="400" w:lineRule="exact"/>
        <w:ind w:firstLine="420" w:firstLineChars="200"/>
        <w:outlineLvl w:val="1"/>
        <w:rPr>
          <w:rFonts w:hAnsi="宋体" w:cs="宋体"/>
          <w:bCs/>
          <w:color w:val="auto"/>
          <w:sz w:val="21"/>
        </w:rPr>
      </w:pPr>
      <w:bookmarkStart w:id="509" w:name="_Toc293863325"/>
      <w:bookmarkStart w:id="510" w:name="_Toc448421147"/>
      <w:bookmarkStart w:id="511" w:name="_Toc308018682"/>
      <w:bookmarkStart w:id="512" w:name="_Toc293863058"/>
      <w:bookmarkStart w:id="513" w:name="_Toc400465718"/>
      <w:bookmarkStart w:id="514" w:name="_Toc23316"/>
      <w:bookmarkStart w:id="515" w:name="_Toc482864556"/>
      <w:bookmarkStart w:id="516" w:name="_Toc482865157"/>
      <w:bookmarkStart w:id="517" w:name="_Toc482865327"/>
      <w:bookmarkStart w:id="518" w:name="_Toc483327816"/>
      <w:r>
        <w:rPr>
          <w:rFonts w:hint="eastAsia" w:hAnsi="宋体" w:cs="宋体"/>
          <w:bCs/>
          <w:color w:val="auto"/>
          <w:sz w:val="21"/>
        </w:rPr>
        <w:t>签订合同前，中标人应向采购代理机构一次付清中标服务费。中标服务费收取按投标人须知前附表第</w:t>
      </w:r>
      <w:r>
        <w:rPr>
          <w:rFonts w:hAnsi="宋体" w:cs="宋体"/>
          <w:bCs/>
          <w:color w:val="auto"/>
          <w:sz w:val="21"/>
        </w:rPr>
        <w:t>2</w:t>
      </w:r>
      <w:r>
        <w:rPr>
          <w:rFonts w:hint="eastAsia" w:hAnsi="宋体" w:cs="宋体"/>
          <w:bCs/>
          <w:color w:val="auto"/>
          <w:sz w:val="21"/>
        </w:rPr>
        <w:t>条规定执行。</w:t>
      </w:r>
      <w:bookmarkEnd w:id="509"/>
      <w:bookmarkEnd w:id="510"/>
      <w:bookmarkEnd w:id="511"/>
      <w:bookmarkEnd w:id="512"/>
      <w:bookmarkEnd w:id="513"/>
      <w:bookmarkEnd w:id="514"/>
      <w:bookmarkEnd w:id="515"/>
      <w:bookmarkEnd w:id="516"/>
      <w:bookmarkEnd w:id="517"/>
      <w:bookmarkEnd w:id="518"/>
    </w:p>
    <w:p>
      <w:pPr>
        <w:pStyle w:val="23"/>
        <w:snapToGrid w:val="0"/>
        <w:spacing w:line="400" w:lineRule="exact"/>
        <w:ind w:firstLine="420" w:firstLineChars="200"/>
        <w:outlineLvl w:val="1"/>
        <w:rPr>
          <w:rFonts w:hAnsi="宋体" w:cs="宋体"/>
          <w:bCs/>
          <w:color w:val="auto"/>
          <w:sz w:val="21"/>
        </w:rPr>
      </w:pPr>
      <w:bookmarkStart w:id="519" w:name="_Toc15904"/>
      <w:r>
        <w:rPr>
          <w:rFonts w:hint="eastAsia" w:hAnsi="宋体" w:cs="宋体"/>
          <w:bCs/>
          <w:color w:val="auto"/>
          <w:sz w:val="21"/>
        </w:rPr>
        <w:t>代理服务收费标准：</w:t>
      </w:r>
      <w:bookmarkEnd w:id="519"/>
    </w:p>
    <w:tbl>
      <w:tblPr>
        <w:tblStyle w:val="40"/>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998"/>
        <w:gridCol w:w="1988"/>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720" w:type="dxa"/>
          </w:tcPr>
          <w:p>
            <w:pPr>
              <w:pStyle w:val="23"/>
              <w:snapToGrid w:val="0"/>
              <w:spacing w:line="400" w:lineRule="exact"/>
              <w:ind w:firstLine="800" w:firstLineChars="400"/>
              <w:outlineLvl w:val="1"/>
              <w:rPr>
                <w:rFonts w:hAnsi="宋体" w:cs="宋体"/>
                <w:bCs/>
                <w:color w:val="auto"/>
                <w:sz w:val="21"/>
              </w:rPr>
            </w:pPr>
            <w:bookmarkStart w:id="520" w:name="_Toc24175"/>
            <w:r>
              <w:rPr>
                <w:color w:val="auto"/>
              </w:rPr>
              <w:pict>
                <v:line id="直线 4" o:spid="_x0000_s1026" o:spt="20" style="position:absolute;left:0pt;margin-left:-3.1pt;margin-top:6.8pt;height:31.2pt;width:135pt;z-index:251659264;mso-width-relative:page;mso-height-relative:page;" coordsize="21600,21600" o:gfxdata="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JsA/1gAAAAgBAAAPAAAAAAAAAAEAIAAAACIAAABkcnMvZG93bnJldi54bWxQSwECFAAU&#10;AAAACACHTuJARHzLa/MBAADuAwAADgAAAAAAAAABACAAAAAlAQAAZHJzL2Uyb0RvYy54bWxQSwUG&#10;AAAAAAYABgBZAQAAigUAAAAA&#10;">
                  <v:path arrowok="t"/>
                  <v:fill focussize="0,0"/>
                  <v:stroke/>
                  <v:imagedata o:title=""/>
                  <o:lock v:ext="edit"/>
                </v:line>
              </w:pict>
            </w:r>
            <w:r>
              <w:rPr>
                <w:rFonts w:hint="eastAsia" w:hAnsi="宋体" w:cs="宋体"/>
                <w:bCs/>
                <w:color w:val="auto"/>
                <w:sz w:val="21"/>
              </w:rPr>
              <w:t>费率</w:t>
            </w:r>
            <w:r>
              <w:rPr>
                <w:rFonts w:hAnsi="宋体" w:cs="宋体"/>
                <w:bCs/>
                <w:color w:val="auto"/>
                <w:sz w:val="21"/>
              </w:rPr>
              <w:t xml:space="preserve">   </w:t>
            </w:r>
            <w:r>
              <w:rPr>
                <w:rFonts w:hint="eastAsia" w:hAnsi="宋体" w:cs="宋体"/>
                <w:bCs/>
                <w:color w:val="auto"/>
                <w:sz w:val="21"/>
              </w:rPr>
              <w:t>服务类型</w:t>
            </w:r>
            <w:bookmarkEnd w:id="520"/>
          </w:p>
          <w:p>
            <w:pPr>
              <w:pStyle w:val="23"/>
              <w:snapToGrid w:val="0"/>
              <w:spacing w:line="400" w:lineRule="exact"/>
              <w:ind w:firstLine="420" w:firstLineChars="200"/>
              <w:outlineLvl w:val="1"/>
              <w:rPr>
                <w:rFonts w:hAnsi="宋体" w:cs="宋体"/>
                <w:bCs/>
                <w:color w:val="auto"/>
                <w:sz w:val="21"/>
              </w:rPr>
            </w:pPr>
            <w:bookmarkStart w:id="521" w:name="_Toc27610"/>
            <w:r>
              <w:rPr>
                <w:rFonts w:hint="eastAsia" w:hAnsi="宋体" w:cs="宋体"/>
                <w:bCs/>
                <w:color w:val="auto"/>
                <w:sz w:val="21"/>
              </w:rPr>
              <w:t>中标金额（万元）</w:t>
            </w:r>
            <w:bookmarkEnd w:id="521"/>
          </w:p>
        </w:tc>
        <w:tc>
          <w:tcPr>
            <w:tcW w:w="1998" w:type="dxa"/>
            <w:vAlign w:val="center"/>
          </w:tcPr>
          <w:p>
            <w:pPr>
              <w:pStyle w:val="23"/>
              <w:snapToGrid w:val="0"/>
              <w:spacing w:line="400" w:lineRule="exact"/>
              <w:ind w:firstLine="420" w:firstLineChars="200"/>
              <w:outlineLvl w:val="1"/>
              <w:rPr>
                <w:rFonts w:hAnsi="宋体" w:cs="宋体"/>
                <w:bCs/>
                <w:color w:val="auto"/>
                <w:sz w:val="21"/>
              </w:rPr>
            </w:pPr>
            <w:bookmarkStart w:id="522" w:name="_Toc22660"/>
            <w:r>
              <w:rPr>
                <w:rFonts w:hint="eastAsia" w:hAnsi="宋体" w:cs="宋体"/>
                <w:bCs/>
                <w:color w:val="auto"/>
                <w:sz w:val="21"/>
              </w:rPr>
              <w:t>货物招标</w:t>
            </w:r>
            <w:bookmarkEnd w:id="522"/>
          </w:p>
        </w:tc>
        <w:tc>
          <w:tcPr>
            <w:tcW w:w="1988" w:type="dxa"/>
            <w:vAlign w:val="center"/>
          </w:tcPr>
          <w:p>
            <w:pPr>
              <w:pStyle w:val="23"/>
              <w:snapToGrid w:val="0"/>
              <w:spacing w:line="400" w:lineRule="exact"/>
              <w:ind w:firstLine="420" w:firstLineChars="200"/>
              <w:outlineLvl w:val="1"/>
              <w:rPr>
                <w:rFonts w:hAnsi="宋体" w:cs="宋体"/>
                <w:bCs/>
                <w:color w:val="auto"/>
                <w:sz w:val="21"/>
              </w:rPr>
            </w:pPr>
            <w:bookmarkStart w:id="523" w:name="_Toc29687"/>
            <w:r>
              <w:rPr>
                <w:rFonts w:hint="eastAsia" w:hAnsi="宋体" w:cs="宋体"/>
                <w:bCs/>
                <w:color w:val="auto"/>
                <w:sz w:val="21"/>
              </w:rPr>
              <w:t>服务招标</w:t>
            </w:r>
            <w:bookmarkEnd w:id="523"/>
          </w:p>
        </w:tc>
        <w:tc>
          <w:tcPr>
            <w:tcW w:w="2292" w:type="dxa"/>
            <w:vAlign w:val="center"/>
          </w:tcPr>
          <w:p>
            <w:pPr>
              <w:pStyle w:val="23"/>
              <w:snapToGrid w:val="0"/>
              <w:spacing w:line="400" w:lineRule="exact"/>
              <w:ind w:firstLine="420" w:firstLineChars="200"/>
              <w:outlineLvl w:val="1"/>
              <w:rPr>
                <w:rFonts w:hAnsi="宋体" w:cs="宋体"/>
                <w:bCs/>
                <w:color w:val="auto"/>
                <w:sz w:val="21"/>
              </w:rPr>
            </w:pPr>
            <w:bookmarkStart w:id="524" w:name="_Toc23739"/>
            <w:r>
              <w:rPr>
                <w:rFonts w:hint="eastAsia" w:hAnsi="宋体" w:cs="宋体"/>
                <w:bCs/>
                <w:color w:val="auto"/>
                <w:sz w:val="21"/>
              </w:rPr>
              <w:t>工程招标</w:t>
            </w:r>
            <w:bookmarkEnd w:id="5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25" w:name="_Toc4809"/>
            <w:r>
              <w:rPr>
                <w:rFonts w:hAnsi="宋体" w:cs="宋体"/>
                <w:bCs/>
                <w:color w:val="auto"/>
                <w:sz w:val="21"/>
              </w:rPr>
              <w:t>100</w:t>
            </w:r>
            <w:r>
              <w:rPr>
                <w:rFonts w:hint="eastAsia" w:hAnsi="宋体" w:cs="宋体"/>
                <w:bCs/>
                <w:color w:val="auto"/>
                <w:sz w:val="21"/>
              </w:rPr>
              <w:t>以下</w:t>
            </w:r>
            <w:bookmarkEnd w:id="525"/>
          </w:p>
        </w:tc>
        <w:tc>
          <w:tcPr>
            <w:tcW w:w="1998" w:type="dxa"/>
          </w:tcPr>
          <w:p>
            <w:pPr>
              <w:pStyle w:val="23"/>
              <w:snapToGrid w:val="0"/>
              <w:spacing w:line="400" w:lineRule="exact"/>
              <w:ind w:firstLine="420" w:firstLineChars="200"/>
              <w:outlineLvl w:val="1"/>
              <w:rPr>
                <w:rFonts w:hAnsi="宋体" w:cs="宋体"/>
                <w:bCs/>
                <w:color w:val="auto"/>
                <w:sz w:val="21"/>
              </w:rPr>
            </w:pPr>
            <w:bookmarkStart w:id="526" w:name="_Toc31361"/>
            <w:r>
              <w:rPr>
                <w:rFonts w:hAnsi="宋体" w:cs="宋体"/>
                <w:bCs/>
                <w:color w:val="auto"/>
                <w:sz w:val="21"/>
              </w:rPr>
              <w:t>1.5%</w:t>
            </w:r>
            <w:bookmarkEnd w:id="526"/>
          </w:p>
        </w:tc>
        <w:tc>
          <w:tcPr>
            <w:tcW w:w="1988" w:type="dxa"/>
          </w:tcPr>
          <w:p>
            <w:pPr>
              <w:pStyle w:val="23"/>
              <w:snapToGrid w:val="0"/>
              <w:spacing w:line="400" w:lineRule="exact"/>
              <w:ind w:firstLine="420" w:firstLineChars="200"/>
              <w:outlineLvl w:val="1"/>
              <w:rPr>
                <w:rFonts w:hAnsi="宋体" w:cs="宋体"/>
                <w:bCs/>
                <w:color w:val="auto"/>
                <w:sz w:val="21"/>
              </w:rPr>
            </w:pPr>
            <w:bookmarkStart w:id="527" w:name="_Toc21731"/>
            <w:r>
              <w:rPr>
                <w:rFonts w:hAnsi="宋体" w:cs="宋体"/>
                <w:bCs/>
                <w:color w:val="auto"/>
                <w:sz w:val="21"/>
              </w:rPr>
              <w:t>1.5%</w:t>
            </w:r>
            <w:bookmarkEnd w:id="527"/>
          </w:p>
        </w:tc>
        <w:tc>
          <w:tcPr>
            <w:tcW w:w="2292" w:type="dxa"/>
          </w:tcPr>
          <w:p>
            <w:pPr>
              <w:pStyle w:val="23"/>
              <w:snapToGrid w:val="0"/>
              <w:spacing w:line="400" w:lineRule="exact"/>
              <w:ind w:firstLine="420" w:firstLineChars="200"/>
              <w:outlineLvl w:val="1"/>
              <w:rPr>
                <w:rFonts w:hAnsi="宋体" w:cs="宋体"/>
                <w:bCs/>
                <w:color w:val="auto"/>
                <w:sz w:val="21"/>
              </w:rPr>
            </w:pPr>
            <w:bookmarkStart w:id="528" w:name="_Toc17294"/>
            <w:r>
              <w:rPr>
                <w:rFonts w:hAnsi="宋体" w:cs="宋体"/>
                <w:bCs/>
                <w:color w:val="auto"/>
                <w:sz w:val="21"/>
              </w:rPr>
              <w:t>1.0%</w:t>
            </w:r>
            <w:bookmarkEnd w:id="5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29" w:name="_Toc9927"/>
            <w:r>
              <w:rPr>
                <w:rFonts w:hAnsi="宋体" w:cs="宋体"/>
                <w:bCs/>
                <w:color w:val="auto"/>
                <w:sz w:val="21"/>
              </w:rPr>
              <w:t>100-500</w:t>
            </w:r>
            <w:bookmarkEnd w:id="529"/>
          </w:p>
        </w:tc>
        <w:tc>
          <w:tcPr>
            <w:tcW w:w="1998" w:type="dxa"/>
          </w:tcPr>
          <w:p>
            <w:pPr>
              <w:pStyle w:val="23"/>
              <w:snapToGrid w:val="0"/>
              <w:spacing w:line="400" w:lineRule="exact"/>
              <w:ind w:firstLine="420" w:firstLineChars="200"/>
              <w:outlineLvl w:val="1"/>
              <w:rPr>
                <w:rFonts w:hAnsi="宋体" w:cs="宋体"/>
                <w:bCs/>
                <w:color w:val="auto"/>
                <w:sz w:val="21"/>
              </w:rPr>
            </w:pPr>
            <w:bookmarkStart w:id="530" w:name="_Toc13666"/>
            <w:r>
              <w:rPr>
                <w:rFonts w:hAnsi="宋体" w:cs="宋体"/>
                <w:bCs/>
                <w:color w:val="auto"/>
                <w:sz w:val="21"/>
              </w:rPr>
              <w:t>1.1%</w:t>
            </w:r>
            <w:bookmarkEnd w:id="530"/>
          </w:p>
        </w:tc>
        <w:tc>
          <w:tcPr>
            <w:tcW w:w="1988" w:type="dxa"/>
          </w:tcPr>
          <w:p>
            <w:pPr>
              <w:pStyle w:val="23"/>
              <w:snapToGrid w:val="0"/>
              <w:spacing w:line="400" w:lineRule="exact"/>
              <w:ind w:firstLine="420" w:firstLineChars="200"/>
              <w:outlineLvl w:val="1"/>
              <w:rPr>
                <w:rFonts w:hAnsi="宋体" w:cs="宋体"/>
                <w:bCs/>
                <w:color w:val="auto"/>
                <w:sz w:val="21"/>
              </w:rPr>
            </w:pPr>
            <w:bookmarkStart w:id="531" w:name="_Toc20207"/>
            <w:r>
              <w:rPr>
                <w:rFonts w:hAnsi="宋体" w:cs="宋体"/>
                <w:bCs/>
                <w:color w:val="auto"/>
                <w:sz w:val="21"/>
              </w:rPr>
              <w:t>0.8%</w:t>
            </w:r>
            <w:bookmarkEnd w:id="531"/>
          </w:p>
        </w:tc>
        <w:tc>
          <w:tcPr>
            <w:tcW w:w="2292" w:type="dxa"/>
          </w:tcPr>
          <w:p>
            <w:pPr>
              <w:pStyle w:val="23"/>
              <w:snapToGrid w:val="0"/>
              <w:spacing w:line="400" w:lineRule="exact"/>
              <w:ind w:firstLine="420" w:firstLineChars="200"/>
              <w:outlineLvl w:val="1"/>
              <w:rPr>
                <w:rFonts w:hAnsi="宋体" w:cs="宋体"/>
                <w:bCs/>
                <w:color w:val="auto"/>
                <w:sz w:val="21"/>
              </w:rPr>
            </w:pPr>
            <w:bookmarkStart w:id="532" w:name="_Toc10140"/>
            <w:r>
              <w:rPr>
                <w:rFonts w:hAnsi="宋体" w:cs="宋体"/>
                <w:bCs/>
                <w:color w:val="auto"/>
                <w:sz w:val="21"/>
              </w:rPr>
              <w:t>0.7%</w:t>
            </w:r>
            <w:bookmarkEnd w:id="5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33" w:name="_Toc3400"/>
            <w:r>
              <w:rPr>
                <w:rFonts w:hAnsi="宋体" w:cs="宋体"/>
                <w:bCs/>
                <w:color w:val="auto"/>
                <w:sz w:val="21"/>
              </w:rPr>
              <w:t>500-1000</w:t>
            </w:r>
            <w:bookmarkEnd w:id="533"/>
          </w:p>
        </w:tc>
        <w:tc>
          <w:tcPr>
            <w:tcW w:w="1998" w:type="dxa"/>
          </w:tcPr>
          <w:p>
            <w:pPr>
              <w:pStyle w:val="23"/>
              <w:snapToGrid w:val="0"/>
              <w:spacing w:line="400" w:lineRule="exact"/>
              <w:ind w:firstLine="420" w:firstLineChars="200"/>
              <w:outlineLvl w:val="1"/>
              <w:rPr>
                <w:rFonts w:hAnsi="宋体" w:cs="宋体"/>
                <w:bCs/>
                <w:color w:val="auto"/>
                <w:sz w:val="21"/>
              </w:rPr>
            </w:pPr>
            <w:bookmarkStart w:id="534" w:name="_Toc11801"/>
            <w:r>
              <w:rPr>
                <w:rFonts w:hAnsi="宋体" w:cs="宋体"/>
                <w:bCs/>
                <w:color w:val="auto"/>
                <w:sz w:val="21"/>
              </w:rPr>
              <w:t>0.8%</w:t>
            </w:r>
            <w:bookmarkEnd w:id="534"/>
          </w:p>
        </w:tc>
        <w:tc>
          <w:tcPr>
            <w:tcW w:w="1988" w:type="dxa"/>
          </w:tcPr>
          <w:p>
            <w:pPr>
              <w:pStyle w:val="23"/>
              <w:snapToGrid w:val="0"/>
              <w:spacing w:line="400" w:lineRule="exact"/>
              <w:ind w:firstLine="420" w:firstLineChars="200"/>
              <w:outlineLvl w:val="1"/>
              <w:rPr>
                <w:rFonts w:hAnsi="宋体" w:cs="宋体"/>
                <w:bCs/>
                <w:color w:val="auto"/>
                <w:sz w:val="21"/>
              </w:rPr>
            </w:pPr>
            <w:bookmarkStart w:id="535" w:name="_Toc13144"/>
            <w:r>
              <w:rPr>
                <w:rFonts w:hAnsi="宋体" w:cs="宋体"/>
                <w:bCs/>
                <w:color w:val="auto"/>
                <w:sz w:val="21"/>
              </w:rPr>
              <w:t>0.45%</w:t>
            </w:r>
            <w:bookmarkEnd w:id="535"/>
          </w:p>
        </w:tc>
        <w:tc>
          <w:tcPr>
            <w:tcW w:w="2292" w:type="dxa"/>
          </w:tcPr>
          <w:p>
            <w:pPr>
              <w:pStyle w:val="23"/>
              <w:snapToGrid w:val="0"/>
              <w:spacing w:line="400" w:lineRule="exact"/>
              <w:ind w:firstLine="420" w:firstLineChars="200"/>
              <w:outlineLvl w:val="1"/>
              <w:rPr>
                <w:rFonts w:hAnsi="宋体" w:cs="宋体"/>
                <w:bCs/>
                <w:color w:val="auto"/>
                <w:sz w:val="21"/>
              </w:rPr>
            </w:pPr>
            <w:bookmarkStart w:id="536" w:name="_Toc5372"/>
            <w:r>
              <w:rPr>
                <w:rFonts w:hAnsi="宋体" w:cs="宋体"/>
                <w:bCs/>
                <w:color w:val="auto"/>
                <w:sz w:val="21"/>
              </w:rPr>
              <w:t>0.55%</w:t>
            </w:r>
            <w:bookmarkEnd w:id="5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37" w:name="_Toc25241"/>
            <w:r>
              <w:rPr>
                <w:rFonts w:hAnsi="宋体" w:cs="宋体"/>
                <w:bCs/>
                <w:color w:val="auto"/>
                <w:sz w:val="21"/>
              </w:rPr>
              <w:t>1000-5000</w:t>
            </w:r>
            <w:bookmarkEnd w:id="537"/>
          </w:p>
        </w:tc>
        <w:tc>
          <w:tcPr>
            <w:tcW w:w="1998" w:type="dxa"/>
          </w:tcPr>
          <w:p>
            <w:pPr>
              <w:pStyle w:val="23"/>
              <w:snapToGrid w:val="0"/>
              <w:spacing w:line="400" w:lineRule="exact"/>
              <w:ind w:firstLine="420" w:firstLineChars="200"/>
              <w:outlineLvl w:val="1"/>
              <w:rPr>
                <w:rFonts w:hAnsi="宋体" w:cs="宋体"/>
                <w:bCs/>
                <w:color w:val="auto"/>
                <w:sz w:val="21"/>
              </w:rPr>
            </w:pPr>
            <w:bookmarkStart w:id="538" w:name="_Toc3602"/>
            <w:r>
              <w:rPr>
                <w:rFonts w:hAnsi="宋体" w:cs="宋体"/>
                <w:bCs/>
                <w:color w:val="auto"/>
                <w:sz w:val="21"/>
              </w:rPr>
              <w:t>0.5%</w:t>
            </w:r>
            <w:bookmarkEnd w:id="538"/>
          </w:p>
        </w:tc>
        <w:tc>
          <w:tcPr>
            <w:tcW w:w="1988" w:type="dxa"/>
          </w:tcPr>
          <w:p>
            <w:pPr>
              <w:pStyle w:val="23"/>
              <w:snapToGrid w:val="0"/>
              <w:spacing w:line="400" w:lineRule="exact"/>
              <w:ind w:firstLine="420" w:firstLineChars="200"/>
              <w:outlineLvl w:val="1"/>
              <w:rPr>
                <w:rFonts w:hAnsi="宋体" w:cs="宋体"/>
                <w:bCs/>
                <w:color w:val="auto"/>
                <w:sz w:val="21"/>
              </w:rPr>
            </w:pPr>
            <w:bookmarkStart w:id="539" w:name="_Toc19171"/>
            <w:r>
              <w:rPr>
                <w:rFonts w:hAnsi="宋体" w:cs="宋体"/>
                <w:bCs/>
                <w:color w:val="auto"/>
                <w:sz w:val="21"/>
              </w:rPr>
              <w:t>0.25%</w:t>
            </w:r>
            <w:bookmarkEnd w:id="539"/>
          </w:p>
        </w:tc>
        <w:tc>
          <w:tcPr>
            <w:tcW w:w="2292" w:type="dxa"/>
          </w:tcPr>
          <w:p>
            <w:pPr>
              <w:pStyle w:val="23"/>
              <w:snapToGrid w:val="0"/>
              <w:spacing w:line="400" w:lineRule="exact"/>
              <w:ind w:firstLine="420" w:firstLineChars="200"/>
              <w:outlineLvl w:val="1"/>
              <w:rPr>
                <w:rFonts w:hAnsi="宋体" w:cs="宋体"/>
                <w:bCs/>
                <w:color w:val="auto"/>
                <w:sz w:val="21"/>
              </w:rPr>
            </w:pPr>
            <w:bookmarkStart w:id="540" w:name="_Toc8748"/>
            <w:r>
              <w:rPr>
                <w:rFonts w:hAnsi="宋体" w:cs="宋体"/>
                <w:bCs/>
                <w:color w:val="auto"/>
                <w:sz w:val="21"/>
              </w:rPr>
              <w:t>0.35%</w:t>
            </w:r>
            <w:bookmarkEnd w:id="5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41" w:name="_Toc20687"/>
            <w:r>
              <w:rPr>
                <w:rFonts w:hAnsi="宋体" w:cs="宋体"/>
                <w:bCs/>
                <w:color w:val="auto"/>
                <w:sz w:val="21"/>
              </w:rPr>
              <w:t>5000-10000</w:t>
            </w:r>
            <w:bookmarkEnd w:id="541"/>
          </w:p>
        </w:tc>
        <w:tc>
          <w:tcPr>
            <w:tcW w:w="1998" w:type="dxa"/>
          </w:tcPr>
          <w:p>
            <w:pPr>
              <w:pStyle w:val="23"/>
              <w:snapToGrid w:val="0"/>
              <w:spacing w:line="400" w:lineRule="exact"/>
              <w:ind w:firstLine="420" w:firstLineChars="200"/>
              <w:outlineLvl w:val="1"/>
              <w:rPr>
                <w:rFonts w:hAnsi="宋体" w:cs="宋体"/>
                <w:bCs/>
                <w:color w:val="auto"/>
                <w:sz w:val="21"/>
              </w:rPr>
            </w:pPr>
            <w:bookmarkStart w:id="542" w:name="_Toc20063"/>
            <w:r>
              <w:rPr>
                <w:rFonts w:hAnsi="宋体" w:cs="宋体"/>
                <w:bCs/>
                <w:color w:val="auto"/>
                <w:sz w:val="21"/>
              </w:rPr>
              <w:t>0.25%</w:t>
            </w:r>
            <w:bookmarkEnd w:id="542"/>
          </w:p>
        </w:tc>
        <w:tc>
          <w:tcPr>
            <w:tcW w:w="1988" w:type="dxa"/>
          </w:tcPr>
          <w:p>
            <w:pPr>
              <w:pStyle w:val="23"/>
              <w:snapToGrid w:val="0"/>
              <w:spacing w:line="400" w:lineRule="exact"/>
              <w:ind w:firstLine="420" w:firstLineChars="200"/>
              <w:outlineLvl w:val="1"/>
              <w:rPr>
                <w:rFonts w:hAnsi="宋体" w:cs="宋体"/>
                <w:bCs/>
                <w:color w:val="auto"/>
                <w:sz w:val="21"/>
              </w:rPr>
            </w:pPr>
            <w:bookmarkStart w:id="543" w:name="_Toc1140"/>
            <w:r>
              <w:rPr>
                <w:rFonts w:hAnsi="宋体" w:cs="宋体"/>
                <w:bCs/>
                <w:color w:val="auto"/>
                <w:sz w:val="21"/>
              </w:rPr>
              <w:t>0.1%</w:t>
            </w:r>
            <w:bookmarkEnd w:id="543"/>
          </w:p>
        </w:tc>
        <w:tc>
          <w:tcPr>
            <w:tcW w:w="2292" w:type="dxa"/>
          </w:tcPr>
          <w:p>
            <w:pPr>
              <w:pStyle w:val="23"/>
              <w:snapToGrid w:val="0"/>
              <w:spacing w:line="400" w:lineRule="exact"/>
              <w:ind w:firstLine="420" w:firstLineChars="200"/>
              <w:outlineLvl w:val="1"/>
              <w:rPr>
                <w:rFonts w:hAnsi="宋体" w:cs="宋体"/>
                <w:bCs/>
                <w:color w:val="auto"/>
                <w:sz w:val="21"/>
              </w:rPr>
            </w:pPr>
            <w:bookmarkStart w:id="544" w:name="_Toc13398"/>
            <w:r>
              <w:rPr>
                <w:rFonts w:hAnsi="宋体" w:cs="宋体"/>
                <w:bCs/>
                <w:color w:val="auto"/>
                <w:sz w:val="21"/>
              </w:rPr>
              <w:t>0.2%</w:t>
            </w:r>
            <w:bookmarkEnd w:id="5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pStyle w:val="23"/>
              <w:snapToGrid w:val="0"/>
              <w:spacing w:line="400" w:lineRule="exact"/>
              <w:ind w:firstLine="420" w:firstLineChars="200"/>
              <w:outlineLvl w:val="1"/>
              <w:rPr>
                <w:rFonts w:hAnsi="宋体" w:cs="宋体"/>
                <w:bCs/>
                <w:color w:val="auto"/>
                <w:sz w:val="21"/>
              </w:rPr>
            </w:pPr>
            <w:bookmarkStart w:id="545" w:name="_Toc21246"/>
            <w:r>
              <w:rPr>
                <w:rFonts w:hAnsi="宋体" w:cs="宋体"/>
                <w:bCs/>
                <w:color w:val="auto"/>
                <w:sz w:val="21"/>
              </w:rPr>
              <w:t>10000-100000</w:t>
            </w:r>
            <w:bookmarkEnd w:id="545"/>
          </w:p>
        </w:tc>
        <w:tc>
          <w:tcPr>
            <w:tcW w:w="1998" w:type="dxa"/>
          </w:tcPr>
          <w:p>
            <w:pPr>
              <w:pStyle w:val="23"/>
              <w:snapToGrid w:val="0"/>
              <w:spacing w:line="400" w:lineRule="exact"/>
              <w:ind w:firstLine="420" w:firstLineChars="200"/>
              <w:outlineLvl w:val="1"/>
              <w:rPr>
                <w:rFonts w:hAnsi="宋体" w:cs="宋体"/>
                <w:bCs/>
                <w:color w:val="auto"/>
                <w:sz w:val="21"/>
              </w:rPr>
            </w:pPr>
            <w:bookmarkStart w:id="546" w:name="_Toc15891"/>
            <w:r>
              <w:rPr>
                <w:rFonts w:hAnsi="宋体" w:cs="宋体"/>
                <w:bCs/>
                <w:color w:val="auto"/>
                <w:sz w:val="21"/>
              </w:rPr>
              <w:t>0.05%</w:t>
            </w:r>
            <w:bookmarkEnd w:id="546"/>
          </w:p>
        </w:tc>
        <w:tc>
          <w:tcPr>
            <w:tcW w:w="1988" w:type="dxa"/>
          </w:tcPr>
          <w:p>
            <w:pPr>
              <w:pStyle w:val="23"/>
              <w:snapToGrid w:val="0"/>
              <w:spacing w:line="400" w:lineRule="exact"/>
              <w:ind w:firstLine="420" w:firstLineChars="200"/>
              <w:outlineLvl w:val="1"/>
              <w:rPr>
                <w:rFonts w:hAnsi="宋体" w:cs="宋体"/>
                <w:bCs/>
                <w:color w:val="auto"/>
                <w:sz w:val="21"/>
              </w:rPr>
            </w:pPr>
            <w:bookmarkStart w:id="547" w:name="_Toc29149"/>
            <w:r>
              <w:rPr>
                <w:rFonts w:hAnsi="宋体" w:cs="宋体"/>
                <w:bCs/>
                <w:color w:val="auto"/>
                <w:sz w:val="21"/>
              </w:rPr>
              <w:t>0.05%</w:t>
            </w:r>
            <w:bookmarkEnd w:id="547"/>
          </w:p>
        </w:tc>
        <w:tc>
          <w:tcPr>
            <w:tcW w:w="2292" w:type="dxa"/>
          </w:tcPr>
          <w:p>
            <w:pPr>
              <w:pStyle w:val="23"/>
              <w:snapToGrid w:val="0"/>
              <w:spacing w:line="400" w:lineRule="exact"/>
              <w:ind w:firstLine="420" w:firstLineChars="200"/>
              <w:outlineLvl w:val="1"/>
              <w:rPr>
                <w:rFonts w:hAnsi="宋体" w:cs="宋体"/>
                <w:bCs/>
                <w:color w:val="auto"/>
                <w:sz w:val="21"/>
              </w:rPr>
            </w:pPr>
            <w:bookmarkStart w:id="548" w:name="_Toc22737"/>
            <w:r>
              <w:rPr>
                <w:rFonts w:hAnsi="宋体" w:cs="宋体"/>
                <w:bCs/>
                <w:color w:val="auto"/>
                <w:sz w:val="21"/>
              </w:rPr>
              <w:t>0.05%</w:t>
            </w:r>
            <w:bookmarkEnd w:id="548"/>
          </w:p>
        </w:tc>
      </w:tr>
    </w:tbl>
    <w:p>
      <w:pPr>
        <w:pStyle w:val="23"/>
        <w:snapToGrid w:val="0"/>
        <w:spacing w:line="400" w:lineRule="exact"/>
        <w:ind w:firstLine="420" w:firstLineChars="200"/>
        <w:outlineLvl w:val="1"/>
        <w:rPr>
          <w:rFonts w:hAnsi="宋体" w:cs="宋体"/>
          <w:bCs/>
          <w:color w:val="auto"/>
          <w:sz w:val="21"/>
        </w:rPr>
      </w:pPr>
      <w:bookmarkStart w:id="549" w:name="_Toc14507"/>
      <w:r>
        <w:rPr>
          <w:rFonts w:hint="eastAsia" w:hAnsi="宋体" w:cs="宋体"/>
          <w:bCs/>
          <w:color w:val="auto"/>
          <w:sz w:val="21"/>
        </w:rPr>
        <w:t>注：招标代理服务收费按差额定率累进法计算。</w:t>
      </w:r>
      <w:bookmarkEnd w:id="549"/>
    </w:p>
    <w:p>
      <w:pPr>
        <w:pStyle w:val="23"/>
        <w:numPr>
          <w:ilvl w:val="0"/>
          <w:numId w:val="11"/>
        </w:numPr>
        <w:snapToGrid w:val="0"/>
        <w:spacing w:line="400" w:lineRule="exact"/>
        <w:ind w:firstLine="422" w:firstLineChars="200"/>
        <w:outlineLvl w:val="1"/>
        <w:rPr>
          <w:rFonts w:hAnsi="宋体" w:cs="宋体"/>
          <w:b/>
          <w:color w:val="auto"/>
          <w:sz w:val="21"/>
        </w:rPr>
      </w:pPr>
      <w:bookmarkStart w:id="550" w:name="_Toc18411"/>
      <w:r>
        <w:rPr>
          <w:rFonts w:hint="eastAsia" w:hAnsi="宋体" w:cs="宋体"/>
          <w:b/>
          <w:color w:val="auto"/>
          <w:sz w:val="21"/>
        </w:rPr>
        <w:t>有关事宜</w:t>
      </w:r>
      <w:bookmarkEnd w:id="550"/>
    </w:p>
    <w:p>
      <w:pPr>
        <w:snapToGrid w:val="0"/>
        <w:spacing w:line="360" w:lineRule="exact"/>
        <w:ind w:firstLine="411" w:firstLineChars="196"/>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、所有与本招标文件有关的函电请按下列通讯地址联系：</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广西科联招标中心有限公司防城港分公司</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通讯地址：防城港市港口区桃花湾广场珍珠路</w:t>
      </w:r>
      <w:r>
        <w:rPr>
          <w:rFonts w:ascii="宋体" w:hAnsi="宋体" w:cs="宋体"/>
          <w:bCs/>
          <w:color w:val="auto"/>
          <w:szCs w:val="21"/>
        </w:rPr>
        <w:t>6</w:t>
      </w:r>
      <w:r>
        <w:rPr>
          <w:rFonts w:hint="eastAsia" w:ascii="宋体" w:hAnsi="宋体" w:cs="宋体"/>
          <w:bCs/>
          <w:color w:val="auto"/>
          <w:szCs w:val="21"/>
        </w:rPr>
        <w:t>号桂海东盟新城</w:t>
      </w:r>
      <w:r>
        <w:rPr>
          <w:rFonts w:ascii="宋体" w:hAnsi="宋体" w:cs="宋体"/>
          <w:bCs/>
          <w:color w:val="auto"/>
          <w:szCs w:val="21"/>
        </w:rPr>
        <w:t>9</w:t>
      </w:r>
      <w:r>
        <w:rPr>
          <w:rFonts w:hint="eastAsia" w:ascii="宋体" w:hAnsi="宋体" w:cs="宋体"/>
          <w:bCs/>
          <w:color w:val="auto"/>
          <w:szCs w:val="21"/>
        </w:rPr>
        <w:t>＃（</w:t>
      </w:r>
      <w:r>
        <w:rPr>
          <w:rFonts w:ascii="宋体" w:hAnsi="宋体" w:cs="宋体"/>
          <w:bCs/>
          <w:color w:val="auto"/>
          <w:szCs w:val="21"/>
        </w:rPr>
        <w:t>H</w:t>
      </w:r>
      <w:r>
        <w:rPr>
          <w:rFonts w:hint="eastAsia" w:ascii="宋体" w:hAnsi="宋体" w:cs="宋体"/>
          <w:bCs/>
          <w:color w:val="auto"/>
          <w:szCs w:val="21"/>
        </w:rPr>
        <w:t>幢）</w:t>
      </w:r>
      <w:r>
        <w:rPr>
          <w:rFonts w:ascii="宋体" w:hAnsi="宋体" w:cs="宋体"/>
          <w:bCs/>
          <w:color w:val="auto"/>
          <w:szCs w:val="21"/>
        </w:rPr>
        <w:t>605</w:t>
      </w:r>
      <w:r>
        <w:rPr>
          <w:rFonts w:hint="eastAsia" w:ascii="宋体" w:hAnsi="宋体" w:cs="宋体"/>
          <w:bCs/>
          <w:color w:val="auto"/>
          <w:szCs w:val="21"/>
        </w:rPr>
        <w:t>号房</w:t>
      </w:r>
      <w:r>
        <w:rPr>
          <w:rFonts w:ascii="宋体" w:hAnsi="宋体" w:cs="宋体"/>
          <w:bCs/>
          <w:color w:val="auto"/>
          <w:szCs w:val="21"/>
        </w:rPr>
        <w:t xml:space="preserve">  </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邮政编码：</w:t>
      </w:r>
      <w:r>
        <w:rPr>
          <w:rFonts w:ascii="宋体" w:hAnsi="宋体" w:cs="宋体"/>
          <w:bCs/>
          <w:color w:val="auto"/>
          <w:szCs w:val="21"/>
        </w:rPr>
        <w:t xml:space="preserve">538001 </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电</w:t>
      </w:r>
      <w:r>
        <w:rPr>
          <w:rFonts w:ascii="宋体" w:hAnsi="宋体" w:cs="宋体"/>
          <w:bCs/>
          <w:color w:val="auto"/>
          <w:szCs w:val="21"/>
        </w:rPr>
        <w:t xml:space="preserve">    </w:t>
      </w:r>
      <w:r>
        <w:rPr>
          <w:rFonts w:hint="eastAsia" w:ascii="宋体" w:hAnsi="宋体" w:cs="宋体"/>
          <w:bCs/>
          <w:color w:val="auto"/>
          <w:szCs w:val="21"/>
        </w:rPr>
        <w:t>话：</w:t>
      </w:r>
      <w:r>
        <w:rPr>
          <w:rFonts w:ascii="宋体" w:hAnsi="宋体" w:cs="宋体"/>
          <w:bCs/>
          <w:color w:val="auto"/>
          <w:szCs w:val="21"/>
        </w:rPr>
        <w:t xml:space="preserve">0770-2821504                </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传</w:t>
      </w:r>
      <w:r>
        <w:rPr>
          <w:rFonts w:ascii="宋体" w:hAnsi="宋体" w:cs="宋体"/>
          <w:bCs/>
          <w:color w:val="auto"/>
          <w:szCs w:val="21"/>
        </w:rPr>
        <w:t xml:space="preserve">    </w:t>
      </w:r>
      <w:r>
        <w:rPr>
          <w:rFonts w:hint="eastAsia" w:ascii="宋体" w:hAnsi="宋体" w:cs="宋体"/>
          <w:bCs/>
          <w:color w:val="auto"/>
          <w:szCs w:val="21"/>
        </w:rPr>
        <w:t>真：</w:t>
      </w:r>
      <w:r>
        <w:rPr>
          <w:rFonts w:ascii="宋体" w:hAnsi="宋体" w:cs="宋体"/>
          <w:bCs/>
          <w:color w:val="auto"/>
          <w:szCs w:val="21"/>
        </w:rPr>
        <w:t>0770-2831062</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开户名称：广西科联招标中心有限公司防城港分公司</w:t>
      </w:r>
      <w:r>
        <w:rPr>
          <w:rFonts w:ascii="宋体" w:hAnsi="宋体" w:cs="宋体"/>
          <w:bCs/>
          <w:color w:val="auto"/>
          <w:szCs w:val="21"/>
        </w:rPr>
        <w:t xml:space="preserve">   </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开户银行：建行防城港分行营业部</w:t>
      </w:r>
    </w:p>
    <w:p>
      <w:pPr>
        <w:snapToGrid w:val="0"/>
        <w:spacing w:line="400" w:lineRule="exact"/>
        <w:ind w:firstLine="411" w:firstLineChars="196"/>
        <w:rPr>
          <w:rFonts w:ascii="宋体" w:hAnsi="宋体" w:cs="宋体"/>
          <w:bCs/>
          <w:color w:val="auto"/>
          <w:szCs w:val="21"/>
        </w:rPr>
      </w:pPr>
      <w:r>
        <w:rPr>
          <w:rFonts w:hint="eastAsia" w:ascii="宋体" w:hAnsi="宋体" w:cs="宋体"/>
          <w:bCs/>
          <w:color w:val="auto"/>
          <w:szCs w:val="21"/>
        </w:rPr>
        <w:t>帐</w:t>
      </w:r>
      <w:r>
        <w:rPr>
          <w:rFonts w:ascii="宋体" w:hAnsi="宋体" w:cs="宋体"/>
          <w:bCs/>
          <w:color w:val="auto"/>
          <w:szCs w:val="21"/>
        </w:rPr>
        <w:t xml:space="preserve">    </w:t>
      </w:r>
      <w:r>
        <w:rPr>
          <w:rFonts w:hint="eastAsia" w:ascii="宋体" w:hAnsi="宋体" w:cs="宋体"/>
          <w:bCs/>
          <w:color w:val="auto"/>
          <w:szCs w:val="21"/>
        </w:rPr>
        <w:t>号：</w:t>
      </w:r>
      <w:r>
        <w:rPr>
          <w:rFonts w:ascii="宋体" w:hAnsi="宋体" w:cs="宋体"/>
          <w:bCs/>
          <w:color w:val="auto"/>
          <w:szCs w:val="21"/>
        </w:rPr>
        <w:t>45001659588059282828</w:t>
      </w:r>
      <w:bookmarkStart w:id="551" w:name="_Toc1780"/>
    </w:p>
    <w:p>
      <w:pPr>
        <w:pStyle w:val="7"/>
        <w:rPr>
          <w:rFonts w:ascii="宋体" w:hAnsi="宋体" w:cs="宋体"/>
          <w:bCs/>
          <w:color w:val="auto"/>
          <w:szCs w:val="21"/>
        </w:rPr>
      </w:pPr>
    </w:p>
    <w:p>
      <w:pPr>
        <w:pStyle w:val="7"/>
        <w:rPr>
          <w:rFonts w:ascii="宋体" w:hAnsi="宋体" w:cs="宋体"/>
          <w:bCs/>
          <w:color w:val="auto"/>
          <w:szCs w:val="21"/>
        </w:rPr>
      </w:pPr>
    </w:p>
    <w:p>
      <w:pPr>
        <w:pStyle w:val="7"/>
        <w:rPr>
          <w:rFonts w:ascii="宋体" w:hAnsi="宋体" w:cs="宋体"/>
          <w:bCs/>
          <w:color w:val="auto"/>
          <w:szCs w:val="21"/>
        </w:rPr>
      </w:pPr>
    </w:p>
    <w:p>
      <w:pPr>
        <w:pStyle w:val="7"/>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ind w:firstLine="0"/>
        <w:rPr>
          <w:rFonts w:ascii="宋体" w:hAnsi="宋体" w:cs="宋体"/>
          <w:bCs/>
          <w:color w:val="auto"/>
          <w:szCs w:val="21"/>
        </w:rPr>
      </w:pPr>
    </w:p>
    <w:p>
      <w:pPr>
        <w:pStyle w:val="7"/>
        <w:rPr>
          <w:rFonts w:ascii="宋体" w:hAnsi="宋体" w:cs="宋体"/>
          <w:bCs/>
          <w:color w:val="auto"/>
          <w:szCs w:val="21"/>
        </w:rPr>
      </w:pPr>
    </w:p>
    <w:p>
      <w:pPr>
        <w:pStyle w:val="23"/>
        <w:snapToGrid w:val="0"/>
        <w:spacing w:line="400" w:lineRule="exact"/>
        <w:outlineLvl w:val="1"/>
        <w:rPr>
          <w:rFonts w:hAnsi="宋体" w:cs="宋体"/>
          <w:bCs/>
          <w:color w:val="auto"/>
          <w:sz w:val="21"/>
        </w:rPr>
      </w:pPr>
      <w:r>
        <w:rPr>
          <w:rFonts w:hint="eastAsia" w:hAnsi="宋体" w:cs="宋体"/>
          <w:bCs/>
          <w:color w:val="auto"/>
          <w:sz w:val="21"/>
        </w:rPr>
        <w:t>附表一：</w:t>
      </w:r>
      <w:bookmarkEnd w:id="551"/>
    </w:p>
    <w:p>
      <w:pPr>
        <w:jc w:val="center"/>
        <w:rPr>
          <w:rFonts w:ascii="黑体" w:eastAsia="黑体"/>
          <w:color w:val="auto"/>
          <w:sz w:val="44"/>
          <w:szCs w:val="44"/>
        </w:rPr>
      </w:pPr>
      <w:r>
        <w:rPr>
          <w:rFonts w:hint="eastAsia" w:ascii="黑体" w:eastAsia="黑体"/>
          <w:color w:val="auto"/>
          <w:sz w:val="44"/>
          <w:szCs w:val="44"/>
        </w:rPr>
        <w:t>防城港市本级政府采购项目验收报告</w:t>
      </w:r>
    </w:p>
    <w:tbl>
      <w:tblPr>
        <w:tblStyle w:val="40"/>
        <w:tblW w:w="92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392"/>
        <w:gridCol w:w="752"/>
        <w:gridCol w:w="141"/>
        <w:gridCol w:w="709"/>
        <w:gridCol w:w="137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4" w:type="dxa"/>
            <w:vAlign w:val="center"/>
          </w:tcPr>
          <w:p>
            <w:pPr>
              <w:jc w:val="center"/>
              <w:rPr>
                <w:rFonts w:ascii="宋体"/>
                <w:color w:val="auto"/>
                <w:szCs w:val="21"/>
              </w:rPr>
            </w:pPr>
            <w:r>
              <w:rPr>
                <w:rFonts w:hint="eastAsia" w:ascii="宋体" w:hAnsi="宋体"/>
                <w:color w:val="auto"/>
                <w:szCs w:val="21"/>
              </w:rPr>
              <w:t>采购单位</w:t>
            </w:r>
          </w:p>
        </w:tc>
        <w:tc>
          <w:tcPr>
            <w:tcW w:w="4285" w:type="dxa"/>
            <w:gridSpan w:val="3"/>
            <w:vAlign w:val="center"/>
          </w:tcPr>
          <w:p>
            <w:pPr>
              <w:jc w:val="center"/>
              <w:rPr>
                <w:rFonts w:ascii="黑体" w:eastAsia="黑体"/>
                <w:color w:val="auto"/>
                <w:szCs w:val="21"/>
              </w:rPr>
            </w:pPr>
          </w:p>
        </w:tc>
        <w:tc>
          <w:tcPr>
            <w:tcW w:w="2083" w:type="dxa"/>
            <w:gridSpan w:val="2"/>
            <w:vMerge w:val="restart"/>
            <w:vAlign w:val="center"/>
          </w:tcPr>
          <w:p>
            <w:pPr>
              <w:jc w:val="center"/>
              <w:rPr>
                <w:rFonts w:ascii="宋体"/>
                <w:color w:val="auto"/>
                <w:szCs w:val="21"/>
              </w:rPr>
            </w:pPr>
            <w:r>
              <w:rPr>
                <w:rFonts w:hint="eastAsia" w:ascii="宋体" w:hAnsi="宋体"/>
                <w:color w:val="auto"/>
                <w:szCs w:val="21"/>
              </w:rPr>
              <w:t>合同编号</w:t>
            </w:r>
          </w:p>
        </w:tc>
        <w:tc>
          <w:tcPr>
            <w:tcW w:w="1625" w:type="dxa"/>
            <w:vMerge w:val="restart"/>
            <w:vAlign w:val="center"/>
          </w:tcPr>
          <w:p>
            <w:pPr>
              <w:jc w:val="center"/>
              <w:rPr>
                <w:rFonts w:asci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4" w:type="dxa"/>
            <w:vAlign w:val="center"/>
          </w:tcPr>
          <w:p>
            <w:pPr>
              <w:jc w:val="center"/>
              <w:rPr>
                <w:rFonts w:ascii="宋体"/>
                <w:color w:val="auto"/>
                <w:szCs w:val="21"/>
              </w:rPr>
            </w:pPr>
            <w:r>
              <w:rPr>
                <w:rFonts w:hint="eastAsia" w:ascii="宋体" w:hAnsi="宋体"/>
                <w:color w:val="auto"/>
                <w:szCs w:val="21"/>
              </w:rPr>
              <w:t>供应商</w:t>
            </w:r>
          </w:p>
        </w:tc>
        <w:tc>
          <w:tcPr>
            <w:tcW w:w="4285" w:type="dxa"/>
            <w:gridSpan w:val="3"/>
            <w:vAlign w:val="center"/>
          </w:tcPr>
          <w:p>
            <w:pPr>
              <w:jc w:val="center"/>
              <w:rPr>
                <w:rFonts w:ascii="黑体" w:eastAsia="黑体"/>
                <w:color w:val="auto"/>
                <w:szCs w:val="21"/>
              </w:rPr>
            </w:pPr>
          </w:p>
        </w:tc>
        <w:tc>
          <w:tcPr>
            <w:tcW w:w="2083" w:type="dxa"/>
            <w:gridSpan w:val="2"/>
            <w:vMerge w:val="continue"/>
            <w:vAlign w:val="center"/>
          </w:tcPr>
          <w:p>
            <w:pPr>
              <w:jc w:val="center"/>
              <w:rPr>
                <w:rFonts w:ascii="宋体"/>
                <w:color w:val="auto"/>
                <w:szCs w:val="21"/>
              </w:rPr>
            </w:pPr>
          </w:p>
        </w:tc>
        <w:tc>
          <w:tcPr>
            <w:tcW w:w="1625" w:type="dxa"/>
            <w:vMerge w:val="continue"/>
            <w:vAlign w:val="center"/>
          </w:tcPr>
          <w:p>
            <w:pPr>
              <w:jc w:val="center"/>
              <w:rPr>
                <w:rFonts w:asci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4" w:type="dxa"/>
            <w:vAlign w:val="center"/>
          </w:tcPr>
          <w:p>
            <w:pPr>
              <w:jc w:val="center"/>
              <w:rPr>
                <w:rFonts w:ascii="宋体"/>
                <w:color w:val="auto"/>
                <w:szCs w:val="21"/>
              </w:rPr>
            </w:pPr>
            <w:r>
              <w:rPr>
                <w:rFonts w:hint="eastAsia" w:ascii="宋体" w:hAnsi="宋体"/>
                <w:color w:val="auto"/>
                <w:szCs w:val="21"/>
              </w:rPr>
              <w:t>项目名称</w:t>
            </w:r>
          </w:p>
        </w:tc>
        <w:tc>
          <w:tcPr>
            <w:tcW w:w="4285" w:type="dxa"/>
            <w:gridSpan w:val="3"/>
            <w:vAlign w:val="center"/>
          </w:tcPr>
          <w:p>
            <w:pPr>
              <w:jc w:val="center"/>
              <w:rPr>
                <w:rFonts w:ascii="宋体"/>
                <w:color w:val="auto"/>
                <w:szCs w:val="21"/>
              </w:rPr>
            </w:pPr>
          </w:p>
        </w:tc>
        <w:tc>
          <w:tcPr>
            <w:tcW w:w="2083" w:type="dxa"/>
            <w:gridSpan w:val="2"/>
            <w:vAlign w:val="center"/>
          </w:tcPr>
          <w:p>
            <w:pPr>
              <w:jc w:val="center"/>
              <w:rPr>
                <w:rFonts w:ascii="宋体"/>
                <w:color w:val="auto"/>
                <w:szCs w:val="21"/>
              </w:rPr>
            </w:pPr>
            <w:r>
              <w:rPr>
                <w:rFonts w:hint="eastAsia" w:ascii="宋体" w:hAnsi="宋体"/>
                <w:color w:val="auto"/>
                <w:szCs w:val="21"/>
              </w:rPr>
              <w:t>验收日期</w:t>
            </w:r>
          </w:p>
        </w:tc>
        <w:tc>
          <w:tcPr>
            <w:tcW w:w="1625"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4" w:type="dxa"/>
            <w:vAlign w:val="center"/>
          </w:tcPr>
          <w:p>
            <w:pPr>
              <w:jc w:val="center"/>
              <w:rPr>
                <w:rFonts w:ascii="宋体"/>
                <w:color w:val="auto"/>
                <w:szCs w:val="21"/>
              </w:rPr>
            </w:pPr>
            <w:r>
              <w:rPr>
                <w:rFonts w:hint="eastAsia" w:ascii="宋体" w:hAnsi="宋体"/>
                <w:color w:val="auto"/>
                <w:szCs w:val="21"/>
              </w:rPr>
              <w:t>验收地点</w:t>
            </w:r>
          </w:p>
        </w:tc>
        <w:tc>
          <w:tcPr>
            <w:tcW w:w="7993" w:type="dxa"/>
            <w:gridSpan w:val="6"/>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4" w:type="dxa"/>
            <w:vAlign w:val="center"/>
          </w:tcPr>
          <w:p>
            <w:pPr>
              <w:jc w:val="center"/>
              <w:rPr>
                <w:rFonts w:ascii="宋体"/>
                <w:color w:val="auto"/>
                <w:szCs w:val="21"/>
              </w:rPr>
            </w:pPr>
            <w:r>
              <w:rPr>
                <w:rFonts w:hint="eastAsia" w:ascii="宋体" w:hAnsi="宋体"/>
                <w:color w:val="auto"/>
                <w:szCs w:val="21"/>
              </w:rPr>
              <w:t>项目内容</w:t>
            </w:r>
          </w:p>
        </w:tc>
        <w:tc>
          <w:tcPr>
            <w:tcW w:w="3392" w:type="dxa"/>
            <w:vAlign w:val="center"/>
          </w:tcPr>
          <w:p>
            <w:pPr>
              <w:jc w:val="center"/>
              <w:rPr>
                <w:rFonts w:ascii="宋体"/>
                <w:color w:val="auto"/>
                <w:szCs w:val="21"/>
              </w:rPr>
            </w:pPr>
            <w:r>
              <w:rPr>
                <w:rFonts w:hint="eastAsia" w:ascii="宋体" w:hAnsi="宋体"/>
                <w:color w:val="auto"/>
                <w:szCs w:val="21"/>
              </w:rPr>
              <w:t>货物内容</w:t>
            </w:r>
          </w:p>
        </w:tc>
        <w:tc>
          <w:tcPr>
            <w:tcW w:w="752" w:type="dxa"/>
            <w:vAlign w:val="center"/>
          </w:tcPr>
          <w:p>
            <w:pPr>
              <w:jc w:val="center"/>
              <w:rPr>
                <w:rFonts w:ascii="宋体"/>
                <w:color w:val="auto"/>
                <w:szCs w:val="21"/>
              </w:rPr>
            </w:pPr>
            <w:r>
              <w:rPr>
                <w:rFonts w:hint="eastAsia" w:ascii="宋体" w:hAnsi="宋体"/>
                <w:color w:val="auto"/>
                <w:szCs w:val="21"/>
              </w:rPr>
              <w:t>单位</w:t>
            </w:r>
          </w:p>
        </w:tc>
        <w:tc>
          <w:tcPr>
            <w:tcW w:w="850" w:type="dxa"/>
            <w:gridSpan w:val="2"/>
            <w:vAlign w:val="center"/>
          </w:tcPr>
          <w:p>
            <w:pPr>
              <w:jc w:val="center"/>
              <w:rPr>
                <w:rFonts w:ascii="宋体"/>
                <w:color w:val="auto"/>
                <w:szCs w:val="21"/>
              </w:rPr>
            </w:pPr>
            <w:r>
              <w:rPr>
                <w:rFonts w:hint="eastAsia" w:ascii="宋体" w:hAnsi="宋体"/>
                <w:color w:val="auto"/>
                <w:szCs w:val="21"/>
              </w:rPr>
              <w:t>数量</w:t>
            </w:r>
          </w:p>
        </w:tc>
        <w:tc>
          <w:tcPr>
            <w:tcW w:w="1374" w:type="dxa"/>
            <w:vAlign w:val="center"/>
          </w:tcPr>
          <w:p>
            <w:pPr>
              <w:jc w:val="center"/>
              <w:rPr>
                <w:rFonts w:ascii="宋体"/>
                <w:color w:val="auto"/>
                <w:szCs w:val="21"/>
              </w:rPr>
            </w:pPr>
            <w:r>
              <w:rPr>
                <w:rFonts w:hint="eastAsia" w:ascii="宋体" w:hAnsi="宋体"/>
                <w:color w:val="auto"/>
                <w:szCs w:val="21"/>
              </w:rPr>
              <w:t>单价</w:t>
            </w:r>
          </w:p>
        </w:tc>
        <w:tc>
          <w:tcPr>
            <w:tcW w:w="1625" w:type="dxa"/>
            <w:vAlign w:val="center"/>
          </w:tcPr>
          <w:p>
            <w:pPr>
              <w:jc w:val="center"/>
              <w:rPr>
                <w:rFonts w:ascii="宋体"/>
                <w:color w:val="auto"/>
                <w:szCs w:val="21"/>
              </w:rPr>
            </w:pPr>
            <w:r>
              <w:rPr>
                <w:rFonts w:hint="eastAsia" w:ascii="宋体" w:hAnsi="宋体"/>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4" w:type="dxa"/>
            <w:vAlign w:val="center"/>
          </w:tcPr>
          <w:p>
            <w:pPr>
              <w:jc w:val="center"/>
              <w:rPr>
                <w:rFonts w:ascii="宋体"/>
                <w:color w:val="auto"/>
                <w:szCs w:val="21"/>
              </w:rPr>
            </w:pPr>
          </w:p>
        </w:tc>
        <w:tc>
          <w:tcPr>
            <w:tcW w:w="3392" w:type="dxa"/>
            <w:vAlign w:val="center"/>
          </w:tcPr>
          <w:p>
            <w:pPr>
              <w:jc w:val="center"/>
              <w:rPr>
                <w:rFonts w:ascii="宋体"/>
                <w:color w:val="auto"/>
                <w:szCs w:val="21"/>
              </w:rPr>
            </w:pPr>
          </w:p>
        </w:tc>
        <w:tc>
          <w:tcPr>
            <w:tcW w:w="752" w:type="dxa"/>
            <w:vAlign w:val="center"/>
          </w:tcPr>
          <w:p>
            <w:pPr>
              <w:jc w:val="center"/>
              <w:rPr>
                <w:rFonts w:ascii="宋体"/>
                <w:color w:val="auto"/>
                <w:szCs w:val="21"/>
              </w:rPr>
            </w:pPr>
          </w:p>
        </w:tc>
        <w:tc>
          <w:tcPr>
            <w:tcW w:w="850" w:type="dxa"/>
            <w:gridSpan w:val="2"/>
            <w:vAlign w:val="center"/>
          </w:tcPr>
          <w:p>
            <w:pPr>
              <w:jc w:val="center"/>
              <w:rPr>
                <w:rFonts w:ascii="宋体"/>
                <w:color w:val="auto"/>
                <w:szCs w:val="21"/>
              </w:rPr>
            </w:pPr>
          </w:p>
        </w:tc>
        <w:tc>
          <w:tcPr>
            <w:tcW w:w="1374" w:type="dxa"/>
            <w:vAlign w:val="center"/>
          </w:tcPr>
          <w:p>
            <w:pPr>
              <w:jc w:val="center"/>
              <w:rPr>
                <w:rFonts w:ascii="宋体"/>
                <w:color w:val="auto"/>
                <w:szCs w:val="21"/>
              </w:rPr>
            </w:pPr>
          </w:p>
        </w:tc>
        <w:tc>
          <w:tcPr>
            <w:tcW w:w="1625"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4" w:type="dxa"/>
            <w:vAlign w:val="center"/>
          </w:tcPr>
          <w:p>
            <w:pPr>
              <w:jc w:val="center"/>
              <w:rPr>
                <w:rFonts w:ascii="宋体"/>
                <w:color w:val="auto"/>
                <w:szCs w:val="21"/>
              </w:rPr>
            </w:pPr>
          </w:p>
        </w:tc>
        <w:tc>
          <w:tcPr>
            <w:tcW w:w="3392" w:type="dxa"/>
            <w:vAlign w:val="center"/>
          </w:tcPr>
          <w:p>
            <w:pPr>
              <w:jc w:val="center"/>
              <w:rPr>
                <w:rFonts w:ascii="宋体"/>
                <w:color w:val="auto"/>
                <w:szCs w:val="21"/>
              </w:rPr>
            </w:pPr>
          </w:p>
        </w:tc>
        <w:tc>
          <w:tcPr>
            <w:tcW w:w="752" w:type="dxa"/>
            <w:vAlign w:val="center"/>
          </w:tcPr>
          <w:p>
            <w:pPr>
              <w:jc w:val="center"/>
              <w:rPr>
                <w:rFonts w:ascii="宋体"/>
                <w:color w:val="auto"/>
                <w:szCs w:val="21"/>
              </w:rPr>
            </w:pPr>
          </w:p>
        </w:tc>
        <w:tc>
          <w:tcPr>
            <w:tcW w:w="850" w:type="dxa"/>
            <w:gridSpan w:val="2"/>
            <w:vAlign w:val="center"/>
          </w:tcPr>
          <w:p>
            <w:pPr>
              <w:jc w:val="center"/>
              <w:rPr>
                <w:rFonts w:ascii="宋体"/>
                <w:color w:val="auto"/>
                <w:szCs w:val="21"/>
              </w:rPr>
            </w:pPr>
          </w:p>
        </w:tc>
        <w:tc>
          <w:tcPr>
            <w:tcW w:w="1374" w:type="dxa"/>
            <w:vAlign w:val="center"/>
          </w:tcPr>
          <w:p>
            <w:pPr>
              <w:jc w:val="center"/>
              <w:rPr>
                <w:rFonts w:ascii="宋体"/>
                <w:color w:val="auto"/>
                <w:szCs w:val="21"/>
              </w:rPr>
            </w:pPr>
          </w:p>
        </w:tc>
        <w:tc>
          <w:tcPr>
            <w:tcW w:w="1625"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4" w:type="dxa"/>
            <w:vAlign w:val="center"/>
          </w:tcPr>
          <w:p>
            <w:pPr>
              <w:jc w:val="center"/>
              <w:rPr>
                <w:rFonts w:ascii="宋体"/>
                <w:color w:val="auto"/>
                <w:szCs w:val="21"/>
              </w:rPr>
            </w:pPr>
          </w:p>
        </w:tc>
        <w:tc>
          <w:tcPr>
            <w:tcW w:w="3392" w:type="dxa"/>
            <w:vAlign w:val="center"/>
          </w:tcPr>
          <w:p>
            <w:pPr>
              <w:jc w:val="center"/>
              <w:rPr>
                <w:rFonts w:ascii="宋体"/>
                <w:color w:val="auto"/>
                <w:szCs w:val="21"/>
              </w:rPr>
            </w:pPr>
          </w:p>
        </w:tc>
        <w:tc>
          <w:tcPr>
            <w:tcW w:w="752" w:type="dxa"/>
            <w:vAlign w:val="center"/>
          </w:tcPr>
          <w:p>
            <w:pPr>
              <w:jc w:val="center"/>
              <w:rPr>
                <w:rFonts w:ascii="宋体"/>
                <w:color w:val="auto"/>
                <w:szCs w:val="21"/>
              </w:rPr>
            </w:pPr>
          </w:p>
        </w:tc>
        <w:tc>
          <w:tcPr>
            <w:tcW w:w="850" w:type="dxa"/>
            <w:gridSpan w:val="2"/>
            <w:vAlign w:val="center"/>
          </w:tcPr>
          <w:p>
            <w:pPr>
              <w:jc w:val="center"/>
              <w:rPr>
                <w:rFonts w:ascii="宋体"/>
                <w:color w:val="auto"/>
                <w:szCs w:val="21"/>
              </w:rPr>
            </w:pPr>
          </w:p>
        </w:tc>
        <w:tc>
          <w:tcPr>
            <w:tcW w:w="1374" w:type="dxa"/>
            <w:vAlign w:val="center"/>
          </w:tcPr>
          <w:p>
            <w:pPr>
              <w:jc w:val="center"/>
              <w:rPr>
                <w:rFonts w:ascii="宋体"/>
                <w:color w:val="auto"/>
                <w:szCs w:val="21"/>
              </w:rPr>
            </w:pPr>
          </w:p>
        </w:tc>
        <w:tc>
          <w:tcPr>
            <w:tcW w:w="1625"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44" w:type="dxa"/>
            <w:vAlign w:val="center"/>
          </w:tcPr>
          <w:p>
            <w:pPr>
              <w:jc w:val="center"/>
              <w:rPr>
                <w:rFonts w:ascii="宋体"/>
                <w:color w:val="auto"/>
                <w:szCs w:val="21"/>
              </w:rPr>
            </w:pPr>
          </w:p>
        </w:tc>
        <w:tc>
          <w:tcPr>
            <w:tcW w:w="3392" w:type="dxa"/>
            <w:vAlign w:val="center"/>
          </w:tcPr>
          <w:p>
            <w:pPr>
              <w:jc w:val="center"/>
              <w:rPr>
                <w:rFonts w:ascii="宋体"/>
                <w:color w:val="auto"/>
                <w:szCs w:val="21"/>
              </w:rPr>
            </w:pPr>
          </w:p>
        </w:tc>
        <w:tc>
          <w:tcPr>
            <w:tcW w:w="752" w:type="dxa"/>
            <w:vAlign w:val="center"/>
          </w:tcPr>
          <w:p>
            <w:pPr>
              <w:jc w:val="center"/>
              <w:rPr>
                <w:rFonts w:ascii="宋体"/>
                <w:color w:val="auto"/>
                <w:szCs w:val="21"/>
              </w:rPr>
            </w:pPr>
          </w:p>
        </w:tc>
        <w:tc>
          <w:tcPr>
            <w:tcW w:w="850" w:type="dxa"/>
            <w:gridSpan w:val="2"/>
            <w:vAlign w:val="center"/>
          </w:tcPr>
          <w:p>
            <w:pPr>
              <w:jc w:val="center"/>
              <w:rPr>
                <w:rFonts w:ascii="宋体"/>
                <w:color w:val="auto"/>
                <w:szCs w:val="21"/>
              </w:rPr>
            </w:pPr>
          </w:p>
        </w:tc>
        <w:tc>
          <w:tcPr>
            <w:tcW w:w="1374" w:type="dxa"/>
            <w:vAlign w:val="center"/>
          </w:tcPr>
          <w:p>
            <w:pPr>
              <w:jc w:val="center"/>
              <w:rPr>
                <w:rFonts w:ascii="宋体"/>
                <w:color w:val="auto"/>
                <w:szCs w:val="21"/>
              </w:rPr>
            </w:pPr>
          </w:p>
        </w:tc>
        <w:tc>
          <w:tcPr>
            <w:tcW w:w="1625"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237" w:type="dxa"/>
            <w:gridSpan w:val="7"/>
            <w:vAlign w:val="center"/>
          </w:tcPr>
          <w:p>
            <w:pPr>
              <w:rPr>
                <w:rFonts w:ascii="宋体"/>
                <w:color w:val="auto"/>
                <w:szCs w:val="21"/>
              </w:rPr>
            </w:pPr>
            <w:r>
              <w:rPr>
                <w:rFonts w:hint="eastAsia" w:ascii="宋体" w:hAnsi="宋体"/>
                <w:color w:val="auto"/>
                <w:szCs w:val="21"/>
              </w:rPr>
              <w:t>总价共计人民币（大写）：</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237" w:type="dxa"/>
            <w:gridSpan w:val="7"/>
            <w:vAlign w:val="center"/>
          </w:tcPr>
          <w:p>
            <w:pPr>
              <w:rPr>
                <w:rFonts w:ascii="宋体"/>
                <w:color w:val="auto"/>
                <w:szCs w:val="21"/>
              </w:rPr>
            </w:pPr>
            <w:r>
              <w:rPr>
                <w:color w:val="auto"/>
              </w:rPr>
              <w:pict>
                <v:rect id="矩形 7" o:spid="_x0000_s1029" o:spt="1" style="position:absolute;left:0pt;margin-left:285.15pt;margin-top:0.85pt;height:21.25pt;width:28.1pt;z-index:251658240;mso-width-relative:page;mso-height-relative:page;" coordsize="21600,21600" o:gfxdata="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LDGStcAAAAIAQAADwAAAAAAAAABACAA&#10;AAAiAAAAZHJzL2Rvd25yZXYueG1sUEsBAhQAFAAAAAgAh07iQBxQK/EOAgAARAQAAA4AAAAAAAAA&#10;AQAgAAAAJgEAAGRycy9lMm9Eb2MueG1sUEsFBgAAAAAGAAYAWQEAAKYFAAAAAA==&#10;">
                  <v:path/>
                  <v:fill focussize="0,0"/>
                  <v:stroke/>
                  <v:imagedata o:title=""/>
                  <o:lock v:ext="edit"/>
                  <v:textbox>
                    <w:txbxContent>
                      <w:p/>
                    </w:txbxContent>
                  </v:textbox>
                </v:rect>
              </w:pict>
            </w:r>
            <w:r>
              <w:rPr>
                <w:color w:val="auto"/>
              </w:rPr>
              <w:pict>
                <v:rect id="矩形 8" o:spid="_x0000_s1028" o:spt="1" style="position:absolute;left:0pt;margin-left:194.35pt;margin-top:0.3pt;height:21.95pt;width:29.25pt;z-index:251657216;mso-width-relative:page;mso-height-relative:page;" coordsize="21600,21600" o:gfxdata="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TLel1gAAAAcBAAAPAAAAAAAAAAEAIAAA&#10;ACIAAABkcnMvZG93bnJldi54bWxQSwECFAAUAAAACACHTuJAq8v5Bw4CAABEBAAADgAAAAAAAAAB&#10;ACAAAAAlAQAAZHJzL2Uyb0RvYy54bWxQSwUGAAAAAAYABgBZAQAApQUAAAAA&#10;">
                  <v:path/>
                  <v:fill focussize="0,0"/>
                  <v:stroke/>
                  <v:imagedata o:title=""/>
                  <o:lock v:ext="edit"/>
                  <v:textbox>
                    <w:txbxContent>
                      <w:p/>
                    </w:txbxContent>
                  </v:textbox>
                </v:rect>
              </w:pict>
            </w:r>
            <w:r>
              <w:rPr>
                <w:color w:val="auto"/>
              </w:rPr>
              <w:pict>
                <v:rect id="矩形 9" o:spid="_x0000_s1027" o:spt="1" style="position:absolute;left:0pt;margin-left:89.45pt;margin-top:0.9pt;height:21.35pt;width:26.8pt;z-index:251656192;mso-width-relative:page;mso-height-relative:page;" coordsize="21600,21600" o:gfxdata="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X3zdcAAAAIAQAADwAAAAAAAAABACAA&#10;AAAiAAAAZHJzL2Rvd25yZXYueG1sUEsBAhQAFAAAAAgAh07iQJzmTukOAgAARAQAAA4AAAAAAAAA&#10;AQAgAAAAJgEAAGRycy9lMm9Eb2MueG1sUEsFBgAAAAAGAAYAWQEAAKYFAAAAAA==&#10;">
                  <v:path/>
                  <v:fill focussize="0,0"/>
                  <v:stroke/>
                  <v:imagedata o:title=""/>
                  <o:lock v:ext="edit"/>
                  <v:textbox>
                    <w:txbxContent>
                      <w:p/>
                    </w:txbxContent>
                  </v:textbox>
                </v:rect>
              </w:pict>
            </w:r>
            <w:r>
              <w:rPr>
                <w:rFonts w:hint="eastAsia" w:ascii="宋体" w:hAnsi="宋体"/>
                <w:color w:val="auto"/>
                <w:szCs w:val="21"/>
              </w:rPr>
              <w:t>总体评价：满意</w:t>
            </w:r>
            <w:r>
              <w:rPr>
                <w:rFonts w:ascii="宋体" w:hAnsi="宋体"/>
                <w:color w:val="auto"/>
                <w:szCs w:val="21"/>
              </w:rPr>
              <w:t xml:space="preserve">          </w:t>
            </w:r>
            <w:r>
              <w:rPr>
                <w:rFonts w:hint="eastAsia" w:ascii="宋体" w:hAnsi="宋体"/>
                <w:color w:val="auto"/>
                <w:szCs w:val="21"/>
              </w:rPr>
              <w:t>比较满意</w:t>
            </w:r>
            <w:r>
              <w:rPr>
                <w:rFonts w:ascii="宋体" w:hAnsi="宋体"/>
                <w:color w:val="auto"/>
                <w:szCs w:val="21"/>
              </w:rPr>
              <w:t xml:space="preserve">           </w:t>
            </w:r>
            <w:r>
              <w:rPr>
                <w:rFonts w:hint="eastAsia" w:ascii="宋体" w:hAnsi="宋体"/>
                <w:color w:val="auto"/>
                <w:szCs w:val="21"/>
              </w:rPr>
              <w:t>不满意</w:t>
            </w:r>
          </w:p>
          <w:p>
            <w:pPr>
              <w:rPr>
                <w:rFonts w:ascii="宋体"/>
                <w:color w:val="auto"/>
                <w:szCs w:val="21"/>
              </w:rPr>
            </w:pPr>
          </w:p>
          <w:p>
            <w:pPr>
              <w:rPr>
                <w:rFonts w:ascii="宋体"/>
                <w:color w:val="auto"/>
                <w:szCs w:val="21"/>
              </w:rPr>
            </w:pPr>
            <w:r>
              <w:rPr>
                <w:rFonts w:hint="eastAsia" w:ascii="宋体" w:hAnsi="宋体"/>
                <w:color w:val="auto"/>
                <w:szCs w:val="21"/>
              </w:rPr>
              <w:t>理由：</w:t>
            </w:r>
          </w:p>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636" w:type="dxa"/>
            <w:gridSpan w:val="2"/>
          </w:tcPr>
          <w:p>
            <w:pPr>
              <w:rPr>
                <w:rFonts w:ascii="宋体"/>
                <w:color w:val="auto"/>
                <w:szCs w:val="21"/>
              </w:rPr>
            </w:pPr>
            <w:r>
              <w:rPr>
                <w:rFonts w:hint="eastAsia" w:ascii="宋体" w:hAnsi="宋体"/>
                <w:color w:val="auto"/>
                <w:szCs w:val="21"/>
              </w:rPr>
              <w:t>采购单位验收负责人（签字）：</w:t>
            </w: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c>
          <w:tcPr>
            <w:tcW w:w="4601" w:type="dxa"/>
            <w:gridSpan w:val="5"/>
          </w:tcPr>
          <w:p>
            <w:pPr>
              <w:rPr>
                <w:rFonts w:ascii="宋体"/>
                <w:color w:val="auto"/>
                <w:szCs w:val="21"/>
              </w:rPr>
            </w:pPr>
            <w:r>
              <w:rPr>
                <w:rFonts w:hint="eastAsia" w:ascii="宋体" w:hAnsi="宋体"/>
                <w:color w:val="auto"/>
                <w:szCs w:val="21"/>
              </w:rPr>
              <w:t>采购单位其他验收成员（签字）：</w:t>
            </w: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636" w:type="dxa"/>
            <w:gridSpan w:val="2"/>
          </w:tcPr>
          <w:p>
            <w:pPr>
              <w:rPr>
                <w:rFonts w:ascii="宋体"/>
                <w:color w:val="auto"/>
                <w:szCs w:val="21"/>
              </w:rPr>
            </w:pPr>
            <w:r>
              <w:rPr>
                <w:rFonts w:hint="eastAsia" w:ascii="宋体" w:hAnsi="宋体"/>
                <w:color w:val="auto"/>
                <w:szCs w:val="21"/>
              </w:rPr>
              <w:t>采购单位负责人：</w:t>
            </w:r>
            <w:r>
              <w:rPr>
                <w:rFonts w:ascii="宋体" w:hAnsi="宋体"/>
                <w:color w:val="auto"/>
                <w:szCs w:val="21"/>
              </w:rPr>
              <w:t xml:space="preserve">            </w:t>
            </w:r>
          </w:p>
          <w:p>
            <w:pPr>
              <w:rPr>
                <w:rFonts w:ascii="宋体"/>
                <w:color w:val="auto"/>
                <w:szCs w:val="21"/>
              </w:rPr>
            </w:pPr>
          </w:p>
          <w:p>
            <w:pPr>
              <w:rPr>
                <w:rFonts w:ascii="宋体"/>
                <w:color w:val="auto"/>
                <w:szCs w:val="21"/>
              </w:rPr>
            </w:pPr>
          </w:p>
          <w:p>
            <w:pPr>
              <w:rPr>
                <w:rFonts w:ascii="宋体"/>
                <w:color w:val="auto"/>
                <w:szCs w:val="21"/>
              </w:rPr>
            </w:pPr>
          </w:p>
          <w:p>
            <w:pPr>
              <w:ind w:firstLine="2415" w:firstLineChars="1150"/>
              <w:rPr>
                <w:rFonts w:ascii="宋体"/>
                <w:color w:val="auto"/>
                <w:szCs w:val="21"/>
              </w:rPr>
            </w:pPr>
            <w:r>
              <w:rPr>
                <w:rFonts w:ascii="宋体" w:hAnsi="宋体"/>
                <w:color w:val="auto"/>
                <w:szCs w:val="21"/>
              </w:rPr>
              <w:t xml:space="preserve"> </w:t>
            </w:r>
            <w:r>
              <w:rPr>
                <w:rFonts w:hint="eastAsia" w:ascii="宋体" w:hAnsi="宋体"/>
                <w:color w:val="auto"/>
                <w:szCs w:val="21"/>
              </w:rPr>
              <w:t>（单位盖章）</w:t>
            </w:r>
          </w:p>
          <w:p>
            <w:pPr>
              <w:rPr>
                <w:rFonts w:ascii="宋体"/>
                <w:color w:val="auto"/>
                <w:szCs w:val="21"/>
              </w:rPr>
            </w:pPr>
            <w:r>
              <w:rPr>
                <w:rFonts w:ascii="宋体" w:hAnsi="宋体"/>
                <w:color w:val="auto"/>
                <w:szCs w:val="21"/>
              </w:rPr>
              <w:t xml:space="preserve"> </w:t>
            </w: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c>
          <w:tcPr>
            <w:tcW w:w="4601" w:type="dxa"/>
            <w:gridSpan w:val="5"/>
          </w:tcPr>
          <w:p>
            <w:pPr>
              <w:rPr>
                <w:rFonts w:ascii="宋体"/>
                <w:color w:val="auto"/>
                <w:szCs w:val="21"/>
              </w:rPr>
            </w:pPr>
            <w:r>
              <w:rPr>
                <w:rFonts w:hint="eastAsia" w:ascii="宋体" w:hAnsi="宋体"/>
                <w:color w:val="auto"/>
                <w:szCs w:val="21"/>
              </w:rPr>
              <w:t>供应商授权代表：</w:t>
            </w:r>
            <w:r>
              <w:rPr>
                <w:rFonts w:ascii="宋体" w:hAnsi="宋体"/>
                <w:color w:val="auto"/>
                <w:szCs w:val="21"/>
              </w:rPr>
              <w:t xml:space="preserve">            </w:t>
            </w:r>
          </w:p>
          <w:p>
            <w:pPr>
              <w:rPr>
                <w:rFonts w:ascii="宋体"/>
                <w:color w:val="auto"/>
                <w:szCs w:val="21"/>
              </w:rPr>
            </w:pPr>
          </w:p>
          <w:p>
            <w:pPr>
              <w:rPr>
                <w:rFonts w:ascii="宋体"/>
                <w:color w:val="auto"/>
                <w:szCs w:val="21"/>
              </w:rPr>
            </w:pPr>
          </w:p>
          <w:p>
            <w:pPr>
              <w:rPr>
                <w:rFonts w:ascii="宋体"/>
                <w:color w:val="auto"/>
                <w:szCs w:val="21"/>
              </w:rPr>
            </w:pPr>
          </w:p>
          <w:p>
            <w:pPr>
              <w:ind w:firstLine="1785" w:firstLineChars="850"/>
              <w:rPr>
                <w:rFonts w:ascii="宋体"/>
                <w:color w:val="auto"/>
                <w:szCs w:val="21"/>
              </w:rPr>
            </w:pPr>
            <w:r>
              <w:rPr>
                <w:rFonts w:ascii="宋体" w:hAnsi="宋体"/>
                <w:color w:val="auto"/>
                <w:szCs w:val="21"/>
              </w:rPr>
              <w:t xml:space="preserve">     </w:t>
            </w:r>
            <w:r>
              <w:rPr>
                <w:rFonts w:hint="eastAsia" w:ascii="宋体" w:hAnsi="宋体"/>
                <w:color w:val="auto"/>
                <w:szCs w:val="21"/>
              </w:rPr>
              <w:t>（单位盖章）</w:t>
            </w:r>
          </w:p>
          <w:p>
            <w:pPr>
              <w:rPr>
                <w:rFonts w:ascii="宋体"/>
                <w:color w:val="auto"/>
                <w:szCs w:val="21"/>
              </w:rPr>
            </w:pPr>
            <w:r>
              <w:rPr>
                <w:rFonts w:ascii="宋体" w:hAnsi="宋体"/>
                <w:color w:val="auto"/>
                <w:szCs w:val="21"/>
              </w:rPr>
              <w:t xml:space="preserve">               </w:t>
            </w:r>
          </w:p>
          <w:p>
            <w:pPr>
              <w:ind w:firstLine="1575" w:firstLineChars="750"/>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bl>
    <w:p>
      <w:pPr>
        <w:ind w:left="206" w:leftChars="-202" w:hanging="630" w:hangingChars="300"/>
        <w:rPr>
          <w:rFonts w:ascii="宋体"/>
          <w:color w:val="auto"/>
          <w:szCs w:val="21"/>
        </w:rPr>
      </w:pPr>
      <w:r>
        <w:rPr>
          <w:rFonts w:hint="eastAsia" w:ascii="宋体" w:hAnsi="宋体"/>
          <w:color w:val="auto"/>
          <w:szCs w:val="21"/>
        </w:rPr>
        <w:t>注：</w:t>
      </w:r>
      <w:r>
        <w:rPr>
          <w:rFonts w:ascii="宋体" w:hAnsi="宋体"/>
          <w:color w:val="auto"/>
          <w:szCs w:val="21"/>
        </w:rPr>
        <w:t xml:space="preserve">1. </w:t>
      </w:r>
      <w:r>
        <w:rPr>
          <w:rFonts w:hint="eastAsia" w:ascii="宋体" w:hAnsi="宋体"/>
          <w:color w:val="auto"/>
          <w:szCs w:val="21"/>
        </w:rPr>
        <w:t>本表需验收成员两人以上签字，并经采购单位盖章有效；</w:t>
      </w:r>
      <w:r>
        <w:rPr>
          <w:rFonts w:ascii="宋体" w:hAnsi="宋体"/>
          <w:color w:val="auto"/>
          <w:szCs w:val="21"/>
        </w:rPr>
        <w:t xml:space="preserve">               </w:t>
      </w:r>
    </w:p>
    <w:p>
      <w:pPr>
        <w:ind w:left="265" w:leftChars="26" w:hanging="210" w:hangingChars="100"/>
        <w:rPr>
          <w:rFonts w:ascii="宋体"/>
          <w:color w:val="auto"/>
          <w:szCs w:val="21"/>
        </w:rPr>
      </w:pPr>
      <w:r>
        <w:rPr>
          <w:rFonts w:ascii="宋体" w:hAnsi="宋体"/>
          <w:color w:val="auto"/>
          <w:szCs w:val="21"/>
        </w:rPr>
        <w:t>2</w:t>
      </w:r>
      <w:r>
        <w:rPr>
          <w:rFonts w:hint="eastAsia" w:ascii="宋体" w:hAnsi="宋体"/>
          <w:color w:val="auto"/>
          <w:szCs w:val="21"/>
        </w:rPr>
        <w:t>．本表总体评价采购单位必须填写；</w:t>
      </w:r>
    </w:p>
    <w:p>
      <w:pPr>
        <w:ind w:left="265" w:leftChars="26" w:hanging="210" w:hangingChars="100"/>
        <w:rPr>
          <w:rFonts w:ascii="宋体"/>
          <w:color w:val="auto"/>
          <w:szCs w:val="21"/>
        </w:rPr>
      </w:pPr>
      <w:r>
        <w:rPr>
          <w:rFonts w:ascii="宋体" w:hAnsi="宋体"/>
          <w:color w:val="auto"/>
          <w:szCs w:val="21"/>
        </w:rPr>
        <w:t>3</w:t>
      </w:r>
      <w:r>
        <w:rPr>
          <w:rFonts w:hint="eastAsia" w:ascii="宋体" w:hAnsi="宋体"/>
          <w:color w:val="auto"/>
          <w:szCs w:val="21"/>
        </w:rPr>
        <w:t>．本表一式三份，采购单位、供应商、采购办各一份。</w:t>
      </w:r>
    </w:p>
    <w:p>
      <w:pPr>
        <w:ind w:left="265" w:leftChars="26" w:hanging="210" w:hangingChars="100"/>
        <w:rPr>
          <w:rFonts w:ascii="宋体"/>
          <w:color w:val="auto"/>
          <w:szCs w:val="21"/>
        </w:rPr>
      </w:pPr>
    </w:p>
    <w:p>
      <w:pPr>
        <w:pStyle w:val="3"/>
        <w:spacing w:line="240" w:lineRule="auto"/>
        <w:jc w:val="center"/>
        <w:rPr>
          <w:color w:val="auto"/>
          <w:sz w:val="36"/>
          <w:szCs w:val="36"/>
        </w:rPr>
      </w:pPr>
      <w:bookmarkStart w:id="552" w:name="_Toc22507"/>
      <w:r>
        <w:rPr>
          <w:rFonts w:hint="eastAsia"/>
          <w:color w:val="auto"/>
          <w:sz w:val="36"/>
          <w:szCs w:val="36"/>
        </w:rPr>
        <w:t>第四章</w:t>
      </w:r>
      <w:r>
        <w:rPr>
          <w:color w:val="auto"/>
          <w:sz w:val="36"/>
          <w:szCs w:val="36"/>
        </w:rPr>
        <w:t xml:space="preserve">  </w:t>
      </w:r>
      <w:r>
        <w:rPr>
          <w:rFonts w:hint="eastAsia"/>
          <w:color w:val="auto"/>
          <w:sz w:val="36"/>
          <w:szCs w:val="36"/>
        </w:rPr>
        <w:t>评标办法及评分标准</w:t>
      </w:r>
      <w:bookmarkEnd w:id="238"/>
      <w:bookmarkEnd w:id="239"/>
      <w:bookmarkEnd w:id="240"/>
      <w:bookmarkEnd w:id="552"/>
    </w:p>
    <w:p>
      <w:pPr>
        <w:pStyle w:val="23"/>
        <w:spacing w:line="360" w:lineRule="exact"/>
        <w:ind w:firstLine="420"/>
        <w:rPr>
          <w:rFonts w:hAnsi="宋体"/>
          <w:b/>
          <w:bCs/>
          <w:color w:val="auto"/>
          <w:sz w:val="21"/>
        </w:rPr>
      </w:pPr>
      <w:r>
        <w:rPr>
          <w:rFonts w:hint="eastAsia" w:hAnsi="宋体"/>
          <w:b/>
          <w:bCs/>
          <w:color w:val="auto"/>
          <w:sz w:val="21"/>
        </w:rPr>
        <w:t>一、评标原则</w:t>
      </w:r>
    </w:p>
    <w:p>
      <w:pPr>
        <w:pStyle w:val="23"/>
        <w:spacing w:line="360" w:lineRule="exact"/>
        <w:ind w:firstLine="420"/>
        <w:rPr>
          <w:rFonts w:hAnsi="宋体"/>
          <w:bCs/>
          <w:color w:val="auto"/>
          <w:sz w:val="21"/>
        </w:rPr>
      </w:pPr>
      <w:r>
        <w:rPr>
          <w:rFonts w:hAnsi="宋体"/>
          <w:bCs/>
          <w:color w:val="auto"/>
          <w:sz w:val="21"/>
        </w:rPr>
        <w:t>(</w:t>
      </w:r>
      <w:r>
        <w:rPr>
          <w:rFonts w:hint="eastAsia" w:hAnsi="宋体"/>
          <w:bCs/>
          <w:color w:val="auto"/>
          <w:sz w:val="21"/>
        </w:rPr>
        <w:t>一</w:t>
      </w:r>
      <w:r>
        <w:rPr>
          <w:rFonts w:hAnsi="宋体"/>
          <w:bCs/>
          <w:color w:val="auto"/>
          <w:sz w:val="21"/>
        </w:rPr>
        <w:t>)</w:t>
      </w:r>
      <w:r>
        <w:rPr>
          <w:rFonts w:hint="eastAsia" w:hAnsi="宋体"/>
          <w:bCs/>
          <w:color w:val="auto"/>
          <w:sz w:val="21"/>
        </w:rPr>
        <w:t>评委构成：本招标采购项目的评委由采购人代表、政府采购评审专家库中随机抽取的专家共</w:t>
      </w:r>
      <w:r>
        <w:rPr>
          <w:rFonts w:hAnsi="宋体"/>
          <w:bCs/>
          <w:color w:val="auto"/>
          <w:sz w:val="21"/>
        </w:rPr>
        <w:t>5</w:t>
      </w:r>
      <w:r>
        <w:rPr>
          <w:rFonts w:hint="eastAsia" w:hAnsi="宋体"/>
          <w:bCs/>
          <w:color w:val="auto"/>
          <w:sz w:val="21"/>
        </w:rPr>
        <w:t>人以上（含</w:t>
      </w:r>
      <w:r>
        <w:rPr>
          <w:rFonts w:hAnsi="宋体"/>
          <w:bCs/>
          <w:color w:val="auto"/>
          <w:sz w:val="21"/>
        </w:rPr>
        <w:t>5</w:t>
      </w:r>
      <w:r>
        <w:rPr>
          <w:rFonts w:hint="eastAsia" w:hAnsi="宋体"/>
          <w:bCs/>
          <w:color w:val="auto"/>
          <w:sz w:val="21"/>
        </w:rPr>
        <w:t>人）单数构成，其中专家人数不少于成员总数的三分之二。</w:t>
      </w:r>
    </w:p>
    <w:p>
      <w:pPr>
        <w:pStyle w:val="23"/>
        <w:spacing w:line="360" w:lineRule="exact"/>
        <w:ind w:firstLine="420" w:firstLineChars="200"/>
        <w:rPr>
          <w:rFonts w:hAnsi="宋体"/>
          <w:bCs/>
          <w:color w:val="auto"/>
          <w:sz w:val="21"/>
        </w:rPr>
      </w:pPr>
      <w:r>
        <w:rPr>
          <w:rFonts w:hAnsi="宋体"/>
          <w:bCs/>
          <w:color w:val="auto"/>
          <w:sz w:val="21"/>
        </w:rPr>
        <w:t>(</w:t>
      </w:r>
      <w:r>
        <w:rPr>
          <w:rFonts w:hint="eastAsia" w:hAnsi="宋体"/>
          <w:bCs/>
          <w:color w:val="auto"/>
          <w:sz w:val="21"/>
        </w:rPr>
        <w:t>二</w:t>
      </w:r>
      <w:r>
        <w:rPr>
          <w:rFonts w:hAnsi="宋体"/>
          <w:bCs/>
          <w:color w:val="auto"/>
          <w:sz w:val="21"/>
        </w:rPr>
        <w:t>)</w:t>
      </w:r>
      <w:r>
        <w:rPr>
          <w:rFonts w:hint="eastAsia" w:hAnsi="宋体"/>
          <w:bCs/>
          <w:color w:val="auto"/>
          <w:sz w:val="21"/>
        </w:rPr>
        <w:t>评标依据：评委将以招投标文件为评标依据，对投标人的投标报价、技术性能及配置、售后服务、信誉及业绩等四方面内容按百分制打分。其中价格分</w:t>
      </w:r>
      <w:r>
        <w:rPr>
          <w:rFonts w:hAnsi="宋体"/>
          <w:bCs/>
          <w:color w:val="auto"/>
          <w:sz w:val="21"/>
        </w:rPr>
        <w:t>30</w:t>
      </w:r>
      <w:r>
        <w:rPr>
          <w:rFonts w:hint="eastAsia" w:hAnsi="宋体"/>
          <w:bCs/>
          <w:color w:val="auto"/>
          <w:sz w:val="21"/>
        </w:rPr>
        <w:t>分；技术分11分；安装施工组织设计方案及售后服务及技术培训方案分3</w:t>
      </w:r>
      <w:r>
        <w:rPr>
          <w:rFonts w:hint="eastAsia" w:hAnsi="宋体"/>
          <w:bCs/>
          <w:color w:val="auto"/>
          <w:sz w:val="21"/>
          <w:lang w:val="en-US" w:eastAsia="zh-CN"/>
        </w:rPr>
        <w:t>8</w:t>
      </w:r>
      <w:r>
        <w:rPr>
          <w:rFonts w:hint="eastAsia" w:hAnsi="宋体"/>
          <w:bCs/>
          <w:color w:val="auto"/>
          <w:sz w:val="21"/>
        </w:rPr>
        <w:t>分；信誉业绩分</w:t>
      </w:r>
      <w:r>
        <w:rPr>
          <w:rFonts w:hint="eastAsia" w:hAnsi="宋体"/>
          <w:bCs/>
          <w:color w:val="auto"/>
          <w:sz w:val="21"/>
          <w:lang w:val="en-US" w:eastAsia="zh-CN"/>
        </w:rPr>
        <w:t>9</w:t>
      </w:r>
      <w:r>
        <w:rPr>
          <w:rFonts w:hint="eastAsia" w:hAnsi="宋体"/>
          <w:bCs/>
          <w:color w:val="auto"/>
          <w:sz w:val="21"/>
        </w:rPr>
        <w:t>分；拟投入人员配备分10分；政策功能分</w:t>
      </w:r>
      <w:r>
        <w:rPr>
          <w:rFonts w:hint="eastAsia" w:hAnsi="宋体"/>
          <w:bCs/>
          <w:color w:val="auto"/>
          <w:sz w:val="21"/>
          <w:lang w:val="en-US" w:eastAsia="zh-CN"/>
        </w:rPr>
        <w:t>2</w:t>
      </w:r>
      <w:r>
        <w:rPr>
          <w:rFonts w:hint="eastAsia" w:hAnsi="宋体"/>
          <w:bCs/>
          <w:color w:val="auto"/>
          <w:sz w:val="21"/>
        </w:rPr>
        <w:t>分。</w:t>
      </w:r>
    </w:p>
    <w:p>
      <w:pPr>
        <w:pStyle w:val="23"/>
        <w:spacing w:line="360" w:lineRule="exact"/>
        <w:ind w:firstLine="420"/>
        <w:rPr>
          <w:rFonts w:hAnsi="宋体"/>
          <w:b/>
          <w:bCs/>
          <w:color w:val="auto"/>
          <w:sz w:val="21"/>
        </w:rPr>
      </w:pPr>
      <w:r>
        <w:rPr>
          <w:rFonts w:hint="eastAsia" w:hAnsi="宋体"/>
          <w:b/>
          <w:bCs/>
          <w:color w:val="auto"/>
          <w:sz w:val="21"/>
        </w:rPr>
        <w:t>二、评标方法</w:t>
      </w:r>
    </w:p>
    <w:p>
      <w:pPr>
        <w:pStyle w:val="23"/>
        <w:spacing w:line="360" w:lineRule="exact"/>
        <w:ind w:firstLine="420"/>
        <w:rPr>
          <w:rFonts w:hAnsi="宋体"/>
          <w:b/>
          <w:bCs/>
          <w:color w:val="auto"/>
          <w:sz w:val="21"/>
        </w:rPr>
      </w:pPr>
      <w:r>
        <w:rPr>
          <w:rFonts w:hint="eastAsia" w:hAnsi="宋体"/>
          <w:b/>
          <w:bCs/>
          <w:color w:val="auto"/>
          <w:sz w:val="21"/>
        </w:rPr>
        <w:t>（一）对进入详评的，采用百分制综合评分法。</w:t>
      </w:r>
    </w:p>
    <w:p>
      <w:pPr>
        <w:pStyle w:val="23"/>
        <w:spacing w:line="360" w:lineRule="exact"/>
        <w:ind w:firstLine="420"/>
        <w:rPr>
          <w:rFonts w:hAnsi="宋体"/>
          <w:b/>
          <w:bCs/>
          <w:color w:val="auto"/>
          <w:sz w:val="21"/>
        </w:rPr>
      </w:pPr>
      <w:r>
        <w:rPr>
          <w:rFonts w:hint="eastAsia" w:hAnsi="宋体"/>
          <w:b/>
          <w:bCs/>
          <w:color w:val="auto"/>
          <w:sz w:val="21"/>
        </w:rPr>
        <w:t>（二）计分办法（按四舍五入取至百分位）：</w:t>
      </w:r>
    </w:p>
    <w:p>
      <w:pPr>
        <w:pStyle w:val="23"/>
        <w:spacing w:line="420" w:lineRule="exact"/>
        <w:ind w:firstLine="420"/>
        <w:rPr>
          <w:rFonts w:hAnsi="宋体"/>
          <w:b/>
          <w:color w:val="auto"/>
          <w:sz w:val="21"/>
        </w:rPr>
      </w:pPr>
      <w:r>
        <w:rPr>
          <w:rFonts w:hAnsi="宋体"/>
          <w:b/>
          <w:color w:val="auto"/>
          <w:sz w:val="21"/>
        </w:rPr>
        <w:t>1.</w:t>
      </w:r>
      <w:r>
        <w:rPr>
          <w:rFonts w:hint="eastAsia" w:hAnsi="宋体"/>
          <w:b/>
          <w:color w:val="auto"/>
          <w:sz w:val="21"/>
        </w:rPr>
        <w:t>价格分……………………………………………………………………………</w:t>
      </w:r>
      <w:r>
        <w:rPr>
          <w:rFonts w:hAnsi="宋体"/>
          <w:b/>
          <w:color w:val="auto"/>
          <w:sz w:val="21"/>
        </w:rPr>
        <w:t>30</w:t>
      </w:r>
      <w:r>
        <w:rPr>
          <w:rFonts w:hint="eastAsia" w:hAnsi="宋体"/>
          <w:b/>
          <w:color w:val="auto"/>
          <w:sz w:val="21"/>
        </w:rPr>
        <w:t>分</w:t>
      </w:r>
    </w:p>
    <w:p>
      <w:pPr>
        <w:pStyle w:val="23"/>
        <w:spacing w:line="420" w:lineRule="exact"/>
        <w:ind w:firstLine="420"/>
        <w:rPr>
          <w:rFonts w:hAnsi="宋体"/>
          <w:b/>
          <w:color w:val="auto"/>
          <w:sz w:val="21"/>
        </w:rPr>
      </w:pPr>
      <w:r>
        <w:rPr>
          <w:rFonts w:hAnsi="宋体"/>
          <w:b/>
          <w:color w:val="auto"/>
          <w:sz w:val="21"/>
        </w:rPr>
        <w:t xml:space="preserve"> </w:t>
      </w:r>
      <w:r>
        <w:rPr>
          <w:rFonts w:hint="eastAsia" w:hAnsi="宋体"/>
          <w:b/>
          <w:color w:val="auto"/>
          <w:sz w:val="21"/>
        </w:rPr>
        <w:t>（</w:t>
      </w:r>
      <w:r>
        <w:rPr>
          <w:rFonts w:hAnsi="宋体"/>
          <w:b/>
          <w:color w:val="auto"/>
          <w:sz w:val="21"/>
        </w:rPr>
        <w:t>1</w:t>
      </w:r>
      <w:r>
        <w:rPr>
          <w:rFonts w:hint="eastAsia" w:hAnsi="宋体"/>
          <w:b/>
          <w:color w:val="auto"/>
          <w:sz w:val="21"/>
        </w:rPr>
        <w:t>）以进入评标的最低评标报价为</w:t>
      </w:r>
      <w:r>
        <w:rPr>
          <w:rFonts w:hAnsi="宋体"/>
          <w:b/>
          <w:color w:val="auto"/>
          <w:sz w:val="21"/>
        </w:rPr>
        <w:t>30</w:t>
      </w:r>
      <w:r>
        <w:rPr>
          <w:rFonts w:hint="eastAsia" w:hAnsi="宋体"/>
          <w:b/>
          <w:color w:val="auto"/>
          <w:sz w:val="21"/>
        </w:rPr>
        <w:t>分。</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w:t>
      </w:r>
      <w:r>
        <w:rPr>
          <w:rFonts w:hAnsi="宋体" w:cs="宋体"/>
          <w:bCs/>
          <w:color w:val="auto"/>
          <w:sz w:val="21"/>
        </w:rPr>
        <w:t>2</w:t>
      </w:r>
      <w:r>
        <w:rPr>
          <w:rFonts w:hint="eastAsia" w:hAnsi="宋体" w:cs="宋体"/>
          <w:bCs/>
          <w:color w:val="auto"/>
          <w:sz w:val="21"/>
        </w:rPr>
        <w:t>）按照《政府采购促进中小企业发展暂行办法》（财库</w:t>
      </w:r>
      <w:r>
        <w:rPr>
          <w:rFonts w:hAnsi="宋体" w:cs="宋体"/>
          <w:bCs/>
          <w:color w:val="auto"/>
          <w:sz w:val="21"/>
        </w:rPr>
        <w:t>[2011]181</w:t>
      </w:r>
      <w:r>
        <w:rPr>
          <w:rFonts w:hint="eastAsia" w:hAnsi="宋体" w:cs="宋体"/>
          <w:bCs/>
          <w:color w:val="auto"/>
          <w:sz w:val="21"/>
        </w:rPr>
        <w:t>号），投标单位认定为小型和微型企业的（以投标文件提供的符合规定的有关证明材料为准</w:t>
      </w:r>
      <w:r>
        <w:rPr>
          <w:rFonts w:hAnsi="宋体" w:cs="宋体"/>
          <w:bCs/>
          <w:color w:val="auto"/>
          <w:sz w:val="21"/>
        </w:rPr>
        <w:t>)</w:t>
      </w:r>
      <w:r>
        <w:rPr>
          <w:rFonts w:hint="eastAsia" w:hAnsi="宋体" w:cs="宋体"/>
          <w:bCs/>
          <w:color w:val="auto"/>
          <w:sz w:val="21"/>
        </w:rPr>
        <w:t>，并提供本企业制造的货物，由本企业承担工程、提供服务，或者提供其他小型、微型企业制造的货物的（不包括使用大型企业注册商标的货物），对投标价给予10</w:t>
      </w:r>
      <w:r>
        <w:rPr>
          <w:rFonts w:hAnsi="宋体" w:cs="宋体"/>
          <w:bCs/>
          <w:color w:val="auto"/>
          <w:sz w:val="21"/>
        </w:rPr>
        <w:t>%</w:t>
      </w:r>
      <w:r>
        <w:rPr>
          <w:rFonts w:hint="eastAsia" w:hAnsi="宋体" w:cs="宋体"/>
          <w:bCs/>
          <w:color w:val="auto"/>
          <w:sz w:val="21"/>
        </w:rPr>
        <w:t>的扣除，扣除后的价格为评标报价，即评标报价</w:t>
      </w:r>
      <w:r>
        <w:rPr>
          <w:rFonts w:hAnsi="宋体" w:cs="宋体"/>
          <w:bCs/>
          <w:color w:val="auto"/>
          <w:sz w:val="21"/>
        </w:rPr>
        <w:t>=</w:t>
      </w:r>
      <w:r>
        <w:rPr>
          <w:rFonts w:hint="eastAsia" w:hAnsi="宋体" w:cs="宋体"/>
          <w:bCs/>
          <w:color w:val="auto"/>
          <w:sz w:val="21"/>
        </w:rPr>
        <w:t>投标价×（</w:t>
      </w:r>
      <w:r>
        <w:rPr>
          <w:rFonts w:hAnsi="宋体" w:cs="宋体"/>
          <w:bCs/>
          <w:color w:val="auto"/>
          <w:sz w:val="21"/>
        </w:rPr>
        <w:t>1-</w:t>
      </w:r>
      <w:r>
        <w:rPr>
          <w:rFonts w:hint="eastAsia" w:hAnsi="宋体" w:cs="宋体"/>
          <w:bCs/>
          <w:color w:val="auto"/>
          <w:sz w:val="21"/>
        </w:rPr>
        <w:t>10</w:t>
      </w:r>
      <w:r>
        <w:rPr>
          <w:rFonts w:hAnsi="宋体" w:cs="宋体"/>
          <w:bCs/>
          <w:color w:val="auto"/>
          <w:sz w:val="21"/>
        </w:rPr>
        <w:t>%</w:t>
      </w:r>
      <w:r>
        <w:rPr>
          <w:rFonts w:hint="eastAsia" w:hAnsi="宋体" w:cs="宋体"/>
          <w:bCs/>
          <w:color w:val="auto"/>
          <w:sz w:val="21"/>
        </w:rPr>
        <w:t>）；</w:t>
      </w:r>
    </w:p>
    <w:p>
      <w:pPr>
        <w:spacing w:line="410" w:lineRule="exact"/>
        <w:ind w:firstLine="420" w:firstLineChars="200"/>
        <w:rPr>
          <w:rFonts w:ascii="宋体"/>
          <w:color w:val="auto"/>
          <w:szCs w:val="21"/>
        </w:rPr>
      </w:pPr>
      <w:r>
        <w:rPr>
          <w:rFonts w:hint="eastAsia" w:ascii="宋体" w:hAnsi="宋体"/>
          <w:color w:val="auto"/>
          <w:szCs w:val="21"/>
        </w:rPr>
        <w:t>投标产品提供企业按《关于政府采购支持监狱企业发展有关问题的通知》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[2014]68</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投标产品提供单位按《关于促进残疾人就业政府采购政策的通知》</w:t>
      </w:r>
      <w:r>
        <w:rPr>
          <w:rFonts w:hAnsi="宋体" w:cs="宋体"/>
          <w:bCs/>
          <w:color w:val="auto"/>
          <w:sz w:val="21"/>
        </w:rPr>
        <w:t>(</w:t>
      </w:r>
      <w:r>
        <w:rPr>
          <w:rFonts w:hint="eastAsia" w:hAnsi="宋体" w:cs="宋体"/>
          <w:bCs/>
          <w:color w:val="auto"/>
          <w:sz w:val="21"/>
        </w:rPr>
        <w:t>财库〔</w:t>
      </w:r>
      <w:r>
        <w:rPr>
          <w:rFonts w:hAnsi="宋体" w:cs="宋体"/>
          <w:bCs/>
          <w:color w:val="auto"/>
          <w:sz w:val="21"/>
        </w:rPr>
        <w:t>2017</w:t>
      </w:r>
      <w:r>
        <w:rPr>
          <w:rFonts w:hint="eastAsia" w:hAnsi="宋体" w:cs="宋体"/>
          <w:bCs/>
          <w:color w:val="auto"/>
          <w:sz w:val="21"/>
        </w:rPr>
        <w:t>〕</w:t>
      </w:r>
      <w:r>
        <w:rPr>
          <w:rFonts w:hAnsi="宋体" w:cs="宋体"/>
          <w:bCs/>
          <w:color w:val="auto"/>
          <w:sz w:val="21"/>
        </w:rPr>
        <w:t>141</w:t>
      </w:r>
      <w:r>
        <w:rPr>
          <w:rFonts w:hint="eastAsia" w:hAnsi="宋体" w:cs="宋体"/>
          <w:bCs/>
          <w:color w:val="auto"/>
          <w:sz w:val="21"/>
        </w:rPr>
        <w:t>号</w:t>
      </w:r>
      <w:r>
        <w:rPr>
          <w:rFonts w:hAnsi="宋体" w:cs="宋体"/>
          <w:bCs/>
          <w:color w:val="auto"/>
          <w:sz w:val="21"/>
        </w:rPr>
        <w:t>)</w:t>
      </w:r>
      <w:r>
        <w:rPr>
          <w:rFonts w:hint="eastAsia" w:hAnsi="宋体" w:cs="宋体"/>
          <w:bCs/>
          <w:color w:val="auto"/>
          <w:sz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除上述情况外，评标报价</w:t>
      </w:r>
      <w:r>
        <w:rPr>
          <w:rFonts w:hAnsi="宋体" w:cs="宋体"/>
          <w:bCs/>
          <w:color w:val="auto"/>
          <w:sz w:val="21"/>
        </w:rPr>
        <w:t>=</w:t>
      </w:r>
      <w:r>
        <w:rPr>
          <w:rFonts w:hint="eastAsia" w:hAnsi="宋体" w:cs="宋体"/>
          <w:bCs/>
          <w:color w:val="auto"/>
          <w:sz w:val="21"/>
        </w:rPr>
        <w:t>投标价。</w:t>
      </w:r>
    </w:p>
    <w:p>
      <w:pPr>
        <w:spacing w:line="440" w:lineRule="exact"/>
        <w:ind w:firstLine="420" w:firstLineChars="200"/>
        <w:rPr>
          <w:rFonts w:hAnsi="宋体" w:cs="宋体"/>
          <w:bCs/>
          <w:color w:val="auto"/>
          <w:szCs w:val="21"/>
        </w:rPr>
      </w:pPr>
      <w:r>
        <w:rPr>
          <w:rFonts w:hint="eastAsia" w:hAnsi="宋体" w:cs="宋体"/>
          <w:bCs/>
          <w:color w:val="auto"/>
          <w:szCs w:val="21"/>
        </w:rPr>
        <w:t>（</w:t>
      </w:r>
      <w:r>
        <w:rPr>
          <w:rFonts w:hAnsi="宋体" w:cs="宋体"/>
          <w:bCs/>
          <w:color w:val="auto"/>
          <w:szCs w:val="21"/>
        </w:rPr>
        <w:t>3</w:t>
      </w:r>
      <w:r>
        <w:rPr>
          <w:rFonts w:hint="eastAsia" w:hAnsi="宋体" w:cs="宋体"/>
          <w:bCs/>
          <w:color w:val="auto"/>
          <w:szCs w:val="21"/>
        </w:rPr>
        <w:t>）某投标人价格分</w:t>
      </w:r>
      <w:r>
        <w:rPr>
          <w:rFonts w:hAnsi="宋体" w:cs="宋体"/>
          <w:bCs/>
          <w:color w:val="auto"/>
          <w:szCs w:val="21"/>
        </w:rPr>
        <w:t xml:space="preserve"> =</w:t>
      </w:r>
      <w:r>
        <w:rPr>
          <w:rFonts w:hint="eastAsia" w:hAnsi="宋体" w:cs="宋体"/>
          <w:bCs/>
          <w:color w:val="auto"/>
          <w:szCs w:val="21"/>
        </w:rPr>
        <w:t>（投标人最低评标报价÷某投标人评标报价）×</w:t>
      </w:r>
      <w:r>
        <w:rPr>
          <w:rFonts w:hAnsi="宋体" w:cs="宋体"/>
          <w:bCs/>
          <w:color w:val="auto"/>
          <w:szCs w:val="21"/>
        </w:rPr>
        <w:t>30</w:t>
      </w:r>
      <w:r>
        <w:rPr>
          <w:rFonts w:hint="eastAsia" w:hAnsi="宋体" w:cs="宋体"/>
          <w:bCs/>
          <w:color w:val="auto"/>
          <w:szCs w:val="21"/>
        </w:rPr>
        <w:t>分。</w:t>
      </w:r>
    </w:p>
    <w:p>
      <w:pPr>
        <w:pStyle w:val="23"/>
        <w:spacing w:line="380" w:lineRule="exact"/>
        <w:ind w:firstLine="420" w:firstLineChars="200"/>
        <w:rPr>
          <w:rFonts w:hAnsi="宋体" w:cs="宋体"/>
          <w:b/>
          <w:bCs/>
          <w:color w:val="auto"/>
          <w:sz w:val="21"/>
        </w:rPr>
      </w:pPr>
      <w:r>
        <w:rPr>
          <w:color w:val="auto"/>
          <w:sz w:val="21"/>
        </w:rPr>
        <w:t xml:space="preserve"> </w:t>
      </w:r>
      <w:r>
        <w:rPr>
          <w:b/>
          <w:color w:val="auto"/>
          <w:sz w:val="21"/>
        </w:rPr>
        <w:t xml:space="preserve"> </w:t>
      </w:r>
      <w:r>
        <w:rPr>
          <w:rFonts w:hAnsi="宋体"/>
          <w:b/>
          <w:color w:val="auto"/>
          <w:sz w:val="21"/>
        </w:rPr>
        <w:t>2</w:t>
      </w:r>
      <w:r>
        <w:rPr>
          <w:rFonts w:hint="eastAsia" w:hAnsi="宋体"/>
          <w:b/>
          <w:color w:val="auto"/>
          <w:sz w:val="21"/>
        </w:rPr>
        <w:t>、</w:t>
      </w:r>
      <w:r>
        <w:rPr>
          <w:rFonts w:hint="eastAsia" w:hAnsi="宋体" w:cs="宋体"/>
          <w:b/>
          <w:bCs/>
          <w:color w:val="auto"/>
          <w:sz w:val="21"/>
        </w:rPr>
        <w:t>技术分……………………………………………………</w:t>
      </w:r>
      <w:r>
        <w:rPr>
          <w:rFonts w:hint="eastAsia" w:hAnsi="宋体" w:cs="宋体"/>
          <w:b/>
          <w:color w:val="auto"/>
          <w:sz w:val="21"/>
        </w:rPr>
        <w:t>…………</w:t>
      </w:r>
      <w:r>
        <w:rPr>
          <w:rFonts w:hint="eastAsia" w:hAnsi="宋体" w:cs="宋体"/>
          <w:b/>
          <w:bCs/>
          <w:color w:val="auto"/>
          <w:sz w:val="21"/>
        </w:rPr>
        <w:t>…………11分</w:t>
      </w:r>
      <w:r>
        <w:rPr>
          <w:rFonts w:hAnsi="宋体" w:cs="宋体"/>
          <w:b/>
          <w:bCs/>
          <w:color w:val="auto"/>
          <w:sz w:val="21"/>
        </w:rPr>
        <w:t xml:space="preserve">  </w:t>
      </w:r>
    </w:p>
    <w:p>
      <w:pPr>
        <w:spacing w:line="440" w:lineRule="exact"/>
        <w:ind w:firstLine="411" w:firstLineChars="196"/>
        <w:rPr>
          <w:rFonts w:hAnsi="宋体" w:cs="宋体"/>
          <w:color w:val="auto"/>
        </w:rPr>
      </w:pPr>
      <w:r>
        <w:rPr>
          <w:rFonts w:hAnsi="宋体" w:cs="宋体"/>
          <w:color w:val="auto"/>
        </w:rPr>
        <w:t xml:space="preserve"> </w:t>
      </w:r>
      <w:r>
        <w:rPr>
          <w:rFonts w:hint="eastAsia" w:hAnsi="宋体" w:cs="宋体"/>
          <w:color w:val="auto"/>
        </w:rPr>
        <w:t>（</w:t>
      </w:r>
      <w:r>
        <w:rPr>
          <w:rFonts w:hAnsi="宋体" w:cs="宋体"/>
          <w:color w:val="auto"/>
        </w:rPr>
        <w:t>1</w:t>
      </w:r>
      <w:r>
        <w:rPr>
          <w:rFonts w:hint="eastAsia" w:hAnsi="宋体" w:cs="宋体"/>
          <w:color w:val="auto"/>
        </w:rPr>
        <w:t>）投标人全部满足招标文件中规定的参数、商务要求及安装服务、其他要求，全部满足得5分；</w:t>
      </w:r>
    </w:p>
    <w:p>
      <w:pPr>
        <w:spacing w:line="440" w:lineRule="exact"/>
        <w:ind w:firstLine="411" w:firstLineChars="196"/>
        <w:rPr>
          <w:rFonts w:hAnsi="宋体" w:cs="宋体"/>
          <w:color w:val="auto"/>
        </w:rPr>
      </w:pPr>
      <w:r>
        <w:rPr>
          <w:rFonts w:hint="eastAsia" w:hAnsi="宋体" w:cs="宋体"/>
          <w:color w:val="auto"/>
        </w:rPr>
        <w:t>（2）参数、规格及安装服务要求每有一项不满足或负偏离扣1.5分，扣完5分为止；</w:t>
      </w:r>
    </w:p>
    <w:p>
      <w:pPr>
        <w:spacing w:line="440" w:lineRule="exact"/>
        <w:ind w:firstLine="411" w:firstLineChars="196"/>
        <w:rPr>
          <w:rFonts w:hAnsi="宋体" w:cs="宋体"/>
          <w:color w:val="auto"/>
        </w:rPr>
      </w:pPr>
      <w:r>
        <w:rPr>
          <w:rFonts w:hint="eastAsia" w:hAnsi="宋体" w:cs="宋体"/>
          <w:color w:val="auto"/>
        </w:rPr>
        <w:t>（3）投标人所投产品全部满足招标文件中规定的参数、商务要求、规格及安装服务、其他要求情况下，标注“</w:t>
      </w:r>
      <w:r>
        <w:rPr>
          <w:rFonts w:hint="eastAsia" w:ascii="宋体" w:hAnsi="宋体" w:cs="宋体"/>
          <w:color w:val="auto"/>
          <w:szCs w:val="21"/>
        </w:rPr>
        <w:t>★</w:t>
      </w:r>
      <w:r>
        <w:rPr>
          <w:rFonts w:hint="eastAsia" w:hAnsi="宋体" w:cs="宋体"/>
          <w:color w:val="auto"/>
        </w:rPr>
        <w:t>”参数为重要参数指标，标注“</w:t>
      </w:r>
      <w:r>
        <w:rPr>
          <w:rFonts w:hint="eastAsia" w:ascii="宋体" w:hAnsi="宋体" w:cs="宋体"/>
          <w:color w:val="auto"/>
          <w:szCs w:val="21"/>
        </w:rPr>
        <w:t>★</w:t>
      </w:r>
      <w:r>
        <w:rPr>
          <w:rFonts w:hint="eastAsia" w:hAnsi="宋体" w:cs="宋体"/>
          <w:color w:val="auto"/>
        </w:rPr>
        <w:t>”参数每有1项正偏离得2分，此项满分6分。</w:t>
      </w:r>
    </w:p>
    <w:p>
      <w:pPr>
        <w:spacing w:line="440" w:lineRule="exact"/>
        <w:ind w:firstLine="398" w:firstLineChars="196"/>
        <w:rPr>
          <w:rFonts w:ascii="宋体"/>
          <w:b/>
          <w:bCs/>
          <w:color w:val="auto"/>
          <w:spacing w:val="-4"/>
          <w:szCs w:val="21"/>
        </w:rPr>
      </w:pPr>
      <w:r>
        <w:rPr>
          <w:rFonts w:ascii="宋体" w:hAnsi="宋体"/>
          <w:b/>
          <w:bCs/>
          <w:color w:val="auto"/>
          <w:spacing w:val="-4"/>
          <w:szCs w:val="21"/>
        </w:rPr>
        <w:t>3</w:t>
      </w:r>
      <w:r>
        <w:rPr>
          <w:rFonts w:hint="eastAsia" w:ascii="宋体" w:hAnsi="宋体"/>
          <w:b/>
          <w:bCs/>
          <w:color w:val="auto"/>
          <w:spacing w:val="-4"/>
          <w:szCs w:val="21"/>
        </w:rPr>
        <w:t>、安装施工组织设计方案及售后服务及技术培训方案分……………………………3</w:t>
      </w:r>
      <w:r>
        <w:rPr>
          <w:rFonts w:hint="eastAsia" w:ascii="宋体" w:hAnsi="宋体"/>
          <w:b/>
          <w:bCs/>
          <w:color w:val="auto"/>
          <w:spacing w:val="-4"/>
          <w:szCs w:val="21"/>
          <w:lang w:val="en-US" w:eastAsia="zh-CN"/>
        </w:rPr>
        <w:t>8</w:t>
      </w:r>
      <w:r>
        <w:rPr>
          <w:rFonts w:hint="eastAsia" w:ascii="宋体" w:hAnsi="宋体"/>
          <w:b/>
          <w:bCs/>
          <w:color w:val="auto"/>
          <w:spacing w:val="-4"/>
          <w:szCs w:val="21"/>
        </w:rPr>
        <w:t>分</w:t>
      </w:r>
    </w:p>
    <w:p>
      <w:pPr>
        <w:spacing w:line="360" w:lineRule="exact"/>
        <w:ind w:firstLine="406" w:firstLineChars="200"/>
        <w:rPr>
          <w:rFonts w:ascii="宋体"/>
          <w:b/>
          <w:bCs/>
          <w:color w:val="auto"/>
          <w:spacing w:val="-4"/>
          <w:szCs w:val="21"/>
        </w:rPr>
      </w:pPr>
      <w:r>
        <w:rPr>
          <w:rFonts w:hint="eastAsia" w:ascii="宋体" w:hAnsi="宋体"/>
          <w:b/>
          <w:bCs/>
          <w:color w:val="auto"/>
          <w:spacing w:val="-4"/>
          <w:szCs w:val="21"/>
        </w:rPr>
        <w:t>（</w:t>
      </w:r>
      <w:r>
        <w:rPr>
          <w:rFonts w:ascii="宋体" w:hAnsi="宋体"/>
          <w:b/>
          <w:bCs/>
          <w:color w:val="auto"/>
          <w:spacing w:val="-4"/>
          <w:szCs w:val="21"/>
        </w:rPr>
        <w:t>1</w:t>
      </w:r>
      <w:r>
        <w:rPr>
          <w:rFonts w:hint="eastAsia" w:ascii="宋体" w:hAnsi="宋体"/>
          <w:b/>
          <w:bCs/>
          <w:color w:val="auto"/>
          <w:spacing w:val="-4"/>
          <w:szCs w:val="21"/>
        </w:rPr>
        <w:t>）安装施工组织设计方案分（满分1</w:t>
      </w:r>
      <w:r>
        <w:rPr>
          <w:rFonts w:hint="eastAsia" w:ascii="宋体" w:hAnsi="宋体"/>
          <w:b/>
          <w:bCs/>
          <w:color w:val="auto"/>
          <w:spacing w:val="-4"/>
          <w:szCs w:val="21"/>
          <w:lang w:val="en-US" w:eastAsia="zh-CN"/>
        </w:rPr>
        <w:t>9</w:t>
      </w:r>
      <w:r>
        <w:rPr>
          <w:rFonts w:hint="eastAsia" w:ascii="宋体" w:hAnsi="宋体"/>
          <w:b/>
          <w:bCs/>
          <w:color w:val="auto"/>
          <w:spacing w:val="-4"/>
          <w:szCs w:val="21"/>
        </w:rPr>
        <w:t>分）</w:t>
      </w:r>
    </w:p>
    <w:p>
      <w:pPr>
        <w:spacing w:line="360" w:lineRule="exact"/>
        <w:ind w:firstLine="404" w:firstLineChars="200"/>
        <w:rPr>
          <w:rFonts w:ascii="宋体" w:hAnsi="宋体"/>
          <w:bCs/>
          <w:color w:val="auto"/>
          <w:spacing w:val="-4"/>
          <w:szCs w:val="21"/>
        </w:rPr>
      </w:pPr>
      <w:r>
        <w:rPr>
          <w:rFonts w:hint="eastAsia" w:ascii="宋体" w:hAnsi="宋体"/>
          <w:bCs/>
          <w:color w:val="auto"/>
          <w:spacing w:val="-4"/>
          <w:szCs w:val="21"/>
        </w:rPr>
        <w:t>由评委根据下述标准进行独立评审，并独立打分。</w:t>
      </w:r>
      <w:r>
        <w:rPr>
          <w:rFonts w:hint="eastAsia" w:ascii="宋体" w:hAnsi="宋体"/>
          <w:bCs/>
          <w:color w:val="auto"/>
          <w:spacing w:val="-4"/>
          <w:szCs w:val="21"/>
          <w:lang w:val="zh-CN"/>
        </w:rPr>
        <w:t>不提供不得分。</w:t>
      </w:r>
    </w:p>
    <w:p>
      <w:pPr>
        <w:spacing w:line="360" w:lineRule="exact"/>
        <w:ind w:firstLine="404" w:firstLineChars="200"/>
        <w:rPr>
          <w:rFonts w:ascii="宋体" w:hAnsi="宋体"/>
          <w:bCs/>
          <w:color w:val="auto"/>
          <w:spacing w:val="-4"/>
          <w:szCs w:val="21"/>
          <w:lang w:val="zh-CN"/>
        </w:rPr>
      </w:pPr>
      <w:r>
        <w:rPr>
          <w:rFonts w:hint="eastAsia" w:ascii="宋体" w:hAnsi="宋体"/>
          <w:bCs/>
          <w:color w:val="auto"/>
          <w:spacing w:val="-4"/>
          <w:szCs w:val="21"/>
          <w:lang w:val="zh-CN"/>
        </w:rPr>
        <w:t>一档（</w:t>
      </w:r>
      <w:r>
        <w:rPr>
          <w:rFonts w:hint="eastAsia" w:ascii="宋体" w:hAnsi="宋体"/>
          <w:bCs/>
          <w:color w:val="auto"/>
          <w:spacing w:val="-4"/>
          <w:szCs w:val="21"/>
        </w:rPr>
        <w:t>3</w:t>
      </w:r>
      <w:r>
        <w:rPr>
          <w:rFonts w:hint="eastAsia" w:ascii="宋体" w:hAnsi="宋体"/>
          <w:bCs/>
          <w:color w:val="auto"/>
          <w:spacing w:val="-4"/>
          <w:szCs w:val="21"/>
          <w:lang w:val="zh-CN"/>
        </w:rPr>
        <w:t>分）：提供的方案不够详细、</w:t>
      </w:r>
      <w:r>
        <w:rPr>
          <w:rFonts w:hint="eastAsia" w:ascii="宋体" w:hAnsi="宋体"/>
          <w:bCs/>
          <w:color w:val="auto"/>
          <w:spacing w:val="-4"/>
          <w:szCs w:val="21"/>
        </w:rPr>
        <w:t>不</w:t>
      </w:r>
      <w:r>
        <w:rPr>
          <w:rFonts w:hint="eastAsia" w:ascii="宋体" w:hAnsi="宋体"/>
          <w:bCs/>
          <w:color w:val="auto"/>
          <w:spacing w:val="-4"/>
          <w:szCs w:val="21"/>
          <w:lang w:val="zh-CN"/>
        </w:rPr>
        <w:t>完整，且不符合实际得</w:t>
      </w:r>
      <w:r>
        <w:rPr>
          <w:rFonts w:hint="eastAsia" w:ascii="宋体" w:hAnsi="宋体"/>
          <w:bCs/>
          <w:color w:val="auto"/>
          <w:spacing w:val="-4"/>
          <w:szCs w:val="21"/>
        </w:rPr>
        <w:t>3</w:t>
      </w:r>
      <w:r>
        <w:rPr>
          <w:rFonts w:hint="eastAsia" w:ascii="宋体" w:hAnsi="宋体"/>
          <w:bCs/>
          <w:color w:val="auto"/>
          <w:spacing w:val="-4"/>
          <w:szCs w:val="21"/>
          <w:lang w:val="zh-CN"/>
        </w:rPr>
        <w:t>分；</w:t>
      </w:r>
    </w:p>
    <w:p>
      <w:pPr>
        <w:spacing w:line="360" w:lineRule="exact"/>
        <w:ind w:firstLine="404" w:firstLineChars="200"/>
        <w:rPr>
          <w:rFonts w:ascii="宋体" w:hAnsi="宋体"/>
          <w:bCs/>
          <w:color w:val="auto"/>
          <w:spacing w:val="-4"/>
          <w:szCs w:val="21"/>
        </w:rPr>
      </w:pPr>
      <w:r>
        <w:rPr>
          <w:rFonts w:hint="eastAsia" w:ascii="宋体" w:hAnsi="宋体"/>
          <w:bCs/>
          <w:color w:val="auto"/>
          <w:spacing w:val="-4"/>
          <w:szCs w:val="21"/>
        </w:rPr>
        <w:t>二档（6分）：提供的方案比较详细、完整，但缺乏针对性得6分；</w:t>
      </w:r>
    </w:p>
    <w:p>
      <w:pPr>
        <w:spacing w:line="360" w:lineRule="exact"/>
        <w:ind w:firstLine="404" w:firstLineChars="200"/>
        <w:rPr>
          <w:rFonts w:ascii="宋体" w:hAnsi="宋体"/>
          <w:bCs/>
          <w:color w:val="auto"/>
          <w:spacing w:val="-4"/>
          <w:szCs w:val="21"/>
        </w:rPr>
      </w:pPr>
      <w:r>
        <w:rPr>
          <w:rFonts w:hint="eastAsia" w:ascii="宋体" w:hAnsi="宋体"/>
          <w:bCs/>
          <w:color w:val="auto"/>
          <w:spacing w:val="-4"/>
          <w:szCs w:val="21"/>
        </w:rPr>
        <w:t>三档（9分）：提供的方案详细，明确，具体，有一定针对性，科学合理，综合对比良好，得9分；</w:t>
      </w:r>
    </w:p>
    <w:p>
      <w:pPr>
        <w:spacing w:line="360" w:lineRule="exact"/>
        <w:ind w:firstLine="404" w:firstLineChars="200"/>
        <w:rPr>
          <w:rFonts w:ascii="宋体" w:hAnsi="宋体"/>
          <w:bCs/>
          <w:color w:val="auto"/>
          <w:spacing w:val="-4"/>
          <w:szCs w:val="21"/>
        </w:rPr>
      </w:pPr>
      <w:r>
        <w:rPr>
          <w:rFonts w:hint="eastAsia" w:ascii="宋体" w:hAnsi="宋体"/>
          <w:bCs/>
          <w:color w:val="auto"/>
          <w:spacing w:val="-4"/>
          <w:szCs w:val="21"/>
        </w:rPr>
        <w:t>四档（1</w:t>
      </w:r>
      <w:r>
        <w:rPr>
          <w:rFonts w:hint="eastAsia" w:ascii="宋体" w:hAnsi="宋体"/>
          <w:bCs/>
          <w:color w:val="auto"/>
          <w:spacing w:val="-4"/>
          <w:szCs w:val="21"/>
          <w:lang w:val="en-US" w:eastAsia="zh-CN"/>
        </w:rPr>
        <w:t>4</w:t>
      </w:r>
      <w:r>
        <w:rPr>
          <w:rFonts w:hint="eastAsia" w:ascii="宋体" w:hAnsi="宋体"/>
          <w:bCs/>
          <w:color w:val="auto"/>
          <w:spacing w:val="-4"/>
          <w:szCs w:val="21"/>
        </w:rPr>
        <w:t>分）：提供的方案详细、具体，有较强的针对性和操作性，科学合理，契合项目需求，有详细的技术组织措施，能确保项目顺利实施，得1</w:t>
      </w:r>
      <w:r>
        <w:rPr>
          <w:rFonts w:hint="eastAsia" w:ascii="宋体" w:hAnsi="宋体"/>
          <w:bCs/>
          <w:color w:val="auto"/>
          <w:spacing w:val="-4"/>
          <w:szCs w:val="21"/>
          <w:lang w:val="en-US" w:eastAsia="zh-CN"/>
        </w:rPr>
        <w:t>4</w:t>
      </w:r>
      <w:r>
        <w:rPr>
          <w:rFonts w:hint="eastAsia" w:ascii="宋体" w:hAnsi="宋体"/>
          <w:bCs/>
          <w:color w:val="auto"/>
          <w:spacing w:val="-4"/>
          <w:szCs w:val="21"/>
        </w:rPr>
        <w:t>分；</w:t>
      </w:r>
    </w:p>
    <w:p>
      <w:pPr>
        <w:spacing w:line="360" w:lineRule="exact"/>
        <w:ind w:firstLine="404" w:firstLineChars="200"/>
        <w:rPr>
          <w:color w:val="auto"/>
        </w:rPr>
      </w:pPr>
      <w:r>
        <w:rPr>
          <w:rFonts w:hint="eastAsia" w:ascii="宋体" w:hAnsi="宋体"/>
          <w:bCs/>
          <w:color w:val="auto"/>
          <w:spacing w:val="-4"/>
          <w:szCs w:val="21"/>
        </w:rPr>
        <w:t>五档（1</w:t>
      </w:r>
      <w:r>
        <w:rPr>
          <w:rFonts w:hint="eastAsia" w:ascii="宋体" w:hAnsi="宋体"/>
          <w:bCs/>
          <w:color w:val="auto"/>
          <w:spacing w:val="-4"/>
          <w:szCs w:val="21"/>
          <w:lang w:val="en-US" w:eastAsia="zh-CN"/>
        </w:rPr>
        <w:t>9</w:t>
      </w:r>
      <w:r>
        <w:rPr>
          <w:rFonts w:hint="eastAsia" w:ascii="宋体" w:hAnsi="宋体"/>
          <w:bCs/>
          <w:color w:val="auto"/>
          <w:spacing w:val="-4"/>
          <w:szCs w:val="21"/>
        </w:rPr>
        <w:t>分）：能够结合拟供应产品的技术要素，制定出全面详实、科学合理的施工技术方案，保障工作失误在可控的范围内、工作时效性满足采购人的要求；包括但不限于确保工程质量的技术组织措施、确保工期的技术组织措施、确保安全生产的技术组织措施、确保文明施工的技术组织措施等。提供的方案详细、完整、科学，切实可行且有较强的针对性，综合对比有优势，得1</w:t>
      </w:r>
      <w:r>
        <w:rPr>
          <w:rFonts w:hint="eastAsia" w:ascii="宋体" w:hAnsi="宋体"/>
          <w:bCs/>
          <w:color w:val="auto"/>
          <w:spacing w:val="-4"/>
          <w:szCs w:val="21"/>
          <w:lang w:val="en-US" w:eastAsia="zh-CN"/>
        </w:rPr>
        <w:t>9</w:t>
      </w:r>
      <w:r>
        <w:rPr>
          <w:rFonts w:hint="eastAsia" w:ascii="宋体" w:hAnsi="宋体"/>
          <w:bCs/>
          <w:color w:val="auto"/>
          <w:spacing w:val="-4"/>
          <w:szCs w:val="21"/>
        </w:rPr>
        <w:t>分。</w:t>
      </w:r>
    </w:p>
    <w:p>
      <w:pPr>
        <w:spacing w:line="360" w:lineRule="exact"/>
        <w:ind w:firstLine="406" w:firstLineChars="200"/>
        <w:rPr>
          <w:rFonts w:ascii="宋体" w:hAnsi="宋体"/>
          <w:bCs/>
          <w:color w:val="auto"/>
          <w:spacing w:val="-4"/>
          <w:szCs w:val="21"/>
        </w:rPr>
      </w:pPr>
      <w:r>
        <w:rPr>
          <w:rFonts w:hint="eastAsia" w:ascii="宋体" w:hAnsi="宋体"/>
          <w:b/>
          <w:bCs/>
          <w:color w:val="auto"/>
          <w:spacing w:val="-4"/>
          <w:szCs w:val="21"/>
        </w:rPr>
        <w:t>（2）售后服务及技术培训方案分（满分1</w:t>
      </w:r>
      <w:r>
        <w:rPr>
          <w:rFonts w:hint="eastAsia" w:ascii="宋体" w:hAnsi="宋体"/>
          <w:b/>
          <w:bCs/>
          <w:color w:val="auto"/>
          <w:spacing w:val="-4"/>
          <w:szCs w:val="21"/>
          <w:lang w:val="en-US" w:eastAsia="zh-CN"/>
        </w:rPr>
        <w:t>9</w:t>
      </w:r>
      <w:r>
        <w:rPr>
          <w:rFonts w:hint="eastAsia" w:ascii="宋体" w:hAnsi="宋体"/>
          <w:b/>
          <w:bCs/>
          <w:color w:val="auto"/>
          <w:spacing w:val="-4"/>
          <w:szCs w:val="21"/>
        </w:rPr>
        <w:t>分）</w:t>
      </w:r>
    </w:p>
    <w:p>
      <w:pPr>
        <w:spacing w:line="360" w:lineRule="exact"/>
        <w:ind w:firstLine="404" w:firstLineChars="200"/>
        <w:rPr>
          <w:rFonts w:ascii="宋体"/>
          <w:bCs/>
          <w:color w:val="auto"/>
          <w:spacing w:val="-4"/>
          <w:szCs w:val="21"/>
        </w:rPr>
      </w:pPr>
      <w:r>
        <w:rPr>
          <w:rFonts w:hint="eastAsia" w:ascii="宋体" w:hAnsi="宋体"/>
          <w:bCs/>
          <w:color w:val="auto"/>
          <w:spacing w:val="-4"/>
          <w:szCs w:val="21"/>
        </w:rPr>
        <w:t>由评委根据下述标准进行独立评审，并独立打分。</w:t>
      </w:r>
      <w:r>
        <w:rPr>
          <w:rFonts w:hint="eastAsia" w:ascii="宋体" w:hAnsi="宋体"/>
          <w:bCs/>
          <w:color w:val="auto"/>
          <w:spacing w:val="-4"/>
          <w:szCs w:val="21"/>
          <w:lang w:val="zh-CN"/>
        </w:rPr>
        <w:t>不提供不得分。</w:t>
      </w:r>
    </w:p>
    <w:p>
      <w:pPr>
        <w:spacing w:line="360" w:lineRule="exact"/>
        <w:ind w:firstLine="420" w:firstLineChars="200"/>
        <w:rPr>
          <w:rFonts w:hAnsi="宋体"/>
          <w:color w:val="auto"/>
          <w:szCs w:val="21"/>
          <w:lang w:val="zh-CN"/>
        </w:rPr>
      </w:pPr>
      <w:r>
        <w:rPr>
          <w:rFonts w:hint="eastAsia" w:hAnsi="宋体"/>
          <w:color w:val="auto"/>
          <w:szCs w:val="21"/>
          <w:lang w:val="zh-CN"/>
        </w:rPr>
        <w:t>一档（</w:t>
      </w:r>
      <w:r>
        <w:rPr>
          <w:rFonts w:hint="eastAsia" w:hAnsi="宋体"/>
          <w:color w:val="auto"/>
          <w:szCs w:val="21"/>
        </w:rPr>
        <w:t>3</w:t>
      </w:r>
      <w:r>
        <w:rPr>
          <w:rFonts w:hint="eastAsia" w:hAnsi="宋体"/>
          <w:color w:val="auto"/>
          <w:szCs w:val="21"/>
          <w:lang w:val="zh-CN"/>
        </w:rPr>
        <w:t>分）：</w:t>
      </w:r>
      <w:r>
        <w:rPr>
          <w:rFonts w:hint="eastAsia" w:ascii="宋体" w:hAnsi="宋体"/>
          <w:bCs/>
          <w:color w:val="auto"/>
          <w:spacing w:val="-4"/>
          <w:szCs w:val="21"/>
        </w:rPr>
        <w:t>投标人提供有售后服务方案</w:t>
      </w:r>
      <w:r>
        <w:rPr>
          <w:rFonts w:hint="eastAsia" w:hAnsi="宋体"/>
          <w:color w:val="auto"/>
          <w:szCs w:val="21"/>
          <w:lang w:val="zh-CN"/>
        </w:rPr>
        <w:t>，方案简单，提供的服务仅满足采购文件需求；</w:t>
      </w:r>
    </w:p>
    <w:p>
      <w:pPr>
        <w:spacing w:line="360" w:lineRule="exact"/>
        <w:ind w:firstLine="420" w:firstLineChars="200"/>
        <w:rPr>
          <w:rFonts w:ascii="宋体"/>
          <w:bCs/>
          <w:color w:val="auto"/>
          <w:spacing w:val="-4"/>
          <w:szCs w:val="21"/>
        </w:rPr>
      </w:pPr>
      <w:r>
        <w:rPr>
          <w:rFonts w:hint="eastAsia" w:hAnsi="宋体"/>
          <w:color w:val="auto"/>
          <w:szCs w:val="21"/>
          <w:lang w:val="zh-CN"/>
        </w:rPr>
        <w:t>二档（</w:t>
      </w:r>
      <w:r>
        <w:rPr>
          <w:rFonts w:hint="eastAsia" w:hAnsi="宋体"/>
          <w:color w:val="auto"/>
          <w:szCs w:val="21"/>
        </w:rPr>
        <w:t>6</w:t>
      </w:r>
      <w:r>
        <w:rPr>
          <w:rFonts w:hint="eastAsia" w:hAnsi="宋体"/>
          <w:color w:val="auto"/>
          <w:szCs w:val="21"/>
          <w:lang w:val="zh-CN"/>
        </w:rPr>
        <w:t>分）：</w:t>
      </w:r>
      <w:r>
        <w:rPr>
          <w:rFonts w:hint="eastAsia" w:ascii="宋体" w:hAnsi="宋体"/>
          <w:bCs/>
          <w:color w:val="auto"/>
          <w:spacing w:val="-4"/>
          <w:szCs w:val="21"/>
        </w:rPr>
        <w:t>投标人提供的售后服务方案、培训方案简单，满足项目要求，</w:t>
      </w:r>
      <w:r>
        <w:rPr>
          <w:rFonts w:hint="eastAsia" w:hAnsi="宋体"/>
          <w:color w:val="auto"/>
          <w:szCs w:val="21"/>
          <w:lang w:val="zh-CN"/>
        </w:rPr>
        <w:t>方案中项目售后维护和应急保障方案较好，</w:t>
      </w:r>
      <w:r>
        <w:rPr>
          <w:rFonts w:hint="eastAsia" w:ascii="宋体" w:hAnsi="宋体"/>
          <w:bCs/>
          <w:color w:val="auto"/>
          <w:spacing w:val="-4"/>
          <w:szCs w:val="21"/>
        </w:rPr>
        <w:t>有承诺服务响应时间、定期回访、问题产品替换方案等内容，得6分；</w:t>
      </w:r>
    </w:p>
    <w:p>
      <w:pPr>
        <w:spacing w:line="440" w:lineRule="exact"/>
        <w:ind w:firstLine="395" w:firstLineChars="196"/>
        <w:rPr>
          <w:rFonts w:ascii="宋体" w:hAnsi="宋体"/>
          <w:bCs/>
          <w:color w:val="auto"/>
          <w:spacing w:val="-4"/>
          <w:szCs w:val="21"/>
        </w:rPr>
      </w:pPr>
      <w:r>
        <w:rPr>
          <w:rFonts w:hint="eastAsia" w:ascii="宋体" w:hAnsi="宋体"/>
          <w:bCs/>
          <w:color w:val="auto"/>
          <w:spacing w:val="-4"/>
          <w:szCs w:val="21"/>
        </w:rPr>
        <w:t>三档（9分）：投标人提供的售后服务方案、培训方案完整，有一定操作性和针对性，满足项目要求，</w:t>
      </w:r>
      <w:r>
        <w:rPr>
          <w:rFonts w:hint="eastAsia" w:hAnsi="宋体"/>
          <w:color w:val="auto"/>
          <w:szCs w:val="21"/>
          <w:lang w:val="zh-CN"/>
        </w:rPr>
        <w:t>方案中项目售后维护和应急保障方案较好，</w:t>
      </w:r>
      <w:r>
        <w:rPr>
          <w:rFonts w:hint="eastAsia" w:ascii="宋体" w:hAnsi="宋体"/>
          <w:bCs/>
          <w:color w:val="auto"/>
          <w:spacing w:val="-4"/>
          <w:szCs w:val="21"/>
        </w:rPr>
        <w:t>有承诺服务响应时间、定期回访、问题产品替换方案等内容，得9分；</w:t>
      </w:r>
    </w:p>
    <w:p>
      <w:pPr>
        <w:spacing w:line="360" w:lineRule="exact"/>
        <w:ind w:firstLine="404" w:firstLineChars="200"/>
        <w:rPr>
          <w:rFonts w:ascii="宋体" w:hAnsi="宋体"/>
          <w:bCs/>
          <w:color w:val="auto"/>
          <w:spacing w:val="-4"/>
          <w:szCs w:val="21"/>
        </w:rPr>
      </w:pPr>
      <w:r>
        <w:rPr>
          <w:rFonts w:hint="eastAsia" w:ascii="宋体" w:hAnsi="宋体"/>
          <w:bCs/>
          <w:color w:val="auto"/>
          <w:spacing w:val="-4"/>
          <w:szCs w:val="21"/>
        </w:rPr>
        <w:t>四档（1</w:t>
      </w:r>
      <w:r>
        <w:rPr>
          <w:rFonts w:hint="eastAsia" w:ascii="宋体" w:hAnsi="宋体"/>
          <w:bCs/>
          <w:color w:val="auto"/>
          <w:spacing w:val="-4"/>
          <w:szCs w:val="21"/>
          <w:lang w:val="en-US" w:eastAsia="zh-CN"/>
        </w:rPr>
        <w:t>4</w:t>
      </w:r>
      <w:r>
        <w:rPr>
          <w:rFonts w:hint="eastAsia" w:ascii="宋体" w:hAnsi="宋体"/>
          <w:bCs/>
          <w:color w:val="auto"/>
          <w:spacing w:val="-4"/>
          <w:szCs w:val="21"/>
        </w:rPr>
        <w:t>分）：投标人提供的售后服务方案、培训方案完整详细，有操作性和针对性，很好的满足项目要求，</w:t>
      </w:r>
      <w:r>
        <w:rPr>
          <w:rFonts w:hint="eastAsia" w:hAnsi="宋体"/>
          <w:color w:val="auto"/>
          <w:szCs w:val="21"/>
          <w:lang w:val="zh-CN"/>
        </w:rPr>
        <w:t>方案中项目售后维护和应急保障方案较好，</w:t>
      </w:r>
      <w:r>
        <w:rPr>
          <w:rFonts w:hint="eastAsia" w:hAnsi="宋体"/>
          <w:color w:val="auto"/>
          <w:szCs w:val="21"/>
        </w:rPr>
        <w:t>有</w:t>
      </w:r>
      <w:r>
        <w:rPr>
          <w:rFonts w:hint="eastAsia" w:ascii="宋体" w:hAnsi="宋体"/>
          <w:bCs/>
          <w:color w:val="auto"/>
          <w:spacing w:val="-4"/>
          <w:szCs w:val="21"/>
        </w:rPr>
        <w:t>承诺服务响应时间、定期回访、问题产品替换方案、人员安排等内容，服务体系完善，得1</w:t>
      </w:r>
      <w:r>
        <w:rPr>
          <w:rFonts w:hint="eastAsia" w:ascii="宋体" w:hAnsi="宋体"/>
          <w:bCs/>
          <w:color w:val="auto"/>
          <w:spacing w:val="-4"/>
          <w:szCs w:val="21"/>
          <w:lang w:val="en-US" w:eastAsia="zh-CN"/>
        </w:rPr>
        <w:t>4</w:t>
      </w:r>
      <w:r>
        <w:rPr>
          <w:rFonts w:hint="eastAsia" w:ascii="宋体" w:hAnsi="宋体"/>
          <w:bCs/>
          <w:color w:val="auto"/>
          <w:spacing w:val="-4"/>
          <w:szCs w:val="21"/>
        </w:rPr>
        <w:t>分；</w:t>
      </w:r>
    </w:p>
    <w:p>
      <w:pPr>
        <w:spacing w:line="360" w:lineRule="exact"/>
        <w:ind w:firstLine="404" w:firstLineChars="200"/>
        <w:rPr>
          <w:color w:val="auto"/>
        </w:rPr>
      </w:pPr>
      <w:r>
        <w:rPr>
          <w:rFonts w:hint="eastAsia" w:ascii="宋体" w:hAnsi="宋体"/>
          <w:bCs/>
          <w:color w:val="auto"/>
          <w:spacing w:val="-4"/>
          <w:szCs w:val="21"/>
        </w:rPr>
        <w:t>五档（</w:t>
      </w:r>
      <w:r>
        <w:rPr>
          <w:rFonts w:hint="eastAsia" w:ascii="宋体" w:hAnsi="宋体"/>
          <w:bCs/>
          <w:color w:val="auto"/>
          <w:spacing w:val="-4"/>
          <w:szCs w:val="21"/>
          <w:lang w:val="en-US" w:eastAsia="zh-CN"/>
        </w:rPr>
        <w:t>19</w:t>
      </w:r>
      <w:r>
        <w:rPr>
          <w:rFonts w:hint="eastAsia" w:ascii="宋体" w:hAnsi="宋体"/>
          <w:bCs/>
          <w:color w:val="auto"/>
          <w:spacing w:val="-4"/>
          <w:szCs w:val="21"/>
        </w:rPr>
        <w:t>分）：提供切实可行的售后服务及技术培训方案，针对项目在运营过程中的售后服务及技术咨询支持，重点从后期服务响应时间、人员安排、服务网点设置、技术培训方案、问题产品替换方案、</w:t>
      </w:r>
      <w:r>
        <w:rPr>
          <w:rFonts w:hint="eastAsia" w:hAnsi="宋体"/>
          <w:color w:val="auto"/>
          <w:szCs w:val="21"/>
          <w:lang w:val="zh-CN"/>
        </w:rPr>
        <w:t>项目售后维护和应急保障方案</w:t>
      </w:r>
      <w:r>
        <w:rPr>
          <w:rFonts w:hint="eastAsia" w:ascii="宋体" w:hAnsi="宋体"/>
          <w:bCs/>
          <w:color w:val="auto"/>
          <w:spacing w:val="-4"/>
          <w:szCs w:val="21"/>
        </w:rPr>
        <w:t>等综合考评。提供的售后服务及技术培训方案详细、完整，响应时间及时，服务机构健全，综合对比有优势，得</w:t>
      </w:r>
      <w:r>
        <w:rPr>
          <w:rFonts w:ascii="宋体" w:hAnsi="宋体"/>
          <w:bCs/>
          <w:color w:val="auto"/>
          <w:spacing w:val="-4"/>
          <w:szCs w:val="21"/>
        </w:rPr>
        <w:t>1</w:t>
      </w:r>
      <w:r>
        <w:rPr>
          <w:rFonts w:hint="eastAsia" w:ascii="宋体" w:hAnsi="宋体"/>
          <w:bCs/>
          <w:color w:val="auto"/>
          <w:spacing w:val="-4"/>
          <w:szCs w:val="21"/>
          <w:lang w:val="en-US" w:eastAsia="zh-CN"/>
        </w:rPr>
        <w:t>9</w:t>
      </w:r>
      <w:r>
        <w:rPr>
          <w:rFonts w:hint="eastAsia" w:ascii="宋体" w:hAnsi="宋体"/>
          <w:bCs/>
          <w:color w:val="auto"/>
          <w:spacing w:val="-4"/>
          <w:szCs w:val="21"/>
        </w:rPr>
        <w:t>分。</w:t>
      </w:r>
    </w:p>
    <w:p>
      <w:pPr>
        <w:spacing w:line="360" w:lineRule="exact"/>
        <w:ind w:firstLine="406" w:firstLineChars="200"/>
        <w:rPr>
          <w:rFonts w:ascii="宋体"/>
          <w:b/>
          <w:bCs/>
          <w:color w:val="auto"/>
          <w:spacing w:val="-4"/>
          <w:szCs w:val="21"/>
        </w:rPr>
      </w:pPr>
      <w:r>
        <w:rPr>
          <w:rFonts w:ascii="宋体" w:hAnsi="宋体"/>
          <w:b/>
          <w:bCs/>
          <w:color w:val="auto"/>
          <w:spacing w:val="-4"/>
          <w:szCs w:val="21"/>
        </w:rPr>
        <w:t>4</w:t>
      </w:r>
      <w:r>
        <w:rPr>
          <w:rFonts w:hint="eastAsia" w:ascii="宋体" w:hAnsi="宋体"/>
          <w:b/>
          <w:bCs/>
          <w:color w:val="auto"/>
          <w:spacing w:val="-4"/>
          <w:szCs w:val="21"/>
        </w:rPr>
        <w:t>、信誉业绩分……………………………………………………………………</w:t>
      </w:r>
      <w:r>
        <w:rPr>
          <w:rFonts w:hint="eastAsia" w:ascii="宋体" w:hAnsi="宋体"/>
          <w:b/>
          <w:bCs/>
          <w:color w:val="auto"/>
          <w:spacing w:val="-4"/>
          <w:szCs w:val="21"/>
        </w:rPr>
        <w:t>……</w:t>
      </w:r>
      <w:r>
        <w:rPr>
          <w:rFonts w:hint="eastAsia" w:ascii="宋体" w:hAnsi="宋体"/>
          <w:b/>
          <w:bCs/>
          <w:color w:val="auto"/>
          <w:spacing w:val="-4"/>
          <w:szCs w:val="21"/>
          <w:lang w:val="en-US" w:eastAsia="zh-CN"/>
        </w:rPr>
        <w:t>9</w:t>
      </w:r>
      <w:r>
        <w:rPr>
          <w:rFonts w:hint="eastAsia" w:ascii="宋体" w:hAnsi="宋体"/>
          <w:b/>
          <w:bCs/>
          <w:color w:val="auto"/>
          <w:spacing w:val="-4"/>
          <w:szCs w:val="21"/>
        </w:rPr>
        <w:t>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w:t>
      </w:r>
      <w:r>
        <w:rPr>
          <w:rFonts w:hAnsi="宋体"/>
          <w:bCs/>
          <w:color w:val="auto"/>
          <w:sz w:val="21"/>
        </w:rPr>
        <w:t>1</w:t>
      </w:r>
      <w:r>
        <w:rPr>
          <w:rFonts w:hint="eastAsia" w:hAnsi="宋体"/>
          <w:bCs/>
          <w:color w:val="auto"/>
          <w:sz w:val="21"/>
        </w:rPr>
        <w:t>）投标人具有国家认定企业技术中心证书得0.5分；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（2）投标人具有设备检测及校验资质（CNAS）实验室认证证书得0.5分；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（3）投标人具有安全生产标准化二级及以上证书得1分；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（4）投标人具有医疗废物处理设备集中控制系统软件著作权的得1分。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（5）投标人提供2017年以来医疗废物高温蒸煮处置设备案例的每个得0.5分，最多得6分。（提供中标通知书及合同扫描件加盖公章，合同须提供关键页的扫描件，至少包括首页、签字盖章页、合同签订日期页等）。</w:t>
      </w:r>
    </w:p>
    <w:p>
      <w:pPr>
        <w:pStyle w:val="23"/>
        <w:adjustRightInd w:val="0"/>
        <w:spacing w:line="380" w:lineRule="exact"/>
        <w:ind w:firstLine="417" w:firstLineChars="198"/>
        <w:contextualSpacing/>
        <w:rPr>
          <w:rFonts w:hAnsi="宋体"/>
          <w:b/>
          <w:color w:val="auto"/>
          <w:sz w:val="21"/>
        </w:rPr>
      </w:pPr>
      <w:r>
        <w:rPr>
          <w:rFonts w:hAnsi="宋体"/>
          <w:b/>
          <w:color w:val="auto"/>
          <w:sz w:val="21"/>
        </w:rPr>
        <w:t>5</w:t>
      </w:r>
      <w:r>
        <w:rPr>
          <w:rFonts w:hint="eastAsia" w:hAnsi="宋体"/>
          <w:b/>
          <w:color w:val="auto"/>
          <w:sz w:val="21"/>
        </w:rPr>
        <w:t>、拟投入人员配备分</w:t>
      </w:r>
      <w:r>
        <w:rPr>
          <w:rFonts w:hint="eastAsia" w:hAnsi="宋体"/>
          <w:b/>
          <w:bCs/>
          <w:color w:val="auto"/>
          <w:spacing w:val="-4"/>
        </w:rPr>
        <w:t>………………………………………………………………10分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（1）投标人针对本项目拟派驻的项目负责人（项目经理）为机电工程专业一级建造师者得 3分，机电工程专业二级建造师者得 1 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（2）投标人针对本项目拟派驻的技术负责人为高级工程师者得 3分，中级工程师者得 1 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（3）投标人其他各专业技术人员应同时具备资料员、劳务员、安全员、质量员、施工员，得4 分。</w:t>
      </w:r>
    </w:p>
    <w:p>
      <w:pPr>
        <w:pStyle w:val="23"/>
        <w:adjustRightInd w:val="0"/>
        <w:spacing w:line="380" w:lineRule="exact"/>
        <w:ind w:firstLine="415" w:firstLineChars="198"/>
        <w:contextualSpacing/>
        <w:rPr>
          <w:rFonts w:hAnsi="宋体"/>
          <w:bCs/>
          <w:color w:val="auto"/>
          <w:sz w:val="21"/>
        </w:rPr>
      </w:pPr>
      <w:r>
        <w:rPr>
          <w:rFonts w:hint="eastAsia" w:hAnsi="宋体"/>
          <w:bCs/>
          <w:color w:val="auto"/>
          <w:sz w:val="21"/>
        </w:rPr>
        <w:t>（同时提供以上人员相应证书及近期连续三个月的公司社保缴纳证明，扫描件须加盖公章，未加盖公章的不得分）。</w:t>
      </w:r>
    </w:p>
    <w:p>
      <w:pPr>
        <w:pStyle w:val="23"/>
        <w:adjustRightInd w:val="0"/>
        <w:spacing w:line="380" w:lineRule="exact"/>
        <w:ind w:firstLine="417" w:firstLineChars="198"/>
        <w:contextualSpacing/>
        <w:rPr>
          <w:rFonts w:hAnsi="宋体" w:cs="宋体"/>
          <w:b/>
          <w:bCs/>
          <w:color w:val="auto"/>
          <w:sz w:val="21"/>
        </w:rPr>
      </w:pPr>
      <w:r>
        <w:rPr>
          <w:rFonts w:hint="eastAsia" w:hAnsi="宋体"/>
          <w:b/>
          <w:color w:val="auto"/>
          <w:sz w:val="21"/>
        </w:rPr>
        <w:t>6、</w:t>
      </w:r>
      <w:r>
        <w:rPr>
          <w:rFonts w:hint="eastAsia" w:hAnsi="宋体" w:cs="宋体"/>
          <w:b/>
          <w:bCs/>
          <w:color w:val="auto"/>
          <w:sz w:val="21"/>
        </w:rPr>
        <w:t>政策功能分</w:t>
      </w:r>
      <w:r>
        <w:rPr>
          <w:rFonts w:hAnsi="宋体" w:cs="宋体"/>
          <w:b/>
          <w:bCs/>
          <w:color w:val="auto"/>
          <w:sz w:val="21"/>
        </w:rPr>
        <w:t>(</w:t>
      </w:r>
      <w:r>
        <w:rPr>
          <w:rFonts w:hint="eastAsia" w:hAnsi="宋体" w:cs="宋体"/>
          <w:b/>
          <w:bCs/>
          <w:color w:val="auto"/>
          <w:sz w:val="21"/>
        </w:rPr>
        <w:t>节能、环保</w:t>
      </w:r>
      <w:r>
        <w:rPr>
          <w:rFonts w:hAnsi="宋体" w:cs="宋体"/>
          <w:b/>
          <w:bCs/>
          <w:color w:val="auto"/>
          <w:sz w:val="21"/>
        </w:rPr>
        <w:t>)</w:t>
      </w:r>
      <w:r>
        <w:rPr>
          <w:rFonts w:hint="eastAsia" w:hAnsi="宋体" w:cs="宋体"/>
          <w:b/>
          <w:bCs/>
          <w:color w:val="auto"/>
          <w:sz w:val="21"/>
        </w:rPr>
        <w:t>………………………………</w:t>
      </w:r>
      <w:r>
        <w:rPr>
          <w:rFonts w:hint="eastAsia" w:hAnsi="宋体" w:cs="宋体"/>
          <w:b/>
          <w:bCs/>
          <w:color w:val="auto"/>
          <w:sz w:val="21"/>
        </w:rPr>
        <w:t>…</w:t>
      </w:r>
      <w:r>
        <w:rPr>
          <w:rFonts w:hint="eastAsia" w:hAnsi="宋体" w:cs="宋体"/>
          <w:b/>
          <w:bCs/>
          <w:color w:val="auto"/>
          <w:sz w:val="21"/>
          <w:lang w:val="en-US" w:eastAsia="zh-CN"/>
        </w:rPr>
        <w:t>2</w:t>
      </w:r>
      <w:r>
        <w:rPr>
          <w:rFonts w:hint="eastAsia" w:hAnsi="宋体" w:cs="宋体"/>
          <w:b/>
          <w:bCs/>
          <w:color w:val="auto"/>
          <w:sz w:val="21"/>
        </w:rPr>
        <w:t>分</w:t>
      </w:r>
    </w:p>
    <w:p>
      <w:pPr>
        <w:pStyle w:val="23"/>
        <w:adjustRightInd w:val="0"/>
        <w:spacing w:line="380" w:lineRule="exact"/>
        <w:ind w:firstLine="420" w:firstLineChars="200"/>
        <w:contextualSpacing/>
        <w:rPr>
          <w:rFonts w:hAnsi="宋体" w:cs="宋体"/>
          <w:bCs/>
          <w:color w:val="auto"/>
          <w:sz w:val="21"/>
        </w:rPr>
      </w:pPr>
      <w:r>
        <w:rPr>
          <w:rFonts w:hAnsi="宋体" w:cs="宋体"/>
          <w:bCs/>
          <w:color w:val="auto"/>
          <w:sz w:val="21"/>
        </w:rPr>
        <w:t>(1)</w:t>
      </w:r>
      <w:r>
        <w:rPr>
          <w:rFonts w:hint="eastAsia" w:hAnsi="宋体" w:cs="宋体"/>
          <w:bCs/>
          <w:color w:val="auto"/>
          <w:sz w:val="21"/>
        </w:rPr>
        <w:t>投标核心产品列入财政部、国家发展和改革委员会制定和公布的最新一期《节能产品政府采购清单》每项得</w:t>
      </w:r>
      <w:r>
        <w:rPr>
          <w:rFonts w:hAnsi="宋体" w:cs="宋体"/>
          <w:bCs/>
          <w:color w:val="auto"/>
          <w:sz w:val="21"/>
        </w:rPr>
        <w:t>0.5</w:t>
      </w:r>
      <w:r>
        <w:rPr>
          <w:rFonts w:hint="eastAsia" w:hAnsi="宋体" w:cs="宋体"/>
          <w:bCs/>
          <w:color w:val="auto"/>
          <w:sz w:val="21"/>
        </w:rPr>
        <w:t>分（以清单复印件为准，投标产品需清晰反映在清单上），满分</w:t>
      </w:r>
      <w:r>
        <w:rPr>
          <w:rFonts w:hAnsi="宋体" w:cs="宋体"/>
          <w:bCs/>
          <w:color w:val="auto"/>
          <w:sz w:val="21"/>
        </w:rPr>
        <w:t>1</w:t>
      </w:r>
      <w:r>
        <w:rPr>
          <w:rFonts w:hint="eastAsia" w:hAnsi="宋体" w:cs="宋体"/>
          <w:bCs/>
          <w:color w:val="auto"/>
          <w:sz w:val="21"/>
        </w:rPr>
        <w:t>分。</w:t>
      </w:r>
    </w:p>
    <w:p>
      <w:pPr>
        <w:pStyle w:val="23"/>
        <w:adjustRightInd w:val="0"/>
        <w:spacing w:line="380" w:lineRule="exact"/>
        <w:ind w:firstLine="420" w:firstLineChars="200"/>
        <w:contextualSpacing/>
        <w:rPr>
          <w:rFonts w:hAnsi="宋体" w:cs="宋体"/>
          <w:bCs/>
          <w:color w:val="auto"/>
          <w:sz w:val="21"/>
        </w:rPr>
      </w:pPr>
      <w:r>
        <w:rPr>
          <w:rFonts w:hAnsi="宋体" w:cs="宋体"/>
          <w:bCs/>
          <w:color w:val="auto"/>
          <w:sz w:val="21"/>
        </w:rPr>
        <w:t>(2)</w:t>
      </w:r>
      <w:r>
        <w:rPr>
          <w:rFonts w:hint="eastAsia" w:hAnsi="宋体" w:cs="宋体"/>
          <w:bCs/>
          <w:color w:val="auto"/>
          <w:sz w:val="21"/>
        </w:rPr>
        <w:t>投标核心产品列入财政部、国家环保总局制定和公布最新一期《环境标志产品政府采购清单》的每项得</w:t>
      </w:r>
      <w:r>
        <w:rPr>
          <w:rFonts w:hAnsi="宋体" w:cs="宋体"/>
          <w:bCs/>
          <w:color w:val="auto"/>
          <w:sz w:val="21"/>
        </w:rPr>
        <w:t>0.5</w:t>
      </w:r>
      <w:r>
        <w:rPr>
          <w:rFonts w:hint="eastAsia" w:hAnsi="宋体" w:cs="宋体"/>
          <w:bCs/>
          <w:color w:val="auto"/>
          <w:sz w:val="21"/>
        </w:rPr>
        <w:t>分（以清单复印件为准，投标产品需清晰反映在清单上），满分</w:t>
      </w:r>
      <w:r>
        <w:rPr>
          <w:rFonts w:hAnsi="宋体" w:cs="宋体"/>
          <w:bCs/>
          <w:color w:val="auto"/>
          <w:sz w:val="21"/>
        </w:rPr>
        <w:t>1</w:t>
      </w:r>
      <w:r>
        <w:rPr>
          <w:rFonts w:hint="eastAsia" w:hAnsi="宋体" w:cs="宋体"/>
          <w:bCs/>
          <w:color w:val="auto"/>
          <w:sz w:val="21"/>
        </w:rPr>
        <w:t>分。</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（三）总得分</w:t>
      </w:r>
      <w:r>
        <w:rPr>
          <w:rFonts w:hAnsi="宋体" w:cs="宋体"/>
          <w:bCs/>
          <w:color w:val="auto"/>
          <w:sz w:val="21"/>
        </w:rPr>
        <w:t>=1+2+3+4+5</w:t>
      </w:r>
      <w:r>
        <w:rPr>
          <w:rFonts w:hint="eastAsia" w:hAnsi="宋体" w:cs="宋体"/>
          <w:bCs/>
          <w:color w:val="auto"/>
          <w:sz w:val="21"/>
        </w:rPr>
        <w:t>+6。</w:t>
      </w:r>
    </w:p>
    <w:p>
      <w:pPr>
        <w:pStyle w:val="23"/>
        <w:adjustRightInd w:val="0"/>
        <w:spacing w:line="380" w:lineRule="exact"/>
        <w:ind w:firstLine="422" w:firstLineChars="200"/>
        <w:contextualSpacing/>
        <w:rPr>
          <w:rFonts w:hAnsi="宋体" w:cs="宋体"/>
          <w:bCs/>
          <w:color w:val="auto"/>
          <w:sz w:val="21"/>
        </w:rPr>
      </w:pPr>
      <w:r>
        <w:rPr>
          <w:rFonts w:hint="eastAsia" w:hAnsi="宋体" w:cs="宋体"/>
          <w:b/>
          <w:color w:val="auto"/>
          <w:sz w:val="21"/>
        </w:rPr>
        <w:t>三、中标候选人推荐原则</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评标委员会将按评审后得分由高到低顺序排列。得分相同的，按投标报价由低到高顺序排列。得分且投标报价相同的并列。投标文件满足招标文件全部实质性要求，且评审得分最高的投标人为排名第一的中标候选人。</w:t>
      </w:r>
      <w:r>
        <w:rPr>
          <w:rFonts w:hint="eastAsia" w:hAnsi="宋体"/>
          <w:color w:val="auto"/>
          <w:sz w:val="21"/>
          <w:shd w:val="clear" w:color="auto" w:fill="FFFFFF"/>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pPr>
        <w:pStyle w:val="23"/>
        <w:adjustRightInd w:val="0"/>
        <w:spacing w:line="380" w:lineRule="exact"/>
        <w:ind w:firstLine="422" w:firstLineChars="200"/>
        <w:contextualSpacing/>
        <w:rPr>
          <w:rFonts w:hAnsi="宋体" w:cs="宋体"/>
          <w:bCs/>
          <w:color w:val="auto"/>
          <w:sz w:val="21"/>
        </w:rPr>
      </w:pPr>
      <w:r>
        <w:rPr>
          <w:rFonts w:hint="eastAsia" w:hAnsi="宋体" w:cs="宋体"/>
          <w:b/>
          <w:color w:val="auto"/>
          <w:sz w:val="21"/>
        </w:rPr>
        <w:t>四、特别说明</w:t>
      </w:r>
    </w:p>
    <w:p>
      <w:pPr>
        <w:pStyle w:val="23"/>
        <w:spacing w:line="340" w:lineRule="exact"/>
        <w:ind w:firstLine="420" w:firstLineChars="200"/>
        <w:rPr>
          <w:color w:val="auto"/>
          <w:sz w:val="21"/>
        </w:rPr>
      </w:pPr>
      <w:r>
        <w:rPr>
          <w:rFonts w:hint="eastAsia" w:hAnsi="宋体" w:cs="宋体"/>
          <w:bCs/>
          <w:color w:val="auto"/>
          <w:sz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bookmarkStart w:id="553" w:name="_Toc327735683"/>
    </w:p>
    <w:p>
      <w:pPr>
        <w:pStyle w:val="37"/>
        <w:rPr>
          <w:rStyle w:val="56"/>
          <w:rFonts w:cs="Times New Roman"/>
          <w:b/>
          <w:color w:val="auto"/>
          <w:sz w:val="21"/>
          <w:szCs w:val="21"/>
        </w:rPr>
      </w:pPr>
      <w:bookmarkStart w:id="554" w:name="_Toc32131"/>
    </w:p>
    <w:p>
      <w:pPr>
        <w:pStyle w:val="37"/>
        <w:jc w:val="both"/>
        <w:rPr>
          <w:rStyle w:val="56"/>
          <w:rFonts w:cs="Times New Roman"/>
          <w:b/>
          <w:color w:val="auto"/>
          <w:sz w:val="36"/>
          <w:szCs w:val="36"/>
        </w:rPr>
      </w:pPr>
    </w:p>
    <w:p>
      <w:pPr>
        <w:pStyle w:val="37"/>
        <w:rPr>
          <w:rFonts w:ascii="宋体"/>
          <w:b w:val="0"/>
          <w:bCs w:val="0"/>
          <w:color w:val="auto"/>
        </w:rPr>
      </w:pPr>
      <w:r>
        <w:rPr>
          <w:rStyle w:val="56"/>
          <w:rFonts w:hint="eastAsia" w:cs="Times New Roman"/>
          <w:b/>
          <w:color w:val="auto"/>
          <w:sz w:val="36"/>
          <w:szCs w:val="36"/>
        </w:rPr>
        <w:t>第五章</w:t>
      </w:r>
      <w:r>
        <w:rPr>
          <w:rStyle w:val="56"/>
          <w:rFonts w:cs="Times New Roman"/>
          <w:b/>
          <w:color w:val="auto"/>
          <w:sz w:val="36"/>
          <w:szCs w:val="36"/>
        </w:rPr>
        <w:t xml:space="preserve">  </w:t>
      </w:r>
      <w:r>
        <w:rPr>
          <w:rStyle w:val="56"/>
          <w:rFonts w:hint="eastAsia" w:cs="Times New Roman"/>
          <w:b/>
          <w:color w:val="auto"/>
          <w:sz w:val="36"/>
          <w:szCs w:val="36"/>
        </w:rPr>
        <w:t>合同主要条款格式</w:t>
      </w:r>
      <w:bookmarkEnd w:id="553"/>
      <w:bookmarkEnd w:id="554"/>
      <w:r>
        <w:rPr>
          <w:rStyle w:val="56"/>
          <w:rFonts w:cs="Times New Roman"/>
          <w:b/>
          <w:color w:val="auto"/>
          <w:sz w:val="36"/>
          <w:szCs w:val="36"/>
        </w:rPr>
        <w:t xml:space="preserve"> </w:t>
      </w:r>
      <w:r>
        <w:rPr>
          <w:rFonts w:ascii="宋体" w:hAnsi="宋体"/>
          <w:b w:val="0"/>
          <w:bCs w:val="0"/>
          <w:color w:val="auto"/>
        </w:rPr>
        <w:t xml:space="preserve">                         </w:t>
      </w:r>
    </w:p>
    <w:p>
      <w:pPr>
        <w:spacing w:line="360" w:lineRule="auto"/>
        <w:jc w:val="center"/>
        <w:rPr>
          <w:color w:val="auto"/>
          <w:sz w:val="22"/>
          <w:szCs w:val="22"/>
        </w:rPr>
      </w:pPr>
      <w:r>
        <w:rPr>
          <w:rFonts w:ascii="仿宋_GB2312" w:eastAsia="仿宋_GB2312"/>
          <w:bCs/>
          <w:color w:val="auto"/>
          <w:sz w:val="24"/>
        </w:rPr>
        <w:t xml:space="preserve">                                                                                                </w:t>
      </w:r>
      <w:bookmarkStart w:id="555" w:name="_Toc327735684"/>
      <w:bookmarkStart w:id="556" w:name="_Toc15156"/>
    </w:p>
    <w:p>
      <w:pPr>
        <w:snapToGrid w:val="0"/>
        <w:spacing w:line="480" w:lineRule="auto"/>
        <w:jc w:val="center"/>
        <w:rPr>
          <w:rFonts w:ascii="宋体" w:cs="宋体"/>
          <w:b/>
          <w:color w:val="auto"/>
          <w:sz w:val="32"/>
          <w:szCs w:val="32"/>
        </w:rPr>
      </w:pPr>
      <w:r>
        <w:rPr>
          <w:rFonts w:hint="eastAsia" w:ascii="宋体" w:hAnsi="宋体" w:cs="宋体"/>
          <w:b/>
          <w:bCs/>
          <w:color w:val="auto"/>
          <w:sz w:val="32"/>
          <w:szCs w:val="32"/>
        </w:rPr>
        <w:t>《广西壮族自治区政府采购合同》</w:t>
      </w:r>
    </w:p>
    <w:p>
      <w:pPr>
        <w:snapToGrid w:val="0"/>
        <w:spacing w:line="320" w:lineRule="exact"/>
        <w:rPr>
          <w:rFonts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r>
        <w:rPr>
          <w:rFonts w:hint="eastAsia" w:ascii="宋体" w:hAnsi="宋体" w:cs="宋体"/>
          <w:color w:val="auto"/>
          <w:spacing w:val="-20"/>
          <w:szCs w:val="21"/>
        </w:rPr>
        <w:t xml:space="preserve">  采 购 计 划 号</w:t>
      </w:r>
      <w:r>
        <w:rPr>
          <w:rFonts w:hint="eastAsia" w:ascii="宋体" w:hAnsi="宋体" w:cs="宋体"/>
          <w:color w:val="auto"/>
          <w:szCs w:val="21"/>
          <w:u w:val="single"/>
        </w:rPr>
        <w:t xml:space="preserve">             </w:t>
      </w:r>
    </w:p>
    <w:p>
      <w:pPr>
        <w:snapToGrid w:val="0"/>
        <w:spacing w:line="320" w:lineRule="exact"/>
        <w:rPr>
          <w:rFonts w:ascii="宋体" w:hAnsi="宋体" w:cs="宋体"/>
          <w:color w:val="auto"/>
          <w:szCs w:val="21"/>
          <w:u w:val="single"/>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20"/>
          <w:szCs w:val="21"/>
        </w:rPr>
        <w:t>项目名称和编号</w:t>
      </w:r>
      <w:r>
        <w:rPr>
          <w:rFonts w:hint="eastAsia" w:ascii="宋体" w:hAnsi="宋体" w:cs="宋体"/>
          <w:color w:val="auto"/>
          <w:szCs w:val="21"/>
          <w:u w:val="single"/>
        </w:rPr>
        <w:t xml:space="preserve">             </w:t>
      </w:r>
    </w:p>
    <w:p>
      <w:pPr>
        <w:snapToGrid w:val="0"/>
        <w:spacing w:line="320" w:lineRule="exact"/>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 </w:t>
      </w:r>
      <w:r>
        <w:rPr>
          <w:rFonts w:hint="eastAsia" w:ascii="宋体" w:hAnsi="宋体" w:cs="宋体"/>
          <w:color w:val="auto"/>
          <w:szCs w:val="21"/>
          <w:u w:val="single"/>
        </w:rPr>
        <w:t xml:space="preserve">            </w:t>
      </w:r>
    </w:p>
    <w:p>
      <w:pPr>
        <w:snapToGrid w:val="0"/>
        <w:spacing w:line="320" w:lineRule="exact"/>
        <w:ind w:firstLine="420" w:firstLineChars="200"/>
        <w:rPr>
          <w:rFonts w:ascii="宋体" w:hAnsi="宋体" w:cs="宋体"/>
          <w:color w:val="auto"/>
          <w:szCs w:val="21"/>
        </w:rPr>
      </w:pPr>
    </w:p>
    <w:p>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根据《中华人民共和国政府采购法》、《中华人民共和国合同法》等法律、法规规定，按照招标文件规定条款和中标供应商承诺，甲乙双方签订本合同。</w:t>
      </w:r>
    </w:p>
    <w:p>
      <w:pPr>
        <w:snapToGrid w:val="0"/>
        <w:spacing w:line="320" w:lineRule="exact"/>
        <w:ind w:firstLine="525" w:firstLineChars="249"/>
        <w:rPr>
          <w:rFonts w:ascii="宋体" w:hAnsi="宋体" w:cs="宋体"/>
          <w:color w:val="auto"/>
          <w:szCs w:val="21"/>
        </w:rPr>
      </w:pPr>
      <w:r>
        <w:rPr>
          <w:rFonts w:hint="eastAsia" w:ascii="宋体" w:hAnsi="宋体" w:cs="宋体"/>
          <w:b/>
          <w:color w:val="auto"/>
          <w:szCs w:val="21"/>
        </w:rPr>
        <w:t>第一条  合同标的</w:t>
      </w:r>
    </w:p>
    <w:p>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1.根据中标通知书的中标内容，合同的总金额为（大写）：人民币</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2.货物一览表</w:t>
      </w:r>
    </w:p>
    <w:tbl>
      <w:tblPr>
        <w:tblStyle w:val="40"/>
        <w:tblW w:w="919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99"/>
        <w:gridCol w:w="1100"/>
        <w:gridCol w:w="1100"/>
        <w:gridCol w:w="1099"/>
        <w:gridCol w:w="1100"/>
        <w:gridCol w:w="1100"/>
        <w:gridCol w:w="11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92" w:type="dxa"/>
            <w:vAlign w:val="center"/>
          </w:tcPr>
          <w:p>
            <w:pPr>
              <w:snapToGrid w:val="0"/>
              <w:jc w:val="center"/>
              <w:rPr>
                <w:rFonts w:ascii="宋体" w:hAnsi="宋体" w:cs="宋体"/>
                <w:color w:val="auto"/>
                <w:szCs w:val="21"/>
              </w:rPr>
            </w:pPr>
            <w:r>
              <w:rPr>
                <w:rFonts w:hint="eastAsia" w:ascii="宋体" w:hAnsi="宋体" w:cs="宋体"/>
                <w:color w:val="auto"/>
                <w:szCs w:val="21"/>
              </w:rPr>
              <w:t>序号</w:t>
            </w: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产品名称</w:t>
            </w:r>
          </w:p>
        </w:tc>
        <w:tc>
          <w:tcPr>
            <w:tcW w:w="1100" w:type="dxa"/>
            <w:vAlign w:val="center"/>
          </w:tcPr>
          <w:p>
            <w:pPr>
              <w:snapToGrid w:val="0"/>
              <w:jc w:val="center"/>
              <w:rPr>
                <w:rFonts w:ascii="宋体" w:hAnsi="宋体" w:cs="宋体"/>
                <w:color w:val="auto"/>
                <w:szCs w:val="21"/>
              </w:rPr>
            </w:pPr>
            <w:r>
              <w:rPr>
                <w:rFonts w:hint="eastAsia" w:ascii="宋体" w:hAnsi="宋体" w:cs="宋体"/>
                <w:color w:val="auto"/>
                <w:szCs w:val="21"/>
              </w:rPr>
              <w:t>商标品牌</w:t>
            </w:r>
          </w:p>
        </w:tc>
        <w:tc>
          <w:tcPr>
            <w:tcW w:w="1100" w:type="dxa"/>
            <w:vAlign w:val="center"/>
          </w:tcPr>
          <w:p>
            <w:pPr>
              <w:snapToGrid w:val="0"/>
              <w:jc w:val="center"/>
              <w:rPr>
                <w:rFonts w:ascii="宋体" w:hAnsi="宋体" w:cs="宋体"/>
                <w:color w:val="auto"/>
                <w:szCs w:val="21"/>
              </w:rPr>
            </w:pPr>
            <w:r>
              <w:rPr>
                <w:rFonts w:hint="eastAsia" w:ascii="宋体" w:hAnsi="宋体" w:cs="宋体"/>
                <w:color w:val="auto"/>
                <w:szCs w:val="21"/>
              </w:rPr>
              <w:t>规格型号</w:t>
            </w: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生产厂家</w:t>
            </w:r>
          </w:p>
        </w:tc>
        <w:tc>
          <w:tcPr>
            <w:tcW w:w="1100" w:type="dxa"/>
            <w:vAlign w:val="center"/>
          </w:tcPr>
          <w:p>
            <w:pPr>
              <w:snapToGrid w:val="0"/>
              <w:jc w:val="center"/>
              <w:rPr>
                <w:rFonts w:ascii="宋体" w:hAnsi="宋体" w:cs="宋体"/>
                <w:color w:val="auto"/>
                <w:szCs w:val="21"/>
              </w:rPr>
            </w:pPr>
            <w:r>
              <w:rPr>
                <w:rFonts w:hint="eastAsia" w:ascii="宋体" w:hAnsi="宋体" w:cs="宋体"/>
                <w:color w:val="auto"/>
                <w:szCs w:val="21"/>
              </w:rPr>
              <w:t>数  量</w:t>
            </w:r>
          </w:p>
        </w:tc>
        <w:tc>
          <w:tcPr>
            <w:tcW w:w="1100" w:type="dxa"/>
            <w:vAlign w:val="center"/>
          </w:tcPr>
          <w:p>
            <w:pPr>
              <w:snapToGrid w:val="0"/>
              <w:jc w:val="center"/>
              <w:rPr>
                <w:rFonts w:ascii="宋体" w:hAnsi="宋体" w:cs="宋体"/>
                <w:color w:val="auto"/>
                <w:szCs w:val="21"/>
              </w:rPr>
            </w:pPr>
            <w:r>
              <w:rPr>
                <w:rFonts w:hint="eastAsia" w:ascii="宋体" w:hAnsi="宋体" w:cs="宋体"/>
                <w:color w:val="auto"/>
                <w:szCs w:val="21"/>
              </w:rPr>
              <w:t>单 位</w:t>
            </w:r>
          </w:p>
        </w:tc>
        <w:tc>
          <w:tcPr>
            <w:tcW w:w="1100" w:type="dxa"/>
            <w:vAlign w:val="center"/>
          </w:tcPr>
          <w:p>
            <w:pPr>
              <w:snapToGrid w:val="0"/>
              <w:jc w:val="center"/>
              <w:rPr>
                <w:rFonts w:ascii="宋体" w:hAnsi="宋体" w:cs="宋体"/>
                <w:color w:val="auto"/>
                <w:szCs w:val="21"/>
              </w:rPr>
            </w:pPr>
            <w:r>
              <w:rPr>
                <w:rFonts w:hint="eastAsia" w:ascii="宋体" w:hAnsi="宋体" w:cs="宋体"/>
                <w:color w:val="auto"/>
                <w:szCs w:val="21"/>
              </w:rPr>
              <w:t>单  价</w:t>
            </w:r>
          </w:p>
          <w:p>
            <w:pPr>
              <w:snapToGrid w:val="0"/>
              <w:jc w:val="center"/>
              <w:rPr>
                <w:rFonts w:ascii="宋体" w:hAnsi="宋体" w:cs="宋体"/>
                <w:color w:val="auto"/>
                <w:szCs w:val="21"/>
              </w:rPr>
            </w:pPr>
            <w:r>
              <w:rPr>
                <w:rFonts w:hint="eastAsia" w:ascii="宋体" w:hAnsi="宋体" w:cs="宋体"/>
                <w:color w:val="auto"/>
                <w:szCs w:val="21"/>
              </w:rPr>
              <w:t>（元）</w:t>
            </w:r>
          </w:p>
        </w:tc>
        <w:tc>
          <w:tcPr>
            <w:tcW w:w="1102" w:type="dxa"/>
            <w:vAlign w:val="center"/>
          </w:tcPr>
          <w:p>
            <w:pPr>
              <w:snapToGrid w:val="0"/>
              <w:jc w:val="center"/>
              <w:rPr>
                <w:rFonts w:ascii="宋体" w:hAnsi="宋体" w:cs="宋体"/>
                <w:color w:val="auto"/>
                <w:szCs w:val="21"/>
              </w:rPr>
            </w:pPr>
            <w:r>
              <w:rPr>
                <w:rFonts w:hint="eastAsia" w:ascii="宋体" w:hAnsi="宋体" w:cs="宋体"/>
                <w:color w:val="auto"/>
                <w:szCs w:val="21"/>
              </w:rPr>
              <w:t>金  额</w:t>
            </w:r>
          </w:p>
          <w:p>
            <w:pPr>
              <w:snapToGrid w:val="0"/>
              <w:jc w:val="center"/>
              <w:rPr>
                <w:rFonts w:ascii="宋体" w:hAnsi="宋体" w:cs="宋体"/>
                <w:color w:val="auto"/>
                <w:szCs w:val="21"/>
              </w:rPr>
            </w:pPr>
            <w:r>
              <w:rPr>
                <w:rFonts w:hint="eastAsia" w:ascii="宋体" w:hAnsi="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1099"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099"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2" w:type="dxa"/>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1099"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099"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2" w:type="dxa"/>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1099"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099"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tcPr>
          <w:p>
            <w:pPr>
              <w:snapToGrid w:val="0"/>
              <w:jc w:val="center"/>
              <w:rPr>
                <w:rFonts w:ascii="宋体" w:hAnsi="宋体" w:cs="宋体"/>
                <w:color w:val="auto"/>
                <w:szCs w:val="21"/>
              </w:rPr>
            </w:pPr>
          </w:p>
        </w:tc>
        <w:tc>
          <w:tcPr>
            <w:tcW w:w="1100" w:type="dxa"/>
            <w:vAlign w:val="center"/>
          </w:tcPr>
          <w:p>
            <w:pPr>
              <w:snapToGrid w:val="0"/>
              <w:jc w:val="center"/>
              <w:rPr>
                <w:rFonts w:ascii="宋体" w:hAnsi="宋体" w:cs="宋体"/>
                <w:color w:val="auto"/>
                <w:szCs w:val="21"/>
              </w:rPr>
            </w:pPr>
          </w:p>
        </w:tc>
        <w:tc>
          <w:tcPr>
            <w:tcW w:w="1102" w:type="dxa"/>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192" w:type="dxa"/>
            <w:gridSpan w:val="9"/>
            <w:vAlign w:val="center"/>
          </w:tcPr>
          <w:p>
            <w:pPr>
              <w:snapToGrid w:val="0"/>
              <w:rPr>
                <w:rFonts w:ascii="宋体" w:hAnsi="宋体" w:cs="宋体"/>
                <w:color w:val="auto"/>
                <w:szCs w:val="21"/>
              </w:rPr>
            </w:pPr>
            <w:r>
              <w:rPr>
                <w:rFonts w:hint="eastAsia" w:ascii="宋体" w:hAnsi="宋体" w:cs="宋体"/>
                <w:color w:val="auto"/>
                <w:szCs w:val="21"/>
              </w:rPr>
              <w:t>人民币合计金额（大写）                            （小写）</w:t>
            </w:r>
          </w:p>
        </w:tc>
      </w:tr>
    </w:tbl>
    <w:p>
      <w:pPr>
        <w:snapToGrid w:val="0"/>
        <w:spacing w:line="320" w:lineRule="exact"/>
        <w:ind w:right="420" w:firstLine="436" w:firstLineChars="200"/>
        <w:rPr>
          <w:rFonts w:ascii="宋体" w:hAnsi="宋体" w:cs="宋体"/>
          <w:color w:val="auto"/>
          <w:spacing w:val="4"/>
          <w:szCs w:val="21"/>
        </w:rPr>
      </w:pPr>
    </w:p>
    <w:p>
      <w:pPr>
        <w:snapToGrid w:val="0"/>
        <w:spacing w:line="320" w:lineRule="exact"/>
        <w:ind w:right="420" w:firstLine="436" w:firstLineChars="200"/>
        <w:rPr>
          <w:rFonts w:ascii="宋体" w:hAnsi="宋体" w:cs="宋体"/>
          <w:color w:val="auto"/>
          <w:spacing w:val="4"/>
          <w:szCs w:val="21"/>
        </w:rPr>
      </w:pPr>
      <w:r>
        <w:rPr>
          <w:rFonts w:hint="eastAsia" w:ascii="宋体" w:hAnsi="宋体" w:cs="宋体"/>
          <w:color w:val="auto"/>
          <w:spacing w:val="4"/>
          <w:szCs w:val="21"/>
        </w:rPr>
        <w:t>3.合同合计金额包括货物价款、备件、专用工具、安装、检验、技术资料和包装、运输等全部费用。如招标文件对其另有规定的，从其规定。</w:t>
      </w:r>
    </w:p>
    <w:p>
      <w:pPr>
        <w:snapToGrid w:val="0"/>
        <w:spacing w:line="320" w:lineRule="exact"/>
        <w:ind w:right="525" w:firstLine="656" w:firstLineChars="300"/>
        <w:rPr>
          <w:rFonts w:ascii="宋体" w:hAnsi="宋体" w:cs="宋体"/>
          <w:color w:val="auto"/>
          <w:spacing w:val="4"/>
          <w:szCs w:val="21"/>
        </w:rPr>
      </w:pPr>
      <w:r>
        <w:rPr>
          <w:rFonts w:hint="eastAsia" w:ascii="宋体" w:hAnsi="宋体" w:cs="宋体"/>
          <w:b/>
          <w:bCs/>
          <w:color w:val="auto"/>
          <w:spacing w:val="4"/>
          <w:szCs w:val="21"/>
        </w:rPr>
        <w:t xml:space="preserve">第二条  </w:t>
      </w:r>
      <w:r>
        <w:rPr>
          <w:rFonts w:hint="eastAsia" w:ascii="宋体" w:hAnsi="宋体" w:cs="宋体"/>
          <w:b/>
          <w:color w:val="auto"/>
          <w:spacing w:val="4"/>
          <w:szCs w:val="21"/>
        </w:rPr>
        <w:t>质量保证</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1.乙方所提供的货物规格、技术标准、材料等质量必须与招标文件、投标文件和承诺相一致。乙方提供的自主创新产品、节能和环保产品必须是列入政府采购清单的产品。</w:t>
      </w:r>
    </w:p>
    <w:p>
      <w:pPr>
        <w:snapToGrid w:val="0"/>
        <w:spacing w:line="320" w:lineRule="exact"/>
        <w:ind w:firstLine="436" w:firstLineChars="200"/>
        <w:jc w:val="left"/>
        <w:rPr>
          <w:rFonts w:ascii="宋体" w:hAnsi="宋体" w:cs="宋体"/>
          <w:color w:val="auto"/>
          <w:spacing w:val="4"/>
          <w:szCs w:val="21"/>
          <w:u w:val="single"/>
        </w:rPr>
      </w:pPr>
      <w:r>
        <w:rPr>
          <w:rFonts w:hint="eastAsia" w:ascii="宋体" w:hAnsi="宋体" w:cs="宋体"/>
          <w:color w:val="auto"/>
          <w:spacing w:val="4"/>
          <w:szCs w:val="21"/>
        </w:rPr>
        <w:t>2.乙方所提供的货物必须是全新、未使用的产品，且在正常使用条件下，其使用寿命应达到承诺年限。</w:t>
      </w:r>
    </w:p>
    <w:p>
      <w:pPr>
        <w:snapToGrid w:val="0"/>
        <w:spacing w:line="320" w:lineRule="exact"/>
        <w:ind w:firstLine="652" w:firstLineChars="298"/>
        <w:rPr>
          <w:rFonts w:ascii="宋体" w:hAnsi="宋体" w:cs="宋体"/>
          <w:color w:val="auto"/>
          <w:spacing w:val="4"/>
          <w:szCs w:val="21"/>
        </w:rPr>
      </w:pPr>
      <w:r>
        <w:rPr>
          <w:rFonts w:hint="eastAsia" w:ascii="宋体" w:hAnsi="宋体" w:cs="宋体"/>
          <w:b/>
          <w:bCs/>
          <w:color w:val="auto"/>
          <w:spacing w:val="4"/>
          <w:szCs w:val="21"/>
        </w:rPr>
        <w:t xml:space="preserve">第三条  </w:t>
      </w:r>
      <w:r>
        <w:rPr>
          <w:rFonts w:hint="eastAsia" w:ascii="宋体" w:hAnsi="宋体" w:cs="宋体"/>
          <w:b/>
          <w:color w:val="auto"/>
          <w:spacing w:val="4"/>
          <w:szCs w:val="21"/>
        </w:rPr>
        <w:t>权力保证</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1.乙方应保证所提供货物在使用时不会侵犯任何第三方的专利权、商标权、工业设计权或其他权利。</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2.乙方应按招标文件规定的时间向甲方提供使用货物的有关技术资料。</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4.乙方保证所交付的货物的所有权完全属于乙方且无任何抵押、质押、查封等产权瑕疵。</w:t>
      </w:r>
    </w:p>
    <w:p>
      <w:pPr>
        <w:snapToGrid w:val="0"/>
        <w:spacing w:line="320" w:lineRule="exact"/>
        <w:ind w:firstLine="643" w:firstLineChars="294"/>
        <w:rPr>
          <w:rFonts w:ascii="宋体" w:hAnsi="宋体" w:cs="宋体"/>
          <w:b/>
          <w:bCs/>
          <w:color w:val="auto"/>
          <w:spacing w:val="4"/>
          <w:szCs w:val="21"/>
        </w:rPr>
      </w:pPr>
      <w:r>
        <w:rPr>
          <w:rFonts w:hint="eastAsia" w:ascii="宋体" w:hAnsi="宋体" w:cs="宋体"/>
          <w:b/>
          <w:bCs/>
          <w:color w:val="auto"/>
          <w:spacing w:val="4"/>
          <w:szCs w:val="21"/>
        </w:rPr>
        <w:t>第四条  包装和运输</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1.乙方提供的货物均应按招标文件要求的包装材料、包装标准、包装方式进行包装，每一包装单元内应附详细的装箱单和质量合格证。</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2.乙方负责货物运输，货物的运输方式：</w:t>
      </w:r>
      <w:r>
        <w:rPr>
          <w:rFonts w:hint="eastAsia" w:ascii="宋体" w:hAnsi="宋体" w:cs="宋体"/>
          <w:color w:val="auto"/>
          <w:spacing w:val="4"/>
          <w:szCs w:val="21"/>
          <w:u w:val="single"/>
        </w:rPr>
        <w:t xml:space="preserve">              </w:t>
      </w:r>
      <w:r>
        <w:rPr>
          <w:rFonts w:hint="eastAsia" w:ascii="宋体" w:hAnsi="宋体" w:cs="宋体"/>
          <w:color w:val="auto"/>
          <w:spacing w:val="4"/>
          <w:szCs w:val="21"/>
        </w:rPr>
        <w:t>。</w:t>
      </w:r>
    </w:p>
    <w:p>
      <w:pPr>
        <w:snapToGrid w:val="0"/>
        <w:spacing w:line="320" w:lineRule="exact"/>
        <w:ind w:firstLine="652" w:firstLineChars="298"/>
        <w:rPr>
          <w:rFonts w:ascii="宋体" w:hAnsi="宋体" w:cs="宋体"/>
          <w:b/>
          <w:color w:val="auto"/>
          <w:spacing w:val="4"/>
          <w:szCs w:val="21"/>
        </w:rPr>
      </w:pPr>
      <w:r>
        <w:rPr>
          <w:rFonts w:hint="eastAsia" w:ascii="宋体" w:hAnsi="宋体" w:cs="宋体"/>
          <w:b/>
          <w:color w:val="auto"/>
          <w:spacing w:val="4"/>
          <w:szCs w:val="21"/>
        </w:rPr>
        <w:t>第五条  交付和验收</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1.交货时间：</w:t>
      </w:r>
      <w:r>
        <w:rPr>
          <w:rFonts w:hint="eastAsia" w:ascii="宋体" w:hAnsi="宋体" w:cs="宋体"/>
          <w:color w:val="auto"/>
          <w:spacing w:val="4"/>
          <w:szCs w:val="21"/>
          <w:u w:val="single"/>
        </w:rPr>
        <w:t>自合同签订之日起90天内交付使用</w:t>
      </w:r>
      <w:r>
        <w:rPr>
          <w:rFonts w:hint="eastAsia" w:ascii="宋体" w:hAnsi="宋体" w:cs="宋体"/>
          <w:color w:val="auto"/>
          <w:spacing w:val="4"/>
          <w:szCs w:val="21"/>
        </w:rPr>
        <w:t>，地点：</w:t>
      </w:r>
      <w:r>
        <w:rPr>
          <w:rFonts w:hint="eastAsia" w:ascii="宋体" w:hAnsi="宋体" w:cs="宋体"/>
          <w:color w:val="auto"/>
          <w:spacing w:val="4"/>
          <w:szCs w:val="21"/>
          <w:u w:val="single"/>
        </w:rPr>
        <w:t xml:space="preserve">防城港市医疗废物处置中心 </w:t>
      </w:r>
      <w:r>
        <w:rPr>
          <w:rFonts w:hint="eastAsia" w:ascii="宋体" w:hAnsi="宋体" w:cs="宋体"/>
          <w:color w:val="auto"/>
          <w:spacing w:val="4"/>
          <w:szCs w:val="21"/>
        </w:rPr>
        <w:t>。</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2.乙方提供的货物、基础、安装不符合</w:t>
      </w:r>
      <w:r>
        <w:rPr>
          <w:rFonts w:hint="eastAsia" w:ascii="宋体" w:hAnsi="宋体" w:cs="宋体"/>
          <w:color w:val="auto"/>
          <w:szCs w:val="21"/>
        </w:rPr>
        <w:t>招标文件、投标文件</w:t>
      </w:r>
      <w:r>
        <w:rPr>
          <w:rFonts w:hint="eastAsia" w:ascii="宋体" w:hAnsi="宋体" w:cs="宋体"/>
          <w:color w:val="auto"/>
          <w:spacing w:val="4"/>
          <w:szCs w:val="21"/>
        </w:rPr>
        <w:t>和本合同规定的，甲方有权拒绝接受。</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3.乙方应将所提供货物的装箱清单、用户手册、原厂保修卡、随机资料、工具和备品、备件等交付给甲方，如有缺失应及时补齐，否则视为逾期交货。</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4.乙方应按照甲方的要求，在</w:t>
      </w:r>
      <w:r>
        <w:rPr>
          <w:rFonts w:hint="eastAsia" w:ascii="宋体" w:hAnsi="宋体" w:cs="宋体"/>
          <w:color w:val="auto"/>
          <w:spacing w:val="4"/>
          <w:szCs w:val="21"/>
          <w:u w:val="single"/>
        </w:rPr>
        <w:t xml:space="preserve">        </w:t>
      </w:r>
      <w:r>
        <w:rPr>
          <w:rFonts w:hint="eastAsia" w:ascii="宋体" w:hAnsi="宋体" w:cs="宋体"/>
          <w:color w:val="auto"/>
          <w:spacing w:val="4"/>
          <w:szCs w:val="21"/>
        </w:rPr>
        <w:t>前交货验收完毕并承担验收相关费用。</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5.甲方应当在货物到货</w:t>
      </w:r>
      <w:r>
        <w:rPr>
          <w:rFonts w:hint="eastAsia" w:ascii="宋体" w:hAnsi="宋体" w:cs="宋体"/>
          <w:color w:val="auto"/>
          <w:spacing w:val="4"/>
          <w:szCs w:val="21"/>
          <w:u w:val="single"/>
        </w:rPr>
        <w:t xml:space="preserve">   </w:t>
      </w:r>
      <w:r>
        <w:rPr>
          <w:rFonts w:hint="eastAsia" w:ascii="宋体" w:hAnsi="宋体" w:cs="宋体"/>
          <w:color w:val="auto"/>
          <w:spacing w:val="4"/>
          <w:szCs w:val="21"/>
        </w:rPr>
        <w:t>天内进行验收，逾期不验收的，乙方可视同验收合格。验收合格后由甲乙双方签署货物验收单并加盖采购单位公章，甲乙双方各执一份。</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6.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7.甲方对验收有异议的，在验收后五个工作日内以书面形式向乙方提出，乙方应自收到甲方书面异议后</w:t>
      </w:r>
      <w:r>
        <w:rPr>
          <w:rFonts w:hint="eastAsia" w:ascii="宋体" w:hAnsi="宋体" w:cs="宋体"/>
          <w:color w:val="auto"/>
          <w:spacing w:val="4"/>
          <w:szCs w:val="21"/>
          <w:u w:val="single"/>
        </w:rPr>
        <w:t xml:space="preserve">    </w:t>
      </w:r>
      <w:r>
        <w:rPr>
          <w:rFonts w:hint="eastAsia" w:ascii="宋体" w:hAnsi="宋体" w:cs="宋体"/>
          <w:color w:val="auto"/>
          <w:spacing w:val="4"/>
          <w:szCs w:val="21"/>
        </w:rPr>
        <w:t>日内及时予以解决。</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8.项目验收要符合招标文件中的验收</w:t>
      </w:r>
      <w:r>
        <w:rPr>
          <w:rFonts w:hint="eastAsia" w:ascii="宋体" w:hAnsi="宋体" w:cs="宋体"/>
          <w:color w:val="auto"/>
          <w:szCs w:val="21"/>
        </w:rPr>
        <w:t>技术标准和规范</w:t>
      </w:r>
      <w:r>
        <w:rPr>
          <w:rFonts w:hint="eastAsia" w:ascii="宋体" w:hAnsi="宋体" w:cs="宋体"/>
          <w:color w:val="auto"/>
          <w:spacing w:val="4"/>
          <w:szCs w:val="21"/>
        </w:rPr>
        <w:t>、图纸及工程量清单的要求</w:t>
      </w:r>
      <w:r>
        <w:rPr>
          <w:rFonts w:hint="eastAsia" w:ascii="宋体" w:hAnsi="宋体" w:cs="宋体"/>
          <w:color w:val="auto"/>
          <w:szCs w:val="21"/>
        </w:rPr>
        <w:t>。</w:t>
      </w:r>
    </w:p>
    <w:p>
      <w:pPr>
        <w:snapToGrid w:val="0"/>
        <w:spacing w:line="320" w:lineRule="exact"/>
        <w:ind w:firstLine="536" w:firstLineChars="245"/>
        <w:rPr>
          <w:rFonts w:ascii="宋体" w:hAnsi="宋体" w:cs="宋体"/>
          <w:color w:val="auto"/>
          <w:spacing w:val="4"/>
          <w:szCs w:val="21"/>
        </w:rPr>
      </w:pPr>
      <w:r>
        <w:rPr>
          <w:rFonts w:hint="eastAsia" w:ascii="宋体" w:hAnsi="宋体" w:cs="宋体"/>
          <w:b/>
          <w:color w:val="auto"/>
          <w:spacing w:val="4"/>
          <w:szCs w:val="21"/>
        </w:rPr>
        <w:t xml:space="preserve">第六条  </w:t>
      </w:r>
      <w:r>
        <w:rPr>
          <w:rFonts w:hint="eastAsia" w:ascii="宋体" w:hAnsi="宋体" w:cs="宋体"/>
          <w:color w:val="auto"/>
          <w:spacing w:val="4"/>
          <w:szCs w:val="21"/>
        </w:rPr>
        <w:t>定做货物图纸提供方法及要求：</w:t>
      </w:r>
      <w:r>
        <w:rPr>
          <w:rFonts w:hint="eastAsia" w:ascii="宋体" w:hAnsi="宋体" w:cs="宋体"/>
          <w:color w:val="auto"/>
          <w:spacing w:val="4"/>
          <w:szCs w:val="21"/>
          <w:u w:val="single"/>
        </w:rPr>
        <w:t xml:space="preserve">                              </w:t>
      </w:r>
      <w:r>
        <w:rPr>
          <w:rFonts w:hint="eastAsia" w:ascii="宋体" w:hAnsi="宋体" w:cs="宋体"/>
          <w:color w:val="auto"/>
          <w:spacing w:val="4"/>
          <w:szCs w:val="21"/>
        </w:rPr>
        <w:t>。</w:t>
      </w:r>
    </w:p>
    <w:p>
      <w:pPr>
        <w:snapToGrid w:val="0"/>
        <w:spacing w:line="320" w:lineRule="exact"/>
        <w:ind w:firstLine="543" w:firstLineChars="248"/>
        <w:rPr>
          <w:rFonts w:ascii="宋体" w:hAnsi="宋体" w:cs="宋体"/>
          <w:b/>
          <w:color w:val="auto"/>
          <w:spacing w:val="4"/>
          <w:szCs w:val="21"/>
        </w:rPr>
      </w:pPr>
      <w:r>
        <w:rPr>
          <w:rFonts w:hint="eastAsia" w:ascii="宋体" w:hAnsi="宋体" w:cs="宋体"/>
          <w:b/>
          <w:bCs/>
          <w:color w:val="auto"/>
          <w:spacing w:val="4"/>
          <w:szCs w:val="21"/>
        </w:rPr>
        <w:t xml:space="preserve">第七条  </w:t>
      </w:r>
      <w:r>
        <w:rPr>
          <w:rFonts w:hint="eastAsia" w:ascii="宋体" w:hAnsi="宋体" w:cs="宋体"/>
          <w:b/>
          <w:color w:val="auto"/>
          <w:spacing w:val="4"/>
          <w:szCs w:val="21"/>
        </w:rPr>
        <w:t>售后服务、保修期（质量保证期）</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1.乙方应按照国家有关法律法规和“三包”规定以及招标文件、投标文件和本合同所附的《服务承诺》，为甲方提供售后服务。</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 货物保修期：</w:t>
      </w:r>
      <w:r>
        <w:rPr>
          <w:rFonts w:hint="eastAsia" w:ascii="宋体" w:hAnsi="宋体" w:cs="宋体"/>
          <w:color w:val="auto"/>
          <w:spacing w:val="4"/>
          <w:szCs w:val="21"/>
          <w:u w:val="single"/>
        </w:rPr>
        <w:t>按乙方投标文件中所承诺的期限</w:t>
      </w:r>
      <w:r>
        <w:rPr>
          <w:rFonts w:hint="eastAsia" w:ascii="宋体" w:hAnsi="宋体" w:cs="宋体"/>
          <w:color w:val="auto"/>
          <w:spacing w:val="4"/>
          <w:szCs w:val="21"/>
        </w:rPr>
        <w:t>。</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3.乙方提供的服务承诺和售后服务及保修期责任等其它具体约定事项。（见合同附件）</w:t>
      </w:r>
    </w:p>
    <w:p>
      <w:pPr>
        <w:snapToGrid w:val="0"/>
        <w:spacing w:line="320" w:lineRule="exact"/>
        <w:ind w:firstLine="503" w:firstLineChars="230"/>
        <w:rPr>
          <w:rFonts w:ascii="宋体" w:hAnsi="宋体" w:cs="宋体"/>
          <w:color w:val="auto"/>
          <w:spacing w:val="4"/>
          <w:szCs w:val="21"/>
        </w:rPr>
      </w:pPr>
      <w:r>
        <w:rPr>
          <w:rFonts w:hint="eastAsia" w:ascii="宋体" w:hAnsi="宋体" w:cs="宋体"/>
          <w:b/>
          <w:bCs/>
          <w:color w:val="auto"/>
          <w:spacing w:val="4"/>
          <w:szCs w:val="21"/>
        </w:rPr>
        <w:t xml:space="preserve">第八条  </w:t>
      </w:r>
      <w:r>
        <w:rPr>
          <w:rFonts w:hint="eastAsia" w:ascii="宋体" w:hAnsi="宋体" w:cs="宋体"/>
          <w:b/>
          <w:color w:val="auto"/>
          <w:spacing w:val="4"/>
          <w:szCs w:val="21"/>
        </w:rPr>
        <w:t>付款方式</w:t>
      </w:r>
    </w:p>
    <w:p>
      <w:pPr>
        <w:snapToGrid w:val="0"/>
        <w:spacing w:line="320" w:lineRule="exact"/>
        <w:ind w:firstLine="436" w:firstLineChars="200"/>
        <w:rPr>
          <w:rFonts w:ascii="宋体" w:hAnsi="宋体" w:cs="宋体"/>
          <w:color w:val="auto"/>
          <w:spacing w:val="4"/>
          <w:szCs w:val="21"/>
          <w:u w:val="single"/>
        </w:rPr>
      </w:pPr>
      <w:r>
        <w:rPr>
          <w:rFonts w:hint="eastAsia" w:ascii="宋体" w:hAnsi="宋体" w:cs="宋体"/>
          <w:color w:val="auto"/>
          <w:spacing w:val="4"/>
          <w:szCs w:val="21"/>
        </w:rPr>
        <w:t>1.资金性质：政府补贴和甲方自筹。</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付款方式：合同签订后15个工作日内，甲方支付合同价款30%，所采购设备全部运输到现场，经初步验收后支付至合同价款的50%，安装调试完成支付至合同价款的70%，验收合格支付至合同价款的95%，余款作为质保金，在质保期满后，根据质保履行情况支付，每次支付时间期限为15个工作日。</w:t>
      </w:r>
    </w:p>
    <w:p>
      <w:pPr>
        <w:snapToGrid w:val="0"/>
        <w:spacing w:line="320" w:lineRule="exact"/>
        <w:ind w:firstLine="438" w:firstLineChars="200"/>
        <w:rPr>
          <w:rFonts w:ascii="宋体" w:hAnsi="宋体" w:cs="宋体"/>
          <w:b/>
          <w:color w:val="auto"/>
          <w:spacing w:val="4"/>
          <w:szCs w:val="21"/>
        </w:rPr>
      </w:pPr>
      <w:r>
        <w:rPr>
          <w:rFonts w:hint="eastAsia" w:ascii="宋体" w:hAnsi="宋体" w:cs="宋体"/>
          <w:b/>
          <w:color w:val="auto"/>
          <w:spacing w:val="4"/>
          <w:szCs w:val="21"/>
        </w:rPr>
        <w:t>第九条  合同的变更、终止与转让</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1.除《中华人民共和国政府采购法》第五十条规定的情形外，本合同一经签订，甲乙双方不得擅自变更、中止或终止。</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2.乙方不得擅自转让其应履行的合同义务。</w:t>
      </w:r>
    </w:p>
    <w:p>
      <w:pPr>
        <w:snapToGrid w:val="0"/>
        <w:spacing w:line="320" w:lineRule="exact"/>
        <w:ind w:firstLine="438" w:firstLineChars="200"/>
        <w:rPr>
          <w:rFonts w:ascii="宋体" w:hAnsi="宋体" w:cs="宋体"/>
          <w:b/>
          <w:color w:val="auto"/>
          <w:spacing w:val="4"/>
          <w:szCs w:val="21"/>
        </w:rPr>
      </w:pPr>
      <w:r>
        <w:rPr>
          <w:rFonts w:hint="eastAsia" w:ascii="宋体" w:hAnsi="宋体" w:cs="宋体"/>
          <w:b/>
          <w:color w:val="auto"/>
          <w:spacing w:val="4"/>
          <w:szCs w:val="21"/>
        </w:rPr>
        <w:t>第十条  违约责任</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cs="宋体"/>
          <w:color w:val="auto"/>
          <w:spacing w:val="4"/>
          <w:szCs w:val="21"/>
          <w:u w:val="single"/>
        </w:rPr>
        <w:t xml:space="preserve"> 5% </w:t>
      </w:r>
      <w:r>
        <w:rPr>
          <w:rFonts w:hint="eastAsia" w:ascii="宋体" w:hAnsi="宋体" w:cs="宋体"/>
          <w:color w:val="auto"/>
          <w:spacing w:val="4"/>
          <w:szCs w:val="21"/>
        </w:rPr>
        <w:t>违约金并赔偿甲方经济损失。</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2.乙方提供的货物如侵犯第三方合法权益而引发的任何纠纷或诉讼，均由乙方负责交涉并承担全部责任。</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3.因包装、运输引起的货物损坏，按质量不合格处罚。</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4.甲方无故延期接收货物、乙方逾期交货的，每天向对方偿付违约货款额3‰违约金，但违约金累计不得超过违约货款额</w:t>
      </w:r>
      <w:r>
        <w:rPr>
          <w:rFonts w:hint="eastAsia" w:ascii="宋体" w:hAnsi="宋体" w:cs="宋体"/>
          <w:color w:val="auto"/>
          <w:spacing w:val="4"/>
          <w:szCs w:val="21"/>
          <w:u w:val="single"/>
        </w:rPr>
        <w:t xml:space="preserve">5% </w:t>
      </w:r>
      <w:r>
        <w:rPr>
          <w:rFonts w:hint="eastAsia" w:ascii="宋体" w:hAnsi="宋体" w:cs="宋体"/>
          <w:color w:val="auto"/>
          <w:spacing w:val="4"/>
          <w:szCs w:val="21"/>
        </w:rPr>
        <w:t>，超过</w:t>
      </w:r>
      <w:r>
        <w:rPr>
          <w:rFonts w:hint="eastAsia" w:ascii="宋体" w:hAnsi="宋体" w:cs="宋体"/>
          <w:color w:val="auto"/>
          <w:spacing w:val="4"/>
          <w:szCs w:val="21"/>
          <w:u w:val="single"/>
        </w:rPr>
        <w:t>15</w:t>
      </w:r>
      <w:r>
        <w:rPr>
          <w:rFonts w:hint="eastAsia" w:ascii="宋体" w:hAnsi="宋体" w:cs="宋体"/>
          <w:color w:val="auto"/>
          <w:spacing w:val="4"/>
          <w:szCs w:val="21"/>
        </w:rPr>
        <w:t>天对方有权解除合同，违约方承担因此给对方造成经济损失；在财政资金拨付到位前提下，甲方延期付货款的，每天向乙方偿付延期货款额3‰滞纳金，但滞纳金累计不得超过延期货款额</w:t>
      </w:r>
      <w:r>
        <w:rPr>
          <w:rFonts w:hint="eastAsia" w:ascii="宋体" w:hAnsi="宋体" w:cs="宋体"/>
          <w:color w:val="auto"/>
          <w:spacing w:val="4"/>
          <w:szCs w:val="21"/>
          <w:u w:val="single"/>
        </w:rPr>
        <w:t xml:space="preserve">5% </w:t>
      </w:r>
      <w:r>
        <w:rPr>
          <w:rFonts w:hint="eastAsia" w:ascii="宋体" w:hAnsi="宋体" w:cs="宋体"/>
          <w:color w:val="auto"/>
          <w:spacing w:val="4"/>
          <w:szCs w:val="21"/>
        </w:rPr>
        <w:t>。</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5.乙方未按本合同和投标文件中规定的服务承诺提供售后服务的，乙方应按本合同合计金额</w:t>
      </w:r>
      <w:r>
        <w:rPr>
          <w:rFonts w:hint="eastAsia" w:ascii="宋体" w:hAnsi="宋体" w:cs="宋体"/>
          <w:color w:val="auto"/>
          <w:spacing w:val="4"/>
          <w:szCs w:val="21"/>
          <w:u w:val="single"/>
        </w:rPr>
        <w:t xml:space="preserve"> 5% </w:t>
      </w:r>
      <w:r>
        <w:rPr>
          <w:rFonts w:hint="eastAsia" w:ascii="宋体" w:hAnsi="宋体" w:cs="宋体"/>
          <w:color w:val="auto"/>
          <w:spacing w:val="4"/>
          <w:szCs w:val="21"/>
        </w:rPr>
        <w:t>向甲方支付违约金。</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6.乙方提供的货物在质量保证期内，因设计、工艺或材料的缺陷和其它质量原因造成的问题，由乙方负责，费用从质量保证金中扣除，</w:t>
      </w:r>
      <w:r>
        <w:rPr>
          <w:rFonts w:hint="eastAsia" w:ascii="宋体" w:hAnsi="宋体" w:cs="宋体"/>
          <w:color w:val="auto"/>
          <w:szCs w:val="21"/>
        </w:rPr>
        <w:t>不足部分需补交</w:t>
      </w:r>
      <w:r>
        <w:rPr>
          <w:rFonts w:hint="eastAsia" w:ascii="宋体" w:hAnsi="宋体" w:cs="宋体"/>
          <w:color w:val="auto"/>
          <w:spacing w:val="4"/>
          <w:szCs w:val="21"/>
        </w:rPr>
        <w:t>。</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7.其它违约行为按违约货款额</w:t>
      </w:r>
      <w:r>
        <w:rPr>
          <w:rFonts w:hint="eastAsia" w:ascii="宋体" w:hAnsi="宋体" w:cs="宋体"/>
          <w:color w:val="auto"/>
          <w:spacing w:val="4"/>
          <w:szCs w:val="21"/>
          <w:u w:val="single"/>
        </w:rPr>
        <w:t xml:space="preserve">5% </w:t>
      </w:r>
      <w:r>
        <w:rPr>
          <w:rFonts w:hint="eastAsia" w:ascii="宋体" w:hAnsi="宋体" w:cs="宋体"/>
          <w:color w:val="auto"/>
          <w:spacing w:val="4"/>
          <w:szCs w:val="21"/>
        </w:rPr>
        <w:t>收取违约金并赔偿经济损失。</w:t>
      </w:r>
    </w:p>
    <w:p>
      <w:pPr>
        <w:snapToGrid w:val="0"/>
        <w:spacing w:line="320" w:lineRule="exact"/>
        <w:ind w:firstLine="438" w:firstLineChars="200"/>
        <w:rPr>
          <w:rFonts w:ascii="宋体" w:hAnsi="宋体" w:cs="宋体"/>
          <w:color w:val="auto"/>
          <w:spacing w:val="4"/>
          <w:szCs w:val="21"/>
        </w:rPr>
      </w:pPr>
      <w:r>
        <w:rPr>
          <w:rFonts w:hint="eastAsia" w:ascii="宋体" w:hAnsi="宋体" w:cs="宋体"/>
          <w:b/>
          <w:color w:val="auto"/>
          <w:spacing w:val="4"/>
          <w:szCs w:val="21"/>
        </w:rPr>
        <w:t>第十一条  解决合同争议</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2.因履行本合同引起的或与本合同有关的争议，甲乙双方应首先通过友好协商解决，如果协商不能解决，可向</w:t>
      </w:r>
      <w:r>
        <w:rPr>
          <w:rFonts w:hint="eastAsia" w:ascii="宋体" w:hAnsi="宋体" w:cs="宋体"/>
          <w:color w:val="auto"/>
          <w:spacing w:val="4"/>
          <w:szCs w:val="21"/>
        </w:rPr>
        <w:t>防城港</w:t>
      </w:r>
      <w:r>
        <w:rPr>
          <w:rFonts w:hint="eastAsia" w:ascii="宋体" w:hAnsi="宋体" w:cs="宋体"/>
          <w:color w:val="auto"/>
          <w:spacing w:val="4"/>
          <w:szCs w:val="21"/>
        </w:rPr>
        <w:t>仲裁委员会申请仲裁或向人民法院提起诉讼。</w:t>
      </w:r>
    </w:p>
    <w:p>
      <w:pPr>
        <w:snapToGrid w:val="0"/>
        <w:spacing w:line="320" w:lineRule="exact"/>
        <w:ind w:firstLine="438" w:firstLineChars="200"/>
        <w:rPr>
          <w:rFonts w:ascii="宋体" w:hAnsi="宋体" w:cs="宋体"/>
          <w:b/>
          <w:color w:val="auto"/>
          <w:spacing w:val="4"/>
          <w:szCs w:val="21"/>
        </w:rPr>
      </w:pPr>
      <w:r>
        <w:rPr>
          <w:rFonts w:hint="eastAsia" w:ascii="宋体" w:hAnsi="宋体" w:cs="宋体"/>
          <w:b/>
          <w:color w:val="auto"/>
          <w:spacing w:val="4"/>
          <w:szCs w:val="21"/>
        </w:rPr>
        <w:t>第十二条  签订本合同依据</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1.政府采购招标文件；</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2.乙方提供的投标文件；</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3.服务承诺书；</w:t>
      </w:r>
    </w:p>
    <w:p>
      <w:pPr>
        <w:snapToGrid w:val="0"/>
        <w:spacing w:line="320" w:lineRule="exact"/>
        <w:ind w:firstLine="436" w:firstLineChars="200"/>
        <w:rPr>
          <w:rFonts w:ascii="宋体" w:hAnsi="宋体" w:cs="宋体"/>
          <w:color w:val="auto"/>
          <w:spacing w:val="4"/>
          <w:szCs w:val="21"/>
          <w:u w:val="single"/>
        </w:rPr>
      </w:pPr>
      <w:r>
        <w:rPr>
          <w:rFonts w:hint="eastAsia" w:ascii="宋体" w:hAnsi="宋体" w:cs="宋体"/>
          <w:color w:val="auto"/>
          <w:spacing w:val="4"/>
          <w:szCs w:val="21"/>
        </w:rPr>
        <w:t>4.中标通知书。</w:t>
      </w:r>
    </w:p>
    <w:p>
      <w:pPr>
        <w:snapToGrid w:val="0"/>
        <w:spacing w:line="320" w:lineRule="exact"/>
        <w:ind w:firstLine="438" w:firstLineChars="200"/>
        <w:rPr>
          <w:rFonts w:ascii="宋体" w:hAnsi="宋体" w:cs="宋体"/>
          <w:color w:val="auto"/>
          <w:spacing w:val="4"/>
          <w:szCs w:val="21"/>
        </w:rPr>
      </w:pPr>
      <w:r>
        <w:rPr>
          <w:rFonts w:hint="eastAsia" w:ascii="宋体" w:hAnsi="宋体" w:cs="宋体"/>
          <w:b/>
          <w:color w:val="auto"/>
          <w:spacing w:val="4"/>
          <w:szCs w:val="21"/>
        </w:rPr>
        <w:t xml:space="preserve">第十三条  </w:t>
      </w:r>
      <w:r>
        <w:rPr>
          <w:rFonts w:hint="eastAsia" w:ascii="宋体" w:hAnsi="宋体" w:cs="宋体"/>
          <w:color w:val="auto"/>
          <w:spacing w:val="4"/>
          <w:szCs w:val="21"/>
        </w:rPr>
        <w:t>本合同一式四份，财政部门（政府采购监管部门）、采购代理机构各一份，甲乙双方各一份。（可根据需要另增加）</w:t>
      </w:r>
    </w:p>
    <w:p>
      <w:pPr>
        <w:snapToGrid w:val="0"/>
        <w:spacing w:line="320" w:lineRule="exact"/>
        <w:ind w:firstLine="436" w:firstLineChars="200"/>
        <w:rPr>
          <w:rFonts w:ascii="宋体" w:hAnsi="宋体" w:cs="宋体"/>
          <w:color w:val="auto"/>
          <w:spacing w:val="4"/>
          <w:szCs w:val="21"/>
        </w:rPr>
      </w:pPr>
      <w:r>
        <w:rPr>
          <w:rFonts w:hint="eastAsia" w:ascii="宋体" w:hAnsi="宋体" w:cs="宋体"/>
          <w:color w:val="auto"/>
          <w:spacing w:val="4"/>
          <w:szCs w:val="21"/>
        </w:rPr>
        <w:t>本合同甲乙双方签字盖章后生效，自签订之日起七个工作日内，采购人或采购代理机构应当将本合同副本报同级财政部门备案。</w:t>
      </w:r>
    </w:p>
    <w:tbl>
      <w:tblPr>
        <w:tblStyle w:val="4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 xml:space="preserve">甲方（章）        </w:t>
            </w:r>
          </w:p>
          <w:p>
            <w:pPr>
              <w:snapToGrid w:val="0"/>
              <w:spacing w:line="320" w:lineRule="exact"/>
              <w:ind w:firstLine="630" w:firstLineChars="300"/>
              <w:jc w:val="right"/>
              <w:rPr>
                <w:rFonts w:ascii="宋体" w:hAnsi="宋体" w:cs="宋体"/>
                <w:color w:val="auto"/>
                <w:szCs w:val="21"/>
              </w:rPr>
            </w:pPr>
            <w:r>
              <w:rPr>
                <w:rFonts w:hint="eastAsia" w:ascii="宋体" w:hAnsi="宋体" w:cs="宋体"/>
                <w:color w:val="auto"/>
                <w:szCs w:val="21"/>
              </w:rPr>
              <w:t xml:space="preserve"> 年   月   日</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乙方（章）</w:t>
            </w:r>
          </w:p>
          <w:p>
            <w:pPr>
              <w:snapToGrid w:val="0"/>
              <w:spacing w:line="320" w:lineRule="exact"/>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单位地址：</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法定代表人：</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委托代理人：</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电话：</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电子邮箱：</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开户银行：</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账号：</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邮政编码：</w:t>
            </w:r>
          </w:p>
        </w:tc>
        <w:tc>
          <w:tcPr>
            <w:tcW w:w="4569" w:type="dxa"/>
            <w:vAlign w:val="center"/>
          </w:tcPr>
          <w:p>
            <w:pPr>
              <w:snapToGrid w:val="0"/>
              <w:spacing w:line="320" w:lineRule="exact"/>
              <w:rPr>
                <w:rFonts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138" w:type="dxa"/>
            <w:gridSpan w:val="2"/>
          </w:tcPr>
          <w:p>
            <w:pPr>
              <w:snapToGrid w:val="0"/>
              <w:spacing w:line="320" w:lineRule="exact"/>
              <w:rPr>
                <w:rFonts w:ascii="宋体" w:hAnsi="宋体" w:cs="宋体"/>
                <w:color w:val="auto"/>
                <w:szCs w:val="21"/>
              </w:rPr>
            </w:pPr>
          </w:p>
          <w:p>
            <w:pPr>
              <w:snapToGrid w:val="0"/>
              <w:spacing w:line="320" w:lineRule="exact"/>
              <w:rPr>
                <w:rFonts w:ascii="宋体" w:hAnsi="宋体" w:cs="宋体"/>
                <w:color w:val="auto"/>
                <w:szCs w:val="21"/>
              </w:rPr>
            </w:pPr>
            <w:r>
              <w:rPr>
                <w:rFonts w:hint="eastAsia" w:ascii="宋体" w:hAnsi="宋体" w:cs="宋体"/>
                <w:color w:val="auto"/>
                <w:szCs w:val="21"/>
              </w:rPr>
              <w:t>经办人：</w:t>
            </w:r>
          </w:p>
          <w:p>
            <w:pPr>
              <w:snapToGrid w:val="0"/>
              <w:spacing w:line="320" w:lineRule="exact"/>
              <w:rPr>
                <w:rFonts w:ascii="宋体" w:hAnsi="宋体" w:cs="宋体"/>
                <w:color w:val="auto"/>
                <w:szCs w:val="21"/>
              </w:rPr>
            </w:pPr>
            <w:r>
              <w:rPr>
                <w:rFonts w:hint="eastAsia" w:ascii="宋体" w:hAnsi="宋体" w:cs="宋体"/>
                <w:color w:val="auto"/>
                <w:szCs w:val="21"/>
              </w:rPr>
              <w:t xml:space="preserve">                     </w:t>
            </w:r>
          </w:p>
          <w:p>
            <w:pPr>
              <w:snapToGrid w:val="0"/>
              <w:spacing w:line="320" w:lineRule="exact"/>
              <w:ind w:firstLine="840" w:firstLineChars="400"/>
              <w:jc w:val="right"/>
              <w:rPr>
                <w:rFonts w:ascii="宋体" w:hAnsi="宋体" w:cs="宋体"/>
                <w:color w:val="auto"/>
                <w:szCs w:val="21"/>
              </w:rPr>
            </w:pPr>
            <w:r>
              <w:rPr>
                <w:rFonts w:hint="eastAsia" w:ascii="宋体" w:hAnsi="宋体" w:cs="宋体"/>
                <w:color w:val="auto"/>
                <w:szCs w:val="21"/>
              </w:rPr>
              <w:t xml:space="preserve">年    月    日 </w:t>
            </w:r>
          </w:p>
        </w:tc>
      </w:tr>
    </w:tbl>
    <w:p>
      <w:pPr>
        <w:pStyle w:val="55"/>
        <w:rPr>
          <w:rFonts w:ascii="宋体" w:cs="宋体"/>
          <w:b/>
          <w:color w:val="auto"/>
          <w:sz w:val="28"/>
          <w:szCs w:val="28"/>
        </w:rPr>
      </w:pPr>
    </w:p>
    <w:p>
      <w:pPr>
        <w:snapToGrid w:val="0"/>
        <w:jc w:val="center"/>
        <w:rPr>
          <w:rFonts w:ascii="宋体" w:cs="宋体"/>
          <w:b/>
          <w:color w:val="auto"/>
          <w:sz w:val="28"/>
          <w:szCs w:val="28"/>
        </w:rPr>
      </w:pPr>
    </w:p>
    <w:p>
      <w:pPr>
        <w:snapToGrid w:val="0"/>
        <w:jc w:val="center"/>
        <w:rPr>
          <w:rFonts w:ascii="宋体" w:hAnsi="宋体" w:cs="宋体"/>
          <w:b/>
          <w:color w:val="auto"/>
          <w:sz w:val="28"/>
          <w:szCs w:val="28"/>
        </w:rPr>
      </w:pPr>
    </w:p>
    <w:p>
      <w:pPr>
        <w:snapToGrid w:val="0"/>
        <w:jc w:val="center"/>
        <w:rPr>
          <w:rFonts w:ascii="宋体" w:cs="宋体"/>
          <w:b/>
          <w:color w:val="auto"/>
          <w:sz w:val="28"/>
          <w:szCs w:val="28"/>
        </w:rPr>
      </w:pPr>
      <w:r>
        <w:rPr>
          <w:rFonts w:hint="eastAsia" w:ascii="宋体" w:hAnsi="宋体" w:cs="宋体"/>
          <w:b/>
          <w:color w:val="auto"/>
          <w:sz w:val="28"/>
          <w:szCs w:val="28"/>
        </w:rPr>
        <w:t>合</w:t>
      </w:r>
      <w:r>
        <w:rPr>
          <w:rFonts w:ascii="宋体" w:hAnsi="宋体" w:cs="宋体"/>
          <w:b/>
          <w:color w:val="auto"/>
          <w:sz w:val="28"/>
          <w:szCs w:val="28"/>
        </w:rPr>
        <w:t xml:space="preserve"> </w:t>
      </w:r>
      <w:r>
        <w:rPr>
          <w:rFonts w:hint="eastAsia" w:ascii="宋体" w:hAnsi="宋体" w:cs="宋体"/>
          <w:b/>
          <w:color w:val="auto"/>
          <w:sz w:val="28"/>
          <w:szCs w:val="28"/>
        </w:rPr>
        <w:t>同</w:t>
      </w:r>
      <w:r>
        <w:rPr>
          <w:rFonts w:ascii="宋体" w:hAnsi="宋体" w:cs="宋体"/>
          <w:b/>
          <w:color w:val="auto"/>
          <w:sz w:val="28"/>
          <w:szCs w:val="28"/>
        </w:rPr>
        <w:t xml:space="preserve"> </w:t>
      </w:r>
      <w:r>
        <w:rPr>
          <w:rFonts w:hint="eastAsia" w:ascii="宋体" w:hAnsi="宋体" w:cs="宋体"/>
          <w:b/>
          <w:color w:val="auto"/>
          <w:sz w:val="28"/>
          <w:szCs w:val="28"/>
        </w:rPr>
        <w:t>附</w:t>
      </w:r>
      <w:r>
        <w:rPr>
          <w:rFonts w:ascii="宋体" w:hAnsi="宋体" w:cs="宋体"/>
          <w:b/>
          <w:color w:val="auto"/>
          <w:sz w:val="28"/>
          <w:szCs w:val="28"/>
        </w:rPr>
        <w:t xml:space="preserve"> </w:t>
      </w:r>
      <w:r>
        <w:rPr>
          <w:rFonts w:hint="eastAsia" w:ascii="宋体" w:hAnsi="宋体" w:cs="宋体"/>
          <w:b/>
          <w:color w:val="auto"/>
          <w:sz w:val="28"/>
          <w:szCs w:val="28"/>
        </w:rPr>
        <w:t>件</w:t>
      </w:r>
    </w:p>
    <w:tbl>
      <w:tblPr>
        <w:tblStyle w:val="40"/>
        <w:tblW w:w="8522" w:type="dxa"/>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1</w:t>
            </w:r>
            <w:r>
              <w:rPr>
                <w:rFonts w:hint="eastAsia" w:ascii="宋体" w:hAnsi="宋体" w:cs="宋体"/>
                <w:b/>
                <w:color w:val="auto"/>
                <w:sz w:val="24"/>
              </w:rPr>
              <w:t>．供应商承诺具体事项：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2</w:t>
            </w:r>
            <w:r>
              <w:rPr>
                <w:rFonts w:hint="eastAsia" w:ascii="宋体" w:hAnsi="宋体" w:cs="宋体"/>
                <w:b/>
                <w:color w:val="auto"/>
                <w:sz w:val="24"/>
              </w:rPr>
              <w:t>．售后服务具体事项：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3</w:t>
            </w:r>
            <w:r>
              <w:rPr>
                <w:rFonts w:hint="eastAsia" w:ascii="宋体" w:hAnsi="宋体" w:cs="宋体"/>
                <w:b/>
                <w:color w:val="auto"/>
                <w:sz w:val="24"/>
              </w:rPr>
              <w:t>．保修期责任：</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．其他具体事项：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1992"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甲方（章）</w:t>
            </w: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r>
              <w:rPr>
                <w:rFonts w:ascii="宋体" w:hAnsi="宋体" w:cs="宋体"/>
                <w:b/>
                <w:color w:val="auto"/>
                <w:sz w:val="24"/>
              </w:rPr>
              <w:t xml:space="preserve">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乙方（章）</w:t>
            </w:r>
          </w:p>
          <w:p>
            <w:pPr>
              <w:snapToGrid w:val="0"/>
              <w:spacing w:line="400" w:lineRule="exact"/>
              <w:rPr>
                <w:rFonts w:ascii="宋体" w:cs="宋体"/>
                <w:b/>
                <w:color w:val="auto"/>
                <w:sz w:val="24"/>
              </w:rPr>
            </w:pP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p>
        </w:tc>
      </w:tr>
    </w:tbl>
    <w:p>
      <w:pPr>
        <w:snapToGrid w:val="0"/>
        <w:jc w:val="left"/>
        <w:rPr>
          <w:rFonts w:ascii="宋体" w:cs="宋体"/>
          <w:color w:val="auto"/>
          <w:sz w:val="22"/>
          <w:szCs w:val="22"/>
        </w:rPr>
      </w:pPr>
      <w:r>
        <w:rPr>
          <w:rFonts w:ascii="宋体" w:hAnsi="宋体" w:cs="宋体"/>
          <w:color w:val="auto"/>
        </w:rPr>
        <w:t xml:space="preserve">    </w:t>
      </w:r>
      <w:r>
        <w:rPr>
          <w:rFonts w:hint="eastAsia" w:ascii="宋体" w:hAnsi="宋体" w:cs="宋体"/>
          <w:color w:val="auto"/>
          <w:sz w:val="22"/>
          <w:szCs w:val="22"/>
        </w:rPr>
        <w:t>注：售后服务事项填不下时可另加附页</w:t>
      </w:r>
    </w:p>
    <w:p>
      <w:pPr>
        <w:pStyle w:val="37"/>
        <w:jc w:val="both"/>
        <w:rPr>
          <w:rFonts w:ascii="宋体" w:cs="宋体"/>
          <w:color w:val="auto"/>
        </w:rPr>
      </w:pPr>
      <w:r>
        <w:rPr>
          <w:rFonts w:ascii="宋体" w:hAnsi="宋体" w:cs="宋体"/>
          <w:color w:val="auto"/>
        </w:rPr>
        <w:t xml:space="preserve">   </w:t>
      </w:r>
    </w:p>
    <w:p>
      <w:pPr>
        <w:pStyle w:val="37"/>
        <w:jc w:val="both"/>
        <w:rPr>
          <w:rFonts w:ascii="宋体" w:cs="宋体"/>
          <w:color w:val="auto"/>
        </w:rPr>
      </w:pPr>
    </w:p>
    <w:p>
      <w:pPr>
        <w:pStyle w:val="37"/>
        <w:jc w:val="both"/>
        <w:rPr>
          <w:rFonts w:ascii="宋体" w:cs="宋体"/>
          <w:color w:val="auto"/>
        </w:rPr>
      </w:pPr>
    </w:p>
    <w:p>
      <w:pPr>
        <w:pStyle w:val="55"/>
        <w:rPr>
          <w:color w:val="auto"/>
          <w:sz w:val="22"/>
          <w:szCs w:val="22"/>
        </w:rPr>
      </w:pPr>
    </w:p>
    <w:p>
      <w:pPr>
        <w:pStyle w:val="3"/>
        <w:spacing w:line="240" w:lineRule="auto"/>
        <w:jc w:val="center"/>
        <w:rPr>
          <w:rFonts w:hAnsi="宋体"/>
          <w:b w:val="0"/>
          <w:color w:val="auto"/>
        </w:rPr>
      </w:pPr>
      <w:r>
        <w:rPr>
          <w:rFonts w:hint="eastAsia"/>
          <w:color w:val="auto"/>
          <w:sz w:val="36"/>
          <w:szCs w:val="36"/>
        </w:rPr>
        <w:t>第六章　投标文件格式</w:t>
      </w:r>
      <w:bookmarkEnd w:id="555"/>
      <w:bookmarkEnd w:id="556"/>
    </w:p>
    <w:p>
      <w:pPr>
        <w:snapToGrid w:val="0"/>
        <w:spacing w:before="50" w:after="50"/>
        <w:outlineLvl w:val="1"/>
        <w:rPr>
          <w:rFonts w:ascii="宋体"/>
          <w:color w:val="auto"/>
          <w:sz w:val="32"/>
          <w:szCs w:val="20"/>
        </w:rPr>
      </w:pPr>
    </w:p>
    <w:p>
      <w:pPr>
        <w:pStyle w:val="23"/>
        <w:snapToGrid w:val="0"/>
        <w:spacing w:before="120" w:after="120"/>
        <w:outlineLvl w:val="0"/>
        <w:rPr>
          <w:rFonts w:hAnsi="宋体" w:cs="宋体"/>
          <w:b/>
          <w:color w:val="auto"/>
        </w:rPr>
      </w:pPr>
      <w:bookmarkStart w:id="557" w:name="_Toc20200"/>
      <w:bookmarkStart w:id="558" w:name="_Toc400465724"/>
      <w:bookmarkStart w:id="559" w:name="_Toc482865331"/>
      <w:bookmarkStart w:id="560" w:name="_Toc482864560"/>
      <w:bookmarkStart w:id="561" w:name="_Toc445223691"/>
      <w:bookmarkStart w:id="562" w:name="_Toc482865161"/>
      <w:bookmarkStart w:id="563" w:name="_Toc448421151"/>
      <w:bookmarkStart w:id="564" w:name="_Toc308018688"/>
      <w:bookmarkStart w:id="565" w:name="_Toc483327820"/>
      <w:r>
        <w:rPr>
          <w:rFonts w:hint="eastAsia" w:hAnsi="宋体" w:cs="宋体"/>
          <w:b/>
          <w:color w:val="auto"/>
        </w:rPr>
        <w:t>一、投标文件外层包装封面格式</w:t>
      </w:r>
      <w:bookmarkEnd w:id="557"/>
      <w:bookmarkEnd w:id="558"/>
      <w:bookmarkEnd w:id="559"/>
      <w:bookmarkEnd w:id="560"/>
      <w:bookmarkEnd w:id="561"/>
      <w:bookmarkEnd w:id="562"/>
      <w:bookmarkEnd w:id="563"/>
      <w:bookmarkEnd w:id="564"/>
      <w:bookmarkEnd w:id="565"/>
    </w:p>
    <w:p>
      <w:pPr>
        <w:pStyle w:val="23"/>
        <w:snapToGrid w:val="0"/>
        <w:spacing w:before="120" w:after="120"/>
        <w:outlineLvl w:val="0"/>
        <w:rPr>
          <w:rFonts w:hAnsi="宋体" w:cs="宋体"/>
          <w:b/>
          <w:color w:val="auto"/>
        </w:rPr>
      </w:pPr>
    </w:p>
    <w:p>
      <w:pPr>
        <w:snapToGrid w:val="0"/>
        <w:spacing w:beforeLines="50" w:after="50"/>
        <w:rPr>
          <w:rFonts w:ascii="宋体" w:cs="宋体"/>
          <w:color w:val="auto"/>
          <w:sz w:val="24"/>
          <w:szCs w:val="20"/>
        </w:rPr>
      </w:pPr>
    </w:p>
    <w:p>
      <w:pPr>
        <w:snapToGrid w:val="0"/>
        <w:spacing w:beforeLines="50" w:after="50"/>
        <w:jc w:val="center"/>
        <w:rPr>
          <w:rFonts w:ascii="宋体" w:cs="宋体"/>
          <w:bCs/>
          <w:color w:val="auto"/>
          <w:sz w:val="24"/>
          <w:szCs w:val="20"/>
        </w:rPr>
      </w:pPr>
    </w:p>
    <w:p>
      <w:pPr>
        <w:snapToGrid w:val="0"/>
        <w:spacing w:beforeLines="50" w:after="50"/>
        <w:jc w:val="center"/>
        <w:rPr>
          <w:rFonts w:ascii="宋体" w:cs="宋体"/>
          <w:b/>
          <w:bCs/>
          <w:color w:val="auto"/>
          <w:sz w:val="52"/>
          <w:szCs w:val="52"/>
        </w:rPr>
      </w:pPr>
      <w:r>
        <w:rPr>
          <w:rFonts w:hint="eastAsia" w:ascii="宋体" w:hAnsi="宋体" w:cs="宋体"/>
          <w:b/>
          <w:bCs/>
          <w:color w:val="auto"/>
          <w:sz w:val="52"/>
          <w:szCs w:val="52"/>
        </w:rPr>
        <w:t>投</w:t>
      </w:r>
      <w:r>
        <w:rPr>
          <w:rFonts w:ascii="宋体" w:hAnsi="宋体" w:cs="宋体"/>
          <w:b/>
          <w:bCs/>
          <w:color w:val="auto"/>
          <w:sz w:val="52"/>
          <w:szCs w:val="52"/>
        </w:rPr>
        <w:t xml:space="preserve"> </w:t>
      </w:r>
      <w:r>
        <w:rPr>
          <w:rFonts w:hint="eastAsia" w:ascii="宋体" w:hAnsi="宋体" w:cs="宋体"/>
          <w:b/>
          <w:bCs/>
          <w:color w:val="auto"/>
          <w:sz w:val="52"/>
          <w:szCs w:val="52"/>
        </w:rPr>
        <w:t>标</w:t>
      </w:r>
      <w:r>
        <w:rPr>
          <w:rFonts w:ascii="宋体" w:hAnsi="宋体" w:cs="宋体"/>
          <w:b/>
          <w:bCs/>
          <w:color w:val="auto"/>
          <w:sz w:val="52"/>
          <w:szCs w:val="52"/>
        </w:rPr>
        <w:t xml:space="preserve"> </w:t>
      </w:r>
      <w:r>
        <w:rPr>
          <w:rFonts w:hint="eastAsia" w:ascii="宋体" w:hAnsi="宋体" w:cs="宋体"/>
          <w:b/>
          <w:bCs/>
          <w:color w:val="auto"/>
          <w:sz w:val="52"/>
          <w:szCs w:val="52"/>
        </w:rPr>
        <w:t>文</w:t>
      </w:r>
      <w:r>
        <w:rPr>
          <w:rFonts w:ascii="宋体" w:hAnsi="宋体" w:cs="宋体"/>
          <w:b/>
          <w:bCs/>
          <w:color w:val="auto"/>
          <w:sz w:val="52"/>
          <w:szCs w:val="52"/>
        </w:rPr>
        <w:t xml:space="preserve"> </w:t>
      </w:r>
      <w:r>
        <w:rPr>
          <w:rFonts w:hint="eastAsia" w:ascii="宋体" w:hAnsi="宋体" w:cs="宋体"/>
          <w:b/>
          <w:bCs/>
          <w:color w:val="auto"/>
          <w:sz w:val="52"/>
          <w:szCs w:val="52"/>
        </w:rPr>
        <w:t>件</w:t>
      </w:r>
    </w:p>
    <w:p>
      <w:pPr>
        <w:snapToGrid w:val="0"/>
        <w:spacing w:beforeLines="50" w:after="50" w:line="360" w:lineRule="auto"/>
        <w:rPr>
          <w:rFonts w:ascii="宋体" w:cs="宋体"/>
          <w:bCs/>
          <w:color w:val="auto"/>
          <w:sz w:val="24"/>
          <w:szCs w:val="20"/>
        </w:rPr>
      </w:pPr>
    </w:p>
    <w:p>
      <w:pPr>
        <w:snapToGrid w:val="0"/>
        <w:spacing w:beforeLines="50" w:after="50" w:line="360" w:lineRule="auto"/>
        <w:ind w:firstLine="943" w:firstLineChars="393"/>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943" w:firstLineChars="393"/>
        <w:rPr>
          <w:rFonts w:ascii="宋体" w:cs="宋体"/>
          <w:bCs/>
          <w:color w:val="auto"/>
          <w:sz w:val="24"/>
        </w:rPr>
      </w:pPr>
      <w:r>
        <w:rPr>
          <w:rFonts w:ascii="宋体" w:hAnsi="宋体" w:cs="宋体"/>
          <w:bCs/>
          <w:color w:val="auto"/>
          <w:sz w:val="24"/>
        </w:rPr>
        <w:t xml:space="preserve">     </w:t>
      </w:r>
    </w:p>
    <w:p>
      <w:pPr>
        <w:snapToGrid w:val="0"/>
        <w:spacing w:beforeLines="50" w:after="50" w:line="360" w:lineRule="auto"/>
        <w:ind w:firstLine="943" w:firstLineChars="393"/>
        <w:rPr>
          <w:rFonts w:ascii="宋体" w:cs="宋体"/>
          <w:bCs/>
          <w:color w:val="auto"/>
          <w:sz w:val="24"/>
          <w:szCs w:val="20"/>
        </w:rPr>
      </w:pPr>
      <w:r>
        <w:rPr>
          <w:rFonts w:hint="eastAsia" w:ascii="宋体" w:hAnsi="宋体" w:cs="宋体"/>
          <w:bCs/>
          <w:color w:val="auto"/>
          <w:sz w:val="24"/>
        </w:rPr>
        <w:t>项目编号：</w:t>
      </w:r>
      <w:r>
        <w:rPr>
          <w:rFonts w:ascii="宋体" w:hAnsi="宋体" w:cs="宋体"/>
          <w:bCs/>
          <w:color w:val="auto"/>
          <w:sz w:val="24"/>
        </w:rPr>
        <w:t xml:space="preserve"> </w:t>
      </w:r>
    </w:p>
    <w:p>
      <w:pPr>
        <w:pStyle w:val="7"/>
        <w:snapToGrid w:val="0"/>
        <w:spacing w:before="50" w:after="50" w:line="360" w:lineRule="auto"/>
        <w:ind w:firstLine="960" w:firstLineChars="400"/>
        <w:rPr>
          <w:rFonts w:ascii="宋体" w:cs="宋体"/>
          <w:bCs/>
          <w:color w:val="auto"/>
          <w:sz w:val="24"/>
          <w:szCs w:val="24"/>
        </w:rPr>
      </w:pPr>
    </w:p>
    <w:p>
      <w:pPr>
        <w:pStyle w:val="7"/>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投标人名称：</w:t>
      </w:r>
    </w:p>
    <w:p>
      <w:pPr>
        <w:pStyle w:val="7"/>
        <w:snapToGrid w:val="0"/>
        <w:spacing w:before="50" w:after="50" w:line="360" w:lineRule="auto"/>
        <w:ind w:firstLine="960" w:firstLineChars="400"/>
        <w:rPr>
          <w:rFonts w:ascii="宋体" w:cs="宋体"/>
          <w:bCs/>
          <w:color w:val="auto"/>
          <w:sz w:val="24"/>
          <w:szCs w:val="24"/>
        </w:rPr>
      </w:pPr>
    </w:p>
    <w:p>
      <w:pPr>
        <w:pStyle w:val="7"/>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投标人地址：</w:t>
      </w:r>
    </w:p>
    <w:p>
      <w:pPr>
        <w:pStyle w:val="7"/>
        <w:snapToGrid w:val="0"/>
        <w:spacing w:before="50" w:after="50" w:line="360" w:lineRule="auto"/>
        <w:ind w:firstLine="960" w:firstLineChars="400"/>
        <w:rPr>
          <w:rFonts w:ascii="宋体" w:cs="宋体"/>
          <w:bCs/>
          <w:color w:val="auto"/>
          <w:sz w:val="24"/>
          <w:szCs w:val="24"/>
        </w:rPr>
      </w:pPr>
    </w:p>
    <w:p>
      <w:pPr>
        <w:pStyle w:val="7"/>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开</w:t>
      </w:r>
      <w:r>
        <w:rPr>
          <w:rFonts w:ascii="宋体" w:hAnsi="宋体" w:cs="宋体"/>
          <w:bCs/>
          <w:color w:val="auto"/>
          <w:sz w:val="24"/>
          <w:szCs w:val="24"/>
        </w:rPr>
        <w:t xml:space="preserve"> </w:t>
      </w:r>
      <w:r>
        <w:rPr>
          <w:rFonts w:hint="eastAsia" w:ascii="宋体" w:hAnsi="宋体" w:cs="宋体"/>
          <w:bCs/>
          <w:color w:val="auto"/>
          <w:sz w:val="24"/>
          <w:szCs w:val="24"/>
        </w:rPr>
        <w:t>标</w:t>
      </w:r>
      <w:r>
        <w:rPr>
          <w:rFonts w:ascii="宋体" w:hAnsi="宋体" w:cs="宋体"/>
          <w:bCs/>
          <w:color w:val="auto"/>
          <w:sz w:val="24"/>
          <w:szCs w:val="24"/>
        </w:rPr>
        <w:t xml:space="preserve"> </w:t>
      </w:r>
      <w:r>
        <w:rPr>
          <w:rFonts w:hint="eastAsia" w:ascii="宋体" w:hAnsi="宋体" w:cs="宋体"/>
          <w:bCs/>
          <w:color w:val="auto"/>
          <w:sz w:val="24"/>
          <w:szCs w:val="24"/>
        </w:rPr>
        <w:t>时</w:t>
      </w:r>
      <w:r>
        <w:rPr>
          <w:rFonts w:ascii="宋体" w:hAnsi="宋体" w:cs="宋体"/>
          <w:bCs/>
          <w:color w:val="auto"/>
          <w:sz w:val="24"/>
          <w:szCs w:val="24"/>
        </w:rPr>
        <w:t xml:space="preserve"> </w:t>
      </w:r>
      <w:r>
        <w:rPr>
          <w:rFonts w:hint="eastAsia" w:ascii="宋体" w:hAnsi="宋体" w:cs="宋体"/>
          <w:bCs/>
          <w:color w:val="auto"/>
          <w:sz w:val="24"/>
          <w:szCs w:val="24"/>
        </w:rPr>
        <w:t>启</w:t>
      </w:r>
      <w:r>
        <w:rPr>
          <w:rFonts w:ascii="宋体" w:hAnsi="宋体" w:cs="宋体"/>
          <w:bCs/>
          <w:color w:val="auto"/>
          <w:sz w:val="24"/>
          <w:szCs w:val="24"/>
        </w:rPr>
        <w:t xml:space="preserve"> </w:t>
      </w:r>
      <w:r>
        <w:rPr>
          <w:rFonts w:hint="eastAsia" w:ascii="宋体" w:hAnsi="宋体" w:cs="宋体"/>
          <w:bCs/>
          <w:color w:val="auto"/>
          <w:sz w:val="24"/>
          <w:szCs w:val="24"/>
        </w:rPr>
        <w:t>封</w:t>
      </w:r>
    </w:p>
    <w:p>
      <w:pPr>
        <w:snapToGrid w:val="0"/>
        <w:spacing w:beforeLines="50" w:after="50" w:line="360" w:lineRule="auto"/>
        <w:ind w:firstLine="4080" w:firstLineChars="1700"/>
        <w:rPr>
          <w:rFonts w:ascii="宋体" w:cs="宋体"/>
          <w:bCs/>
          <w:color w:val="auto"/>
          <w:sz w:val="24"/>
          <w:szCs w:val="20"/>
        </w:rPr>
      </w:pPr>
    </w:p>
    <w:p>
      <w:pPr>
        <w:snapToGrid w:val="0"/>
        <w:spacing w:beforeLines="50" w:after="50" w:line="360" w:lineRule="auto"/>
        <w:ind w:firstLine="645"/>
        <w:jc w:val="center"/>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Lines="50" w:after="50"/>
        <w:jc w:val="center"/>
        <w:outlineLvl w:val="1"/>
        <w:rPr>
          <w:rFonts w:ascii="宋体"/>
          <w:color w:val="auto"/>
        </w:rPr>
      </w:pPr>
    </w:p>
    <w:p>
      <w:pPr>
        <w:snapToGrid w:val="0"/>
        <w:spacing w:beforeLines="50" w:after="50"/>
        <w:jc w:val="center"/>
        <w:outlineLvl w:val="1"/>
        <w:rPr>
          <w:rFonts w:ascii="宋体"/>
          <w:color w:val="auto"/>
        </w:rPr>
      </w:pPr>
    </w:p>
    <w:p>
      <w:pPr>
        <w:pStyle w:val="2"/>
        <w:rPr>
          <w:color w:val="auto"/>
        </w:rPr>
      </w:pPr>
    </w:p>
    <w:p>
      <w:pPr>
        <w:snapToGrid w:val="0"/>
        <w:spacing w:beforeLines="50" w:after="50"/>
        <w:jc w:val="center"/>
        <w:outlineLvl w:val="1"/>
        <w:rPr>
          <w:rFonts w:ascii="宋体"/>
          <w:color w:val="auto"/>
        </w:rPr>
      </w:pPr>
    </w:p>
    <w:p>
      <w:pPr>
        <w:snapToGrid w:val="0"/>
        <w:spacing w:beforeLines="50" w:after="50"/>
        <w:outlineLvl w:val="1"/>
        <w:rPr>
          <w:rFonts w:ascii="宋体"/>
          <w:color w:val="auto"/>
        </w:rPr>
      </w:pPr>
    </w:p>
    <w:p>
      <w:pPr>
        <w:snapToGrid w:val="0"/>
        <w:spacing w:beforeLines="50" w:after="50"/>
        <w:outlineLvl w:val="1"/>
        <w:rPr>
          <w:rFonts w:ascii="宋体"/>
          <w:color w:val="auto"/>
        </w:rPr>
      </w:pPr>
    </w:p>
    <w:p>
      <w:pPr>
        <w:snapToGrid w:val="0"/>
        <w:spacing w:beforeLines="50" w:after="50"/>
        <w:outlineLvl w:val="1"/>
        <w:rPr>
          <w:rFonts w:ascii="宋体" w:cs="宋体"/>
          <w:b/>
          <w:bCs/>
          <w:color w:val="auto"/>
          <w:szCs w:val="21"/>
        </w:rPr>
      </w:pPr>
      <w:bookmarkStart w:id="566" w:name="_Toc400465727"/>
      <w:bookmarkStart w:id="567" w:name="_Toc482864563"/>
      <w:bookmarkStart w:id="568" w:name="_Toc482865164"/>
      <w:bookmarkStart w:id="569" w:name="_Toc308018691"/>
      <w:bookmarkStart w:id="570" w:name="_Toc448421154"/>
      <w:bookmarkStart w:id="571" w:name="_Toc25830"/>
      <w:bookmarkStart w:id="572" w:name="_Toc445223694"/>
      <w:bookmarkStart w:id="573" w:name="_Toc483327823"/>
      <w:bookmarkStart w:id="574" w:name="_Toc482865334"/>
      <w:r>
        <w:rPr>
          <w:rFonts w:hint="eastAsia" w:ascii="宋体" w:hAnsi="宋体" w:cs="宋体"/>
          <w:b/>
          <w:bCs/>
          <w:color w:val="auto"/>
          <w:szCs w:val="21"/>
        </w:rPr>
        <w:t>二、资格部分格式</w:t>
      </w:r>
      <w:bookmarkEnd w:id="566"/>
      <w:bookmarkEnd w:id="567"/>
      <w:bookmarkEnd w:id="568"/>
      <w:bookmarkEnd w:id="569"/>
      <w:bookmarkEnd w:id="570"/>
      <w:bookmarkEnd w:id="571"/>
      <w:bookmarkEnd w:id="572"/>
      <w:bookmarkEnd w:id="573"/>
      <w:bookmarkEnd w:id="574"/>
    </w:p>
    <w:p>
      <w:pPr>
        <w:snapToGrid w:val="0"/>
        <w:spacing w:beforeLines="50" w:after="50"/>
        <w:outlineLvl w:val="1"/>
        <w:rPr>
          <w:rFonts w:ascii="宋体" w:cs="宋体"/>
          <w:b/>
          <w:bCs/>
          <w:color w:val="auto"/>
          <w:szCs w:val="21"/>
        </w:rPr>
      </w:pPr>
    </w:p>
    <w:p>
      <w:pPr>
        <w:snapToGrid w:val="0"/>
        <w:spacing w:before="50" w:after="50"/>
        <w:rPr>
          <w:rFonts w:ascii="宋体" w:cs="宋体"/>
          <w:b/>
          <w:color w:val="auto"/>
          <w:szCs w:val="21"/>
        </w:rPr>
      </w:pPr>
      <w:r>
        <w:rPr>
          <w:rFonts w:ascii="宋体" w:hAnsi="宋体" w:cs="宋体"/>
          <w:b/>
          <w:color w:val="auto"/>
          <w:szCs w:val="21"/>
        </w:rPr>
        <w:t>2.1</w:t>
      </w:r>
      <w:r>
        <w:rPr>
          <w:rFonts w:hint="eastAsia" w:ascii="宋体" w:hAnsi="宋体" w:cs="宋体"/>
          <w:b/>
          <w:color w:val="auto"/>
          <w:szCs w:val="21"/>
        </w:rPr>
        <w:t>资格部分封面格式：</w:t>
      </w:r>
      <w:r>
        <w:rPr>
          <w:rFonts w:ascii="宋体" w:hAnsi="宋体" w:cs="宋体"/>
          <w:b/>
          <w:color w:val="auto"/>
          <w:szCs w:val="21"/>
        </w:rPr>
        <w:t xml:space="preserve"> </w:t>
      </w:r>
    </w:p>
    <w:p>
      <w:pPr>
        <w:snapToGrid w:val="0"/>
        <w:spacing w:beforeLines="50" w:after="50" w:line="360" w:lineRule="auto"/>
        <w:rPr>
          <w:rFonts w:ascii="宋体" w:cs="宋体"/>
          <w:color w:val="auto"/>
          <w:sz w:val="24"/>
          <w:szCs w:val="20"/>
        </w:rPr>
      </w:pPr>
      <w:r>
        <w:rPr>
          <w:rFonts w:ascii="宋体" w:hAnsi="宋体" w:cs="宋体"/>
          <w:color w:val="auto"/>
          <w:sz w:val="24"/>
        </w:rPr>
        <w:t xml:space="preserve">                                                           </w:t>
      </w:r>
      <w:r>
        <w:rPr>
          <w:rFonts w:hint="eastAsia" w:ascii="宋体" w:hAnsi="宋体" w:cs="宋体"/>
          <w:bCs/>
          <w:color w:val="auto"/>
        </w:rPr>
        <w:t>正本</w:t>
      </w:r>
      <w:r>
        <w:rPr>
          <w:rFonts w:ascii="宋体" w:hAnsi="宋体" w:cs="宋体"/>
          <w:bCs/>
          <w:color w:val="auto"/>
        </w:rPr>
        <w:t>/</w:t>
      </w:r>
      <w:r>
        <w:rPr>
          <w:rFonts w:hint="eastAsia" w:ascii="宋体" w:hAnsi="宋体" w:cs="宋体"/>
          <w:bCs/>
          <w:color w:val="auto"/>
        </w:rPr>
        <w:t>或副本</w:t>
      </w:r>
    </w:p>
    <w:p>
      <w:pPr>
        <w:snapToGrid w:val="0"/>
        <w:spacing w:beforeLines="50" w:after="50" w:line="360" w:lineRule="auto"/>
        <w:jc w:val="center"/>
        <w:rPr>
          <w:rFonts w:ascii="宋体" w:cs="宋体"/>
          <w:b/>
          <w:bCs/>
          <w:color w:val="auto"/>
          <w:sz w:val="28"/>
          <w:szCs w:val="28"/>
        </w:rPr>
      </w:pPr>
      <w:r>
        <w:rPr>
          <w:rFonts w:hint="eastAsia" w:ascii="宋体" w:hAnsi="宋体" w:cs="宋体"/>
          <w:b/>
          <w:bCs/>
          <w:color w:val="auto"/>
          <w:sz w:val="48"/>
          <w:szCs w:val="48"/>
        </w:rPr>
        <w:t>投标文件（资格部分）</w:t>
      </w:r>
    </w:p>
    <w:p>
      <w:pPr>
        <w:snapToGrid w:val="0"/>
        <w:spacing w:beforeLines="50" w:after="50" w:line="360" w:lineRule="auto"/>
        <w:jc w:val="center"/>
        <w:rPr>
          <w:rFonts w:ascii="宋体" w:cs="宋体"/>
          <w:b/>
          <w:bCs/>
          <w:color w:val="auto"/>
          <w:sz w:val="28"/>
          <w:szCs w:val="28"/>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50" w:after="50"/>
        <w:rPr>
          <w:rFonts w:ascii="宋体" w:cs="宋体"/>
          <w:b/>
          <w:color w:val="auto"/>
          <w:szCs w:val="21"/>
        </w:rPr>
      </w:pPr>
    </w:p>
    <w:p>
      <w:pPr>
        <w:snapToGrid w:val="0"/>
        <w:spacing w:before="50" w:after="50"/>
        <w:rPr>
          <w:rFonts w:ascii="宋体" w:cs="宋体"/>
          <w:color w:val="auto"/>
          <w:sz w:val="24"/>
          <w:szCs w:val="20"/>
        </w:rPr>
      </w:pPr>
      <w:r>
        <w:rPr>
          <w:rFonts w:ascii="宋体" w:hAnsi="宋体" w:cs="宋体"/>
          <w:b/>
          <w:color w:val="auto"/>
          <w:szCs w:val="21"/>
        </w:rPr>
        <w:t xml:space="preserve">2.2 </w:t>
      </w:r>
      <w:r>
        <w:rPr>
          <w:rFonts w:hint="eastAsia" w:ascii="宋体" w:hAnsi="宋体" w:cs="宋体"/>
          <w:b/>
          <w:bCs/>
          <w:color w:val="auto"/>
          <w:szCs w:val="21"/>
        </w:rPr>
        <w:t>资格部分目录</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）有效的营业执照副本复印件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（2）建设主管部门颁发的建筑机电安装工程专业承包三级及以上资质复印件；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（3）具有质量技术监督部门颁发的特种设备制造许可证（压力容器） 或特种设备安装改造维修许可证（压力容器）复印件；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具有质量技术监督部门颁发的特种设备设计许可证（压力管道）和质量技术监督部门颁发的特种设备安装改造维修许可证（压力管道）或质量技术监督部门颁发的特种设备生产许可证（工业管道安装）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（5）法定代表人完整有效的身份证复印件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（6）法定代表人授权委托书和委托代理人完整有效的身份证复印件</w:t>
      </w:r>
    </w:p>
    <w:p>
      <w:pPr>
        <w:snapToGrid w:val="0"/>
        <w:spacing w:line="400" w:lineRule="exact"/>
        <w:ind w:firstLine="420"/>
        <w:jc w:val="left"/>
        <w:rPr>
          <w:rFonts w:ascii="宋体" w:cs="宋体"/>
          <w:color w:val="auto"/>
          <w:szCs w:val="21"/>
        </w:rPr>
      </w:pPr>
      <w:r>
        <w:rPr>
          <w:rFonts w:hint="eastAsia" w:ascii="宋体" w:hAnsi="宋体" w:cs="宋体"/>
          <w:color w:val="auto"/>
          <w:szCs w:val="21"/>
        </w:rPr>
        <w:t>（7）截标时间前半年内，连续三个月投标人依法缴纳税收的凭证复印件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（8）截标时间前半年内，连续三个月投标人依法缴纳社会保障资金的凭证复印件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（9）参加政府采购活动前</w:t>
      </w:r>
      <w:r>
        <w:rPr>
          <w:rFonts w:ascii="宋体" w:hAnsi="宋体" w:cs="宋体"/>
          <w:color w:val="auto"/>
          <w:szCs w:val="21"/>
        </w:rPr>
        <w:t>3</w:t>
      </w:r>
      <w:r>
        <w:rPr>
          <w:rFonts w:hint="eastAsia" w:ascii="宋体" w:hAnsi="宋体" w:cs="宋体"/>
          <w:color w:val="auto"/>
          <w:szCs w:val="21"/>
        </w:rPr>
        <w:t>年内在经营活动中没有重大违法记录的书面声明</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（10）信用记录网站查询结果信用声明函</w:t>
      </w:r>
    </w:p>
    <w:p>
      <w:pPr>
        <w:snapToGrid w:val="0"/>
        <w:spacing w:beforeLines="50" w:after="50" w:line="300" w:lineRule="exact"/>
        <w:ind w:firstLine="420" w:firstLineChars="200"/>
        <w:rPr>
          <w:rFonts w:ascii="宋体" w:cs="宋体"/>
          <w:b/>
          <w:color w:val="auto"/>
          <w:szCs w:val="21"/>
        </w:rPr>
      </w:pPr>
      <w:r>
        <w:rPr>
          <w:rFonts w:hint="eastAsia" w:ascii="宋体" w:hAnsi="宋体" w:cs="宋体"/>
          <w:color w:val="auto"/>
          <w:szCs w:val="21"/>
        </w:rPr>
        <w:t>（11）投标人近期财务状况报告</w:t>
      </w:r>
    </w:p>
    <w:p>
      <w:pPr>
        <w:rPr>
          <w:color w:val="auto"/>
        </w:rPr>
      </w:pPr>
    </w:p>
    <w:p>
      <w:pPr>
        <w:pStyle w:val="2"/>
        <w:rPr>
          <w:color w:val="auto"/>
        </w:rPr>
      </w:pPr>
    </w:p>
    <w:p>
      <w:pPr>
        <w:snapToGrid w:val="0"/>
        <w:spacing w:beforeLines="50" w:after="50" w:line="300" w:lineRule="exact"/>
        <w:rPr>
          <w:rFonts w:ascii="宋体" w:hAnsi="宋体" w:cs="宋体"/>
          <w:b/>
          <w:color w:val="auto"/>
          <w:szCs w:val="21"/>
        </w:rPr>
      </w:pPr>
    </w:p>
    <w:p>
      <w:pPr>
        <w:snapToGrid w:val="0"/>
        <w:spacing w:beforeLines="50" w:after="50" w:line="300" w:lineRule="exact"/>
        <w:rPr>
          <w:rFonts w:ascii="宋体" w:cs="宋体"/>
          <w:b/>
          <w:color w:val="auto"/>
          <w:szCs w:val="21"/>
        </w:rPr>
      </w:pPr>
      <w:r>
        <w:rPr>
          <w:rFonts w:ascii="宋体" w:hAnsi="宋体" w:cs="宋体"/>
          <w:b/>
          <w:color w:val="auto"/>
          <w:szCs w:val="21"/>
        </w:rPr>
        <w:t>2.2.1</w:t>
      </w:r>
      <w:r>
        <w:rPr>
          <w:rFonts w:hint="eastAsia" w:ascii="宋体" w:hAnsi="宋体" w:cs="宋体"/>
          <w:b/>
          <w:color w:val="auto"/>
          <w:szCs w:val="21"/>
        </w:rPr>
        <w:t>有效的营业执照副本复印件（必须提供，同时要加盖单位公章，不是三证合一的营业执照还必须提供有效的组织机构代码证副本、税务登记证副本复印件）；</w:t>
      </w:r>
    </w:p>
    <w:p>
      <w:pPr>
        <w:snapToGrid w:val="0"/>
        <w:spacing w:line="300" w:lineRule="exact"/>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hAnsi="宋体" w:cs="宋体"/>
          <w:b/>
          <w:bCs w:val="0"/>
          <w:color w:val="auto"/>
          <w:spacing w:val="0"/>
          <w:kern w:val="2"/>
          <w:sz w:val="21"/>
          <w:szCs w:val="21"/>
        </w:rPr>
      </w:pPr>
      <w:r>
        <w:rPr>
          <w:rFonts w:ascii="宋体" w:hAnsi="宋体" w:cs="宋体"/>
          <w:b/>
          <w:bCs w:val="0"/>
          <w:color w:val="auto"/>
          <w:spacing w:val="0"/>
          <w:kern w:val="2"/>
          <w:sz w:val="21"/>
          <w:szCs w:val="21"/>
        </w:rPr>
        <w:t>2.2.</w:t>
      </w:r>
      <w:r>
        <w:rPr>
          <w:rFonts w:hint="eastAsia" w:ascii="宋体" w:hAnsi="宋体" w:cs="宋体"/>
          <w:b/>
          <w:bCs w:val="0"/>
          <w:color w:val="auto"/>
          <w:spacing w:val="0"/>
          <w:kern w:val="2"/>
          <w:sz w:val="21"/>
          <w:szCs w:val="21"/>
        </w:rPr>
        <w:t>2  建设主管部门颁发的建筑机电安装工程专业承包三级及以上资质复印件；</w:t>
      </w:r>
    </w:p>
    <w:p>
      <w:pPr>
        <w:pStyle w:val="55"/>
        <w:rPr>
          <w:rFonts w:ascii="宋体" w:cs="宋体"/>
          <w:b/>
          <w:bCs w:val="0"/>
          <w:color w:val="auto"/>
          <w:spacing w:val="0"/>
          <w:kern w:val="2"/>
          <w:sz w:val="21"/>
          <w:szCs w:val="21"/>
        </w:rPr>
      </w:pPr>
    </w:p>
    <w:p>
      <w:pPr>
        <w:pStyle w:val="55"/>
        <w:rPr>
          <w:rFonts w:ascii="宋体" w:cs="宋体"/>
          <w:b/>
          <w:bCs w:val="0"/>
          <w:color w:val="auto"/>
          <w:spacing w:val="0"/>
          <w:kern w:val="2"/>
          <w:sz w:val="21"/>
          <w:szCs w:val="21"/>
        </w:rPr>
      </w:pPr>
    </w:p>
    <w:p>
      <w:pPr>
        <w:pStyle w:val="55"/>
        <w:rPr>
          <w:rFonts w:ascii="宋体" w:cs="宋体"/>
          <w:b/>
          <w:bCs w:val="0"/>
          <w:color w:val="auto"/>
          <w:spacing w:val="0"/>
          <w:kern w:val="2"/>
          <w:sz w:val="21"/>
          <w:szCs w:val="21"/>
        </w:rPr>
      </w:pPr>
    </w:p>
    <w:p>
      <w:pPr>
        <w:pStyle w:val="55"/>
        <w:rPr>
          <w:rFonts w:ascii="宋体" w:cs="宋体"/>
          <w:b/>
          <w:bCs w:val="0"/>
          <w:color w:val="auto"/>
          <w:spacing w:val="0"/>
          <w:kern w:val="2"/>
          <w:sz w:val="21"/>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2.2.3 具有质量技术监督部门颁发的特种设备制造许可证（压力容器） 或特种设备安装改造维修许可证（压力容器）复印件；</w:t>
      </w:r>
    </w:p>
    <w:p>
      <w:pPr>
        <w:pStyle w:val="2"/>
        <w:rPr>
          <w:rFonts w:ascii="宋体" w:hAnsi="宋体" w:eastAsia="宋体" w:cs="宋体"/>
          <w:bCs w:val="0"/>
          <w:color w:val="auto"/>
          <w:sz w:val="21"/>
          <w:szCs w:val="21"/>
        </w:rPr>
      </w:pPr>
    </w:p>
    <w:p>
      <w:pPr>
        <w:rPr>
          <w:rFonts w:ascii="宋体" w:hAnsi="宋体" w:cs="宋体"/>
          <w:b/>
          <w:color w:val="auto"/>
          <w:szCs w:val="21"/>
        </w:rPr>
      </w:pPr>
      <w:r>
        <w:rPr>
          <w:rFonts w:hint="eastAsia" w:ascii="宋体" w:hAnsi="宋体" w:cs="宋体"/>
          <w:b/>
          <w:color w:val="auto"/>
          <w:szCs w:val="21"/>
        </w:rPr>
        <w:t>2.2.4 具有质量技术监督部门颁发的特种设备设计许可证（压力管道）和质量技术监督部门颁发的特种设备安装改造维修许可证（压力管道）或质量技术监督部门颁发的特种设备生产许可证（工业管道安装）复印件；</w:t>
      </w:r>
    </w:p>
    <w:p>
      <w:pPr>
        <w:pStyle w:val="2"/>
        <w:rPr>
          <w:color w:val="auto"/>
        </w:rPr>
      </w:pPr>
    </w:p>
    <w:p>
      <w:pPr>
        <w:snapToGrid w:val="0"/>
        <w:spacing w:beforeLines="50" w:after="50"/>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5</w:t>
      </w:r>
      <w:r>
        <w:rPr>
          <w:rFonts w:ascii="宋体" w:hAnsi="宋体" w:cs="宋体"/>
          <w:b/>
          <w:color w:val="auto"/>
          <w:szCs w:val="21"/>
        </w:rPr>
        <w:t xml:space="preserve">  </w:t>
      </w:r>
      <w:r>
        <w:rPr>
          <w:rFonts w:hint="eastAsia" w:ascii="宋体" w:hAnsi="宋体" w:cs="宋体"/>
          <w:b/>
          <w:color w:val="auto"/>
          <w:szCs w:val="21"/>
        </w:rPr>
        <w:t>法定代表人完整有效的身份证复印件（第二代身份证必须提供正反面复印件，同时要加盖单位公章）；</w:t>
      </w: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snapToGrid w:val="0"/>
        <w:spacing w:beforeLines="50" w:after="50"/>
        <w:rPr>
          <w:rFonts w:ascii="宋体" w:cs="宋体"/>
          <w:b/>
          <w:color w:val="auto"/>
          <w:szCs w:val="21"/>
        </w:rPr>
      </w:pPr>
    </w:p>
    <w:p>
      <w:pPr>
        <w:snapToGrid w:val="0"/>
        <w:spacing w:beforeLines="50" w:after="50"/>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6</w:t>
      </w:r>
      <w:r>
        <w:rPr>
          <w:rFonts w:ascii="宋体" w:hAnsi="宋体" w:cs="宋体"/>
          <w:b/>
          <w:color w:val="auto"/>
          <w:szCs w:val="21"/>
        </w:rPr>
        <w:t xml:space="preserve">  </w:t>
      </w:r>
      <w:r>
        <w:rPr>
          <w:rFonts w:hint="eastAsia" w:ascii="宋体" w:hAnsi="宋体" w:cs="宋体"/>
          <w:b/>
          <w:color w:val="auto"/>
          <w:szCs w:val="21"/>
        </w:rPr>
        <w:t>法定代表人授权委托书和委托代理人完整有效的身份证复印件（委托代理时必须提供。第二代身份证必须提供正反面复印件，同时要加盖单位公章）；</w:t>
      </w:r>
    </w:p>
    <w:p>
      <w:pPr>
        <w:snapToGrid w:val="0"/>
        <w:spacing w:beforeLines="50" w:after="50"/>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6</w:t>
      </w:r>
      <w:r>
        <w:rPr>
          <w:rFonts w:ascii="宋体" w:hAnsi="宋体" w:cs="宋体"/>
          <w:b/>
          <w:color w:val="auto"/>
          <w:szCs w:val="21"/>
        </w:rPr>
        <w:t xml:space="preserve">-1  </w:t>
      </w:r>
      <w:r>
        <w:rPr>
          <w:rFonts w:hint="eastAsia" w:ascii="宋体" w:hAnsi="宋体" w:cs="宋体"/>
          <w:b/>
          <w:color w:val="auto"/>
          <w:szCs w:val="21"/>
        </w:rPr>
        <w:t>法定代表人授权委托书格式：</w:t>
      </w:r>
    </w:p>
    <w:p>
      <w:pPr>
        <w:snapToGrid w:val="0"/>
        <w:spacing w:beforeLines="50" w:after="50"/>
        <w:rPr>
          <w:rFonts w:ascii="宋体" w:cs="宋体"/>
          <w:color w:val="auto"/>
          <w:szCs w:val="21"/>
        </w:rPr>
      </w:pPr>
    </w:p>
    <w:p>
      <w:pPr>
        <w:snapToGrid w:val="0"/>
        <w:spacing w:beforeLines="50" w:after="50" w:line="360" w:lineRule="auto"/>
        <w:jc w:val="center"/>
        <w:rPr>
          <w:rFonts w:ascii="宋体" w:cs="宋体"/>
          <w:bCs/>
          <w:color w:val="auto"/>
          <w:szCs w:val="21"/>
        </w:rPr>
      </w:pPr>
      <w:r>
        <w:rPr>
          <w:rFonts w:hint="eastAsia" w:ascii="宋体" w:hAnsi="宋体" w:cs="宋体"/>
          <w:b/>
          <w:color w:val="auto"/>
          <w:sz w:val="28"/>
          <w:szCs w:val="28"/>
        </w:rPr>
        <w:t>法定代表人授权委托书</w:t>
      </w:r>
    </w:p>
    <w:p>
      <w:pPr>
        <w:snapToGrid w:val="0"/>
        <w:spacing w:beforeLines="50" w:after="50" w:line="360" w:lineRule="auto"/>
        <w:rPr>
          <w:rFonts w:ascii="宋体" w:cs="宋体"/>
          <w:b/>
          <w:bCs/>
          <w:color w:val="auto"/>
          <w:szCs w:val="21"/>
        </w:rPr>
      </w:pPr>
      <w:r>
        <w:rPr>
          <w:rFonts w:hint="eastAsia" w:ascii="宋体" w:hAnsi="宋体" w:cs="宋体"/>
          <w:bCs/>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beforeLines="50" w:after="50" w:line="360" w:lineRule="auto"/>
        <w:ind w:firstLine="630" w:firstLineChars="300"/>
        <w:rPr>
          <w:rFonts w:ascii="宋体" w:cs="宋体"/>
          <w:color w:val="auto"/>
          <w:szCs w:val="21"/>
        </w:rPr>
      </w:pPr>
      <w:r>
        <w:rPr>
          <w:rFonts w:hint="eastAsia" w:ascii="宋体" w:hAnsi="宋体" w:cs="宋体"/>
          <w:color w:val="auto"/>
          <w:szCs w:val="21"/>
        </w:rPr>
        <w:t>我</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（投标人名称）的法定代表人，现授权委托本单位在职职工</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（姓名）以我方的名义参加</w:t>
      </w:r>
      <w:r>
        <w:rPr>
          <w:rFonts w:ascii="宋体" w:hAnsi="宋体" w:cs="宋体"/>
          <w:color w:val="auto"/>
          <w:szCs w:val="21"/>
          <w:u w:val="single"/>
        </w:rPr>
        <w:t xml:space="preserve">                    </w:t>
      </w:r>
      <w:r>
        <w:rPr>
          <w:rFonts w:hint="eastAsia" w:ascii="宋体" w:hAnsi="宋体" w:cs="宋体"/>
          <w:color w:val="auto"/>
          <w:szCs w:val="21"/>
        </w:rPr>
        <w:t>项目（项目编号：</w:t>
      </w:r>
      <w:r>
        <w:rPr>
          <w:rFonts w:ascii="宋体" w:hAnsi="宋体" w:cs="宋体"/>
          <w:color w:val="auto"/>
          <w:szCs w:val="21"/>
          <w:u w:val="single"/>
        </w:rPr>
        <w:t xml:space="preserve">              </w:t>
      </w:r>
      <w:r>
        <w:rPr>
          <w:rFonts w:hint="eastAsia" w:ascii="宋体" w:hAnsi="宋体" w:cs="宋体"/>
          <w:color w:val="auto"/>
          <w:szCs w:val="21"/>
        </w:rPr>
        <w:t>）的投标活动，并代表我方全权办理针对上述项目的投标、开标、评标、签约等具体事务和签署相关文件。</w:t>
      </w:r>
    </w:p>
    <w:p>
      <w:pPr>
        <w:snapToGrid w:val="0"/>
        <w:spacing w:beforeLines="50" w:after="50"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我方对被授权人的签名事项负全部责任。</w:t>
      </w:r>
    </w:p>
    <w:p>
      <w:pPr>
        <w:snapToGrid w:val="0"/>
        <w:spacing w:beforeLines="50" w:after="50" w:line="360" w:lineRule="auto"/>
        <w:ind w:firstLine="480"/>
        <w:rPr>
          <w:rFonts w:asci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被授权人在授权书有效期内签署的所有文件不因授权的撤销而失效。</w:t>
      </w:r>
    </w:p>
    <w:p>
      <w:pPr>
        <w:snapToGrid w:val="0"/>
        <w:spacing w:beforeLines="50" w:after="50" w:line="360" w:lineRule="auto"/>
        <w:ind w:firstLine="480"/>
        <w:rPr>
          <w:rFonts w:ascii="宋体" w:cs="宋体"/>
          <w:color w:val="auto"/>
          <w:szCs w:val="21"/>
        </w:rPr>
      </w:pPr>
      <w:r>
        <w:rPr>
          <w:rFonts w:hint="eastAsia" w:ascii="宋体" w:hAnsi="宋体" w:cs="宋体"/>
          <w:color w:val="auto"/>
          <w:szCs w:val="21"/>
        </w:rPr>
        <w:t>被授权人无转委托权，特此委托。</w:t>
      </w:r>
    </w:p>
    <w:p>
      <w:pPr>
        <w:snapToGrid w:val="0"/>
        <w:spacing w:beforeLines="50" w:after="50" w:line="360" w:lineRule="auto"/>
        <w:rPr>
          <w:rFonts w:ascii="宋体" w:cs="宋体"/>
          <w:color w:val="auto"/>
          <w:szCs w:val="21"/>
          <w:u w:val="single"/>
        </w:rPr>
      </w:pPr>
      <w:r>
        <w:rPr>
          <w:rFonts w:hint="eastAsia" w:ascii="宋体" w:hAnsi="宋体" w:cs="宋体"/>
          <w:color w:val="auto"/>
          <w:szCs w:val="21"/>
        </w:rPr>
        <w:t>被授权人签名：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法定代表人签名：</w:t>
      </w:r>
      <w:r>
        <w:rPr>
          <w:rFonts w:ascii="宋体" w:hAnsi="宋体" w:cs="宋体"/>
          <w:color w:val="auto"/>
          <w:szCs w:val="21"/>
          <w:u w:val="single"/>
        </w:rPr>
        <w:t xml:space="preserve">              </w:t>
      </w:r>
    </w:p>
    <w:p>
      <w:pPr>
        <w:snapToGrid w:val="0"/>
        <w:spacing w:beforeLines="50" w:after="50" w:line="360" w:lineRule="auto"/>
        <w:rPr>
          <w:rFonts w:ascii="宋体" w:cs="宋体"/>
          <w:color w:val="auto"/>
          <w:szCs w:val="21"/>
        </w:rPr>
      </w:pPr>
      <w:r>
        <w:rPr>
          <w:rFonts w:hint="eastAsia" w:ascii="宋体" w:hAnsi="宋体" w:cs="宋体"/>
          <w:color w:val="auto"/>
          <w:szCs w:val="21"/>
        </w:rPr>
        <w:t>所在部门职务：</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pPr>
        <w:snapToGrid w:val="0"/>
        <w:spacing w:beforeLines="50" w:after="50" w:line="360" w:lineRule="auto"/>
        <w:rPr>
          <w:rFonts w:ascii="宋体" w:cs="宋体"/>
          <w:color w:val="auto"/>
          <w:szCs w:val="21"/>
        </w:rPr>
      </w:pPr>
      <w:r>
        <w:rPr>
          <w:rFonts w:hint="eastAsia" w:ascii="宋体" w:hAnsi="宋体" w:cs="宋体"/>
          <w:color w:val="auto"/>
          <w:szCs w:val="21"/>
        </w:rPr>
        <w:t>被授权人身份证号码：</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beforeLines="50" w:after="50" w:line="360" w:lineRule="auto"/>
        <w:ind w:firstLine="5880" w:firstLineChars="28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投标人公章：</w:t>
      </w:r>
    </w:p>
    <w:p>
      <w:pPr>
        <w:snapToGrid w:val="0"/>
        <w:spacing w:beforeLines="50" w:after="50" w:line="360" w:lineRule="auto"/>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55"/>
        <w:rPr>
          <w:color w:val="auto"/>
        </w:rPr>
      </w:pPr>
    </w:p>
    <w:p>
      <w:pPr>
        <w:snapToGrid w:val="0"/>
        <w:spacing w:line="420" w:lineRule="exact"/>
        <w:jc w:val="left"/>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6</w:t>
      </w:r>
      <w:r>
        <w:rPr>
          <w:rFonts w:ascii="宋体" w:hAnsi="宋体" w:cs="宋体"/>
          <w:b/>
          <w:color w:val="auto"/>
          <w:szCs w:val="21"/>
        </w:rPr>
        <w:t>-2</w:t>
      </w:r>
      <w:r>
        <w:rPr>
          <w:rFonts w:hint="eastAsia" w:ascii="宋体" w:hAnsi="宋体" w:cs="宋体"/>
          <w:b/>
          <w:color w:val="auto"/>
          <w:szCs w:val="21"/>
        </w:rPr>
        <w:t>委托代理人完整有效的身份证复印件（委托代理时必须提供。第二代身份证必须提供正反面复印件，同时要加盖单位公章，否则其投标无效）；</w:t>
      </w:r>
    </w:p>
    <w:p>
      <w:pPr>
        <w:tabs>
          <w:tab w:val="left" w:pos="606"/>
        </w:tabs>
        <w:rPr>
          <w:rFonts w:ascii="宋体"/>
          <w:b/>
          <w:color w:val="auto"/>
          <w:spacing w:val="20"/>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tabs>
          <w:tab w:val="left" w:pos="2730"/>
        </w:tabs>
        <w:snapToGrid w:val="0"/>
        <w:spacing w:beforeLines="50" w:line="420" w:lineRule="exact"/>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7</w:t>
      </w:r>
      <w:r>
        <w:rPr>
          <w:rFonts w:ascii="宋体" w:hAnsi="宋体" w:cs="宋体"/>
          <w:b/>
          <w:color w:val="auto"/>
          <w:szCs w:val="21"/>
        </w:rPr>
        <w:t xml:space="preserve">   </w:t>
      </w:r>
      <w:r>
        <w:rPr>
          <w:rFonts w:hint="eastAsia" w:ascii="宋体" w:hAnsi="宋体" w:cs="宋体"/>
          <w:b/>
          <w:color w:val="auto"/>
          <w:szCs w:val="21"/>
        </w:rPr>
        <w:t>截标时间前半年内，连续三个月依法缴纳税费的凭证（复印件，格式略），无纳税记录的，应提供由投标人所在地主管税务部门出具的《依法缴纳税费或依法免缴税费证明》（格式自拟），《依法缴纳税费或依法免缴税费证明》原件一年内均保持有效。</w:t>
      </w: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bCs w:val="0"/>
          <w:color w:val="auto"/>
          <w:spacing w:val="0"/>
          <w:kern w:val="2"/>
          <w:sz w:val="21"/>
          <w:szCs w:val="21"/>
        </w:rPr>
      </w:pPr>
    </w:p>
    <w:p>
      <w:pPr>
        <w:pStyle w:val="55"/>
        <w:rPr>
          <w:rFonts w:ascii="宋体" w:cs="宋体"/>
          <w:b/>
          <w:bCs w:val="0"/>
          <w:color w:val="auto"/>
          <w:spacing w:val="0"/>
          <w:kern w:val="2"/>
          <w:sz w:val="21"/>
          <w:szCs w:val="21"/>
        </w:rPr>
      </w:pPr>
      <w:r>
        <w:rPr>
          <w:rFonts w:ascii="宋体" w:hAnsi="宋体" w:cs="宋体"/>
          <w:b/>
          <w:bCs w:val="0"/>
          <w:color w:val="auto"/>
          <w:spacing w:val="0"/>
          <w:kern w:val="2"/>
          <w:sz w:val="21"/>
          <w:szCs w:val="21"/>
        </w:rPr>
        <w:t>2.2.</w:t>
      </w:r>
      <w:r>
        <w:rPr>
          <w:rFonts w:hint="eastAsia" w:ascii="宋体" w:hAnsi="宋体" w:cs="宋体"/>
          <w:b/>
          <w:bCs w:val="0"/>
          <w:color w:val="auto"/>
          <w:spacing w:val="0"/>
          <w:kern w:val="2"/>
          <w:sz w:val="21"/>
          <w:szCs w:val="21"/>
        </w:rPr>
        <w:t>8</w:t>
      </w:r>
      <w:r>
        <w:rPr>
          <w:rFonts w:ascii="宋体" w:hAnsi="宋体" w:cs="宋体"/>
          <w:b/>
          <w:bCs w:val="0"/>
          <w:color w:val="auto"/>
          <w:spacing w:val="0"/>
          <w:kern w:val="2"/>
          <w:sz w:val="21"/>
          <w:szCs w:val="21"/>
        </w:rPr>
        <w:t xml:space="preserve">  </w:t>
      </w:r>
      <w:r>
        <w:rPr>
          <w:rFonts w:hint="eastAsia" w:ascii="宋体" w:hAnsi="宋体" w:cs="宋体"/>
          <w:b/>
          <w:bCs w:val="0"/>
          <w:color w:val="auto"/>
          <w:spacing w:val="0"/>
          <w:kern w:val="2"/>
          <w:sz w:val="21"/>
          <w:szCs w:val="21"/>
        </w:rPr>
        <w:t>截标时间前半年内，连续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55"/>
        <w:rPr>
          <w:rFonts w:ascii="宋体" w:cs="宋体"/>
          <w:b/>
          <w:bCs w:val="0"/>
          <w:color w:val="auto"/>
          <w:spacing w:val="0"/>
          <w:kern w:val="2"/>
          <w:sz w:val="21"/>
          <w:szCs w:val="21"/>
        </w:rPr>
      </w:pPr>
    </w:p>
    <w:p>
      <w:pPr>
        <w:snapToGrid w:val="0"/>
        <w:spacing w:beforeLines="50" w:line="420" w:lineRule="exact"/>
        <w:rPr>
          <w:rFonts w:ascii="宋体" w:cs="宋体"/>
          <w:b/>
          <w:color w:val="auto"/>
          <w:szCs w:val="21"/>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snapToGrid w:val="0"/>
        <w:spacing w:beforeLines="50" w:line="420" w:lineRule="exact"/>
        <w:rPr>
          <w:rFonts w:ascii="宋体" w:cs="宋体"/>
          <w:b/>
          <w:color w:val="auto"/>
          <w:spacing w:val="20"/>
          <w:szCs w:val="21"/>
          <w:u w:val="single"/>
        </w:rPr>
      </w:pPr>
      <w:r>
        <w:rPr>
          <w:rFonts w:ascii="宋体" w:hAnsi="宋体" w:cs="宋体"/>
          <w:b/>
          <w:color w:val="auto"/>
          <w:szCs w:val="21"/>
        </w:rPr>
        <w:t>2.2.</w:t>
      </w:r>
      <w:r>
        <w:rPr>
          <w:rFonts w:hint="eastAsia" w:ascii="宋体" w:hAnsi="宋体" w:cs="宋体"/>
          <w:b/>
          <w:color w:val="auto"/>
          <w:szCs w:val="21"/>
        </w:rPr>
        <w:t>9</w:t>
      </w:r>
      <w:r>
        <w:rPr>
          <w:rFonts w:ascii="宋体" w:hAnsi="宋体" w:cs="宋体"/>
          <w:b/>
          <w:color w:val="auto"/>
          <w:szCs w:val="21"/>
        </w:rPr>
        <w:t xml:space="preserve">  </w:t>
      </w:r>
      <w:r>
        <w:rPr>
          <w:rFonts w:hint="eastAsia" w:ascii="宋体" w:hAnsi="宋体" w:cs="宋体"/>
          <w:b/>
          <w:color w:val="auto"/>
          <w:szCs w:val="21"/>
        </w:rPr>
        <w:t>参加政府采购活动前</w:t>
      </w:r>
      <w:r>
        <w:rPr>
          <w:rFonts w:ascii="宋体" w:hAnsi="宋体" w:cs="宋体"/>
          <w:b/>
          <w:color w:val="auto"/>
          <w:szCs w:val="21"/>
        </w:rPr>
        <w:t>3</w:t>
      </w:r>
      <w:r>
        <w:rPr>
          <w:rFonts w:hint="eastAsia" w:ascii="宋体" w:hAnsi="宋体" w:cs="宋体"/>
          <w:b/>
          <w:color w:val="auto"/>
          <w:szCs w:val="21"/>
        </w:rPr>
        <w:t>年内在经营活动中没有重大违法记录的书面声明；</w:t>
      </w:r>
    </w:p>
    <w:p>
      <w:pPr>
        <w:pStyle w:val="55"/>
        <w:rPr>
          <w:color w:val="auto"/>
        </w:rPr>
      </w:pPr>
    </w:p>
    <w:p>
      <w:pPr>
        <w:pStyle w:val="55"/>
        <w:rPr>
          <w:color w:val="auto"/>
        </w:rPr>
      </w:pPr>
    </w:p>
    <w:p>
      <w:pPr>
        <w:pStyle w:val="23"/>
        <w:spacing w:line="420" w:lineRule="exact"/>
        <w:jc w:val="center"/>
        <w:rPr>
          <w:rFonts w:hAnsi="宋体" w:cs="宋体"/>
          <w:b/>
          <w:color w:val="auto"/>
          <w:sz w:val="28"/>
          <w:szCs w:val="28"/>
        </w:rPr>
      </w:pPr>
      <w:r>
        <w:rPr>
          <w:rFonts w:hint="eastAsia" w:hAnsi="宋体" w:cs="宋体"/>
          <w:b/>
          <w:color w:val="auto"/>
          <w:sz w:val="28"/>
          <w:szCs w:val="28"/>
        </w:rPr>
        <w:t>参加政府采购活动前</w:t>
      </w:r>
      <w:r>
        <w:rPr>
          <w:rFonts w:hAnsi="宋体" w:cs="宋体"/>
          <w:b/>
          <w:color w:val="auto"/>
          <w:sz w:val="28"/>
          <w:szCs w:val="28"/>
        </w:rPr>
        <w:t>3</w:t>
      </w:r>
      <w:r>
        <w:rPr>
          <w:rFonts w:hint="eastAsia" w:hAnsi="宋体" w:cs="宋体"/>
          <w:b/>
          <w:color w:val="auto"/>
          <w:sz w:val="28"/>
          <w:szCs w:val="28"/>
        </w:rPr>
        <w:t>年内在经营活动中没有重大违法记录的书面声明（格式）</w:t>
      </w:r>
    </w:p>
    <w:p>
      <w:pPr>
        <w:tabs>
          <w:tab w:val="left" w:pos="7200"/>
        </w:tabs>
        <w:spacing w:line="420" w:lineRule="exact"/>
        <w:jc w:val="left"/>
        <w:rPr>
          <w:rFonts w:ascii="宋体" w:cs="宋体"/>
          <w:color w:val="auto"/>
        </w:rPr>
      </w:pPr>
    </w:p>
    <w:p>
      <w:pPr>
        <w:spacing w:line="400" w:lineRule="exact"/>
        <w:rPr>
          <w:rFonts w:ascii="新宋体" w:hAnsi="新宋体" w:eastAsia="新宋体"/>
          <w:color w:val="auto"/>
          <w:szCs w:val="21"/>
          <w:u w:val="single"/>
        </w:rPr>
      </w:pPr>
      <w:r>
        <w:rPr>
          <w:rStyle w:val="114"/>
          <w:rFonts w:hint="eastAsia" w:ascii="新宋体" w:hAnsi="新宋体" w:eastAsia="新宋体"/>
          <w:color w:val="auto"/>
          <w:szCs w:val="21"/>
        </w:rPr>
        <w:t>致：</w:t>
      </w:r>
      <w:r>
        <w:rPr>
          <w:rStyle w:val="114"/>
          <w:rFonts w:hint="eastAsia" w:ascii="新宋体" w:hAnsi="新宋体" w:eastAsia="新宋体"/>
          <w:color w:val="auto"/>
          <w:szCs w:val="21"/>
          <w:u w:val="single"/>
        </w:rPr>
        <w:t>广西科联招标中心有限公司</w:t>
      </w:r>
      <w:r>
        <w:rPr>
          <w:rFonts w:hint="eastAsia" w:ascii="宋体" w:hAnsi="宋体" w:cs="宋体"/>
          <w:color w:val="auto"/>
          <w:szCs w:val="21"/>
          <w:u w:val="single"/>
        </w:rPr>
        <w:t>（采购代理机构名称）</w:t>
      </w:r>
    </w:p>
    <w:p>
      <w:pPr>
        <w:spacing w:line="400" w:lineRule="exact"/>
        <w:ind w:firstLine="420" w:firstLineChars="200"/>
        <w:rPr>
          <w:rStyle w:val="114"/>
          <w:rFonts w:ascii="新宋体" w:hAnsi="新宋体" w:eastAsia="新宋体"/>
          <w:color w:val="auto"/>
          <w:szCs w:val="21"/>
        </w:rPr>
      </w:pPr>
      <w:r>
        <w:rPr>
          <w:rStyle w:val="114"/>
          <w:rFonts w:hint="eastAsia" w:ascii="新宋体" w:hAnsi="新宋体" w:eastAsia="新宋体"/>
          <w:color w:val="auto"/>
          <w:szCs w:val="21"/>
        </w:rPr>
        <w:t>我公司参加贵公司组织</w:t>
      </w:r>
      <w:r>
        <w:rPr>
          <w:rStyle w:val="114"/>
          <w:rFonts w:ascii="新宋体" w:hAnsi="新宋体" w:eastAsia="新宋体"/>
          <w:color w:val="auto"/>
          <w:szCs w:val="21"/>
          <w:u w:val="single"/>
        </w:rPr>
        <w:t xml:space="preserve">           </w:t>
      </w:r>
      <w:r>
        <w:rPr>
          <w:rStyle w:val="114"/>
          <w:rFonts w:hint="eastAsia" w:ascii="新宋体" w:hAnsi="新宋体" w:eastAsia="新宋体"/>
          <w:color w:val="auto"/>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20" w:firstLineChars="200"/>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以上事项如有虚假或隐瞒，我方愿意承担一切后果，并不再寻求任何旨在减轻或免除法律责任的辩解。</w:t>
      </w:r>
    </w:p>
    <w:p>
      <w:pPr>
        <w:spacing w:line="400" w:lineRule="exact"/>
        <w:ind w:firstLine="630" w:firstLineChars="300"/>
        <w:rPr>
          <w:rFonts w:ascii="新宋体" w:hAnsi="新宋体" w:eastAsia="新宋体"/>
          <w:color w:val="auto"/>
          <w:szCs w:val="21"/>
        </w:rPr>
      </w:pPr>
      <w:r>
        <w:rPr>
          <w:rStyle w:val="114"/>
          <w:rFonts w:hint="eastAsia" w:ascii="新宋体" w:hAnsi="新宋体" w:eastAsia="新宋体"/>
          <w:color w:val="auto"/>
          <w:szCs w:val="21"/>
        </w:rPr>
        <w:t>特此承诺。</w:t>
      </w:r>
    </w:p>
    <w:p>
      <w:pPr>
        <w:spacing w:line="400" w:lineRule="exact"/>
        <w:ind w:firstLine="420" w:firstLineChars="200"/>
        <w:jc w:val="center"/>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投标人公章：</w:t>
      </w:r>
      <w:r>
        <w:rPr>
          <w:rStyle w:val="114"/>
          <w:rFonts w:ascii="新宋体" w:hAnsi="新宋体" w:eastAsia="新宋体"/>
          <w:color w:val="auto"/>
          <w:szCs w:val="21"/>
        </w:rPr>
        <w:t xml:space="preserve">  </w:t>
      </w:r>
    </w:p>
    <w:p>
      <w:pPr>
        <w:spacing w:line="400" w:lineRule="exact"/>
        <w:ind w:firstLine="420" w:firstLineChars="200"/>
        <w:jc w:val="center"/>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法定代表人或委托代理人签字：</w:t>
      </w:r>
      <w:r>
        <w:rPr>
          <w:rStyle w:val="114"/>
          <w:rFonts w:ascii="新宋体" w:hAnsi="新宋体" w:eastAsia="新宋体"/>
          <w:color w:val="auto"/>
          <w:szCs w:val="21"/>
        </w:rPr>
        <w:t>   </w:t>
      </w:r>
    </w:p>
    <w:p>
      <w:pPr>
        <w:spacing w:line="400" w:lineRule="exact"/>
        <w:ind w:firstLine="420" w:firstLineChars="200"/>
        <w:jc w:val="right"/>
        <w:rPr>
          <w:rFonts w:ascii="宋体" w:cs="宋体"/>
          <w:color w:val="auto"/>
        </w:rPr>
      </w:pPr>
      <w:r>
        <w:rPr>
          <w:rStyle w:val="114"/>
          <w:rFonts w:hint="eastAsia" w:ascii="新宋体" w:hAnsi="新宋体" w:eastAsia="新宋体"/>
          <w:color w:val="auto"/>
          <w:szCs w:val="21"/>
        </w:rPr>
        <w:t>日期：</w:t>
      </w:r>
      <w:r>
        <w:rPr>
          <w:rStyle w:val="114"/>
          <w:rFonts w:ascii="新宋体" w:hAnsi="新宋体" w:eastAsia="新宋体"/>
          <w:color w:val="auto"/>
          <w:szCs w:val="21"/>
        </w:rPr>
        <w:t>  </w:t>
      </w:r>
      <w:r>
        <w:rPr>
          <w:rStyle w:val="114"/>
          <w:rFonts w:hint="eastAsia" w:ascii="新宋体" w:hAnsi="新宋体" w:eastAsia="新宋体"/>
          <w:color w:val="auto"/>
          <w:szCs w:val="21"/>
        </w:rPr>
        <w:t>年</w:t>
      </w:r>
      <w:r>
        <w:rPr>
          <w:rStyle w:val="114"/>
          <w:rFonts w:ascii="新宋体" w:hAnsi="新宋体" w:eastAsia="新宋体"/>
          <w:color w:val="auto"/>
          <w:szCs w:val="21"/>
        </w:rPr>
        <w:t>    </w:t>
      </w:r>
      <w:r>
        <w:rPr>
          <w:rStyle w:val="114"/>
          <w:rFonts w:hint="eastAsia" w:ascii="新宋体" w:hAnsi="新宋体" w:eastAsia="新宋体"/>
          <w:color w:val="auto"/>
          <w:szCs w:val="21"/>
        </w:rPr>
        <w:t>月</w:t>
      </w:r>
      <w:r>
        <w:rPr>
          <w:rStyle w:val="114"/>
          <w:rFonts w:ascii="新宋体" w:hAnsi="新宋体" w:eastAsia="新宋体"/>
          <w:color w:val="auto"/>
          <w:szCs w:val="21"/>
        </w:rPr>
        <w:t>  </w:t>
      </w:r>
      <w:r>
        <w:rPr>
          <w:rStyle w:val="114"/>
          <w:rFonts w:hint="eastAsia" w:ascii="新宋体" w:hAnsi="新宋体" w:eastAsia="新宋体"/>
          <w:color w:val="auto"/>
          <w:szCs w:val="21"/>
        </w:rPr>
        <w:t>日</w:t>
      </w:r>
    </w:p>
    <w:p>
      <w:pPr>
        <w:pStyle w:val="55"/>
        <w:rPr>
          <w:rFonts w:ascii="宋体" w:cs="宋体"/>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color w:val="auto"/>
        </w:rPr>
      </w:pPr>
    </w:p>
    <w:p>
      <w:pPr>
        <w:pStyle w:val="55"/>
        <w:rPr>
          <w:rFonts w:ascii="宋体" w:hAnsi="宋体" w:cs="宋体"/>
          <w:b/>
          <w:bCs w:val="0"/>
          <w:color w:val="auto"/>
          <w:spacing w:val="0"/>
          <w:kern w:val="2"/>
          <w:sz w:val="21"/>
          <w:szCs w:val="21"/>
        </w:rPr>
      </w:pPr>
      <w:r>
        <w:rPr>
          <w:rFonts w:hint="eastAsia" w:ascii="宋体" w:hAnsi="宋体" w:cs="宋体"/>
          <w:b/>
          <w:bCs w:val="0"/>
          <w:color w:val="auto"/>
          <w:spacing w:val="0"/>
          <w:kern w:val="2"/>
          <w:sz w:val="21"/>
          <w:szCs w:val="21"/>
        </w:rPr>
        <w:t>2.2.10  信用记录网站〔“信用中国”网站(www.creditchina.gov.cn)、中国政府采购网(www.ccgp.gov.cn/cr/list)〕查询结果信用声明函</w:t>
      </w:r>
    </w:p>
    <w:p>
      <w:pPr>
        <w:tabs>
          <w:tab w:val="left" w:pos="7200"/>
        </w:tabs>
        <w:spacing w:line="420" w:lineRule="exact"/>
        <w:jc w:val="left"/>
        <w:rPr>
          <w:rFonts w:ascii="宋体" w:hAnsi="宋体" w:cs="宋体"/>
          <w:b/>
          <w:color w:val="auto"/>
          <w:szCs w:val="21"/>
        </w:rPr>
      </w:pPr>
    </w:p>
    <w:p>
      <w:pPr>
        <w:pStyle w:val="23"/>
        <w:spacing w:line="420" w:lineRule="exact"/>
        <w:jc w:val="center"/>
        <w:rPr>
          <w:rFonts w:hAnsi="宋体" w:cs="宋体"/>
          <w:b/>
          <w:color w:val="auto"/>
          <w:sz w:val="28"/>
          <w:szCs w:val="28"/>
        </w:rPr>
      </w:pPr>
      <w:r>
        <w:rPr>
          <w:rFonts w:hint="eastAsia" w:hAnsi="宋体" w:cs="宋体"/>
          <w:b/>
          <w:color w:val="auto"/>
          <w:sz w:val="28"/>
          <w:szCs w:val="28"/>
        </w:rPr>
        <w:t>信用声明函（格式）</w:t>
      </w:r>
    </w:p>
    <w:p>
      <w:pPr>
        <w:pStyle w:val="23"/>
        <w:spacing w:line="420" w:lineRule="exact"/>
        <w:jc w:val="center"/>
        <w:rPr>
          <w:rFonts w:hAnsi="宋体" w:cs="宋体"/>
          <w:b/>
          <w:color w:val="auto"/>
          <w:sz w:val="30"/>
          <w:szCs w:val="30"/>
        </w:rPr>
      </w:pPr>
    </w:p>
    <w:p>
      <w:pPr>
        <w:tabs>
          <w:tab w:val="left" w:pos="7200"/>
        </w:tabs>
        <w:spacing w:line="42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（采购代理机构名称）</w:t>
      </w:r>
    </w:p>
    <w:p>
      <w:pPr>
        <w:tabs>
          <w:tab w:val="left" w:pos="7200"/>
        </w:tabs>
        <w:spacing w:line="420" w:lineRule="exact"/>
        <w:ind w:firstLine="420" w:firstLineChars="200"/>
        <w:jc w:val="left"/>
        <w:rPr>
          <w:rFonts w:ascii="宋体" w:hAnsi="宋体" w:cs="宋体"/>
          <w:color w:val="auto"/>
        </w:rPr>
      </w:pPr>
      <w:r>
        <w:rPr>
          <w:rFonts w:hint="eastAsia" w:ascii="宋体" w:hAnsi="宋体" w:cs="宋体"/>
          <w:color w:val="auto"/>
        </w:rPr>
        <w:t>我方愿意参加贵方组织的</w:t>
      </w:r>
      <w:r>
        <w:rPr>
          <w:rFonts w:hint="eastAsia" w:ascii="宋体" w:hAnsi="宋体" w:cs="宋体"/>
          <w:color w:val="auto"/>
          <w:u w:val="single"/>
        </w:rPr>
        <w:t xml:space="preserve">     (项目名称)          </w:t>
      </w: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）项目的投标，为便于贵方公正、择优地确定中标人及其投标设备和服务，我方就本次投标有关事项郑重声明如下：</w:t>
      </w:r>
    </w:p>
    <w:p>
      <w:pPr>
        <w:tabs>
          <w:tab w:val="left" w:pos="7200"/>
        </w:tabs>
        <w:spacing w:line="420" w:lineRule="exact"/>
        <w:ind w:firstLine="420" w:firstLineChars="200"/>
        <w:rPr>
          <w:rFonts w:ascii="宋体" w:hAnsi="宋体" w:cs="宋体"/>
          <w:color w:val="auto"/>
          <w:u w:val="single"/>
        </w:rPr>
      </w:pPr>
      <w:r>
        <w:rPr>
          <w:rFonts w:hint="eastAsia" w:ascii="宋体" w:hAnsi="宋体" w:cs="宋体"/>
          <w:color w:val="auto"/>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auto"/>
        </w:rPr>
      </w:pPr>
      <w:r>
        <w:rPr>
          <w:rFonts w:hint="eastAsia" w:ascii="宋体" w:hAnsi="宋体" w:cs="宋体"/>
          <w:color w:val="auto"/>
        </w:rPr>
        <w:t>2. 以上事项如有虚假或隐瞒，我方愿意承担一切后果，并不再寻求任何旨在减轻或免除法律责任的辩解。</w:t>
      </w:r>
    </w:p>
    <w:p>
      <w:pPr>
        <w:tabs>
          <w:tab w:val="left" w:pos="7200"/>
        </w:tabs>
        <w:spacing w:line="420" w:lineRule="exact"/>
        <w:rPr>
          <w:rFonts w:ascii="宋体" w:hAnsi="宋体" w:cs="宋体"/>
          <w:color w:val="auto"/>
        </w:rPr>
      </w:pPr>
    </w:p>
    <w:p>
      <w:pPr>
        <w:tabs>
          <w:tab w:val="left" w:pos="7200"/>
        </w:tabs>
        <w:spacing w:line="420" w:lineRule="exact"/>
        <w:rPr>
          <w:rFonts w:ascii="宋体" w:hAnsi="宋体" w:cs="宋体"/>
          <w:color w:val="auto"/>
        </w:rPr>
      </w:pPr>
      <w:r>
        <w:rPr>
          <w:rFonts w:hint="eastAsia" w:ascii="宋体" w:hAnsi="宋体" w:cs="宋体"/>
          <w:color w:val="auto"/>
        </w:rPr>
        <w:t>说明：</w:t>
      </w:r>
    </w:p>
    <w:p>
      <w:pPr>
        <w:spacing w:line="420" w:lineRule="exact"/>
        <w:ind w:firstLine="420" w:firstLineChars="200"/>
        <w:jc w:val="left"/>
        <w:rPr>
          <w:rFonts w:ascii="宋体" w:hAnsi="宋体" w:cs="宋体"/>
          <w:color w:val="auto"/>
        </w:rPr>
      </w:pPr>
      <w:r>
        <w:rPr>
          <w:rFonts w:hint="eastAsia" w:ascii="宋体" w:hAnsi="宋体" w:cs="宋体"/>
          <w:color w:val="auto"/>
        </w:rPr>
        <w:t>1.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7200"/>
        </w:tabs>
        <w:spacing w:line="420" w:lineRule="exact"/>
        <w:ind w:firstLine="839" w:firstLineChars="398"/>
        <w:rPr>
          <w:rFonts w:ascii="宋体" w:hAnsi="宋体" w:cs="宋体"/>
          <w:b/>
          <w:color w:val="auto"/>
          <w:u w:val="single"/>
        </w:rPr>
      </w:pPr>
      <w:r>
        <w:rPr>
          <w:rFonts w:hint="eastAsia" w:ascii="宋体" w:hAnsi="宋体" w:cs="宋体"/>
          <w:b/>
          <w:color w:val="auto"/>
        </w:rPr>
        <w:t xml:space="preserve">                              法定代表人或委托代理人签字：</w:t>
      </w:r>
      <w:r>
        <w:rPr>
          <w:rFonts w:hint="eastAsia" w:ascii="宋体" w:hAnsi="宋体" w:cs="宋体"/>
          <w:b/>
          <w:color w:val="auto"/>
          <w:u w:val="single"/>
        </w:rPr>
        <w:t xml:space="preserve">             </w:t>
      </w:r>
    </w:p>
    <w:p>
      <w:pPr>
        <w:tabs>
          <w:tab w:val="left" w:pos="7200"/>
        </w:tabs>
        <w:spacing w:line="420" w:lineRule="exact"/>
        <w:ind w:left="6635" w:leftChars="2000" w:hanging="2435" w:hangingChars="1155"/>
        <w:jc w:val="left"/>
        <w:rPr>
          <w:rFonts w:ascii="宋体" w:hAnsi="宋体" w:cs="宋体"/>
          <w:b/>
          <w:color w:val="auto"/>
        </w:rPr>
      </w:pPr>
      <w:r>
        <w:rPr>
          <w:rFonts w:hint="eastAsia" w:ascii="宋体" w:hAnsi="宋体" w:cs="宋体"/>
          <w:b/>
          <w:color w:val="auto"/>
        </w:rPr>
        <w:t>投标人（盖章）：</w:t>
      </w:r>
      <w:r>
        <w:rPr>
          <w:rFonts w:hint="eastAsia" w:ascii="宋体" w:hAnsi="宋体" w:cs="宋体"/>
          <w:b/>
          <w:color w:val="auto"/>
          <w:u w:val="single"/>
        </w:rPr>
        <w:t xml:space="preserve">               </w:t>
      </w:r>
      <w:r>
        <w:rPr>
          <w:rFonts w:hint="eastAsia" w:ascii="宋体" w:hAnsi="宋体" w:cs="宋体"/>
          <w:b/>
          <w:color w:val="auto"/>
        </w:rPr>
        <w:t xml:space="preserve">                    </w:t>
      </w:r>
    </w:p>
    <w:p>
      <w:pPr>
        <w:tabs>
          <w:tab w:val="left" w:pos="7200"/>
        </w:tabs>
        <w:spacing w:line="420" w:lineRule="exact"/>
        <w:ind w:left="6720" w:leftChars="3200" w:firstLine="101" w:firstLineChars="48"/>
        <w:jc w:val="left"/>
        <w:rPr>
          <w:rFonts w:ascii="宋体" w:hAnsi="宋体" w:cs="宋体"/>
          <w:b/>
          <w:color w:val="auto"/>
        </w:rPr>
      </w:pPr>
      <w:r>
        <w:rPr>
          <w:rFonts w:hint="eastAsia" w:ascii="宋体" w:hAnsi="宋体" w:cs="宋体"/>
          <w:b/>
          <w:color w:val="auto"/>
        </w:rPr>
        <w:t>年    月    日</w:t>
      </w:r>
    </w:p>
    <w:p>
      <w:pPr>
        <w:pStyle w:val="2"/>
        <w:rPr>
          <w:rFonts w:ascii="宋体" w:hAnsi="宋体" w:cs="宋体"/>
          <w:color w:val="auto"/>
          <w:szCs w:val="21"/>
        </w:rPr>
      </w:pPr>
    </w:p>
    <w:p>
      <w:pPr>
        <w:rPr>
          <w:rFonts w:ascii="宋体" w:hAnsi="宋体" w:cs="宋体"/>
          <w:b/>
          <w:color w:val="auto"/>
          <w:szCs w:val="21"/>
        </w:rPr>
      </w:pPr>
    </w:p>
    <w:p>
      <w:pPr>
        <w:pStyle w:val="2"/>
        <w:rPr>
          <w:color w:val="auto"/>
        </w:rPr>
      </w:pPr>
    </w:p>
    <w:p>
      <w:pPr>
        <w:rPr>
          <w:color w:val="auto"/>
        </w:rPr>
      </w:pPr>
    </w:p>
    <w:p>
      <w:pPr>
        <w:rPr>
          <w:color w:val="auto"/>
        </w:rPr>
      </w:pPr>
    </w:p>
    <w:p>
      <w:pPr>
        <w:pStyle w:val="2"/>
        <w:rPr>
          <w:color w:val="auto"/>
        </w:rPr>
      </w:pPr>
    </w:p>
    <w:p>
      <w:pPr>
        <w:rPr>
          <w:color w:val="auto"/>
        </w:rPr>
      </w:pPr>
    </w:p>
    <w:p>
      <w:pPr>
        <w:tabs>
          <w:tab w:val="left" w:pos="7200"/>
        </w:tabs>
        <w:spacing w:line="420" w:lineRule="exact"/>
        <w:jc w:val="left"/>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11</w:t>
      </w:r>
      <w:r>
        <w:rPr>
          <w:rFonts w:ascii="宋体" w:hAnsi="宋体" w:cs="宋体"/>
          <w:b/>
          <w:color w:val="auto"/>
          <w:szCs w:val="21"/>
        </w:rPr>
        <w:t xml:space="preserve">  </w:t>
      </w:r>
      <w:r>
        <w:rPr>
          <w:rFonts w:hint="eastAsia" w:ascii="宋体" w:hAnsi="宋体" w:cs="宋体"/>
          <w:b/>
          <w:color w:val="auto"/>
          <w:spacing w:val="20"/>
        </w:rPr>
        <w:t>投标人近期财务状况报告（上一年度经第三方审计的财务报告；或截标时间前半年内能反映财务状况的报表；或投标人自拟的截标时间前半年内的财务情况说明）</w:t>
      </w: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widowControl/>
        <w:jc w:val="left"/>
        <w:rPr>
          <w:rFonts w:ascii="宋体" w:cs="宋体"/>
          <w:b/>
          <w:color w:val="auto"/>
          <w:szCs w:val="21"/>
        </w:rPr>
      </w:pPr>
      <w:r>
        <w:rPr>
          <w:rFonts w:hint="eastAsia" w:ascii="宋体" w:hAnsi="宋体" w:cs="宋体"/>
          <w:b/>
          <w:color w:val="auto"/>
          <w:szCs w:val="21"/>
        </w:rPr>
        <w:t>三、投标文件（商务及技术部分、报价部分）格式</w:t>
      </w:r>
    </w:p>
    <w:p>
      <w:pPr>
        <w:snapToGrid w:val="0"/>
        <w:spacing w:beforeLines="50" w:after="50"/>
        <w:rPr>
          <w:rFonts w:ascii="宋体" w:cs="宋体"/>
          <w:color w:val="auto"/>
          <w:sz w:val="24"/>
          <w:szCs w:val="20"/>
        </w:rPr>
      </w:pPr>
      <w:r>
        <w:rPr>
          <w:rFonts w:ascii="宋体" w:hAnsi="宋体" w:cs="宋体"/>
          <w:color w:val="auto"/>
          <w:sz w:val="24"/>
        </w:rPr>
        <w:t xml:space="preserve">                                                          </w:t>
      </w:r>
      <w:r>
        <w:rPr>
          <w:rFonts w:hint="eastAsia" w:ascii="宋体" w:hAnsi="宋体" w:cs="宋体"/>
          <w:bCs/>
          <w:color w:val="auto"/>
        </w:rPr>
        <w:t>正本</w:t>
      </w:r>
      <w:r>
        <w:rPr>
          <w:rFonts w:ascii="宋体" w:hAnsi="宋体" w:cs="宋体"/>
          <w:bCs/>
          <w:color w:val="auto"/>
        </w:rPr>
        <w:t>/</w:t>
      </w:r>
      <w:r>
        <w:rPr>
          <w:rFonts w:hint="eastAsia" w:ascii="宋体" w:hAnsi="宋体" w:cs="宋体"/>
          <w:bCs/>
          <w:color w:val="auto"/>
        </w:rPr>
        <w:t>或副本</w:t>
      </w:r>
    </w:p>
    <w:p>
      <w:pPr>
        <w:snapToGrid w:val="0"/>
        <w:spacing w:beforeLines="50" w:after="50"/>
        <w:jc w:val="center"/>
        <w:rPr>
          <w:rFonts w:ascii="宋体" w:cs="宋体"/>
          <w:b/>
          <w:bCs/>
          <w:color w:val="auto"/>
          <w:sz w:val="48"/>
          <w:szCs w:val="48"/>
        </w:rPr>
      </w:pP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投标文件</w:t>
      </w: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（商务及技术部分、报价部分）</w:t>
      </w:r>
    </w:p>
    <w:p>
      <w:pPr>
        <w:snapToGrid w:val="0"/>
        <w:spacing w:beforeLines="50" w:after="50"/>
        <w:rPr>
          <w:rFonts w:ascii="宋体" w:cs="宋体"/>
          <w:bCs/>
          <w:color w:val="auto"/>
          <w:sz w:val="24"/>
          <w:szCs w:val="20"/>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pStyle w:val="7"/>
        <w:snapToGrid w:val="0"/>
        <w:spacing w:before="50" w:after="50"/>
        <w:ind w:firstLine="0"/>
        <w:rPr>
          <w:rFonts w:ascii="宋体" w:cs="宋体"/>
          <w:bCs/>
          <w:color w:val="auto"/>
          <w:szCs w:val="21"/>
        </w:rPr>
      </w:pPr>
    </w:p>
    <w:p>
      <w:pPr>
        <w:pStyle w:val="7"/>
        <w:snapToGrid w:val="0"/>
        <w:spacing w:before="50" w:after="50"/>
        <w:ind w:firstLine="873" w:firstLineChars="416"/>
        <w:rPr>
          <w:rFonts w:ascii="宋体" w:cs="宋体"/>
          <w:bCs/>
          <w:color w:val="auto"/>
          <w:szCs w:val="21"/>
        </w:rPr>
      </w:pPr>
    </w:p>
    <w:p>
      <w:pPr>
        <w:widowControl/>
        <w:jc w:val="left"/>
        <w:rPr>
          <w:rFonts w:ascii="宋体" w:cs="宋体"/>
          <w:b/>
          <w:color w:val="auto"/>
          <w:szCs w:val="21"/>
        </w:rPr>
      </w:pPr>
    </w:p>
    <w:p>
      <w:pPr>
        <w:pStyle w:val="55"/>
        <w:rPr>
          <w:color w:val="auto"/>
        </w:rPr>
      </w:pPr>
    </w:p>
    <w:p>
      <w:pPr>
        <w:snapToGrid w:val="0"/>
        <w:spacing w:beforeLines="50" w:after="50"/>
        <w:rPr>
          <w:rFonts w:ascii="宋体" w:cs="宋体"/>
          <w:color w:val="auto"/>
          <w:sz w:val="24"/>
        </w:rPr>
      </w:pPr>
      <w:r>
        <w:rPr>
          <w:rFonts w:ascii="宋体" w:hAnsi="宋体" w:cs="宋体"/>
          <w:b/>
          <w:color w:val="auto"/>
          <w:szCs w:val="21"/>
        </w:rPr>
        <w:t xml:space="preserve">3.1 </w:t>
      </w:r>
      <w:r>
        <w:rPr>
          <w:rFonts w:hint="eastAsia" w:ascii="宋体" w:hAnsi="宋体" w:cs="宋体"/>
          <w:b/>
          <w:color w:val="auto"/>
          <w:szCs w:val="21"/>
        </w:rPr>
        <w:t>商务及技术部分内封面格式：</w:t>
      </w:r>
      <w:r>
        <w:rPr>
          <w:rFonts w:ascii="宋体" w:hAnsi="宋体" w:cs="宋体"/>
          <w:b/>
          <w:color w:val="auto"/>
          <w:szCs w:val="21"/>
        </w:rPr>
        <w:t xml:space="preserve"> </w:t>
      </w:r>
      <w:r>
        <w:rPr>
          <w:rFonts w:ascii="宋体" w:hAnsi="宋体" w:cs="宋体"/>
          <w:color w:val="auto"/>
          <w:sz w:val="24"/>
        </w:rPr>
        <w:t xml:space="preserve">                </w:t>
      </w:r>
    </w:p>
    <w:p>
      <w:pPr>
        <w:snapToGrid w:val="0"/>
        <w:spacing w:beforeLines="50" w:after="50"/>
        <w:rPr>
          <w:rFonts w:ascii="宋体" w:cs="宋体"/>
          <w:color w:val="auto"/>
          <w:sz w:val="24"/>
          <w:szCs w:val="20"/>
        </w:rPr>
      </w:pPr>
      <w:r>
        <w:rPr>
          <w:rFonts w:ascii="宋体" w:hAnsi="宋体" w:cs="宋体"/>
          <w:color w:val="auto"/>
          <w:sz w:val="24"/>
        </w:rPr>
        <w:t xml:space="preserve">                                    </w:t>
      </w: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商务及技术部分</w:t>
      </w:r>
    </w:p>
    <w:p>
      <w:pPr>
        <w:snapToGrid w:val="0"/>
        <w:spacing w:beforeLines="50" w:after="50"/>
        <w:rPr>
          <w:rFonts w:ascii="宋体" w:cs="宋体"/>
          <w:bCs/>
          <w:color w:val="auto"/>
          <w:sz w:val="24"/>
          <w:szCs w:val="20"/>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50" w:after="50"/>
        <w:rPr>
          <w:rFonts w:ascii="宋体"/>
          <w:color w:val="auto"/>
          <w:sz w:val="22"/>
          <w:szCs w:val="22"/>
        </w:rPr>
      </w:pPr>
    </w:p>
    <w:p>
      <w:pPr>
        <w:snapToGrid w:val="0"/>
        <w:spacing w:before="50" w:after="50" w:line="420" w:lineRule="exact"/>
        <w:rPr>
          <w:rFonts w:ascii="宋体" w:cs="宋体"/>
          <w:b/>
          <w:color w:val="auto"/>
          <w:szCs w:val="21"/>
        </w:rPr>
      </w:pPr>
    </w:p>
    <w:p>
      <w:pPr>
        <w:snapToGrid w:val="0"/>
        <w:spacing w:before="50" w:after="50" w:line="420" w:lineRule="exact"/>
        <w:rPr>
          <w:rFonts w:ascii="宋体" w:cs="宋体"/>
          <w:b/>
          <w:color w:val="auto"/>
          <w:szCs w:val="21"/>
        </w:rPr>
      </w:pPr>
      <w:r>
        <w:rPr>
          <w:rFonts w:ascii="宋体" w:hAnsi="宋体" w:cs="宋体"/>
          <w:b/>
          <w:color w:val="auto"/>
          <w:szCs w:val="21"/>
        </w:rPr>
        <w:t>3.2</w:t>
      </w:r>
      <w:r>
        <w:rPr>
          <w:rFonts w:hint="eastAsia" w:ascii="宋体" w:hAnsi="宋体" w:cs="宋体"/>
          <w:b/>
          <w:color w:val="auto"/>
          <w:szCs w:val="21"/>
        </w:rPr>
        <w:t>商务</w:t>
      </w:r>
      <w:r>
        <w:rPr>
          <w:rFonts w:hint="eastAsia" w:ascii="宋体" w:hAnsi="宋体" w:cs="宋体"/>
          <w:b/>
          <w:bCs/>
          <w:color w:val="auto"/>
          <w:szCs w:val="21"/>
        </w:rPr>
        <w:t>部分目录</w:t>
      </w:r>
    </w:p>
    <w:p>
      <w:pPr>
        <w:snapToGrid w:val="0"/>
        <w:spacing w:line="440" w:lineRule="exact"/>
        <w:ind w:firstLine="413" w:firstLineChars="196"/>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商务及技术部分</w:t>
      </w:r>
    </w:p>
    <w:p>
      <w:pPr>
        <w:snapToGrid w:val="0"/>
        <w:spacing w:line="440" w:lineRule="exact"/>
        <w:ind w:firstLine="422" w:firstLineChars="200"/>
        <w:jc w:val="left"/>
        <w:rPr>
          <w:rFonts w:ascii="宋体" w:cs="宋体"/>
          <w:b/>
          <w:bCs/>
          <w:color w:val="auto"/>
          <w:szCs w:val="21"/>
        </w:rPr>
      </w:pPr>
      <w:r>
        <w:rPr>
          <w:rFonts w:hint="eastAsia" w:ascii="宋体" w:hAnsi="宋体" w:cs="宋体"/>
          <w:b/>
          <w:bCs/>
          <w:color w:val="auto"/>
          <w:szCs w:val="21"/>
        </w:rPr>
        <w:t>商务部分</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）投标声明书；</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）投标人情况介绍；</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属于投标人的资质及信誉等方面的证书或材料；</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）商务响应表；</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rPr>
        <w:t>投标人需要说明的其他文件和说明</w:t>
      </w:r>
      <w:r>
        <w:rPr>
          <w:rFonts w:hint="eastAsia" w:ascii="宋体" w:hAnsi="宋体" w:cs="宋体"/>
          <w:color w:val="auto"/>
          <w:szCs w:val="21"/>
        </w:rPr>
        <w:t>；</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）投标人的类似成功案例的业绩证明文件；</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投标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）投标产品符合</w:t>
      </w:r>
      <w:r>
        <w:rPr>
          <w:rFonts w:hint="eastAsia" w:ascii="宋体" w:hAnsi="宋体" w:cs="宋体"/>
          <w:bCs/>
          <w:color w:val="auto"/>
        </w:rPr>
        <w:t>《招标采购促进广西工业产品产销对接实施细则的通知》（桂政办发【</w:t>
      </w:r>
      <w:r>
        <w:rPr>
          <w:rFonts w:ascii="宋体" w:hAnsi="宋体" w:cs="宋体"/>
          <w:bCs/>
          <w:color w:val="auto"/>
        </w:rPr>
        <w:t>2015</w:t>
      </w:r>
      <w:r>
        <w:rPr>
          <w:rFonts w:hint="eastAsia" w:ascii="宋体" w:hAnsi="宋体" w:cs="宋体"/>
          <w:bCs/>
          <w:color w:val="auto"/>
        </w:rPr>
        <w:t>】</w:t>
      </w:r>
      <w:r>
        <w:rPr>
          <w:rFonts w:ascii="宋体" w:hAnsi="宋体" w:cs="宋体"/>
          <w:bCs/>
          <w:color w:val="auto"/>
        </w:rPr>
        <w:t>78</w:t>
      </w:r>
      <w:r>
        <w:rPr>
          <w:rFonts w:hint="eastAsia" w:ascii="宋体" w:hAnsi="宋体" w:cs="宋体"/>
          <w:bCs/>
          <w:color w:val="auto"/>
        </w:rPr>
        <w:t>号）</w:t>
      </w:r>
      <w:r>
        <w:rPr>
          <w:rFonts w:hint="eastAsia" w:ascii="宋体" w:hAnsi="宋体" w:cs="宋体"/>
          <w:color w:val="auto"/>
          <w:szCs w:val="21"/>
        </w:rPr>
        <w:t>要求</w:t>
      </w:r>
      <w:r>
        <w:rPr>
          <w:rFonts w:hint="eastAsia" w:ascii="宋体" w:hAnsi="宋体" w:cs="宋体"/>
          <w:bCs/>
          <w:color w:val="auto"/>
        </w:rPr>
        <w:t>的，</w:t>
      </w:r>
      <w:r>
        <w:rPr>
          <w:rFonts w:hint="eastAsia" w:ascii="宋体" w:hAnsi="宋体" w:cs="宋体"/>
          <w:color w:val="auto"/>
          <w:szCs w:val="21"/>
        </w:rPr>
        <w:t>提供广西工业产品声明函；</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w:t>
      </w:r>
      <w:r>
        <w:rPr>
          <w:rFonts w:hint="eastAsia" w:ascii="宋体" w:hAnsi="宋体"/>
          <w:color w:val="auto"/>
          <w:szCs w:val="21"/>
        </w:rPr>
        <w:t>投标产品提供单位按《关于促进残疾人就业政府采购政策的通知》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napToGrid w:val="0"/>
        <w:spacing w:line="400" w:lineRule="exact"/>
        <w:ind w:firstLine="413" w:firstLineChars="196"/>
        <w:jc w:val="left"/>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color w:val="auto"/>
        </w:rPr>
      </w:pPr>
    </w:p>
    <w:p>
      <w:pPr>
        <w:snapToGrid w:val="0"/>
        <w:spacing w:line="404" w:lineRule="exact"/>
        <w:jc w:val="left"/>
        <w:rPr>
          <w:rFonts w:ascii="宋体" w:cs="宋体"/>
          <w:bCs/>
          <w:color w:val="auto"/>
          <w:szCs w:val="21"/>
        </w:rPr>
      </w:pPr>
      <w:r>
        <w:rPr>
          <w:rFonts w:ascii="宋体" w:hAnsi="宋体" w:cs="宋体"/>
          <w:b/>
          <w:color w:val="auto"/>
          <w:szCs w:val="21"/>
        </w:rPr>
        <w:t>3.3</w:t>
      </w:r>
      <w:r>
        <w:rPr>
          <w:rFonts w:hint="eastAsia" w:ascii="宋体" w:hAnsi="宋体" w:cs="宋体"/>
          <w:b/>
          <w:color w:val="auto"/>
          <w:szCs w:val="21"/>
        </w:rPr>
        <w:t>技术</w:t>
      </w:r>
      <w:r>
        <w:rPr>
          <w:rFonts w:hint="eastAsia" w:ascii="宋体" w:hAnsi="宋体" w:cs="宋体"/>
          <w:b/>
          <w:bCs/>
          <w:color w:val="auto"/>
          <w:szCs w:val="21"/>
        </w:rPr>
        <w:t>部分目录</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zCs w:val="21"/>
        </w:rPr>
        <w:t>投标产品配置清单（均不含报价）</w:t>
      </w:r>
      <w:r>
        <w:rPr>
          <w:rFonts w:ascii="宋体" w:hAnsi="宋体" w:cs="宋体"/>
          <w:color w:val="auto"/>
        </w:rPr>
        <w:t xml:space="preserve"> </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rPr>
        <w:t>产品技术响应表；</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3</w:t>
      </w:r>
      <w:r>
        <w:rPr>
          <w:rFonts w:hint="eastAsia" w:ascii="宋体" w:hAnsi="宋体" w:cs="宋体"/>
          <w:color w:val="auto"/>
        </w:rPr>
        <w:t>）售后服务方案；；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）项目实施人员一览表</w:t>
      </w:r>
      <w:r>
        <w:rPr>
          <w:rFonts w:hint="eastAsia" w:ascii="宋体" w:hAnsi="宋体" w:cs="宋体"/>
          <w:color w:val="auto"/>
        </w:rPr>
        <w:t>；</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）产品出厂标准、质量检测报告</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）培训计划方案；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）投标人需要说明的其他文件和说明。</w:t>
      </w:r>
    </w:p>
    <w:p>
      <w:pPr>
        <w:snapToGrid w:val="0"/>
        <w:spacing w:line="400" w:lineRule="exact"/>
        <w:ind w:firstLine="630" w:firstLineChars="300"/>
        <w:jc w:val="left"/>
        <w:rPr>
          <w:rFonts w:ascii="宋体" w:cs="宋体"/>
          <w:color w:val="auto"/>
        </w:rPr>
      </w:pPr>
    </w:p>
    <w:p>
      <w:pPr>
        <w:snapToGrid w:val="0"/>
        <w:spacing w:line="400" w:lineRule="exact"/>
        <w:ind w:firstLine="621" w:firstLineChars="296"/>
        <w:jc w:val="left"/>
        <w:rPr>
          <w:rFonts w:ascii="宋体" w:cs="宋体"/>
          <w:color w:val="auto"/>
        </w:rPr>
      </w:pPr>
    </w:p>
    <w:p>
      <w:pPr>
        <w:pStyle w:val="55"/>
        <w:rPr>
          <w:rFonts w:ascii="宋体" w:cs="宋体"/>
          <w:b/>
          <w:color w:val="auto"/>
          <w:szCs w:val="21"/>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snapToGrid w:val="0"/>
        <w:spacing w:before="50" w:after="50"/>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pStyle w:val="55"/>
        <w:rPr>
          <w:rFonts w:ascii="宋体"/>
          <w:color w:val="auto"/>
          <w:spacing w:val="20"/>
          <w:sz w:val="22"/>
          <w:szCs w:val="22"/>
          <w:u w:val="single"/>
        </w:rPr>
      </w:pPr>
    </w:p>
    <w:p>
      <w:pPr>
        <w:snapToGrid w:val="0"/>
        <w:spacing w:line="420" w:lineRule="exact"/>
        <w:jc w:val="left"/>
        <w:rPr>
          <w:rFonts w:ascii="宋体" w:cs="宋体"/>
          <w:b/>
          <w:color w:val="auto"/>
          <w:szCs w:val="21"/>
        </w:rPr>
      </w:pPr>
      <w:r>
        <w:rPr>
          <w:rFonts w:ascii="宋体" w:hAnsi="宋体" w:cs="宋体"/>
          <w:b/>
          <w:color w:val="auto"/>
          <w:szCs w:val="21"/>
        </w:rPr>
        <w:t>3.2</w:t>
      </w:r>
      <w:r>
        <w:rPr>
          <w:rFonts w:hint="eastAsia" w:ascii="宋体" w:hAnsi="宋体" w:cs="宋体"/>
          <w:b/>
          <w:color w:val="auto"/>
          <w:szCs w:val="21"/>
        </w:rPr>
        <w:t>商务</w:t>
      </w:r>
      <w:r>
        <w:rPr>
          <w:rFonts w:hint="eastAsia" w:ascii="宋体" w:hAnsi="宋体" w:cs="宋体"/>
          <w:b/>
          <w:bCs/>
          <w:color w:val="auto"/>
          <w:szCs w:val="21"/>
        </w:rPr>
        <w:t>部分</w:t>
      </w:r>
    </w:p>
    <w:p>
      <w:pPr>
        <w:snapToGrid w:val="0"/>
        <w:spacing w:line="420" w:lineRule="exact"/>
        <w:jc w:val="left"/>
        <w:rPr>
          <w:rFonts w:ascii="宋体" w:cs="宋体"/>
          <w:b/>
          <w:color w:val="auto"/>
          <w:szCs w:val="21"/>
        </w:rPr>
      </w:pPr>
    </w:p>
    <w:p>
      <w:pPr>
        <w:snapToGrid w:val="0"/>
        <w:spacing w:before="50" w:afterLines="50" w:line="340" w:lineRule="exact"/>
        <w:jc w:val="left"/>
        <w:rPr>
          <w:rFonts w:ascii="宋体" w:cs="宋体"/>
          <w:b/>
          <w:color w:val="auto"/>
          <w:szCs w:val="21"/>
        </w:rPr>
      </w:pPr>
      <w:r>
        <w:rPr>
          <w:rFonts w:ascii="宋体" w:hAnsi="宋体" w:cs="宋体"/>
          <w:b/>
          <w:color w:val="auto"/>
          <w:szCs w:val="21"/>
        </w:rPr>
        <w:t xml:space="preserve">3.2.1  </w:t>
      </w:r>
      <w:r>
        <w:rPr>
          <w:rFonts w:hint="eastAsia" w:ascii="宋体" w:hAnsi="宋体" w:cs="宋体"/>
          <w:b/>
          <w:color w:val="auto"/>
          <w:szCs w:val="21"/>
        </w:rPr>
        <w:t>投标声明书格式：</w:t>
      </w:r>
    </w:p>
    <w:p>
      <w:pPr>
        <w:snapToGrid w:val="0"/>
        <w:spacing w:before="50" w:afterLines="50" w:line="340" w:lineRule="exact"/>
        <w:jc w:val="left"/>
        <w:rPr>
          <w:rFonts w:ascii="宋体" w:cs="宋体"/>
          <w:color w:val="auto"/>
          <w:szCs w:val="21"/>
        </w:rPr>
      </w:pPr>
    </w:p>
    <w:p>
      <w:pPr>
        <w:snapToGrid w:val="0"/>
        <w:spacing w:beforeLines="50" w:line="400" w:lineRule="exact"/>
        <w:jc w:val="center"/>
        <w:rPr>
          <w:rFonts w:ascii="宋体" w:cs="宋体"/>
          <w:b/>
          <w:color w:val="auto"/>
          <w:sz w:val="28"/>
          <w:szCs w:val="28"/>
        </w:rPr>
      </w:pPr>
      <w:r>
        <w:rPr>
          <w:rFonts w:hint="eastAsia" w:ascii="宋体" w:hAnsi="宋体" w:cs="宋体"/>
          <w:b/>
          <w:color w:val="auto"/>
          <w:sz w:val="28"/>
          <w:szCs w:val="28"/>
        </w:rPr>
        <w:t>投</w:t>
      </w:r>
      <w:r>
        <w:rPr>
          <w:rFonts w:ascii="宋体" w:hAnsi="宋体" w:cs="宋体"/>
          <w:b/>
          <w:color w:val="auto"/>
          <w:sz w:val="28"/>
          <w:szCs w:val="28"/>
        </w:rPr>
        <w:t xml:space="preserve"> </w:t>
      </w:r>
      <w:r>
        <w:rPr>
          <w:rFonts w:hint="eastAsia" w:ascii="宋体" w:hAnsi="宋体" w:cs="宋体"/>
          <w:b/>
          <w:color w:val="auto"/>
          <w:sz w:val="28"/>
          <w:szCs w:val="28"/>
        </w:rPr>
        <w:t>标</w:t>
      </w:r>
      <w:r>
        <w:rPr>
          <w:rFonts w:ascii="宋体" w:hAnsi="宋体" w:cs="宋体"/>
          <w:b/>
          <w:color w:val="auto"/>
          <w:sz w:val="28"/>
          <w:szCs w:val="28"/>
        </w:rPr>
        <w:t xml:space="preserve"> </w:t>
      </w:r>
      <w:r>
        <w:rPr>
          <w:rFonts w:hint="eastAsia" w:ascii="宋体" w:hAnsi="宋体" w:cs="宋体"/>
          <w:b/>
          <w:color w:val="auto"/>
          <w:sz w:val="28"/>
          <w:szCs w:val="28"/>
        </w:rPr>
        <w:t>声</w:t>
      </w:r>
      <w:r>
        <w:rPr>
          <w:rFonts w:ascii="宋体" w:hAnsi="宋体" w:cs="宋体"/>
          <w:b/>
          <w:color w:val="auto"/>
          <w:sz w:val="28"/>
          <w:szCs w:val="28"/>
        </w:rPr>
        <w:t xml:space="preserve"> </w:t>
      </w:r>
      <w:r>
        <w:rPr>
          <w:rFonts w:hint="eastAsia" w:ascii="宋体" w:hAnsi="宋体" w:cs="宋体"/>
          <w:b/>
          <w:color w:val="auto"/>
          <w:sz w:val="28"/>
          <w:szCs w:val="28"/>
        </w:rPr>
        <w:t>明</w:t>
      </w:r>
      <w:r>
        <w:rPr>
          <w:rFonts w:ascii="宋体" w:hAnsi="宋体" w:cs="宋体"/>
          <w:b/>
          <w:color w:val="auto"/>
          <w:sz w:val="28"/>
          <w:szCs w:val="28"/>
        </w:rPr>
        <w:t xml:space="preserve"> </w:t>
      </w:r>
      <w:r>
        <w:rPr>
          <w:rFonts w:hint="eastAsia" w:ascii="宋体" w:hAnsi="宋体" w:cs="宋体"/>
          <w:b/>
          <w:color w:val="auto"/>
          <w:sz w:val="28"/>
          <w:szCs w:val="28"/>
        </w:rPr>
        <w:t>书</w:t>
      </w:r>
    </w:p>
    <w:p>
      <w:pPr>
        <w:snapToGrid w:val="0"/>
        <w:spacing w:beforeLines="50" w:line="400" w:lineRule="exact"/>
        <w:jc w:val="center"/>
        <w:rPr>
          <w:rFonts w:ascii="宋体" w:cs="宋体"/>
          <w:b/>
          <w:color w:val="auto"/>
          <w:sz w:val="28"/>
          <w:szCs w:val="28"/>
        </w:rPr>
      </w:pPr>
    </w:p>
    <w:p>
      <w:pPr>
        <w:snapToGrid w:val="0"/>
        <w:spacing w:beforeLines="50" w:line="380" w:lineRule="exact"/>
        <w:rPr>
          <w:rFonts w:asci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beforeLines="50" w:line="380" w:lineRule="exact"/>
        <w:ind w:firstLine="630" w:firstLineChars="300"/>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（投标人名称）系中华人民共和国合法企业，经营地址</w:t>
      </w:r>
      <w:r>
        <w:rPr>
          <w:rFonts w:ascii="宋体" w:hAnsi="宋体" w:cs="宋体"/>
          <w:color w:val="auto"/>
          <w:szCs w:val="21"/>
          <w:u w:val="single"/>
        </w:rPr>
        <w:t xml:space="preserve">                               </w:t>
      </w:r>
      <w:r>
        <w:rPr>
          <w:rFonts w:hint="eastAsia" w:ascii="宋体" w:hAnsi="宋体" w:cs="宋体"/>
          <w:color w:val="auto"/>
          <w:szCs w:val="21"/>
        </w:rPr>
        <w:t>。</w:t>
      </w:r>
    </w:p>
    <w:p>
      <w:pPr>
        <w:snapToGrid w:val="0"/>
        <w:spacing w:beforeLines="50" w:line="380" w:lineRule="exact"/>
        <w:ind w:firstLine="645"/>
        <w:rPr>
          <w:rFonts w:ascii="宋体" w:cs="宋体"/>
          <w:color w:val="auto"/>
          <w:szCs w:val="21"/>
        </w:rPr>
      </w:pPr>
      <w:r>
        <w:rPr>
          <w:rFonts w:hint="eastAsia" w:ascii="宋体" w:hAnsi="宋体" w:cs="宋体"/>
          <w:color w:val="auto"/>
          <w:szCs w:val="21"/>
        </w:rPr>
        <w:t>我</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（投标人名称）的法定代表人，我方愿意参加贵方组织的</w:t>
      </w:r>
      <w:r>
        <w:rPr>
          <w:rFonts w:ascii="宋体" w:hAnsi="宋体" w:cs="宋体"/>
          <w:color w:val="auto"/>
          <w:szCs w:val="21"/>
          <w:u w:val="single"/>
        </w:rPr>
        <w:t xml:space="preserve">                        </w:t>
      </w:r>
      <w:r>
        <w:rPr>
          <w:rFonts w:hint="eastAsia" w:ascii="宋体" w:hAnsi="宋体" w:cs="宋体"/>
          <w:color w:val="auto"/>
          <w:szCs w:val="21"/>
        </w:rPr>
        <w:t>项目（项目编号：</w:t>
      </w:r>
      <w:r>
        <w:rPr>
          <w:rFonts w:ascii="宋体" w:hAnsi="宋体" w:cs="宋体"/>
          <w:color w:val="auto"/>
          <w:szCs w:val="21"/>
          <w:u w:val="single"/>
        </w:rPr>
        <w:t xml:space="preserve">             </w:t>
      </w:r>
      <w:r>
        <w:rPr>
          <w:rFonts w:hint="eastAsia" w:ascii="宋体" w:hAnsi="宋体" w:cs="宋体"/>
          <w:color w:val="auto"/>
          <w:szCs w:val="21"/>
        </w:rPr>
        <w:t>）的投标，为便于贵方公正、择优地确定中标人及其投标产品和服务，我方就本次投标有关事项郑重声明如下：</w:t>
      </w:r>
    </w:p>
    <w:p>
      <w:pPr>
        <w:snapToGrid w:val="0"/>
        <w:spacing w:line="380" w:lineRule="exact"/>
        <w:ind w:firstLine="420" w:firstLineChars="200"/>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我方向贵方提交的所有投标文件、资料都是准确的和真实的。</w:t>
      </w:r>
    </w:p>
    <w:p>
      <w:pPr>
        <w:snapToGrid w:val="0"/>
        <w:spacing w:beforeLines="50" w:line="380" w:lineRule="exact"/>
        <w:ind w:firstLine="420" w:firstLineChars="200"/>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我方不是采购人的附属机构；在获知本项目采购信息后，与采购人聘请的为此项目提供咨询服务的公司及其附属机构没有任何联系。</w:t>
      </w:r>
    </w:p>
    <w:p>
      <w:pPr>
        <w:snapToGrid w:val="0"/>
        <w:spacing w:beforeLines="50" w:line="380" w:lineRule="exact"/>
        <w:ind w:firstLine="420" w:firstLineChars="200"/>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我方此次向贵方提供的产品名称为：</w:t>
      </w:r>
      <w:r>
        <w:rPr>
          <w:rFonts w:ascii="宋体" w:hAnsi="宋体" w:cs="宋体"/>
          <w:color w:val="auto"/>
          <w:szCs w:val="21"/>
          <w:u w:val="single"/>
        </w:rPr>
        <w:t xml:space="preserve">              </w:t>
      </w:r>
      <w:r>
        <w:rPr>
          <w:rFonts w:hint="eastAsia" w:ascii="宋体" w:hAnsi="宋体" w:cs="宋体"/>
          <w:color w:val="auto"/>
          <w:szCs w:val="21"/>
        </w:rPr>
        <w:t>，产品原产地及厂家为：</w:t>
      </w:r>
      <w:r>
        <w:rPr>
          <w:rFonts w:ascii="宋体" w:hAnsi="宋体" w:cs="宋体"/>
          <w:color w:val="auto"/>
          <w:szCs w:val="21"/>
          <w:u w:val="single"/>
        </w:rPr>
        <w:t xml:space="preserve">                </w:t>
      </w:r>
      <w:r>
        <w:rPr>
          <w:rFonts w:hint="eastAsia" w:ascii="宋体" w:hAnsi="宋体" w:cs="宋体"/>
          <w:color w:val="auto"/>
          <w:szCs w:val="21"/>
        </w:rPr>
        <w:t>。</w:t>
      </w:r>
    </w:p>
    <w:p>
      <w:pPr>
        <w:snapToGrid w:val="0"/>
        <w:spacing w:beforeLines="50" w:line="380" w:lineRule="exact"/>
        <w:ind w:firstLine="420" w:firstLineChars="200"/>
        <w:rPr>
          <w:rFonts w:ascii="宋体" w:cs="宋体"/>
          <w:color w:val="auto"/>
          <w:szCs w:val="21"/>
          <w:u w:val="single"/>
        </w:rPr>
      </w:pPr>
      <w:r>
        <w:rPr>
          <w:rFonts w:ascii="宋体" w:hAnsi="宋体" w:cs="宋体"/>
          <w:color w:val="auto"/>
          <w:szCs w:val="21"/>
        </w:rPr>
        <w:t xml:space="preserve">4. </w:t>
      </w:r>
      <w:r>
        <w:rPr>
          <w:rFonts w:hint="eastAsia" w:ascii="宋体" w:hAnsi="宋体" w:cs="宋体"/>
          <w:color w:val="auto"/>
          <w:szCs w:val="21"/>
        </w:rPr>
        <w:t>我方诚意提请贵方关注：近期有关的重大决策和事项有：</w:t>
      </w:r>
      <w:r>
        <w:rPr>
          <w:rFonts w:hint="eastAsia" w:ascii="宋体" w:hAnsi="宋体" w:cs="宋体"/>
          <w:color w:val="auto"/>
          <w:szCs w:val="21"/>
          <w:u w:val="single"/>
        </w:rPr>
        <w:t>　　　　　　　　　　。</w:t>
      </w:r>
    </w:p>
    <w:p>
      <w:pPr>
        <w:pStyle w:val="20"/>
        <w:snapToGrid w:val="0"/>
        <w:spacing w:line="38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5. </w:t>
      </w:r>
      <w:r>
        <w:rPr>
          <w:rFonts w:hint="eastAsia" w:ascii="宋体" w:hAnsi="宋体" w:eastAsia="宋体" w:cs="宋体"/>
          <w:color w:val="auto"/>
          <w:sz w:val="21"/>
          <w:szCs w:val="21"/>
        </w:rPr>
        <w:t>我方及由本人担任法定代表人的其他机构最近三年内被通报或者被处罚的违法行为有：</w:t>
      </w:r>
    </w:p>
    <w:p>
      <w:pPr>
        <w:snapToGrid w:val="0"/>
        <w:spacing w:beforeLines="50" w:line="380" w:lineRule="exact"/>
        <w:ind w:firstLine="420" w:firstLineChars="200"/>
        <w:rPr>
          <w:rFonts w:ascii="宋体" w:cs="宋体"/>
          <w:color w:val="auto"/>
          <w:szCs w:val="21"/>
          <w:u w:val="single"/>
        </w:rPr>
      </w:pPr>
      <w:r>
        <w:rPr>
          <w:rFonts w:hint="eastAsia" w:ascii="宋体" w:hAnsi="宋体" w:cs="宋体"/>
          <w:color w:val="auto"/>
          <w:szCs w:val="21"/>
          <w:u w:val="single"/>
        </w:rPr>
        <w:t>　　　　　　　　　　　　　　　　　　　　　　　　　　　</w:t>
      </w:r>
    </w:p>
    <w:p>
      <w:pPr>
        <w:snapToGrid w:val="0"/>
        <w:spacing w:line="380" w:lineRule="exact"/>
        <w:ind w:firstLine="420" w:firstLineChars="200"/>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以上事项如有虚假或隐瞒，我方愿意承担一切后果，并不再寻求任何旨在减轻或免除法律责任的辩解。</w:t>
      </w:r>
    </w:p>
    <w:p>
      <w:pPr>
        <w:snapToGrid w:val="0"/>
        <w:spacing w:beforeLines="50" w:line="380" w:lineRule="exact"/>
        <w:ind w:firstLine="5250" w:firstLineChars="2500"/>
        <w:rPr>
          <w:rFonts w:ascii="宋体" w:cs="宋体"/>
          <w:color w:val="auto"/>
          <w:szCs w:val="21"/>
          <w:u w:val="single"/>
        </w:rPr>
      </w:pPr>
      <w:r>
        <w:rPr>
          <w:rFonts w:hint="eastAsia" w:ascii="宋体" w:hAnsi="宋体" w:cs="宋体"/>
          <w:color w:val="auto"/>
          <w:szCs w:val="21"/>
        </w:rPr>
        <w:t>法定代表人签字：</w:t>
      </w:r>
      <w:r>
        <w:rPr>
          <w:rFonts w:ascii="宋体" w:hAnsi="宋体" w:cs="宋体"/>
          <w:color w:val="auto"/>
          <w:szCs w:val="21"/>
          <w:u w:val="single"/>
        </w:rPr>
        <w:t xml:space="preserve">             </w:t>
      </w:r>
    </w:p>
    <w:p>
      <w:pPr>
        <w:snapToGrid w:val="0"/>
        <w:spacing w:beforeLines="50" w:line="380" w:lineRule="exact"/>
        <w:jc w:val="right"/>
        <w:rPr>
          <w:rFonts w:ascii="宋体" w:cs="宋体"/>
          <w:color w:val="auto"/>
          <w:szCs w:val="21"/>
        </w:rPr>
      </w:pPr>
      <w:r>
        <w:rPr>
          <w:rFonts w:hint="eastAsia" w:ascii="宋体" w:hAnsi="宋体" w:cs="宋体"/>
          <w:color w:val="auto"/>
          <w:szCs w:val="21"/>
        </w:rPr>
        <w:t>投标人公章：</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3.2.2 </w:t>
      </w:r>
      <w:r>
        <w:rPr>
          <w:rFonts w:hint="eastAsia" w:ascii="宋体" w:hAnsi="宋体" w:cs="宋体"/>
          <w:b/>
          <w:color w:val="auto"/>
          <w:szCs w:val="21"/>
        </w:rPr>
        <w:t>投标人情况介绍（格式自拟）</w:t>
      </w:r>
    </w:p>
    <w:p>
      <w:pPr>
        <w:pStyle w:val="55"/>
        <w:rPr>
          <w:color w:val="auto"/>
        </w:rPr>
      </w:pPr>
    </w:p>
    <w:p>
      <w:pPr>
        <w:pStyle w:val="55"/>
        <w:rPr>
          <w:color w:val="auto"/>
        </w:rPr>
      </w:pPr>
    </w:p>
    <w:p>
      <w:pPr>
        <w:pStyle w:val="55"/>
        <w:rPr>
          <w:color w:val="auto"/>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3.2.3 </w:t>
      </w:r>
      <w:r>
        <w:rPr>
          <w:rFonts w:hint="eastAsia" w:ascii="宋体" w:hAnsi="宋体" w:cs="宋体"/>
          <w:b/>
          <w:color w:val="auto"/>
          <w:szCs w:val="21"/>
        </w:rPr>
        <w:t>属于投标人的资质及信誉等方面的证书或材料</w:t>
      </w:r>
    </w:p>
    <w:p>
      <w:pPr>
        <w:snapToGrid w:val="0"/>
        <w:spacing w:before="50"/>
        <w:ind w:firstLine="413" w:firstLineChars="196"/>
        <w:jc w:val="left"/>
        <w:rPr>
          <w:rFonts w:ascii="宋体" w:cs="宋体"/>
          <w:b/>
          <w:color w:val="auto"/>
          <w:szCs w:val="21"/>
        </w:rPr>
      </w:pPr>
    </w:p>
    <w:p>
      <w:pPr>
        <w:pStyle w:val="55"/>
        <w:rPr>
          <w:color w:val="auto"/>
        </w:rPr>
      </w:pPr>
    </w:p>
    <w:p>
      <w:pPr>
        <w:snapToGrid w:val="0"/>
        <w:spacing w:before="50"/>
        <w:jc w:val="left"/>
        <w:rPr>
          <w:rFonts w:ascii="宋体" w:cs="宋体"/>
          <w:b/>
          <w:color w:val="auto"/>
          <w:szCs w:val="21"/>
        </w:rPr>
      </w:pPr>
    </w:p>
    <w:p>
      <w:pPr>
        <w:snapToGrid w:val="0"/>
        <w:spacing w:before="50"/>
        <w:ind w:firstLine="413" w:firstLineChars="196"/>
        <w:jc w:val="left"/>
        <w:rPr>
          <w:rFonts w:ascii="宋体" w:cs="宋体"/>
          <w:b/>
          <w:color w:val="auto"/>
          <w:szCs w:val="21"/>
        </w:rPr>
      </w:pPr>
      <w:r>
        <w:rPr>
          <w:rFonts w:ascii="宋体" w:hAnsi="宋体" w:cs="宋体"/>
          <w:b/>
          <w:color w:val="auto"/>
          <w:szCs w:val="21"/>
        </w:rPr>
        <w:t xml:space="preserve">3.2.4 </w:t>
      </w:r>
      <w:r>
        <w:rPr>
          <w:rFonts w:hint="eastAsia" w:ascii="宋体" w:hAnsi="宋体" w:cs="宋体"/>
          <w:b/>
          <w:color w:val="auto"/>
          <w:szCs w:val="21"/>
        </w:rPr>
        <w:t>商务响应表格式：</w:t>
      </w:r>
    </w:p>
    <w:p>
      <w:pPr>
        <w:snapToGrid w:val="0"/>
        <w:spacing w:before="50"/>
        <w:ind w:firstLine="413" w:firstLineChars="196"/>
        <w:jc w:val="left"/>
        <w:rPr>
          <w:rFonts w:ascii="宋体" w:cs="宋体"/>
          <w:b/>
          <w:color w:val="auto"/>
          <w:szCs w:val="21"/>
        </w:rPr>
      </w:pPr>
      <w:r>
        <w:rPr>
          <w:rFonts w:hint="eastAsia" w:ascii="宋体" w:hAnsi="宋体" w:cs="宋体"/>
          <w:b/>
          <w:color w:val="auto"/>
          <w:szCs w:val="21"/>
        </w:rPr>
        <w:t>项目名称：</w:t>
      </w:r>
    </w:p>
    <w:p>
      <w:pPr>
        <w:snapToGrid w:val="0"/>
        <w:spacing w:before="50"/>
        <w:ind w:firstLine="413" w:firstLineChars="196"/>
        <w:jc w:val="left"/>
        <w:rPr>
          <w:rFonts w:ascii="宋体" w:cs="宋体"/>
          <w:b/>
          <w:color w:val="auto"/>
          <w:szCs w:val="21"/>
        </w:rPr>
      </w:pPr>
      <w:r>
        <w:rPr>
          <w:rFonts w:hint="eastAsia" w:ascii="宋体" w:hAnsi="宋体" w:cs="宋体"/>
          <w:b/>
          <w:color w:val="auto"/>
          <w:szCs w:val="21"/>
        </w:rPr>
        <w:t>项目编号：</w:t>
      </w:r>
    </w:p>
    <w:tbl>
      <w:tblPr>
        <w:tblStyle w:val="40"/>
        <w:tblW w:w="9335" w:type="dxa"/>
        <w:tblInd w:w="4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062"/>
        <w:gridCol w:w="2675"/>
        <w:gridCol w:w="2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r>
              <w:rPr>
                <w:rFonts w:hint="eastAsia" w:ascii="宋体" w:hAnsi="宋体" w:cs="宋体"/>
                <w:color w:val="auto"/>
                <w:szCs w:val="21"/>
              </w:rPr>
              <w:t>项号</w:t>
            </w:r>
          </w:p>
        </w:tc>
        <w:tc>
          <w:tcPr>
            <w:tcW w:w="3062"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招标文件的商务条款</w:t>
            </w:r>
          </w:p>
        </w:tc>
        <w:tc>
          <w:tcPr>
            <w:tcW w:w="2675"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投标文件承诺的商务条款</w:t>
            </w:r>
          </w:p>
        </w:tc>
        <w:tc>
          <w:tcPr>
            <w:tcW w:w="2435" w:type="dxa"/>
            <w:tcBorders>
              <w:top w:val="single" w:color="auto" w:sz="4" w:space="0"/>
              <w:left w:val="single" w:color="auto" w:sz="4" w:space="0"/>
              <w:bottom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ind w:left="43"/>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r>
              <w:rPr>
                <w:rFonts w:hint="eastAsia" w:ascii="宋体" w:hAnsi="宋体" w:cs="宋体"/>
                <w:color w:val="auto"/>
                <w:szCs w:val="21"/>
              </w:rPr>
              <w:t>……</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bl>
    <w:p>
      <w:pPr>
        <w:snapToGrid w:val="0"/>
        <w:spacing w:afterLines="50" w:line="330" w:lineRule="exact"/>
        <w:ind w:left="540"/>
        <w:jc w:val="left"/>
        <w:rPr>
          <w:rFonts w:ascii="宋体" w:cs="宋体"/>
          <w:color w:val="auto"/>
          <w:szCs w:val="21"/>
        </w:rPr>
      </w:pPr>
      <w:r>
        <w:rPr>
          <w:rFonts w:hint="eastAsia" w:ascii="宋体" w:hAnsi="宋体"/>
          <w:color w:val="auto"/>
        </w:rPr>
        <w:t>注：投标人应对照招标文件中商务部分要求的内容逐条响应，并在“偏离情况”栏注明“正偏离”、“负偏离”或“无偏离”</w:t>
      </w:r>
    </w:p>
    <w:p>
      <w:pPr>
        <w:snapToGrid w:val="0"/>
        <w:spacing w:before="50" w:after="50"/>
        <w:rPr>
          <w:rFonts w:ascii="宋体" w:cs="宋体"/>
          <w:color w:val="auto"/>
          <w:spacing w:val="20"/>
          <w:szCs w:val="21"/>
        </w:rPr>
      </w:pPr>
    </w:p>
    <w:p>
      <w:pPr>
        <w:snapToGrid w:val="0"/>
        <w:spacing w:before="50" w:after="50"/>
        <w:ind w:firstLine="500" w:firstLineChars="200"/>
        <w:rPr>
          <w:rFonts w:ascii="宋体" w:cs="宋体"/>
          <w:color w:val="auto"/>
          <w:spacing w:val="20"/>
          <w:szCs w:val="21"/>
        </w:rPr>
      </w:pPr>
      <w:r>
        <w:rPr>
          <w:rFonts w:hint="eastAsia" w:ascii="宋体" w:hAnsi="宋体" w:cs="宋体"/>
          <w:color w:val="auto"/>
          <w:spacing w:val="20"/>
          <w:szCs w:val="21"/>
        </w:rPr>
        <w:t>授权代表签名：</w:t>
      </w:r>
      <w:r>
        <w:rPr>
          <w:rFonts w:ascii="宋体" w:hAnsi="宋体" w:cs="宋体"/>
          <w:color w:val="auto"/>
          <w:spacing w:val="20"/>
          <w:szCs w:val="21"/>
        </w:rPr>
        <w:t xml:space="preserve">          </w:t>
      </w:r>
    </w:p>
    <w:p>
      <w:pPr>
        <w:snapToGrid w:val="0"/>
        <w:spacing w:line="420" w:lineRule="exact"/>
        <w:ind w:firstLine="500" w:firstLineChars="200"/>
        <w:jc w:val="left"/>
        <w:rPr>
          <w:rFonts w:ascii="宋体" w:cs="宋体"/>
          <w:b/>
          <w:color w:val="auto"/>
          <w:szCs w:val="21"/>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p>
    <w:p>
      <w:pPr>
        <w:pStyle w:val="55"/>
        <w:rPr>
          <w:rFonts w:ascii="宋体" w:cs="宋体"/>
          <w:b/>
          <w:color w:val="auto"/>
          <w:szCs w:val="21"/>
        </w:rPr>
      </w:pPr>
    </w:p>
    <w:p>
      <w:pPr>
        <w:pStyle w:val="55"/>
        <w:rPr>
          <w:rFonts w:ascii="宋体" w:cs="宋体"/>
          <w:b/>
          <w:color w:val="auto"/>
          <w:szCs w:val="21"/>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3.2.5 </w:t>
      </w:r>
      <w:r>
        <w:rPr>
          <w:rFonts w:hint="eastAsia" w:ascii="宋体" w:hAnsi="宋体" w:cs="宋体"/>
          <w:b/>
          <w:color w:val="auto"/>
          <w:szCs w:val="21"/>
        </w:rPr>
        <w:t>投标人需要说明的其他文件和说明；</w:t>
      </w: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snapToGrid w:val="0"/>
        <w:spacing w:line="420" w:lineRule="exact"/>
        <w:ind w:firstLine="422" w:firstLineChars="200"/>
        <w:jc w:val="left"/>
        <w:rPr>
          <w:rFonts w:ascii="宋体"/>
          <w:color w:val="auto"/>
          <w:spacing w:val="20"/>
          <w:sz w:val="22"/>
          <w:szCs w:val="22"/>
          <w:u w:val="single"/>
        </w:rPr>
      </w:pPr>
      <w:r>
        <w:rPr>
          <w:rFonts w:ascii="宋体" w:hAnsi="宋体" w:cs="宋体"/>
          <w:b/>
          <w:color w:val="auto"/>
          <w:szCs w:val="21"/>
        </w:rPr>
        <w:t xml:space="preserve">3.2.6 </w:t>
      </w:r>
      <w:r>
        <w:rPr>
          <w:rFonts w:hint="eastAsia" w:ascii="宋体" w:hAnsi="宋体" w:cs="宋体"/>
          <w:b/>
          <w:color w:val="auto"/>
          <w:szCs w:val="21"/>
        </w:rPr>
        <w:t>投标人的类似成功案例的业绩证明文件（格式自拟，投标人需附中标通知书、合同、验收单复印件）</w:t>
      </w:r>
    </w:p>
    <w:p>
      <w:pPr>
        <w:rPr>
          <w:color w:val="auto"/>
        </w:rPr>
      </w:pPr>
    </w:p>
    <w:p>
      <w:pPr>
        <w:pStyle w:val="14"/>
        <w:snapToGrid w:val="0"/>
        <w:rPr>
          <w:rFonts w:ascii="宋体" w:hAnsi="宋体" w:eastAsia="宋体" w:cs="宋体"/>
          <w:color w:val="auto"/>
          <w:sz w:val="21"/>
          <w:szCs w:val="21"/>
          <w:u w:val="single"/>
        </w:rPr>
      </w:pP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u w:val="single"/>
        </w:rPr>
        <w:t>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w:t>
      </w:r>
    </w:p>
    <w:p>
      <w:pPr>
        <w:rPr>
          <w:color w:val="auto"/>
        </w:rPr>
      </w:pPr>
    </w:p>
    <w:p>
      <w:pPr>
        <w:snapToGrid w:val="0"/>
        <w:spacing w:before="50"/>
        <w:jc w:val="left"/>
        <w:rPr>
          <w:rFonts w:ascii="宋体" w:cs="宋体"/>
          <w:color w:val="auto"/>
          <w:szCs w:val="21"/>
        </w:rPr>
      </w:pPr>
      <w:r>
        <w:rPr>
          <w:rFonts w:hint="eastAsia" w:ascii="宋体" w:hAnsi="宋体" w:cs="宋体"/>
          <w:color w:val="auto"/>
          <w:szCs w:val="21"/>
        </w:rPr>
        <w:t>投标人公章：</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before="50"/>
        <w:jc w:val="left"/>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napToGrid w:val="0"/>
        <w:spacing w:before="50" w:after="50"/>
        <w:rPr>
          <w:rFonts w:ascii="宋体"/>
          <w:color w:val="auto"/>
          <w:spacing w:val="20"/>
          <w:sz w:val="22"/>
          <w:szCs w:val="22"/>
          <w:u w:val="single"/>
        </w:rPr>
      </w:pPr>
    </w:p>
    <w:p>
      <w:pPr>
        <w:pStyle w:val="55"/>
        <w:rPr>
          <w:color w:val="auto"/>
        </w:rPr>
      </w:pPr>
    </w:p>
    <w:p>
      <w:pPr>
        <w:spacing w:line="588" w:lineRule="exact"/>
        <w:jc w:val="center"/>
        <w:rPr>
          <w:rFonts w:ascii="宋体" w:hAnsi="宋体" w:cs="宋体"/>
          <w:b/>
          <w:color w:val="auto"/>
          <w:szCs w:val="21"/>
        </w:rPr>
      </w:pPr>
      <w:r>
        <w:rPr>
          <w:rFonts w:ascii="宋体" w:hAnsi="宋体" w:cs="宋体"/>
          <w:b/>
          <w:color w:val="auto"/>
          <w:szCs w:val="21"/>
        </w:rPr>
        <w:t xml:space="preserve">3.2.7 </w:t>
      </w:r>
      <w:r>
        <w:rPr>
          <w:rFonts w:hint="eastAsia" w:ascii="宋体" w:hAnsi="宋体" w:cs="宋体"/>
          <w:b/>
          <w:color w:val="auto"/>
          <w:szCs w:val="21"/>
        </w:rPr>
        <w:t>投标人符合中小企业划型标准的，按《政府采购促进中小企业发展暂行办法》（财库〔</w:t>
      </w:r>
      <w:r>
        <w:rPr>
          <w:rFonts w:ascii="宋体" w:hAnsi="宋体" w:cs="宋体"/>
          <w:b/>
          <w:color w:val="auto"/>
          <w:szCs w:val="21"/>
        </w:rPr>
        <w:t>2011</w:t>
      </w:r>
      <w:r>
        <w:rPr>
          <w:rFonts w:hint="eastAsia" w:ascii="宋体" w:hAnsi="宋体" w:cs="宋体"/>
          <w:b/>
          <w:color w:val="auto"/>
          <w:szCs w:val="21"/>
        </w:rPr>
        <w:t>〕</w:t>
      </w:r>
      <w:r>
        <w:rPr>
          <w:rFonts w:ascii="宋体" w:hAnsi="宋体" w:cs="宋体"/>
          <w:b/>
          <w:color w:val="auto"/>
          <w:szCs w:val="21"/>
        </w:rPr>
        <w:t>181</w:t>
      </w:r>
      <w:r>
        <w:rPr>
          <w:rFonts w:hint="eastAsia" w:ascii="宋体" w:hAnsi="宋体" w:cs="宋体"/>
          <w:b/>
          <w:color w:val="auto"/>
          <w:szCs w:val="21"/>
        </w:rPr>
        <w:t>号）要求，提供中小企业声明函。监狱企业参加政府采购活动时，应当提供由省级以上监狱管理局、戒毒管理局（含新疆生产建设兵团）出具的属于监狱企业的证明文件。</w:t>
      </w:r>
    </w:p>
    <w:p>
      <w:pPr>
        <w:spacing w:line="588" w:lineRule="exact"/>
        <w:jc w:val="center"/>
        <w:rPr>
          <w:rFonts w:ascii="宋体" w:cs="宋体"/>
          <w:b/>
          <w:color w:val="auto"/>
          <w:spacing w:val="6"/>
          <w:sz w:val="28"/>
          <w:szCs w:val="28"/>
        </w:rPr>
      </w:pPr>
      <w:r>
        <w:rPr>
          <w:rFonts w:hint="eastAsia" w:ascii="宋体" w:hAnsi="宋体" w:cs="宋体"/>
          <w:b/>
          <w:color w:val="auto"/>
          <w:spacing w:val="6"/>
          <w:sz w:val="28"/>
          <w:szCs w:val="28"/>
        </w:rPr>
        <w:t>中小企业声明函</w:t>
      </w:r>
    </w:p>
    <w:p>
      <w:pPr>
        <w:spacing w:line="588" w:lineRule="exact"/>
        <w:rPr>
          <w:rFonts w:ascii="宋体" w:cs="宋体"/>
          <w:b/>
          <w:color w:val="auto"/>
          <w:spacing w:val="6"/>
          <w:sz w:val="30"/>
          <w:szCs w:val="30"/>
        </w:rPr>
      </w:pPr>
    </w:p>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本公司郑重声明，根据《政府采购促进中小企业发展暂行办法》（财库</w:t>
      </w:r>
      <w:r>
        <w:rPr>
          <w:rFonts w:ascii="宋体" w:hAnsi="宋体" w:cs="宋体"/>
          <w:color w:val="auto"/>
          <w:spacing w:val="6"/>
          <w:szCs w:val="21"/>
        </w:rPr>
        <w:t>[2011]181</w:t>
      </w:r>
      <w:r>
        <w:rPr>
          <w:rFonts w:hint="eastAsia" w:ascii="宋体" w:hAnsi="宋体" w:cs="宋体"/>
          <w:color w:val="auto"/>
          <w:spacing w:val="6"/>
          <w:szCs w:val="21"/>
        </w:rPr>
        <w:t>号）的规定，本公司为</w:t>
      </w:r>
      <w:bookmarkStart w:id="575" w:name="OLE_LINK5"/>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575"/>
      <w:r>
        <w:rPr>
          <w:rFonts w:hint="eastAsia" w:ascii="宋体" w:hAnsi="宋体" w:cs="宋体"/>
          <w:color w:val="auto"/>
          <w:spacing w:val="6"/>
          <w:szCs w:val="21"/>
        </w:rPr>
        <w:t>。即，本公司同时满足以下条件：</w:t>
      </w:r>
    </w:p>
    <w:p>
      <w:pPr>
        <w:spacing w:line="588" w:lineRule="exact"/>
        <w:ind w:firstLine="444" w:firstLineChars="200"/>
        <w:rPr>
          <w:rFonts w:ascii="宋体" w:cs="宋体"/>
          <w:color w:val="auto"/>
          <w:spacing w:val="6"/>
          <w:szCs w:val="21"/>
        </w:rPr>
      </w:pPr>
      <w:r>
        <w:rPr>
          <w:rFonts w:ascii="宋体" w:hAnsi="宋体" w:cs="宋体"/>
          <w:color w:val="auto"/>
          <w:spacing w:val="6"/>
          <w:szCs w:val="21"/>
        </w:rPr>
        <w:t>1.</w:t>
      </w:r>
      <w:r>
        <w:rPr>
          <w:rFonts w:hint="eastAsia" w:ascii="宋体" w:hAnsi="宋体" w:cs="宋体"/>
          <w:color w:val="auto"/>
          <w:spacing w:val="6"/>
          <w:szCs w:val="21"/>
        </w:rPr>
        <w:t>根据《工业和信息化部、国家统计局、国家发展和改革委员会、财政部关于印发中小企业划型标准规定的通知》（工信部联企业</w:t>
      </w:r>
      <w:r>
        <w:rPr>
          <w:rFonts w:ascii="宋体" w:hAnsi="宋体" w:cs="宋体"/>
          <w:color w:val="auto"/>
          <w:spacing w:val="6"/>
          <w:szCs w:val="21"/>
        </w:rPr>
        <w:t>[2011]300</w:t>
      </w:r>
      <w:r>
        <w:rPr>
          <w:rFonts w:hint="eastAsia" w:ascii="宋体" w:hAnsi="宋体" w:cs="宋体"/>
          <w:color w:val="auto"/>
          <w:spacing w:val="6"/>
          <w:szCs w:val="21"/>
        </w:rPr>
        <w:t>号）规定的划分标准，本公司为</w:t>
      </w:r>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588" w:lineRule="exact"/>
        <w:ind w:firstLine="444" w:firstLineChars="200"/>
        <w:rPr>
          <w:rFonts w:ascii="宋体" w:cs="宋体"/>
          <w:color w:val="auto"/>
          <w:spacing w:val="6"/>
          <w:szCs w:val="21"/>
        </w:rPr>
      </w:pPr>
      <w:r>
        <w:rPr>
          <w:rFonts w:ascii="宋体" w:hAnsi="宋体" w:cs="宋体"/>
          <w:color w:val="auto"/>
          <w:spacing w:val="6"/>
          <w:szCs w:val="21"/>
        </w:rPr>
        <w:t>2.</w:t>
      </w:r>
      <w:r>
        <w:rPr>
          <w:rFonts w:hint="eastAsia" w:ascii="宋体" w:hAnsi="宋体" w:cs="宋体"/>
          <w:color w:val="auto"/>
          <w:spacing w:val="6"/>
          <w:szCs w:val="21"/>
        </w:rPr>
        <w:t>本公司参加</w:t>
      </w:r>
      <w:r>
        <w:rPr>
          <w:rFonts w:ascii="宋体" w:hAnsi="宋体" w:cs="宋体"/>
          <w:color w:val="auto"/>
          <w:spacing w:val="6"/>
          <w:szCs w:val="21"/>
          <w:u w:val="single"/>
        </w:rPr>
        <w:t xml:space="preserve">           </w:t>
      </w:r>
      <w:r>
        <w:rPr>
          <w:rFonts w:hint="eastAsia" w:ascii="宋体" w:hAnsi="宋体" w:cs="宋体"/>
          <w:color w:val="auto"/>
          <w:spacing w:val="6"/>
          <w:szCs w:val="21"/>
        </w:rPr>
        <w:t>单位的</w:t>
      </w:r>
      <w:r>
        <w:rPr>
          <w:rFonts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本公司对上述声明的真实性负责。如有虚假，将依法承担相应责任。</w:t>
      </w:r>
    </w:p>
    <w:p>
      <w:pPr>
        <w:tabs>
          <w:tab w:val="left" w:pos="4860"/>
        </w:tabs>
        <w:spacing w:line="588" w:lineRule="exact"/>
        <w:ind w:right="1560" w:firstLine="444" w:firstLineChars="200"/>
        <w:jc w:val="center"/>
        <w:rPr>
          <w:rFonts w:ascii="宋体" w:cs="宋体"/>
          <w:color w:val="auto"/>
          <w:spacing w:val="6"/>
          <w:szCs w:val="21"/>
        </w:rPr>
      </w:pPr>
      <w:r>
        <w:rPr>
          <w:rFonts w:ascii="宋体" w:hAnsi="宋体" w:cs="宋体"/>
          <w:color w:val="auto"/>
          <w:spacing w:val="6"/>
          <w:szCs w:val="21"/>
        </w:rPr>
        <w:t xml:space="preserve">               </w:t>
      </w:r>
      <w:r>
        <w:rPr>
          <w:rFonts w:hint="eastAsia" w:ascii="宋体" w:hAnsi="宋体" w:cs="宋体"/>
          <w:color w:val="auto"/>
          <w:spacing w:val="6"/>
          <w:szCs w:val="21"/>
        </w:rPr>
        <w:t>企业名称（盖章）：</w:t>
      </w:r>
      <w:r>
        <w:rPr>
          <w:rFonts w:ascii="宋体" w:hAnsi="宋体" w:cs="宋体"/>
          <w:color w:val="auto"/>
          <w:spacing w:val="6"/>
          <w:szCs w:val="21"/>
        </w:rPr>
        <w:t xml:space="preserve"> </w:t>
      </w:r>
    </w:p>
    <w:p>
      <w:pPr>
        <w:tabs>
          <w:tab w:val="left" w:pos="4860"/>
        </w:tabs>
        <w:spacing w:line="588" w:lineRule="exact"/>
        <w:ind w:right="1560" w:firstLine="444" w:firstLineChars="200"/>
        <w:jc w:val="center"/>
        <w:rPr>
          <w:rFonts w:ascii="宋体" w:cs="宋体"/>
          <w:color w:val="auto"/>
          <w:spacing w:val="6"/>
          <w:szCs w:val="21"/>
        </w:rPr>
      </w:pPr>
      <w:r>
        <w:rPr>
          <w:rFonts w:ascii="宋体" w:hAnsi="宋体" w:cs="宋体"/>
          <w:color w:val="auto"/>
          <w:spacing w:val="6"/>
          <w:szCs w:val="21"/>
        </w:rPr>
        <w:t xml:space="preserve">       </w:t>
      </w:r>
      <w:r>
        <w:rPr>
          <w:rFonts w:hint="eastAsia" w:ascii="宋体" w:hAnsi="宋体" w:cs="宋体"/>
          <w:color w:val="auto"/>
          <w:spacing w:val="6"/>
          <w:szCs w:val="21"/>
        </w:rPr>
        <w:t>日</w:t>
      </w:r>
      <w:r>
        <w:rPr>
          <w:rFonts w:ascii="宋体" w:hAnsi="宋体" w:cs="宋体"/>
          <w:color w:val="auto"/>
          <w:spacing w:val="6"/>
          <w:szCs w:val="21"/>
        </w:rPr>
        <w:t xml:space="preserve">  </w:t>
      </w:r>
      <w:r>
        <w:rPr>
          <w:rFonts w:hint="eastAsia" w:ascii="宋体" w:hAnsi="宋体" w:cs="宋体"/>
          <w:color w:val="auto"/>
          <w:spacing w:val="6"/>
          <w:szCs w:val="21"/>
        </w:rPr>
        <w:t>期：</w:t>
      </w:r>
      <w:r>
        <w:rPr>
          <w:rFonts w:ascii="宋体" w:hAnsi="宋体" w:cs="宋体"/>
          <w:color w:val="auto"/>
          <w:spacing w:val="6"/>
          <w:szCs w:val="21"/>
        </w:rPr>
        <w:t xml:space="preserve">               </w:t>
      </w:r>
    </w:p>
    <w:p>
      <w:pPr>
        <w:tabs>
          <w:tab w:val="left" w:pos="4860"/>
        </w:tabs>
        <w:spacing w:line="588" w:lineRule="exact"/>
        <w:ind w:right="1560"/>
        <w:rPr>
          <w:rFonts w:ascii="宋体" w:cs="宋体"/>
          <w:color w:val="auto"/>
          <w:spacing w:val="6"/>
          <w:szCs w:val="21"/>
        </w:rPr>
      </w:pPr>
      <w:r>
        <w:rPr>
          <w:rFonts w:ascii="宋体" w:hAnsi="宋体" w:cs="宋体"/>
          <w:color w:val="auto"/>
          <w:spacing w:val="6"/>
          <w:szCs w:val="21"/>
        </w:rPr>
        <w:t xml:space="preserve"> </w:t>
      </w:r>
    </w:p>
    <w:p>
      <w:pPr>
        <w:rPr>
          <w:rFonts w:ascii="宋体" w:cs="宋体"/>
          <w:color w:val="auto"/>
          <w:spacing w:val="6"/>
          <w:szCs w:val="21"/>
        </w:rPr>
      </w:pPr>
    </w:p>
    <w:p>
      <w:pPr>
        <w:spacing w:line="360" w:lineRule="auto"/>
        <w:ind w:firstLine="420" w:firstLineChars="200"/>
        <w:rPr>
          <w:rFonts w:ascii="宋体" w:cs="宋体"/>
          <w:bCs/>
          <w:color w:val="auto"/>
        </w:rPr>
      </w:pPr>
    </w:p>
    <w:p>
      <w:pPr>
        <w:rPr>
          <w:rFonts w:ascii="宋体" w:cs="宋体"/>
          <w:color w:val="auto"/>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b/>
          <w:color w:val="auto"/>
          <w:szCs w:val="21"/>
        </w:rPr>
      </w:pPr>
    </w:p>
    <w:p>
      <w:pPr>
        <w:pStyle w:val="7"/>
        <w:overflowPunct w:val="0"/>
        <w:spacing w:line="360" w:lineRule="auto"/>
        <w:ind w:firstLine="0"/>
        <w:rPr>
          <w:rFonts w:ascii="宋体" w:cs="宋体"/>
          <w:color w:val="auto"/>
        </w:rPr>
      </w:pPr>
      <w:r>
        <w:rPr>
          <w:rFonts w:ascii="宋体" w:hAnsi="宋体" w:cs="宋体"/>
          <w:b/>
          <w:color w:val="auto"/>
          <w:szCs w:val="21"/>
        </w:rPr>
        <w:t xml:space="preserve">3.2.8  </w:t>
      </w:r>
      <w:r>
        <w:rPr>
          <w:rFonts w:hint="eastAsia" w:ascii="宋体" w:hAnsi="宋体" w:cs="宋体"/>
          <w:b/>
          <w:color w:val="auto"/>
          <w:szCs w:val="21"/>
        </w:rPr>
        <w:t>投标产品符合《招标采购促进广西工业产品产销对接实施细则的通知》（桂政办发【</w:t>
      </w:r>
      <w:r>
        <w:rPr>
          <w:rFonts w:ascii="宋体" w:hAnsi="宋体" w:cs="宋体"/>
          <w:b/>
          <w:color w:val="auto"/>
          <w:szCs w:val="21"/>
        </w:rPr>
        <w:t>2015</w:t>
      </w:r>
      <w:r>
        <w:rPr>
          <w:rFonts w:hint="eastAsia" w:ascii="宋体" w:hAnsi="宋体" w:cs="宋体"/>
          <w:b/>
          <w:color w:val="auto"/>
          <w:szCs w:val="21"/>
        </w:rPr>
        <w:t>】</w:t>
      </w:r>
      <w:r>
        <w:rPr>
          <w:rFonts w:ascii="宋体" w:hAnsi="宋体" w:cs="宋体"/>
          <w:b/>
          <w:color w:val="auto"/>
          <w:szCs w:val="21"/>
        </w:rPr>
        <w:t>78</w:t>
      </w:r>
      <w:r>
        <w:rPr>
          <w:rFonts w:hint="eastAsia" w:ascii="宋体" w:hAnsi="宋体" w:cs="宋体"/>
          <w:b/>
          <w:color w:val="auto"/>
          <w:szCs w:val="21"/>
        </w:rPr>
        <w:t>号）要求的，提供广西工业产品声明函</w:t>
      </w:r>
    </w:p>
    <w:p>
      <w:pPr>
        <w:widowControl/>
        <w:spacing w:before="100" w:beforeAutospacing="1" w:after="100" w:afterAutospacing="1" w:line="425" w:lineRule="atLeast"/>
        <w:jc w:val="center"/>
        <w:rPr>
          <w:rFonts w:ascii="宋体" w:cs="宋体"/>
          <w:color w:val="auto"/>
          <w:kern w:val="0"/>
          <w:sz w:val="28"/>
          <w:szCs w:val="28"/>
        </w:rPr>
      </w:pPr>
      <w:r>
        <w:rPr>
          <w:rFonts w:hint="eastAsia" w:ascii="宋体" w:hAnsi="宋体" w:cs="宋体"/>
          <w:b/>
          <w:bCs/>
          <w:color w:val="auto"/>
          <w:kern w:val="0"/>
          <w:sz w:val="28"/>
          <w:szCs w:val="28"/>
        </w:rPr>
        <w:t>广西工业产品声明函</w:t>
      </w:r>
    </w:p>
    <w:p>
      <w:pPr>
        <w:widowControl/>
        <w:spacing w:before="100" w:beforeAutospacing="1" w:after="100" w:afterAutospacing="1" w:line="425" w:lineRule="atLeast"/>
        <w:jc w:val="left"/>
        <w:rPr>
          <w:rFonts w:ascii="宋体" w:cs="宋体"/>
          <w:color w:val="auto"/>
          <w:kern w:val="0"/>
          <w:szCs w:val="21"/>
        </w:rPr>
      </w:pPr>
      <w:r>
        <w:rPr>
          <w:rFonts w:hint="eastAsia" w:ascii="宋体" w:hAnsi="宋体" w:cs="宋体"/>
          <w:color w:val="auto"/>
          <w:kern w:val="0"/>
          <w:sz w:val="24"/>
        </w:rPr>
        <w:t>　　</w:t>
      </w:r>
      <w:r>
        <w:rPr>
          <w:rFonts w:hint="eastAsia" w:ascii="宋体" w:hAnsi="宋体" w:cs="宋体"/>
          <w:color w:val="auto"/>
          <w:kern w:val="0"/>
          <w:szCs w:val="21"/>
        </w:rPr>
        <w:t>本公司郑重声明</w:t>
      </w:r>
      <w:r>
        <w:rPr>
          <w:rFonts w:ascii="宋体" w:cs="宋体"/>
          <w:color w:val="auto"/>
          <w:kern w:val="0"/>
          <w:szCs w:val="21"/>
        </w:rPr>
        <w:t>,</w:t>
      </w:r>
      <w:r>
        <w:rPr>
          <w:rFonts w:hint="eastAsia" w:ascii="宋体" w:hAnsi="宋体" w:cs="宋体"/>
          <w:color w:val="auto"/>
          <w:kern w:val="0"/>
          <w:szCs w:val="21"/>
        </w:rPr>
        <w:t>根据《招标采购促进广西工业产品产销对接实施细则》的规定</w:t>
      </w:r>
      <w:r>
        <w:rPr>
          <w:rFonts w:ascii="宋体" w:cs="宋体"/>
          <w:color w:val="auto"/>
          <w:kern w:val="0"/>
          <w:szCs w:val="21"/>
        </w:rPr>
        <w:t>,</w:t>
      </w:r>
      <w:r>
        <w:rPr>
          <w:rFonts w:hint="eastAsia" w:ascii="宋体" w:hAnsi="宋体" w:cs="宋体"/>
          <w:color w:val="auto"/>
          <w:kern w:val="0"/>
          <w:szCs w:val="21"/>
        </w:rPr>
        <w:t>本公司在本次投标</w:t>
      </w:r>
      <w:r>
        <w:rPr>
          <w:rFonts w:ascii="宋体" w:hAnsi="宋体" w:cs="宋体"/>
          <w:color w:val="auto"/>
          <w:kern w:val="0"/>
          <w:szCs w:val="21"/>
        </w:rPr>
        <w:t>/</w:t>
      </w:r>
      <w:r>
        <w:rPr>
          <w:rFonts w:hint="eastAsia" w:ascii="宋体" w:hAnsi="宋体" w:cs="宋体"/>
          <w:color w:val="auto"/>
          <w:kern w:val="0"/>
          <w:szCs w:val="21"/>
        </w:rPr>
        <w:t>投标中或者工程项目中提供的下述产品为广西工业产品</w:t>
      </w:r>
      <w:r>
        <w:rPr>
          <w:rFonts w:ascii="宋体" w:cs="宋体"/>
          <w:color w:val="auto"/>
          <w:kern w:val="0"/>
          <w:szCs w:val="21"/>
        </w:rPr>
        <w:t>,</w:t>
      </w:r>
      <w:r>
        <w:rPr>
          <w:rFonts w:hint="eastAsia" w:ascii="宋体" w:hAnsi="宋体" w:cs="宋体"/>
          <w:color w:val="auto"/>
          <w:kern w:val="0"/>
          <w:szCs w:val="21"/>
        </w:rPr>
        <w:t>详情如下</w:t>
      </w:r>
      <w:r>
        <w:rPr>
          <w:rFonts w:ascii="宋体" w:hAnsi="宋体" w:cs="宋体"/>
          <w:color w:val="auto"/>
          <w:kern w:val="0"/>
          <w:szCs w:val="21"/>
        </w:rPr>
        <w:t>:</w:t>
      </w:r>
    </w:p>
    <w:tbl>
      <w:tblPr>
        <w:tblStyle w:val="40"/>
        <w:tblW w:w="9639" w:type="dxa"/>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hAnsi="宋体" w:cs="宋体"/>
                <w:color w:val="auto"/>
                <w:kern w:val="0"/>
                <w:szCs w:val="21"/>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hAnsi="宋体" w:cs="宋体"/>
                <w:color w:val="auto"/>
                <w:kern w:val="0"/>
                <w:szCs w:val="21"/>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015" w:type="dxa"/>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广西工业产品</w:t>
            </w:r>
          </w:p>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合计价格：</w:t>
            </w:r>
          </w:p>
        </w:tc>
        <w:tc>
          <w:tcPr>
            <w:tcW w:w="2587" w:type="dxa"/>
            <w:gridSpan w:val="2"/>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bl>
    <w:p>
      <w:pPr>
        <w:widowControl/>
        <w:spacing w:before="100" w:beforeAutospacing="1" w:after="100" w:afterAutospacing="1" w:line="425" w:lineRule="atLeast"/>
        <w:jc w:val="left"/>
        <w:rPr>
          <w:rFonts w:ascii="宋体" w:cs="宋体"/>
          <w:color w:val="auto"/>
          <w:kern w:val="0"/>
          <w:szCs w:val="21"/>
        </w:rPr>
      </w:pPr>
      <w:r>
        <w:rPr>
          <w:rFonts w:hint="eastAsia" w:ascii="宋体" w:hAnsi="宋体" w:cs="宋体"/>
          <w:color w:val="auto"/>
          <w:kern w:val="0"/>
          <w:szCs w:val="21"/>
        </w:rPr>
        <w:t>　　本公司对上述声明的真实性负责。如有虚假</w:t>
      </w:r>
      <w:r>
        <w:rPr>
          <w:rFonts w:ascii="宋体" w:cs="宋体"/>
          <w:color w:val="auto"/>
          <w:kern w:val="0"/>
          <w:szCs w:val="21"/>
        </w:rPr>
        <w:t>,</w:t>
      </w:r>
      <w:r>
        <w:rPr>
          <w:rFonts w:hint="eastAsia" w:ascii="宋体" w:hAnsi="宋体" w:cs="宋体"/>
          <w:color w:val="auto"/>
          <w:kern w:val="0"/>
          <w:szCs w:val="21"/>
        </w:rPr>
        <w:t>将依法承担相应责任。</w:t>
      </w:r>
    </w:p>
    <w:p>
      <w:pPr>
        <w:widowControl/>
        <w:spacing w:before="100" w:beforeAutospacing="1" w:after="100" w:afterAutospacing="1" w:line="425" w:lineRule="atLeast"/>
        <w:jc w:val="left"/>
        <w:rPr>
          <w:rFonts w:ascii="宋体" w:cs="宋体"/>
          <w:color w:val="auto"/>
          <w:kern w:val="0"/>
          <w:sz w:val="24"/>
        </w:rPr>
      </w:pPr>
      <w:r>
        <w:rPr>
          <w:rFonts w:ascii="宋体" w:cs="宋体"/>
          <w:color w:val="auto"/>
          <w:kern w:val="0"/>
          <w:sz w:val="24"/>
        </w:rPr>
        <w:t>                                                    </w:t>
      </w:r>
      <w:r>
        <w:rPr>
          <w:rFonts w:ascii="宋体" w:hAnsi="宋体" w:cs="宋体"/>
          <w:color w:val="auto"/>
          <w:kern w:val="0"/>
          <w:sz w:val="24"/>
        </w:rPr>
        <w:t xml:space="preserve">                    </w:t>
      </w:r>
    </w:p>
    <w:p>
      <w:pPr>
        <w:widowControl/>
        <w:spacing w:before="100" w:beforeAutospacing="1" w:after="100" w:afterAutospacing="1" w:line="425" w:lineRule="atLeast"/>
        <w:ind w:firstLine="5280" w:firstLineChars="2200"/>
        <w:jc w:val="left"/>
        <w:rPr>
          <w:rFonts w:asci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rPr>
        <w:t>企业名称</w:t>
      </w:r>
      <w:r>
        <w:rPr>
          <w:rFonts w:ascii="宋体" w:hAnsi="宋体" w:cs="宋体"/>
          <w:color w:val="auto"/>
          <w:kern w:val="0"/>
          <w:sz w:val="24"/>
        </w:rPr>
        <w:t>(</w:t>
      </w:r>
      <w:r>
        <w:rPr>
          <w:rFonts w:hint="eastAsia" w:ascii="宋体" w:hAnsi="宋体" w:cs="宋体"/>
          <w:color w:val="auto"/>
          <w:kern w:val="0"/>
          <w:sz w:val="24"/>
        </w:rPr>
        <w:t>盖章</w:t>
      </w:r>
      <w:r>
        <w:rPr>
          <w:rFonts w:ascii="宋体" w:hAnsi="宋体" w:cs="宋体"/>
          <w:color w:val="auto"/>
          <w:kern w:val="0"/>
          <w:sz w:val="24"/>
        </w:rPr>
        <w:t>):</w:t>
      </w:r>
    </w:p>
    <w:p>
      <w:pPr>
        <w:rPr>
          <w:rFonts w:ascii="宋体" w:cs="宋体"/>
          <w:color w:val="auto"/>
        </w:rPr>
      </w:pPr>
      <w:r>
        <w:rPr>
          <w:rFonts w:ascii="宋体" w:cs="宋体"/>
          <w:color w:val="auto"/>
          <w:kern w:val="0"/>
          <w:sz w:val="24"/>
        </w:rPr>
        <w:t>                                                    </w:t>
      </w:r>
      <w:r>
        <w:rPr>
          <w:rFonts w:ascii="宋体" w:hAnsi="宋体" w:cs="宋体"/>
          <w:color w:val="auto"/>
          <w:kern w:val="0"/>
          <w:sz w:val="24"/>
        </w:rPr>
        <w:t xml:space="preserve">                       </w:t>
      </w:r>
      <w:r>
        <w:rPr>
          <w:rFonts w:hint="eastAsia" w:ascii="宋体" w:hAnsi="宋体" w:cs="宋体"/>
          <w:color w:val="auto"/>
          <w:kern w:val="0"/>
          <w:sz w:val="24"/>
        </w:rPr>
        <w:t>日</w:t>
      </w:r>
      <w:r>
        <w:rPr>
          <w:rFonts w:ascii="宋体" w:hAnsi="宋体" w:cs="宋体"/>
          <w:color w:val="auto"/>
          <w:kern w:val="0"/>
          <w:sz w:val="24"/>
        </w:rPr>
        <w:t xml:space="preserve"> </w:t>
      </w:r>
      <w:r>
        <w:rPr>
          <w:rFonts w:hint="eastAsia" w:ascii="宋体" w:hAnsi="宋体" w:cs="宋体"/>
          <w:color w:val="auto"/>
          <w:kern w:val="0"/>
          <w:sz w:val="24"/>
        </w:rPr>
        <w:t>期</w:t>
      </w:r>
      <w:r>
        <w:rPr>
          <w:rFonts w:ascii="宋体" w:hAnsi="宋体" w:cs="宋体"/>
          <w:color w:val="auto"/>
          <w:kern w:val="0"/>
          <w:sz w:val="24"/>
        </w:rPr>
        <w:t>:</w:t>
      </w:r>
    </w:p>
    <w:p>
      <w:pPr>
        <w:rPr>
          <w:rFonts w:ascii="宋体" w:cs="宋体"/>
          <w:color w:val="auto"/>
        </w:rPr>
      </w:pPr>
    </w:p>
    <w:p>
      <w:pPr>
        <w:rPr>
          <w:rFonts w:ascii="宋体" w:cs="宋体"/>
          <w:color w:val="auto"/>
        </w:rPr>
      </w:pPr>
    </w:p>
    <w:p>
      <w:pPr>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pStyle w:val="55"/>
        <w:rPr>
          <w:rFonts w:ascii="宋体" w:cs="宋体"/>
          <w:color w:val="auto"/>
        </w:rPr>
      </w:pPr>
    </w:p>
    <w:p>
      <w:pPr>
        <w:rPr>
          <w:rFonts w:ascii="宋体" w:cs="宋体"/>
          <w:color w:val="auto"/>
        </w:rPr>
      </w:pPr>
    </w:p>
    <w:p>
      <w:pPr>
        <w:rPr>
          <w:rFonts w:ascii="宋体" w:cs="宋体"/>
          <w:b/>
          <w:color w:val="auto"/>
          <w:szCs w:val="21"/>
        </w:rPr>
      </w:pPr>
      <w:r>
        <w:rPr>
          <w:rFonts w:ascii="宋体" w:hAnsi="宋体" w:cs="宋体"/>
          <w:b/>
          <w:color w:val="auto"/>
          <w:szCs w:val="21"/>
        </w:rPr>
        <w:t xml:space="preserve">3.2.9  </w:t>
      </w:r>
      <w:r>
        <w:rPr>
          <w:rFonts w:hint="eastAsia" w:ascii="宋体" w:hAnsi="宋体" w:cs="宋体"/>
          <w:b/>
          <w:color w:val="auto"/>
          <w:szCs w:val="21"/>
        </w:rPr>
        <w:t>投标产品提供单位按《关于促进残疾人就业政府采购政策的通知》</w:t>
      </w:r>
      <w:r>
        <w:rPr>
          <w:rFonts w:ascii="宋体" w:hAnsi="宋体" w:cs="宋体"/>
          <w:b/>
          <w:color w:val="auto"/>
          <w:szCs w:val="21"/>
        </w:rPr>
        <w:t>(</w:t>
      </w:r>
      <w:r>
        <w:rPr>
          <w:rFonts w:hint="eastAsia" w:ascii="宋体" w:hAnsi="宋体" w:cs="宋体"/>
          <w:b/>
          <w:color w:val="auto"/>
          <w:szCs w:val="21"/>
        </w:rPr>
        <w:t>财库〔</w:t>
      </w:r>
      <w:r>
        <w:rPr>
          <w:rFonts w:ascii="宋体" w:hAnsi="宋体" w:cs="宋体"/>
          <w:b/>
          <w:color w:val="auto"/>
          <w:szCs w:val="21"/>
        </w:rPr>
        <w:t>2017</w:t>
      </w:r>
      <w:r>
        <w:rPr>
          <w:rFonts w:hint="eastAsia" w:ascii="宋体" w:hAnsi="宋体" w:cs="宋体"/>
          <w:b/>
          <w:color w:val="auto"/>
          <w:szCs w:val="21"/>
        </w:rPr>
        <w:t>〕</w:t>
      </w:r>
      <w:r>
        <w:rPr>
          <w:rFonts w:ascii="宋体" w:hAnsi="宋体" w:cs="宋体"/>
          <w:b/>
          <w:color w:val="auto"/>
          <w:szCs w:val="21"/>
        </w:rPr>
        <w:t>141</w:t>
      </w:r>
      <w:r>
        <w:rPr>
          <w:rFonts w:hint="eastAsia" w:ascii="宋体" w:hAnsi="宋体" w:cs="宋体"/>
          <w:b/>
          <w:color w:val="auto"/>
          <w:szCs w:val="21"/>
        </w:rPr>
        <w:t>号</w:t>
      </w:r>
      <w:r>
        <w:rPr>
          <w:rFonts w:ascii="宋体" w:hAnsi="宋体" w:cs="宋体"/>
          <w:b/>
          <w:color w:val="auto"/>
          <w:szCs w:val="21"/>
        </w:rPr>
        <w:t>)</w:t>
      </w:r>
      <w:r>
        <w:rPr>
          <w:rFonts w:hint="eastAsia" w:ascii="宋体" w:hAnsi="宋体" w:cs="宋体"/>
          <w:b/>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b/>
          <w:color w:val="auto"/>
          <w:szCs w:val="21"/>
        </w:rPr>
        <w:t>(</w:t>
      </w:r>
      <w:r>
        <w:rPr>
          <w:rFonts w:hint="eastAsia" w:ascii="宋体" w:hAnsi="宋体" w:cs="宋体"/>
          <w:b/>
          <w:color w:val="auto"/>
          <w:szCs w:val="21"/>
        </w:rPr>
        <w:t>格式见第六章</w:t>
      </w:r>
      <w:r>
        <w:rPr>
          <w:rFonts w:ascii="宋体" w:hAnsi="宋体" w:cs="宋体"/>
          <w:b/>
          <w:color w:val="auto"/>
          <w:szCs w:val="21"/>
        </w:rPr>
        <w:t>)</w:t>
      </w:r>
    </w:p>
    <w:p>
      <w:pPr>
        <w:rPr>
          <w:rFonts w:ascii="宋体" w:cs="宋体"/>
          <w:color w:val="auto"/>
        </w:rPr>
      </w:pPr>
      <w:r>
        <w:rPr>
          <w:rFonts w:hint="eastAsia" w:ascii="宋体" w:hAnsi="宋体" w:cs="宋体"/>
          <w:b/>
          <w:color w:val="auto"/>
          <w:szCs w:val="21"/>
        </w:rPr>
        <w:t>广西工业产品声明函格式：</w:t>
      </w:r>
    </w:p>
    <w:p>
      <w:pPr>
        <w:widowControl/>
        <w:spacing w:before="100" w:beforeAutospacing="1" w:after="100" w:afterAutospacing="1" w:line="425" w:lineRule="atLeast"/>
        <w:jc w:val="center"/>
        <w:rPr>
          <w:rFonts w:ascii="宋体" w:cs="宋体"/>
          <w:color w:val="auto"/>
          <w:kern w:val="0"/>
          <w:sz w:val="28"/>
          <w:szCs w:val="28"/>
        </w:rPr>
      </w:pPr>
      <w:r>
        <w:rPr>
          <w:rFonts w:hint="eastAsia" w:ascii="宋体" w:hAnsi="宋体" w:cs="宋体"/>
          <w:b/>
          <w:bCs/>
          <w:color w:val="auto"/>
          <w:kern w:val="0"/>
          <w:sz w:val="28"/>
          <w:szCs w:val="28"/>
        </w:rPr>
        <w:t>残疾人福利性单位声明函</w:t>
      </w:r>
    </w:p>
    <w:p>
      <w:pPr>
        <w:widowControl/>
        <w:spacing w:before="100" w:beforeAutospacing="1" w:after="100" w:afterAutospacing="1" w:line="425" w:lineRule="atLeast"/>
        <w:jc w:val="left"/>
        <w:rPr>
          <w:rFonts w:ascii="宋体" w:cs="宋体"/>
          <w:color w:val="auto"/>
          <w:kern w:val="0"/>
          <w:sz w:val="24"/>
        </w:rPr>
      </w:pPr>
    </w:p>
    <w:p>
      <w:pPr>
        <w:widowControl/>
        <w:spacing w:before="100" w:beforeAutospacing="1" w:after="100" w:afterAutospacing="1" w:line="400" w:lineRule="exact"/>
        <w:ind w:firstLine="420" w:firstLineChars="200"/>
        <w:jc w:val="left"/>
        <w:rPr>
          <w:rFonts w:ascii="宋体" w:cs="宋体"/>
          <w:color w:val="auto"/>
          <w:kern w:val="0"/>
          <w:szCs w:val="21"/>
        </w:rPr>
      </w:pPr>
      <w:r>
        <w:rPr>
          <w:rFonts w:hint="eastAsia" w:ascii="宋体" w:hAnsi="宋体" w:cs="宋体"/>
          <w:color w:val="auto"/>
          <w:kern w:val="0"/>
          <w:szCs w:val="21"/>
        </w:rPr>
        <w:t>本单位郑重声明，根据《财政部</w:t>
      </w:r>
      <w:r>
        <w:rPr>
          <w:rFonts w:ascii="宋体" w:hAnsi="宋体" w:cs="宋体"/>
          <w:color w:val="auto"/>
          <w:kern w:val="0"/>
          <w:szCs w:val="21"/>
        </w:rPr>
        <w:t xml:space="preserve"> </w:t>
      </w:r>
      <w:r>
        <w:rPr>
          <w:rFonts w:hint="eastAsia" w:ascii="宋体" w:hAnsi="宋体" w:cs="宋体"/>
          <w:color w:val="auto"/>
          <w:kern w:val="0"/>
          <w:szCs w:val="21"/>
        </w:rPr>
        <w:t>民政部</w:t>
      </w:r>
      <w:r>
        <w:rPr>
          <w:rFonts w:ascii="宋体" w:hAnsi="宋体" w:cs="宋体"/>
          <w:color w:val="auto"/>
          <w:kern w:val="0"/>
          <w:szCs w:val="21"/>
        </w:rPr>
        <w:t xml:space="preserve"> </w:t>
      </w:r>
      <w:r>
        <w:rPr>
          <w:rFonts w:hint="eastAsia" w:ascii="宋体" w:hAnsi="宋体" w:cs="宋体"/>
          <w:color w:val="auto"/>
          <w:kern w:val="0"/>
          <w:szCs w:val="21"/>
        </w:rPr>
        <w:t>中国残疾人联合会关于促进残疾人就业政府采购政策的通知》（财库〔</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141</w:t>
      </w:r>
      <w:r>
        <w:rPr>
          <w:rFonts w:hint="eastAsia" w:ascii="宋体" w:hAnsi="宋体" w:cs="宋体"/>
          <w:color w:val="auto"/>
          <w:kern w:val="0"/>
          <w:szCs w:val="21"/>
        </w:rPr>
        <w:t>号）的规定，本单位为符合条件的残疾人福利性单位，且本单位参加</w:t>
      </w:r>
      <w:r>
        <w:rPr>
          <w:rFonts w:ascii="宋体" w:hAnsi="宋体" w:cs="宋体"/>
          <w:color w:val="auto"/>
          <w:kern w:val="0"/>
          <w:szCs w:val="21"/>
          <w:u w:val="single"/>
        </w:rPr>
        <w:t xml:space="preserve">             </w:t>
      </w:r>
      <w:r>
        <w:rPr>
          <w:rFonts w:hint="eastAsia" w:ascii="宋体" w:hAnsi="宋体" w:cs="宋体"/>
          <w:color w:val="auto"/>
          <w:kern w:val="0"/>
          <w:szCs w:val="21"/>
        </w:rPr>
        <w:t>单位的</w:t>
      </w:r>
      <w:r>
        <w:rPr>
          <w:rFonts w:ascii="宋体" w:hAnsi="宋体" w:cs="宋体"/>
          <w:color w:val="auto"/>
          <w:kern w:val="0"/>
          <w:szCs w:val="21"/>
          <w:u w:val="single"/>
        </w:rPr>
        <w:t xml:space="preserve">                  </w:t>
      </w:r>
      <w:r>
        <w:rPr>
          <w:rFonts w:hint="eastAsia" w:ascii="宋体" w:hAnsi="宋体" w:cs="宋体"/>
          <w:color w:val="auto"/>
          <w:kern w:val="0"/>
          <w:szCs w:val="21"/>
        </w:rPr>
        <w:t>项目采购活动提供本单位制造的货物（由本单位承担工程</w:t>
      </w:r>
      <w:r>
        <w:rPr>
          <w:rFonts w:ascii="宋体" w:hAnsi="宋体" w:cs="宋体"/>
          <w:color w:val="auto"/>
          <w:kern w:val="0"/>
          <w:szCs w:val="21"/>
        </w:rPr>
        <w:t>/</w:t>
      </w:r>
      <w:r>
        <w:rPr>
          <w:rFonts w:hint="eastAsia" w:ascii="宋体" w:hAnsi="宋体" w:cs="宋体"/>
          <w:color w:val="auto"/>
          <w:kern w:val="0"/>
          <w:szCs w:val="21"/>
        </w:rPr>
        <w:t>提供服务），或者提供其他残疾人福利性单位制造的货物（不包括使用非残疾人福利性单位注册商标的货物）。</w:t>
      </w:r>
    </w:p>
    <w:p>
      <w:pPr>
        <w:widowControl/>
        <w:spacing w:before="100" w:beforeAutospacing="1" w:after="100" w:afterAutospacing="1" w:line="400" w:lineRule="exact"/>
        <w:ind w:firstLine="420" w:firstLineChars="200"/>
        <w:jc w:val="left"/>
        <w:rPr>
          <w:rFonts w:asci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widowControl/>
        <w:spacing w:before="100" w:beforeAutospacing="1" w:after="100" w:afterAutospacing="1" w:line="400" w:lineRule="exact"/>
        <w:jc w:val="left"/>
        <w:rPr>
          <w:rFonts w:ascii="宋体" w:cs="宋体"/>
          <w:color w:val="auto"/>
          <w:kern w:val="0"/>
          <w:szCs w:val="21"/>
        </w:rPr>
      </w:pPr>
    </w:p>
    <w:p>
      <w:pPr>
        <w:widowControl/>
        <w:spacing w:before="100" w:beforeAutospacing="1" w:after="100" w:afterAutospacing="1" w:line="400" w:lineRule="exact"/>
        <w:jc w:val="left"/>
        <w:rPr>
          <w:rFonts w:ascii="宋体" w:cs="宋体"/>
          <w:color w:val="auto"/>
          <w:kern w:val="0"/>
          <w:szCs w:val="21"/>
        </w:rPr>
      </w:pPr>
    </w:p>
    <w:p>
      <w:pPr>
        <w:widowControl/>
        <w:spacing w:before="100" w:beforeAutospacing="1" w:after="100" w:afterAutospacing="1" w:line="400" w:lineRule="exact"/>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单位名称（盖章）：</w:t>
      </w:r>
    </w:p>
    <w:p>
      <w:pPr>
        <w:widowControl/>
        <w:spacing w:before="100" w:beforeAutospacing="1" w:after="100" w:afterAutospacing="1" w:line="400" w:lineRule="exact"/>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rPr>
        <w:t>期</w:t>
      </w:r>
    </w:p>
    <w:p>
      <w:pPr>
        <w:widowControl/>
        <w:spacing w:before="100" w:beforeAutospacing="1" w:after="100" w:afterAutospacing="1" w:line="400" w:lineRule="exact"/>
        <w:jc w:val="left"/>
        <w:rPr>
          <w:rFonts w:ascii="宋体" w:cs="宋体"/>
          <w:color w:val="auto"/>
          <w:kern w:val="0"/>
          <w:sz w:val="24"/>
        </w:rPr>
      </w:pPr>
    </w:p>
    <w:p>
      <w:pPr>
        <w:widowControl/>
        <w:spacing w:before="100" w:beforeAutospacing="1" w:after="100" w:afterAutospacing="1" w:line="400" w:lineRule="exact"/>
        <w:jc w:val="left"/>
        <w:rPr>
          <w:rFonts w:ascii="宋体" w:cs="宋体"/>
          <w:b/>
          <w:color w:val="auto"/>
          <w:szCs w:val="21"/>
        </w:rPr>
      </w:pPr>
      <w:r>
        <w:rPr>
          <w:rFonts w:hint="eastAsia" w:ascii="宋体" w:hAnsi="宋体" w:cs="宋体"/>
          <w:color w:val="auto"/>
          <w:kern w:val="0"/>
          <w:szCs w:val="21"/>
        </w:rPr>
        <w:t>注：投标人如为残疾人福利性单位并提供本《残疾人福利性单位声明函》的，必须对声明的真实性负责。</w:t>
      </w: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pStyle w:val="55"/>
        <w:rPr>
          <w:color w:val="auto"/>
        </w:rPr>
      </w:pPr>
    </w:p>
    <w:p>
      <w:pPr>
        <w:snapToGrid w:val="0"/>
        <w:spacing w:line="404" w:lineRule="exact"/>
        <w:jc w:val="left"/>
        <w:rPr>
          <w:rFonts w:ascii="宋体" w:cs="宋体"/>
          <w:bCs/>
          <w:color w:val="auto"/>
          <w:szCs w:val="21"/>
        </w:rPr>
      </w:pPr>
      <w:r>
        <w:rPr>
          <w:rFonts w:ascii="宋体" w:hAnsi="宋体" w:cs="宋体"/>
          <w:b/>
          <w:color w:val="auto"/>
          <w:szCs w:val="21"/>
        </w:rPr>
        <w:t>3.3</w:t>
      </w:r>
      <w:r>
        <w:rPr>
          <w:rFonts w:hint="eastAsia" w:ascii="宋体" w:hAnsi="宋体" w:cs="宋体"/>
          <w:b/>
          <w:color w:val="auto"/>
          <w:szCs w:val="21"/>
        </w:rPr>
        <w:t>技术</w:t>
      </w:r>
      <w:r>
        <w:rPr>
          <w:rFonts w:hint="eastAsia" w:ascii="宋体" w:hAnsi="宋体" w:cs="宋体"/>
          <w:b/>
          <w:bCs/>
          <w:color w:val="auto"/>
          <w:szCs w:val="21"/>
        </w:rPr>
        <w:t>部分</w:t>
      </w:r>
    </w:p>
    <w:p>
      <w:pPr>
        <w:snapToGrid w:val="0"/>
        <w:spacing w:before="50" w:afterLines="50"/>
        <w:jc w:val="left"/>
        <w:rPr>
          <w:rFonts w:ascii="宋体" w:cs="宋体"/>
          <w:b/>
          <w:bCs/>
          <w:color w:val="auto"/>
          <w:szCs w:val="21"/>
        </w:rPr>
      </w:pPr>
      <w:r>
        <w:rPr>
          <w:rFonts w:ascii="宋体" w:hAnsi="宋体" w:cs="宋体"/>
          <w:b/>
          <w:bCs/>
          <w:color w:val="auto"/>
          <w:szCs w:val="21"/>
        </w:rPr>
        <w:t xml:space="preserve">3.3.1 </w:t>
      </w:r>
      <w:r>
        <w:rPr>
          <w:rFonts w:hint="eastAsia" w:ascii="宋体" w:hAnsi="宋体" w:cs="宋体"/>
          <w:b/>
          <w:color w:val="auto"/>
          <w:szCs w:val="21"/>
        </w:rPr>
        <w:t>投标产品配置清单格式：</w:t>
      </w:r>
    </w:p>
    <w:p>
      <w:pPr>
        <w:snapToGrid w:val="0"/>
        <w:spacing w:before="50" w:afterLines="50"/>
        <w:jc w:val="left"/>
        <w:rPr>
          <w:rFonts w:ascii="宋体" w:cs="宋体"/>
          <w:color w:val="auto"/>
          <w:szCs w:val="21"/>
        </w:rPr>
      </w:pPr>
      <w:r>
        <w:rPr>
          <w:rFonts w:hint="eastAsia" w:ascii="宋体" w:hAnsi="宋体" w:cs="宋体"/>
          <w:color w:val="auto"/>
          <w:szCs w:val="21"/>
        </w:rPr>
        <w:t>项目名称：</w:t>
      </w:r>
    </w:p>
    <w:p>
      <w:pPr>
        <w:snapToGrid w:val="0"/>
        <w:spacing w:before="50" w:afterLines="50"/>
        <w:jc w:val="left"/>
        <w:rPr>
          <w:rFonts w:ascii="宋体" w:cs="宋体"/>
          <w:color w:val="auto"/>
          <w:szCs w:val="21"/>
        </w:rPr>
      </w:pPr>
      <w:r>
        <w:rPr>
          <w:rFonts w:hint="eastAsia" w:ascii="宋体" w:hAnsi="宋体" w:cs="宋体"/>
          <w:color w:val="auto"/>
          <w:szCs w:val="21"/>
        </w:rPr>
        <w:t>项目编号：</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696"/>
        <w:gridCol w:w="1478"/>
        <w:gridCol w:w="3935"/>
        <w:gridCol w:w="13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7"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序号</w:t>
            </w:r>
          </w:p>
        </w:tc>
        <w:tc>
          <w:tcPr>
            <w:tcW w:w="1696"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采购内容</w:t>
            </w:r>
          </w:p>
        </w:tc>
        <w:tc>
          <w:tcPr>
            <w:tcW w:w="1478" w:type="dxa"/>
            <w:tcBorders>
              <w:top w:val="single" w:color="auto" w:sz="4" w:space="0"/>
              <w:right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产地、厂家</w:t>
            </w:r>
          </w:p>
        </w:tc>
        <w:tc>
          <w:tcPr>
            <w:tcW w:w="3935" w:type="dxa"/>
            <w:tcBorders>
              <w:top w:val="single" w:color="auto" w:sz="4" w:space="0"/>
              <w:left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详细项目内容或技术参数</w:t>
            </w:r>
          </w:p>
        </w:tc>
        <w:tc>
          <w:tcPr>
            <w:tcW w:w="1310"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7" w:type="dxa"/>
            <w:vAlign w:val="center"/>
          </w:tcPr>
          <w:p>
            <w:pPr>
              <w:snapToGrid w:val="0"/>
              <w:spacing w:before="50" w:afterLines="50" w:line="350" w:lineRule="exact"/>
              <w:jc w:val="left"/>
              <w:rPr>
                <w:rFonts w:ascii="宋体" w:cs="宋体"/>
                <w:color w:val="auto"/>
                <w:szCs w:val="21"/>
              </w:rPr>
            </w:pPr>
            <w:r>
              <w:rPr>
                <w:rFonts w:ascii="宋体" w:hAnsi="宋体" w:cs="宋体"/>
                <w:color w:val="auto"/>
                <w:szCs w:val="21"/>
              </w:rPr>
              <w:t>1</w:t>
            </w:r>
          </w:p>
        </w:tc>
        <w:tc>
          <w:tcPr>
            <w:tcW w:w="1696" w:type="dxa"/>
            <w:vAlign w:val="center"/>
          </w:tcPr>
          <w:p>
            <w:pPr>
              <w:snapToGrid w:val="0"/>
              <w:spacing w:before="50" w:afterLines="50" w:line="350" w:lineRule="exact"/>
              <w:jc w:val="left"/>
              <w:rPr>
                <w:rFonts w:ascii="宋体" w:cs="宋体"/>
                <w:color w:val="auto"/>
                <w:szCs w:val="21"/>
              </w:rPr>
            </w:pPr>
          </w:p>
        </w:tc>
        <w:tc>
          <w:tcPr>
            <w:tcW w:w="1478" w:type="dxa"/>
            <w:tcBorders>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vAlign w:val="center"/>
          </w:tcPr>
          <w:p>
            <w:pPr>
              <w:snapToGrid w:val="0"/>
              <w:spacing w:before="50" w:afterLines="50" w:line="350" w:lineRule="exact"/>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7" w:type="dxa"/>
            <w:vAlign w:val="center"/>
          </w:tcPr>
          <w:p>
            <w:pPr>
              <w:snapToGrid w:val="0"/>
              <w:spacing w:before="50" w:afterLines="50" w:line="350" w:lineRule="exact"/>
              <w:jc w:val="left"/>
              <w:rPr>
                <w:rFonts w:ascii="宋体" w:cs="宋体"/>
                <w:color w:val="auto"/>
                <w:szCs w:val="21"/>
              </w:rPr>
            </w:pPr>
            <w:r>
              <w:rPr>
                <w:rFonts w:ascii="宋体" w:hAnsi="宋体" w:cs="宋体"/>
                <w:color w:val="auto"/>
                <w:szCs w:val="21"/>
              </w:rPr>
              <w:t>2</w:t>
            </w:r>
          </w:p>
        </w:tc>
        <w:tc>
          <w:tcPr>
            <w:tcW w:w="1696" w:type="dxa"/>
            <w:vAlign w:val="center"/>
          </w:tcPr>
          <w:p>
            <w:pPr>
              <w:snapToGrid w:val="0"/>
              <w:spacing w:before="50" w:afterLines="50" w:line="350" w:lineRule="exact"/>
              <w:jc w:val="left"/>
              <w:rPr>
                <w:rFonts w:ascii="宋体" w:cs="宋体"/>
                <w:color w:val="auto"/>
                <w:szCs w:val="21"/>
              </w:rPr>
            </w:pPr>
          </w:p>
        </w:tc>
        <w:tc>
          <w:tcPr>
            <w:tcW w:w="1478" w:type="dxa"/>
            <w:tcBorders>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vAlign w:val="center"/>
          </w:tcPr>
          <w:p>
            <w:pPr>
              <w:snapToGrid w:val="0"/>
              <w:spacing w:before="50" w:afterLines="50" w:line="350" w:lineRule="exact"/>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67" w:type="dxa"/>
            <w:tcBorders>
              <w:bottom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w:t>
            </w:r>
          </w:p>
        </w:tc>
        <w:tc>
          <w:tcPr>
            <w:tcW w:w="1696" w:type="dxa"/>
            <w:tcBorders>
              <w:bottom w:val="single" w:color="auto" w:sz="4" w:space="0"/>
            </w:tcBorders>
            <w:vAlign w:val="center"/>
          </w:tcPr>
          <w:p>
            <w:pPr>
              <w:snapToGrid w:val="0"/>
              <w:spacing w:before="50" w:afterLines="50" w:line="350" w:lineRule="exact"/>
              <w:jc w:val="left"/>
              <w:rPr>
                <w:rFonts w:ascii="宋体" w:cs="宋体"/>
                <w:color w:val="auto"/>
                <w:szCs w:val="21"/>
              </w:rPr>
            </w:pPr>
          </w:p>
        </w:tc>
        <w:tc>
          <w:tcPr>
            <w:tcW w:w="1478" w:type="dxa"/>
            <w:tcBorders>
              <w:bottom w:val="single" w:color="auto" w:sz="4" w:space="0"/>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bottom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tcBorders>
              <w:bottom w:val="single" w:color="auto" w:sz="4" w:space="0"/>
            </w:tcBorders>
            <w:vAlign w:val="center"/>
          </w:tcPr>
          <w:p>
            <w:pPr>
              <w:snapToGrid w:val="0"/>
              <w:spacing w:before="50" w:afterLines="50" w:line="350" w:lineRule="exact"/>
              <w:jc w:val="left"/>
              <w:rPr>
                <w:rFonts w:ascii="宋体" w:cs="宋体"/>
                <w:color w:val="auto"/>
                <w:szCs w:val="21"/>
              </w:rPr>
            </w:pPr>
          </w:p>
        </w:tc>
      </w:tr>
    </w:tbl>
    <w:p>
      <w:pPr>
        <w:snapToGrid w:val="0"/>
        <w:spacing w:before="50" w:afterLines="50"/>
        <w:ind w:firstLine="315" w:firstLineChars="150"/>
        <w:jc w:val="left"/>
        <w:rPr>
          <w:rFonts w:ascii="宋体" w:cs="宋体"/>
          <w:color w:val="auto"/>
          <w:szCs w:val="21"/>
          <w:u w:val="single"/>
        </w:rPr>
      </w:pPr>
    </w:p>
    <w:p>
      <w:pPr>
        <w:snapToGrid w:val="0"/>
        <w:spacing w:before="50" w:after="50"/>
        <w:rPr>
          <w:rFonts w:ascii="宋体" w:cs="宋体"/>
          <w:color w:val="auto"/>
          <w:spacing w:val="20"/>
          <w:szCs w:val="21"/>
        </w:rPr>
      </w:pPr>
    </w:p>
    <w:p>
      <w:pPr>
        <w:snapToGrid w:val="0"/>
        <w:spacing w:before="50" w:after="50"/>
        <w:ind w:firstLine="4000" w:firstLineChars="160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rPr>
          <w:rFonts w:ascii="宋体" w:cs="宋体"/>
          <w:color w:val="auto"/>
          <w:spacing w:val="20"/>
          <w:szCs w:val="21"/>
          <w:u w:val="single"/>
        </w:rPr>
      </w:pPr>
    </w:p>
    <w:p>
      <w:pPr>
        <w:snapToGrid w:val="0"/>
        <w:spacing w:before="50" w:after="50"/>
        <w:ind w:firstLine="4000" w:firstLineChars="1600"/>
        <w:rPr>
          <w:rFonts w:ascii="宋体" w:hAnsi="宋体" w:cs="宋体"/>
          <w:color w:val="auto"/>
          <w:spacing w:val="20"/>
          <w:szCs w:val="21"/>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p>
    <w:p>
      <w:pPr>
        <w:snapToGrid w:val="0"/>
        <w:spacing w:before="50" w:after="50"/>
        <w:ind w:firstLine="4000" w:firstLineChars="1600"/>
        <w:rPr>
          <w:rFonts w:ascii="宋体" w:cs="宋体"/>
          <w:b/>
          <w:color w:val="auto"/>
          <w:szCs w:val="21"/>
        </w:rPr>
      </w:pP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r>
        <w:rPr>
          <w:rFonts w:ascii="宋体" w:hAnsi="宋体" w:cs="宋体"/>
          <w:color w:val="auto"/>
          <w:spacing w:val="20"/>
          <w:szCs w:val="21"/>
          <w:u w:val="single"/>
        </w:rPr>
        <w:t xml:space="preserve">          </w:t>
      </w:r>
    </w:p>
    <w:p>
      <w:pPr>
        <w:pStyle w:val="55"/>
        <w:rPr>
          <w:rFonts w:ascii="宋体" w:cs="宋体"/>
          <w:b/>
          <w:color w:val="auto"/>
          <w:szCs w:val="21"/>
        </w:rPr>
      </w:pPr>
    </w:p>
    <w:p>
      <w:pPr>
        <w:snapToGrid w:val="0"/>
        <w:spacing w:before="50" w:afterLines="50" w:line="260" w:lineRule="exact"/>
        <w:jc w:val="left"/>
        <w:rPr>
          <w:rFonts w:ascii="宋体" w:cs="宋体"/>
          <w:b/>
          <w:color w:val="auto"/>
          <w:szCs w:val="21"/>
        </w:rPr>
      </w:pPr>
    </w:p>
    <w:p>
      <w:pPr>
        <w:snapToGrid w:val="0"/>
        <w:spacing w:before="50" w:afterLines="50" w:line="260" w:lineRule="exact"/>
        <w:jc w:val="left"/>
        <w:rPr>
          <w:rFonts w:ascii="宋体" w:cs="宋体"/>
          <w:b/>
          <w:color w:val="auto"/>
          <w:szCs w:val="21"/>
        </w:rPr>
      </w:pPr>
      <w:r>
        <w:rPr>
          <w:rFonts w:ascii="宋体" w:hAnsi="宋体" w:cs="宋体"/>
          <w:b/>
          <w:color w:val="auto"/>
          <w:szCs w:val="21"/>
        </w:rPr>
        <w:t xml:space="preserve">3.3.2  </w:t>
      </w:r>
      <w:r>
        <w:rPr>
          <w:rFonts w:hint="eastAsia" w:ascii="宋体" w:hAnsi="宋体" w:cs="宋体"/>
          <w:b/>
          <w:color w:val="auto"/>
          <w:szCs w:val="21"/>
        </w:rPr>
        <w:t>产品技术响应表格式：</w:t>
      </w:r>
    </w:p>
    <w:p>
      <w:pPr>
        <w:snapToGrid w:val="0"/>
        <w:spacing w:before="50" w:afterLines="50"/>
        <w:jc w:val="left"/>
        <w:rPr>
          <w:rFonts w:ascii="宋体" w:cs="宋体"/>
          <w:color w:val="auto"/>
          <w:szCs w:val="21"/>
        </w:rPr>
      </w:pPr>
      <w:r>
        <w:rPr>
          <w:rFonts w:hint="eastAsia" w:ascii="宋体" w:hAnsi="宋体" w:cs="宋体"/>
          <w:color w:val="auto"/>
          <w:szCs w:val="21"/>
        </w:rPr>
        <w:t>项目名称：</w:t>
      </w:r>
    </w:p>
    <w:p>
      <w:pPr>
        <w:snapToGrid w:val="0"/>
        <w:spacing w:before="50" w:afterLines="50"/>
        <w:jc w:val="left"/>
        <w:rPr>
          <w:rFonts w:ascii="宋体" w:cs="宋体"/>
          <w:b/>
          <w:color w:val="auto"/>
          <w:szCs w:val="21"/>
        </w:rPr>
      </w:pPr>
      <w:r>
        <w:rPr>
          <w:rFonts w:hint="eastAsia" w:ascii="宋体" w:hAnsi="宋体" w:cs="宋体"/>
          <w:color w:val="auto"/>
          <w:szCs w:val="21"/>
        </w:rPr>
        <w:t>项目编号：</w:t>
      </w:r>
    </w:p>
    <w:tbl>
      <w:tblPr>
        <w:tblStyle w:val="40"/>
        <w:tblW w:w="95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594"/>
        <w:gridCol w:w="651"/>
        <w:gridCol w:w="1587"/>
        <w:gridCol w:w="1919"/>
        <w:gridCol w:w="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exact"/>
          <w:jc w:val="center"/>
        </w:trPr>
        <w:tc>
          <w:tcPr>
            <w:tcW w:w="4513" w:type="dxa"/>
            <w:gridSpan w:val="3"/>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576" w:name="_Toc254970558"/>
            <w:bookmarkStart w:id="577" w:name="_Toc254970699"/>
            <w:r>
              <w:rPr>
                <w:rFonts w:hint="eastAsia" w:ascii="宋体" w:hAnsi="宋体" w:cs="宋体"/>
                <w:color w:val="auto"/>
                <w:spacing w:val="20"/>
                <w:szCs w:val="21"/>
              </w:rPr>
              <w:t>招标文件要求</w:t>
            </w:r>
            <w:bookmarkEnd w:id="576"/>
            <w:bookmarkEnd w:id="577"/>
          </w:p>
        </w:tc>
        <w:tc>
          <w:tcPr>
            <w:tcW w:w="4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578" w:name="_Toc254970700"/>
            <w:bookmarkStart w:id="579" w:name="_Toc254970559"/>
            <w:r>
              <w:rPr>
                <w:rFonts w:hint="eastAsia" w:ascii="宋体" w:hAnsi="宋体" w:cs="宋体"/>
                <w:color w:val="auto"/>
                <w:spacing w:val="20"/>
                <w:szCs w:val="21"/>
              </w:rPr>
              <w:t>投标文件响应</w:t>
            </w:r>
            <w:bookmarkEnd w:id="578"/>
            <w:bookmarkEnd w:id="579"/>
          </w:p>
        </w:tc>
        <w:tc>
          <w:tcPr>
            <w:tcW w:w="917" w:type="dxa"/>
            <w:vMerge w:val="restart"/>
            <w:tcBorders>
              <w:top w:val="single" w:color="auto" w:sz="4" w:space="0"/>
              <w:left w:val="single" w:color="auto" w:sz="4" w:space="0"/>
              <w:bottom w:val="single" w:color="auto" w:sz="4" w:space="0"/>
            </w:tcBorders>
            <w:vAlign w:val="center"/>
          </w:tcPr>
          <w:p>
            <w:pPr>
              <w:pStyle w:val="23"/>
              <w:snapToGrid w:val="0"/>
              <w:spacing w:before="295" w:after="295"/>
              <w:jc w:val="center"/>
              <w:outlineLvl w:val="0"/>
              <w:rPr>
                <w:rFonts w:hAnsi="宋体" w:cs="宋体"/>
                <w:color w:val="auto"/>
                <w:spacing w:val="20"/>
                <w:kern w:val="2"/>
                <w:sz w:val="21"/>
              </w:rPr>
            </w:pPr>
            <w:bookmarkStart w:id="580" w:name="_Toc254970701"/>
            <w:bookmarkStart w:id="581" w:name="_Toc445223695"/>
            <w:bookmarkStart w:id="582" w:name="_Toc482864564"/>
            <w:bookmarkStart w:id="583" w:name="_Toc293863334"/>
            <w:bookmarkStart w:id="584" w:name="_Toc308018692"/>
            <w:bookmarkStart w:id="585" w:name="_Toc18765"/>
            <w:bookmarkStart w:id="586" w:name="_Toc448421155"/>
            <w:bookmarkStart w:id="587" w:name="_Toc482865335"/>
            <w:bookmarkStart w:id="588" w:name="_Toc293863064"/>
            <w:bookmarkStart w:id="589" w:name="_Toc482865165"/>
            <w:bookmarkStart w:id="590" w:name="_Toc400465728"/>
            <w:bookmarkStart w:id="591" w:name="_Toc254970560"/>
            <w:bookmarkStart w:id="592" w:name="_Toc483327824"/>
            <w:r>
              <w:rPr>
                <w:rFonts w:hint="eastAsia" w:hAnsi="宋体" w:cs="宋体"/>
                <w:color w:val="auto"/>
                <w:spacing w:val="20"/>
                <w:kern w:val="2"/>
                <w:sz w:val="21"/>
              </w:rPr>
              <w:t>偏离情况</w:t>
            </w:r>
            <w:bookmarkEnd w:id="580"/>
            <w:bookmarkEnd w:id="581"/>
            <w:bookmarkEnd w:id="582"/>
            <w:bookmarkEnd w:id="583"/>
            <w:bookmarkEnd w:id="584"/>
            <w:bookmarkEnd w:id="585"/>
            <w:bookmarkEnd w:id="586"/>
            <w:bookmarkEnd w:id="587"/>
            <w:bookmarkEnd w:id="588"/>
            <w:bookmarkEnd w:id="589"/>
            <w:bookmarkEnd w:id="590"/>
            <w:bookmarkEnd w:id="591"/>
            <w:bookmarkEnd w:id="59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采购内容</w:t>
            </w: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593" w:name="_Toc254970703"/>
            <w:bookmarkStart w:id="594" w:name="_Toc254970562"/>
            <w:r>
              <w:rPr>
                <w:rFonts w:hint="eastAsia" w:ascii="宋体" w:hAnsi="宋体" w:cs="宋体"/>
                <w:color w:val="auto"/>
                <w:spacing w:val="20"/>
                <w:szCs w:val="21"/>
              </w:rPr>
              <w:t>要求</w:t>
            </w:r>
            <w:bookmarkEnd w:id="593"/>
            <w:bookmarkEnd w:id="594"/>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采购内容</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595" w:name="_Toc254970564"/>
            <w:bookmarkStart w:id="596" w:name="_Toc254970705"/>
            <w:r>
              <w:rPr>
                <w:rFonts w:hint="eastAsia" w:ascii="宋体" w:hAnsi="宋体" w:cs="宋体"/>
                <w:color w:val="auto"/>
                <w:spacing w:val="20"/>
                <w:szCs w:val="21"/>
              </w:rPr>
              <w:t>性能及指标</w:t>
            </w:r>
            <w:bookmarkEnd w:id="595"/>
            <w:bookmarkEnd w:id="596"/>
          </w:p>
        </w:tc>
        <w:tc>
          <w:tcPr>
            <w:tcW w:w="917" w:type="dxa"/>
            <w:vMerge w:val="continue"/>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ascii="宋体" w:cs="宋体"/>
                <w:color w:val="auto"/>
                <w:spacing w:val="20"/>
                <w:szCs w:val="21"/>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ascii="宋体" w:cs="宋体"/>
                <w:color w:val="auto"/>
                <w:spacing w:val="20"/>
                <w:szCs w:val="21"/>
              </w:rPr>
              <w:t>...</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bl>
    <w:p>
      <w:pPr>
        <w:pStyle w:val="17"/>
        <w:spacing w:line="380" w:lineRule="exact"/>
        <w:rPr>
          <w:rFonts w:ascii="宋体" w:cs="宋体"/>
          <w:color w:val="auto"/>
          <w:sz w:val="21"/>
          <w:szCs w:val="21"/>
        </w:rPr>
      </w:pPr>
      <w:r>
        <w:rPr>
          <w:rFonts w:hint="eastAsia" w:ascii="宋体" w:hAnsi="宋体" w:cs="宋体"/>
          <w:b w:val="0"/>
          <w:bCs w:val="0"/>
          <w:color w:val="auto"/>
          <w:sz w:val="21"/>
          <w:szCs w:val="21"/>
        </w:rPr>
        <w:t>注：投标人应根据投标货物的性能指标、对照招标文件采购需求在“偏离情况”栏注明“正偏离”、“负偏离”或“无偏离”。</w:t>
      </w:r>
    </w:p>
    <w:p>
      <w:pPr>
        <w:pStyle w:val="17"/>
        <w:spacing w:line="380" w:lineRule="exact"/>
        <w:rPr>
          <w:rFonts w:ascii="宋体" w:cs="宋体"/>
          <w:color w:val="auto"/>
          <w:spacing w:val="20"/>
          <w:sz w:val="21"/>
          <w:szCs w:val="21"/>
        </w:rPr>
      </w:pPr>
    </w:p>
    <w:p>
      <w:pPr>
        <w:snapToGrid w:val="0"/>
        <w:spacing w:before="50" w:after="5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rPr>
          <w:rFonts w:ascii="宋体" w:cs="宋体"/>
          <w:color w:val="auto"/>
          <w:spacing w:val="20"/>
          <w:szCs w:val="21"/>
          <w:u w:val="single"/>
        </w:rPr>
      </w:pPr>
    </w:p>
    <w:p>
      <w:pPr>
        <w:snapToGrid w:val="0"/>
        <w:spacing w:before="50" w:after="50"/>
        <w:rPr>
          <w:color w:val="auto"/>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r>
        <w:rPr>
          <w:rFonts w:ascii="宋体" w:hAnsi="宋体" w:cs="宋体"/>
          <w:color w:val="auto"/>
          <w:spacing w:val="20"/>
          <w:szCs w:val="21"/>
          <w:u w:val="single"/>
        </w:rPr>
        <w:t xml:space="preserve">            </w:t>
      </w:r>
    </w:p>
    <w:p>
      <w:pPr>
        <w:pStyle w:val="55"/>
        <w:rPr>
          <w:color w:val="auto"/>
        </w:rPr>
      </w:pPr>
    </w:p>
    <w:p>
      <w:pPr>
        <w:pStyle w:val="55"/>
        <w:rPr>
          <w:color w:val="auto"/>
        </w:rPr>
      </w:pPr>
    </w:p>
    <w:p>
      <w:pPr>
        <w:snapToGrid w:val="0"/>
        <w:spacing w:line="404" w:lineRule="exact"/>
        <w:jc w:val="left"/>
        <w:rPr>
          <w:rFonts w:ascii="宋体" w:cs="宋体"/>
          <w:color w:val="auto"/>
        </w:rPr>
      </w:pPr>
      <w:r>
        <w:rPr>
          <w:rFonts w:ascii="宋体" w:hAnsi="宋体" w:cs="宋体"/>
          <w:b/>
          <w:color w:val="auto"/>
        </w:rPr>
        <w:t xml:space="preserve">3.3.3  </w:t>
      </w:r>
      <w:r>
        <w:rPr>
          <w:rFonts w:hint="eastAsia" w:ascii="宋体" w:hAnsi="宋体" w:cs="宋体"/>
          <w:b/>
          <w:color w:val="auto"/>
        </w:rPr>
        <w:t>售后服务方案</w:t>
      </w:r>
      <w:r>
        <w:rPr>
          <w:rFonts w:hint="eastAsia" w:ascii="宋体" w:hAnsi="宋体" w:cs="宋体"/>
          <w:b/>
          <w:color w:val="auto"/>
          <w:szCs w:val="21"/>
        </w:rPr>
        <w:t>（格式自拟）</w:t>
      </w:r>
    </w:p>
    <w:p>
      <w:pPr>
        <w:snapToGrid w:val="0"/>
        <w:spacing w:before="50" w:afterLines="50"/>
        <w:jc w:val="left"/>
        <w:rPr>
          <w:rFonts w:ascii="宋体" w:cs="宋体"/>
          <w:b/>
          <w:color w:val="auto"/>
          <w:szCs w:val="21"/>
        </w:rPr>
      </w:pPr>
    </w:p>
    <w:p>
      <w:pPr>
        <w:pStyle w:val="55"/>
        <w:rPr>
          <w:color w:val="auto"/>
        </w:rPr>
      </w:pPr>
    </w:p>
    <w:p>
      <w:pPr>
        <w:pStyle w:val="55"/>
        <w:rPr>
          <w:color w:val="auto"/>
        </w:rPr>
      </w:pPr>
    </w:p>
    <w:p>
      <w:pPr>
        <w:pStyle w:val="55"/>
        <w:rPr>
          <w:color w:val="auto"/>
        </w:rPr>
      </w:pPr>
    </w:p>
    <w:p>
      <w:pPr>
        <w:snapToGrid w:val="0"/>
        <w:spacing w:line="404" w:lineRule="exact"/>
        <w:jc w:val="left"/>
        <w:rPr>
          <w:rFonts w:ascii="宋体" w:cs="宋体"/>
          <w:b/>
          <w:color w:val="auto"/>
        </w:rPr>
      </w:pPr>
      <w:r>
        <w:rPr>
          <w:rFonts w:ascii="宋体" w:hAnsi="宋体" w:cs="宋体"/>
          <w:b/>
          <w:color w:val="auto"/>
        </w:rPr>
        <w:t>3.3.4</w:t>
      </w:r>
      <w:r>
        <w:rPr>
          <w:rFonts w:hint="eastAsia" w:ascii="宋体" w:hAnsi="宋体" w:cs="宋体"/>
          <w:b/>
          <w:color w:val="auto"/>
        </w:rPr>
        <w:t>项目实施人员一览表</w:t>
      </w:r>
      <w:r>
        <w:rPr>
          <w:rFonts w:hint="eastAsia" w:ascii="宋体" w:hAnsi="宋体" w:cs="宋体"/>
          <w:b/>
          <w:color w:val="auto"/>
          <w:szCs w:val="21"/>
        </w:rPr>
        <w:t>（格式自拟）</w:t>
      </w:r>
    </w:p>
    <w:p>
      <w:pPr>
        <w:pStyle w:val="55"/>
        <w:rPr>
          <w:rFonts w:ascii="宋体" w:cs="宋体"/>
          <w:b/>
          <w:bCs w:val="0"/>
          <w:color w:val="auto"/>
          <w:spacing w:val="0"/>
          <w:kern w:val="2"/>
          <w:sz w:val="21"/>
        </w:rPr>
      </w:pPr>
    </w:p>
    <w:p>
      <w:pPr>
        <w:pStyle w:val="55"/>
        <w:rPr>
          <w:rFonts w:ascii="宋体" w:cs="宋体"/>
          <w:b/>
          <w:bCs w:val="0"/>
          <w:color w:val="auto"/>
        </w:rPr>
      </w:pPr>
    </w:p>
    <w:p>
      <w:pPr>
        <w:pStyle w:val="55"/>
        <w:rPr>
          <w:rFonts w:ascii="宋体" w:cs="宋体"/>
          <w:b/>
          <w:bCs w:val="0"/>
          <w:color w:val="auto"/>
        </w:rPr>
      </w:pPr>
    </w:p>
    <w:p>
      <w:pPr>
        <w:pStyle w:val="55"/>
        <w:rPr>
          <w:rFonts w:ascii="宋体" w:cs="宋体"/>
          <w:b/>
          <w:bCs w:val="0"/>
          <w:color w:val="auto"/>
        </w:rPr>
      </w:pPr>
    </w:p>
    <w:p>
      <w:pPr>
        <w:snapToGrid w:val="0"/>
        <w:spacing w:line="404" w:lineRule="exact"/>
        <w:jc w:val="left"/>
        <w:rPr>
          <w:rFonts w:ascii="宋体" w:cs="宋体"/>
          <w:b/>
          <w:color w:val="auto"/>
        </w:rPr>
      </w:pPr>
      <w:r>
        <w:rPr>
          <w:rFonts w:ascii="宋体" w:hAnsi="宋体" w:cs="宋体"/>
          <w:b/>
          <w:color w:val="auto"/>
          <w:szCs w:val="21"/>
        </w:rPr>
        <w:t xml:space="preserve">3.3.5  </w:t>
      </w:r>
      <w:r>
        <w:rPr>
          <w:rFonts w:hint="eastAsia" w:ascii="宋体" w:hAnsi="宋体" w:cs="宋体"/>
          <w:b/>
          <w:color w:val="auto"/>
        </w:rPr>
        <w:t>产品出厂标准、质量检测报告；</w:t>
      </w:r>
    </w:p>
    <w:p>
      <w:pPr>
        <w:snapToGrid w:val="0"/>
        <w:spacing w:line="404" w:lineRule="exact"/>
        <w:ind w:firstLine="422" w:firstLineChars="200"/>
        <w:jc w:val="left"/>
        <w:rPr>
          <w:rFonts w:ascii="宋体" w:cs="宋体"/>
          <w:b/>
          <w:color w:val="auto"/>
        </w:rPr>
      </w:pPr>
    </w:p>
    <w:p>
      <w:pPr>
        <w:snapToGrid w:val="0"/>
        <w:spacing w:line="404" w:lineRule="exact"/>
        <w:jc w:val="left"/>
        <w:rPr>
          <w:rFonts w:ascii="宋体" w:cs="宋体"/>
          <w:b/>
          <w:color w:val="auto"/>
        </w:rPr>
      </w:pPr>
    </w:p>
    <w:p>
      <w:pPr>
        <w:pStyle w:val="55"/>
        <w:rPr>
          <w:color w:val="auto"/>
        </w:rPr>
      </w:pPr>
    </w:p>
    <w:p>
      <w:pPr>
        <w:snapToGrid w:val="0"/>
        <w:spacing w:line="404" w:lineRule="exact"/>
        <w:jc w:val="left"/>
        <w:rPr>
          <w:rFonts w:ascii="宋体" w:cs="宋体"/>
          <w:b/>
          <w:color w:val="auto"/>
        </w:rPr>
      </w:pPr>
      <w:r>
        <w:rPr>
          <w:rFonts w:ascii="宋体" w:hAnsi="宋体" w:cs="宋体"/>
          <w:b/>
          <w:color w:val="auto"/>
          <w:szCs w:val="21"/>
        </w:rPr>
        <w:t xml:space="preserve">3.3.6  </w:t>
      </w:r>
      <w:r>
        <w:rPr>
          <w:rFonts w:hint="eastAsia" w:ascii="宋体" w:hAnsi="宋体" w:cs="宋体"/>
          <w:b/>
          <w:color w:val="auto"/>
          <w:szCs w:val="21"/>
        </w:rPr>
        <w:t>培训计划方案</w:t>
      </w:r>
    </w:p>
    <w:p>
      <w:pPr>
        <w:snapToGrid w:val="0"/>
        <w:spacing w:line="404" w:lineRule="exact"/>
        <w:jc w:val="left"/>
        <w:rPr>
          <w:rFonts w:ascii="宋体" w:cs="宋体"/>
          <w:b/>
          <w:color w:val="auto"/>
        </w:rPr>
      </w:pPr>
    </w:p>
    <w:p>
      <w:pPr>
        <w:pStyle w:val="55"/>
        <w:rPr>
          <w:color w:val="auto"/>
        </w:rPr>
      </w:pPr>
    </w:p>
    <w:p>
      <w:pPr>
        <w:snapToGrid w:val="0"/>
        <w:spacing w:line="404" w:lineRule="exact"/>
        <w:jc w:val="left"/>
        <w:rPr>
          <w:rFonts w:ascii="宋体" w:cs="宋体"/>
          <w:b/>
          <w:color w:val="auto"/>
        </w:rPr>
      </w:pPr>
    </w:p>
    <w:p>
      <w:pPr>
        <w:snapToGrid w:val="0"/>
        <w:spacing w:line="404" w:lineRule="exact"/>
        <w:jc w:val="left"/>
        <w:rPr>
          <w:rFonts w:ascii="宋体" w:cs="宋体"/>
          <w:b/>
          <w:color w:val="auto"/>
        </w:rPr>
      </w:pPr>
    </w:p>
    <w:p>
      <w:pPr>
        <w:snapToGrid w:val="0"/>
        <w:spacing w:line="404" w:lineRule="exact"/>
        <w:jc w:val="left"/>
        <w:rPr>
          <w:rFonts w:ascii="宋体" w:cs="宋体"/>
          <w:b/>
          <w:color w:val="auto"/>
        </w:rPr>
      </w:pPr>
      <w:r>
        <w:rPr>
          <w:rFonts w:ascii="宋体" w:hAnsi="宋体" w:cs="宋体"/>
          <w:b/>
          <w:color w:val="auto"/>
        </w:rPr>
        <w:t xml:space="preserve">3.3.7  </w:t>
      </w:r>
      <w:r>
        <w:rPr>
          <w:rFonts w:hint="eastAsia" w:ascii="宋体" w:hAnsi="宋体" w:cs="宋体"/>
          <w:b/>
          <w:color w:val="auto"/>
        </w:rPr>
        <w:t>投标人需要说明的其他文件和说明。</w:t>
      </w:r>
    </w:p>
    <w:p>
      <w:pPr>
        <w:snapToGrid w:val="0"/>
        <w:spacing w:line="404" w:lineRule="exact"/>
        <w:ind w:firstLine="422" w:firstLineChars="200"/>
        <w:jc w:val="left"/>
        <w:rPr>
          <w:rFonts w:ascii="宋体" w:cs="宋体"/>
          <w:b/>
          <w:color w:val="auto"/>
        </w:rPr>
      </w:pPr>
    </w:p>
    <w:p>
      <w:pPr>
        <w:snapToGrid w:val="0"/>
        <w:spacing w:before="50" w:afterLines="50"/>
        <w:jc w:val="left"/>
        <w:rPr>
          <w:rFonts w:ascii="宋体" w:cs="宋体"/>
          <w:b/>
          <w:bCs/>
          <w:color w:val="auto"/>
          <w:szCs w:val="21"/>
        </w:rPr>
      </w:pPr>
    </w:p>
    <w:p>
      <w:pPr>
        <w:snapToGrid w:val="0"/>
        <w:spacing w:before="50" w:afterLines="50"/>
        <w:jc w:val="left"/>
        <w:rPr>
          <w:rFonts w:ascii="宋体" w:cs="宋体"/>
          <w:b/>
          <w:bCs/>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pStyle w:val="55"/>
        <w:rPr>
          <w:rFonts w:ascii="宋体" w:cs="宋体"/>
          <w:b/>
          <w:bCs w:val="0"/>
          <w:color w:val="auto"/>
          <w:szCs w:val="21"/>
        </w:rPr>
      </w:pPr>
    </w:p>
    <w:p>
      <w:pPr>
        <w:snapToGrid w:val="0"/>
        <w:spacing w:before="50" w:afterLines="50"/>
        <w:jc w:val="left"/>
        <w:rPr>
          <w:rFonts w:ascii="宋体" w:cs="宋体"/>
          <w:b/>
          <w:bCs/>
          <w:color w:val="auto"/>
          <w:szCs w:val="21"/>
        </w:rPr>
      </w:pPr>
    </w:p>
    <w:p>
      <w:pPr>
        <w:pStyle w:val="7"/>
        <w:rPr>
          <w:color w:val="auto"/>
        </w:rPr>
      </w:pPr>
    </w:p>
    <w:p>
      <w:pPr>
        <w:snapToGrid w:val="0"/>
        <w:spacing w:before="50" w:afterLines="50"/>
        <w:jc w:val="left"/>
        <w:rPr>
          <w:rFonts w:ascii="宋体" w:cs="宋体"/>
          <w:b/>
          <w:color w:val="auto"/>
          <w:sz w:val="28"/>
          <w:szCs w:val="28"/>
        </w:rPr>
      </w:pPr>
      <w:r>
        <w:rPr>
          <w:rFonts w:hint="eastAsia" w:ascii="宋体" w:hAnsi="宋体" w:cs="宋体"/>
          <w:b/>
          <w:bCs/>
          <w:color w:val="auto"/>
          <w:szCs w:val="21"/>
        </w:rPr>
        <w:t>四、报价部分格式</w:t>
      </w:r>
    </w:p>
    <w:p>
      <w:pPr>
        <w:widowControl/>
        <w:jc w:val="left"/>
        <w:rPr>
          <w:rFonts w:ascii="宋体" w:cs="宋体"/>
          <w:b/>
          <w:color w:val="auto"/>
          <w:szCs w:val="21"/>
        </w:rPr>
      </w:pPr>
      <w:r>
        <w:rPr>
          <w:rFonts w:ascii="宋体" w:hAnsi="宋体" w:cs="宋体"/>
          <w:b/>
          <w:color w:val="auto"/>
          <w:szCs w:val="21"/>
        </w:rPr>
        <w:t xml:space="preserve">4.1 </w:t>
      </w:r>
      <w:r>
        <w:rPr>
          <w:rFonts w:hint="eastAsia" w:ascii="宋体" w:hAnsi="宋体" w:cs="宋体"/>
          <w:b/>
          <w:color w:val="auto"/>
          <w:szCs w:val="21"/>
        </w:rPr>
        <w:t>报价部分内封面格式：</w:t>
      </w:r>
    </w:p>
    <w:p>
      <w:pPr>
        <w:widowControl/>
        <w:jc w:val="left"/>
        <w:rPr>
          <w:rFonts w:ascii="宋体" w:cs="宋体"/>
          <w:b/>
          <w:bCs/>
          <w:color w:val="auto"/>
          <w:sz w:val="52"/>
          <w:szCs w:val="52"/>
        </w:rPr>
      </w:pPr>
      <w:r>
        <w:rPr>
          <w:rFonts w:ascii="宋体" w:hAnsi="宋体" w:cs="宋体"/>
          <w:b/>
          <w:color w:val="auto"/>
          <w:szCs w:val="21"/>
        </w:rPr>
        <w:t xml:space="preserve"> </w:t>
      </w:r>
      <w:r>
        <w:rPr>
          <w:rFonts w:ascii="宋体" w:hAnsi="宋体" w:cs="宋体"/>
          <w:color w:val="auto"/>
          <w:szCs w:val="21"/>
        </w:rPr>
        <w:t xml:space="preserve">               </w:t>
      </w:r>
    </w:p>
    <w:p>
      <w:pPr>
        <w:snapToGrid w:val="0"/>
        <w:spacing w:beforeLines="50" w:after="50" w:line="400" w:lineRule="exact"/>
        <w:jc w:val="center"/>
        <w:rPr>
          <w:rFonts w:ascii="宋体" w:cs="宋体"/>
          <w:bCs/>
          <w:color w:val="auto"/>
          <w:szCs w:val="21"/>
        </w:rPr>
      </w:pPr>
      <w:r>
        <w:rPr>
          <w:rFonts w:hint="eastAsia" w:ascii="宋体" w:hAnsi="宋体" w:cs="宋体"/>
          <w:b/>
          <w:bCs/>
          <w:color w:val="auto"/>
          <w:sz w:val="48"/>
          <w:szCs w:val="48"/>
        </w:rPr>
        <w:t>报</w:t>
      </w:r>
      <w:r>
        <w:rPr>
          <w:rFonts w:ascii="宋体" w:hAnsi="宋体" w:cs="宋体"/>
          <w:b/>
          <w:bCs/>
          <w:color w:val="auto"/>
          <w:sz w:val="48"/>
          <w:szCs w:val="48"/>
        </w:rPr>
        <w:t xml:space="preserve"> </w:t>
      </w:r>
      <w:r>
        <w:rPr>
          <w:rFonts w:hint="eastAsia" w:ascii="宋体" w:hAnsi="宋体" w:cs="宋体"/>
          <w:b/>
          <w:bCs/>
          <w:color w:val="auto"/>
          <w:sz w:val="48"/>
          <w:szCs w:val="48"/>
        </w:rPr>
        <w:t>价</w:t>
      </w:r>
      <w:r>
        <w:rPr>
          <w:rFonts w:ascii="宋体" w:hAnsi="宋体" w:cs="宋体"/>
          <w:b/>
          <w:bCs/>
          <w:color w:val="auto"/>
          <w:sz w:val="48"/>
          <w:szCs w:val="48"/>
        </w:rPr>
        <w:t xml:space="preserve"> </w:t>
      </w:r>
      <w:r>
        <w:rPr>
          <w:rFonts w:hint="eastAsia" w:ascii="宋体" w:hAnsi="宋体" w:cs="宋体"/>
          <w:b/>
          <w:bCs/>
          <w:color w:val="auto"/>
          <w:sz w:val="48"/>
          <w:szCs w:val="48"/>
        </w:rPr>
        <w:t>部</w:t>
      </w:r>
      <w:r>
        <w:rPr>
          <w:rFonts w:ascii="宋体" w:hAnsi="宋体" w:cs="宋体"/>
          <w:b/>
          <w:bCs/>
          <w:color w:val="auto"/>
          <w:sz w:val="48"/>
          <w:szCs w:val="48"/>
        </w:rPr>
        <w:t xml:space="preserve"> </w:t>
      </w:r>
      <w:r>
        <w:rPr>
          <w:rFonts w:hint="eastAsia" w:ascii="宋体" w:hAnsi="宋体" w:cs="宋体"/>
          <w:b/>
          <w:bCs/>
          <w:color w:val="auto"/>
          <w:sz w:val="48"/>
          <w:szCs w:val="48"/>
        </w:rPr>
        <w:t>分</w:t>
      </w:r>
    </w:p>
    <w:p>
      <w:pPr>
        <w:snapToGrid w:val="0"/>
        <w:spacing w:beforeLines="50" w:after="50"/>
        <w:ind w:firstLine="934" w:firstLineChars="445"/>
        <w:rPr>
          <w:rFonts w:ascii="宋体" w:cs="宋体"/>
          <w:bCs/>
          <w:color w:val="auto"/>
          <w:szCs w:val="21"/>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7"/>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pStyle w:val="7"/>
        <w:snapToGrid w:val="0"/>
        <w:spacing w:before="50" w:after="50" w:line="360" w:lineRule="auto"/>
        <w:ind w:firstLine="1200" w:firstLineChars="500"/>
        <w:rPr>
          <w:rFonts w:ascii="宋体" w:cs="宋体"/>
          <w:bCs/>
          <w:color w:val="auto"/>
          <w:sz w:val="24"/>
          <w:szCs w:val="24"/>
        </w:rPr>
      </w:pP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Lines="50" w:after="50" w:line="360" w:lineRule="exact"/>
        <w:ind w:firstLine="420" w:firstLineChars="200"/>
        <w:rPr>
          <w:rFonts w:ascii="宋体" w:cs="宋体"/>
          <w:bCs/>
          <w:color w:val="auto"/>
          <w:szCs w:val="21"/>
        </w:rPr>
      </w:pPr>
    </w:p>
    <w:p>
      <w:pPr>
        <w:snapToGrid w:val="0"/>
        <w:spacing w:beforeLines="50" w:after="50" w:line="360" w:lineRule="exact"/>
        <w:ind w:firstLine="420" w:firstLineChars="200"/>
        <w:rPr>
          <w:rFonts w:ascii="宋体" w:cs="宋体"/>
          <w:bCs/>
          <w:color w:val="auto"/>
          <w:szCs w:val="21"/>
        </w:rPr>
      </w:pPr>
    </w:p>
    <w:p>
      <w:pPr>
        <w:snapToGrid w:val="0"/>
        <w:spacing w:before="50" w:after="50"/>
        <w:rPr>
          <w:rFonts w:ascii="宋体" w:cs="宋体"/>
          <w:color w:val="auto"/>
          <w:sz w:val="24"/>
          <w:szCs w:val="20"/>
        </w:rPr>
      </w:pPr>
      <w:r>
        <w:rPr>
          <w:rFonts w:ascii="宋体" w:hAnsi="宋体" w:cs="宋体"/>
          <w:b/>
          <w:color w:val="auto"/>
          <w:szCs w:val="21"/>
        </w:rPr>
        <w:t xml:space="preserve">4.2 </w:t>
      </w:r>
      <w:r>
        <w:rPr>
          <w:rFonts w:hint="eastAsia" w:ascii="宋体" w:hAnsi="宋体" w:cs="宋体"/>
          <w:b/>
          <w:bCs/>
          <w:color w:val="auto"/>
          <w:szCs w:val="21"/>
        </w:rPr>
        <w:t>报价部分目录</w:t>
      </w:r>
    </w:p>
    <w:p>
      <w:pPr>
        <w:tabs>
          <w:tab w:val="left" w:pos="3870"/>
          <w:tab w:val="left" w:pos="4085"/>
        </w:tabs>
        <w:snapToGrid w:val="0"/>
        <w:spacing w:line="404"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）投标函；</w:t>
      </w:r>
      <w:r>
        <w:rPr>
          <w:rFonts w:ascii="宋体" w:hAnsi="宋体" w:cs="宋体"/>
          <w:color w:val="auto"/>
          <w:szCs w:val="21"/>
        </w:rPr>
        <w:t xml:space="preserve"> </w:t>
      </w:r>
    </w:p>
    <w:p>
      <w:pPr>
        <w:tabs>
          <w:tab w:val="left" w:pos="3870"/>
          <w:tab w:val="left" w:pos="4085"/>
        </w:tabs>
        <w:snapToGrid w:val="0"/>
        <w:spacing w:line="404"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）投标报价明细表；</w:t>
      </w:r>
    </w:p>
    <w:p>
      <w:pPr>
        <w:tabs>
          <w:tab w:val="left" w:pos="3870"/>
          <w:tab w:val="left" w:pos="4085"/>
        </w:tabs>
        <w:snapToGrid w:val="0"/>
        <w:spacing w:line="404"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）投标人针对报价需要说明的其他文件和材料（格式自拟）；</w:t>
      </w:r>
    </w:p>
    <w:p>
      <w:pPr>
        <w:tabs>
          <w:tab w:val="left" w:pos="3870"/>
          <w:tab w:val="left" w:pos="4085"/>
        </w:tabs>
        <w:snapToGrid w:val="0"/>
        <w:spacing w:line="404" w:lineRule="exact"/>
        <w:ind w:firstLine="420" w:firstLineChars="200"/>
        <w:jc w:val="left"/>
        <w:rPr>
          <w:rFonts w:ascii="宋体" w:cs="宋体"/>
          <w:bCs/>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）开标一览表（与投标函一起单独用小信封密封，格式见第六章）</w:t>
      </w:r>
    </w:p>
    <w:p>
      <w:pPr>
        <w:snapToGrid w:val="0"/>
        <w:spacing w:beforeLines="50" w:after="50" w:line="360" w:lineRule="exact"/>
        <w:ind w:firstLine="420" w:firstLineChars="200"/>
        <w:rPr>
          <w:rFonts w:ascii="宋体" w:cs="宋体"/>
          <w:bCs/>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pStyle w:val="55"/>
        <w:rPr>
          <w:rFonts w:ascii="宋体" w:cs="宋体"/>
          <w:bCs w:val="0"/>
          <w:color w:val="auto"/>
          <w:szCs w:val="21"/>
        </w:rPr>
      </w:pPr>
    </w:p>
    <w:p>
      <w:pPr>
        <w:snapToGrid w:val="0"/>
        <w:spacing w:line="180" w:lineRule="exact"/>
        <w:ind w:firstLine="420" w:firstLineChars="200"/>
        <w:rPr>
          <w:rFonts w:ascii="宋体" w:cs="宋体"/>
          <w:bCs/>
          <w:color w:val="auto"/>
          <w:szCs w:val="21"/>
        </w:rPr>
      </w:pPr>
    </w:p>
    <w:p>
      <w:pPr>
        <w:pStyle w:val="55"/>
        <w:rPr>
          <w:color w:val="auto"/>
        </w:rPr>
      </w:pPr>
    </w:p>
    <w:p>
      <w:pPr>
        <w:snapToGrid w:val="0"/>
        <w:spacing w:beforeLines="50" w:after="50"/>
        <w:rPr>
          <w:rFonts w:ascii="宋体" w:cs="宋体"/>
          <w:b/>
          <w:color w:val="auto"/>
          <w:szCs w:val="21"/>
        </w:rPr>
      </w:pPr>
      <w:r>
        <w:rPr>
          <w:rFonts w:ascii="宋体" w:hAnsi="宋体" w:cs="宋体"/>
          <w:b/>
          <w:color w:val="auto"/>
          <w:szCs w:val="21"/>
        </w:rPr>
        <w:t xml:space="preserve">4.2.1 </w:t>
      </w:r>
      <w:r>
        <w:rPr>
          <w:rFonts w:hint="eastAsia" w:ascii="宋体" w:hAnsi="宋体" w:cs="宋体"/>
          <w:b/>
          <w:color w:val="auto"/>
          <w:szCs w:val="21"/>
        </w:rPr>
        <w:t>投标函格式：</w:t>
      </w:r>
    </w:p>
    <w:p>
      <w:pPr>
        <w:snapToGrid w:val="0"/>
        <w:spacing w:beforeLines="50" w:after="50" w:line="360" w:lineRule="auto"/>
        <w:jc w:val="center"/>
        <w:rPr>
          <w:rFonts w:ascii="宋体" w:cs="宋体"/>
          <w:b/>
          <w:color w:val="auto"/>
          <w:sz w:val="28"/>
          <w:szCs w:val="28"/>
        </w:rPr>
      </w:pPr>
    </w:p>
    <w:p>
      <w:pPr>
        <w:snapToGrid w:val="0"/>
        <w:spacing w:beforeLines="50" w:after="50" w:line="360" w:lineRule="auto"/>
        <w:jc w:val="center"/>
        <w:rPr>
          <w:rFonts w:ascii="宋体" w:cs="宋体"/>
          <w:b/>
          <w:color w:val="auto"/>
          <w:sz w:val="28"/>
          <w:szCs w:val="28"/>
        </w:rPr>
      </w:pPr>
      <w:r>
        <w:rPr>
          <w:rFonts w:hint="eastAsia" w:ascii="宋体" w:hAnsi="宋体" w:cs="宋体"/>
          <w:b/>
          <w:color w:val="auto"/>
          <w:sz w:val="28"/>
          <w:szCs w:val="28"/>
        </w:rPr>
        <w:t>投</w:t>
      </w:r>
      <w:r>
        <w:rPr>
          <w:rFonts w:ascii="宋体" w:hAnsi="宋体" w:cs="宋体"/>
          <w:b/>
          <w:color w:val="auto"/>
          <w:sz w:val="28"/>
          <w:szCs w:val="28"/>
        </w:rPr>
        <w:t xml:space="preserve"> </w:t>
      </w:r>
      <w:r>
        <w:rPr>
          <w:rFonts w:hint="eastAsia" w:ascii="宋体" w:hAnsi="宋体" w:cs="宋体"/>
          <w:b/>
          <w:color w:val="auto"/>
          <w:sz w:val="28"/>
          <w:szCs w:val="28"/>
        </w:rPr>
        <w:t>标</w:t>
      </w:r>
      <w:r>
        <w:rPr>
          <w:rFonts w:ascii="宋体" w:hAnsi="宋体" w:cs="宋体"/>
          <w:b/>
          <w:color w:val="auto"/>
          <w:sz w:val="28"/>
          <w:szCs w:val="28"/>
        </w:rPr>
        <w:t xml:space="preserve"> </w:t>
      </w:r>
      <w:r>
        <w:rPr>
          <w:rFonts w:hint="eastAsia" w:ascii="宋体" w:hAnsi="宋体" w:cs="宋体"/>
          <w:b/>
          <w:color w:val="auto"/>
          <w:sz w:val="28"/>
          <w:szCs w:val="28"/>
        </w:rPr>
        <w:t>函</w:t>
      </w:r>
    </w:p>
    <w:p>
      <w:pPr>
        <w:snapToGrid w:val="0"/>
        <w:spacing w:line="370" w:lineRule="exact"/>
        <w:rPr>
          <w:rFonts w:asci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line="370" w:lineRule="exact"/>
        <w:ind w:firstLine="480"/>
        <w:rPr>
          <w:rFonts w:ascii="宋体" w:cs="宋体"/>
          <w:color w:val="auto"/>
          <w:szCs w:val="21"/>
          <w:u w:val="single"/>
        </w:rPr>
      </w:pPr>
      <w:r>
        <w:rPr>
          <w:rFonts w:hint="eastAsia" w:ascii="宋体" w:hAnsi="宋体" w:cs="宋体"/>
          <w:color w:val="auto"/>
          <w:szCs w:val="21"/>
        </w:rPr>
        <w:t>根据贵方为</w:t>
      </w:r>
      <w:r>
        <w:rPr>
          <w:rFonts w:ascii="宋体" w:hAnsi="宋体" w:cs="宋体"/>
          <w:color w:val="auto"/>
          <w:szCs w:val="21"/>
          <w:u w:val="single"/>
        </w:rPr>
        <w:t xml:space="preserve">                         </w:t>
      </w:r>
      <w:r>
        <w:rPr>
          <w:rFonts w:hint="eastAsia" w:ascii="宋体" w:hAnsi="宋体" w:cs="宋体"/>
          <w:color w:val="auto"/>
          <w:szCs w:val="21"/>
        </w:rPr>
        <w:t>项目的招标公告（项目编号：</w:t>
      </w:r>
      <w:r>
        <w:rPr>
          <w:rFonts w:ascii="宋体" w:hAnsi="宋体" w:cs="宋体"/>
          <w:color w:val="auto"/>
          <w:szCs w:val="21"/>
          <w:u w:val="single"/>
        </w:rPr>
        <w:t xml:space="preserve">               </w:t>
      </w:r>
      <w:r>
        <w:rPr>
          <w:rFonts w:hint="eastAsia" w:ascii="宋体" w:hAnsi="宋体" w:cs="宋体"/>
          <w:color w:val="auto"/>
          <w:szCs w:val="21"/>
        </w:rPr>
        <w:t>），签字代表</w:t>
      </w:r>
    </w:p>
    <w:p>
      <w:pPr>
        <w:snapToGrid w:val="0"/>
        <w:spacing w:line="370" w:lineRule="exact"/>
        <w:ind w:right="-19" w:rightChars="-9"/>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u w:val="single"/>
        </w:rPr>
        <w:t>（全名）</w:t>
      </w:r>
      <w:r>
        <w:rPr>
          <w:rFonts w:ascii="宋体" w:hAnsi="宋体" w:cs="宋体"/>
          <w:color w:val="auto"/>
          <w:szCs w:val="21"/>
          <w:u w:val="single"/>
        </w:rPr>
        <w:t xml:space="preserve">     </w:t>
      </w:r>
      <w:r>
        <w:rPr>
          <w:rFonts w:hint="eastAsia" w:ascii="宋体" w:hAnsi="宋体" w:cs="宋体"/>
          <w:color w:val="auto"/>
          <w:szCs w:val="21"/>
        </w:rPr>
        <w:t>经正式授权并代表投标人</w:t>
      </w:r>
      <w:r>
        <w:rPr>
          <w:rFonts w:ascii="宋体" w:hAnsi="宋体" w:cs="宋体"/>
          <w:color w:val="auto"/>
          <w:szCs w:val="21"/>
          <w:u w:val="single"/>
        </w:rPr>
        <w:t xml:space="preserve">                    </w:t>
      </w:r>
      <w:r>
        <w:rPr>
          <w:rFonts w:hint="eastAsia" w:ascii="宋体" w:hAnsi="宋体" w:cs="宋体"/>
          <w:color w:val="auto"/>
          <w:szCs w:val="21"/>
        </w:rPr>
        <w:t>（投标人名称）提交包含资格部分、商务及技术部分、报价部分的正本一份、副本</w:t>
      </w:r>
      <w:r>
        <w:rPr>
          <w:rFonts w:ascii="宋体" w:hAnsi="宋体" w:cs="宋体"/>
          <w:color w:val="auto"/>
          <w:szCs w:val="21"/>
          <w:u w:val="single"/>
        </w:rPr>
        <w:t xml:space="preserve">      </w:t>
      </w:r>
      <w:r>
        <w:rPr>
          <w:rFonts w:hint="eastAsia" w:ascii="宋体" w:hAnsi="宋体" w:cs="宋体"/>
          <w:color w:val="auto"/>
          <w:szCs w:val="21"/>
        </w:rPr>
        <w:t>份。</w:t>
      </w:r>
    </w:p>
    <w:p>
      <w:pPr>
        <w:snapToGrid w:val="0"/>
        <w:spacing w:line="370" w:lineRule="exact"/>
        <w:ind w:firstLine="420" w:firstLineChars="200"/>
        <w:rPr>
          <w:rFonts w:ascii="宋体" w:cs="宋体"/>
          <w:color w:val="auto"/>
          <w:szCs w:val="21"/>
        </w:rPr>
      </w:pPr>
      <w:r>
        <w:rPr>
          <w:rFonts w:hint="eastAsia" w:ascii="宋体" w:hAnsi="宋体" w:cs="宋体"/>
          <w:color w:val="auto"/>
          <w:szCs w:val="21"/>
        </w:rPr>
        <w:t>据此函，签字代表宣布同意如下：</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投标人在投标之前已经与贵方进行了充分的沟通，完全理解并接受招标文件的各项规定和要求，对招标文件的合理性、合法性不再有异议。</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本投标有效期自开标之日起</w:t>
      </w:r>
      <w:r>
        <w:rPr>
          <w:rFonts w:ascii="宋体" w:hAnsi="宋体" w:cs="宋体"/>
          <w:color w:val="auto"/>
          <w:szCs w:val="21"/>
          <w:u w:val="single"/>
        </w:rPr>
        <w:t xml:space="preserve">           </w:t>
      </w:r>
      <w:r>
        <w:rPr>
          <w:rFonts w:hint="eastAsia" w:ascii="宋体" w:hAnsi="宋体" w:cs="宋体"/>
          <w:color w:val="auto"/>
          <w:szCs w:val="21"/>
        </w:rPr>
        <w:t>日。</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如中标，本投标文件至本项目合同履行完毕止均保持有效，本投标人将按“招标文件”及政府采购法律、法规的规定履行合同责任和义务。</w:t>
      </w:r>
    </w:p>
    <w:p>
      <w:pPr>
        <w:snapToGrid w:val="0"/>
        <w:spacing w:line="370" w:lineRule="exact"/>
        <w:ind w:firstLine="422" w:firstLineChars="200"/>
        <w:rPr>
          <w:rFonts w:ascii="宋体" w:cs="宋体"/>
          <w:b/>
          <w:color w:val="auto"/>
          <w:szCs w:val="21"/>
        </w:rPr>
      </w:pPr>
      <w:r>
        <w:rPr>
          <w:rFonts w:ascii="宋体" w:hAnsi="宋体" w:cs="宋体"/>
          <w:b/>
          <w:color w:val="auto"/>
          <w:szCs w:val="21"/>
        </w:rPr>
        <w:t xml:space="preserve">5. </w:t>
      </w:r>
      <w:r>
        <w:rPr>
          <w:rFonts w:hint="eastAsia" w:ascii="宋体" w:hAnsi="宋体" w:cs="宋体"/>
          <w:b/>
          <w:color w:val="auto"/>
          <w:szCs w:val="21"/>
        </w:rPr>
        <w:t>投标人同意本投标文件中“投标报价明细表”和中标后签订的采购合同可用于公示，其中所有内容不涉及投标人商业秘密，并承诺可向招标采购单位提供相关电子文档。</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投标人同意按照贵方要求提供与投标有关的一切数据或资料。</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7. </w:t>
      </w:r>
      <w:r>
        <w:rPr>
          <w:rFonts w:hint="eastAsia" w:ascii="宋体" w:hAnsi="宋体" w:cs="宋体"/>
          <w:color w:val="auto"/>
          <w:szCs w:val="21"/>
        </w:rPr>
        <w:t>投标函一式二份，一份随报价部分装订，一份随开标一览表装订。</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8. </w:t>
      </w:r>
      <w:r>
        <w:rPr>
          <w:rFonts w:hint="eastAsia" w:ascii="宋体" w:hAnsi="宋体" w:cs="宋体"/>
          <w:color w:val="auto"/>
          <w:szCs w:val="21"/>
        </w:rPr>
        <w:t>与本投标有关的一切正式往来信函请寄：</w:t>
      </w:r>
    </w:p>
    <w:p>
      <w:pPr>
        <w:snapToGrid w:val="0"/>
        <w:spacing w:line="370" w:lineRule="exact"/>
        <w:rPr>
          <w:rFonts w:ascii="宋体" w:cs="宋体"/>
          <w:color w:val="auto"/>
          <w:szCs w:val="21"/>
          <w:u w:val="single"/>
        </w:rPr>
      </w:pPr>
      <w:r>
        <w:rPr>
          <w:rFonts w:hint="eastAsia" w:ascii="宋体" w:hAnsi="宋体" w:cs="宋体"/>
          <w:color w:val="auto"/>
          <w:szCs w:val="21"/>
        </w:rPr>
        <w:t>地址：</w:t>
      </w:r>
      <w:r>
        <w:rPr>
          <w:rFonts w:ascii="宋体" w:hAnsi="宋体" w:cs="宋体"/>
          <w:color w:val="auto"/>
          <w:szCs w:val="21"/>
          <w:u w:val="single"/>
        </w:rPr>
        <w:t xml:space="preserve">                       </w:t>
      </w:r>
      <w:r>
        <w:rPr>
          <w:rFonts w:hint="eastAsia" w:ascii="宋体" w:hAnsi="宋体" w:cs="宋体"/>
          <w:color w:val="auto"/>
          <w:szCs w:val="21"/>
        </w:rPr>
        <w:t>邮编：</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电话：</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传真：</w:t>
      </w:r>
      <w:r>
        <w:rPr>
          <w:rFonts w:ascii="宋体" w:hAnsi="宋体" w:cs="宋体"/>
          <w:color w:val="auto"/>
          <w:szCs w:val="21"/>
          <w:u w:val="single"/>
        </w:rPr>
        <w:t xml:space="preserve">                       </w:t>
      </w:r>
      <w:r>
        <w:rPr>
          <w:rFonts w:hint="eastAsia" w:ascii="宋体" w:hAnsi="宋体" w:cs="宋体"/>
          <w:color w:val="auto"/>
          <w:szCs w:val="21"/>
        </w:rPr>
        <w:t>投标人代表姓名：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职务：</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投标人名称（公章）：</w:t>
      </w:r>
      <w:r>
        <w:rPr>
          <w:rFonts w:ascii="宋体" w:hAnsi="宋体" w:cs="宋体"/>
          <w:color w:val="auto"/>
          <w:szCs w:val="21"/>
          <w:u w:val="single"/>
        </w:rPr>
        <w:t xml:space="preserve">                                          </w:t>
      </w:r>
    </w:p>
    <w:p>
      <w:pPr>
        <w:snapToGrid w:val="0"/>
        <w:spacing w:line="370" w:lineRule="exact"/>
        <w:rPr>
          <w:rFonts w:ascii="宋体" w:cs="宋体"/>
          <w:color w:val="auto"/>
          <w:szCs w:val="21"/>
        </w:rPr>
      </w:pPr>
      <w:r>
        <w:rPr>
          <w:rFonts w:hint="eastAsia" w:ascii="宋体" w:hAnsi="宋体" w:cs="宋体"/>
          <w:color w:val="auto"/>
          <w:szCs w:val="21"/>
        </w:rPr>
        <w:t>投标人企业工商营业执照号码：</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法定代表人姓名：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法定代表人身份证号码：</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授权委托代理人姓名：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授权委托代理人身份证号码：</w:t>
      </w:r>
      <w:r>
        <w:rPr>
          <w:rFonts w:ascii="宋体" w:hAnsi="宋体" w:cs="宋体"/>
          <w:color w:val="auto"/>
          <w:szCs w:val="21"/>
          <w:u w:val="single"/>
        </w:rPr>
        <w:t xml:space="preserve">                      </w:t>
      </w:r>
    </w:p>
    <w:p>
      <w:pPr>
        <w:snapToGrid w:val="0"/>
        <w:spacing w:line="370" w:lineRule="exact"/>
        <w:rPr>
          <w:rFonts w:ascii="宋体" w:cs="宋体"/>
          <w:color w:val="auto"/>
          <w:szCs w:val="21"/>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银行帐号：</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line="370" w:lineRule="exact"/>
        <w:rPr>
          <w:rFonts w:ascii="宋体" w:cs="宋体"/>
          <w:color w:val="auto"/>
          <w:szCs w:val="21"/>
        </w:rPr>
      </w:pPr>
      <w:r>
        <w:rPr>
          <w:rFonts w:hint="eastAsia" w:ascii="宋体" w:hAnsi="宋体" w:cs="宋体"/>
          <w:color w:val="auto"/>
          <w:szCs w:val="21"/>
        </w:rPr>
        <w:t>授权代表签字：</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（公章）</w:t>
      </w:r>
    </w:p>
    <w:p>
      <w:pPr>
        <w:snapToGrid w:val="0"/>
        <w:spacing w:line="370" w:lineRule="exact"/>
        <w:rPr>
          <w:rFonts w:ascii="宋体" w:cs="宋体"/>
          <w:b/>
          <w:color w:val="auto"/>
          <w:szCs w:val="21"/>
        </w:rPr>
      </w:pP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napToGrid w:val="0"/>
        <w:spacing w:beforeLines="50" w:after="50"/>
        <w:rPr>
          <w:rFonts w:ascii="宋体" w:cs="宋体"/>
          <w:b/>
          <w:color w:val="auto"/>
          <w:szCs w:val="21"/>
        </w:rPr>
      </w:pPr>
    </w:p>
    <w:p>
      <w:pPr>
        <w:snapToGrid w:val="0"/>
        <w:spacing w:beforeLines="50" w:after="50"/>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pStyle w:val="55"/>
        <w:rPr>
          <w:rFonts w:ascii="宋体" w:cs="宋体"/>
          <w:b/>
          <w:color w:val="auto"/>
          <w:szCs w:val="21"/>
        </w:rPr>
      </w:pPr>
    </w:p>
    <w:p>
      <w:pPr>
        <w:snapToGrid w:val="0"/>
        <w:spacing w:beforeLines="50" w:after="50"/>
        <w:rPr>
          <w:rFonts w:ascii="宋体" w:cs="宋体"/>
          <w:b/>
          <w:color w:val="auto"/>
          <w:szCs w:val="21"/>
        </w:rPr>
      </w:pPr>
      <w:r>
        <w:rPr>
          <w:rFonts w:ascii="宋体" w:hAnsi="宋体" w:cs="宋体"/>
          <w:b/>
          <w:color w:val="auto"/>
          <w:szCs w:val="21"/>
        </w:rPr>
        <w:t xml:space="preserve">4.2.2 </w:t>
      </w:r>
      <w:r>
        <w:rPr>
          <w:rFonts w:hint="eastAsia" w:ascii="宋体" w:hAnsi="宋体" w:cs="宋体"/>
          <w:b/>
          <w:color w:val="auto"/>
          <w:szCs w:val="21"/>
        </w:rPr>
        <w:t>投标报价明细表格式：</w:t>
      </w:r>
    </w:p>
    <w:p>
      <w:pPr>
        <w:pStyle w:val="55"/>
        <w:rPr>
          <w:rFonts w:ascii="宋体" w:cs="宋体"/>
          <w:b/>
          <w:color w:val="auto"/>
          <w:szCs w:val="21"/>
        </w:rPr>
      </w:pPr>
    </w:p>
    <w:p>
      <w:pPr>
        <w:pStyle w:val="23"/>
        <w:snapToGrid w:val="0"/>
        <w:spacing w:before="295" w:after="295"/>
        <w:ind w:firstLine="525" w:firstLineChars="250"/>
        <w:rPr>
          <w:rFonts w:hAnsi="宋体" w:cs="宋体"/>
          <w:color w:val="auto"/>
          <w:sz w:val="21"/>
        </w:rPr>
      </w:pPr>
      <w:r>
        <w:rPr>
          <w:rFonts w:hint="eastAsia" w:hAnsi="宋体" w:cs="宋体"/>
          <w:color w:val="auto"/>
          <w:sz w:val="21"/>
        </w:rPr>
        <w:t>项目名称：</w:t>
      </w:r>
    </w:p>
    <w:p>
      <w:pPr>
        <w:pStyle w:val="23"/>
        <w:snapToGrid w:val="0"/>
        <w:spacing w:before="295" w:after="295"/>
        <w:ind w:firstLine="525" w:firstLineChars="250"/>
        <w:rPr>
          <w:rFonts w:hAnsi="宋体" w:cs="宋体"/>
          <w:color w:val="auto"/>
          <w:sz w:val="21"/>
        </w:rPr>
      </w:pPr>
      <w:r>
        <w:rPr>
          <w:rFonts w:hint="eastAsia" w:hAnsi="宋体" w:cs="宋体"/>
          <w:color w:val="auto"/>
          <w:sz w:val="21"/>
        </w:rPr>
        <w:t>项目编号</w:t>
      </w:r>
      <w:r>
        <w:rPr>
          <w:rFonts w:hAnsi="宋体" w:cs="宋体"/>
          <w:color w:val="auto"/>
          <w:sz w:val="21"/>
        </w:rPr>
        <w:t xml:space="preserve">:                                            </w:t>
      </w:r>
      <w:r>
        <w:rPr>
          <w:rFonts w:hint="eastAsia" w:hAnsi="宋体" w:cs="宋体"/>
          <w:color w:val="auto"/>
          <w:sz w:val="21"/>
        </w:rPr>
        <w:t>金额单位：人民币（元）</w:t>
      </w:r>
    </w:p>
    <w:tbl>
      <w:tblPr>
        <w:tblStyle w:val="40"/>
        <w:tblW w:w="99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1520"/>
        <w:gridCol w:w="1652"/>
        <w:gridCol w:w="1883"/>
        <w:gridCol w:w="1413"/>
        <w:gridCol w:w="1034"/>
        <w:gridCol w:w="1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采购内容</w:t>
            </w: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产地、厂家</w:t>
            </w: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详细项目内容</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单位及数量</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单价</w:t>
            </w:r>
          </w:p>
        </w:tc>
        <w:tc>
          <w:tcPr>
            <w:tcW w:w="1592" w:type="dxa"/>
            <w:tcBorders>
              <w:top w:val="single" w:color="auto" w:sz="4" w:space="0"/>
              <w:left w:val="single" w:color="auto" w:sz="4" w:space="0"/>
              <w:bottom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70" w:type="dxa"/>
            <w:gridSpan w:val="6"/>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投</w:t>
            </w:r>
            <w:r>
              <w:rPr>
                <w:rFonts w:ascii="宋体" w:hAnsi="宋体" w:cs="宋体"/>
                <w:color w:val="auto"/>
                <w:szCs w:val="21"/>
              </w:rPr>
              <w:t xml:space="preserve"> </w:t>
            </w:r>
            <w:r>
              <w:rPr>
                <w:rFonts w:hint="eastAsia" w:ascii="宋体" w:hAnsi="宋体" w:cs="宋体"/>
                <w:color w:val="auto"/>
                <w:szCs w:val="21"/>
              </w:rPr>
              <w:t>标</w:t>
            </w:r>
            <w:r>
              <w:rPr>
                <w:rFonts w:ascii="宋体" w:hAnsi="宋体" w:cs="宋体"/>
                <w:color w:val="auto"/>
                <w:szCs w:val="21"/>
              </w:rPr>
              <w:t xml:space="preserve"> </w:t>
            </w:r>
            <w:r>
              <w:rPr>
                <w:rFonts w:hint="eastAsia" w:ascii="宋体" w:hAnsi="宋体" w:cs="宋体"/>
                <w:color w:val="auto"/>
                <w:szCs w:val="21"/>
              </w:rPr>
              <w:t>总</w:t>
            </w:r>
            <w:r>
              <w:rPr>
                <w:rFonts w:ascii="宋体" w:hAnsi="宋体" w:cs="宋体"/>
                <w:color w:val="auto"/>
                <w:szCs w:val="21"/>
              </w:rPr>
              <w:t xml:space="preserve"> </w:t>
            </w:r>
            <w:r>
              <w:rPr>
                <w:rFonts w:hint="eastAsia" w:ascii="宋体" w:hAnsi="宋体" w:cs="宋体"/>
                <w:color w:val="auto"/>
                <w:szCs w:val="21"/>
              </w:rPr>
              <w:t>价：大写：</w:t>
            </w:r>
            <w:r>
              <w:rPr>
                <w:rFonts w:ascii="宋体" w:hAnsi="宋体" w:cs="宋体"/>
                <w:color w:val="auto"/>
                <w:szCs w:val="21"/>
              </w:rPr>
              <w:t xml:space="preserve"> </w:t>
            </w:r>
            <w:r>
              <w:rPr>
                <w:rFonts w:hint="eastAsia" w:ascii="宋体" w:hAnsi="宋体" w:cs="宋体"/>
                <w:color w:val="auto"/>
                <w:szCs w:val="21"/>
              </w:rPr>
              <w:t>人民币</w:t>
            </w:r>
            <w:r>
              <w:rPr>
                <w:rFonts w:ascii="宋体" w:hAnsi="宋体" w:cs="宋体"/>
                <w:color w:val="auto"/>
                <w:szCs w:val="21"/>
              </w:rPr>
              <w:t xml:space="preserve">                              </w:t>
            </w: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962" w:type="dxa"/>
            <w:gridSpan w:val="7"/>
            <w:tcBorders>
              <w:top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交付使用期：</w:t>
            </w:r>
          </w:p>
        </w:tc>
      </w:tr>
    </w:tbl>
    <w:p>
      <w:pPr>
        <w:snapToGrid w:val="0"/>
        <w:spacing w:before="50" w:after="50" w:line="300" w:lineRule="exact"/>
        <w:jc w:val="left"/>
        <w:rPr>
          <w:rFonts w:ascii="宋体" w:cs="宋体"/>
          <w:color w:val="auto"/>
          <w:szCs w:val="21"/>
        </w:rPr>
      </w:pPr>
      <w:r>
        <w:rPr>
          <w:rFonts w:hint="eastAsia" w:ascii="宋体" w:hAnsi="宋体" w:cs="宋体"/>
          <w:color w:val="auto"/>
          <w:szCs w:val="21"/>
        </w:rPr>
        <w:t>注</w:t>
      </w:r>
      <w:r>
        <w:rPr>
          <w:rFonts w:ascii="宋体" w:hAnsi="宋体" w:cs="宋体"/>
          <w:color w:val="auto"/>
          <w:szCs w:val="21"/>
        </w:rPr>
        <w:t xml:space="preserve">: </w:t>
      </w:r>
      <w:r>
        <w:rPr>
          <w:rFonts w:hint="eastAsia" w:ascii="宋体" w:hAnsi="宋体" w:cs="宋体"/>
          <w:color w:val="auto"/>
          <w:szCs w:val="21"/>
        </w:rPr>
        <w:t>以上报价包含所有报价在内，</w:t>
      </w:r>
      <w:r>
        <w:rPr>
          <w:rFonts w:hint="eastAsia" w:ascii="宋体" w:hAnsi="宋体" w:cs="宋体"/>
          <w:color w:val="auto"/>
          <w:spacing w:val="20"/>
          <w:szCs w:val="21"/>
        </w:rPr>
        <w:t>投标费用及利润等项目内容可自拟</w:t>
      </w:r>
      <w:r>
        <w:rPr>
          <w:rFonts w:hint="eastAsia" w:ascii="宋体" w:hAnsi="宋体" w:cs="宋体"/>
          <w:color w:val="auto"/>
          <w:szCs w:val="21"/>
        </w:rPr>
        <w:t>。</w:t>
      </w:r>
    </w:p>
    <w:p>
      <w:pPr>
        <w:tabs>
          <w:tab w:val="left" w:pos="1418"/>
        </w:tabs>
        <w:snapToGrid w:val="0"/>
        <w:spacing w:before="50" w:after="50"/>
        <w:ind w:left="1418" w:hanging="567"/>
        <w:jc w:val="center"/>
        <w:rPr>
          <w:rFonts w:ascii="宋体" w:cs="宋体"/>
          <w:color w:val="auto"/>
          <w:spacing w:val="20"/>
          <w:szCs w:val="21"/>
          <w:u w:val="single"/>
        </w:rPr>
      </w:pPr>
    </w:p>
    <w:p>
      <w:pPr>
        <w:snapToGrid w:val="0"/>
        <w:spacing w:before="50" w:after="50" w:line="300" w:lineRule="exact"/>
        <w:rPr>
          <w:rFonts w:ascii="宋体" w:cs="宋体"/>
          <w:color w:val="auto"/>
          <w:spacing w:val="20"/>
          <w:szCs w:val="21"/>
        </w:rPr>
      </w:pPr>
    </w:p>
    <w:p>
      <w:pPr>
        <w:snapToGrid w:val="0"/>
        <w:spacing w:before="50" w:after="50" w:line="300" w:lineRule="exact"/>
        <w:ind w:firstLine="1000" w:firstLineChars="40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line="300" w:lineRule="exact"/>
        <w:rPr>
          <w:rFonts w:ascii="宋体" w:cs="宋体"/>
          <w:color w:val="auto"/>
          <w:szCs w:val="21"/>
        </w:rPr>
      </w:pPr>
    </w:p>
    <w:p>
      <w:pPr>
        <w:snapToGrid w:val="0"/>
        <w:spacing w:before="50" w:after="50" w:line="300" w:lineRule="exact"/>
        <w:ind w:firstLine="1050" w:firstLineChars="500"/>
        <w:rPr>
          <w:rFonts w:ascii="宋体" w:cs="宋体"/>
          <w:color w:val="auto"/>
          <w:szCs w:val="21"/>
        </w:rPr>
      </w:pPr>
      <w:r>
        <w:rPr>
          <w:rFonts w:hint="eastAsia" w:ascii="宋体" w:hAnsi="宋体" w:cs="宋体"/>
          <w:color w:val="auto"/>
          <w:szCs w:val="21"/>
        </w:rPr>
        <w:t>投标人盖章：</w:t>
      </w:r>
      <w:r>
        <w:rPr>
          <w:rFonts w:ascii="宋体" w:hAnsi="宋体" w:cs="宋体"/>
          <w:color w:val="auto"/>
          <w:szCs w:val="21"/>
        </w:rPr>
        <w:t xml:space="preserve">                          </w:t>
      </w:r>
    </w:p>
    <w:p>
      <w:pPr>
        <w:snapToGrid w:val="0"/>
        <w:spacing w:before="50" w:after="50" w:line="300" w:lineRule="exact"/>
        <w:rPr>
          <w:rFonts w:ascii="宋体" w:cs="宋体"/>
          <w:color w:val="auto"/>
          <w:szCs w:val="21"/>
        </w:rPr>
      </w:pPr>
    </w:p>
    <w:p>
      <w:pPr>
        <w:snapToGrid w:val="0"/>
        <w:spacing w:beforeLines="50" w:after="50"/>
        <w:ind w:firstLine="1260" w:firstLineChars="600"/>
        <w:rPr>
          <w:rFonts w:ascii="宋体" w:cs="宋体"/>
          <w:color w:val="auto"/>
          <w:szCs w:val="21"/>
        </w:rPr>
      </w:pP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p>
    <w:p>
      <w:pPr>
        <w:snapToGrid w:val="0"/>
        <w:spacing w:beforeLines="50" w:after="50"/>
        <w:rPr>
          <w:rFonts w:ascii="宋体" w:cs="宋体"/>
          <w:color w:val="auto"/>
          <w:szCs w:val="21"/>
        </w:rPr>
      </w:pPr>
    </w:p>
    <w:p>
      <w:pPr>
        <w:snapToGrid w:val="0"/>
        <w:spacing w:beforeLines="50" w:after="50"/>
        <w:rPr>
          <w:rFonts w:ascii="宋体" w:cs="宋体"/>
          <w:color w:val="auto"/>
          <w:szCs w:val="21"/>
        </w:rPr>
      </w:pPr>
    </w:p>
    <w:p>
      <w:pPr>
        <w:pStyle w:val="55"/>
        <w:rPr>
          <w:color w:val="auto"/>
        </w:rPr>
      </w:pPr>
    </w:p>
    <w:p>
      <w:pPr>
        <w:pStyle w:val="55"/>
        <w:rPr>
          <w:color w:val="auto"/>
        </w:rPr>
      </w:pPr>
    </w:p>
    <w:p>
      <w:pPr>
        <w:snapToGrid w:val="0"/>
        <w:spacing w:beforeLines="50" w:after="50"/>
        <w:rPr>
          <w:rFonts w:ascii="宋体" w:cs="宋体"/>
          <w:b/>
          <w:color w:val="auto"/>
          <w:szCs w:val="21"/>
        </w:rPr>
      </w:pPr>
      <w:r>
        <w:rPr>
          <w:rFonts w:ascii="宋体" w:hAnsi="宋体" w:cs="宋体"/>
          <w:b/>
          <w:color w:val="auto"/>
          <w:szCs w:val="21"/>
        </w:rPr>
        <w:t xml:space="preserve">4.2.3 </w:t>
      </w:r>
      <w:r>
        <w:rPr>
          <w:rFonts w:hint="eastAsia" w:ascii="宋体" w:hAnsi="宋体" w:cs="宋体"/>
          <w:b/>
          <w:color w:val="auto"/>
          <w:szCs w:val="21"/>
        </w:rPr>
        <w:t>投标人针对报价需要说明的其他文件和说明（格式自拟）</w:t>
      </w:r>
    </w:p>
    <w:p>
      <w:pPr>
        <w:snapToGrid w:val="0"/>
        <w:spacing w:beforeLines="50" w:after="50"/>
        <w:rPr>
          <w:rFonts w:ascii="宋体" w:cs="宋体"/>
          <w:b/>
          <w:color w:val="auto"/>
          <w:szCs w:val="21"/>
        </w:rPr>
      </w:pPr>
    </w:p>
    <w:p>
      <w:pPr>
        <w:pStyle w:val="55"/>
        <w:rPr>
          <w:color w:val="auto"/>
        </w:rPr>
      </w:pPr>
    </w:p>
    <w:p>
      <w:pPr>
        <w:snapToGrid w:val="0"/>
        <w:spacing w:beforeLines="50" w:after="50"/>
        <w:rPr>
          <w:color w:val="auto"/>
        </w:rPr>
      </w:pPr>
      <w:r>
        <w:rPr>
          <w:rFonts w:ascii="宋体" w:hAnsi="宋体" w:cs="宋体"/>
          <w:b/>
          <w:color w:val="auto"/>
          <w:szCs w:val="21"/>
        </w:rPr>
        <w:t xml:space="preserve">4.2.4 </w:t>
      </w:r>
      <w:r>
        <w:rPr>
          <w:rFonts w:hint="eastAsia" w:ascii="宋体" w:hAnsi="宋体" w:cs="宋体"/>
          <w:b/>
          <w:color w:val="auto"/>
          <w:szCs w:val="21"/>
        </w:rPr>
        <w:t>小信封</w:t>
      </w:r>
      <w:r>
        <w:rPr>
          <w:rFonts w:hint="eastAsia" w:ascii="宋体" w:hAnsi="宋体" w:cs="宋体"/>
          <w:bCs/>
          <w:color w:val="auto"/>
          <w:szCs w:val="21"/>
        </w:rPr>
        <w:t>（内装开标一览表、投标函）</w:t>
      </w:r>
      <w:r>
        <w:rPr>
          <w:rFonts w:hint="eastAsia" w:ascii="宋体" w:hAnsi="宋体" w:cs="宋体"/>
          <w:b/>
          <w:color w:val="auto"/>
          <w:szCs w:val="21"/>
        </w:rPr>
        <w:t>封面格式（可以手写，密封）：</w:t>
      </w:r>
    </w:p>
    <w:p>
      <w:pPr>
        <w:pStyle w:val="23"/>
        <w:snapToGrid w:val="0"/>
        <w:spacing w:before="295" w:after="295"/>
        <w:rPr>
          <w:rFonts w:hAnsi="宋体" w:cs="宋体"/>
          <w:b/>
          <w:color w:val="auto"/>
          <w:sz w:val="28"/>
          <w:szCs w:val="28"/>
        </w:rPr>
      </w:pPr>
      <w:r>
        <w:rPr>
          <w:rFonts w:hint="eastAsia" w:hAnsi="宋体" w:cs="宋体"/>
          <w:b/>
          <w:bCs/>
          <w:color w:val="auto"/>
        </w:rPr>
        <w:t>注明投标人名称、投标人地址、投标项目名称、项目编号及“开标时启封”字样，并加盖投标人公章。</w:t>
      </w:r>
    </w:p>
    <w:p>
      <w:pPr>
        <w:rPr>
          <w:rFonts w:ascii="宋体" w:cs="宋体"/>
          <w:color w:val="auto"/>
          <w:szCs w:val="21"/>
        </w:rPr>
      </w:pPr>
    </w:p>
    <w:p>
      <w:pPr>
        <w:pStyle w:val="2"/>
        <w:rPr>
          <w:color w:val="auto"/>
        </w:rPr>
      </w:pPr>
    </w:p>
    <w:p>
      <w:pPr>
        <w:rPr>
          <w:color w:val="auto"/>
        </w:rPr>
      </w:pPr>
    </w:p>
    <w:p>
      <w:pPr>
        <w:snapToGrid w:val="0"/>
        <w:spacing w:before="50" w:after="50"/>
        <w:rPr>
          <w:rFonts w:ascii="宋体" w:cs="宋体"/>
          <w:b/>
          <w:color w:val="auto"/>
          <w:szCs w:val="21"/>
        </w:rPr>
      </w:pPr>
      <w:r>
        <w:rPr>
          <w:rFonts w:ascii="宋体" w:hAnsi="宋体" w:cs="宋体"/>
          <w:b/>
          <w:color w:val="auto"/>
          <w:szCs w:val="21"/>
        </w:rPr>
        <w:t xml:space="preserve">4.2.4 </w:t>
      </w:r>
      <w:r>
        <w:rPr>
          <w:rFonts w:hint="eastAsia" w:ascii="宋体" w:hAnsi="宋体" w:cs="宋体"/>
          <w:b/>
          <w:color w:val="auto"/>
          <w:szCs w:val="21"/>
        </w:rPr>
        <w:t>开标一览表、投标函</w:t>
      </w:r>
    </w:p>
    <w:p>
      <w:pPr>
        <w:pStyle w:val="55"/>
        <w:rPr>
          <w:rFonts w:ascii="宋体" w:cs="宋体"/>
          <w:b/>
          <w:color w:val="auto"/>
          <w:szCs w:val="21"/>
        </w:rPr>
      </w:pPr>
    </w:p>
    <w:p>
      <w:pPr>
        <w:pStyle w:val="55"/>
        <w:rPr>
          <w:rFonts w:ascii="宋体" w:cs="宋体"/>
          <w:b/>
          <w:color w:val="auto"/>
          <w:szCs w:val="21"/>
        </w:rPr>
      </w:pPr>
    </w:p>
    <w:p>
      <w:pPr>
        <w:snapToGrid w:val="0"/>
        <w:spacing w:before="50" w:after="50"/>
        <w:rPr>
          <w:rFonts w:ascii="宋体" w:cs="宋体"/>
          <w:b/>
          <w:color w:val="auto"/>
          <w:szCs w:val="21"/>
        </w:rPr>
      </w:pPr>
      <w:r>
        <w:rPr>
          <w:rFonts w:ascii="宋体" w:hAnsi="宋体" w:cs="宋体"/>
          <w:b/>
          <w:color w:val="auto"/>
          <w:szCs w:val="21"/>
        </w:rPr>
        <w:t>4.2.4-1</w:t>
      </w:r>
      <w:r>
        <w:rPr>
          <w:rFonts w:hint="eastAsia" w:ascii="宋体" w:hAnsi="宋体" w:cs="宋体"/>
          <w:b/>
          <w:color w:val="auto"/>
          <w:szCs w:val="21"/>
        </w:rPr>
        <w:t>开标一览表格式</w:t>
      </w:r>
    </w:p>
    <w:p>
      <w:pPr>
        <w:snapToGrid w:val="0"/>
        <w:spacing w:before="50" w:after="50"/>
        <w:jc w:val="center"/>
        <w:rPr>
          <w:rFonts w:ascii="宋体" w:cs="宋体"/>
          <w:b/>
          <w:color w:val="auto"/>
          <w:sz w:val="28"/>
          <w:szCs w:val="28"/>
        </w:rPr>
      </w:pPr>
    </w:p>
    <w:p>
      <w:pPr>
        <w:snapToGrid w:val="0"/>
        <w:spacing w:before="50" w:after="50"/>
        <w:jc w:val="center"/>
        <w:rPr>
          <w:rFonts w:ascii="宋体" w:cs="宋体"/>
          <w:b/>
          <w:color w:val="auto"/>
          <w:sz w:val="28"/>
          <w:szCs w:val="28"/>
        </w:rPr>
      </w:pPr>
      <w:r>
        <w:rPr>
          <w:rFonts w:hint="eastAsia" w:ascii="宋体" w:hAnsi="宋体" w:cs="宋体"/>
          <w:b/>
          <w:color w:val="auto"/>
          <w:sz w:val="28"/>
          <w:szCs w:val="28"/>
        </w:rPr>
        <w:t>开标一览表</w:t>
      </w:r>
    </w:p>
    <w:p>
      <w:pPr>
        <w:snapToGrid w:val="0"/>
        <w:spacing w:before="50" w:after="50"/>
        <w:jc w:val="center"/>
        <w:rPr>
          <w:rFonts w:ascii="宋体" w:cs="宋体"/>
          <w:b/>
          <w:color w:val="auto"/>
          <w:sz w:val="28"/>
          <w:szCs w:val="28"/>
        </w:rPr>
      </w:pPr>
    </w:p>
    <w:p>
      <w:pPr>
        <w:snapToGrid w:val="0"/>
        <w:spacing w:before="50" w:after="50" w:line="300" w:lineRule="exact"/>
        <w:rPr>
          <w:rFonts w:ascii="宋体" w:cs="宋体"/>
          <w:color w:val="auto"/>
          <w:szCs w:val="21"/>
          <w:u w:val="single"/>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项目编号：</w:t>
      </w:r>
    </w:p>
    <w:p>
      <w:pPr>
        <w:snapToGrid w:val="0"/>
        <w:spacing w:before="50" w:after="50" w:line="300" w:lineRule="exact"/>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p>
    <w:p>
      <w:pPr>
        <w:snapToGrid w:val="0"/>
        <w:spacing w:before="50" w:after="50"/>
        <w:rPr>
          <w:rFonts w:ascii="宋体" w:cs="宋体"/>
          <w:color w:val="auto"/>
          <w:szCs w:val="21"/>
        </w:rPr>
      </w:pPr>
    </w:p>
    <w:tbl>
      <w:tblPr>
        <w:tblStyle w:val="40"/>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790" w:type="dxa"/>
            <w:tcBorders>
              <w:top w:val="single" w:color="auto" w:sz="4" w:space="0"/>
              <w:bottom w:val="single" w:color="auto" w:sz="4" w:space="0"/>
            </w:tcBorders>
            <w:vAlign w:val="center"/>
          </w:tcPr>
          <w:p>
            <w:pPr>
              <w:snapToGrid w:val="0"/>
              <w:spacing w:before="50" w:after="50"/>
              <w:jc w:val="center"/>
              <w:rPr>
                <w:rFonts w:ascii="宋体" w:cs="宋体"/>
                <w:b/>
                <w:color w:val="auto"/>
                <w:szCs w:val="21"/>
              </w:rPr>
            </w:pPr>
            <w:r>
              <w:rPr>
                <w:rFonts w:hint="eastAsia" w:ascii="宋体" w:hAnsi="宋体" w:cs="宋体"/>
                <w:b/>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8790" w:type="dxa"/>
            <w:tcBorders>
              <w:top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大写：人民币</w:t>
            </w:r>
            <w:r>
              <w:rPr>
                <w:rFonts w:ascii="宋体" w:hAnsi="宋体" w:cs="宋体"/>
                <w:color w:val="auto"/>
                <w:szCs w:val="21"/>
              </w:rPr>
              <w:t xml:space="preserve">                                </w:t>
            </w:r>
            <w:r>
              <w:rPr>
                <w:rFonts w:hint="eastAsia" w:ascii="宋体" w:hAnsi="宋体" w:cs="宋体"/>
                <w:color w:val="auto"/>
                <w:szCs w:val="21"/>
              </w:rPr>
              <w:t>小写：</w:t>
            </w:r>
            <w:r>
              <w:rPr>
                <w:rFonts w:ascii="宋体" w:hAnsi="宋体" w:cs="宋体"/>
                <w:color w:val="auto"/>
                <w:szCs w:val="21"/>
              </w:rPr>
              <w:t xml:space="preserve"> </w:t>
            </w:r>
            <w:r>
              <w:rPr>
                <w:rFonts w:hint="eastAsia" w:ascii="宋体" w:hAnsi="宋体" w:cs="宋体"/>
                <w:color w:val="auto"/>
                <w:szCs w:val="21"/>
              </w:rPr>
              <w:t>￥</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8790" w:type="dxa"/>
            <w:tcBorders>
              <w:top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交付使用期：</w:t>
            </w:r>
          </w:p>
        </w:tc>
      </w:tr>
    </w:tbl>
    <w:p>
      <w:pPr>
        <w:snapToGrid w:val="0"/>
        <w:spacing w:before="50" w:after="50" w:line="300" w:lineRule="exact"/>
        <w:jc w:val="left"/>
        <w:rPr>
          <w:rFonts w:ascii="宋体" w:cs="宋体"/>
          <w:color w:val="auto"/>
          <w:szCs w:val="21"/>
        </w:rPr>
      </w:pPr>
      <w:r>
        <w:rPr>
          <w:rFonts w:hint="eastAsia" w:ascii="宋体" w:hAnsi="宋体" w:cs="宋体"/>
          <w:color w:val="auto"/>
          <w:szCs w:val="21"/>
        </w:rPr>
        <w:t>注</w:t>
      </w:r>
      <w:r>
        <w:rPr>
          <w:rFonts w:ascii="宋体" w:hAnsi="宋体" w:cs="宋体"/>
          <w:color w:val="auto"/>
          <w:szCs w:val="21"/>
        </w:rPr>
        <w:t>: 1</w:t>
      </w:r>
      <w:r>
        <w:rPr>
          <w:rFonts w:hint="eastAsia" w:ascii="宋体" w:hAnsi="宋体" w:cs="宋体"/>
          <w:color w:val="auto"/>
          <w:szCs w:val="21"/>
        </w:rPr>
        <w:t>、报价一经涂改，应在涂改处加盖单位公章或者由法定代表人或授权委托人签字或盖章，否则其投标作无效标处理。</w:t>
      </w:r>
    </w:p>
    <w:p>
      <w:pPr>
        <w:snapToGrid w:val="0"/>
        <w:spacing w:before="50" w:after="50" w:line="300" w:lineRule="exact"/>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、投标费用包括项目实施所需的人工费、服务费、验收调试费、购买及制作标书费、税费及其他一切费用。</w:t>
      </w:r>
    </w:p>
    <w:p>
      <w:pPr>
        <w:snapToGrid w:val="0"/>
        <w:spacing w:before="50" w:after="50" w:line="300" w:lineRule="exact"/>
        <w:ind w:firstLine="420" w:firstLineChars="20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、以上报价应与“投标报价明细表”中的“投标总价”相一致。</w:t>
      </w:r>
    </w:p>
    <w:p>
      <w:pPr>
        <w:snapToGrid w:val="0"/>
        <w:spacing w:before="50" w:after="50" w:line="300" w:lineRule="exact"/>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、此表必须与“投标函”一起单独用一个小信封密封及单独递交。</w:t>
      </w:r>
    </w:p>
    <w:p>
      <w:pPr>
        <w:snapToGrid w:val="0"/>
        <w:spacing w:before="50" w:after="50" w:line="300" w:lineRule="exact"/>
        <w:ind w:firstLine="422" w:firstLineChars="200"/>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、信封封面请注明项目名称、项目编号、投标人名称及“开标一览表、投标函”字样。</w:t>
      </w:r>
    </w:p>
    <w:p>
      <w:pPr>
        <w:snapToGrid w:val="0"/>
        <w:spacing w:before="50" w:after="50" w:line="300" w:lineRule="exact"/>
        <w:ind w:right="-817" w:rightChars="-389"/>
        <w:rPr>
          <w:rFonts w:ascii="宋体" w:cs="宋体"/>
          <w:color w:val="auto"/>
          <w:szCs w:val="21"/>
        </w:rPr>
      </w:pPr>
    </w:p>
    <w:p>
      <w:pPr>
        <w:snapToGrid w:val="0"/>
        <w:spacing w:before="50" w:after="50" w:line="300" w:lineRule="exact"/>
        <w:ind w:left="-2" w:leftChars="-1" w:right="-817" w:rightChars="-389"/>
        <w:rPr>
          <w:rFonts w:ascii="宋体" w:cs="宋体"/>
          <w:color w:val="auto"/>
          <w:szCs w:val="21"/>
        </w:rPr>
      </w:pPr>
      <w:r>
        <w:rPr>
          <w:rFonts w:hint="eastAsia" w:ascii="宋体" w:hAnsi="宋体" w:cs="宋体"/>
          <w:color w:val="auto"/>
          <w:szCs w:val="21"/>
        </w:rPr>
        <w:t>法定代表人或授权代表（签字）：</w:t>
      </w:r>
    </w:p>
    <w:p>
      <w:pPr>
        <w:snapToGrid w:val="0"/>
        <w:spacing w:before="50" w:after="50" w:line="300" w:lineRule="exact"/>
        <w:ind w:left="-2" w:leftChars="-1" w:right="-817" w:rightChars="-389"/>
        <w:rPr>
          <w:rFonts w:ascii="宋体" w:cs="宋体"/>
          <w:color w:val="auto"/>
          <w:szCs w:val="21"/>
        </w:rPr>
      </w:pPr>
      <w:r>
        <w:rPr>
          <w:rFonts w:ascii="宋体" w:hAnsi="宋体" w:cs="宋体"/>
          <w:color w:val="auto"/>
          <w:szCs w:val="21"/>
        </w:rPr>
        <w:t xml:space="preserve"> </w:t>
      </w:r>
    </w:p>
    <w:p>
      <w:pPr>
        <w:snapToGrid w:val="0"/>
        <w:spacing w:before="50" w:after="50" w:line="300" w:lineRule="exact"/>
        <w:ind w:left="-6" w:leftChars="-15" w:right="-817" w:rightChars="-389" w:hanging="25" w:hangingChars="12"/>
        <w:rPr>
          <w:rFonts w:ascii="宋体" w:cs="宋体"/>
          <w:color w:val="auto"/>
          <w:szCs w:val="21"/>
        </w:rPr>
      </w:pPr>
      <w:r>
        <w:rPr>
          <w:rFonts w:hint="eastAsia" w:ascii="宋体" w:hAnsi="宋体" w:cs="宋体"/>
          <w:color w:val="auto"/>
          <w:szCs w:val="21"/>
        </w:rPr>
        <w:t>投标人名称（盖章）：</w:t>
      </w:r>
      <w:r>
        <w:rPr>
          <w:rFonts w:ascii="宋体" w:hAnsi="宋体" w:cs="宋体"/>
          <w:color w:val="auto"/>
          <w:szCs w:val="21"/>
        </w:rPr>
        <w:t xml:space="preserve">                                </w:t>
      </w:r>
    </w:p>
    <w:p>
      <w:pPr>
        <w:snapToGrid w:val="0"/>
        <w:spacing w:before="50" w:after="50" w:line="300" w:lineRule="exact"/>
        <w:ind w:left="-6" w:leftChars="-15" w:right="-817" w:rightChars="-389" w:hanging="25" w:hangingChars="12"/>
        <w:rPr>
          <w:rFonts w:ascii="宋体" w:cs="宋体"/>
          <w:color w:val="auto"/>
          <w:szCs w:val="21"/>
        </w:rPr>
      </w:pPr>
    </w:p>
    <w:p>
      <w:pPr>
        <w:snapToGrid w:val="0"/>
        <w:spacing w:before="50" w:after="50" w:line="300" w:lineRule="exact"/>
        <w:ind w:right="-817" w:rightChars="-389"/>
        <w:rPr>
          <w:rFonts w:ascii="宋体" w:cs="宋体"/>
          <w:b/>
          <w:color w:val="auto"/>
          <w:sz w:val="28"/>
          <w:szCs w:val="28"/>
        </w:rPr>
      </w:pPr>
      <w:r>
        <w:rPr>
          <w:rFonts w:ascii="宋体" w:hAnsi="宋体" w:cs="宋体"/>
          <w:color w:val="auto"/>
          <w:szCs w:val="21"/>
        </w:rPr>
        <w:t xml:space="preserve"> </w:t>
      </w: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napToGrid w:val="0"/>
        <w:spacing w:before="50" w:after="50"/>
        <w:rPr>
          <w:rFonts w:ascii="宋体" w:cs="宋体"/>
          <w:b/>
          <w:color w:val="auto"/>
          <w:szCs w:val="21"/>
        </w:rPr>
      </w:pPr>
      <w:r>
        <w:rPr>
          <w:rFonts w:ascii="宋体" w:hAnsi="宋体" w:cs="宋体"/>
          <w:b/>
          <w:color w:val="auto"/>
          <w:szCs w:val="21"/>
        </w:rPr>
        <w:t xml:space="preserve">4.2.4-2 </w:t>
      </w:r>
      <w:r>
        <w:rPr>
          <w:rFonts w:hint="eastAsia" w:ascii="宋体" w:hAnsi="宋体" w:cs="宋体"/>
          <w:b/>
          <w:color w:val="auto"/>
          <w:szCs w:val="21"/>
        </w:rPr>
        <w:t>投标函（格式略，格式与第</w:t>
      </w:r>
      <w:r>
        <w:rPr>
          <w:rFonts w:ascii="宋体" w:hAnsi="宋体" w:cs="宋体"/>
          <w:b/>
          <w:color w:val="auto"/>
          <w:szCs w:val="21"/>
        </w:rPr>
        <w:t>4.2</w:t>
      </w:r>
      <w:r>
        <w:rPr>
          <w:rFonts w:hint="eastAsia" w:ascii="宋体" w:hAnsi="宋体" w:cs="宋体"/>
          <w:b/>
          <w:color w:val="auto"/>
          <w:szCs w:val="21"/>
        </w:rPr>
        <w:t>条相同）</w:t>
      </w:r>
    </w:p>
    <w:p>
      <w:pPr>
        <w:snapToGrid w:val="0"/>
        <w:spacing w:before="50"/>
        <w:jc w:val="left"/>
        <w:rPr>
          <w:rFonts w:ascii="宋体" w:cs="宋体"/>
          <w:color w:val="auto"/>
          <w:szCs w:val="21"/>
        </w:rPr>
      </w:pPr>
    </w:p>
    <w:p>
      <w:pPr>
        <w:pStyle w:val="55"/>
        <w:rPr>
          <w:color w:val="auto"/>
        </w:rPr>
      </w:pPr>
    </w:p>
    <w:p>
      <w:pPr>
        <w:pStyle w:val="55"/>
        <w:rPr>
          <w:color w:val="auto"/>
          <w:sz w:val="32"/>
          <w:szCs w:val="32"/>
        </w:rPr>
      </w:pPr>
    </w:p>
    <w:p>
      <w:pPr>
        <w:autoSpaceDE w:val="0"/>
        <w:autoSpaceDN w:val="0"/>
        <w:adjustRightInd w:val="0"/>
        <w:spacing w:line="600" w:lineRule="exact"/>
        <w:rPr>
          <w:rFonts w:hAnsi="宋体"/>
          <w:color w:val="auto"/>
        </w:rPr>
      </w:pPr>
    </w:p>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35FB48-7C63-45F0-93C2-811B0D516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C4F1D83A-E391-4B30-906C-178051D7B3A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_x000B__x000C_">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Microsoft YaHei UI Light">
    <w:panose1 w:val="020B0502040204020203"/>
    <w:charset w:val="86"/>
    <w:family w:val="swiss"/>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D6B520A3-E2E5-4652-BF8A-79606FDB55A8}"/>
  </w:font>
  <w:font w:name="新宋体">
    <w:panose1 w:val="02010609030101010101"/>
    <w:charset w:val="86"/>
    <w:family w:val="modern"/>
    <w:pitch w:val="default"/>
    <w:sig w:usb0="00000283" w:usb1="288F0000" w:usb2="00000006" w:usb3="00000000" w:csb0="00040001" w:csb1="00000000"/>
    <w:embedRegular r:id="rId4" w:fontKey="{C88D1EC9-9306-45EE-BFEB-379CB55F3AD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p>
  <w:p>
    <w:pPr>
      <w:pStyle w:val="27"/>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rPr>
        <w:rStyle w:val="44"/>
      </w:rPr>
      <w:fldChar w:fldCharType="begin"/>
    </w:r>
    <w:r>
      <w:rPr>
        <w:rStyle w:val="44"/>
      </w:rPr>
      <w:instrText xml:space="preserve">PAGE  </w:instrText>
    </w:r>
    <w:r>
      <w:rPr>
        <w:rStyle w:val="44"/>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4"/>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35</w:t>
                </w:r>
                <w:r>
                  <w:fldChar w:fldCharType="end"/>
                </w:r>
              </w:p>
            </w:txbxContent>
          </v:textbox>
        </v:shape>
      </w:pict>
    </w:r>
  </w:p>
  <w:p>
    <w:pPr>
      <w:pStyle w:val="27"/>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pPr>
    <w:r>
      <w:rPr>
        <w:rFonts w:hint="eastAsia"/>
      </w:rPr>
      <w:t>防城港市医疗废物处置中心设备升级改造生产线设备采购（FCZC2020-G1-10007-KLZB）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801D2"/>
    <w:multiLevelType w:val="singleLevel"/>
    <w:tmpl w:val="9F3801D2"/>
    <w:lvl w:ilvl="0" w:tentative="0">
      <w:start w:val="6"/>
      <w:numFmt w:val="decimal"/>
      <w:lvlText w:val="%1."/>
      <w:lvlJc w:val="left"/>
      <w:pPr>
        <w:tabs>
          <w:tab w:val="left" w:pos="312"/>
        </w:tabs>
      </w:pPr>
      <w:rPr>
        <w:rFonts w:cs="Times New Roman"/>
      </w:rPr>
    </w:lvl>
  </w:abstractNum>
  <w:abstractNum w:abstractNumId="1">
    <w:nsid w:val="B0A36B1F"/>
    <w:multiLevelType w:val="singleLevel"/>
    <w:tmpl w:val="B0A36B1F"/>
    <w:lvl w:ilvl="0" w:tentative="0">
      <w:start w:val="1"/>
      <w:numFmt w:val="decimal"/>
      <w:suff w:val="nothing"/>
      <w:lvlText w:val="%1）"/>
      <w:lvlJc w:val="left"/>
      <w:rPr>
        <w:rFonts w:cs="Times New Roman"/>
      </w:rPr>
    </w:lvl>
  </w:abstractNum>
  <w:abstractNum w:abstractNumId="2">
    <w:nsid w:val="BC9B02A2"/>
    <w:multiLevelType w:val="singleLevel"/>
    <w:tmpl w:val="BC9B02A2"/>
    <w:lvl w:ilvl="0" w:tentative="0">
      <w:start w:val="6"/>
      <w:numFmt w:val="chineseCounting"/>
      <w:suff w:val="nothing"/>
      <w:lvlText w:val="（%1）"/>
      <w:lvlJc w:val="left"/>
      <w:rPr>
        <w:rFonts w:hint="eastAsia" w:cs="Times New Roman"/>
      </w:rPr>
    </w:lvl>
  </w:abstractNum>
  <w:abstractNum w:abstractNumId="3">
    <w:nsid w:val="ED3E9F5C"/>
    <w:multiLevelType w:val="singleLevel"/>
    <w:tmpl w:val="ED3E9F5C"/>
    <w:lvl w:ilvl="0" w:tentative="0">
      <w:start w:val="1"/>
      <w:numFmt w:val="decimal"/>
      <w:lvlText w:val="(%1)"/>
      <w:lvlJc w:val="left"/>
      <w:pPr>
        <w:ind w:left="425" w:hanging="425"/>
      </w:pPr>
      <w:rPr>
        <w:rFonts w:hint="default"/>
      </w:rPr>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rPr>
        <w:rFonts w:cs="Times New Roman"/>
      </w:rPr>
    </w:lvl>
  </w:abstractNum>
  <w:abstractNum w:abstractNumId="5">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6"/>
      <w:suff w:val="nothing"/>
      <w:lvlText w:val=""/>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6">
    <w:nsid w:val="3AE5A5B3"/>
    <w:multiLevelType w:val="singleLevel"/>
    <w:tmpl w:val="3AE5A5B3"/>
    <w:lvl w:ilvl="0" w:tentative="0">
      <w:start w:val="1"/>
      <w:numFmt w:val="decimal"/>
      <w:suff w:val="nothing"/>
      <w:lvlText w:val="%1、"/>
      <w:lvlJc w:val="left"/>
    </w:lvl>
  </w:abstractNum>
  <w:abstractNum w:abstractNumId="7">
    <w:nsid w:val="59389451"/>
    <w:multiLevelType w:val="singleLevel"/>
    <w:tmpl w:val="59389451"/>
    <w:lvl w:ilvl="0" w:tentative="0">
      <w:start w:val="1"/>
      <w:numFmt w:val="decimal"/>
      <w:suff w:val="nothing"/>
      <w:lvlText w:val="%1）"/>
      <w:lvlJc w:val="left"/>
    </w:lvl>
  </w:abstractNum>
  <w:abstractNum w:abstractNumId="8">
    <w:nsid w:val="59B9F8AE"/>
    <w:multiLevelType w:val="singleLevel"/>
    <w:tmpl w:val="59B9F8AE"/>
    <w:lvl w:ilvl="0" w:tentative="0">
      <w:start w:val="1"/>
      <w:numFmt w:val="decimal"/>
      <w:suff w:val="space"/>
      <w:lvlText w:val="%1."/>
      <w:lvlJc w:val="left"/>
      <w:rPr>
        <w:rFonts w:cs="Times New Roman"/>
      </w:rPr>
    </w:lvl>
  </w:abstractNum>
  <w:abstractNum w:abstractNumId="9">
    <w:nsid w:val="59EEA420"/>
    <w:multiLevelType w:val="singleLevel"/>
    <w:tmpl w:val="59EEA420"/>
    <w:lvl w:ilvl="0" w:tentative="0">
      <w:start w:val="2"/>
      <w:numFmt w:val="chineseCounting"/>
      <w:suff w:val="space"/>
      <w:lvlText w:val="第%1章"/>
      <w:lvlJc w:val="left"/>
      <w:rPr>
        <w:rFonts w:cs="Times New Roman"/>
      </w:rPr>
    </w:lvl>
  </w:abstractNum>
  <w:abstractNum w:abstractNumId="10">
    <w:nsid w:val="5A437900"/>
    <w:multiLevelType w:val="singleLevel"/>
    <w:tmpl w:val="5A437900"/>
    <w:lvl w:ilvl="0" w:tentative="0">
      <w:start w:val="9"/>
      <w:numFmt w:val="chineseCounting"/>
      <w:suff w:val="nothing"/>
      <w:lvlText w:val="%1、"/>
      <w:lvlJc w:val="left"/>
      <w:rPr>
        <w:rFonts w:cs="Times New Roman"/>
      </w:rPr>
    </w:lvl>
  </w:abstractNum>
  <w:num w:numId="1">
    <w:abstractNumId w:val="5"/>
  </w:num>
  <w:num w:numId="2">
    <w:abstractNumId w:val="4"/>
  </w:num>
  <w:num w:numId="3">
    <w:abstractNumId w:val="9"/>
  </w:num>
  <w:num w:numId="4">
    <w:abstractNumId w:val="6"/>
  </w:num>
  <w:num w:numId="5">
    <w:abstractNumId w:val="3"/>
  </w:num>
  <w:num w:numId="6">
    <w:abstractNumId w:val="7"/>
  </w:num>
  <w:num w:numId="7">
    <w:abstractNumId w:val="1"/>
  </w:num>
  <w:num w:numId="8">
    <w:abstractNumId w:val="2"/>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9008B"/>
    <w:rsid w:val="000012CB"/>
    <w:rsid w:val="000014E3"/>
    <w:rsid w:val="00001690"/>
    <w:rsid w:val="000016BC"/>
    <w:rsid w:val="00001C03"/>
    <w:rsid w:val="00001C5B"/>
    <w:rsid w:val="00001D95"/>
    <w:rsid w:val="00001DBD"/>
    <w:rsid w:val="000032A4"/>
    <w:rsid w:val="00003F1E"/>
    <w:rsid w:val="00004F28"/>
    <w:rsid w:val="00005309"/>
    <w:rsid w:val="00005712"/>
    <w:rsid w:val="00005E3D"/>
    <w:rsid w:val="0000717D"/>
    <w:rsid w:val="000073A9"/>
    <w:rsid w:val="00011853"/>
    <w:rsid w:val="000118A2"/>
    <w:rsid w:val="000118A7"/>
    <w:rsid w:val="00012099"/>
    <w:rsid w:val="000127C6"/>
    <w:rsid w:val="000130ED"/>
    <w:rsid w:val="000136D6"/>
    <w:rsid w:val="0001452D"/>
    <w:rsid w:val="0001713E"/>
    <w:rsid w:val="00020857"/>
    <w:rsid w:val="00020C39"/>
    <w:rsid w:val="00020E8E"/>
    <w:rsid w:val="00021747"/>
    <w:rsid w:val="000219E4"/>
    <w:rsid w:val="00022432"/>
    <w:rsid w:val="00022EA2"/>
    <w:rsid w:val="00023A35"/>
    <w:rsid w:val="00024305"/>
    <w:rsid w:val="00024429"/>
    <w:rsid w:val="000244A9"/>
    <w:rsid w:val="000244CA"/>
    <w:rsid w:val="000258DD"/>
    <w:rsid w:val="00030DF2"/>
    <w:rsid w:val="00030E51"/>
    <w:rsid w:val="00031DDA"/>
    <w:rsid w:val="00032021"/>
    <w:rsid w:val="0003353B"/>
    <w:rsid w:val="000336CE"/>
    <w:rsid w:val="00034680"/>
    <w:rsid w:val="00034FC6"/>
    <w:rsid w:val="00036C29"/>
    <w:rsid w:val="00036D92"/>
    <w:rsid w:val="000379A5"/>
    <w:rsid w:val="00037B89"/>
    <w:rsid w:val="0004078B"/>
    <w:rsid w:val="0004115A"/>
    <w:rsid w:val="000418A2"/>
    <w:rsid w:val="00041D24"/>
    <w:rsid w:val="00041ECF"/>
    <w:rsid w:val="00042CB5"/>
    <w:rsid w:val="00043126"/>
    <w:rsid w:val="00043C79"/>
    <w:rsid w:val="00043E47"/>
    <w:rsid w:val="000445FE"/>
    <w:rsid w:val="00045001"/>
    <w:rsid w:val="0004510F"/>
    <w:rsid w:val="00050DF5"/>
    <w:rsid w:val="0005139D"/>
    <w:rsid w:val="000517FA"/>
    <w:rsid w:val="000520E0"/>
    <w:rsid w:val="00052580"/>
    <w:rsid w:val="0005278D"/>
    <w:rsid w:val="00052C1C"/>
    <w:rsid w:val="00052C9D"/>
    <w:rsid w:val="000535E4"/>
    <w:rsid w:val="000538C9"/>
    <w:rsid w:val="000541DA"/>
    <w:rsid w:val="0005430A"/>
    <w:rsid w:val="00054593"/>
    <w:rsid w:val="000555A6"/>
    <w:rsid w:val="0005691A"/>
    <w:rsid w:val="00056DE6"/>
    <w:rsid w:val="0005719C"/>
    <w:rsid w:val="000579EF"/>
    <w:rsid w:val="00057B3C"/>
    <w:rsid w:val="0006089A"/>
    <w:rsid w:val="000632D0"/>
    <w:rsid w:val="000634C5"/>
    <w:rsid w:val="00064306"/>
    <w:rsid w:val="0006480C"/>
    <w:rsid w:val="00064A79"/>
    <w:rsid w:val="00065048"/>
    <w:rsid w:val="000650B1"/>
    <w:rsid w:val="00065824"/>
    <w:rsid w:val="00065BA2"/>
    <w:rsid w:val="00065C98"/>
    <w:rsid w:val="00066DBB"/>
    <w:rsid w:val="0006794B"/>
    <w:rsid w:val="00070D94"/>
    <w:rsid w:val="0007129F"/>
    <w:rsid w:val="000714B4"/>
    <w:rsid w:val="0007290C"/>
    <w:rsid w:val="00072E43"/>
    <w:rsid w:val="00073772"/>
    <w:rsid w:val="00073CA3"/>
    <w:rsid w:val="00074DD0"/>
    <w:rsid w:val="0007551C"/>
    <w:rsid w:val="00076BA6"/>
    <w:rsid w:val="000774F3"/>
    <w:rsid w:val="00080161"/>
    <w:rsid w:val="00080470"/>
    <w:rsid w:val="0008057F"/>
    <w:rsid w:val="00080B1D"/>
    <w:rsid w:val="00080CA7"/>
    <w:rsid w:val="00081141"/>
    <w:rsid w:val="00081503"/>
    <w:rsid w:val="00081C28"/>
    <w:rsid w:val="00081F92"/>
    <w:rsid w:val="00082765"/>
    <w:rsid w:val="00082D34"/>
    <w:rsid w:val="00083316"/>
    <w:rsid w:val="00084EB0"/>
    <w:rsid w:val="0008566C"/>
    <w:rsid w:val="00085D93"/>
    <w:rsid w:val="00085E85"/>
    <w:rsid w:val="00087013"/>
    <w:rsid w:val="00087028"/>
    <w:rsid w:val="00087C0E"/>
    <w:rsid w:val="0009066F"/>
    <w:rsid w:val="00090DFE"/>
    <w:rsid w:val="00092165"/>
    <w:rsid w:val="000939A0"/>
    <w:rsid w:val="00093BB7"/>
    <w:rsid w:val="00094674"/>
    <w:rsid w:val="000951B1"/>
    <w:rsid w:val="00095239"/>
    <w:rsid w:val="00096F39"/>
    <w:rsid w:val="00097BFD"/>
    <w:rsid w:val="000A0E1D"/>
    <w:rsid w:val="000A1C7B"/>
    <w:rsid w:val="000A1D78"/>
    <w:rsid w:val="000A1F92"/>
    <w:rsid w:val="000A22B0"/>
    <w:rsid w:val="000A2AEF"/>
    <w:rsid w:val="000A2FEA"/>
    <w:rsid w:val="000A3775"/>
    <w:rsid w:val="000A37CF"/>
    <w:rsid w:val="000A5DCF"/>
    <w:rsid w:val="000A60C3"/>
    <w:rsid w:val="000A61CE"/>
    <w:rsid w:val="000A61FC"/>
    <w:rsid w:val="000A7469"/>
    <w:rsid w:val="000A764B"/>
    <w:rsid w:val="000A7ADA"/>
    <w:rsid w:val="000A7E0A"/>
    <w:rsid w:val="000A7EC8"/>
    <w:rsid w:val="000B0148"/>
    <w:rsid w:val="000B0232"/>
    <w:rsid w:val="000B0404"/>
    <w:rsid w:val="000B040B"/>
    <w:rsid w:val="000B0AA2"/>
    <w:rsid w:val="000B0E24"/>
    <w:rsid w:val="000B1630"/>
    <w:rsid w:val="000B1A15"/>
    <w:rsid w:val="000B1D62"/>
    <w:rsid w:val="000B2A59"/>
    <w:rsid w:val="000B378B"/>
    <w:rsid w:val="000B3D3C"/>
    <w:rsid w:val="000B43B8"/>
    <w:rsid w:val="000B530E"/>
    <w:rsid w:val="000B58FC"/>
    <w:rsid w:val="000B63C8"/>
    <w:rsid w:val="000B7CB1"/>
    <w:rsid w:val="000C0048"/>
    <w:rsid w:val="000C0757"/>
    <w:rsid w:val="000C0CE6"/>
    <w:rsid w:val="000C1AF6"/>
    <w:rsid w:val="000C1B16"/>
    <w:rsid w:val="000C2B1B"/>
    <w:rsid w:val="000C2ED8"/>
    <w:rsid w:val="000C302B"/>
    <w:rsid w:val="000C45A6"/>
    <w:rsid w:val="000C475B"/>
    <w:rsid w:val="000C4D7B"/>
    <w:rsid w:val="000C5179"/>
    <w:rsid w:val="000C5ACD"/>
    <w:rsid w:val="000C6B09"/>
    <w:rsid w:val="000C7713"/>
    <w:rsid w:val="000D039A"/>
    <w:rsid w:val="000D2206"/>
    <w:rsid w:val="000D25BC"/>
    <w:rsid w:val="000D279A"/>
    <w:rsid w:val="000D2B47"/>
    <w:rsid w:val="000D3B01"/>
    <w:rsid w:val="000D3F44"/>
    <w:rsid w:val="000D4C12"/>
    <w:rsid w:val="000D66AB"/>
    <w:rsid w:val="000D6AFB"/>
    <w:rsid w:val="000D7083"/>
    <w:rsid w:val="000E03D7"/>
    <w:rsid w:val="000E0D85"/>
    <w:rsid w:val="000E21CB"/>
    <w:rsid w:val="000E3D3E"/>
    <w:rsid w:val="000E5A55"/>
    <w:rsid w:val="000F00DA"/>
    <w:rsid w:val="000F0155"/>
    <w:rsid w:val="000F01F9"/>
    <w:rsid w:val="000F0C43"/>
    <w:rsid w:val="000F1470"/>
    <w:rsid w:val="000F166A"/>
    <w:rsid w:val="000F1A43"/>
    <w:rsid w:val="000F1C2C"/>
    <w:rsid w:val="000F316E"/>
    <w:rsid w:val="000F34C4"/>
    <w:rsid w:val="000F3707"/>
    <w:rsid w:val="000F499A"/>
    <w:rsid w:val="000F4C00"/>
    <w:rsid w:val="000F5193"/>
    <w:rsid w:val="000F5D99"/>
    <w:rsid w:val="000F7489"/>
    <w:rsid w:val="0010007E"/>
    <w:rsid w:val="001008E2"/>
    <w:rsid w:val="00100B1F"/>
    <w:rsid w:val="00101048"/>
    <w:rsid w:val="0010104C"/>
    <w:rsid w:val="00101B38"/>
    <w:rsid w:val="00103CE8"/>
    <w:rsid w:val="00103D32"/>
    <w:rsid w:val="00105E3A"/>
    <w:rsid w:val="00105E41"/>
    <w:rsid w:val="00105F01"/>
    <w:rsid w:val="00106244"/>
    <w:rsid w:val="001065E6"/>
    <w:rsid w:val="00106905"/>
    <w:rsid w:val="00107B35"/>
    <w:rsid w:val="00111BD2"/>
    <w:rsid w:val="0011209D"/>
    <w:rsid w:val="001128BE"/>
    <w:rsid w:val="00113707"/>
    <w:rsid w:val="00115905"/>
    <w:rsid w:val="00115A73"/>
    <w:rsid w:val="001162AE"/>
    <w:rsid w:val="001162DC"/>
    <w:rsid w:val="00116F89"/>
    <w:rsid w:val="001170DC"/>
    <w:rsid w:val="001209EE"/>
    <w:rsid w:val="00120AAF"/>
    <w:rsid w:val="00122500"/>
    <w:rsid w:val="001228B7"/>
    <w:rsid w:val="00122A75"/>
    <w:rsid w:val="0012375C"/>
    <w:rsid w:val="00123A80"/>
    <w:rsid w:val="00123E79"/>
    <w:rsid w:val="00125454"/>
    <w:rsid w:val="0012668C"/>
    <w:rsid w:val="00126980"/>
    <w:rsid w:val="00127DE0"/>
    <w:rsid w:val="0013020F"/>
    <w:rsid w:val="001307A9"/>
    <w:rsid w:val="001308DD"/>
    <w:rsid w:val="00131FE9"/>
    <w:rsid w:val="00132BD5"/>
    <w:rsid w:val="001337CF"/>
    <w:rsid w:val="00135EFB"/>
    <w:rsid w:val="00136224"/>
    <w:rsid w:val="00136D0F"/>
    <w:rsid w:val="00140177"/>
    <w:rsid w:val="001408D9"/>
    <w:rsid w:val="00140D07"/>
    <w:rsid w:val="00141F2B"/>
    <w:rsid w:val="0014377D"/>
    <w:rsid w:val="00143F38"/>
    <w:rsid w:val="00144573"/>
    <w:rsid w:val="00145007"/>
    <w:rsid w:val="00145AB6"/>
    <w:rsid w:val="001468FC"/>
    <w:rsid w:val="00147182"/>
    <w:rsid w:val="0014727F"/>
    <w:rsid w:val="001506AB"/>
    <w:rsid w:val="00152315"/>
    <w:rsid w:val="00152A7F"/>
    <w:rsid w:val="001531C5"/>
    <w:rsid w:val="001534CE"/>
    <w:rsid w:val="001546F6"/>
    <w:rsid w:val="00154891"/>
    <w:rsid w:val="001557D2"/>
    <w:rsid w:val="0015593E"/>
    <w:rsid w:val="00155D4D"/>
    <w:rsid w:val="00155DB2"/>
    <w:rsid w:val="00157877"/>
    <w:rsid w:val="00157C3F"/>
    <w:rsid w:val="00157C97"/>
    <w:rsid w:val="00160244"/>
    <w:rsid w:val="001602ED"/>
    <w:rsid w:val="001604A8"/>
    <w:rsid w:val="001606CE"/>
    <w:rsid w:val="00161062"/>
    <w:rsid w:val="0016278C"/>
    <w:rsid w:val="00162A29"/>
    <w:rsid w:val="00162DEE"/>
    <w:rsid w:val="00162EFE"/>
    <w:rsid w:val="00163D0C"/>
    <w:rsid w:val="00163D11"/>
    <w:rsid w:val="00164549"/>
    <w:rsid w:val="0016498B"/>
    <w:rsid w:val="00164A2F"/>
    <w:rsid w:val="00164CE6"/>
    <w:rsid w:val="00165389"/>
    <w:rsid w:val="00165FCA"/>
    <w:rsid w:val="001667E8"/>
    <w:rsid w:val="0016744D"/>
    <w:rsid w:val="0016796B"/>
    <w:rsid w:val="00167F15"/>
    <w:rsid w:val="00167FD0"/>
    <w:rsid w:val="0017008A"/>
    <w:rsid w:val="00170AC9"/>
    <w:rsid w:val="00170BB5"/>
    <w:rsid w:val="00171122"/>
    <w:rsid w:val="00171691"/>
    <w:rsid w:val="001717A3"/>
    <w:rsid w:val="001718DE"/>
    <w:rsid w:val="00171E0B"/>
    <w:rsid w:val="0017200C"/>
    <w:rsid w:val="0017544D"/>
    <w:rsid w:val="00175A12"/>
    <w:rsid w:val="00176956"/>
    <w:rsid w:val="001809E3"/>
    <w:rsid w:val="00180A63"/>
    <w:rsid w:val="00181E43"/>
    <w:rsid w:val="001823F1"/>
    <w:rsid w:val="00182DA6"/>
    <w:rsid w:val="00182E88"/>
    <w:rsid w:val="00182F96"/>
    <w:rsid w:val="001831F3"/>
    <w:rsid w:val="001833DD"/>
    <w:rsid w:val="00183F58"/>
    <w:rsid w:val="00186170"/>
    <w:rsid w:val="00186E9F"/>
    <w:rsid w:val="00186FDD"/>
    <w:rsid w:val="0019053A"/>
    <w:rsid w:val="00190987"/>
    <w:rsid w:val="00190FF3"/>
    <w:rsid w:val="00191414"/>
    <w:rsid w:val="001915AE"/>
    <w:rsid w:val="00192170"/>
    <w:rsid w:val="00192CCC"/>
    <w:rsid w:val="00194C36"/>
    <w:rsid w:val="001950F8"/>
    <w:rsid w:val="0019517E"/>
    <w:rsid w:val="00195441"/>
    <w:rsid w:val="00195525"/>
    <w:rsid w:val="00195FA6"/>
    <w:rsid w:val="001962FD"/>
    <w:rsid w:val="00196367"/>
    <w:rsid w:val="00196FE7"/>
    <w:rsid w:val="0019795F"/>
    <w:rsid w:val="001A0257"/>
    <w:rsid w:val="001A0AC5"/>
    <w:rsid w:val="001A1789"/>
    <w:rsid w:val="001A22F0"/>
    <w:rsid w:val="001A2764"/>
    <w:rsid w:val="001A28AA"/>
    <w:rsid w:val="001A294C"/>
    <w:rsid w:val="001A2D0C"/>
    <w:rsid w:val="001A30D5"/>
    <w:rsid w:val="001A31E8"/>
    <w:rsid w:val="001A38B7"/>
    <w:rsid w:val="001A3D83"/>
    <w:rsid w:val="001A48CB"/>
    <w:rsid w:val="001A597B"/>
    <w:rsid w:val="001A5988"/>
    <w:rsid w:val="001A6438"/>
    <w:rsid w:val="001A7629"/>
    <w:rsid w:val="001A76BE"/>
    <w:rsid w:val="001A7A55"/>
    <w:rsid w:val="001B101F"/>
    <w:rsid w:val="001B1A2F"/>
    <w:rsid w:val="001B1EAB"/>
    <w:rsid w:val="001B228D"/>
    <w:rsid w:val="001B2B69"/>
    <w:rsid w:val="001B5325"/>
    <w:rsid w:val="001B600F"/>
    <w:rsid w:val="001B66B3"/>
    <w:rsid w:val="001B7577"/>
    <w:rsid w:val="001B77CB"/>
    <w:rsid w:val="001B7B91"/>
    <w:rsid w:val="001C018C"/>
    <w:rsid w:val="001C076B"/>
    <w:rsid w:val="001C107E"/>
    <w:rsid w:val="001C1420"/>
    <w:rsid w:val="001C194B"/>
    <w:rsid w:val="001C2544"/>
    <w:rsid w:val="001C270E"/>
    <w:rsid w:val="001C28BC"/>
    <w:rsid w:val="001C54E8"/>
    <w:rsid w:val="001C6120"/>
    <w:rsid w:val="001C7023"/>
    <w:rsid w:val="001C7AE2"/>
    <w:rsid w:val="001D0A60"/>
    <w:rsid w:val="001D1525"/>
    <w:rsid w:val="001D26F4"/>
    <w:rsid w:val="001D2CB2"/>
    <w:rsid w:val="001D34F4"/>
    <w:rsid w:val="001D350C"/>
    <w:rsid w:val="001D3F43"/>
    <w:rsid w:val="001D45DA"/>
    <w:rsid w:val="001D4DCE"/>
    <w:rsid w:val="001D4F3C"/>
    <w:rsid w:val="001D5BDA"/>
    <w:rsid w:val="001D63DF"/>
    <w:rsid w:val="001D64E2"/>
    <w:rsid w:val="001D769F"/>
    <w:rsid w:val="001E035D"/>
    <w:rsid w:val="001E0D0F"/>
    <w:rsid w:val="001E0EA2"/>
    <w:rsid w:val="001E12EF"/>
    <w:rsid w:val="001E15A2"/>
    <w:rsid w:val="001E2040"/>
    <w:rsid w:val="001E37E1"/>
    <w:rsid w:val="001E3C50"/>
    <w:rsid w:val="001E4AC8"/>
    <w:rsid w:val="001E64E8"/>
    <w:rsid w:val="001E67FF"/>
    <w:rsid w:val="001F0865"/>
    <w:rsid w:val="001F08C7"/>
    <w:rsid w:val="001F0918"/>
    <w:rsid w:val="001F0FDF"/>
    <w:rsid w:val="001F351B"/>
    <w:rsid w:val="001F36ED"/>
    <w:rsid w:val="001F4BA7"/>
    <w:rsid w:val="001F4C84"/>
    <w:rsid w:val="001F5F97"/>
    <w:rsid w:val="001F6A81"/>
    <w:rsid w:val="001F718B"/>
    <w:rsid w:val="001F739D"/>
    <w:rsid w:val="0020059C"/>
    <w:rsid w:val="0020065F"/>
    <w:rsid w:val="002024D0"/>
    <w:rsid w:val="00202F25"/>
    <w:rsid w:val="0020316C"/>
    <w:rsid w:val="00203723"/>
    <w:rsid w:val="00204F06"/>
    <w:rsid w:val="002051D6"/>
    <w:rsid w:val="002054B6"/>
    <w:rsid w:val="00207530"/>
    <w:rsid w:val="002078EE"/>
    <w:rsid w:val="00207DED"/>
    <w:rsid w:val="00207E90"/>
    <w:rsid w:val="0021079C"/>
    <w:rsid w:val="00210B14"/>
    <w:rsid w:val="00210C32"/>
    <w:rsid w:val="00210F29"/>
    <w:rsid w:val="002111DF"/>
    <w:rsid w:val="00211253"/>
    <w:rsid w:val="00213784"/>
    <w:rsid w:val="00214824"/>
    <w:rsid w:val="00215CC9"/>
    <w:rsid w:val="00216248"/>
    <w:rsid w:val="002162FB"/>
    <w:rsid w:val="00216416"/>
    <w:rsid w:val="00216FC7"/>
    <w:rsid w:val="0022030F"/>
    <w:rsid w:val="00221269"/>
    <w:rsid w:val="002214A4"/>
    <w:rsid w:val="00221811"/>
    <w:rsid w:val="00225DE5"/>
    <w:rsid w:val="00226983"/>
    <w:rsid w:val="00226D09"/>
    <w:rsid w:val="00226E46"/>
    <w:rsid w:val="0022761C"/>
    <w:rsid w:val="00227937"/>
    <w:rsid w:val="00227C98"/>
    <w:rsid w:val="00231001"/>
    <w:rsid w:val="00232157"/>
    <w:rsid w:val="00232A0C"/>
    <w:rsid w:val="00232D1D"/>
    <w:rsid w:val="002330BE"/>
    <w:rsid w:val="00233423"/>
    <w:rsid w:val="00234174"/>
    <w:rsid w:val="00234A59"/>
    <w:rsid w:val="00234C32"/>
    <w:rsid w:val="00234F5E"/>
    <w:rsid w:val="002354B9"/>
    <w:rsid w:val="00236AFE"/>
    <w:rsid w:val="002376EF"/>
    <w:rsid w:val="0023778F"/>
    <w:rsid w:val="00237BE0"/>
    <w:rsid w:val="00240617"/>
    <w:rsid w:val="00240886"/>
    <w:rsid w:val="002418F2"/>
    <w:rsid w:val="00242264"/>
    <w:rsid w:val="00242A01"/>
    <w:rsid w:val="00243CD0"/>
    <w:rsid w:val="00244A8E"/>
    <w:rsid w:val="00244E51"/>
    <w:rsid w:val="00245EEB"/>
    <w:rsid w:val="002460E4"/>
    <w:rsid w:val="00246909"/>
    <w:rsid w:val="00246992"/>
    <w:rsid w:val="00246AA7"/>
    <w:rsid w:val="00246BF7"/>
    <w:rsid w:val="00247303"/>
    <w:rsid w:val="00247CDE"/>
    <w:rsid w:val="00247E93"/>
    <w:rsid w:val="00250406"/>
    <w:rsid w:val="00250884"/>
    <w:rsid w:val="002513BA"/>
    <w:rsid w:val="00252CBB"/>
    <w:rsid w:val="002530F7"/>
    <w:rsid w:val="00253CD4"/>
    <w:rsid w:val="0025475C"/>
    <w:rsid w:val="0025538B"/>
    <w:rsid w:val="002558F5"/>
    <w:rsid w:val="00255E14"/>
    <w:rsid w:val="00256630"/>
    <w:rsid w:val="002567A8"/>
    <w:rsid w:val="00256ED7"/>
    <w:rsid w:val="00260CB2"/>
    <w:rsid w:val="00261AD0"/>
    <w:rsid w:val="00261B75"/>
    <w:rsid w:val="002631D1"/>
    <w:rsid w:val="0026346D"/>
    <w:rsid w:val="00263CA8"/>
    <w:rsid w:val="00263DE5"/>
    <w:rsid w:val="00264CE5"/>
    <w:rsid w:val="00264D26"/>
    <w:rsid w:val="00266C02"/>
    <w:rsid w:val="0026786B"/>
    <w:rsid w:val="00270960"/>
    <w:rsid w:val="00271053"/>
    <w:rsid w:val="0027211A"/>
    <w:rsid w:val="00272428"/>
    <w:rsid w:val="002729DA"/>
    <w:rsid w:val="00272D0F"/>
    <w:rsid w:val="00272DD4"/>
    <w:rsid w:val="00273167"/>
    <w:rsid w:val="00273BA1"/>
    <w:rsid w:val="00274166"/>
    <w:rsid w:val="002744AA"/>
    <w:rsid w:val="00275197"/>
    <w:rsid w:val="0027527A"/>
    <w:rsid w:val="00275CE1"/>
    <w:rsid w:val="0027643F"/>
    <w:rsid w:val="002776AC"/>
    <w:rsid w:val="00280AD9"/>
    <w:rsid w:val="00280CEE"/>
    <w:rsid w:val="00281689"/>
    <w:rsid w:val="002816EF"/>
    <w:rsid w:val="00282815"/>
    <w:rsid w:val="00283AA3"/>
    <w:rsid w:val="00283D3B"/>
    <w:rsid w:val="00283EE6"/>
    <w:rsid w:val="002842EC"/>
    <w:rsid w:val="00284ACA"/>
    <w:rsid w:val="0028545D"/>
    <w:rsid w:val="00285661"/>
    <w:rsid w:val="002858D6"/>
    <w:rsid w:val="00285BAD"/>
    <w:rsid w:val="00285F92"/>
    <w:rsid w:val="00286079"/>
    <w:rsid w:val="00286346"/>
    <w:rsid w:val="00286C80"/>
    <w:rsid w:val="00287170"/>
    <w:rsid w:val="00287677"/>
    <w:rsid w:val="0029037F"/>
    <w:rsid w:val="002906E2"/>
    <w:rsid w:val="00290C71"/>
    <w:rsid w:val="00291297"/>
    <w:rsid w:val="00291643"/>
    <w:rsid w:val="00291D60"/>
    <w:rsid w:val="00292016"/>
    <w:rsid w:val="002926E0"/>
    <w:rsid w:val="002930D7"/>
    <w:rsid w:val="0029331B"/>
    <w:rsid w:val="00293405"/>
    <w:rsid w:val="00293C21"/>
    <w:rsid w:val="00294D16"/>
    <w:rsid w:val="0029535E"/>
    <w:rsid w:val="002959B5"/>
    <w:rsid w:val="00295AA4"/>
    <w:rsid w:val="00295F0C"/>
    <w:rsid w:val="0029631A"/>
    <w:rsid w:val="00296376"/>
    <w:rsid w:val="00296D83"/>
    <w:rsid w:val="00297272"/>
    <w:rsid w:val="002A0487"/>
    <w:rsid w:val="002A076A"/>
    <w:rsid w:val="002A21F7"/>
    <w:rsid w:val="002A45E3"/>
    <w:rsid w:val="002A4D41"/>
    <w:rsid w:val="002A4D54"/>
    <w:rsid w:val="002A5789"/>
    <w:rsid w:val="002A5D38"/>
    <w:rsid w:val="002A6127"/>
    <w:rsid w:val="002A6B85"/>
    <w:rsid w:val="002A6BB8"/>
    <w:rsid w:val="002A7594"/>
    <w:rsid w:val="002B03C6"/>
    <w:rsid w:val="002B0DD5"/>
    <w:rsid w:val="002B0F30"/>
    <w:rsid w:val="002B23D9"/>
    <w:rsid w:val="002B3D8C"/>
    <w:rsid w:val="002B42BC"/>
    <w:rsid w:val="002B441B"/>
    <w:rsid w:val="002B56E5"/>
    <w:rsid w:val="002B597A"/>
    <w:rsid w:val="002B79D4"/>
    <w:rsid w:val="002B7A7F"/>
    <w:rsid w:val="002B7B02"/>
    <w:rsid w:val="002C0A9C"/>
    <w:rsid w:val="002C0C87"/>
    <w:rsid w:val="002C0D30"/>
    <w:rsid w:val="002C15CD"/>
    <w:rsid w:val="002C1EAD"/>
    <w:rsid w:val="002C223D"/>
    <w:rsid w:val="002C4207"/>
    <w:rsid w:val="002C471B"/>
    <w:rsid w:val="002C5458"/>
    <w:rsid w:val="002C63F4"/>
    <w:rsid w:val="002C661C"/>
    <w:rsid w:val="002C67BB"/>
    <w:rsid w:val="002C6EFB"/>
    <w:rsid w:val="002C6F2F"/>
    <w:rsid w:val="002C7FA2"/>
    <w:rsid w:val="002D01F3"/>
    <w:rsid w:val="002D04FB"/>
    <w:rsid w:val="002D0731"/>
    <w:rsid w:val="002D0E42"/>
    <w:rsid w:val="002D0FA7"/>
    <w:rsid w:val="002D1433"/>
    <w:rsid w:val="002D1DDA"/>
    <w:rsid w:val="002D1DF7"/>
    <w:rsid w:val="002D24BE"/>
    <w:rsid w:val="002D257D"/>
    <w:rsid w:val="002D30C7"/>
    <w:rsid w:val="002D3E39"/>
    <w:rsid w:val="002D4DE3"/>
    <w:rsid w:val="002D57B3"/>
    <w:rsid w:val="002D67ED"/>
    <w:rsid w:val="002D6887"/>
    <w:rsid w:val="002D6A9C"/>
    <w:rsid w:val="002D6E4E"/>
    <w:rsid w:val="002D7DA0"/>
    <w:rsid w:val="002E0330"/>
    <w:rsid w:val="002E06D4"/>
    <w:rsid w:val="002E19D1"/>
    <w:rsid w:val="002E2616"/>
    <w:rsid w:val="002E2BCE"/>
    <w:rsid w:val="002E2C1D"/>
    <w:rsid w:val="002E32B0"/>
    <w:rsid w:val="002E36D5"/>
    <w:rsid w:val="002E39F4"/>
    <w:rsid w:val="002E3C31"/>
    <w:rsid w:val="002E4A9A"/>
    <w:rsid w:val="002E6349"/>
    <w:rsid w:val="002E6608"/>
    <w:rsid w:val="002E693D"/>
    <w:rsid w:val="002E73A7"/>
    <w:rsid w:val="002E7CDA"/>
    <w:rsid w:val="002F068B"/>
    <w:rsid w:val="002F10E5"/>
    <w:rsid w:val="002F26F9"/>
    <w:rsid w:val="002F289B"/>
    <w:rsid w:val="002F2DEE"/>
    <w:rsid w:val="002F2E5A"/>
    <w:rsid w:val="002F3830"/>
    <w:rsid w:val="002F394E"/>
    <w:rsid w:val="002F5034"/>
    <w:rsid w:val="002F50A0"/>
    <w:rsid w:val="002F580A"/>
    <w:rsid w:val="002F58C2"/>
    <w:rsid w:val="00300753"/>
    <w:rsid w:val="00300B20"/>
    <w:rsid w:val="00301606"/>
    <w:rsid w:val="003026F6"/>
    <w:rsid w:val="003032BC"/>
    <w:rsid w:val="00303F30"/>
    <w:rsid w:val="003052FE"/>
    <w:rsid w:val="0030581D"/>
    <w:rsid w:val="00307B3B"/>
    <w:rsid w:val="003101A7"/>
    <w:rsid w:val="003104D9"/>
    <w:rsid w:val="003109C3"/>
    <w:rsid w:val="00310A6A"/>
    <w:rsid w:val="00310CBE"/>
    <w:rsid w:val="00310D9A"/>
    <w:rsid w:val="003122C5"/>
    <w:rsid w:val="00312916"/>
    <w:rsid w:val="00313319"/>
    <w:rsid w:val="00313CF5"/>
    <w:rsid w:val="00314469"/>
    <w:rsid w:val="0031472F"/>
    <w:rsid w:val="00314FE6"/>
    <w:rsid w:val="003159A8"/>
    <w:rsid w:val="00315F5F"/>
    <w:rsid w:val="00316964"/>
    <w:rsid w:val="00316A8F"/>
    <w:rsid w:val="00316EED"/>
    <w:rsid w:val="0031701E"/>
    <w:rsid w:val="00317882"/>
    <w:rsid w:val="00320A1B"/>
    <w:rsid w:val="00320E9F"/>
    <w:rsid w:val="003211D4"/>
    <w:rsid w:val="00321396"/>
    <w:rsid w:val="003221BF"/>
    <w:rsid w:val="00322E54"/>
    <w:rsid w:val="00324017"/>
    <w:rsid w:val="003245C1"/>
    <w:rsid w:val="00324854"/>
    <w:rsid w:val="00326B6C"/>
    <w:rsid w:val="003275A3"/>
    <w:rsid w:val="00330330"/>
    <w:rsid w:val="0033049C"/>
    <w:rsid w:val="00331967"/>
    <w:rsid w:val="0033273A"/>
    <w:rsid w:val="00333794"/>
    <w:rsid w:val="00334080"/>
    <w:rsid w:val="0033539B"/>
    <w:rsid w:val="00335604"/>
    <w:rsid w:val="0033593F"/>
    <w:rsid w:val="0033711A"/>
    <w:rsid w:val="00337E19"/>
    <w:rsid w:val="00337F8A"/>
    <w:rsid w:val="00340083"/>
    <w:rsid w:val="00340A50"/>
    <w:rsid w:val="003410A4"/>
    <w:rsid w:val="003420CD"/>
    <w:rsid w:val="00342878"/>
    <w:rsid w:val="00342BFE"/>
    <w:rsid w:val="00346D7F"/>
    <w:rsid w:val="00347C29"/>
    <w:rsid w:val="003503D8"/>
    <w:rsid w:val="003504F8"/>
    <w:rsid w:val="00350645"/>
    <w:rsid w:val="00350C18"/>
    <w:rsid w:val="00350F50"/>
    <w:rsid w:val="0035186A"/>
    <w:rsid w:val="003524EB"/>
    <w:rsid w:val="00352F9F"/>
    <w:rsid w:val="00353916"/>
    <w:rsid w:val="0035531E"/>
    <w:rsid w:val="00355968"/>
    <w:rsid w:val="00356AE9"/>
    <w:rsid w:val="00357510"/>
    <w:rsid w:val="003609E1"/>
    <w:rsid w:val="00360EE6"/>
    <w:rsid w:val="00361585"/>
    <w:rsid w:val="00361A01"/>
    <w:rsid w:val="00362676"/>
    <w:rsid w:val="00363144"/>
    <w:rsid w:val="003635A3"/>
    <w:rsid w:val="003637F1"/>
    <w:rsid w:val="00363ABA"/>
    <w:rsid w:val="003640A9"/>
    <w:rsid w:val="00364375"/>
    <w:rsid w:val="00366E3A"/>
    <w:rsid w:val="003679C6"/>
    <w:rsid w:val="0037442C"/>
    <w:rsid w:val="003745C8"/>
    <w:rsid w:val="003750AD"/>
    <w:rsid w:val="00375A9A"/>
    <w:rsid w:val="00375F23"/>
    <w:rsid w:val="003768C0"/>
    <w:rsid w:val="00376F40"/>
    <w:rsid w:val="003775F3"/>
    <w:rsid w:val="00377610"/>
    <w:rsid w:val="00377ACE"/>
    <w:rsid w:val="003807FB"/>
    <w:rsid w:val="00381A84"/>
    <w:rsid w:val="00381D29"/>
    <w:rsid w:val="00381E23"/>
    <w:rsid w:val="00382E64"/>
    <w:rsid w:val="0038343F"/>
    <w:rsid w:val="00383736"/>
    <w:rsid w:val="00384167"/>
    <w:rsid w:val="00384F8B"/>
    <w:rsid w:val="00385302"/>
    <w:rsid w:val="0038606E"/>
    <w:rsid w:val="003862F9"/>
    <w:rsid w:val="003866FC"/>
    <w:rsid w:val="00386B8C"/>
    <w:rsid w:val="003874ED"/>
    <w:rsid w:val="0038789E"/>
    <w:rsid w:val="00387BD5"/>
    <w:rsid w:val="003915C3"/>
    <w:rsid w:val="00391994"/>
    <w:rsid w:val="00391D6E"/>
    <w:rsid w:val="00392229"/>
    <w:rsid w:val="00392623"/>
    <w:rsid w:val="00392FD0"/>
    <w:rsid w:val="00393771"/>
    <w:rsid w:val="00393A2C"/>
    <w:rsid w:val="00394C7A"/>
    <w:rsid w:val="00396266"/>
    <w:rsid w:val="003970F6"/>
    <w:rsid w:val="00397BA4"/>
    <w:rsid w:val="003A03C0"/>
    <w:rsid w:val="003A041B"/>
    <w:rsid w:val="003A089B"/>
    <w:rsid w:val="003A1140"/>
    <w:rsid w:val="003A1CE3"/>
    <w:rsid w:val="003A2F7D"/>
    <w:rsid w:val="003A2F8B"/>
    <w:rsid w:val="003A39D6"/>
    <w:rsid w:val="003A44C5"/>
    <w:rsid w:val="003A4508"/>
    <w:rsid w:val="003A4F2E"/>
    <w:rsid w:val="003A5599"/>
    <w:rsid w:val="003A628F"/>
    <w:rsid w:val="003A73EE"/>
    <w:rsid w:val="003A7D1D"/>
    <w:rsid w:val="003B0813"/>
    <w:rsid w:val="003B0D85"/>
    <w:rsid w:val="003B14E0"/>
    <w:rsid w:val="003B1A89"/>
    <w:rsid w:val="003B2930"/>
    <w:rsid w:val="003B2C0E"/>
    <w:rsid w:val="003B2F3D"/>
    <w:rsid w:val="003B2F63"/>
    <w:rsid w:val="003B37C5"/>
    <w:rsid w:val="003B3A70"/>
    <w:rsid w:val="003B3CC4"/>
    <w:rsid w:val="003B42B4"/>
    <w:rsid w:val="003B4BDA"/>
    <w:rsid w:val="003B56BE"/>
    <w:rsid w:val="003B58B9"/>
    <w:rsid w:val="003B58EC"/>
    <w:rsid w:val="003B73EF"/>
    <w:rsid w:val="003B74EE"/>
    <w:rsid w:val="003B7697"/>
    <w:rsid w:val="003B7B32"/>
    <w:rsid w:val="003B7EE5"/>
    <w:rsid w:val="003C007B"/>
    <w:rsid w:val="003C0222"/>
    <w:rsid w:val="003C0648"/>
    <w:rsid w:val="003C0B56"/>
    <w:rsid w:val="003C1F09"/>
    <w:rsid w:val="003C2E69"/>
    <w:rsid w:val="003C3143"/>
    <w:rsid w:val="003C3C28"/>
    <w:rsid w:val="003C4B77"/>
    <w:rsid w:val="003C5666"/>
    <w:rsid w:val="003C5FCF"/>
    <w:rsid w:val="003C644C"/>
    <w:rsid w:val="003C704D"/>
    <w:rsid w:val="003C73D1"/>
    <w:rsid w:val="003C7B3F"/>
    <w:rsid w:val="003D0690"/>
    <w:rsid w:val="003D07CD"/>
    <w:rsid w:val="003D122E"/>
    <w:rsid w:val="003D1C06"/>
    <w:rsid w:val="003D323E"/>
    <w:rsid w:val="003D3A46"/>
    <w:rsid w:val="003D3ABA"/>
    <w:rsid w:val="003D3B3A"/>
    <w:rsid w:val="003D4E7D"/>
    <w:rsid w:val="003D5115"/>
    <w:rsid w:val="003D537A"/>
    <w:rsid w:val="003D5EFD"/>
    <w:rsid w:val="003D787B"/>
    <w:rsid w:val="003E01D4"/>
    <w:rsid w:val="003E02A9"/>
    <w:rsid w:val="003E04F8"/>
    <w:rsid w:val="003E079F"/>
    <w:rsid w:val="003E087B"/>
    <w:rsid w:val="003E0AEC"/>
    <w:rsid w:val="003E2193"/>
    <w:rsid w:val="003E2A00"/>
    <w:rsid w:val="003E2C02"/>
    <w:rsid w:val="003E30D0"/>
    <w:rsid w:val="003E376C"/>
    <w:rsid w:val="003E3A56"/>
    <w:rsid w:val="003E4823"/>
    <w:rsid w:val="003E5452"/>
    <w:rsid w:val="003E6188"/>
    <w:rsid w:val="003E6FC2"/>
    <w:rsid w:val="003E7BF6"/>
    <w:rsid w:val="003E7DF5"/>
    <w:rsid w:val="003F04B4"/>
    <w:rsid w:val="003F0592"/>
    <w:rsid w:val="003F1405"/>
    <w:rsid w:val="003F144A"/>
    <w:rsid w:val="003F1BEC"/>
    <w:rsid w:val="003F2709"/>
    <w:rsid w:val="003F2E65"/>
    <w:rsid w:val="003F2EF4"/>
    <w:rsid w:val="003F3D63"/>
    <w:rsid w:val="003F4ACA"/>
    <w:rsid w:val="003F4B57"/>
    <w:rsid w:val="003F5507"/>
    <w:rsid w:val="003F554A"/>
    <w:rsid w:val="003F56E1"/>
    <w:rsid w:val="003F5B2B"/>
    <w:rsid w:val="003F5E17"/>
    <w:rsid w:val="003F6139"/>
    <w:rsid w:val="003F7C10"/>
    <w:rsid w:val="004004E5"/>
    <w:rsid w:val="00400C0D"/>
    <w:rsid w:val="0040158B"/>
    <w:rsid w:val="00401639"/>
    <w:rsid w:val="00403145"/>
    <w:rsid w:val="00403510"/>
    <w:rsid w:val="0040378A"/>
    <w:rsid w:val="00404176"/>
    <w:rsid w:val="00404784"/>
    <w:rsid w:val="00404970"/>
    <w:rsid w:val="00405078"/>
    <w:rsid w:val="00405F27"/>
    <w:rsid w:val="0040628D"/>
    <w:rsid w:val="004067EF"/>
    <w:rsid w:val="00406E46"/>
    <w:rsid w:val="00407B9A"/>
    <w:rsid w:val="0041143A"/>
    <w:rsid w:val="00411F8E"/>
    <w:rsid w:val="004136B0"/>
    <w:rsid w:val="00413B95"/>
    <w:rsid w:val="00414BF2"/>
    <w:rsid w:val="004154FA"/>
    <w:rsid w:val="004161E4"/>
    <w:rsid w:val="00416DA1"/>
    <w:rsid w:val="00416F6F"/>
    <w:rsid w:val="00417065"/>
    <w:rsid w:val="00417862"/>
    <w:rsid w:val="004206A4"/>
    <w:rsid w:val="00420E42"/>
    <w:rsid w:val="0042127E"/>
    <w:rsid w:val="00421A2C"/>
    <w:rsid w:val="00422597"/>
    <w:rsid w:val="0042272E"/>
    <w:rsid w:val="00422973"/>
    <w:rsid w:val="00422F51"/>
    <w:rsid w:val="004241EC"/>
    <w:rsid w:val="004243A1"/>
    <w:rsid w:val="00424B6A"/>
    <w:rsid w:val="00424C49"/>
    <w:rsid w:val="004252B5"/>
    <w:rsid w:val="00425732"/>
    <w:rsid w:val="00425E32"/>
    <w:rsid w:val="004261D5"/>
    <w:rsid w:val="00431A99"/>
    <w:rsid w:val="00431C59"/>
    <w:rsid w:val="00431E0F"/>
    <w:rsid w:val="0043227C"/>
    <w:rsid w:val="00432528"/>
    <w:rsid w:val="00432B43"/>
    <w:rsid w:val="00432D57"/>
    <w:rsid w:val="00434362"/>
    <w:rsid w:val="0043449D"/>
    <w:rsid w:val="00434596"/>
    <w:rsid w:val="004346C7"/>
    <w:rsid w:val="00434855"/>
    <w:rsid w:val="00435BFB"/>
    <w:rsid w:val="00435C92"/>
    <w:rsid w:val="00435D8A"/>
    <w:rsid w:val="00436AD9"/>
    <w:rsid w:val="004379FC"/>
    <w:rsid w:val="00437EB1"/>
    <w:rsid w:val="00437FD2"/>
    <w:rsid w:val="00440783"/>
    <w:rsid w:val="004416CE"/>
    <w:rsid w:val="00441954"/>
    <w:rsid w:val="004421E0"/>
    <w:rsid w:val="00444559"/>
    <w:rsid w:val="004450B4"/>
    <w:rsid w:val="0044517C"/>
    <w:rsid w:val="00445181"/>
    <w:rsid w:val="00445A99"/>
    <w:rsid w:val="004478D5"/>
    <w:rsid w:val="00451BA3"/>
    <w:rsid w:val="00451BAD"/>
    <w:rsid w:val="00451E3F"/>
    <w:rsid w:val="00451E4D"/>
    <w:rsid w:val="00452386"/>
    <w:rsid w:val="00453D40"/>
    <w:rsid w:val="004541C5"/>
    <w:rsid w:val="00454A85"/>
    <w:rsid w:val="00454BB9"/>
    <w:rsid w:val="00455735"/>
    <w:rsid w:val="004558E3"/>
    <w:rsid w:val="00455E05"/>
    <w:rsid w:val="00455E75"/>
    <w:rsid w:val="00456987"/>
    <w:rsid w:val="004609B5"/>
    <w:rsid w:val="0046154A"/>
    <w:rsid w:val="00461A1E"/>
    <w:rsid w:val="004622CB"/>
    <w:rsid w:val="00462516"/>
    <w:rsid w:val="00462795"/>
    <w:rsid w:val="004631FA"/>
    <w:rsid w:val="00463748"/>
    <w:rsid w:val="00463B39"/>
    <w:rsid w:val="00463EEA"/>
    <w:rsid w:val="00464688"/>
    <w:rsid w:val="00465153"/>
    <w:rsid w:val="0046595F"/>
    <w:rsid w:val="00466780"/>
    <w:rsid w:val="004669A4"/>
    <w:rsid w:val="0046763E"/>
    <w:rsid w:val="004679DD"/>
    <w:rsid w:val="00470446"/>
    <w:rsid w:val="00470496"/>
    <w:rsid w:val="00470FF3"/>
    <w:rsid w:val="00471B9F"/>
    <w:rsid w:val="0047263C"/>
    <w:rsid w:val="0047316A"/>
    <w:rsid w:val="00475387"/>
    <w:rsid w:val="0047573F"/>
    <w:rsid w:val="00480CB5"/>
    <w:rsid w:val="00481AB6"/>
    <w:rsid w:val="00482430"/>
    <w:rsid w:val="00483B8C"/>
    <w:rsid w:val="004845A6"/>
    <w:rsid w:val="0048507B"/>
    <w:rsid w:val="0048590B"/>
    <w:rsid w:val="00485D17"/>
    <w:rsid w:val="00486A6B"/>
    <w:rsid w:val="0048726E"/>
    <w:rsid w:val="0048788E"/>
    <w:rsid w:val="00487C1E"/>
    <w:rsid w:val="00490388"/>
    <w:rsid w:val="00490579"/>
    <w:rsid w:val="004917B9"/>
    <w:rsid w:val="00491BA2"/>
    <w:rsid w:val="00492FCB"/>
    <w:rsid w:val="00493099"/>
    <w:rsid w:val="00493782"/>
    <w:rsid w:val="0049510A"/>
    <w:rsid w:val="004967B6"/>
    <w:rsid w:val="004974CF"/>
    <w:rsid w:val="00497B8A"/>
    <w:rsid w:val="00497BE3"/>
    <w:rsid w:val="004A19D9"/>
    <w:rsid w:val="004A1E0B"/>
    <w:rsid w:val="004A2144"/>
    <w:rsid w:val="004A21EF"/>
    <w:rsid w:val="004A2616"/>
    <w:rsid w:val="004A2EC2"/>
    <w:rsid w:val="004A2EF0"/>
    <w:rsid w:val="004A4E0E"/>
    <w:rsid w:val="004A5773"/>
    <w:rsid w:val="004A6EB4"/>
    <w:rsid w:val="004A7301"/>
    <w:rsid w:val="004A74E4"/>
    <w:rsid w:val="004B12C9"/>
    <w:rsid w:val="004B246F"/>
    <w:rsid w:val="004B33E1"/>
    <w:rsid w:val="004B4BC2"/>
    <w:rsid w:val="004B5882"/>
    <w:rsid w:val="004B5C13"/>
    <w:rsid w:val="004B6E7E"/>
    <w:rsid w:val="004B7FF5"/>
    <w:rsid w:val="004C0100"/>
    <w:rsid w:val="004C0B5F"/>
    <w:rsid w:val="004C0D63"/>
    <w:rsid w:val="004C0E63"/>
    <w:rsid w:val="004C1A3F"/>
    <w:rsid w:val="004C1C25"/>
    <w:rsid w:val="004C1CF1"/>
    <w:rsid w:val="004C2302"/>
    <w:rsid w:val="004C23E1"/>
    <w:rsid w:val="004C30ED"/>
    <w:rsid w:val="004C3A5B"/>
    <w:rsid w:val="004C4A5A"/>
    <w:rsid w:val="004C674F"/>
    <w:rsid w:val="004C752F"/>
    <w:rsid w:val="004C7B00"/>
    <w:rsid w:val="004D0377"/>
    <w:rsid w:val="004D0440"/>
    <w:rsid w:val="004D07AF"/>
    <w:rsid w:val="004D1F0D"/>
    <w:rsid w:val="004D2E36"/>
    <w:rsid w:val="004D3E16"/>
    <w:rsid w:val="004D3F2E"/>
    <w:rsid w:val="004D4542"/>
    <w:rsid w:val="004D59E2"/>
    <w:rsid w:val="004D6281"/>
    <w:rsid w:val="004D7042"/>
    <w:rsid w:val="004D734C"/>
    <w:rsid w:val="004D7411"/>
    <w:rsid w:val="004D7C7E"/>
    <w:rsid w:val="004E014E"/>
    <w:rsid w:val="004E05EF"/>
    <w:rsid w:val="004E1460"/>
    <w:rsid w:val="004E1715"/>
    <w:rsid w:val="004E174C"/>
    <w:rsid w:val="004E21D5"/>
    <w:rsid w:val="004E28B1"/>
    <w:rsid w:val="004E3F7B"/>
    <w:rsid w:val="004E405E"/>
    <w:rsid w:val="004E4321"/>
    <w:rsid w:val="004E55A6"/>
    <w:rsid w:val="004E5978"/>
    <w:rsid w:val="004E6185"/>
    <w:rsid w:val="004E6394"/>
    <w:rsid w:val="004E6E48"/>
    <w:rsid w:val="004E754E"/>
    <w:rsid w:val="004E75D6"/>
    <w:rsid w:val="004E76CC"/>
    <w:rsid w:val="004E792C"/>
    <w:rsid w:val="004E7F64"/>
    <w:rsid w:val="004F0245"/>
    <w:rsid w:val="004F0DC4"/>
    <w:rsid w:val="004F0FC6"/>
    <w:rsid w:val="004F1887"/>
    <w:rsid w:val="004F1B60"/>
    <w:rsid w:val="004F2653"/>
    <w:rsid w:val="004F370F"/>
    <w:rsid w:val="004F3DF9"/>
    <w:rsid w:val="004F4399"/>
    <w:rsid w:val="004F545B"/>
    <w:rsid w:val="004F55F8"/>
    <w:rsid w:val="004F6EE4"/>
    <w:rsid w:val="004F78AB"/>
    <w:rsid w:val="005006F2"/>
    <w:rsid w:val="00501DEF"/>
    <w:rsid w:val="0050229A"/>
    <w:rsid w:val="00502379"/>
    <w:rsid w:val="00502E73"/>
    <w:rsid w:val="00504057"/>
    <w:rsid w:val="00504241"/>
    <w:rsid w:val="005042B9"/>
    <w:rsid w:val="005042E2"/>
    <w:rsid w:val="00504FCE"/>
    <w:rsid w:val="00505436"/>
    <w:rsid w:val="0050543C"/>
    <w:rsid w:val="00506266"/>
    <w:rsid w:val="005068FD"/>
    <w:rsid w:val="0051028A"/>
    <w:rsid w:val="00510480"/>
    <w:rsid w:val="005122DE"/>
    <w:rsid w:val="0051233B"/>
    <w:rsid w:val="00512B1A"/>
    <w:rsid w:val="00514854"/>
    <w:rsid w:val="00515EAC"/>
    <w:rsid w:val="00516C5A"/>
    <w:rsid w:val="00516D9E"/>
    <w:rsid w:val="00520027"/>
    <w:rsid w:val="00520C59"/>
    <w:rsid w:val="00520FA0"/>
    <w:rsid w:val="005220E0"/>
    <w:rsid w:val="00522762"/>
    <w:rsid w:val="005236A0"/>
    <w:rsid w:val="005237B4"/>
    <w:rsid w:val="00523FD1"/>
    <w:rsid w:val="00524848"/>
    <w:rsid w:val="00524C7B"/>
    <w:rsid w:val="00524E19"/>
    <w:rsid w:val="00525200"/>
    <w:rsid w:val="005257E8"/>
    <w:rsid w:val="00526861"/>
    <w:rsid w:val="00526FD4"/>
    <w:rsid w:val="00527193"/>
    <w:rsid w:val="0052736A"/>
    <w:rsid w:val="005273E4"/>
    <w:rsid w:val="00530354"/>
    <w:rsid w:val="00530721"/>
    <w:rsid w:val="0053114E"/>
    <w:rsid w:val="00531F98"/>
    <w:rsid w:val="00532477"/>
    <w:rsid w:val="005324AB"/>
    <w:rsid w:val="0053340D"/>
    <w:rsid w:val="005336D3"/>
    <w:rsid w:val="00534866"/>
    <w:rsid w:val="00534F90"/>
    <w:rsid w:val="0053568D"/>
    <w:rsid w:val="00535DD1"/>
    <w:rsid w:val="00537AAC"/>
    <w:rsid w:val="005416A2"/>
    <w:rsid w:val="00542384"/>
    <w:rsid w:val="00543CDC"/>
    <w:rsid w:val="0054420B"/>
    <w:rsid w:val="0054466A"/>
    <w:rsid w:val="005449A1"/>
    <w:rsid w:val="005454C9"/>
    <w:rsid w:val="0054626A"/>
    <w:rsid w:val="00546B68"/>
    <w:rsid w:val="00547691"/>
    <w:rsid w:val="005508AF"/>
    <w:rsid w:val="00550CEC"/>
    <w:rsid w:val="00550E12"/>
    <w:rsid w:val="005521FE"/>
    <w:rsid w:val="00552C5F"/>
    <w:rsid w:val="0055349C"/>
    <w:rsid w:val="005535C0"/>
    <w:rsid w:val="00554236"/>
    <w:rsid w:val="0055424D"/>
    <w:rsid w:val="005550EE"/>
    <w:rsid w:val="00555540"/>
    <w:rsid w:val="00555676"/>
    <w:rsid w:val="00555B55"/>
    <w:rsid w:val="00555C3F"/>
    <w:rsid w:val="005576C1"/>
    <w:rsid w:val="00557D4E"/>
    <w:rsid w:val="00557E48"/>
    <w:rsid w:val="005600CF"/>
    <w:rsid w:val="005617C5"/>
    <w:rsid w:val="00561A89"/>
    <w:rsid w:val="00562CF0"/>
    <w:rsid w:val="00563950"/>
    <w:rsid w:val="005641ED"/>
    <w:rsid w:val="005645C1"/>
    <w:rsid w:val="00565137"/>
    <w:rsid w:val="00565759"/>
    <w:rsid w:val="005674B5"/>
    <w:rsid w:val="00567D01"/>
    <w:rsid w:val="00567E6C"/>
    <w:rsid w:val="00571488"/>
    <w:rsid w:val="0057186A"/>
    <w:rsid w:val="00571F34"/>
    <w:rsid w:val="005723D0"/>
    <w:rsid w:val="00574854"/>
    <w:rsid w:val="00574B8C"/>
    <w:rsid w:val="005761C5"/>
    <w:rsid w:val="00576554"/>
    <w:rsid w:val="00580BC8"/>
    <w:rsid w:val="00581703"/>
    <w:rsid w:val="005827A2"/>
    <w:rsid w:val="00584E87"/>
    <w:rsid w:val="005875C2"/>
    <w:rsid w:val="00587F72"/>
    <w:rsid w:val="0059105A"/>
    <w:rsid w:val="00591276"/>
    <w:rsid w:val="00591278"/>
    <w:rsid w:val="0059140C"/>
    <w:rsid w:val="0059205C"/>
    <w:rsid w:val="005927FF"/>
    <w:rsid w:val="00594505"/>
    <w:rsid w:val="00594B8A"/>
    <w:rsid w:val="00594E91"/>
    <w:rsid w:val="005952B6"/>
    <w:rsid w:val="00596AB0"/>
    <w:rsid w:val="00597031"/>
    <w:rsid w:val="005971F6"/>
    <w:rsid w:val="005979E7"/>
    <w:rsid w:val="00597A05"/>
    <w:rsid w:val="00597ACC"/>
    <w:rsid w:val="005A13D1"/>
    <w:rsid w:val="005A5D9F"/>
    <w:rsid w:val="005A6153"/>
    <w:rsid w:val="005A6604"/>
    <w:rsid w:val="005A6B9A"/>
    <w:rsid w:val="005A7543"/>
    <w:rsid w:val="005A7E3B"/>
    <w:rsid w:val="005B0463"/>
    <w:rsid w:val="005B057E"/>
    <w:rsid w:val="005B0CC7"/>
    <w:rsid w:val="005B0D69"/>
    <w:rsid w:val="005B1EEA"/>
    <w:rsid w:val="005B24AD"/>
    <w:rsid w:val="005B2CA3"/>
    <w:rsid w:val="005B3B90"/>
    <w:rsid w:val="005B4CBD"/>
    <w:rsid w:val="005B4E4A"/>
    <w:rsid w:val="005B5317"/>
    <w:rsid w:val="005B5BD8"/>
    <w:rsid w:val="005B5EE4"/>
    <w:rsid w:val="005B610C"/>
    <w:rsid w:val="005B6638"/>
    <w:rsid w:val="005B7E63"/>
    <w:rsid w:val="005C006B"/>
    <w:rsid w:val="005C09DA"/>
    <w:rsid w:val="005C2BAA"/>
    <w:rsid w:val="005C3C20"/>
    <w:rsid w:val="005C44DE"/>
    <w:rsid w:val="005C498C"/>
    <w:rsid w:val="005C64A9"/>
    <w:rsid w:val="005C7270"/>
    <w:rsid w:val="005C7E06"/>
    <w:rsid w:val="005D10E1"/>
    <w:rsid w:val="005D13C7"/>
    <w:rsid w:val="005D1576"/>
    <w:rsid w:val="005D1BD3"/>
    <w:rsid w:val="005D337D"/>
    <w:rsid w:val="005D35CF"/>
    <w:rsid w:val="005D3899"/>
    <w:rsid w:val="005D3BF9"/>
    <w:rsid w:val="005D3EF8"/>
    <w:rsid w:val="005D4741"/>
    <w:rsid w:val="005D48FF"/>
    <w:rsid w:val="005D4A1D"/>
    <w:rsid w:val="005D59B0"/>
    <w:rsid w:val="005D6479"/>
    <w:rsid w:val="005D6A0A"/>
    <w:rsid w:val="005D6BBD"/>
    <w:rsid w:val="005E162A"/>
    <w:rsid w:val="005E1CEB"/>
    <w:rsid w:val="005E2081"/>
    <w:rsid w:val="005E3002"/>
    <w:rsid w:val="005E455F"/>
    <w:rsid w:val="005E4A1D"/>
    <w:rsid w:val="005E6302"/>
    <w:rsid w:val="005E6CA5"/>
    <w:rsid w:val="005E73D9"/>
    <w:rsid w:val="005E78DB"/>
    <w:rsid w:val="005F0980"/>
    <w:rsid w:val="005F1070"/>
    <w:rsid w:val="005F10A3"/>
    <w:rsid w:val="005F10F7"/>
    <w:rsid w:val="005F1404"/>
    <w:rsid w:val="005F1D97"/>
    <w:rsid w:val="005F25D0"/>
    <w:rsid w:val="005F2837"/>
    <w:rsid w:val="005F28C9"/>
    <w:rsid w:val="005F2DE7"/>
    <w:rsid w:val="005F338F"/>
    <w:rsid w:val="005F3C37"/>
    <w:rsid w:val="005F41B7"/>
    <w:rsid w:val="005F422F"/>
    <w:rsid w:val="005F43B3"/>
    <w:rsid w:val="005F4675"/>
    <w:rsid w:val="005F52AE"/>
    <w:rsid w:val="005F5EC2"/>
    <w:rsid w:val="005F62BF"/>
    <w:rsid w:val="005F6C37"/>
    <w:rsid w:val="005F6F09"/>
    <w:rsid w:val="005F7542"/>
    <w:rsid w:val="0060039A"/>
    <w:rsid w:val="00600436"/>
    <w:rsid w:val="00600CE9"/>
    <w:rsid w:val="00601726"/>
    <w:rsid w:val="00601A43"/>
    <w:rsid w:val="00601A61"/>
    <w:rsid w:val="00602F05"/>
    <w:rsid w:val="0060315C"/>
    <w:rsid w:val="00604169"/>
    <w:rsid w:val="00604C4D"/>
    <w:rsid w:val="006055F9"/>
    <w:rsid w:val="00605D41"/>
    <w:rsid w:val="00606BAE"/>
    <w:rsid w:val="006074EF"/>
    <w:rsid w:val="006074FE"/>
    <w:rsid w:val="006075C9"/>
    <w:rsid w:val="006075F4"/>
    <w:rsid w:val="006076FD"/>
    <w:rsid w:val="00607B9B"/>
    <w:rsid w:val="00610327"/>
    <w:rsid w:val="00610DB2"/>
    <w:rsid w:val="0061132E"/>
    <w:rsid w:val="00611405"/>
    <w:rsid w:val="006124B8"/>
    <w:rsid w:val="00613746"/>
    <w:rsid w:val="0061383C"/>
    <w:rsid w:val="0061401C"/>
    <w:rsid w:val="006142F4"/>
    <w:rsid w:val="00616CA7"/>
    <w:rsid w:val="00616D5B"/>
    <w:rsid w:val="0062033B"/>
    <w:rsid w:val="006207B9"/>
    <w:rsid w:val="00620B35"/>
    <w:rsid w:val="00620EB5"/>
    <w:rsid w:val="0062119C"/>
    <w:rsid w:val="00621458"/>
    <w:rsid w:val="006223DB"/>
    <w:rsid w:val="00622866"/>
    <w:rsid w:val="00622D59"/>
    <w:rsid w:val="00624CD0"/>
    <w:rsid w:val="006253F0"/>
    <w:rsid w:val="00625678"/>
    <w:rsid w:val="006256FE"/>
    <w:rsid w:val="00625FB8"/>
    <w:rsid w:val="00626D22"/>
    <w:rsid w:val="00626E4E"/>
    <w:rsid w:val="00627C6A"/>
    <w:rsid w:val="00630A36"/>
    <w:rsid w:val="00630CEF"/>
    <w:rsid w:val="00631999"/>
    <w:rsid w:val="00631D5E"/>
    <w:rsid w:val="00633189"/>
    <w:rsid w:val="00634082"/>
    <w:rsid w:val="00634337"/>
    <w:rsid w:val="0063582E"/>
    <w:rsid w:val="006364E6"/>
    <w:rsid w:val="00636726"/>
    <w:rsid w:val="00637252"/>
    <w:rsid w:val="006379B5"/>
    <w:rsid w:val="00640375"/>
    <w:rsid w:val="00641BD4"/>
    <w:rsid w:val="00641D42"/>
    <w:rsid w:val="0064253D"/>
    <w:rsid w:val="006425AF"/>
    <w:rsid w:val="00643301"/>
    <w:rsid w:val="00643AC1"/>
    <w:rsid w:val="00643EDD"/>
    <w:rsid w:val="006449E1"/>
    <w:rsid w:val="00645191"/>
    <w:rsid w:val="006453B4"/>
    <w:rsid w:val="006472FE"/>
    <w:rsid w:val="0064763F"/>
    <w:rsid w:val="00650960"/>
    <w:rsid w:val="00651B35"/>
    <w:rsid w:val="0065291D"/>
    <w:rsid w:val="00652BA0"/>
    <w:rsid w:val="00653241"/>
    <w:rsid w:val="00653354"/>
    <w:rsid w:val="006537C6"/>
    <w:rsid w:val="0065406C"/>
    <w:rsid w:val="00654AD7"/>
    <w:rsid w:val="0065512A"/>
    <w:rsid w:val="006554EF"/>
    <w:rsid w:val="00655690"/>
    <w:rsid w:val="00655D93"/>
    <w:rsid w:val="00656513"/>
    <w:rsid w:val="00656E60"/>
    <w:rsid w:val="0065751D"/>
    <w:rsid w:val="0065760D"/>
    <w:rsid w:val="006600FE"/>
    <w:rsid w:val="00660162"/>
    <w:rsid w:val="006609FC"/>
    <w:rsid w:val="00660A9C"/>
    <w:rsid w:val="0066100E"/>
    <w:rsid w:val="006612C3"/>
    <w:rsid w:val="00661E11"/>
    <w:rsid w:val="006624C8"/>
    <w:rsid w:val="0066277D"/>
    <w:rsid w:val="00662DCB"/>
    <w:rsid w:val="006630B4"/>
    <w:rsid w:val="0066448B"/>
    <w:rsid w:val="00664EE1"/>
    <w:rsid w:val="00665775"/>
    <w:rsid w:val="00665A45"/>
    <w:rsid w:val="00665E5B"/>
    <w:rsid w:val="00666B07"/>
    <w:rsid w:val="006676DA"/>
    <w:rsid w:val="00667CBF"/>
    <w:rsid w:val="00667FBE"/>
    <w:rsid w:val="006710D0"/>
    <w:rsid w:val="006714E3"/>
    <w:rsid w:val="00671E71"/>
    <w:rsid w:val="00673ABC"/>
    <w:rsid w:val="006743E1"/>
    <w:rsid w:val="006747A7"/>
    <w:rsid w:val="00676288"/>
    <w:rsid w:val="00677019"/>
    <w:rsid w:val="006776E3"/>
    <w:rsid w:val="00677BF6"/>
    <w:rsid w:val="00680A95"/>
    <w:rsid w:val="006815A2"/>
    <w:rsid w:val="00683D98"/>
    <w:rsid w:val="0068552F"/>
    <w:rsid w:val="00685C38"/>
    <w:rsid w:val="00685F93"/>
    <w:rsid w:val="0068671C"/>
    <w:rsid w:val="00686751"/>
    <w:rsid w:val="00686773"/>
    <w:rsid w:val="0068689C"/>
    <w:rsid w:val="00686B23"/>
    <w:rsid w:val="00686BDB"/>
    <w:rsid w:val="00687794"/>
    <w:rsid w:val="00687B32"/>
    <w:rsid w:val="00687F0A"/>
    <w:rsid w:val="00687F51"/>
    <w:rsid w:val="00690AB1"/>
    <w:rsid w:val="00691A2A"/>
    <w:rsid w:val="0069429D"/>
    <w:rsid w:val="00694B73"/>
    <w:rsid w:val="00694BE3"/>
    <w:rsid w:val="00694DD8"/>
    <w:rsid w:val="00695605"/>
    <w:rsid w:val="00695BE7"/>
    <w:rsid w:val="00695C34"/>
    <w:rsid w:val="00696B26"/>
    <w:rsid w:val="00697116"/>
    <w:rsid w:val="0069749B"/>
    <w:rsid w:val="00697E10"/>
    <w:rsid w:val="00697EF7"/>
    <w:rsid w:val="006A1329"/>
    <w:rsid w:val="006A1EAD"/>
    <w:rsid w:val="006A25A6"/>
    <w:rsid w:val="006A2AF4"/>
    <w:rsid w:val="006A3593"/>
    <w:rsid w:val="006A376E"/>
    <w:rsid w:val="006A41B1"/>
    <w:rsid w:val="006A44C3"/>
    <w:rsid w:val="006A4D8D"/>
    <w:rsid w:val="006A4E9A"/>
    <w:rsid w:val="006A555D"/>
    <w:rsid w:val="006A680D"/>
    <w:rsid w:val="006A6F4A"/>
    <w:rsid w:val="006A744C"/>
    <w:rsid w:val="006A787C"/>
    <w:rsid w:val="006A7A37"/>
    <w:rsid w:val="006A7D1B"/>
    <w:rsid w:val="006B0D15"/>
    <w:rsid w:val="006B237F"/>
    <w:rsid w:val="006B23FD"/>
    <w:rsid w:val="006B2A4E"/>
    <w:rsid w:val="006B2BBD"/>
    <w:rsid w:val="006B32A9"/>
    <w:rsid w:val="006B37E5"/>
    <w:rsid w:val="006B4DC2"/>
    <w:rsid w:val="006B4DCC"/>
    <w:rsid w:val="006B60BF"/>
    <w:rsid w:val="006B60DD"/>
    <w:rsid w:val="006B6B3F"/>
    <w:rsid w:val="006B6DCD"/>
    <w:rsid w:val="006B754F"/>
    <w:rsid w:val="006B761F"/>
    <w:rsid w:val="006B7E0A"/>
    <w:rsid w:val="006C2619"/>
    <w:rsid w:val="006C2E79"/>
    <w:rsid w:val="006C3096"/>
    <w:rsid w:val="006C35A9"/>
    <w:rsid w:val="006C3C04"/>
    <w:rsid w:val="006C4630"/>
    <w:rsid w:val="006C517B"/>
    <w:rsid w:val="006C58EA"/>
    <w:rsid w:val="006C60B9"/>
    <w:rsid w:val="006C64B4"/>
    <w:rsid w:val="006C745A"/>
    <w:rsid w:val="006D075C"/>
    <w:rsid w:val="006D0A11"/>
    <w:rsid w:val="006D0D54"/>
    <w:rsid w:val="006D0F7F"/>
    <w:rsid w:val="006D1B3F"/>
    <w:rsid w:val="006D3143"/>
    <w:rsid w:val="006D32EB"/>
    <w:rsid w:val="006D3608"/>
    <w:rsid w:val="006D3737"/>
    <w:rsid w:val="006D3C81"/>
    <w:rsid w:val="006D3E19"/>
    <w:rsid w:val="006D499F"/>
    <w:rsid w:val="006D4FC1"/>
    <w:rsid w:val="006D50F7"/>
    <w:rsid w:val="006D55AC"/>
    <w:rsid w:val="006D5CD8"/>
    <w:rsid w:val="006D6070"/>
    <w:rsid w:val="006D61BF"/>
    <w:rsid w:val="006D6AC3"/>
    <w:rsid w:val="006D728F"/>
    <w:rsid w:val="006D7B2E"/>
    <w:rsid w:val="006D7D44"/>
    <w:rsid w:val="006E0E5B"/>
    <w:rsid w:val="006E0F78"/>
    <w:rsid w:val="006E19AD"/>
    <w:rsid w:val="006E1D97"/>
    <w:rsid w:val="006E2F25"/>
    <w:rsid w:val="006E3A84"/>
    <w:rsid w:val="006E3E22"/>
    <w:rsid w:val="006E4D8A"/>
    <w:rsid w:val="006E5FDE"/>
    <w:rsid w:val="006E6E1F"/>
    <w:rsid w:val="006E743F"/>
    <w:rsid w:val="006F01E8"/>
    <w:rsid w:val="006F08ED"/>
    <w:rsid w:val="006F12D6"/>
    <w:rsid w:val="006F1494"/>
    <w:rsid w:val="006F22FC"/>
    <w:rsid w:val="006F274E"/>
    <w:rsid w:val="006F2B98"/>
    <w:rsid w:val="006F2CA8"/>
    <w:rsid w:val="006F32CB"/>
    <w:rsid w:val="006F33AB"/>
    <w:rsid w:val="006F3A6D"/>
    <w:rsid w:val="006F5090"/>
    <w:rsid w:val="006F52BB"/>
    <w:rsid w:val="006F589E"/>
    <w:rsid w:val="006F5910"/>
    <w:rsid w:val="006F6748"/>
    <w:rsid w:val="006F6842"/>
    <w:rsid w:val="0070068E"/>
    <w:rsid w:val="007008B3"/>
    <w:rsid w:val="00700EEC"/>
    <w:rsid w:val="00701B2A"/>
    <w:rsid w:val="00701C01"/>
    <w:rsid w:val="00701C83"/>
    <w:rsid w:val="007031B0"/>
    <w:rsid w:val="00705C17"/>
    <w:rsid w:val="0070666E"/>
    <w:rsid w:val="00706BB5"/>
    <w:rsid w:val="007072D8"/>
    <w:rsid w:val="00710A9F"/>
    <w:rsid w:val="00710BEE"/>
    <w:rsid w:val="007115E3"/>
    <w:rsid w:val="0071254E"/>
    <w:rsid w:val="00712942"/>
    <w:rsid w:val="0071323E"/>
    <w:rsid w:val="007132C5"/>
    <w:rsid w:val="00713D6E"/>
    <w:rsid w:val="0071417B"/>
    <w:rsid w:val="00714765"/>
    <w:rsid w:val="0071522F"/>
    <w:rsid w:val="0071538A"/>
    <w:rsid w:val="00715492"/>
    <w:rsid w:val="007169D1"/>
    <w:rsid w:val="00717C06"/>
    <w:rsid w:val="0072064A"/>
    <w:rsid w:val="0072096B"/>
    <w:rsid w:val="00720B7C"/>
    <w:rsid w:val="0072184B"/>
    <w:rsid w:val="00721D12"/>
    <w:rsid w:val="0072217D"/>
    <w:rsid w:val="007236C2"/>
    <w:rsid w:val="00724322"/>
    <w:rsid w:val="007244C4"/>
    <w:rsid w:val="0072484B"/>
    <w:rsid w:val="007252DB"/>
    <w:rsid w:val="0072610C"/>
    <w:rsid w:val="0072616A"/>
    <w:rsid w:val="00726D2B"/>
    <w:rsid w:val="00727362"/>
    <w:rsid w:val="00727DA6"/>
    <w:rsid w:val="00730334"/>
    <w:rsid w:val="00730355"/>
    <w:rsid w:val="00731D3A"/>
    <w:rsid w:val="00731E2F"/>
    <w:rsid w:val="00732FF7"/>
    <w:rsid w:val="00734278"/>
    <w:rsid w:val="00734446"/>
    <w:rsid w:val="00735436"/>
    <w:rsid w:val="0073570B"/>
    <w:rsid w:val="00737106"/>
    <w:rsid w:val="00737A2A"/>
    <w:rsid w:val="007401D8"/>
    <w:rsid w:val="007411CC"/>
    <w:rsid w:val="00741419"/>
    <w:rsid w:val="00741627"/>
    <w:rsid w:val="00743A59"/>
    <w:rsid w:val="00743D5D"/>
    <w:rsid w:val="0074417C"/>
    <w:rsid w:val="00744F61"/>
    <w:rsid w:val="0074513C"/>
    <w:rsid w:val="00745E66"/>
    <w:rsid w:val="0074675F"/>
    <w:rsid w:val="00746A58"/>
    <w:rsid w:val="00746FD6"/>
    <w:rsid w:val="00747850"/>
    <w:rsid w:val="00750262"/>
    <w:rsid w:val="00751C64"/>
    <w:rsid w:val="0075207F"/>
    <w:rsid w:val="007523BF"/>
    <w:rsid w:val="00752537"/>
    <w:rsid w:val="00753D29"/>
    <w:rsid w:val="00753DD6"/>
    <w:rsid w:val="00754903"/>
    <w:rsid w:val="007551DD"/>
    <w:rsid w:val="0075589A"/>
    <w:rsid w:val="00755C06"/>
    <w:rsid w:val="00756C91"/>
    <w:rsid w:val="00756EE8"/>
    <w:rsid w:val="00757C09"/>
    <w:rsid w:val="00757E87"/>
    <w:rsid w:val="007600E5"/>
    <w:rsid w:val="007600EC"/>
    <w:rsid w:val="00761EE6"/>
    <w:rsid w:val="007621BD"/>
    <w:rsid w:val="0076276D"/>
    <w:rsid w:val="00762D81"/>
    <w:rsid w:val="00763ACB"/>
    <w:rsid w:val="00763C46"/>
    <w:rsid w:val="00764584"/>
    <w:rsid w:val="007654D7"/>
    <w:rsid w:val="00765634"/>
    <w:rsid w:val="00765816"/>
    <w:rsid w:val="00766392"/>
    <w:rsid w:val="00766457"/>
    <w:rsid w:val="00766803"/>
    <w:rsid w:val="0076748C"/>
    <w:rsid w:val="00767B5F"/>
    <w:rsid w:val="007701B7"/>
    <w:rsid w:val="00770618"/>
    <w:rsid w:val="00770AA5"/>
    <w:rsid w:val="00770EE0"/>
    <w:rsid w:val="00771318"/>
    <w:rsid w:val="007716B8"/>
    <w:rsid w:val="00771D3D"/>
    <w:rsid w:val="00771DA4"/>
    <w:rsid w:val="00772153"/>
    <w:rsid w:val="0077346E"/>
    <w:rsid w:val="00773FBB"/>
    <w:rsid w:val="007742AD"/>
    <w:rsid w:val="00775AD3"/>
    <w:rsid w:val="007766B9"/>
    <w:rsid w:val="007772B0"/>
    <w:rsid w:val="007775DD"/>
    <w:rsid w:val="007776D3"/>
    <w:rsid w:val="007776F8"/>
    <w:rsid w:val="00777D03"/>
    <w:rsid w:val="00780602"/>
    <w:rsid w:val="0078065C"/>
    <w:rsid w:val="00781265"/>
    <w:rsid w:val="0078134A"/>
    <w:rsid w:val="00782EC4"/>
    <w:rsid w:val="0078317F"/>
    <w:rsid w:val="00783223"/>
    <w:rsid w:val="007842C5"/>
    <w:rsid w:val="007847C4"/>
    <w:rsid w:val="00784908"/>
    <w:rsid w:val="00790AB8"/>
    <w:rsid w:val="00790C9D"/>
    <w:rsid w:val="00790E2A"/>
    <w:rsid w:val="00792036"/>
    <w:rsid w:val="00792705"/>
    <w:rsid w:val="00793728"/>
    <w:rsid w:val="00793D04"/>
    <w:rsid w:val="00795440"/>
    <w:rsid w:val="00795CAD"/>
    <w:rsid w:val="00795E84"/>
    <w:rsid w:val="007963F0"/>
    <w:rsid w:val="0079795E"/>
    <w:rsid w:val="007A01A6"/>
    <w:rsid w:val="007A078B"/>
    <w:rsid w:val="007A1051"/>
    <w:rsid w:val="007A11EF"/>
    <w:rsid w:val="007A1815"/>
    <w:rsid w:val="007A2CC2"/>
    <w:rsid w:val="007A309C"/>
    <w:rsid w:val="007A32ED"/>
    <w:rsid w:val="007A3471"/>
    <w:rsid w:val="007A4DA6"/>
    <w:rsid w:val="007A5022"/>
    <w:rsid w:val="007A6DCA"/>
    <w:rsid w:val="007A7C7F"/>
    <w:rsid w:val="007B0D40"/>
    <w:rsid w:val="007B1DBB"/>
    <w:rsid w:val="007B2063"/>
    <w:rsid w:val="007B2364"/>
    <w:rsid w:val="007B2B55"/>
    <w:rsid w:val="007B2B8F"/>
    <w:rsid w:val="007B2BA6"/>
    <w:rsid w:val="007B2FBF"/>
    <w:rsid w:val="007B3898"/>
    <w:rsid w:val="007B3B18"/>
    <w:rsid w:val="007B6526"/>
    <w:rsid w:val="007B6862"/>
    <w:rsid w:val="007B6B60"/>
    <w:rsid w:val="007B6E30"/>
    <w:rsid w:val="007B7168"/>
    <w:rsid w:val="007B792B"/>
    <w:rsid w:val="007B7C84"/>
    <w:rsid w:val="007C0877"/>
    <w:rsid w:val="007C1963"/>
    <w:rsid w:val="007C2D34"/>
    <w:rsid w:val="007C3FC0"/>
    <w:rsid w:val="007C41A8"/>
    <w:rsid w:val="007C41EC"/>
    <w:rsid w:val="007C4872"/>
    <w:rsid w:val="007C4891"/>
    <w:rsid w:val="007C519E"/>
    <w:rsid w:val="007C57B9"/>
    <w:rsid w:val="007C5ADF"/>
    <w:rsid w:val="007C681E"/>
    <w:rsid w:val="007C7170"/>
    <w:rsid w:val="007C7357"/>
    <w:rsid w:val="007C7AE4"/>
    <w:rsid w:val="007C7C14"/>
    <w:rsid w:val="007D0090"/>
    <w:rsid w:val="007D0DB9"/>
    <w:rsid w:val="007D0F34"/>
    <w:rsid w:val="007D2D0C"/>
    <w:rsid w:val="007D46A1"/>
    <w:rsid w:val="007D4D70"/>
    <w:rsid w:val="007D4DFA"/>
    <w:rsid w:val="007D664B"/>
    <w:rsid w:val="007D66D9"/>
    <w:rsid w:val="007D6937"/>
    <w:rsid w:val="007D6DBB"/>
    <w:rsid w:val="007D76D4"/>
    <w:rsid w:val="007E025F"/>
    <w:rsid w:val="007E1294"/>
    <w:rsid w:val="007E1BBE"/>
    <w:rsid w:val="007E1DB9"/>
    <w:rsid w:val="007E21DB"/>
    <w:rsid w:val="007E21F1"/>
    <w:rsid w:val="007E2B0B"/>
    <w:rsid w:val="007E2C14"/>
    <w:rsid w:val="007E39A4"/>
    <w:rsid w:val="007E45A2"/>
    <w:rsid w:val="007E47E7"/>
    <w:rsid w:val="007E4C9C"/>
    <w:rsid w:val="007E5BE8"/>
    <w:rsid w:val="007E6A77"/>
    <w:rsid w:val="007E6AC9"/>
    <w:rsid w:val="007F0AD5"/>
    <w:rsid w:val="007F2688"/>
    <w:rsid w:val="007F32BF"/>
    <w:rsid w:val="007F3686"/>
    <w:rsid w:val="007F3BB4"/>
    <w:rsid w:val="007F3F02"/>
    <w:rsid w:val="007F568A"/>
    <w:rsid w:val="007F654C"/>
    <w:rsid w:val="007F6B11"/>
    <w:rsid w:val="007F741F"/>
    <w:rsid w:val="007F79BA"/>
    <w:rsid w:val="00800DFB"/>
    <w:rsid w:val="008012F1"/>
    <w:rsid w:val="00801A66"/>
    <w:rsid w:val="00803559"/>
    <w:rsid w:val="00803762"/>
    <w:rsid w:val="00805302"/>
    <w:rsid w:val="00805412"/>
    <w:rsid w:val="008063CE"/>
    <w:rsid w:val="00806453"/>
    <w:rsid w:val="00807421"/>
    <w:rsid w:val="008078AB"/>
    <w:rsid w:val="00807BBC"/>
    <w:rsid w:val="0081041D"/>
    <w:rsid w:val="00810839"/>
    <w:rsid w:val="0081250F"/>
    <w:rsid w:val="00812788"/>
    <w:rsid w:val="0081398C"/>
    <w:rsid w:val="00814000"/>
    <w:rsid w:val="00814C4D"/>
    <w:rsid w:val="00816DBD"/>
    <w:rsid w:val="0081785D"/>
    <w:rsid w:val="00817A2D"/>
    <w:rsid w:val="0082099F"/>
    <w:rsid w:val="00820A8D"/>
    <w:rsid w:val="00821091"/>
    <w:rsid w:val="00821287"/>
    <w:rsid w:val="00821BA1"/>
    <w:rsid w:val="00821CFD"/>
    <w:rsid w:val="008220DC"/>
    <w:rsid w:val="00822A70"/>
    <w:rsid w:val="00822F37"/>
    <w:rsid w:val="00827AF0"/>
    <w:rsid w:val="00831841"/>
    <w:rsid w:val="00831D98"/>
    <w:rsid w:val="008321FE"/>
    <w:rsid w:val="008322EC"/>
    <w:rsid w:val="00832318"/>
    <w:rsid w:val="00832325"/>
    <w:rsid w:val="00832F41"/>
    <w:rsid w:val="00835D41"/>
    <w:rsid w:val="00836860"/>
    <w:rsid w:val="00840882"/>
    <w:rsid w:val="00840CC9"/>
    <w:rsid w:val="00841E65"/>
    <w:rsid w:val="00842702"/>
    <w:rsid w:val="008427DB"/>
    <w:rsid w:val="0084356D"/>
    <w:rsid w:val="00843619"/>
    <w:rsid w:val="0084365E"/>
    <w:rsid w:val="00843AC7"/>
    <w:rsid w:val="00843DF5"/>
    <w:rsid w:val="008440C0"/>
    <w:rsid w:val="00844732"/>
    <w:rsid w:val="008452A4"/>
    <w:rsid w:val="00846CA8"/>
    <w:rsid w:val="0084792B"/>
    <w:rsid w:val="00847E1F"/>
    <w:rsid w:val="008504A0"/>
    <w:rsid w:val="008504F5"/>
    <w:rsid w:val="00850CBB"/>
    <w:rsid w:val="008511BB"/>
    <w:rsid w:val="008539C9"/>
    <w:rsid w:val="00853D72"/>
    <w:rsid w:val="00854043"/>
    <w:rsid w:val="008545DD"/>
    <w:rsid w:val="00854C7D"/>
    <w:rsid w:val="00854FF5"/>
    <w:rsid w:val="008560FF"/>
    <w:rsid w:val="00860507"/>
    <w:rsid w:val="00860E84"/>
    <w:rsid w:val="0086108E"/>
    <w:rsid w:val="0086136E"/>
    <w:rsid w:val="00861F2E"/>
    <w:rsid w:val="008629E4"/>
    <w:rsid w:val="00863417"/>
    <w:rsid w:val="00863B04"/>
    <w:rsid w:val="008651E1"/>
    <w:rsid w:val="008660C3"/>
    <w:rsid w:val="0086652B"/>
    <w:rsid w:val="00867147"/>
    <w:rsid w:val="00867E72"/>
    <w:rsid w:val="00870231"/>
    <w:rsid w:val="00871026"/>
    <w:rsid w:val="008711F5"/>
    <w:rsid w:val="00871EC6"/>
    <w:rsid w:val="00872453"/>
    <w:rsid w:val="00872F25"/>
    <w:rsid w:val="00873205"/>
    <w:rsid w:val="0087361E"/>
    <w:rsid w:val="00873B8F"/>
    <w:rsid w:val="00873BC5"/>
    <w:rsid w:val="008741A2"/>
    <w:rsid w:val="00875612"/>
    <w:rsid w:val="00875F2D"/>
    <w:rsid w:val="00875F7D"/>
    <w:rsid w:val="0087667A"/>
    <w:rsid w:val="00876680"/>
    <w:rsid w:val="00876FB5"/>
    <w:rsid w:val="00876FFF"/>
    <w:rsid w:val="0088025B"/>
    <w:rsid w:val="00881E66"/>
    <w:rsid w:val="008820A6"/>
    <w:rsid w:val="00882277"/>
    <w:rsid w:val="0088273A"/>
    <w:rsid w:val="00882A7E"/>
    <w:rsid w:val="0088353B"/>
    <w:rsid w:val="00883674"/>
    <w:rsid w:val="00883FF3"/>
    <w:rsid w:val="00884284"/>
    <w:rsid w:val="00884358"/>
    <w:rsid w:val="00884D07"/>
    <w:rsid w:val="008854DC"/>
    <w:rsid w:val="00885A16"/>
    <w:rsid w:val="00886221"/>
    <w:rsid w:val="00886645"/>
    <w:rsid w:val="008877DE"/>
    <w:rsid w:val="00887BA4"/>
    <w:rsid w:val="00887BE2"/>
    <w:rsid w:val="00890061"/>
    <w:rsid w:val="00891570"/>
    <w:rsid w:val="008917A6"/>
    <w:rsid w:val="0089343C"/>
    <w:rsid w:val="00893C67"/>
    <w:rsid w:val="00894571"/>
    <w:rsid w:val="00894FD2"/>
    <w:rsid w:val="00895297"/>
    <w:rsid w:val="00895DEE"/>
    <w:rsid w:val="008966D7"/>
    <w:rsid w:val="008967CF"/>
    <w:rsid w:val="0089728E"/>
    <w:rsid w:val="00897B2B"/>
    <w:rsid w:val="008A0006"/>
    <w:rsid w:val="008A0315"/>
    <w:rsid w:val="008A0386"/>
    <w:rsid w:val="008A0975"/>
    <w:rsid w:val="008A3175"/>
    <w:rsid w:val="008A31C5"/>
    <w:rsid w:val="008A3ABE"/>
    <w:rsid w:val="008A490A"/>
    <w:rsid w:val="008A498A"/>
    <w:rsid w:val="008A4B7C"/>
    <w:rsid w:val="008A5148"/>
    <w:rsid w:val="008A582D"/>
    <w:rsid w:val="008A59ED"/>
    <w:rsid w:val="008A5C5B"/>
    <w:rsid w:val="008A601D"/>
    <w:rsid w:val="008A74E0"/>
    <w:rsid w:val="008B00F0"/>
    <w:rsid w:val="008B04C0"/>
    <w:rsid w:val="008B09F8"/>
    <w:rsid w:val="008B0F9F"/>
    <w:rsid w:val="008B1561"/>
    <w:rsid w:val="008B1B50"/>
    <w:rsid w:val="008B224A"/>
    <w:rsid w:val="008B230E"/>
    <w:rsid w:val="008B2A3D"/>
    <w:rsid w:val="008B2DA3"/>
    <w:rsid w:val="008B2FB3"/>
    <w:rsid w:val="008B3A9D"/>
    <w:rsid w:val="008B3E9A"/>
    <w:rsid w:val="008B5DF1"/>
    <w:rsid w:val="008B7675"/>
    <w:rsid w:val="008B7E60"/>
    <w:rsid w:val="008B7EAC"/>
    <w:rsid w:val="008C074A"/>
    <w:rsid w:val="008C0993"/>
    <w:rsid w:val="008C0C4B"/>
    <w:rsid w:val="008C0CD4"/>
    <w:rsid w:val="008C0F49"/>
    <w:rsid w:val="008C1A61"/>
    <w:rsid w:val="008C1D36"/>
    <w:rsid w:val="008C24F8"/>
    <w:rsid w:val="008C25B7"/>
    <w:rsid w:val="008C2AE9"/>
    <w:rsid w:val="008C34EB"/>
    <w:rsid w:val="008C363F"/>
    <w:rsid w:val="008C3666"/>
    <w:rsid w:val="008C3D95"/>
    <w:rsid w:val="008C3F78"/>
    <w:rsid w:val="008C4AD5"/>
    <w:rsid w:val="008C4C12"/>
    <w:rsid w:val="008C6610"/>
    <w:rsid w:val="008C6BFE"/>
    <w:rsid w:val="008C707A"/>
    <w:rsid w:val="008C72A2"/>
    <w:rsid w:val="008C742A"/>
    <w:rsid w:val="008C7FD1"/>
    <w:rsid w:val="008D0B90"/>
    <w:rsid w:val="008D0C08"/>
    <w:rsid w:val="008D1B7B"/>
    <w:rsid w:val="008D1F80"/>
    <w:rsid w:val="008D23CE"/>
    <w:rsid w:val="008D2585"/>
    <w:rsid w:val="008D2D11"/>
    <w:rsid w:val="008D379A"/>
    <w:rsid w:val="008D3997"/>
    <w:rsid w:val="008D3B3C"/>
    <w:rsid w:val="008D3F6E"/>
    <w:rsid w:val="008D4167"/>
    <w:rsid w:val="008D43B1"/>
    <w:rsid w:val="008D4DA5"/>
    <w:rsid w:val="008D53E3"/>
    <w:rsid w:val="008D5BBD"/>
    <w:rsid w:val="008D6128"/>
    <w:rsid w:val="008D626C"/>
    <w:rsid w:val="008D7470"/>
    <w:rsid w:val="008D7E15"/>
    <w:rsid w:val="008E0A6E"/>
    <w:rsid w:val="008E10CF"/>
    <w:rsid w:val="008E1950"/>
    <w:rsid w:val="008E35F1"/>
    <w:rsid w:val="008E3C97"/>
    <w:rsid w:val="008E41CD"/>
    <w:rsid w:val="008E61D3"/>
    <w:rsid w:val="008E6C6B"/>
    <w:rsid w:val="008E74C1"/>
    <w:rsid w:val="008E7839"/>
    <w:rsid w:val="008E7A33"/>
    <w:rsid w:val="008E7C2E"/>
    <w:rsid w:val="008F067C"/>
    <w:rsid w:val="008F0DC8"/>
    <w:rsid w:val="008F108D"/>
    <w:rsid w:val="008F11D8"/>
    <w:rsid w:val="008F1A37"/>
    <w:rsid w:val="008F40CA"/>
    <w:rsid w:val="008F4F9A"/>
    <w:rsid w:val="008F50D2"/>
    <w:rsid w:val="008F53B5"/>
    <w:rsid w:val="008F5971"/>
    <w:rsid w:val="008F5AE5"/>
    <w:rsid w:val="008F5FD4"/>
    <w:rsid w:val="008F646A"/>
    <w:rsid w:val="008F66EB"/>
    <w:rsid w:val="008F7EE4"/>
    <w:rsid w:val="00900150"/>
    <w:rsid w:val="00900207"/>
    <w:rsid w:val="00900373"/>
    <w:rsid w:val="00900A8D"/>
    <w:rsid w:val="00900CE5"/>
    <w:rsid w:val="00901147"/>
    <w:rsid w:val="0090140E"/>
    <w:rsid w:val="00901474"/>
    <w:rsid w:val="009022E9"/>
    <w:rsid w:val="009039DC"/>
    <w:rsid w:val="00904107"/>
    <w:rsid w:val="009056E3"/>
    <w:rsid w:val="00906BD6"/>
    <w:rsid w:val="009071C6"/>
    <w:rsid w:val="009074D2"/>
    <w:rsid w:val="009078BA"/>
    <w:rsid w:val="00910410"/>
    <w:rsid w:val="009110AE"/>
    <w:rsid w:val="00911BC0"/>
    <w:rsid w:val="0091296E"/>
    <w:rsid w:val="00913C4C"/>
    <w:rsid w:val="0091428A"/>
    <w:rsid w:val="0091451D"/>
    <w:rsid w:val="0091475C"/>
    <w:rsid w:val="00916387"/>
    <w:rsid w:val="00916B99"/>
    <w:rsid w:val="00916D6A"/>
    <w:rsid w:val="00920C1D"/>
    <w:rsid w:val="00920C87"/>
    <w:rsid w:val="00921E36"/>
    <w:rsid w:val="0092272F"/>
    <w:rsid w:val="00922F44"/>
    <w:rsid w:val="00923BE1"/>
    <w:rsid w:val="00924456"/>
    <w:rsid w:val="00924F28"/>
    <w:rsid w:val="00925C5A"/>
    <w:rsid w:val="00927DC0"/>
    <w:rsid w:val="00930136"/>
    <w:rsid w:val="00930472"/>
    <w:rsid w:val="00930884"/>
    <w:rsid w:val="0093335C"/>
    <w:rsid w:val="0093376E"/>
    <w:rsid w:val="00933EDD"/>
    <w:rsid w:val="0093430E"/>
    <w:rsid w:val="0093713D"/>
    <w:rsid w:val="00937FB9"/>
    <w:rsid w:val="00940F98"/>
    <w:rsid w:val="009414E8"/>
    <w:rsid w:val="00942556"/>
    <w:rsid w:val="00943B4F"/>
    <w:rsid w:val="00944F90"/>
    <w:rsid w:val="00944F93"/>
    <w:rsid w:val="0094541B"/>
    <w:rsid w:val="00945CD8"/>
    <w:rsid w:val="009466B5"/>
    <w:rsid w:val="00947E04"/>
    <w:rsid w:val="00950662"/>
    <w:rsid w:val="00950A1C"/>
    <w:rsid w:val="00951D64"/>
    <w:rsid w:val="00952296"/>
    <w:rsid w:val="00952FFC"/>
    <w:rsid w:val="00955FBD"/>
    <w:rsid w:val="00956874"/>
    <w:rsid w:val="00957885"/>
    <w:rsid w:val="009609DB"/>
    <w:rsid w:val="00960AB5"/>
    <w:rsid w:val="00961219"/>
    <w:rsid w:val="00961BBF"/>
    <w:rsid w:val="009620D6"/>
    <w:rsid w:val="009625FD"/>
    <w:rsid w:val="00962735"/>
    <w:rsid w:val="0096280F"/>
    <w:rsid w:val="009628D7"/>
    <w:rsid w:val="00963398"/>
    <w:rsid w:val="009636DA"/>
    <w:rsid w:val="00963728"/>
    <w:rsid w:val="00964BC2"/>
    <w:rsid w:val="009652E8"/>
    <w:rsid w:val="009656B4"/>
    <w:rsid w:val="00965DCC"/>
    <w:rsid w:val="00965F5C"/>
    <w:rsid w:val="009672B2"/>
    <w:rsid w:val="0096733F"/>
    <w:rsid w:val="00970196"/>
    <w:rsid w:val="00970714"/>
    <w:rsid w:val="00971260"/>
    <w:rsid w:val="0097144E"/>
    <w:rsid w:val="00971DDF"/>
    <w:rsid w:val="00972577"/>
    <w:rsid w:val="00972D16"/>
    <w:rsid w:val="00973A06"/>
    <w:rsid w:val="00977894"/>
    <w:rsid w:val="00980B05"/>
    <w:rsid w:val="00981BBF"/>
    <w:rsid w:val="00981FDF"/>
    <w:rsid w:val="00982513"/>
    <w:rsid w:val="00982688"/>
    <w:rsid w:val="009829FE"/>
    <w:rsid w:val="00982B8E"/>
    <w:rsid w:val="00984234"/>
    <w:rsid w:val="0098434D"/>
    <w:rsid w:val="00984E0B"/>
    <w:rsid w:val="00985E97"/>
    <w:rsid w:val="00986413"/>
    <w:rsid w:val="009864F7"/>
    <w:rsid w:val="00986599"/>
    <w:rsid w:val="00986708"/>
    <w:rsid w:val="009868B2"/>
    <w:rsid w:val="00986BF0"/>
    <w:rsid w:val="00987427"/>
    <w:rsid w:val="009877D2"/>
    <w:rsid w:val="00992529"/>
    <w:rsid w:val="00992638"/>
    <w:rsid w:val="00992D01"/>
    <w:rsid w:val="00992F4A"/>
    <w:rsid w:val="00995D1C"/>
    <w:rsid w:val="009969FC"/>
    <w:rsid w:val="00996BFF"/>
    <w:rsid w:val="0099708F"/>
    <w:rsid w:val="00997552"/>
    <w:rsid w:val="0099788C"/>
    <w:rsid w:val="009A05AD"/>
    <w:rsid w:val="009A072E"/>
    <w:rsid w:val="009A1012"/>
    <w:rsid w:val="009A150D"/>
    <w:rsid w:val="009A1B64"/>
    <w:rsid w:val="009A30ED"/>
    <w:rsid w:val="009A34EF"/>
    <w:rsid w:val="009A3995"/>
    <w:rsid w:val="009A4084"/>
    <w:rsid w:val="009A45B0"/>
    <w:rsid w:val="009A479E"/>
    <w:rsid w:val="009A77CE"/>
    <w:rsid w:val="009B057D"/>
    <w:rsid w:val="009B0E21"/>
    <w:rsid w:val="009B172F"/>
    <w:rsid w:val="009B199E"/>
    <w:rsid w:val="009B200A"/>
    <w:rsid w:val="009B2326"/>
    <w:rsid w:val="009B2BC3"/>
    <w:rsid w:val="009B2DF9"/>
    <w:rsid w:val="009B39F9"/>
    <w:rsid w:val="009B3F70"/>
    <w:rsid w:val="009B45D0"/>
    <w:rsid w:val="009B4BA5"/>
    <w:rsid w:val="009B5315"/>
    <w:rsid w:val="009B6A81"/>
    <w:rsid w:val="009B70CE"/>
    <w:rsid w:val="009B7D30"/>
    <w:rsid w:val="009B7E02"/>
    <w:rsid w:val="009B7F30"/>
    <w:rsid w:val="009C0D7C"/>
    <w:rsid w:val="009C1030"/>
    <w:rsid w:val="009C222B"/>
    <w:rsid w:val="009C3EA0"/>
    <w:rsid w:val="009C4A2A"/>
    <w:rsid w:val="009C5238"/>
    <w:rsid w:val="009C59BF"/>
    <w:rsid w:val="009C634E"/>
    <w:rsid w:val="009C7016"/>
    <w:rsid w:val="009C78B1"/>
    <w:rsid w:val="009C7F53"/>
    <w:rsid w:val="009D0208"/>
    <w:rsid w:val="009D074F"/>
    <w:rsid w:val="009D1395"/>
    <w:rsid w:val="009D1BD9"/>
    <w:rsid w:val="009D1C8E"/>
    <w:rsid w:val="009D1CAF"/>
    <w:rsid w:val="009D1F6B"/>
    <w:rsid w:val="009D2323"/>
    <w:rsid w:val="009D3DD6"/>
    <w:rsid w:val="009D40FB"/>
    <w:rsid w:val="009D43AE"/>
    <w:rsid w:val="009D47A0"/>
    <w:rsid w:val="009D4E99"/>
    <w:rsid w:val="009D61CE"/>
    <w:rsid w:val="009D71AD"/>
    <w:rsid w:val="009D74E6"/>
    <w:rsid w:val="009E03F7"/>
    <w:rsid w:val="009E04E0"/>
    <w:rsid w:val="009E0EC6"/>
    <w:rsid w:val="009E1084"/>
    <w:rsid w:val="009E243A"/>
    <w:rsid w:val="009E3075"/>
    <w:rsid w:val="009E3D23"/>
    <w:rsid w:val="009E3D8B"/>
    <w:rsid w:val="009E4727"/>
    <w:rsid w:val="009E4EB7"/>
    <w:rsid w:val="009E4EC4"/>
    <w:rsid w:val="009E5245"/>
    <w:rsid w:val="009E5546"/>
    <w:rsid w:val="009E573A"/>
    <w:rsid w:val="009E581B"/>
    <w:rsid w:val="009E5CDE"/>
    <w:rsid w:val="009E60E4"/>
    <w:rsid w:val="009E6B2B"/>
    <w:rsid w:val="009E6BAB"/>
    <w:rsid w:val="009E6E8C"/>
    <w:rsid w:val="009E714E"/>
    <w:rsid w:val="009E7610"/>
    <w:rsid w:val="009E76FF"/>
    <w:rsid w:val="009E7A78"/>
    <w:rsid w:val="009F013F"/>
    <w:rsid w:val="009F08FF"/>
    <w:rsid w:val="009F0BE4"/>
    <w:rsid w:val="009F1585"/>
    <w:rsid w:val="009F36BE"/>
    <w:rsid w:val="009F39EB"/>
    <w:rsid w:val="009F472D"/>
    <w:rsid w:val="009F52F2"/>
    <w:rsid w:val="009F547E"/>
    <w:rsid w:val="009F67A2"/>
    <w:rsid w:val="009F7390"/>
    <w:rsid w:val="009F7BB8"/>
    <w:rsid w:val="00A0161B"/>
    <w:rsid w:val="00A01679"/>
    <w:rsid w:val="00A01B2B"/>
    <w:rsid w:val="00A023BD"/>
    <w:rsid w:val="00A0261E"/>
    <w:rsid w:val="00A02DB1"/>
    <w:rsid w:val="00A03763"/>
    <w:rsid w:val="00A03B1D"/>
    <w:rsid w:val="00A0424B"/>
    <w:rsid w:val="00A04F34"/>
    <w:rsid w:val="00A05A17"/>
    <w:rsid w:val="00A05B70"/>
    <w:rsid w:val="00A06312"/>
    <w:rsid w:val="00A06BE7"/>
    <w:rsid w:val="00A06DD8"/>
    <w:rsid w:val="00A07289"/>
    <w:rsid w:val="00A07CAA"/>
    <w:rsid w:val="00A07E2E"/>
    <w:rsid w:val="00A07E33"/>
    <w:rsid w:val="00A10EF5"/>
    <w:rsid w:val="00A1116C"/>
    <w:rsid w:val="00A113C4"/>
    <w:rsid w:val="00A11953"/>
    <w:rsid w:val="00A1289C"/>
    <w:rsid w:val="00A12EA7"/>
    <w:rsid w:val="00A13445"/>
    <w:rsid w:val="00A145FD"/>
    <w:rsid w:val="00A1498A"/>
    <w:rsid w:val="00A15DB4"/>
    <w:rsid w:val="00A16100"/>
    <w:rsid w:val="00A16747"/>
    <w:rsid w:val="00A210DC"/>
    <w:rsid w:val="00A214E8"/>
    <w:rsid w:val="00A2162F"/>
    <w:rsid w:val="00A21884"/>
    <w:rsid w:val="00A2304B"/>
    <w:rsid w:val="00A23DD6"/>
    <w:rsid w:val="00A2414C"/>
    <w:rsid w:val="00A2454E"/>
    <w:rsid w:val="00A24789"/>
    <w:rsid w:val="00A259C2"/>
    <w:rsid w:val="00A259EF"/>
    <w:rsid w:val="00A25AE1"/>
    <w:rsid w:val="00A26E8F"/>
    <w:rsid w:val="00A2724E"/>
    <w:rsid w:val="00A317E1"/>
    <w:rsid w:val="00A32FA3"/>
    <w:rsid w:val="00A33BD0"/>
    <w:rsid w:val="00A35357"/>
    <w:rsid w:val="00A35448"/>
    <w:rsid w:val="00A355A7"/>
    <w:rsid w:val="00A3624A"/>
    <w:rsid w:val="00A36C9F"/>
    <w:rsid w:val="00A36FBB"/>
    <w:rsid w:val="00A374E4"/>
    <w:rsid w:val="00A3794A"/>
    <w:rsid w:val="00A37DBF"/>
    <w:rsid w:val="00A404D7"/>
    <w:rsid w:val="00A414DF"/>
    <w:rsid w:val="00A415B7"/>
    <w:rsid w:val="00A4181F"/>
    <w:rsid w:val="00A418FC"/>
    <w:rsid w:val="00A41B29"/>
    <w:rsid w:val="00A41E30"/>
    <w:rsid w:val="00A42BFA"/>
    <w:rsid w:val="00A43604"/>
    <w:rsid w:val="00A43796"/>
    <w:rsid w:val="00A45830"/>
    <w:rsid w:val="00A46790"/>
    <w:rsid w:val="00A468C5"/>
    <w:rsid w:val="00A47730"/>
    <w:rsid w:val="00A51FF7"/>
    <w:rsid w:val="00A52B3E"/>
    <w:rsid w:val="00A52C12"/>
    <w:rsid w:val="00A55503"/>
    <w:rsid w:val="00A56706"/>
    <w:rsid w:val="00A577C6"/>
    <w:rsid w:val="00A60612"/>
    <w:rsid w:val="00A62104"/>
    <w:rsid w:val="00A63BBF"/>
    <w:rsid w:val="00A64582"/>
    <w:rsid w:val="00A64E51"/>
    <w:rsid w:val="00A65A4D"/>
    <w:rsid w:val="00A65D18"/>
    <w:rsid w:val="00A66055"/>
    <w:rsid w:val="00A6673B"/>
    <w:rsid w:val="00A66789"/>
    <w:rsid w:val="00A66BE4"/>
    <w:rsid w:val="00A6731E"/>
    <w:rsid w:val="00A67D93"/>
    <w:rsid w:val="00A67DA6"/>
    <w:rsid w:val="00A711FA"/>
    <w:rsid w:val="00A71561"/>
    <w:rsid w:val="00A71F08"/>
    <w:rsid w:val="00A7255E"/>
    <w:rsid w:val="00A725BC"/>
    <w:rsid w:val="00A7265B"/>
    <w:rsid w:val="00A728F3"/>
    <w:rsid w:val="00A72DC3"/>
    <w:rsid w:val="00A73F02"/>
    <w:rsid w:val="00A74DA2"/>
    <w:rsid w:val="00A7517F"/>
    <w:rsid w:val="00A75C2C"/>
    <w:rsid w:val="00A76CC4"/>
    <w:rsid w:val="00A8049D"/>
    <w:rsid w:val="00A805C3"/>
    <w:rsid w:val="00A81300"/>
    <w:rsid w:val="00A82427"/>
    <w:rsid w:val="00A82443"/>
    <w:rsid w:val="00A82890"/>
    <w:rsid w:val="00A82D82"/>
    <w:rsid w:val="00A8317A"/>
    <w:rsid w:val="00A83EDB"/>
    <w:rsid w:val="00A84674"/>
    <w:rsid w:val="00A85751"/>
    <w:rsid w:val="00A861CF"/>
    <w:rsid w:val="00A87175"/>
    <w:rsid w:val="00A87C8A"/>
    <w:rsid w:val="00A9231B"/>
    <w:rsid w:val="00A923CC"/>
    <w:rsid w:val="00A926CF"/>
    <w:rsid w:val="00A926DC"/>
    <w:rsid w:val="00A93247"/>
    <w:rsid w:val="00A936E1"/>
    <w:rsid w:val="00A93C08"/>
    <w:rsid w:val="00A93F12"/>
    <w:rsid w:val="00A94653"/>
    <w:rsid w:val="00A9467A"/>
    <w:rsid w:val="00A94933"/>
    <w:rsid w:val="00A94DF6"/>
    <w:rsid w:val="00A9515E"/>
    <w:rsid w:val="00A952F9"/>
    <w:rsid w:val="00A958C2"/>
    <w:rsid w:val="00A9595F"/>
    <w:rsid w:val="00A960CB"/>
    <w:rsid w:val="00A96937"/>
    <w:rsid w:val="00A969D4"/>
    <w:rsid w:val="00AA0F10"/>
    <w:rsid w:val="00AA277B"/>
    <w:rsid w:val="00AA3554"/>
    <w:rsid w:val="00AA3623"/>
    <w:rsid w:val="00AA3DB6"/>
    <w:rsid w:val="00AA4964"/>
    <w:rsid w:val="00AA49DD"/>
    <w:rsid w:val="00AA521A"/>
    <w:rsid w:val="00AA5EC3"/>
    <w:rsid w:val="00AA6B45"/>
    <w:rsid w:val="00AA7179"/>
    <w:rsid w:val="00AA7362"/>
    <w:rsid w:val="00AA7D3F"/>
    <w:rsid w:val="00AB023A"/>
    <w:rsid w:val="00AB180A"/>
    <w:rsid w:val="00AB1C46"/>
    <w:rsid w:val="00AB1D0C"/>
    <w:rsid w:val="00AB207F"/>
    <w:rsid w:val="00AB299E"/>
    <w:rsid w:val="00AB2C01"/>
    <w:rsid w:val="00AB323B"/>
    <w:rsid w:val="00AB3575"/>
    <w:rsid w:val="00AB3670"/>
    <w:rsid w:val="00AB36FA"/>
    <w:rsid w:val="00AB4CCB"/>
    <w:rsid w:val="00AB55B8"/>
    <w:rsid w:val="00AB61A4"/>
    <w:rsid w:val="00AB732B"/>
    <w:rsid w:val="00AB7E76"/>
    <w:rsid w:val="00AC04C5"/>
    <w:rsid w:val="00AC0EE3"/>
    <w:rsid w:val="00AC102B"/>
    <w:rsid w:val="00AC2647"/>
    <w:rsid w:val="00AC3748"/>
    <w:rsid w:val="00AC37AC"/>
    <w:rsid w:val="00AC3EE4"/>
    <w:rsid w:val="00AC476E"/>
    <w:rsid w:val="00AC5F2D"/>
    <w:rsid w:val="00AC7C57"/>
    <w:rsid w:val="00AD0D8C"/>
    <w:rsid w:val="00AD15F2"/>
    <w:rsid w:val="00AD1D54"/>
    <w:rsid w:val="00AD1FB3"/>
    <w:rsid w:val="00AD26CA"/>
    <w:rsid w:val="00AD26E1"/>
    <w:rsid w:val="00AD2A5D"/>
    <w:rsid w:val="00AD2A5E"/>
    <w:rsid w:val="00AD30CA"/>
    <w:rsid w:val="00AD3934"/>
    <w:rsid w:val="00AD3B1A"/>
    <w:rsid w:val="00AD3F87"/>
    <w:rsid w:val="00AD4390"/>
    <w:rsid w:val="00AD45CA"/>
    <w:rsid w:val="00AD4836"/>
    <w:rsid w:val="00AD5004"/>
    <w:rsid w:val="00AD505C"/>
    <w:rsid w:val="00AD5B59"/>
    <w:rsid w:val="00AD5CC6"/>
    <w:rsid w:val="00AD79AB"/>
    <w:rsid w:val="00AE062F"/>
    <w:rsid w:val="00AE0B53"/>
    <w:rsid w:val="00AE1C1B"/>
    <w:rsid w:val="00AE2909"/>
    <w:rsid w:val="00AE3181"/>
    <w:rsid w:val="00AE4430"/>
    <w:rsid w:val="00AE5235"/>
    <w:rsid w:val="00AE581A"/>
    <w:rsid w:val="00AE5C3C"/>
    <w:rsid w:val="00AE64F2"/>
    <w:rsid w:val="00AE7284"/>
    <w:rsid w:val="00AE7A9C"/>
    <w:rsid w:val="00AE7CEC"/>
    <w:rsid w:val="00AE7D0F"/>
    <w:rsid w:val="00AE7F73"/>
    <w:rsid w:val="00AF25B0"/>
    <w:rsid w:val="00AF2736"/>
    <w:rsid w:val="00AF2BDA"/>
    <w:rsid w:val="00AF2D4C"/>
    <w:rsid w:val="00AF2EFC"/>
    <w:rsid w:val="00AF2FB9"/>
    <w:rsid w:val="00AF39DC"/>
    <w:rsid w:val="00AF5655"/>
    <w:rsid w:val="00AF642C"/>
    <w:rsid w:val="00AF6A4C"/>
    <w:rsid w:val="00AF7252"/>
    <w:rsid w:val="00AF7EC8"/>
    <w:rsid w:val="00AF7FE0"/>
    <w:rsid w:val="00B00FAC"/>
    <w:rsid w:val="00B01125"/>
    <w:rsid w:val="00B02193"/>
    <w:rsid w:val="00B023A4"/>
    <w:rsid w:val="00B02526"/>
    <w:rsid w:val="00B02E4D"/>
    <w:rsid w:val="00B03A48"/>
    <w:rsid w:val="00B03DDA"/>
    <w:rsid w:val="00B05421"/>
    <w:rsid w:val="00B06CE5"/>
    <w:rsid w:val="00B071A0"/>
    <w:rsid w:val="00B07575"/>
    <w:rsid w:val="00B07C9C"/>
    <w:rsid w:val="00B07F4E"/>
    <w:rsid w:val="00B10D53"/>
    <w:rsid w:val="00B1138A"/>
    <w:rsid w:val="00B116CE"/>
    <w:rsid w:val="00B11B7F"/>
    <w:rsid w:val="00B11C99"/>
    <w:rsid w:val="00B1216E"/>
    <w:rsid w:val="00B132AD"/>
    <w:rsid w:val="00B1449D"/>
    <w:rsid w:val="00B145E0"/>
    <w:rsid w:val="00B1590D"/>
    <w:rsid w:val="00B16525"/>
    <w:rsid w:val="00B166C2"/>
    <w:rsid w:val="00B1681D"/>
    <w:rsid w:val="00B17012"/>
    <w:rsid w:val="00B175DE"/>
    <w:rsid w:val="00B206A4"/>
    <w:rsid w:val="00B20D68"/>
    <w:rsid w:val="00B218A7"/>
    <w:rsid w:val="00B21C63"/>
    <w:rsid w:val="00B22FC0"/>
    <w:rsid w:val="00B23216"/>
    <w:rsid w:val="00B234AF"/>
    <w:rsid w:val="00B237CE"/>
    <w:rsid w:val="00B23D65"/>
    <w:rsid w:val="00B243EF"/>
    <w:rsid w:val="00B248A8"/>
    <w:rsid w:val="00B24E04"/>
    <w:rsid w:val="00B24E1D"/>
    <w:rsid w:val="00B24F6E"/>
    <w:rsid w:val="00B25D6E"/>
    <w:rsid w:val="00B26AD5"/>
    <w:rsid w:val="00B26E56"/>
    <w:rsid w:val="00B272CC"/>
    <w:rsid w:val="00B274A8"/>
    <w:rsid w:val="00B2759E"/>
    <w:rsid w:val="00B31F7C"/>
    <w:rsid w:val="00B3207E"/>
    <w:rsid w:val="00B32117"/>
    <w:rsid w:val="00B33460"/>
    <w:rsid w:val="00B33C04"/>
    <w:rsid w:val="00B33D43"/>
    <w:rsid w:val="00B34340"/>
    <w:rsid w:val="00B34408"/>
    <w:rsid w:val="00B34B02"/>
    <w:rsid w:val="00B34BE4"/>
    <w:rsid w:val="00B34D4D"/>
    <w:rsid w:val="00B3589A"/>
    <w:rsid w:val="00B35C9C"/>
    <w:rsid w:val="00B366C2"/>
    <w:rsid w:val="00B37BB6"/>
    <w:rsid w:val="00B37E18"/>
    <w:rsid w:val="00B402F8"/>
    <w:rsid w:val="00B40498"/>
    <w:rsid w:val="00B41398"/>
    <w:rsid w:val="00B42003"/>
    <w:rsid w:val="00B4212B"/>
    <w:rsid w:val="00B42C17"/>
    <w:rsid w:val="00B4477A"/>
    <w:rsid w:val="00B4483B"/>
    <w:rsid w:val="00B44C07"/>
    <w:rsid w:val="00B455FA"/>
    <w:rsid w:val="00B4610D"/>
    <w:rsid w:val="00B479D4"/>
    <w:rsid w:val="00B47E96"/>
    <w:rsid w:val="00B50012"/>
    <w:rsid w:val="00B50B51"/>
    <w:rsid w:val="00B50E97"/>
    <w:rsid w:val="00B52054"/>
    <w:rsid w:val="00B52BAF"/>
    <w:rsid w:val="00B535A0"/>
    <w:rsid w:val="00B53D20"/>
    <w:rsid w:val="00B5485E"/>
    <w:rsid w:val="00B54AF6"/>
    <w:rsid w:val="00B54D03"/>
    <w:rsid w:val="00B54EE7"/>
    <w:rsid w:val="00B556B7"/>
    <w:rsid w:val="00B55CBA"/>
    <w:rsid w:val="00B56D4A"/>
    <w:rsid w:val="00B5787D"/>
    <w:rsid w:val="00B601C7"/>
    <w:rsid w:val="00B6053C"/>
    <w:rsid w:val="00B60E1A"/>
    <w:rsid w:val="00B61000"/>
    <w:rsid w:val="00B616BC"/>
    <w:rsid w:val="00B620CF"/>
    <w:rsid w:val="00B629B3"/>
    <w:rsid w:val="00B62D36"/>
    <w:rsid w:val="00B62FEB"/>
    <w:rsid w:val="00B64358"/>
    <w:rsid w:val="00B64446"/>
    <w:rsid w:val="00B65184"/>
    <w:rsid w:val="00B6601E"/>
    <w:rsid w:val="00B6673A"/>
    <w:rsid w:val="00B67014"/>
    <w:rsid w:val="00B678BE"/>
    <w:rsid w:val="00B679D1"/>
    <w:rsid w:val="00B67DE8"/>
    <w:rsid w:val="00B67FDA"/>
    <w:rsid w:val="00B70087"/>
    <w:rsid w:val="00B705E7"/>
    <w:rsid w:val="00B706E3"/>
    <w:rsid w:val="00B708FA"/>
    <w:rsid w:val="00B70ACB"/>
    <w:rsid w:val="00B70B32"/>
    <w:rsid w:val="00B7168E"/>
    <w:rsid w:val="00B717B3"/>
    <w:rsid w:val="00B71819"/>
    <w:rsid w:val="00B72A8E"/>
    <w:rsid w:val="00B72B5E"/>
    <w:rsid w:val="00B736F5"/>
    <w:rsid w:val="00B74EA1"/>
    <w:rsid w:val="00B75346"/>
    <w:rsid w:val="00B75561"/>
    <w:rsid w:val="00B7566F"/>
    <w:rsid w:val="00B76668"/>
    <w:rsid w:val="00B76FEA"/>
    <w:rsid w:val="00B8088E"/>
    <w:rsid w:val="00B80B7D"/>
    <w:rsid w:val="00B80C43"/>
    <w:rsid w:val="00B81BFC"/>
    <w:rsid w:val="00B81CF4"/>
    <w:rsid w:val="00B822C9"/>
    <w:rsid w:val="00B8386A"/>
    <w:rsid w:val="00B83C39"/>
    <w:rsid w:val="00B83E21"/>
    <w:rsid w:val="00B83FF8"/>
    <w:rsid w:val="00B8431E"/>
    <w:rsid w:val="00B84536"/>
    <w:rsid w:val="00B8475D"/>
    <w:rsid w:val="00B84FC6"/>
    <w:rsid w:val="00B85C26"/>
    <w:rsid w:val="00B870B3"/>
    <w:rsid w:val="00B870E1"/>
    <w:rsid w:val="00B87A5D"/>
    <w:rsid w:val="00B906FB"/>
    <w:rsid w:val="00B90DEF"/>
    <w:rsid w:val="00B90E68"/>
    <w:rsid w:val="00B90FA2"/>
    <w:rsid w:val="00B90FB2"/>
    <w:rsid w:val="00B9105A"/>
    <w:rsid w:val="00B91214"/>
    <w:rsid w:val="00B92283"/>
    <w:rsid w:val="00B924D6"/>
    <w:rsid w:val="00B929B5"/>
    <w:rsid w:val="00B92A7D"/>
    <w:rsid w:val="00B93092"/>
    <w:rsid w:val="00B931C3"/>
    <w:rsid w:val="00B932B8"/>
    <w:rsid w:val="00B933F6"/>
    <w:rsid w:val="00B94560"/>
    <w:rsid w:val="00B94B37"/>
    <w:rsid w:val="00B962B9"/>
    <w:rsid w:val="00B96305"/>
    <w:rsid w:val="00B96FF9"/>
    <w:rsid w:val="00B97253"/>
    <w:rsid w:val="00BA026F"/>
    <w:rsid w:val="00BA0A1E"/>
    <w:rsid w:val="00BA0A3C"/>
    <w:rsid w:val="00BA15B0"/>
    <w:rsid w:val="00BA1B02"/>
    <w:rsid w:val="00BA1B9C"/>
    <w:rsid w:val="00BA2950"/>
    <w:rsid w:val="00BA3A0A"/>
    <w:rsid w:val="00BA3AC6"/>
    <w:rsid w:val="00BA43BB"/>
    <w:rsid w:val="00BA4741"/>
    <w:rsid w:val="00BA4DB2"/>
    <w:rsid w:val="00BA5043"/>
    <w:rsid w:val="00BA58B6"/>
    <w:rsid w:val="00BA5AAB"/>
    <w:rsid w:val="00BA5C1A"/>
    <w:rsid w:val="00BA6B46"/>
    <w:rsid w:val="00BA7134"/>
    <w:rsid w:val="00BA7393"/>
    <w:rsid w:val="00BA73A3"/>
    <w:rsid w:val="00BA7772"/>
    <w:rsid w:val="00BA7BE2"/>
    <w:rsid w:val="00BA7D08"/>
    <w:rsid w:val="00BB03DD"/>
    <w:rsid w:val="00BB0794"/>
    <w:rsid w:val="00BB07E3"/>
    <w:rsid w:val="00BB082E"/>
    <w:rsid w:val="00BB1B95"/>
    <w:rsid w:val="00BB24C8"/>
    <w:rsid w:val="00BB2A9C"/>
    <w:rsid w:val="00BB2C1A"/>
    <w:rsid w:val="00BB3613"/>
    <w:rsid w:val="00BB44D6"/>
    <w:rsid w:val="00BB57C1"/>
    <w:rsid w:val="00BB5EFC"/>
    <w:rsid w:val="00BB677E"/>
    <w:rsid w:val="00BB678C"/>
    <w:rsid w:val="00BB70D2"/>
    <w:rsid w:val="00BC0213"/>
    <w:rsid w:val="00BC0273"/>
    <w:rsid w:val="00BC0458"/>
    <w:rsid w:val="00BC1562"/>
    <w:rsid w:val="00BC2508"/>
    <w:rsid w:val="00BC341D"/>
    <w:rsid w:val="00BC37E0"/>
    <w:rsid w:val="00BC448D"/>
    <w:rsid w:val="00BC4804"/>
    <w:rsid w:val="00BC52A0"/>
    <w:rsid w:val="00BC7213"/>
    <w:rsid w:val="00BC7B34"/>
    <w:rsid w:val="00BD049A"/>
    <w:rsid w:val="00BD064E"/>
    <w:rsid w:val="00BD1453"/>
    <w:rsid w:val="00BD1C54"/>
    <w:rsid w:val="00BD1FA2"/>
    <w:rsid w:val="00BD2657"/>
    <w:rsid w:val="00BD2BBC"/>
    <w:rsid w:val="00BD3476"/>
    <w:rsid w:val="00BD3536"/>
    <w:rsid w:val="00BD35C5"/>
    <w:rsid w:val="00BD3A68"/>
    <w:rsid w:val="00BD506A"/>
    <w:rsid w:val="00BD6118"/>
    <w:rsid w:val="00BD73DB"/>
    <w:rsid w:val="00BE0C97"/>
    <w:rsid w:val="00BE14DD"/>
    <w:rsid w:val="00BE1C74"/>
    <w:rsid w:val="00BE33B4"/>
    <w:rsid w:val="00BE3531"/>
    <w:rsid w:val="00BE3EFA"/>
    <w:rsid w:val="00BE4780"/>
    <w:rsid w:val="00BE4A30"/>
    <w:rsid w:val="00BE4D1D"/>
    <w:rsid w:val="00BE5F69"/>
    <w:rsid w:val="00BE6D6A"/>
    <w:rsid w:val="00BE73BC"/>
    <w:rsid w:val="00BE7456"/>
    <w:rsid w:val="00BE7E59"/>
    <w:rsid w:val="00BF0DF2"/>
    <w:rsid w:val="00BF12ED"/>
    <w:rsid w:val="00BF282D"/>
    <w:rsid w:val="00BF32B6"/>
    <w:rsid w:val="00BF345E"/>
    <w:rsid w:val="00BF5171"/>
    <w:rsid w:val="00BF571A"/>
    <w:rsid w:val="00BF5DD3"/>
    <w:rsid w:val="00BF6176"/>
    <w:rsid w:val="00BF6A2C"/>
    <w:rsid w:val="00BF76A8"/>
    <w:rsid w:val="00BF7D7E"/>
    <w:rsid w:val="00C00890"/>
    <w:rsid w:val="00C01986"/>
    <w:rsid w:val="00C020B0"/>
    <w:rsid w:val="00C02A8D"/>
    <w:rsid w:val="00C032D0"/>
    <w:rsid w:val="00C03EFD"/>
    <w:rsid w:val="00C052AE"/>
    <w:rsid w:val="00C06F28"/>
    <w:rsid w:val="00C117E1"/>
    <w:rsid w:val="00C12EBC"/>
    <w:rsid w:val="00C12F0B"/>
    <w:rsid w:val="00C1328E"/>
    <w:rsid w:val="00C13835"/>
    <w:rsid w:val="00C14EF9"/>
    <w:rsid w:val="00C154F1"/>
    <w:rsid w:val="00C15779"/>
    <w:rsid w:val="00C16B8B"/>
    <w:rsid w:val="00C16EB0"/>
    <w:rsid w:val="00C17433"/>
    <w:rsid w:val="00C17956"/>
    <w:rsid w:val="00C2146C"/>
    <w:rsid w:val="00C21ABD"/>
    <w:rsid w:val="00C21FC6"/>
    <w:rsid w:val="00C22893"/>
    <w:rsid w:val="00C232EE"/>
    <w:rsid w:val="00C2338D"/>
    <w:rsid w:val="00C235C2"/>
    <w:rsid w:val="00C23F6A"/>
    <w:rsid w:val="00C243A4"/>
    <w:rsid w:val="00C2542B"/>
    <w:rsid w:val="00C25FDB"/>
    <w:rsid w:val="00C2626D"/>
    <w:rsid w:val="00C26601"/>
    <w:rsid w:val="00C26C20"/>
    <w:rsid w:val="00C26DF0"/>
    <w:rsid w:val="00C271ED"/>
    <w:rsid w:val="00C274B6"/>
    <w:rsid w:val="00C278AF"/>
    <w:rsid w:val="00C27F61"/>
    <w:rsid w:val="00C302AB"/>
    <w:rsid w:val="00C3100C"/>
    <w:rsid w:val="00C3141E"/>
    <w:rsid w:val="00C3152F"/>
    <w:rsid w:val="00C321F0"/>
    <w:rsid w:val="00C328E3"/>
    <w:rsid w:val="00C32BB8"/>
    <w:rsid w:val="00C33625"/>
    <w:rsid w:val="00C369E1"/>
    <w:rsid w:val="00C403BD"/>
    <w:rsid w:val="00C40875"/>
    <w:rsid w:val="00C40E3D"/>
    <w:rsid w:val="00C414A9"/>
    <w:rsid w:val="00C41B35"/>
    <w:rsid w:val="00C41BA4"/>
    <w:rsid w:val="00C4234F"/>
    <w:rsid w:val="00C429A6"/>
    <w:rsid w:val="00C43A23"/>
    <w:rsid w:val="00C43E09"/>
    <w:rsid w:val="00C44620"/>
    <w:rsid w:val="00C44AE2"/>
    <w:rsid w:val="00C44F2D"/>
    <w:rsid w:val="00C4562A"/>
    <w:rsid w:val="00C45921"/>
    <w:rsid w:val="00C45F35"/>
    <w:rsid w:val="00C46085"/>
    <w:rsid w:val="00C46172"/>
    <w:rsid w:val="00C4688D"/>
    <w:rsid w:val="00C47570"/>
    <w:rsid w:val="00C476F2"/>
    <w:rsid w:val="00C505C5"/>
    <w:rsid w:val="00C50C80"/>
    <w:rsid w:val="00C50CAD"/>
    <w:rsid w:val="00C510F9"/>
    <w:rsid w:val="00C5179A"/>
    <w:rsid w:val="00C51DC5"/>
    <w:rsid w:val="00C5238E"/>
    <w:rsid w:val="00C5241F"/>
    <w:rsid w:val="00C5277A"/>
    <w:rsid w:val="00C5337D"/>
    <w:rsid w:val="00C53B49"/>
    <w:rsid w:val="00C53C8C"/>
    <w:rsid w:val="00C53DC2"/>
    <w:rsid w:val="00C54CEF"/>
    <w:rsid w:val="00C577DE"/>
    <w:rsid w:val="00C57DD1"/>
    <w:rsid w:val="00C6007A"/>
    <w:rsid w:val="00C60542"/>
    <w:rsid w:val="00C60584"/>
    <w:rsid w:val="00C609F4"/>
    <w:rsid w:val="00C61567"/>
    <w:rsid w:val="00C6211D"/>
    <w:rsid w:val="00C6336D"/>
    <w:rsid w:val="00C63F9D"/>
    <w:rsid w:val="00C64820"/>
    <w:rsid w:val="00C64AD8"/>
    <w:rsid w:val="00C654C5"/>
    <w:rsid w:val="00C65585"/>
    <w:rsid w:val="00C65600"/>
    <w:rsid w:val="00C666FB"/>
    <w:rsid w:val="00C66B3C"/>
    <w:rsid w:val="00C70EC6"/>
    <w:rsid w:val="00C71279"/>
    <w:rsid w:val="00C71396"/>
    <w:rsid w:val="00C713DF"/>
    <w:rsid w:val="00C73036"/>
    <w:rsid w:val="00C7329A"/>
    <w:rsid w:val="00C73386"/>
    <w:rsid w:val="00C73907"/>
    <w:rsid w:val="00C74E7E"/>
    <w:rsid w:val="00C750DB"/>
    <w:rsid w:val="00C752D0"/>
    <w:rsid w:val="00C757C0"/>
    <w:rsid w:val="00C75C1D"/>
    <w:rsid w:val="00C7612E"/>
    <w:rsid w:val="00C76DA2"/>
    <w:rsid w:val="00C77154"/>
    <w:rsid w:val="00C77EAC"/>
    <w:rsid w:val="00C82892"/>
    <w:rsid w:val="00C84340"/>
    <w:rsid w:val="00C845EA"/>
    <w:rsid w:val="00C85BE2"/>
    <w:rsid w:val="00C919F1"/>
    <w:rsid w:val="00C927E8"/>
    <w:rsid w:val="00C9429F"/>
    <w:rsid w:val="00C947CE"/>
    <w:rsid w:val="00C948A4"/>
    <w:rsid w:val="00C94985"/>
    <w:rsid w:val="00C94D58"/>
    <w:rsid w:val="00C94D89"/>
    <w:rsid w:val="00C94DBE"/>
    <w:rsid w:val="00C95341"/>
    <w:rsid w:val="00C960EC"/>
    <w:rsid w:val="00C9614D"/>
    <w:rsid w:val="00C96A52"/>
    <w:rsid w:val="00C96B04"/>
    <w:rsid w:val="00C97077"/>
    <w:rsid w:val="00C971F7"/>
    <w:rsid w:val="00C97446"/>
    <w:rsid w:val="00C9766C"/>
    <w:rsid w:val="00CA025F"/>
    <w:rsid w:val="00CA0874"/>
    <w:rsid w:val="00CA1561"/>
    <w:rsid w:val="00CA1B05"/>
    <w:rsid w:val="00CA1CDA"/>
    <w:rsid w:val="00CA271A"/>
    <w:rsid w:val="00CA2AE7"/>
    <w:rsid w:val="00CA37F2"/>
    <w:rsid w:val="00CA3800"/>
    <w:rsid w:val="00CA4826"/>
    <w:rsid w:val="00CA4FC4"/>
    <w:rsid w:val="00CA506A"/>
    <w:rsid w:val="00CA58C7"/>
    <w:rsid w:val="00CA5D9E"/>
    <w:rsid w:val="00CA672F"/>
    <w:rsid w:val="00CA68DA"/>
    <w:rsid w:val="00CB0EC3"/>
    <w:rsid w:val="00CB1EB3"/>
    <w:rsid w:val="00CB2972"/>
    <w:rsid w:val="00CB369B"/>
    <w:rsid w:val="00CB3E23"/>
    <w:rsid w:val="00CB443F"/>
    <w:rsid w:val="00CB49E2"/>
    <w:rsid w:val="00CB4A93"/>
    <w:rsid w:val="00CB584B"/>
    <w:rsid w:val="00CB6FE1"/>
    <w:rsid w:val="00CC061B"/>
    <w:rsid w:val="00CC0C5F"/>
    <w:rsid w:val="00CC0ECB"/>
    <w:rsid w:val="00CC13B0"/>
    <w:rsid w:val="00CC154B"/>
    <w:rsid w:val="00CC186D"/>
    <w:rsid w:val="00CC200D"/>
    <w:rsid w:val="00CC2A56"/>
    <w:rsid w:val="00CC3E8E"/>
    <w:rsid w:val="00CC4673"/>
    <w:rsid w:val="00CC476B"/>
    <w:rsid w:val="00CC50BD"/>
    <w:rsid w:val="00CC55FD"/>
    <w:rsid w:val="00CC5BE2"/>
    <w:rsid w:val="00CC61EC"/>
    <w:rsid w:val="00CC64C4"/>
    <w:rsid w:val="00CC6923"/>
    <w:rsid w:val="00CC6A16"/>
    <w:rsid w:val="00CC7CE3"/>
    <w:rsid w:val="00CC7DEB"/>
    <w:rsid w:val="00CD1688"/>
    <w:rsid w:val="00CD18CC"/>
    <w:rsid w:val="00CD2B1C"/>
    <w:rsid w:val="00CD3A4B"/>
    <w:rsid w:val="00CD413C"/>
    <w:rsid w:val="00CD4504"/>
    <w:rsid w:val="00CD4D8E"/>
    <w:rsid w:val="00CD4EBF"/>
    <w:rsid w:val="00CD5BF3"/>
    <w:rsid w:val="00CD6508"/>
    <w:rsid w:val="00CD6E09"/>
    <w:rsid w:val="00CD7984"/>
    <w:rsid w:val="00CE002B"/>
    <w:rsid w:val="00CE01DE"/>
    <w:rsid w:val="00CE0B03"/>
    <w:rsid w:val="00CE2C50"/>
    <w:rsid w:val="00CE3286"/>
    <w:rsid w:val="00CE472F"/>
    <w:rsid w:val="00CE486B"/>
    <w:rsid w:val="00CE48F5"/>
    <w:rsid w:val="00CE4F9F"/>
    <w:rsid w:val="00CE636D"/>
    <w:rsid w:val="00CE73B6"/>
    <w:rsid w:val="00CE7524"/>
    <w:rsid w:val="00CE7A32"/>
    <w:rsid w:val="00CF02D5"/>
    <w:rsid w:val="00CF0DE1"/>
    <w:rsid w:val="00CF3DD2"/>
    <w:rsid w:val="00CF4258"/>
    <w:rsid w:val="00CF46CF"/>
    <w:rsid w:val="00CF4A67"/>
    <w:rsid w:val="00CF5C47"/>
    <w:rsid w:val="00CF602A"/>
    <w:rsid w:val="00CF65C6"/>
    <w:rsid w:val="00CF6A42"/>
    <w:rsid w:val="00D00BBC"/>
    <w:rsid w:val="00D00C7D"/>
    <w:rsid w:val="00D0139B"/>
    <w:rsid w:val="00D020EE"/>
    <w:rsid w:val="00D0284A"/>
    <w:rsid w:val="00D04DAD"/>
    <w:rsid w:val="00D04F50"/>
    <w:rsid w:val="00D059DC"/>
    <w:rsid w:val="00D063BC"/>
    <w:rsid w:val="00D068C8"/>
    <w:rsid w:val="00D06B43"/>
    <w:rsid w:val="00D06DCC"/>
    <w:rsid w:val="00D0765F"/>
    <w:rsid w:val="00D078B0"/>
    <w:rsid w:val="00D07CA7"/>
    <w:rsid w:val="00D108BC"/>
    <w:rsid w:val="00D12688"/>
    <w:rsid w:val="00D12FA8"/>
    <w:rsid w:val="00D13A38"/>
    <w:rsid w:val="00D140C7"/>
    <w:rsid w:val="00D15954"/>
    <w:rsid w:val="00D15A48"/>
    <w:rsid w:val="00D15D0D"/>
    <w:rsid w:val="00D15F40"/>
    <w:rsid w:val="00D162AB"/>
    <w:rsid w:val="00D164AD"/>
    <w:rsid w:val="00D17AA2"/>
    <w:rsid w:val="00D20317"/>
    <w:rsid w:val="00D21835"/>
    <w:rsid w:val="00D21B0B"/>
    <w:rsid w:val="00D220BE"/>
    <w:rsid w:val="00D22BEE"/>
    <w:rsid w:val="00D22EE9"/>
    <w:rsid w:val="00D239BB"/>
    <w:rsid w:val="00D244D4"/>
    <w:rsid w:val="00D2455B"/>
    <w:rsid w:val="00D25280"/>
    <w:rsid w:val="00D2624B"/>
    <w:rsid w:val="00D272CE"/>
    <w:rsid w:val="00D30E9D"/>
    <w:rsid w:val="00D318DD"/>
    <w:rsid w:val="00D32098"/>
    <w:rsid w:val="00D32278"/>
    <w:rsid w:val="00D3247F"/>
    <w:rsid w:val="00D32D98"/>
    <w:rsid w:val="00D33080"/>
    <w:rsid w:val="00D34866"/>
    <w:rsid w:val="00D34B7C"/>
    <w:rsid w:val="00D350CC"/>
    <w:rsid w:val="00D3695A"/>
    <w:rsid w:val="00D36AFE"/>
    <w:rsid w:val="00D36E1F"/>
    <w:rsid w:val="00D3749A"/>
    <w:rsid w:val="00D37A96"/>
    <w:rsid w:val="00D40609"/>
    <w:rsid w:val="00D40A3A"/>
    <w:rsid w:val="00D410F4"/>
    <w:rsid w:val="00D4231E"/>
    <w:rsid w:val="00D441F4"/>
    <w:rsid w:val="00D44307"/>
    <w:rsid w:val="00D4458F"/>
    <w:rsid w:val="00D44AC8"/>
    <w:rsid w:val="00D44AC9"/>
    <w:rsid w:val="00D45514"/>
    <w:rsid w:val="00D458C8"/>
    <w:rsid w:val="00D45A4B"/>
    <w:rsid w:val="00D468D3"/>
    <w:rsid w:val="00D46AFB"/>
    <w:rsid w:val="00D5064B"/>
    <w:rsid w:val="00D507E6"/>
    <w:rsid w:val="00D51C2D"/>
    <w:rsid w:val="00D5323F"/>
    <w:rsid w:val="00D54132"/>
    <w:rsid w:val="00D548DF"/>
    <w:rsid w:val="00D54E44"/>
    <w:rsid w:val="00D54EF2"/>
    <w:rsid w:val="00D54F5D"/>
    <w:rsid w:val="00D55E47"/>
    <w:rsid w:val="00D56594"/>
    <w:rsid w:val="00D56C38"/>
    <w:rsid w:val="00D56D5B"/>
    <w:rsid w:val="00D5739B"/>
    <w:rsid w:val="00D57D56"/>
    <w:rsid w:val="00D60F41"/>
    <w:rsid w:val="00D61357"/>
    <w:rsid w:val="00D6167C"/>
    <w:rsid w:val="00D61840"/>
    <w:rsid w:val="00D618AF"/>
    <w:rsid w:val="00D62105"/>
    <w:rsid w:val="00D6221E"/>
    <w:rsid w:val="00D62B71"/>
    <w:rsid w:val="00D63117"/>
    <w:rsid w:val="00D633CB"/>
    <w:rsid w:val="00D6350F"/>
    <w:rsid w:val="00D63A15"/>
    <w:rsid w:val="00D63E60"/>
    <w:rsid w:val="00D64173"/>
    <w:rsid w:val="00D65B8D"/>
    <w:rsid w:val="00D65C62"/>
    <w:rsid w:val="00D66258"/>
    <w:rsid w:val="00D66E7B"/>
    <w:rsid w:val="00D675CF"/>
    <w:rsid w:val="00D71499"/>
    <w:rsid w:val="00D71DE5"/>
    <w:rsid w:val="00D71F81"/>
    <w:rsid w:val="00D7229C"/>
    <w:rsid w:val="00D72D5C"/>
    <w:rsid w:val="00D7308A"/>
    <w:rsid w:val="00D76488"/>
    <w:rsid w:val="00D775F1"/>
    <w:rsid w:val="00D7761B"/>
    <w:rsid w:val="00D8041E"/>
    <w:rsid w:val="00D817BA"/>
    <w:rsid w:val="00D82060"/>
    <w:rsid w:val="00D82166"/>
    <w:rsid w:val="00D826BA"/>
    <w:rsid w:val="00D832A1"/>
    <w:rsid w:val="00D84ACD"/>
    <w:rsid w:val="00D84BDA"/>
    <w:rsid w:val="00D85114"/>
    <w:rsid w:val="00D853AF"/>
    <w:rsid w:val="00D854E4"/>
    <w:rsid w:val="00D85B0B"/>
    <w:rsid w:val="00D85EC6"/>
    <w:rsid w:val="00D86A1F"/>
    <w:rsid w:val="00D876F5"/>
    <w:rsid w:val="00D87D39"/>
    <w:rsid w:val="00D87FBA"/>
    <w:rsid w:val="00D9026C"/>
    <w:rsid w:val="00D90530"/>
    <w:rsid w:val="00D90642"/>
    <w:rsid w:val="00D90D7A"/>
    <w:rsid w:val="00D91A22"/>
    <w:rsid w:val="00D9360B"/>
    <w:rsid w:val="00D93C09"/>
    <w:rsid w:val="00D94061"/>
    <w:rsid w:val="00D94216"/>
    <w:rsid w:val="00D942B2"/>
    <w:rsid w:val="00D94ACF"/>
    <w:rsid w:val="00D9508F"/>
    <w:rsid w:val="00D95519"/>
    <w:rsid w:val="00D955A0"/>
    <w:rsid w:val="00D955D4"/>
    <w:rsid w:val="00D9744F"/>
    <w:rsid w:val="00D974BE"/>
    <w:rsid w:val="00DA07BA"/>
    <w:rsid w:val="00DA0ADF"/>
    <w:rsid w:val="00DA13ED"/>
    <w:rsid w:val="00DA15B6"/>
    <w:rsid w:val="00DA1C78"/>
    <w:rsid w:val="00DA1D93"/>
    <w:rsid w:val="00DA2160"/>
    <w:rsid w:val="00DA29A2"/>
    <w:rsid w:val="00DA3042"/>
    <w:rsid w:val="00DA30CC"/>
    <w:rsid w:val="00DA31B6"/>
    <w:rsid w:val="00DA31CC"/>
    <w:rsid w:val="00DA3CC2"/>
    <w:rsid w:val="00DA40AC"/>
    <w:rsid w:val="00DA4C70"/>
    <w:rsid w:val="00DA56AA"/>
    <w:rsid w:val="00DA5F35"/>
    <w:rsid w:val="00DA61CF"/>
    <w:rsid w:val="00DA64D8"/>
    <w:rsid w:val="00DA6B76"/>
    <w:rsid w:val="00DA6EC0"/>
    <w:rsid w:val="00DA7734"/>
    <w:rsid w:val="00DA7E97"/>
    <w:rsid w:val="00DB04B7"/>
    <w:rsid w:val="00DB1C74"/>
    <w:rsid w:val="00DB255D"/>
    <w:rsid w:val="00DB2D8C"/>
    <w:rsid w:val="00DB2FCB"/>
    <w:rsid w:val="00DB3DC8"/>
    <w:rsid w:val="00DB465F"/>
    <w:rsid w:val="00DB5FDC"/>
    <w:rsid w:val="00DB6847"/>
    <w:rsid w:val="00DC00F1"/>
    <w:rsid w:val="00DC086B"/>
    <w:rsid w:val="00DC12CF"/>
    <w:rsid w:val="00DC1346"/>
    <w:rsid w:val="00DC138B"/>
    <w:rsid w:val="00DC1B6B"/>
    <w:rsid w:val="00DC1DCB"/>
    <w:rsid w:val="00DC212B"/>
    <w:rsid w:val="00DC23DD"/>
    <w:rsid w:val="00DC26D5"/>
    <w:rsid w:val="00DC2DAC"/>
    <w:rsid w:val="00DC399B"/>
    <w:rsid w:val="00DC5DA7"/>
    <w:rsid w:val="00DC607E"/>
    <w:rsid w:val="00DC654C"/>
    <w:rsid w:val="00DC667C"/>
    <w:rsid w:val="00DC729B"/>
    <w:rsid w:val="00DC7630"/>
    <w:rsid w:val="00DC7E9C"/>
    <w:rsid w:val="00DD0326"/>
    <w:rsid w:val="00DD04E8"/>
    <w:rsid w:val="00DD0891"/>
    <w:rsid w:val="00DD0AAA"/>
    <w:rsid w:val="00DD139A"/>
    <w:rsid w:val="00DD2300"/>
    <w:rsid w:val="00DD276E"/>
    <w:rsid w:val="00DD4493"/>
    <w:rsid w:val="00DD46B0"/>
    <w:rsid w:val="00DD4EF4"/>
    <w:rsid w:val="00DD512D"/>
    <w:rsid w:val="00DD615C"/>
    <w:rsid w:val="00DD7949"/>
    <w:rsid w:val="00DD7AA8"/>
    <w:rsid w:val="00DD7E4B"/>
    <w:rsid w:val="00DE023A"/>
    <w:rsid w:val="00DE1A43"/>
    <w:rsid w:val="00DE1B7D"/>
    <w:rsid w:val="00DE1E75"/>
    <w:rsid w:val="00DE2D7D"/>
    <w:rsid w:val="00DE2FAA"/>
    <w:rsid w:val="00DE3EE3"/>
    <w:rsid w:val="00DE4051"/>
    <w:rsid w:val="00DE5D12"/>
    <w:rsid w:val="00DE60C4"/>
    <w:rsid w:val="00DE68AF"/>
    <w:rsid w:val="00DF038E"/>
    <w:rsid w:val="00DF1B9E"/>
    <w:rsid w:val="00DF2B63"/>
    <w:rsid w:val="00DF49A7"/>
    <w:rsid w:val="00DF51F0"/>
    <w:rsid w:val="00DF555B"/>
    <w:rsid w:val="00DF6E29"/>
    <w:rsid w:val="00DF757A"/>
    <w:rsid w:val="00E0101D"/>
    <w:rsid w:val="00E01199"/>
    <w:rsid w:val="00E01D37"/>
    <w:rsid w:val="00E0260D"/>
    <w:rsid w:val="00E028D4"/>
    <w:rsid w:val="00E03A60"/>
    <w:rsid w:val="00E03A98"/>
    <w:rsid w:val="00E04B33"/>
    <w:rsid w:val="00E06596"/>
    <w:rsid w:val="00E07247"/>
    <w:rsid w:val="00E07376"/>
    <w:rsid w:val="00E07E20"/>
    <w:rsid w:val="00E11080"/>
    <w:rsid w:val="00E11E66"/>
    <w:rsid w:val="00E11FD3"/>
    <w:rsid w:val="00E12535"/>
    <w:rsid w:val="00E12D1D"/>
    <w:rsid w:val="00E1315D"/>
    <w:rsid w:val="00E13D61"/>
    <w:rsid w:val="00E13E4B"/>
    <w:rsid w:val="00E13E97"/>
    <w:rsid w:val="00E14C18"/>
    <w:rsid w:val="00E14EFA"/>
    <w:rsid w:val="00E15E52"/>
    <w:rsid w:val="00E1757A"/>
    <w:rsid w:val="00E17E39"/>
    <w:rsid w:val="00E20448"/>
    <w:rsid w:val="00E20B20"/>
    <w:rsid w:val="00E21051"/>
    <w:rsid w:val="00E21982"/>
    <w:rsid w:val="00E21CC9"/>
    <w:rsid w:val="00E2226B"/>
    <w:rsid w:val="00E2269F"/>
    <w:rsid w:val="00E2379C"/>
    <w:rsid w:val="00E238BF"/>
    <w:rsid w:val="00E23C5D"/>
    <w:rsid w:val="00E242BB"/>
    <w:rsid w:val="00E2494B"/>
    <w:rsid w:val="00E24A39"/>
    <w:rsid w:val="00E25F35"/>
    <w:rsid w:val="00E26141"/>
    <w:rsid w:val="00E26B82"/>
    <w:rsid w:val="00E273C4"/>
    <w:rsid w:val="00E27C29"/>
    <w:rsid w:val="00E27ECA"/>
    <w:rsid w:val="00E30201"/>
    <w:rsid w:val="00E303EE"/>
    <w:rsid w:val="00E30A8A"/>
    <w:rsid w:val="00E31210"/>
    <w:rsid w:val="00E31BBF"/>
    <w:rsid w:val="00E328C6"/>
    <w:rsid w:val="00E32EBD"/>
    <w:rsid w:val="00E33446"/>
    <w:rsid w:val="00E3365D"/>
    <w:rsid w:val="00E337DE"/>
    <w:rsid w:val="00E33BBD"/>
    <w:rsid w:val="00E34140"/>
    <w:rsid w:val="00E3431F"/>
    <w:rsid w:val="00E344C3"/>
    <w:rsid w:val="00E3458C"/>
    <w:rsid w:val="00E34687"/>
    <w:rsid w:val="00E353A4"/>
    <w:rsid w:val="00E35457"/>
    <w:rsid w:val="00E356CD"/>
    <w:rsid w:val="00E36441"/>
    <w:rsid w:val="00E365DC"/>
    <w:rsid w:val="00E36CD8"/>
    <w:rsid w:val="00E3781D"/>
    <w:rsid w:val="00E37968"/>
    <w:rsid w:val="00E4024F"/>
    <w:rsid w:val="00E4034F"/>
    <w:rsid w:val="00E408AD"/>
    <w:rsid w:val="00E40989"/>
    <w:rsid w:val="00E41A89"/>
    <w:rsid w:val="00E422A6"/>
    <w:rsid w:val="00E430BB"/>
    <w:rsid w:val="00E43457"/>
    <w:rsid w:val="00E437EE"/>
    <w:rsid w:val="00E43B5C"/>
    <w:rsid w:val="00E4430A"/>
    <w:rsid w:val="00E4472A"/>
    <w:rsid w:val="00E44888"/>
    <w:rsid w:val="00E44FD4"/>
    <w:rsid w:val="00E458A3"/>
    <w:rsid w:val="00E458C4"/>
    <w:rsid w:val="00E46869"/>
    <w:rsid w:val="00E50573"/>
    <w:rsid w:val="00E522FB"/>
    <w:rsid w:val="00E52AF9"/>
    <w:rsid w:val="00E53893"/>
    <w:rsid w:val="00E538CB"/>
    <w:rsid w:val="00E548CA"/>
    <w:rsid w:val="00E55EFE"/>
    <w:rsid w:val="00E56185"/>
    <w:rsid w:val="00E56C29"/>
    <w:rsid w:val="00E6065A"/>
    <w:rsid w:val="00E61A88"/>
    <w:rsid w:val="00E61D32"/>
    <w:rsid w:val="00E62178"/>
    <w:rsid w:val="00E625B2"/>
    <w:rsid w:val="00E628F8"/>
    <w:rsid w:val="00E629C2"/>
    <w:rsid w:val="00E637F7"/>
    <w:rsid w:val="00E63894"/>
    <w:rsid w:val="00E63A33"/>
    <w:rsid w:val="00E63AD7"/>
    <w:rsid w:val="00E64DCE"/>
    <w:rsid w:val="00E65099"/>
    <w:rsid w:val="00E66AFE"/>
    <w:rsid w:val="00E67516"/>
    <w:rsid w:val="00E7020C"/>
    <w:rsid w:val="00E70840"/>
    <w:rsid w:val="00E7115F"/>
    <w:rsid w:val="00E713D3"/>
    <w:rsid w:val="00E71933"/>
    <w:rsid w:val="00E71EC8"/>
    <w:rsid w:val="00E72DC7"/>
    <w:rsid w:val="00E74181"/>
    <w:rsid w:val="00E74F75"/>
    <w:rsid w:val="00E752F7"/>
    <w:rsid w:val="00E760FB"/>
    <w:rsid w:val="00E76A70"/>
    <w:rsid w:val="00E77A57"/>
    <w:rsid w:val="00E77BDD"/>
    <w:rsid w:val="00E8050A"/>
    <w:rsid w:val="00E81F81"/>
    <w:rsid w:val="00E82BA1"/>
    <w:rsid w:val="00E84A6D"/>
    <w:rsid w:val="00E84A8E"/>
    <w:rsid w:val="00E84BCF"/>
    <w:rsid w:val="00E850D3"/>
    <w:rsid w:val="00E8610B"/>
    <w:rsid w:val="00E87194"/>
    <w:rsid w:val="00E8735B"/>
    <w:rsid w:val="00E87BBD"/>
    <w:rsid w:val="00E87F20"/>
    <w:rsid w:val="00E909CC"/>
    <w:rsid w:val="00E91373"/>
    <w:rsid w:val="00E914E8"/>
    <w:rsid w:val="00E92925"/>
    <w:rsid w:val="00E92D37"/>
    <w:rsid w:val="00E94006"/>
    <w:rsid w:val="00E951D0"/>
    <w:rsid w:val="00E9568B"/>
    <w:rsid w:val="00E956A1"/>
    <w:rsid w:val="00E956A4"/>
    <w:rsid w:val="00E9590B"/>
    <w:rsid w:val="00E96815"/>
    <w:rsid w:val="00E97E33"/>
    <w:rsid w:val="00E97F1E"/>
    <w:rsid w:val="00EA0E9D"/>
    <w:rsid w:val="00EA1EA1"/>
    <w:rsid w:val="00EA1F17"/>
    <w:rsid w:val="00EA3392"/>
    <w:rsid w:val="00EA342B"/>
    <w:rsid w:val="00EA3FED"/>
    <w:rsid w:val="00EA454C"/>
    <w:rsid w:val="00EA5714"/>
    <w:rsid w:val="00EA62C6"/>
    <w:rsid w:val="00EA6B75"/>
    <w:rsid w:val="00EA7121"/>
    <w:rsid w:val="00EA7403"/>
    <w:rsid w:val="00EA772A"/>
    <w:rsid w:val="00EB0603"/>
    <w:rsid w:val="00EB0A0F"/>
    <w:rsid w:val="00EB0AB1"/>
    <w:rsid w:val="00EB18C8"/>
    <w:rsid w:val="00EB2172"/>
    <w:rsid w:val="00EB264C"/>
    <w:rsid w:val="00EB2BDB"/>
    <w:rsid w:val="00EB2FE3"/>
    <w:rsid w:val="00EB3864"/>
    <w:rsid w:val="00EB3BF3"/>
    <w:rsid w:val="00EB40F2"/>
    <w:rsid w:val="00EB4199"/>
    <w:rsid w:val="00EB43AA"/>
    <w:rsid w:val="00EB65D5"/>
    <w:rsid w:val="00EB687A"/>
    <w:rsid w:val="00EB75D4"/>
    <w:rsid w:val="00EB7A62"/>
    <w:rsid w:val="00EC0064"/>
    <w:rsid w:val="00EC126F"/>
    <w:rsid w:val="00EC18D7"/>
    <w:rsid w:val="00EC1DBD"/>
    <w:rsid w:val="00EC23A8"/>
    <w:rsid w:val="00EC36ED"/>
    <w:rsid w:val="00EC48EE"/>
    <w:rsid w:val="00EC4A91"/>
    <w:rsid w:val="00EC4DFB"/>
    <w:rsid w:val="00EC6530"/>
    <w:rsid w:val="00EC6AEF"/>
    <w:rsid w:val="00EC6C3A"/>
    <w:rsid w:val="00EC726F"/>
    <w:rsid w:val="00EC7F59"/>
    <w:rsid w:val="00ED0115"/>
    <w:rsid w:val="00ED0842"/>
    <w:rsid w:val="00ED0B9E"/>
    <w:rsid w:val="00ED1891"/>
    <w:rsid w:val="00ED1D1A"/>
    <w:rsid w:val="00ED1E72"/>
    <w:rsid w:val="00ED32CA"/>
    <w:rsid w:val="00ED3772"/>
    <w:rsid w:val="00ED3C30"/>
    <w:rsid w:val="00ED3E04"/>
    <w:rsid w:val="00ED4494"/>
    <w:rsid w:val="00ED46CB"/>
    <w:rsid w:val="00ED4800"/>
    <w:rsid w:val="00ED63C1"/>
    <w:rsid w:val="00ED655C"/>
    <w:rsid w:val="00ED6E71"/>
    <w:rsid w:val="00ED7DF6"/>
    <w:rsid w:val="00EE0C7D"/>
    <w:rsid w:val="00EE10AA"/>
    <w:rsid w:val="00EE1739"/>
    <w:rsid w:val="00EE1C0C"/>
    <w:rsid w:val="00EE1FD0"/>
    <w:rsid w:val="00EE2369"/>
    <w:rsid w:val="00EE244F"/>
    <w:rsid w:val="00EE2529"/>
    <w:rsid w:val="00EE4D57"/>
    <w:rsid w:val="00EE62D3"/>
    <w:rsid w:val="00EE6587"/>
    <w:rsid w:val="00EE681A"/>
    <w:rsid w:val="00EE686C"/>
    <w:rsid w:val="00EE7D07"/>
    <w:rsid w:val="00EF0611"/>
    <w:rsid w:val="00EF0AD7"/>
    <w:rsid w:val="00EF0B12"/>
    <w:rsid w:val="00EF1FE9"/>
    <w:rsid w:val="00EF2414"/>
    <w:rsid w:val="00EF27BD"/>
    <w:rsid w:val="00EF4173"/>
    <w:rsid w:val="00EF43B8"/>
    <w:rsid w:val="00EF4BF4"/>
    <w:rsid w:val="00EF4F2E"/>
    <w:rsid w:val="00EF519D"/>
    <w:rsid w:val="00EF6A12"/>
    <w:rsid w:val="00EF7F26"/>
    <w:rsid w:val="00F00090"/>
    <w:rsid w:val="00F00555"/>
    <w:rsid w:val="00F00E83"/>
    <w:rsid w:val="00F0118F"/>
    <w:rsid w:val="00F01208"/>
    <w:rsid w:val="00F01D5F"/>
    <w:rsid w:val="00F01EB7"/>
    <w:rsid w:val="00F0203E"/>
    <w:rsid w:val="00F02424"/>
    <w:rsid w:val="00F02C36"/>
    <w:rsid w:val="00F03280"/>
    <w:rsid w:val="00F045BF"/>
    <w:rsid w:val="00F04FD3"/>
    <w:rsid w:val="00F0581E"/>
    <w:rsid w:val="00F0648F"/>
    <w:rsid w:val="00F07CE4"/>
    <w:rsid w:val="00F103A0"/>
    <w:rsid w:val="00F108F9"/>
    <w:rsid w:val="00F119B8"/>
    <w:rsid w:val="00F119C6"/>
    <w:rsid w:val="00F11AAA"/>
    <w:rsid w:val="00F11EFB"/>
    <w:rsid w:val="00F120AA"/>
    <w:rsid w:val="00F12447"/>
    <w:rsid w:val="00F125EF"/>
    <w:rsid w:val="00F126EF"/>
    <w:rsid w:val="00F12AAE"/>
    <w:rsid w:val="00F12D01"/>
    <w:rsid w:val="00F12DBD"/>
    <w:rsid w:val="00F1408A"/>
    <w:rsid w:val="00F14D51"/>
    <w:rsid w:val="00F15655"/>
    <w:rsid w:val="00F15795"/>
    <w:rsid w:val="00F15F46"/>
    <w:rsid w:val="00F168D3"/>
    <w:rsid w:val="00F202E3"/>
    <w:rsid w:val="00F219AD"/>
    <w:rsid w:val="00F21B83"/>
    <w:rsid w:val="00F21E30"/>
    <w:rsid w:val="00F21F03"/>
    <w:rsid w:val="00F22508"/>
    <w:rsid w:val="00F22DD5"/>
    <w:rsid w:val="00F237E9"/>
    <w:rsid w:val="00F24394"/>
    <w:rsid w:val="00F25382"/>
    <w:rsid w:val="00F25620"/>
    <w:rsid w:val="00F25821"/>
    <w:rsid w:val="00F2778A"/>
    <w:rsid w:val="00F27865"/>
    <w:rsid w:val="00F30ADD"/>
    <w:rsid w:val="00F30CC7"/>
    <w:rsid w:val="00F31550"/>
    <w:rsid w:val="00F31926"/>
    <w:rsid w:val="00F31DDA"/>
    <w:rsid w:val="00F325DA"/>
    <w:rsid w:val="00F32DC9"/>
    <w:rsid w:val="00F33752"/>
    <w:rsid w:val="00F33A63"/>
    <w:rsid w:val="00F33A92"/>
    <w:rsid w:val="00F344BA"/>
    <w:rsid w:val="00F34560"/>
    <w:rsid w:val="00F348F8"/>
    <w:rsid w:val="00F34A96"/>
    <w:rsid w:val="00F354F9"/>
    <w:rsid w:val="00F356DC"/>
    <w:rsid w:val="00F37D19"/>
    <w:rsid w:val="00F37DF3"/>
    <w:rsid w:val="00F40042"/>
    <w:rsid w:val="00F40631"/>
    <w:rsid w:val="00F40831"/>
    <w:rsid w:val="00F4092D"/>
    <w:rsid w:val="00F40DBA"/>
    <w:rsid w:val="00F40DCC"/>
    <w:rsid w:val="00F41160"/>
    <w:rsid w:val="00F411E8"/>
    <w:rsid w:val="00F412D5"/>
    <w:rsid w:val="00F41584"/>
    <w:rsid w:val="00F416B2"/>
    <w:rsid w:val="00F43B2F"/>
    <w:rsid w:val="00F43E36"/>
    <w:rsid w:val="00F4415B"/>
    <w:rsid w:val="00F44342"/>
    <w:rsid w:val="00F4497B"/>
    <w:rsid w:val="00F45122"/>
    <w:rsid w:val="00F45D69"/>
    <w:rsid w:val="00F46650"/>
    <w:rsid w:val="00F46D93"/>
    <w:rsid w:val="00F46EB6"/>
    <w:rsid w:val="00F472F9"/>
    <w:rsid w:val="00F47376"/>
    <w:rsid w:val="00F50D74"/>
    <w:rsid w:val="00F528D7"/>
    <w:rsid w:val="00F5343E"/>
    <w:rsid w:val="00F54231"/>
    <w:rsid w:val="00F54E88"/>
    <w:rsid w:val="00F55935"/>
    <w:rsid w:val="00F559F3"/>
    <w:rsid w:val="00F55EF3"/>
    <w:rsid w:val="00F57061"/>
    <w:rsid w:val="00F6030E"/>
    <w:rsid w:val="00F617F0"/>
    <w:rsid w:val="00F62AC0"/>
    <w:rsid w:val="00F646D9"/>
    <w:rsid w:val="00F64C80"/>
    <w:rsid w:val="00F65161"/>
    <w:rsid w:val="00F653CD"/>
    <w:rsid w:val="00F656A4"/>
    <w:rsid w:val="00F65F15"/>
    <w:rsid w:val="00F66794"/>
    <w:rsid w:val="00F66E41"/>
    <w:rsid w:val="00F67D7D"/>
    <w:rsid w:val="00F70CBD"/>
    <w:rsid w:val="00F71056"/>
    <w:rsid w:val="00F71AEC"/>
    <w:rsid w:val="00F71D80"/>
    <w:rsid w:val="00F71E22"/>
    <w:rsid w:val="00F72BB6"/>
    <w:rsid w:val="00F72DE5"/>
    <w:rsid w:val="00F73280"/>
    <w:rsid w:val="00F74557"/>
    <w:rsid w:val="00F75155"/>
    <w:rsid w:val="00F75B86"/>
    <w:rsid w:val="00F75C7A"/>
    <w:rsid w:val="00F75D60"/>
    <w:rsid w:val="00F7633E"/>
    <w:rsid w:val="00F76D06"/>
    <w:rsid w:val="00F81CC9"/>
    <w:rsid w:val="00F82166"/>
    <w:rsid w:val="00F831DB"/>
    <w:rsid w:val="00F83443"/>
    <w:rsid w:val="00F83665"/>
    <w:rsid w:val="00F86162"/>
    <w:rsid w:val="00F86192"/>
    <w:rsid w:val="00F868A7"/>
    <w:rsid w:val="00F86E37"/>
    <w:rsid w:val="00F87836"/>
    <w:rsid w:val="00F9008B"/>
    <w:rsid w:val="00F90227"/>
    <w:rsid w:val="00F91238"/>
    <w:rsid w:val="00F91465"/>
    <w:rsid w:val="00F92B2B"/>
    <w:rsid w:val="00F938A2"/>
    <w:rsid w:val="00F93F01"/>
    <w:rsid w:val="00F943F3"/>
    <w:rsid w:val="00F94F8A"/>
    <w:rsid w:val="00F95427"/>
    <w:rsid w:val="00F957F1"/>
    <w:rsid w:val="00F95FA1"/>
    <w:rsid w:val="00F96027"/>
    <w:rsid w:val="00F96DC8"/>
    <w:rsid w:val="00F96FFE"/>
    <w:rsid w:val="00F97774"/>
    <w:rsid w:val="00F979E8"/>
    <w:rsid w:val="00F97E27"/>
    <w:rsid w:val="00F97EE9"/>
    <w:rsid w:val="00FA000A"/>
    <w:rsid w:val="00FA0336"/>
    <w:rsid w:val="00FA0790"/>
    <w:rsid w:val="00FA210C"/>
    <w:rsid w:val="00FA2E7B"/>
    <w:rsid w:val="00FA4B99"/>
    <w:rsid w:val="00FA5F03"/>
    <w:rsid w:val="00FA7EF2"/>
    <w:rsid w:val="00FB0004"/>
    <w:rsid w:val="00FB07C2"/>
    <w:rsid w:val="00FB1033"/>
    <w:rsid w:val="00FB2E7D"/>
    <w:rsid w:val="00FB34F4"/>
    <w:rsid w:val="00FB3528"/>
    <w:rsid w:val="00FB3E49"/>
    <w:rsid w:val="00FB5170"/>
    <w:rsid w:val="00FB535D"/>
    <w:rsid w:val="00FB61F4"/>
    <w:rsid w:val="00FB6966"/>
    <w:rsid w:val="00FB7E51"/>
    <w:rsid w:val="00FC0D16"/>
    <w:rsid w:val="00FC1366"/>
    <w:rsid w:val="00FC1639"/>
    <w:rsid w:val="00FC279A"/>
    <w:rsid w:val="00FC281F"/>
    <w:rsid w:val="00FC2A3D"/>
    <w:rsid w:val="00FC2AFA"/>
    <w:rsid w:val="00FC3408"/>
    <w:rsid w:val="00FC3F07"/>
    <w:rsid w:val="00FC408D"/>
    <w:rsid w:val="00FC4482"/>
    <w:rsid w:val="00FC4BAF"/>
    <w:rsid w:val="00FC5633"/>
    <w:rsid w:val="00FC61FB"/>
    <w:rsid w:val="00FC6B3A"/>
    <w:rsid w:val="00FD0857"/>
    <w:rsid w:val="00FD1095"/>
    <w:rsid w:val="00FD1245"/>
    <w:rsid w:val="00FD179C"/>
    <w:rsid w:val="00FD1A0F"/>
    <w:rsid w:val="00FD1BDF"/>
    <w:rsid w:val="00FD1CA3"/>
    <w:rsid w:val="00FD29A4"/>
    <w:rsid w:val="00FD2A55"/>
    <w:rsid w:val="00FD3491"/>
    <w:rsid w:val="00FD3ABA"/>
    <w:rsid w:val="00FD3FE5"/>
    <w:rsid w:val="00FD402E"/>
    <w:rsid w:val="00FD4F54"/>
    <w:rsid w:val="00FD597B"/>
    <w:rsid w:val="00FD5A87"/>
    <w:rsid w:val="00FD68D1"/>
    <w:rsid w:val="00FD6A30"/>
    <w:rsid w:val="00FD6CA1"/>
    <w:rsid w:val="00FD6D3D"/>
    <w:rsid w:val="00FD7119"/>
    <w:rsid w:val="00FD7316"/>
    <w:rsid w:val="00FD770E"/>
    <w:rsid w:val="00FE029D"/>
    <w:rsid w:val="00FE09E0"/>
    <w:rsid w:val="00FE0FF2"/>
    <w:rsid w:val="00FE1015"/>
    <w:rsid w:val="00FE10EA"/>
    <w:rsid w:val="00FE126F"/>
    <w:rsid w:val="00FE201F"/>
    <w:rsid w:val="00FE31E9"/>
    <w:rsid w:val="00FE330C"/>
    <w:rsid w:val="00FE38EB"/>
    <w:rsid w:val="00FE3D58"/>
    <w:rsid w:val="00FE3FE4"/>
    <w:rsid w:val="00FE41AF"/>
    <w:rsid w:val="00FE587F"/>
    <w:rsid w:val="00FE632C"/>
    <w:rsid w:val="00FE6346"/>
    <w:rsid w:val="00FE7140"/>
    <w:rsid w:val="00FE73F8"/>
    <w:rsid w:val="00FE7781"/>
    <w:rsid w:val="00FF115C"/>
    <w:rsid w:val="00FF1465"/>
    <w:rsid w:val="00FF14BD"/>
    <w:rsid w:val="00FF1A56"/>
    <w:rsid w:val="00FF2C87"/>
    <w:rsid w:val="00FF4045"/>
    <w:rsid w:val="00FF466C"/>
    <w:rsid w:val="00FF4B6C"/>
    <w:rsid w:val="00FF4CF7"/>
    <w:rsid w:val="00FF4E3F"/>
    <w:rsid w:val="00FF6448"/>
    <w:rsid w:val="00FF6D0C"/>
    <w:rsid w:val="00FF76BC"/>
    <w:rsid w:val="00FF7D22"/>
    <w:rsid w:val="00FF7DDD"/>
    <w:rsid w:val="01160AA5"/>
    <w:rsid w:val="01C47B72"/>
    <w:rsid w:val="01C5696E"/>
    <w:rsid w:val="027E29A5"/>
    <w:rsid w:val="02A9617B"/>
    <w:rsid w:val="02CF1E1F"/>
    <w:rsid w:val="02E2003A"/>
    <w:rsid w:val="031F17CA"/>
    <w:rsid w:val="0327428D"/>
    <w:rsid w:val="03282534"/>
    <w:rsid w:val="0356048A"/>
    <w:rsid w:val="0370433C"/>
    <w:rsid w:val="038905AA"/>
    <w:rsid w:val="03936C6A"/>
    <w:rsid w:val="03AA4690"/>
    <w:rsid w:val="03B55A51"/>
    <w:rsid w:val="03DA2164"/>
    <w:rsid w:val="03FE2AE8"/>
    <w:rsid w:val="041A5F3C"/>
    <w:rsid w:val="042618CA"/>
    <w:rsid w:val="04350A21"/>
    <w:rsid w:val="051B326D"/>
    <w:rsid w:val="051B7DDB"/>
    <w:rsid w:val="05427FA4"/>
    <w:rsid w:val="054D20B5"/>
    <w:rsid w:val="054F05BF"/>
    <w:rsid w:val="05561486"/>
    <w:rsid w:val="05CB720D"/>
    <w:rsid w:val="05F44C50"/>
    <w:rsid w:val="06572FF5"/>
    <w:rsid w:val="0668414F"/>
    <w:rsid w:val="066B74E1"/>
    <w:rsid w:val="06897A95"/>
    <w:rsid w:val="06D10E9D"/>
    <w:rsid w:val="06D23427"/>
    <w:rsid w:val="06E71D14"/>
    <w:rsid w:val="07010FB6"/>
    <w:rsid w:val="076D4428"/>
    <w:rsid w:val="076D4537"/>
    <w:rsid w:val="076E4558"/>
    <w:rsid w:val="07AE5363"/>
    <w:rsid w:val="07CD6D88"/>
    <w:rsid w:val="07DC325C"/>
    <w:rsid w:val="081975CA"/>
    <w:rsid w:val="08246A68"/>
    <w:rsid w:val="08631DD0"/>
    <w:rsid w:val="08865766"/>
    <w:rsid w:val="08B04C07"/>
    <w:rsid w:val="08F311DF"/>
    <w:rsid w:val="093F316B"/>
    <w:rsid w:val="09410EFE"/>
    <w:rsid w:val="096248EE"/>
    <w:rsid w:val="09637B28"/>
    <w:rsid w:val="097A6141"/>
    <w:rsid w:val="099A0DC9"/>
    <w:rsid w:val="0A0D35D0"/>
    <w:rsid w:val="0A264801"/>
    <w:rsid w:val="0A567667"/>
    <w:rsid w:val="0A917CCA"/>
    <w:rsid w:val="0AA64D0E"/>
    <w:rsid w:val="0AB4031E"/>
    <w:rsid w:val="0AB54A7C"/>
    <w:rsid w:val="0AD13335"/>
    <w:rsid w:val="0B1A2CDA"/>
    <w:rsid w:val="0B2B74E5"/>
    <w:rsid w:val="0B6D5845"/>
    <w:rsid w:val="0C787805"/>
    <w:rsid w:val="0D2E019B"/>
    <w:rsid w:val="0D400C8F"/>
    <w:rsid w:val="0D4D058F"/>
    <w:rsid w:val="0D6C0601"/>
    <w:rsid w:val="0DC0221D"/>
    <w:rsid w:val="0E135ED2"/>
    <w:rsid w:val="0E2853AF"/>
    <w:rsid w:val="0E5C043C"/>
    <w:rsid w:val="0E726840"/>
    <w:rsid w:val="0E8037C7"/>
    <w:rsid w:val="0E8B6BD5"/>
    <w:rsid w:val="0EC93987"/>
    <w:rsid w:val="0F600B6B"/>
    <w:rsid w:val="0F9C7333"/>
    <w:rsid w:val="0FC02FE7"/>
    <w:rsid w:val="10144D91"/>
    <w:rsid w:val="101F5C97"/>
    <w:rsid w:val="103662DE"/>
    <w:rsid w:val="10454407"/>
    <w:rsid w:val="108A4111"/>
    <w:rsid w:val="109F7093"/>
    <w:rsid w:val="10A22492"/>
    <w:rsid w:val="10C57012"/>
    <w:rsid w:val="10E22E7C"/>
    <w:rsid w:val="11C101AE"/>
    <w:rsid w:val="121B06BF"/>
    <w:rsid w:val="12751798"/>
    <w:rsid w:val="12757B1F"/>
    <w:rsid w:val="12972672"/>
    <w:rsid w:val="12A606EE"/>
    <w:rsid w:val="12BA43D3"/>
    <w:rsid w:val="12E2666A"/>
    <w:rsid w:val="13207A30"/>
    <w:rsid w:val="1329162D"/>
    <w:rsid w:val="13AD35D6"/>
    <w:rsid w:val="14317ECA"/>
    <w:rsid w:val="14954B5F"/>
    <w:rsid w:val="14BC4CE8"/>
    <w:rsid w:val="1501512D"/>
    <w:rsid w:val="150A3F6D"/>
    <w:rsid w:val="15504F07"/>
    <w:rsid w:val="16106092"/>
    <w:rsid w:val="165D23F6"/>
    <w:rsid w:val="166E03D8"/>
    <w:rsid w:val="1689483B"/>
    <w:rsid w:val="169F0215"/>
    <w:rsid w:val="16BE758F"/>
    <w:rsid w:val="16D37E88"/>
    <w:rsid w:val="173E367E"/>
    <w:rsid w:val="17485042"/>
    <w:rsid w:val="17685577"/>
    <w:rsid w:val="17A553DC"/>
    <w:rsid w:val="180B5ABD"/>
    <w:rsid w:val="185B7012"/>
    <w:rsid w:val="189317E1"/>
    <w:rsid w:val="18B1550E"/>
    <w:rsid w:val="18DE2B5A"/>
    <w:rsid w:val="19041CCF"/>
    <w:rsid w:val="191552FF"/>
    <w:rsid w:val="193844ED"/>
    <w:rsid w:val="197E67A4"/>
    <w:rsid w:val="199C30F1"/>
    <w:rsid w:val="19AB6D78"/>
    <w:rsid w:val="19B85050"/>
    <w:rsid w:val="19D00EDA"/>
    <w:rsid w:val="1A1B5DE5"/>
    <w:rsid w:val="1A3F0011"/>
    <w:rsid w:val="1A615A87"/>
    <w:rsid w:val="1A7E409D"/>
    <w:rsid w:val="1B1D56FD"/>
    <w:rsid w:val="1B2B739F"/>
    <w:rsid w:val="1B575EBA"/>
    <w:rsid w:val="1B5D026B"/>
    <w:rsid w:val="1BA2374C"/>
    <w:rsid w:val="1BA558EC"/>
    <w:rsid w:val="1C5B364D"/>
    <w:rsid w:val="1C5E390E"/>
    <w:rsid w:val="1CA13205"/>
    <w:rsid w:val="1CAF1028"/>
    <w:rsid w:val="1CF51D96"/>
    <w:rsid w:val="1D495F9C"/>
    <w:rsid w:val="1D5D1757"/>
    <w:rsid w:val="1DF81D44"/>
    <w:rsid w:val="1E0D6052"/>
    <w:rsid w:val="1E430C24"/>
    <w:rsid w:val="1E442A4B"/>
    <w:rsid w:val="1E7859E8"/>
    <w:rsid w:val="1EB926C9"/>
    <w:rsid w:val="1EBB10F3"/>
    <w:rsid w:val="1F0E3740"/>
    <w:rsid w:val="1F38760A"/>
    <w:rsid w:val="1F3C0E99"/>
    <w:rsid w:val="1F506D7F"/>
    <w:rsid w:val="1F831727"/>
    <w:rsid w:val="1FF07354"/>
    <w:rsid w:val="202A707C"/>
    <w:rsid w:val="2044337B"/>
    <w:rsid w:val="20516009"/>
    <w:rsid w:val="205C5588"/>
    <w:rsid w:val="208B0495"/>
    <w:rsid w:val="209B3FAD"/>
    <w:rsid w:val="20B31600"/>
    <w:rsid w:val="212575B9"/>
    <w:rsid w:val="215A77CA"/>
    <w:rsid w:val="21637907"/>
    <w:rsid w:val="217904D8"/>
    <w:rsid w:val="21D22B6A"/>
    <w:rsid w:val="21FB130B"/>
    <w:rsid w:val="22084646"/>
    <w:rsid w:val="22280099"/>
    <w:rsid w:val="226360FF"/>
    <w:rsid w:val="2298697E"/>
    <w:rsid w:val="22A805E7"/>
    <w:rsid w:val="22DB4350"/>
    <w:rsid w:val="22E67A30"/>
    <w:rsid w:val="22EC5858"/>
    <w:rsid w:val="23202507"/>
    <w:rsid w:val="23547806"/>
    <w:rsid w:val="23D94763"/>
    <w:rsid w:val="240707DB"/>
    <w:rsid w:val="24187A20"/>
    <w:rsid w:val="24565CD4"/>
    <w:rsid w:val="25C50294"/>
    <w:rsid w:val="25FC11C5"/>
    <w:rsid w:val="261B3491"/>
    <w:rsid w:val="26255A00"/>
    <w:rsid w:val="26694B4E"/>
    <w:rsid w:val="2686714A"/>
    <w:rsid w:val="2759352C"/>
    <w:rsid w:val="27BD19A9"/>
    <w:rsid w:val="27BF6E99"/>
    <w:rsid w:val="27C863AE"/>
    <w:rsid w:val="27F02A1E"/>
    <w:rsid w:val="27FA7B61"/>
    <w:rsid w:val="281B425C"/>
    <w:rsid w:val="2852754B"/>
    <w:rsid w:val="28AF6024"/>
    <w:rsid w:val="29146748"/>
    <w:rsid w:val="294C7E51"/>
    <w:rsid w:val="296A2121"/>
    <w:rsid w:val="299D2F53"/>
    <w:rsid w:val="29AA142C"/>
    <w:rsid w:val="29CA5CB0"/>
    <w:rsid w:val="29E25879"/>
    <w:rsid w:val="29E92364"/>
    <w:rsid w:val="2A8D40F5"/>
    <w:rsid w:val="2AA76FCB"/>
    <w:rsid w:val="2AB15332"/>
    <w:rsid w:val="2B093F1A"/>
    <w:rsid w:val="2B2919F7"/>
    <w:rsid w:val="2B692C0B"/>
    <w:rsid w:val="2B6C5FBE"/>
    <w:rsid w:val="2B8302EB"/>
    <w:rsid w:val="2BAD2EF4"/>
    <w:rsid w:val="2BE1588C"/>
    <w:rsid w:val="2BF02D04"/>
    <w:rsid w:val="2C1314EF"/>
    <w:rsid w:val="2C1F0511"/>
    <w:rsid w:val="2C6A44EB"/>
    <w:rsid w:val="2C840918"/>
    <w:rsid w:val="2C8C4DFE"/>
    <w:rsid w:val="2CB73D61"/>
    <w:rsid w:val="2CF9238D"/>
    <w:rsid w:val="2CFF282A"/>
    <w:rsid w:val="2D264F4D"/>
    <w:rsid w:val="2D5434C2"/>
    <w:rsid w:val="2D6D1AE0"/>
    <w:rsid w:val="2D726F1C"/>
    <w:rsid w:val="2D800AB9"/>
    <w:rsid w:val="2E401624"/>
    <w:rsid w:val="2E7711B3"/>
    <w:rsid w:val="2E7D64D4"/>
    <w:rsid w:val="2E8B0B05"/>
    <w:rsid w:val="2EB021B5"/>
    <w:rsid w:val="2EB92842"/>
    <w:rsid w:val="2EE83B1E"/>
    <w:rsid w:val="2F22447C"/>
    <w:rsid w:val="2F5C5B42"/>
    <w:rsid w:val="2F6B1CBB"/>
    <w:rsid w:val="2F6F008E"/>
    <w:rsid w:val="2F7A79C2"/>
    <w:rsid w:val="2FE3547C"/>
    <w:rsid w:val="2FF92489"/>
    <w:rsid w:val="302E3B8A"/>
    <w:rsid w:val="3043310A"/>
    <w:rsid w:val="30B71F0F"/>
    <w:rsid w:val="30E9289F"/>
    <w:rsid w:val="31455663"/>
    <w:rsid w:val="31B872CE"/>
    <w:rsid w:val="31CE47E3"/>
    <w:rsid w:val="323F3ED1"/>
    <w:rsid w:val="326F7A10"/>
    <w:rsid w:val="32D51D6B"/>
    <w:rsid w:val="32FA4F5E"/>
    <w:rsid w:val="330306F8"/>
    <w:rsid w:val="33061EA2"/>
    <w:rsid w:val="334E7CA6"/>
    <w:rsid w:val="33850327"/>
    <w:rsid w:val="33953BA3"/>
    <w:rsid w:val="33B17FE2"/>
    <w:rsid w:val="33DC3160"/>
    <w:rsid w:val="34010D5F"/>
    <w:rsid w:val="34057765"/>
    <w:rsid w:val="343B7E11"/>
    <w:rsid w:val="345507E9"/>
    <w:rsid w:val="34797769"/>
    <w:rsid w:val="34860FB8"/>
    <w:rsid w:val="34C9402B"/>
    <w:rsid w:val="34F60CF0"/>
    <w:rsid w:val="350602DD"/>
    <w:rsid w:val="35497AE9"/>
    <w:rsid w:val="355826AF"/>
    <w:rsid w:val="35622F24"/>
    <w:rsid w:val="35895DF6"/>
    <w:rsid w:val="35B008C8"/>
    <w:rsid w:val="35D35460"/>
    <w:rsid w:val="35DA7C85"/>
    <w:rsid w:val="366767B0"/>
    <w:rsid w:val="367149F7"/>
    <w:rsid w:val="3691586D"/>
    <w:rsid w:val="36A97254"/>
    <w:rsid w:val="36B44D45"/>
    <w:rsid w:val="36F61F70"/>
    <w:rsid w:val="370D5E26"/>
    <w:rsid w:val="371A47F4"/>
    <w:rsid w:val="37536FD4"/>
    <w:rsid w:val="377175D3"/>
    <w:rsid w:val="377A7A9B"/>
    <w:rsid w:val="379C4663"/>
    <w:rsid w:val="37BA3526"/>
    <w:rsid w:val="383E603C"/>
    <w:rsid w:val="38931953"/>
    <w:rsid w:val="38F81F0C"/>
    <w:rsid w:val="39420851"/>
    <w:rsid w:val="399E6510"/>
    <w:rsid w:val="39F772D0"/>
    <w:rsid w:val="3A38007E"/>
    <w:rsid w:val="3A6634F9"/>
    <w:rsid w:val="3A8862A3"/>
    <w:rsid w:val="3A89307A"/>
    <w:rsid w:val="3A8B5C58"/>
    <w:rsid w:val="3A973285"/>
    <w:rsid w:val="3B2A7106"/>
    <w:rsid w:val="3B496FD3"/>
    <w:rsid w:val="3B6623AF"/>
    <w:rsid w:val="3B7414CA"/>
    <w:rsid w:val="3C130AD2"/>
    <w:rsid w:val="3C3A107B"/>
    <w:rsid w:val="3C3F395D"/>
    <w:rsid w:val="3C7568F2"/>
    <w:rsid w:val="3CE820FC"/>
    <w:rsid w:val="3CE84F36"/>
    <w:rsid w:val="3D1C694B"/>
    <w:rsid w:val="3D2F4300"/>
    <w:rsid w:val="3D661EC5"/>
    <w:rsid w:val="3DA475BE"/>
    <w:rsid w:val="3DD0106E"/>
    <w:rsid w:val="3DD067C4"/>
    <w:rsid w:val="3DEA5746"/>
    <w:rsid w:val="3E383A88"/>
    <w:rsid w:val="3E7B4411"/>
    <w:rsid w:val="3EB709F3"/>
    <w:rsid w:val="3ED9559B"/>
    <w:rsid w:val="3EE20AB6"/>
    <w:rsid w:val="3F14246D"/>
    <w:rsid w:val="3F211E15"/>
    <w:rsid w:val="3F410957"/>
    <w:rsid w:val="3F6135CD"/>
    <w:rsid w:val="3F683062"/>
    <w:rsid w:val="3F736BA7"/>
    <w:rsid w:val="3FAF1F06"/>
    <w:rsid w:val="3FC341E7"/>
    <w:rsid w:val="40202CFB"/>
    <w:rsid w:val="40730265"/>
    <w:rsid w:val="40BE58C5"/>
    <w:rsid w:val="40CB6066"/>
    <w:rsid w:val="41361BC7"/>
    <w:rsid w:val="41872067"/>
    <w:rsid w:val="41AD4CCA"/>
    <w:rsid w:val="41E34160"/>
    <w:rsid w:val="422D6D8F"/>
    <w:rsid w:val="424C6FC2"/>
    <w:rsid w:val="4332321F"/>
    <w:rsid w:val="43474FCA"/>
    <w:rsid w:val="43D257AC"/>
    <w:rsid w:val="43EB4BF9"/>
    <w:rsid w:val="44162144"/>
    <w:rsid w:val="4465510B"/>
    <w:rsid w:val="44745A37"/>
    <w:rsid w:val="44995CC0"/>
    <w:rsid w:val="44B52F47"/>
    <w:rsid w:val="44D5127D"/>
    <w:rsid w:val="44D6635C"/>
    <w:rsid w:val="44F214AA"/>
    <w:rsid w:val="44F71031"/>
    <w:rsid w:val="452025F6"/>
    <w:rsid w:val="455B3DFD"/>
    <w:rsid w:val="46B61793"/>
    <w:rsid w:val="46BC5DAC"/>
    <w:rsid w:val="470955DD"/>
    <w:rsid w:val="477335F6"/>
    <w:rsid w:val="477D6A9F"/>
    <w:rsid w:val="47A1784F"/>
    <w:rsid w:val="483A48CC"/>
    <w:rsid w:val="485B4C31"/>
    <w:rsid w:val="48686258"/>
    <w:rsid w:val="48730C7B"/>
    <w:rsid w:val="497F41A4"/>
    <w:rsid w:val="497F63A3"/>
    <w:rsid w:val="49974A29"/>
    <w:rsid w:val="49F07633"/>
    <w:rsid w:val="4A085002"/>
    <w:rsid w:val="4A7C5779"/>
    <w:rsid w:val="4A8B447B"/>
    <w:rsid w:val="4A8C63C6"/>
    <w:rsid w:val="4B565287"/>
    <w:rsid w:val="4BC75D67"/>
    <w:rsid w:val="4BD231A3"/>
    <w:rsid w:val="4C2E6909"/>
    <w:rsid w:val="4C3401CD"/>
    <w:rsid w:val="4C536F43"/>
    <w:rsid w:val="4C8F692D"/>
    <w:rsid w:val="4CF27919"/>
    <w:rsid w:val="4D0A23AB"/>
    <w:rsid w:val="4E487E1A"/>
    <w:rsid w:val="4E9400B8"/>
    <w:rsid w:val="4E9445BC"/>
    <w:rsid w:val="4EBB0E98"/>
    <w:rsid w:val="4EE37B1A"/>
    <w:rsid w:val="4F6A02FA"/>
    <w:rsid w:val="4FFB2C0C"/>
    <w:rsid w:val="50074B08"/>
    <w:rsid w:val="502842CC"/>
    <w:rsid w:val="508D471F"/>
    <w:rsid w:val="50A823BC"/>
    <w:rsid w:val="50E52935"/>
    <w:rsid w:val="50E664BC"/>
    <w:rsid w:val="51051DC2"/>
    <w:rsid w:val="5105657C"/>
    <w:rsid w:val="511708C4"/>
    <w:rsid w:val="5250749B"/>
    <w:rsid w:val="52DE1F04"/>
    <w:rsid w:val="52E23187"/>
    <w:rsid w:val="5310744E"/>
    <w:rsid w:val="53650812"/>
    <w:rsid w:val="537237E4"/>
    <w:rsid w:val="537E6B3A"/>
    <w:rsid w:val="53891BA8"/>
    <w:rsid w:val="53902026"/>
    <w:rsid w:val="53A000C2"/>
    <w:rsid w:val="53C72D6C"/>
    <w:rsid w:val="541B3325"/>
    <w:rsid w:val="54440C69"/>
    <w:rsid w:val="54454F70"/>
    <w:rsid w:val="549822B1"/>
    <w:rsid w:val="54D00B4F"/>
    <w:rsid w:val="55330DF9"/>
    <w:rsid w:val="55645B67"/>
    <w:rsid w:val="558069B2"/>
    <w:rsid w:val="56313518"/>
    <w:rsid w:val="566E15C5"/>
    <w:rsid w:val="56CB6D12"/>
    <w:rsid w:val="57C778F0"/>
    <w:rsid w:val="58092409"/>
    <w:rsid w:val="581E36D3"/>
    <w:rsid w:val="583E67E2"/>
    <w:rsid w:val="5865446D"/>
    <w:rsid w:val="586E0340"/>
    <w:rsid w:val="58826305"/>
    <w:rsid w:val="58A565DF"/>
    <w:rsid w:val="58EE6A99"/>
    <w:rsid w:val="596533D2"/>
    <w:rsid w:val="597B61A8"/>
    <w:rsid w:val="59CF05B4"/>
    <w:rsid w:val="59D04D80"/>
    <w:rsid w:val="5A967C4C"/>
    <w:rsid w:val="5AA46015"/>
    <w:rsid w:val="5AB36A23"/>
    <w:rsid w:val="5AC20744"/>
    <w:rsid w:val="5ADD3795"/>
    <w:rsid w:val="5B5A794B"/>
    <w:rsid w:val="5B6910D6"/>
    <w:rsid w:val="5B702C84"/>
    <w:rsid w:val="5BE5362C"/>
    <w:rsid w:val="5C647B1E"/>
    <w:rsid w:val="5C653D22"/>
    <w:rsid w:val="5C720E3A"/>
    <w:rsid w:val="5C7E4605"/>
    <w:rsid w:val="5CB404A0"/>
    <w:rsid w:val="5D1C3851"/>
    <w:rsid w:val="5DAB784C"/>
    <w:rsid w:val="5DBD11EF"/>
    <w:rsid w:val="5DE56116"/>
    <w:rsid w:val="5E43714D"/>
    <w:rsid w:val="5EA871EC"/>
    <w:rsid w:val="5EB57A47"/>
    <w:rsid w:val="5EE74BD9"/>
    <w:rsid w:val="5F2A78FB"/>
    <w:rsid w:val="5F2B4060"/>
    <w:rsid w:val="5F3333BA"/>
    <w:rsid w:val="5F37677D"/>
    <w:rsid w:val="5F3A7F59"/>
    <w:rsid w:val="5FF257E7"/>
    <w:rsid w:val="60343A63"/>
    <w:rsid w:val="606D163F"/>
    <w:rsid w:val="60974A42"/>
    <w:rsid w:val="60D966AC"/>
    <w:rsid w:val="61510099"/>
    <w:rsid w:val="617556F4"/>
    <w:rsid w:val="61833D0B"/>
    <w:rsid w:val="61AB2A03"/>
    <w:rsid w:val="61CE6EDF"/>
    <w:rsid w:val="624A30B4"/>
    <w:rsid w:val="629B0039"/>
    <w:rsid w:val="62B91756"/>
    <w:rsid w:val="62BE180C"/>
    <w:rsid w:val="62CE61AB"/>
    <w:rsid w:val="62EE22F7"/>
    <w:rsid w:val="63046673"/>
    <w:rsid w:val="63EC5DF4"/>
    <w:rsid w:val="63F501EC"/>
    <w:rsid w:val="6421247D"/>
    <w:rsid w:val="64273315"/>
    <w:rsid w:val="643C499F"/>
    <w:rsid w:val="648061D8"/>
    <w:rsid w:val="648D013B"/>
    <w:rsid w:val="64A54522"/>
    <w:rsid w:val="64B129B4"/>
    <w:rsid w:val="654E454D"/>
    <w:rsid w:val="655666AE"/>
    <w:rsid w:val="656F71A9"/>
    <w:rsid w:val="659D6E1E"/>
    <w:rsid w:val="65A5415A"/>
    <w:rsid w:val="65AA51C7"/>
    <w:rsid w:val="65B6447F"/>
    <w:rsid w:val="65EE796E"/>
    <w:rsid w:val="660211AE"/>
    <w:rsid w:val="66174109"/>
    <w:rsid w:val="66656706"/>
    <w:rsid w:val="66754A36"/>
    <w:rsid w:val="66834D8A"/>
    <w:rsid w:val="66FE5EE4"/>
    <w:rsid w:val="670A3A9C"/>
    <w:rsid w:val="677B2AD6"/>
    <w:rsid w:val="677B2E58"/>
    <w:rsid w:val="679B1D06"/>
    <w:rsid w:val="67E52FFA"/>
    <w:rsid w:val="681C3FB0"/>
    <w:rsid w:val="68443209"/>
    <w:rsid w:val="684B3EE6"/>
    <w:rsid w:val="688D37B2"/>
    <w:rsid w:val="68942431"/>
    <w:rsid w:val="68D6398B"/>
    <w:rsid w:val="693B119D"/>
    <w:rsid w:val="69686DFF"/>
    <w:rsid w:val="69A81168"/>
    <w:rsid w:val="69E508D6"/>
    <w:rsid w:val="6A6D0834"/>
    <w:rsid w:val="6AE06117"/>
    <w:rsid w:val="6B26161B"/>
    <w:rsid w:val="6B366440"/>
    <w:rsid w:val="6BBC1B4D"/>
    <w:rsid w:val="6BC45718"/>
    <w:rsid w:val="6C833F4D"/>
    <w:rsid w:val="6D0C45CC"/>
    <w:rsid w:val="6D307CE1"/>
    <w:rsid w:val="6D430C9B"/>
    <w:rsid w:val="6D760823"/>
    <w:rsid w:val="6D9272C7"/>
    <w:rsid w:val="6DA87317"/>
    <w:rsid w:val="6DB37D21"/>
    <w:rsid w:val="6DE43245"/>
    <w:rsid w:val="6DF0222D"/>
    <w:rsid w:val="6EE50B6D"/>
    <w:rsid w:val="6EF5741E"/>
    <w:rsid w:val="6F5357D0"/>
    <w:rsid w:val="6F6D3DBD"/>
    <w:rsid w:val="6F8A6DB6"/>
    <w:rsid w:val="6F9D4395"/>
    <w:rsid w:val="6FE46AAB"/>
    <w:rsid w:val="6FF5793D"/>
    <w:rsid w:val="702F1B26"/>
    <w:rsid w:val="7047770F"/>
    <w:rsid w:val="704842A4"/>
    <w:rsid w:val="71032B11"/>
    <w:rsid w:val="710377C6"/>
    <w:rsid w:val="71530FFB"/>
    <w:rsid w:val="71AD316B"/>
    <w:rsid w:val="71B4715F"/>
    <w:rsid w:val="71BD5507"/>
    <w:rsid w:val="7222576C"/>
    <w:rsid w:val="72270B56"/>
    <w:rsid w:val="722F4EF2"/>
    <w:rsid w:val="72476860"/>
    <w:rsid w:val="73085C46"/>
    <w:rsid w:val="73114E18"/>
    <w:rsid w:val="731D7D2C"/>
    <w:rsid w:val="73357986"/>
    <w:rsid w:val="73635C75"/>
    <w:rsid w:val="736946CC"/>
    <w:rsid w:val="73934614"/>
    <w:rsid w:val="73DB0932"/>
    <w:rsid w:val="73E055A6"/>
    <w:rsid w:val="73F17390"/>
    <w:rsid w:val="741C7CB9"/>
    <w:rsid w:val="74597479"/>
    <w:rsid w:val="74D82B3C"/>
    <w:rsid w:val="756C0087"/>
    <w:rsid w:val="75CC1AD0"/>
    <w:rsid w:val="75DF53EF"/>
    <w:rsid w:val="760B61B5"/>
    <w:rsid w:val="76124944"/>
    <w:rsid w:val="762D18D6"/>
    <w:rsid w:val="764705B6"/>
    <w:rsid w:val="7647739D"/>
    <w:rsid w:val="76524558"/>
    <w:rsid w:val="76567242"/>
    <w:rsid w:val="76A10D30"/>
    <w:rsid w:val="76DD66EF"/>
    <w:rsid w:val="774A0C90"/>
    <w:rsid w:val="77741ED5"/>
    <w:rsid w:val="779B715A"/>
    <w:rsid w:val="77AD5E9C"/>
    <w:rsid w:val="77B0146F"/>
    <w:rsid w:val="77C76CBB"/>
    <w:rsid w:val="77E674BB"/>
    <w:rsid w:val="785C0630"/>
    <w:rsid w:val="78D87A53"/>
    <w:rsid w:val="79104666"/>
    <w:rsid w:val="79685B70"/>
    <w:rsid w:val="79905336"/>
    <w:rsid w:val="799D5E7E"/>
    <w:rsid w:val="79BA74BC"/>
    <w:rsid w:val="79F0361A"/>
    <w:rsid w:val="7A1A7293"/>
    <w:rsid w:val="7AFD5258"/>
    <w:rsid w:val="7B1139A2"/>
    <w:rsid w:val="7B145DD0"/>
    <w:rsid w:val="7B217E94"/>
    <w:rsid w:val="7B8D56ED"/>
    <w:rsid w:val="7B8F7843"/>
    <w:rsid w:val="7BB03C6F"/>
    <w:rsid w:val="7C1F2A57"/>
    <w:rsid w:val="7C4D7C3B"/>
    <w:rsid w:val="7C8048D1"/>
    <w:rsid w:val="7C9E7A01"/>
    <w:rsid w:val="7CC3260B"/>
    <w:rsid w:val="7CFB3369"/>
    <w:rsid w:val="7D097F09"/>
    <w:rsid w:val="7D234FA3"/>
    <w:rsid w:val="7D83583B"/>
    <w:rsid w:val="7E210B8C"/>
    <w:rsid w:val="7E2A1285"/>
    <w:rsid w:val="7E615FD7"/>
    <w:rsid w:val="7EE87E5D"/>
    <w:rsid w:val="7F323F7F"/>
    <w:rsid w:val="7F451518"/>
    <w:rsid w:val="7F492E62"/>
    <w:rsid w:val="7FDE44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qFormat="1" w:unhideWhenUsed="0" w:uiPriority="99" w:semiHidden="0" w:name="toc 6"/>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8"/>
    <w:qFormat/>
    <w:uiPriority w:val="99"/>
    <w:pPr>
      <w:keepNext/>
      <w:keepLines/>
      <w:spacing w:before="260" w:after="260" w:line="416" w:lineRule="auto"/>
      <w:outlineLvl w:val="2"/>
    </w:pPr>
    <w:rPr>
      <w:b/>
      <w:bCs/>
      <w:kern w:val="0"/>
      <w:sz w:val="32"/>
      <w:szCs w:val="32"/>
    </w:rPr>
  </w:style>
  <w:style w:type="paragraph" w:styleId="2">
    <w:name w:val="heading 4"/>
    <w:basedOn w:val="1"/>
    <w:next w:val="1"/>
    <w:link w:val="59"/>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0"/>
    <w:qFormat/>
    <w:uiPriority w:val="99"/>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9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99"/>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9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26"/>
    <w:qFormat/>
    <w:uiPriority w:val="99"/>
    <w:pPr>
      <w:ind w:firstLine="420"/>
    </w:pPr>
    <w:rPr>
      <w:szCs w:val="20"/>
    </w:rPr>
  </w:style>
  <w:style w:type="paragraph" w:styleId="12">
    <w:name w:val="toc 7"/>
    <w:basedOn w:val="1"/>
    <w:next w:val="1"/>
    <w:semiHidden/>
    <w:qFormat/>
    <w:uiPriority w:val="99"/>
    <w:pPr>
      <w:ind w:left="2520" w:leftChars="1200"/>
    </w:p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8"/>
    <w:qFormat/>
    <w:uiPriority w:val="99"/>
    <w:rPr>
      <w:rFonts w:ascii="宋体"/>
      <w:sz w:val="18"/>
      <w:szCs w:val="18"/>
    </w:rPr>
  </w:style>
  <w:style w:type="paragraph" w:styleId="16">
    <w:name w:val="annotation text"/>
    <w:basedOn w:val="1"/>
    <w:link w:val="69"/>
    <w:qFormat/>
    <w:uiPriority w:val="99"/>
    <w:pPr>
      <w:jc w:val="left"/>
    </w:pPr>
  </w:style>
  <w:style w:type="paragraph" w:styleId="17">
    <w:name w:val="Body Text 3"/>
    <w:basedOn w:val="1"/>
    <w:link w:val="70"/>
    <w:qFormat/>
    <w:uiPriority w:val="99"/>
    <w:pPr>
      <w:spacing w:line="500" w:lineRule="exact"/>
    </w:pPr>
    <w:rPr>
      <w:b/>
      <w:bCs/>
      <w:kern w:val="0"/>
      <w:sz w:val="24"/>
    </w:rPr>
  </w:style>
  <w:style w:type="paragraph" w:styleId="18">
    <w:name w:val="Body Text"/>
    <w:basedOn w:val="1"/>
    <w:next w:val="19"/>
    <w:link w:val="65"/>
    <w:qFormat/>
    <w:uiPriority w:val="99"/>
    <w:pPr>
      <w:spacing w:line="380" w:lineRule="exact"/>
    </w:pPr>
    <w:rPr>
      <w:kern w:val="0"/>
      <w:sz w:val="24"/>
    </w:rPr>
  </w:style>
  <w:style w:type="paragraph" w:styleId="19">
    <w:name w:val="Body Text First Indent 2"/>
    <w:basedOn w:val="20"/>
    <w:link w:val="67"/>
    <w:qFormat/>
    <w:uiPriority w:val="99"/>
    <w:pPr>
      <w:spacing w:after="120"/>
      <w:ind w:left="420" w:leftChars="200" w:firstLine="420" w:firstLineChars="200"/>
    </w:pPr>
    <w:rPr>
      <w:rFonts w:ascii="Calibri" w:hAnsi="Calibri"/>
      <w:sz w:val="21"/>
      <w:szCs w:val="24"/>
    </w:rPr>
  </w:style>
  <w:style w:type="paragraph" w:styleId="20">
    <w:name w:val="Body Text Indent"/>
    <w:basedOn w:val="1"/>
    <w:link w:val="66"/>
    <w:qFormat/>
    <w:uiPriority w:val="99"/>
    <w:pPr>
      <w:ind w:firstLine="830" w:firstLineChars="352"/>
    </w:pPr>
    <w:rPr>
      <w:rFonts w:ascii="仿宋_GB2312" w:eastAsia="仿宋_GB2312"/>
      <w:kern w:val="0"/>
      <w:sz w:val="32"/>
      <w:szCs w:val="20"/>
    </w:rPr>
  </w:style>
  <w:style w:type="paragraph" w:styleId="21">
    <w:name w:val="List Number 3"/>
    <w:basedOn w:val="1"/>
    <w:qFormat/>
    <w:uiPriority w:val="99"/>
    <w:pPr>
      <w:numPr>
        <w:ilvl w:val="0"/>
        <w:numId w:val="2"/>
      </w:numPr>
    </w:pPr>
  </w:style>
  <w:style w:type="paragraph" w:styleId="22">
    <w:name w:val="List 2"/>
    <w:basedOn w:val="1"/>
    <w:qFormat/>
    <w:uiPriority w:val="99"/>
    <w:pPr>
      <w:ind w:left="100" w:leftChars="200" w:hanging="200" w:hangingChars="200"/>
    </w:pPr>
    <w:rPr>
      <w:sz w:val="28"/>
    </w:rPr>
  </w:style>
  <w:style w:type="paragraph" w:styleId="23">
    <w:name w:val="Plain Text"/>
    <w:basedOn w:val="1"/>
    <w:link w:val="71"/>
    <w:qFormat/>
    <w:uiPriority w:val="99"/>
    <w:rPr>
      <w:rFonts w:ascii="宋体" w:hAnsi="Courier New"/>
      <w:kern w:val="0"/>
      <w:sz w:val="20"/>
      <w:szCs w:val="21"/>
    </w:rPr>
  </w:style>
  <w:style w:type="paragraph" w:styleId="24">
    <w:name w:val="Date"/>
    <w:basedOn w:val="1"/>
    <w:next w:val="1"/>
    <w:link w:val="72"/>
    <w:qFormat/>
    <w:uiPriority w:val="99"/>
    <w:pPr>
      <w:ind w:left="100" w:leftChars="2500"/>
    </w:pPr>
    <w:rPr>
      <w:rFonts w:ascii="宋体" w:hAnsi="Courier New"/>
      <w:kern w:val="0"/>
      <w:sz w:val="20"/>
      <w:szCs w:val="21"/>
    </w:rPr>
  </w:style>
  <w:style w:type="paragraph" w:styleId="25">
    <w:name w:val="Body Text Indent 2"/>
    <w:basedOn w:val="1"/>
    <w:link w:val="73"/>
    <w:qFormat/>
    <w:uiPriority w:val="99"/>
    <w:pPr>
      <w:ind w:firstLine="630"/>
    </w:pPr>
    <w:rPr>
      <w:kern w:val="0"/>
      <w:sz w:val="32"/>
      <w:szCs w:val="20"/>
    </w:rPr>
  </w:style>
  <w:style w:type="paragraph" w:styleId="26">
    <w:name w:val="Balloon Text"/>
    <w:basedOn w:val="1"/>
    <w:link w:val="74"/>
    <w:semiHidden/>
    <w:qFormat/>
    <w:uiPriority w:val="99"/>
    <w:rPr>
      <w:kern w:val="0"/>
      <w:sz w:val="18"/>
      <w:szCs w:val="18"/>
    </w:rPr>
  </w:style>
  <w:style w:type="paragraph" w:styleId="27">
    <w:name w:val="footer"/>
    <w:basedOn w:val="1"/>
    <w:link w:val="75"/>
    <w:qFormat/>
    <w:uiPriority w:val="99"/>
    <w:pPr>
      <w:tabs>
        <w:tab w:val="center" w:pos="4153"/>
        <w:tab w:val="right" w:pos="8306"/>
      </w:tabs>
      <w:snapToGrid w:val="0"/>
      <w:jc w:val="left"/>
    </w:pPr>
    <w:rPr>
      <w:kern w:val="0"/>
      <w:sz w:val="18"/>
      <w:szCs w:val="18"/>
    </w:rPr>
  </w:style>
  <w:style w:type="paragraph" w:styleId="28">
    <w:name w:val="header"/>
    <w:basedOn w:val="1"/>
    <w:link w:val="76"/>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qFormat/>
    <w:uiPriority w:val="99"/>
    <w:pPr>
      <w:tabs>
        <w:tab w:val="right" w:leader="dot" w:pos="9360"/>
      </w:tabs>
      <w:spacing w:before="120" w:after="120"/>
      <w:ind w:firstLine="190" w:firstLineChars="79"/>
      <w:jc w:val="left"/>
    </w:pPr>
    <w:rPr>
      <w:rFonts w:ascii="宋体" w:hAnsi="宋体"/>
      <w:bCs/>
      <w:caps/>
      <w:sz w:val="24"/>
    </w:rPr>
  </w:style>
  <w:style w:type="paragraph" w:styleId="30">
    <w:name w:val="List"/>
    <w:basedOn w:val="1"/>
    <w:qFormat/>
    <w:uiPriority w:val="99"/>
    <w:pPr>
      <w:ind w:left="200" w:hanging="200" w:hangingChars="200"/>
    </w:pPr>
    <w:rPr>
      <w:sz w:val="28"/>
    </w:rPr>
  </w:style>
  <w:style w:type="paragraph" w:styleId="31">
    <w:name w:val="toc 6"/>
    <w:basedOn w:val="1"/>
    <w:next w:val="1"/>
    <w:qFormat/>
    <w:uiPriority w:val="99"/>
    <w:pPr>
      <w:ind w:left="2100" w:leftChars="1000"/>
    </w:pPr>
  </w:style>
  <w:style w:type="paragraph" w:styleId="32">
    <w:name w:val="Body Text Indent 3"/>
    <w:basedOn w:val="1"/>
    <w:link w:val="77"/>
    <w:qFormat/>
    <w:uiPriority w:val="99"/>
    <w:pPr>
      <w:spacing w:after="120"/>
      <w:ind w:left="420" w:leftChars="200"/>
    </w:pPr>
    <w:rPr>
      <w:kern w:val="0"/>
      <w:sz w:val="16"/>
      <w:szCs w:val="16"/>
    </w:rPr>
  </w:style>
  <w:style w:type="paragraph" w:styleId="33">
    <w:name w:val="toc 2"/>
    <w:basedOn w:val="1"/>
    <w:next w:val="1"/>
    <w:semiHidden/>
    <w:qFormat/>
    <w:uiPriority w:val="99"/>
    <w:pPr>
      <w:ind w:left="420" w:leftChars="200"/>
    </w:pPr>
  </w:style>
  <w:style w:type="paragraph" w:styleId="34">
    <w:name w:val="Body Text 2"/>
    <w:basedOn w:val="1"/>
    <w:link w:val="78"/>
    <w:qFormat/>
    <w:uiPriority w:val="99"/>
    <w:pPr>
      <w:spacing w:after="120" w:line="480" w:lineRule="auto"/>
    </w:pPr>
    <w:rPr>
      <w:kern w:val="0"/>
      <w:sz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99"/>
    <w:pPr>
      <w:spacing w:line="400" w:lineRule="exact"/>
      <w:ind w:firstLine="420" w:firstLineChars="200"/>
    </w:pPr>
    <w:rPr>
      <w:rFonts w:ascii="宋体" w:hAnsi="Courier New"/>
      <w:b/>
      <w:szCs w:val="20"/>
    </w:rPr>
  </w:style>
  <w:style w:type="paragraph" w:styleId="37">
    <w:name w:val="Title"/>
    <w:basedOn w:val="1"/>
    <w:link w:val="79"/>
    <w:qFormat/>
    <w:uiPriority w:val="99"/>
    <w:pPr>
      <w:spacing w:before="240" w:after="60"/>
      <w:jc w:val="center"/>
      <w:outlineLvl w:val="0"/>
    </w:pPr>
    <w:rPr>
      <w:rFonts w:ascii="Arial" w:hAnsi="Arial" w:cs="Arial"/>
      <w:b/>
      <w:bCs/>
      <w:sz w:val="32"/>
      <w:szCs w:val="32"/>
    </w:rPr>
  </w:style>
  <w:style w:type="paragraph" w:styleId="38">
    <w:name w:val="annotation subject"/>
    <w:basedOn w:val="16"/>
    <w:next w:val="16"/>
    <w:link w:val="80"/>
    <w:qFormat/>
    <w:uiPriority w:val="99"/>
    <w:rPr>
      <w:b/>
      <w:bCs/>
    </w:rPr>
  </w:style>
  <w:style w:type="paragraph" w:styleId="39">
    <w:name w:val="Body Text First Indent"/>
    <w:basedOn w:val="18"/>
    <w:link w:val="81"/>
    <w:qFormat/>
    <w:uiPriority w:val="99"/>
    <w:pPr>
      <w:spacing w:after="120" w:line="240" w:lineRule="auto"/>
      <w:ind w:firstLine="420" w:firstLineChars="100"/>
    </w:pPr>
    <w:rPr>
      <w:kern w:val="2"/>
      <w:sz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basedOn w:val="42"/>
    <w:qFormat/>
    <w:uiPriority w:val="99"/>
    <w:rPr>
      <w:rFonts w:ascii="微软雅黑" w:hAnsi="微软雅黑" w:eastAsia="微软雅黑" w:cs="微软雅黑"/>
      <w:color w:val="02396F"/>
      <w:u w:val="single"/>
    </w:rPr>
  </w:style>
  <w:style w:type="character" w:styleId="46">
    <w:name w:val="Emphasis"/>
    <w:basedOn w:val="42"/>
    <w:qFormat/>
    <w:uiPriority w:val="99"/>
    <w:rPr>
      <w:rFonts w:cs="Times New Roman"/>
      <w:i/>
    </w:rPr>
  </w:style>
  <w:style w:type="character" w:styleId="47">
    <w:name w:val="line number"/>
    <w:basedOn w:val="42"/>
    <w:qFormat/>
    <w:uiPriority w:val="99"/>
    <w:rPr>
      <w:rFonts w:cs="Times New Roman"/>
    </w:rPr>
  </w:style>
  <w:style w:type="character" w:styleId="48">
    <w:name w:val="HTML Definition"/>
    <w:basedOn w:val="42"/>
    <w:unhideWhenUsed/>
    <w:qFormat/>
    <w:locked/>
    <w:uiPriority w:val="99"/>
  </w:style>
  <w:style w:type="character" w:styleId="49">
    <w:name w:val="HTML Acronym"/>
    <w:basedOn w:val="42"/>
    <w:unhideWhenUsed/>
    <w:qFormat/>
    <w:locked/>
    <w:uiPriority w:val="99"/>
  </w:style>
  <w:style w:type="character" w:styleId="50">
    <w:name w:val="HTML Variable"/>
    <w:basedOn w:val="42"/>
    <w:unhideWhenUsed/>
    <w:qFormat/>
    <w:locked/>
    <w:uiPriority w:val="99"/>
  </w:style>
  <w:style w:type="character" w:styleId="51">
    <w:name w:val="Hyperlink"/>
    <w:basedOn w:val="42"/>
    <w:qFormat/>
    <w:uiPriority w:val="99"/>
    <w:rPr>
      <w:rFonts w:ascii="微软雅黑" w:hAnsi="微软雅黑" w:eastAsia="微软雅黑" w:cs="微软雅黑"/>
      <w:color w:val="02396F"/>
      <w:u w:val="single"/>
    </w:rPr>
  </w:style>
  <w:style w:type="character" w:styleId="52">
    <w:name w:val="HTML Code"/>
    <w:basedOn w:val="42"/>
    <w:unhideWhenUsed/>
    <w:qFormat/>
    <w:locked/>
    <w:uiPriority w:val="99"/>
    <w:rPr>
      <w:rFonts w:ascii="Courier New" w:hAnsi="Courier New"/>
      <w:sz w:val="20"/>
    </w:rPr>
  </w:style>
  <w:style w:type="character" w:styleId="53">
    <w:name w:val="annotation reference"/>
    <w:basedOn w:val="42"/>
    <w:qFormat/>
    <w:uiPriority w:val="99"/>
    <w:rPr>
      <w:rFonts w:cs="Times New Roman"/>
      <w:sz w:val="21"/>
    </w:rPr>
  </w:style>
  <w:style w:type="character" w:styleId="54">
    <w:name w:val="HTML Cite"/>
    <w:basedOn w:val="42"/>
    <w:unhideWhenUsed/>
    <w:qFormat/>
    <w:locked/>
    <w:uiPriority w:val="99"/>
  </w:style>
  <w:style w:type="paragraph" w:customStyle="1" w:styleId="55">
    <w:name w:val="表格文字"/>
    <w:basedOn w:val="1"/>
    <w:qFormat/>
    <w:uiPriority w:val="99"/>
    <w:pPr>
      <w:spacing w:before="25" w:after="25"/>
      <w:jc w:val="left"/>
    </w:pPr>
    <w:rPr>
      <w:bCs/>
      <w:spacing w:val="10"/>
      <w:kern w:val="0"/>
      <w:sz w:val="24"/>
    </w:rPr>
  </w:style>
  <w:style w:type="character" w:customStyle="1" w:styleId="56">
    <w:name w:val="标题 1 Char"/>
    <w:basedOn w:val="42"/>
    <w:link w:val="3"/>
    <w:qFormat/>
    <w:locked/>
    <w:uiPriority w:val="99"/>
    <w:rPr>
      <w:rFonts w:ascii="Times New Roman" w:hAnsi="Times New Roman" w:eastAsia="宋体"/>
      <w:b/>
      <w:kern w:val="44"/>
      <w:sz w:val="44"/>
    </w:rPr>
  </w:style>
  <w:style w:type="character" w:customStyle="1" w:styleId="57">
    <w:name w:val="标题 2 Char"/>
    <w:basedOn w:val="42"/>
    <w:link w:val="4"/>
    <w:qFormat/>
    <w:locked/>
    <w:uiPriority w:val="99"/>
    <w:rPr>
      <w:rFonts w:ascii="Arial" w:hAnsi="Arial" w:eastAsia="黑体"/>
      <w:b/>
      <w:sz w:val="32"/>
    </w:rPr>
  </w:style>
  <w:style w:type="character" w:customStyle="1" w:styleId="58">
    <w:name w:val="标题 3 Char"/>
    <w:basedOn w:val="42"/>
    <w:link w:val="5"/>
    <w:qFormat/>
    <w:locked/>
    <w:uiPriority w:val="99"/>
    <w:rPr>
      <w:rFonts w:ascii="Times New Roman" w:hAnsi="Times New Roman" w:eastAsia="宋体"/>
      <w:b/>
      <w:sz w:val="32"/>
    </w:rPr>
  </w:style>
  <w:style w:type="character" w:customStyle="1" w:styleId="59">
    <w:name w:val="标题 4 Char"/>
    <w:basedOn w:val="42"/>
    <w:link w:val="2"/>
    <w:semiHidden/>
    <w:qFormat/>
    <w:uiPriority w:val="9"/>
    <w:rPr>
      <w:rFonts w:asciiTheme="majorHAnsi" w:hAnsiTheme="majorHAnsi" w:eastAsiaTheme="majorEastAsia" w:cstheme="majorBidi"/>
      <w:b/>
      <w:bCs/>
      <w:sz w:val="28"/>
      <w:szCs w:val="28"/>
    </w:rPr>
  </w:style>
  <w:style w:type="character" w:customStyle="1" w:styleId="60">
    <w:name w:val="标题 5 Char"/>
    <w:basedOn w:val="42"/>
    <w:link w:val="6"/>
    <w:qFormat/>
    <w:locked/>
    <w:uiPriority w:val="99"/>
    <w:rPr>
      <w:b/>
      <w:sz w:val="28"/>
      <w:szCs w:val="24"/>
    </w:rPr>
  </w:style>
  <w:style w:type="character" w:customStyle="1" w:styleId="61">
    <w:name w:val="标题 6 Char"/>
    <w:basedOn w:val="42"/>
    <w:link w:val="8"/>
    <w:qFormat/>
    <w:locked/>
    <w:uiPriority w:val="99"/>
    <w:rPr>
      <w:rFonts w:ascii="Arial" w:hAnsi="Arial" w:eastAsia="黑体"/>
      <w:b/>
      <w:sz w:val="24"/>
      <w:szCs w:val="24"/>
    </w:rPr>
  </w:style>
  <w:style w:type="character" w:customStyle="1" w:styleId="62">
    <w:name w:val="标题 7 Char"/>
    <w:basedOn w:val="42"/>
    <w:link w:val="9"/>
    <w:qFormat/>
    <w:locked/>
    <w:uiPriority w:val="99"/>
    <w:rPr>
      <w:b/>
      <w:sz w:val="24"/>
      <w:szCs w:val="24"/>
    </w:rPr>
  </w:style>
  <w:style w:type="character" w:customStyle="1" w:styleId="63">
    <w:name w:val="标题 8 Char"/>
    <w:basedOn w:val="42"/>
    <w:link w:val="10"/>
    <w:qFormat/>
    <w:locked/>
    <w:uiPriority w:val="99"/>
    <w:rPr>
      <w:rFonts w:ascii="Arial" w:hAnsi="Arial" w:eastAsia="黑体"/>
      <w:sz w:val="24"/>
      <w:szCs w:val="24"/>
    </w:rPr>
  </w:style>
  <w:style w:type="character" w:customStyle="1" w:styleId="64">
    <w:name w:val="标题 9 Char"/>
    <w:basedOn w:val="42"/>
    <w:link w:val="11"/>
    <w:qFormat/>
    <w:locked/>
    <w:uiPriority w:val="99"/>
    <w:rPr>
      <w:rFonts w:ascii="Arial" w:hAnsi="Arial" w:eastAsia="黑体"/>
      <w:szCs w:val="24"/>
    </w:rPr>
  </w:style>
  <w:style w:type="character" w:customStyle="1" w:styleId="65">
    <w:name w:val="正文文本 Char"/>
    <w:basedOn w:val="42"/>
    <w:link w:val="18"/>
    <w:qFormat/>
    <w:locked/>
    <w:uiPriority w:val="99"/>
    <w:rPr>
      <w:rFonts w:ascii="Times New Roman" w:hAnsi="Times New Roman" w:eastAsia="宋体"/>
      <w:sz w:val="24"/>
    </w:rPr>
  </w:style>
  <w:style w:type="character" w:customStyle="1" w:styleId="66">
    <w:name w:val="正文文本缩进 Char"/>
    <w:basedOn w:val="42"/>
    <w:link w:val="20"/>
    <w:qFormat/>
    <w:locked/>
    <w:uiPriority w:val="99"/>
    <w:rPr>
      <w:rFonts w:ascii="仿宋_GB2312" w:hAnsi="Times New Roman" w:eastAsia="仿宋_GB2312"/>
      <w:sz w:val="20"/>
    </w:rPr>
  </w:style>
  <w:style w:type="character" w:customStyle="1" w:styleId="67">
    <w:name w:val="正文首行缩进 2 Char"/>
    <w:basedOn w:val="66"/>
    <w:link w:val="19"/>
    <w:semiHidden/>
    <w:qFormat/>
    <w:uiPriority w:val="99"/>
    <w:rPr>
      <w:szCs w:val="24"/>
    </w:rPr>
  </w:style>
  <w:style w:type="character" w:customStyle="1" w:styleId="68">
    <w:name w:val="文档结构图 Char"/>
    <w:basedOn w:val="42"/>
    <w:link w:val="15"/>
    <w:semiHidden/>
    <w:qFormat/>
    <w:locked/>
    <w:uiPriority w:val="99"/>
    <w:rPr>
      <w:rFonts w:ascii="宋体" w:cs="Times New Roman"/>
      <w:kern w:val="2"/>
      <w:sz w:val="18"/>
      <w:szCs w:val="18"/>
    </w:rPr>
  </w:style>
  <w:style w:type="character" w:customStyle="1" w:styleId="69">
    <w:name w:val="批注文字 Char"/>
    <w:basedOn w:val="42"/>
    <w:link w:val="16"/>
    <w:semiHidden/>
    <w:qFormat/>
    <w:locked/>
    <w:uiPriority w:val="99"/>
    <w:rPr>
      <w:rFonts w:ascii="Times New Roman" w:hAnsi="Times New Roman"/>
      <w:kern w:val="2"/>
      <w:sz w:val="24"/>
    </w:rPr>
  </w:style>
  <w:style w:type="character" w:customStyle="1" w:styleId="70">
    <w:name w:val="正文文本 3 Char"/>
    <w:basedOn w:val="42"/>
    <w:link w:val="17"/>
    <w:qFormat/>
    <w:locked/>
    <w:uiPriority w:val="99"/>
    <w:rPr>
      <w:rFonts w:ascii="Times New Roman" w:hAnsi="Times New Roman" w:eastAsia="宋体"/>
      <w:b/>
      <w:sz w:val="24"/>
    </w:rPr>
  </w:style>
  <w:style w:type="character" w:customStyle="1" w:styleId="71">
    <w:name w:val="纯文本 Char"/>
    <w:basedOn w:val="42"/>
    <w:link w:val="23"/>
    <w:qFormat/>
    <w:locked/>
    <w:uiPriority w:val="99"/>
    <w:rPr>
      <w:rFonts w:ascii="宋体" w:hAnsi="Courier New" w:eastAsia="宋体"/>
      <w:sz w:val="21"/>
    </w:rPr>
  </w:style>
  <w:style w:type="character" w:customStyle="1" w:styleId="72">
    <w:name w:val="日期 Char"/>
    <w:basedOn w:val="42"/>
    <w:link w:val="24"/>
    <w:qFormat/>
    <w:locked/>
    <w:uiPriority w:val="99"/>
    <w:rPr>
      <w:rFonts w:ascii="宋体" w:hAnsi="Courier New" w:eastAsia="宋体"/>
      <w:sz w:val="21"/>
    </w:rPr>
  </w:style>
  <w:style w:type="character" w:customStyle="1" w:styleId="73">
    <w:name w:val="正文文本缩进 2 Char"/>
    <w:basedOn w:val="42"/>
    <w:link w:val="25"/>
    <w:qFormat/>
    <w:locked/>
    <w:uiPriority w:val="99"/>
    <w:rPr>
      <w:rFonts w:ascii="Times New Roman" w:hAnsi="Times New Roman" w:eastAsia="宋体"/>
      <w:sz w:val="20"/>
    </w:rPr>
  </w:style>
  <w:style w:type="character" w:customStyle="1" w:styleId="74">
    <w:name w:val="批注框文本 Char"/>
    <w:basedOn w:val="42"/>
    <w:link w:val="26"/>
    <w:semiHidden/>
    <w:qFormat/>
    <w:locked/>
    <w:uiPriority w:val="99"/>
    <w:rPr>
      <w:rFonts w:ascii="Times New Roman" w:hAnsi="Times New Roman" w:eastAsia="宋体"/>
      <w:sz w:val="18"/>
    </w:rPr>
  </w:style>
  <w:style w:type="character" w:customStyle="1" w:styleId="75">
    <w:name w:val="页脚 Char"/>
    <w:basedOn w:val="42"/>
    <w:link w:val="27"/>
    <w:qFormat/>
    <w:locked/>
    <w:uiPriority w:val="99"/>
    <w:rPr>
      <w:sz w:val="18"/>
    </w:rPr>
  </w:style>
  <w:style w:type="character" w:customStyle="1" w:styleId="76">
    <w:name w:val="页眉 Char"/>
    <w:basedOn w:val="42"/>
    <w:link w:val="28"/>
    <w:qFormat/>
    <w:locked/>
    <w:uiPriority w:val="99"/>
    <w:rPr>
      <w:sz w:val="18"/>
    </w:rPr>
  </w:style>
  <w:style w:type="character" w:customStyle="1" w:styleId="77">
    <w:name w:val="正文文本缩进 3 Char"/>
    <w:basedOn w:val="42"/>
    <w:link w:val="32"/>
    <w:qFormat/>
    <w:locked/>
    <w:uiPriority w:val="99"/>
    <w:rPr>
      <w:rFonts w:ascii="Times New Roman" w:hAnsi="Times New Roman" w:eastAsia="宋体"/>
      <w:sz w:val="16"/>
    </w:rPr>
  </w:style>
  <w:style w:type="character" w:customStyle="1" w:styleId="78">
    <w:name w:val="正文文本 2 Char"/>
    <w:basedOn w:val="42"/>
    <w:link w:val="34"/>
    <w:qFormat/>
    <w:locked/>
    <w:uiPriority w:val="99"/>
    <w:rPr>
      <w:rFonts w:ascii="Times New Roman" w:hAnsi="Times New Roman" w:eastAsia="宋体"/>
      <w:sz w:val="24"/>
    </w:rPr>
  </w:style>
  <w:style w:type="character" w:customStyle="1" w:styleId="79">
    <w:name w:val="标题 Char"/>
    <w:basedOn w:val="42"/>
    <w:link w:val="37"/>
    <w:qFormat/>
    <w:uiPriority w:val="10"/>
    <w:rPr>
      <w:rFonts w:asciiTheme="majorHAnsi" w:hAnsiTheme="majorHAnsi" w:cstheme="majorBidi"/>
      <w:b/>
      <w:bCs/>
      <w:sz w:val="32"/>
      <w:szCs w:val="32"/>
    </w:rPr>
  </w:style>
  <w:style w:type="character" w:customStyle="1" w:styleId="80">
    <w:name w:val="批注主题 Char"/>
    <w:basedOn w:val="69"/>
    <w:link w:val="38"/>
    <w:semiHidden/>
    <w:qFormat/>
    <w:locked/>
    <w:uiPriority w:val="99"/>
    <w:rPr>
      <w:b/>
    </w:rPr>
  </w:style>
  <w:style w:type="character" w:customStyle="1" w:styleId="81">
    <w:name w:val="正文首行缩进 Char"/>
    <w:basedOn w:val="65"/>
    <w:link w:val="39"/>
    <w:semiHidden/>
    <w:qFormat/>
    <w:uiPriority w:val="99"/>
    <w:rPr>
      <w:szCs w:val="24"/>
    </w:rPr>
  </w:style>
  <w:style w:type="paragraph" w:customStyle="1" w:styleId="82">
    <w:name w:val="Char1"/>
    <w:basedOn w:val="1"/>
    <w:qFormat/>
    <w:uiPriority w:val="99"/>
    <w:rPr>
      <w:szCs w:val="21"/>
    </w:rPr>
  </w:style>
  <w:style w:type="paragraph" w:customStyle="1" w:styleId="83">
    <w:name w:val="默认段落字体 Para Char Char Char Char Char Char Char Char Char1 Char Char Char Char"/>
    <w:basedOn w:val="1"/>
    <w:qFormat/>
    <w:uiPriority w:val="99"/>
    <w:rPr>
      <w:rFonts w:ascii="Tahoma" w:hAnsi="Tahoma"/>
      <w:sz w:val="24"/>
      <w:szCs w:val="20"/>
    </w:rPr>
  </w:style>
  <w:style w:type="paragraph" w:customStyle="1" w:styleId="84">
    <w:name w:val="Char"/>
    <w:basedOn w:val="1"/>
    <w:qFormat/>
    <w:uiPriority w:val="99"/>
    <w:rPr>
      <w:szCs w:val="21"/>
    </w:rPr>
  </w:style>
  <w:style w:type="paragraph" w:customStyle="1" w:styleId="85">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86">
    <w:name w:val="列出段落11"/>
    <w:basedOn w:val="1"/>
    <w:qFormat/>
    <w:uiPriority w:val="99"/>
    <w:pPr>
      <w:ind w:firstLine="420" w:firstLineChars="200"/>
    </w:pPr>
    <w:rPr>
      <w:rFonts w:ascii="Calibri" w:hAnsi="Calibri"/>
      <w:szCs w:val="22"/>
    </w:rPr>
  </w:style>
  <w:style w:type="paragraph" w:customStyle="1" w:styleId="87">
    <w:name w:val="_Style 2"/>
    <w:basedOn w:val="1"/>
    <w:qFormat/>
    <w:uiPriority w:val="99"/>
    <w:pPr>
      <w:ind w:firstLine="420" w:firstLineChars="200"/>
    </w:pPr>
    <w:rPr>
      <w:rFonts w:ascii="Calibri" w:hAnsi="Calibri"/>
      <w:szCs w:val="22"/>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90">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1">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93">
    <w:name w:val="正文1"/>
    <w:basedOn w:val="1"/>
    <w:qFormat/>
    <w:uiPriority w:val="99"/>
    <w:pPr>
      <w:spacing w:line="360" w:lineRule="auto"/>
      <w:ind w:left="1260" w:leftChars="600" w:firstLine="540" w:firstLineChars="257"/>
    </w:pPr>
    <w:rPr>
      <w:rFonts w:ascii="宋体" w:hAnsi="宋体"/>
    </w:rPr>
  </w:style>
  <w:style w:type="paragraph" w:customStyle="1" w:styleId="94">
    <w:name w:val="Char Char Char Char"/>
    <w:basedOn w:val="1"/>
    <w:qFormat/>
    <w:uiPriority w:val="99"/>
    <w:pPr>
      <w:adjustRightInd w:val="0"/>
      <w:spacing w:line="360" w:lineRule="auto"/>
    </w:pPr>
  </w:style>
  <w:style w:type="paragraph" w:customStyle="1" w:styleId="9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6">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7">
    <w:name w:val="正文段"/>
    <w:basedOn w:val="1"/>
    <w:qFormat/>
    <w:uiPriority w:val="99"/>
    <w:pPr>
      <w:widowControl/>
      <w:snapToGrid w:val="0"/>
      <w:spacing w:afterLines="50"/>
      <w:ind w:firstLine="200" w:firstLineChars="200"/>
    </w:pPr>
    <w:rPr>
      <w:kern w:val="0"/>
      <w:sz w:val="24"/>
      <w:szCs w:val="20"/>
    </w:rPr>
  </w:style>
  <w:style w:type="paragraph" w:customStyle="1" w:styleId="98">
    <w:name w:val="列出段落1"/>
    <w:basedOn w:val="1"/>
    <w:qFormat/>
    <w:uiPriority w:val="99"/>
    <w:pPr>
      <w:ind w:firstLine="420" w:firstLineChars="200"/>
    </w:pPr>
  </w:style>
  <w:style w:type="paragraph" w:customStyle="1" w:styleId="99">
    <w:name w:val="Char Char"/>
    <w:basedOn w:val="1"/>
    <w:qFormat/>
    <w:uiPriority w:val="99"/>
    <w:rPr>
      <w:rFonts w:ascii="仿宋_GB2312" w:eastAsia="仿宋_GB2312"/>
      <w:b/>
      <w:sz w:val="32"/>
      <w:szCs w:val="32"/>
    </w:rPr>
  </w:style>
  <w:style w:type="paragraph" w:customStyle="1" w:styleId="100">
    <w:name w:val="列出段落2"/>
    <w:basedOn w:val="1"/>
    <w:link w:val="122"/>
    <w:qFormat/>
    <w:uiPriority w:val="99"/>
    <w:pPr>
      <w:ind w:firstLine="420" w:firstLineChars="200"/>
    </w:pPr>
  </w:style>
  <w:style w:type="paragraph" w:customStyle="1" w:styleId="101">
    <w:name w:val="bb"/>
    <w:basedOn w:val="1"/>
    <w:qFormat/>
    <w:uiPriority w:val="99"/>
    <w:pPr>
      <w:widowControl/>
      <w:spacing w:beforeAutospacing="1" w:afterAutospacing="1"/>
      <w:jc w:val="left"/>
    </w:pPr>
    <w:rPr>
      <w:rFonts w:ascii="宋体" w:hAnsi="宋体"/>
      <w:sz w:val="24"/>
    </w:rPr>
  </w:style>
  <w:style w:type="paragraph" w:customStyle="1" w:styleId="102">
    <w:name w:val="List Paragraph_1145dc67-f31e-41a7-8a1c-16c8a28c48c6"/>
    <w:basedOn w:val="1"/>
    <w:qFormat/>
    <w:uiPriority w:val="99"/>
    <w:pPr>
      <w:ind w:firstLine="420" w:firstLineChars="200"/>
    </w:pPr>
  </w:style>
  <w:style w:type="paragraph" w:customStyle="1" w:styleId="103">
    <w:name w:val="样式 首行缩进:  2 字符"/>
    <w:basedOn w:val="1"/>
    <w:qFormat/>
    <w:uiPriority w:val="99"/>
    <w:pPr>
      <w:spacing w:line="400" w:lineRule="exact"/>
      <w:ind w:firstLine="200" w:firstLineChars="200"/>
    </w:pPr>
    <w:rPr>
      <w:rFonts w:cs="宋体"/>
      <w:sz w:val="24"/>
    </w:rPr>
  </w:style>
  <w:style w:type="paragraph" w:customStyle="1" w:styleId="104">
    <w:name w:val="列出段落12"/>
    <w:basedOn w:val="1"/>
    <w:qFormat/>
    <w:uiPriority w:val="99"/>
    <w:pPr>
      <w:ind w:firstLine="420" w:firstLineChars="200"/>
    </w:pPr>
  </w:style>
  <w:style w:type="paragraph" w:customStyle="1" w:styleId="105">
    <w:name w:val="表格"/>
    <w:basedOn w:val="1"/>
    <w:qFormat/>
    <w:uiPriority w:val="99"/>
    <w:pPr>
      <w:spacing w:line="400" w:lineRule="exact"/>
    </w:pPr>
    <w:rPr>
      <w:sz w:val="24"/>
    </w:rPr>
  </w:style>
  <w:style w:type="paragraph" w:customStyle="1" w:styleId="10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7">
    <w:name w:val="_Style 75"/>
    <w:qFormat/>
    <w:uiPriority w:val="99"/>
    <w:rPr>
      <w:rFonts w:ascii="Times New Roman" w:hAnsi="Times New Roman" w:eastAsia="宋体" w:cs="Times New Roman"/>
      <w:kern w:val="2"/>
      <w:sz w:val="21"/>
      <w:szCs w:val="24"/>
      <w:lang w:val="en-US" w:eastAsia="zh-CN" w:bidi="ar-SA"/>
    </w:rPr>
  </w:style>
  <w:style w:type="paragraph" w:customStyle="1" w:styleId="108">
    <w:name w:val="正文 New New New New"/>
    <w:qFormat/>
    <w:uiPriority w:val="99"/>
    <w:pPr>
      <w:widowControl w:val="0"/>
      <w:jc w:val="both"/>
    </w:pPr>
    <w:rPr>
      <w:rFonts w:ascii="Times New Roman" w:hAnsi="Times New Roman" w:eastAsia="宋体" w:cs="Times New Roman"/>
      <w:szCs w:val="24"/>
      <w:lang w:val="en-US" w:eastAsia="zh-CN" w:bidi="ar-SA"/>
    </w:rPr>
  </w:style>
  <w:style w:type="character" w:customStyle="1" w:styleId="109">
    <w:name w:val="Body text (2) + Times New Roman"/>
    <w:qFormat/>
    <w:uiPriority w:val="99"/>
    <w:rPr>
      <w:rFonts w:ascii="Times New Roman" w:hAnsi="Times New Roman"/>
      <w:color w:val="000000"/>
      <w:spacing w:val="0"/>
      <w:w w:val="100"/>
      <w:position w:val="0"/>
      <w:sz w:val="22"/>
      <w:shd w:val="clear" w:color="auto" w:fill="FFFFFF"/>
      <w:lang w:val="en-US" w:eastAsia="en-US"/>
    </w:rPr>
  </w:style>
  <w:style w:type="character" w:customStyle="1" w:styleId="110">
    <w:name w:val="font41"/>
    <w:qFormat/>
    <w:uiPriority w:val="99"/>
    <w:rPr>
      <w:rFonts w:ascii="宋体" w:hAnsi="宋体" w:eastAsia="宋体"/>
      <w:color w:val="000000"/>
      <w:sz w:val="20"/>
      <w:u w:val="none"/>
    </w:rPr>
  </w:style>
  <w:style w:type="character" w:customStyle="1" w:styleId="111">
    <w:name w:val="font61"/>
    <w:qFormat/>
    <w:uiPriority w:val="99"/>
    <w:rPr>
      <w:rFonts w:ascii="微软雅黑" w:hAnsi="微软雅黑" w:eastAsia="微软雅黑"/>
      <w:color w:val="000000"/>
      <w:sz w:val="20"/>
      <w:u w:val="none"/>
    </w:rPr>
  </w:style>
  <w:style w:type="character" w:customStyle="1" w:styleId="112">
    <w:name w:val="qxdate"/>
    <w:basedOn w:val="42"/>
    <w:qFormat/>
    <w:uiPriority w:val="99"/>
    <w:rPr>
      <w:rFonts w:cs="Times New Roman"/>
      <w:color w:val="333333"/>
      <w:sz w:val="18"/>
      <w:szCs w:val="18"/>
    </w:rPr>
  </w:style>
  <w:style w:type="character" w:customStyle="1" w:styleId="113">
    <w:name w:val="font21"/>
    <w:basedOn w:val="42"/>
    <w:qFormat/>
    <w:uiPriority w:val="99"/>
    <w:rPr>
      <w:rFonts w:ascii="宋体" w:hAnsi="宋体" w:eastAsia="宋体" w:cs="宋体"/>
      <w:color w:val="000000"/>
      <w:sz w:val="20"/>
      <w:szCs w:val="20"/>
      <w:u w:val="none"/>
    </w:rPr>
  </w:style>
  <w:style w:type="character" w:customStyle="1" w:styleId="114">
    <w:name w:val="textcontents"/>
    <w:qFormat/>
    <w:uiPriority w:val="99"/>
    <w:rPr>
      <w:rFonts w:ascii="Calibri" w:hAnsi="Calibri" w:eastAsia="宋体"/>
    </w:rPr>
  </w:style>
  <w:style w:type="character" w:customStyle="1" w:styleId="115">
    <w:name w:val="font01"/>
    <w:qFormat/>
    <w:uiPriority w:val="99"/>
    <w:rPr>
      <w:rFonts w:ascii="宋体" w:hAnsi="宋体" w:eastAsia="宋体"/>
      <w:color w:val="000000"/>
      <w:sz w:val="20"/>
      <w:u w:val="none"/>
    </w:rPr>
  </w:style>
  <w:style w:type="character" w:customStyle="1" w:styleId="116">
    <w:name w:val="at_4"/>
    <w:basedOn w:val="42"/>
    <w:qFormat/>
    <w:uiPriority w:val="99"/>
    <w:rPr>
      <w:rFonts w:cs="Times New Roman"/>
    </w:rPr>
  </w:style>
  <w:style w:type="character" w:customStyle="1" w:styleId="117">
    <w:name w:val="gjfg"/>
    <w:basedOn w:val="42"/>
    <w:qFormat/>
    <w:uiPriority w:val="99"/>
    <w:rPr>
      <w:rFonts w:cs="Times New Roman"/>
    </w:rPr>
  </w:style>
  <w:style w:type="character" w:customStyle="1" w:styleId="118">
    <w:name w:val="displayarti"/>
    <w:basedOn w:val="42"/>
    <w:qFormat/>
    <w:uiPriority w:val="99"/>
    <w:rPr>
      <w:rFonts w:cs="Times New Roman"/>
      <w:color w:val="FFFFFF"/>
      <w:shd w:val="clear" w:color="auto" w:fill="A00000"/>
    </w:rPr>
  </w:style>
  <w:style w:type="character" w:customStyle="1" w:styleId="119">
    <w:name w:val="纯文本 字符"/>
    <w:qFormat/>
    <w:uiPriority w:val="99"/>
    <w:rPr>
      <w:rFonts w:ascii="宋体" w:hAnsi="Courier New" w:eastAsia="宋体"/>
      <w:sz w:val="21"/>
    </w:rPr>
  </w:style>
  <w:style w:type="character" w:customStyle="1" w:styleId="120">
    <w:name w:val="普通文字 Char Char2"/>
    <w:qFormat/>
    <w:uiPriority w:val="99"/>
    <w:rPr>
      <w:rFonts w:ascii="宋体" w:hAnsi="Courier New" w:eastAsia="宋体"/>
      <w:sz w:val="21"/>
    </w:rPr>
  </w:style>
  <w:style w:type="character" w:customStyle="1" w:styleId="121">
    <w:name w:val="redfilefwwh"/>
    <w:basedOn w:val="42"/>
    <w:qFormat/>
    <w:uiPriority w:val="99"/>
    <w:rPr>
      <w:rFonts w:cs="Times New Roman"/>
      <w:color w:val="BA2636"/>
      <w:sz w:val="18"/>
      <w:szCs w:val="18"/>
    </w:rPr>
  </w:style>
  <w:style w:type="character" w:customStyle="1" w:styleId="122">
    <w:name w:val="列出段落 Char"/>
    <w:link w:val="100"/>
    <w:qFormat/>
    <w:locked/>
    <w:uiPriority w:val="99"/>
    <w:rPr>
      <w:kern w:val="2"/>
      <w:sz w:val="24"/>
    </w:rPr>
  </w:style>
  <w:style w:type="character" w:customStyle="1" w:styleId="123">
    <w:name w:val="font81"/>
    <w:qFormat/>
    <w:uiPriority w:val="99"/>
    <w:rPr>
      <w:rFonts w:ascii="微软雅黑" w:hAnsi="微软雅黑" w:eastAsia="微软雅黑"/>
      <w:color w:val="000000"/>
      <w:sz w:val="20"/>
      <w:u w:val="none"/>
    </w:rPr>
  </w:style>
  <w:style w:type="character" w:customStyle="1" w:styleId="124">
    <w:name w:val="font31"/>
    <w:qFormat/>
    <w:uiPriority w:val="99"/>
    <w:rPr>
      <w:rFonts w:ascii="微软雅黑" w:hAnsi="微软雅黑" w:eastAsia="微软雅黑"/>
      <w:color w:val="000000"/>
      <w:sz w:val="20"/>
      <w:u w:val="none"/>
    </w:rPr>
  </w:style>
  <w:style w:type="character" w:customStyle="1" w:styleId="125">
    <w:name w:val="font11"/>
    <w:qFormat/>
    <w:uiPriority w:val="99"/>
    <w:rPr>
      <w:rFonts w:ascii="宋体" w:hAnsi="宋体" w:eastAsia="宋体"/>
      <w:color w:val="000000"/>
      <w:sz w:val="20"/>
      <w:u w:val="none"/>
    </w:rPr>
  </w:style>
  <w:style w:type="character" w:customStyle="1" w:styleId="126">
    <w:name w:val="正文缩进 Char"/>
    <w:link w:val="7"/>
    <w:qFormat/>
    <w:locked/>
    <w:uiPriority w:val="99"/>
    <w:rPr>
      <w:kern w:val="2"/>
      <w:sz w:val="21"/>
    </w:rPr>
  </w:style>
  <w:style w:type="character" w:customStyle="1" w:styleId="127">
    <w:name w:val="redfilenumber"/>
    <w:basedOn w:val="42"/>
    <w:qFormat/>
    <w:uiPriority w:val="99"/>
    <w:rPr>
      <w:rFonts w:cs="Times New Roman"/>
      <w:color w:val="BA2636"/>
      <w:sz w:val="18"/>
      <w:szCs w:val="18"/>
    </w:rPr>
  </w:style>
  <w:style w:type="character" w:customStyle="1" w:styleId="128">
    <w:name w:val="case31"/>
    <w:qFormat/>
    <w:uiPriority w:val="99"/>
    <w:rPr>
      <w:rFonts w:ascii="_x000B__x000C_" w:hAnsi="_x000B__x000C_"/>
      <w:sz w:val="21"/>
    </w:rPr>
  </w:style>
  <w:style w:type="character" w:customStyle="1" w:styleId="129">
    <w:name w:val="cfdate"/>
    <w:basedOn w:val="42"/>
    <w:qFormat/>
    <w:uiPriority w:val="99"/>
    <w:rPr>
      <w:rFonts w:cs="Times New Roman"/>
      <w:color w:val="333333"/>
      <w:sz w:val="18"/>
      <w:szCs w:val="18"/>
    </w:rPr>
  </w:style>
  <w:style w:type="paragraph" w:customStyle="1" w:styleId="130">
    <w:name w:val="Heading 11"/>
    <w:basedOn w:val="1"/>
    <w:qFormat/>
    <w:uiPriority w:val="99"/>
    <w:pPr>
      <w:ind w:left="177" w:right="3608"/>
      <w:jc w:val="center"/>
      <w:outlineLvl w:val="1"/>
    </w:pPr>
    <w:rPr>
      <w:rFonts w:ascii="Microsoft JhengHei" w:hAnsi="Microsoft JhengHei" w:eastAsia="Microsoft JhengHei" w:cs="Microsoft JhengHei"/>
      <w:b/>
      <w:bCs/>
      <w:sz w:val="30"/>
      <w:szCs w:val="30"/>
    </w:rPr>
  </w:style>
  <w:style w:type="paragraph" w:customStyle="1" w:styleId="131">
    <w:name w:val="Pa3"/>
    <w:basedOn w:val="1"/>
    <w:next w:val="1"/>
    <w:qFormat/>
    <w:uiPriority w:val="99"/>
    <w:pPr>
      <w:autoSpaceDE w:val="0"/>
      <w:autoSpaceDN w:val="0"/>
      <w:adjustRightInd w:val="0"/>
      <w:spacing w:line="241" w:lineRule="atLeast"/>
      <w:jc w:val="left"/>
    </w:pPr>
    <w:rPr>
      <w:rFonts w:ascii="Microsoft YaHei UI Light" w:eastAsia="Microsoft YaHei UI Light"/>
      <w:kern w:val="0"/>
      <w:sz w:val="24"/>
    </w:rPr>
  </w:style>
  <w:style w:type="character" w:customStyle="1" w:styleId="132">
    <w:name w:val="layui-layer-tabnow"/>
    <w:basedOn w:val="42"/>
    <w:qFormat/>
    <w:uiPriority w:val="0"/>
    <w:rPr>
      <w:bdr w:val="single" w:color="CCCCCC" w:sz="6" w:space="0"/>
      <w:shd w:val="clear" w:color="auto" w:fill="FFFFFF"/>
    </w:rPr>
  </w:style>
  <w:style w:type="character" w:customStyle="1" w:styleId="133">
    <w:name w:val="first-child"/>
    <w:basedOn w:val="42"/>
    <w:qFormat/>
    <w:uiPriority w:val="0"/>
  </w:style>
  <w:style w:type="character" w:customStyle="1" w:styleId="134">
    <w:name w:val="first-child1"/>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6662</Words>
  <Characters>37979</Characters>
  <Lines>316</Lines>
  <Paragraphs>89</Paragraphs>
  <TotalTime>45</TotalTime>
  <ScaleCrop>false</ScaleCrop>
  <LinksUpToDate>false</LinksUpToDate>
  <CharactersWithSpaces>44552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2019-06-19T07:56:00Z</dcterms:created>
  <dc:creator>LLP</dc:creator>
  <cp:lastModifiedBy>可乐乐乐乐</cp:lastModifiedBy>
  <cp:lastPrinted>2020-08-05T07:59:00Z</cp:lastPrinted>
  <dcterms:modified xsi:type="dcterms:W3CDTF">2020-12-08T02:37:32Z</dcterms:modified>
  <dc:title>广西科联招标中心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