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line="600" w:lineRule="exact"/>
        <w:rPr>
          <w:rFonts w:hint="eastAsia" w:hAnsi="宋体" w:cs="宋体"/>
          <w:b/>
          <w:color w:val="auto"/>
          <w:sz w:val="44"/>
          <w:szCs w:val="44"/>
        </w:rPr>
      </w:pPr>
      <w:bookmarkStart w:id="0" w:name="csmb"/>
      <w:bookmarkEnd w:id="0"/>
      <w:bookmarkStart w:id="1" w:name="jinjicd"/>
      <w:bookmarkEnd w:id="1"/>
      <w:r>
        <w:rPr>
          <w:rFonts w:hint="eastAsia" w:hAnsi="宋体" w:cs="宋体"/>
          <w:color w:val="auto"/>
        </w:rPr>
        <w:drawing>
          <wp:anchor distT="0" distB="0" distL="114300" distR="114300" simplePos="0" relativeHeight="251658240" behindDoc="1" locked="0" layoutInCell="1" allowOverlap="1">
            <wp:simplePos x="0" y="0"/>
            <wp:positionH relativeFrom="column">
              <wp:posOffset>-811530</wp:posOffset>
            </wp:positionH>
            <wp:positionV relativeFrom="paragraph">
              <wp:posOffset>-213995</wp:posOffset>
            </wp:positionV>
            <wp:extent cx="1561465" cy="1706880"/>
            <wp:effectExtent l="0" t="0" r="635" b="7620"/>
            <wp:wrapNone/>
            <wp:docPr id="1" name="Picture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科联标志"/>
                    <pic:cNvPicPr>
                      <a:picLocks noChangeAspect="1"/>
                    </pic:cNvPicPr>
                  </pic:nvPicPr>
                  <pic:blipFill>
                    <a:blip r:embed="rId9"/>
                    <a:stretch>
                      <a:fillRect/>
                    </a:stretch>
                  </pic:blipFill>
                  <pic:spPr>
                    <a:xfrm>
                      <a:off x="0" y="0"/>
                      <a:ext cx="1561465" cy="1706880"/>
                    </a:xfrm>
                    <a:prstGeom prst="rect">
                      <a:avLst/>
                    </a:prstGeom>
                    <a:noFill/>
                    <a:ln>
                      <a:noFill/>
                    </a:ln>
                  </pic:spPr>
                </pic:pic>
              </a:graphicData>
            </a:graphic>
          </wp:anchor>
        </w:drawing>
      </w:r>
    </w:p>
    <w:p>
      <w:pPr>
        <w:jc w:val="center"/>
        <w:rPr>
          <w:rFonts w:hint="eastAsia" w:ascii="宋体" w:hAnsi="宋体" w:cs="宋体"/>
          <w:color w:val="auto"/>
          <w:sz w:val="52"/>
          <w:szCs w:val="18"/>
        </w:rPr>
      </w:pPr>
      <w:r>
        <w:rPr>
          <w:rFonts w:hint="eastAsia" w:ascii="宋体" w:hAnsi="宋体" w:cs="宋体"/>
          <w:color w:val="auto"/>
          <w:sz w:val="52"/>
          <w:szCs w:val="18"/>
        </w:rPr>
        <w:t>广西科联招标中心有限公司</w:t>
      </w:r>
    </w:p>
    <w:p>
      <w:pPr>
        <w:jc w:val="center"/>
        <w:rPr>
          <w:rFonts w:hint="eastAsia" w:ascii="微软雅黑" w:hAnsi="微软雅黑" w:eastAsia="微软雅黑" w:cs="微软雅黑"/>
          <w:color w:val="auto"/>
          <w:sz w:val="32"/>
        </w:rPr>
      </w:pPr>
      <w:r>
        <w:rPr>
          <w:rFonts w:hint="eastAsia" w:ascii="微软雅黑" w:hAnsi="微软雅黑" w:eastAsia="微软雅黑" w:cs="微软雅黑"/>
          <w:color w:val="auto"/>
          <w:sz w:val="24"/>
          <w:szCs w:val="18"/>
        </w:rPr>
        <w:t>GUANGXI   KELIAN  ZHAOBIAO   ZHONGXIN  YOUXIAN GONGSI</w:t>
      </w:r>
    </w:p>
    <w:p>
      <w:pPr>
        <w:rPr>
          <w:rFonts w:hint="eastAsia" w:ascii="宋体" w:hAnsi="宋体" w:cs="宋体"/>
          <w:color w:val="auto"/>
          <w:sz w:val="32"/>
          <w:u w:val="single"/>
        </w:rPr>
      </w:pPr>
      <w:r>
        <w:rPr>
          <w:rFonts w:hint="eastAsia" w:ascii="宋体" w:hAnsi="宋体" w:cs="宋体"/>
          <w:color w:val="auto"/>
          <w:sz w:val="32"/>
        </w:rPr>
        <mc:AlternateContent>
          <mc:Choice Requires="wps">
            <w:drawing>
              <wp:anchor distT="0" distB="0" distL="114300" distR="114300" simplePos="0" relativeHeight="251661312" behindDoc="0" locked="0" layoutInCell="1" allowOverlap="1">
                <wp:simplePos x="0" y="0"/>
                <wp:positionH relativeFrom="column">
                  <wp:posOffset>598805</wp:posOffset>
                </wp:positionH>
                <wp:positionV relativeFrom="paragraph">
                  <wp:posOffset>158750</wp:posOffset>
                </wp:positionV>
                <wp:extent cx="4686300" cy="28575"/>
                <wp:effectExtent l="0" t="4445" r="0" b="5080"/>
                <wp:wrapNone/>
                <wp:docPr id="4" name="直线 5"/>
                <wp:cNvGraphicFramePr/>
                <a:graphic xmlns:a="http://schemas.openxmlformats.org/drawingml/2006/main">
                  <a:graphicData uri="http://schemas.microsoft.com/office/word/2010/wordprocessingShape">
                    <wps:wsp>
                      <wps:cNvCnPr/>
                      <wps:spPr>
                        <a:xfrm flipV="1">
                          <a:off x="0" y="0"/>
                          <a:ext cx="4686300" cy="2857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47.15pt;margin-top:12.5pt;height:2.25pt;width:369pt;z-index:251661312;mso-width-relative:page;mso-height-relative:page;" filled="f" stroked="t" coordsize="21600,21600" o:gfxdata="UEsDBAoAAAAAAIdO4kAAAAAAAAAAAAAAAAAEAAAAZHJzL1BLAwQUAAAACACHTuJAUG69EdUAAAAI&#10;AQAADwAAAGRycy9kb3ducmV2LnhtbE2PzU7DMBCE70i8g7VIvVE7CUFtiNNDUU+cKEjl6MZLHDVe&#10;R7H79/ZsT+W4M6PZb+rVxQ/ihFPsA2nI5goEUhtsT52G76/N8wJETIasGQKhhitGWDWPD7WpbDjT&#10;J562qRNcQrEyGlxKYyVlbB16E+dhRGLvN0zeJD6nTtrJnLncDzJX6lV60xN/cGbEtcP2sD16De/t&#10;tSx/xqIrVLbeOa92+ceBtJ49ZeoNRMJLuofhhs/o0DDTPhzJRjFoWL4UnNSQlzyJ/UWRs7BnYVmC&#10;bGr5f0DzB1BLAwQUAAAACACHTuJAfRMcwNkBAACbAwAADgAAAGRycy9lMm9Eb2MueG1srVNLjhMx&#10;EN0jcQfLe9JJZiZErXRmMWHYIIjEwL7iT7cl/+TypJOzcA1WbDjOXIOyE8JvgxC9sGxX+VW9V69X&#10;twdn2V4lNMF3fDaZcqa8CNL4vuMfHu5fLDnDDF6CDV51/KiQ366fP1uNsVXzMAQrVWIE4rEdY8eH&#10;nGPbNCgG5QAnISpPQR2Sg0zH1DcywUjozjbz6XTRjCHJmIJQiHS7OQX5uuJrrUR+pzWqzGzHqbdc&#10;11TXXVmb9QraPkEcjDi3Af/QhQPjqegFagMZ2GMyf0A5I1LAoPNEBNcErY1QlQOxmU1/Y/N+gKgq&#10;FxIH40Um/H+w4u1+m5iRHb/mzIOjET19+vz05Su7KdqMEVtKufPbdD5h3KZC9KCTY9qa+JHGXqkT&#10;GXaoyh4vyqpDZoIurxfLxdWUBiAoNl/evKzozQmmwMWE+bUKjpVNx63xhTi0sH+DmUpT6veUcm09&#10;Gzt+NSMcJoB8oy1k2rpITND39S0Ga+S9sba8wNTv7mxieyhOqF8hSLi/pJUiG8DhlFdDJ48MCuQr&#10;L1k+RtLIk5l5acEpyZlV5P2yI0BoMxj7N5lU2nrqoGh8UrXsdkEeaSKPMZl+ICVmtcsSIQfUfs9u&#10;LRb7+VyRfvxT6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br0R1QAAAAgBAAAPAAAAAAAAAAEA&#10;IAAAACIAAABkcnMvZG93bnJldi54bWxQSwECFAAUAAAACACHTuJAfRMcwNkBAACbAwAADgAAAAAA&#10;AAABACAAAAAkAQAAZHJzL2Uyb0RvYy54bWxQSwUGAAAAAAYABgBZAQAAbwUAAAAA&#10;">
                <v:fill on="f" focussize="0,0"/>
                <v:stroke weight="0.25pt" color="#000000" joinstyle="round"/>
                <v:imagedata o:title=""/>
                <o:lock v:ext="edit" aspectratio="f"/>
              </v:line>
            </w:pict>
          </mc:Fallback>
        </mc:AlternateContent>
      </w:r>
      <w:r>
        <w:rPr>
          <w:rFonts w:hint="eastAsia" w:ascii="宋体" w:hAnsi="宋体" w:cs="宋体"/>
          <w:color w:val="auto"/>
          <w:sz w:val="32"/>
          <w:u w:val="single"/>
        </w:rPr>
        <w:t xml:space="preserve">                                                          </w:t>
      </w:r>
    </w:p>
    <w:p>
      <w:pPr>
        <w:rPr>
          <w:rFonts w:hint="eastAsia" w:ascii="宋体" w:hAnsi="宋体" w:cs="宋体"/>
          <w:color w:val="auto"/>
          <w:sz w:val="84"/>
        </w:rPr>
      </w:pPr>
    </w:p>
    <w:p>
      <w:pPr>
        <w:jc w:val="center"/>
        <w:rPr>
          <w:rFonts w:hint="eastAsia" w:ascii="宋体" w:hAnsi="宋体" w:cs="宋体"/>
          <w:b/>
          <w:bCs w:val="0"/>
          <w:color w:val="auto"/>
          <w:sz w:val="72"/>
          <w:szCs w:val="72"/>
        </w:rPr>
      </w:pPr>
      <w:r>
        <w:rPr>
          <w:rFonts w:hint="eastAsia" w:ascii="宋体" w:hAnsi="宋体" w:cs="宋体"/>
          <w:b/>
          <w:bCs w:val="0"/>
          <w:color w:val="auto"/>
          <w:sz w:val="72"/>
          <w:szCs w:val="72"/>
        </w:rPr>
        <w:t>竞争性谈判采购条件书</w:t>
      </w:r>
    </w:p>
    <w:p>
      <w:pPr>
        <w:pStyle w:val="13"/>
        <w:spacing w:line="360" w:lineRule="exact"/>
        <w:ind w:firstLine="640" w:firstLineChars="200"/>
        <w:jc w:val="center"/>
        <w:rPr>
          <w:rFonts w:hint="eastAsia" w:hAnsi="宋体" w:cs="宋体"/>
          <w:color w:val="auto"/>
          <w:sz w:val="32"/>
          <w:szCs w:val="32"/>
        </w:rPr>
      </w:pPr>
    </w:p>
    <w:p>
      <w:pPr>
        <w:pStyle w:val="13"/>
        <w:spacing w:line="360" w:lineRule="exact"/>
        <w:ind w:firstLine="640" w:firstLineChars="200"/>
        <w:jc w:val="center"/>
        <w:rPr>
          <w:rFonts w:hint="eastAsia" w:hAnsi="宋体" w:cs="宋体"/>
          <w:color w:val="auto"/>
          <w:sz w:val="32"/>
          <w:szCs w:val="32"/>
        </w:rPr>
      </w:pPr>
    </w:p>
    <w:p>
      <w:pPr>
        <w:pStyle w:val="13"/>
        <w:spacing w:line="360" w:lineRule="exact"/>
        <w:ind w:firstLine="640" w:firstLineChars="200"/>
        <w:jc w:val="center"/>
        <w:rPr>
          <w:rFonts w:hint="eastAsia" w:hAnsi="宋体" w:cs="宋体"/>
          <w:color w:val="auto"/>
          <w:sz w:val="32"/>
          <w:szCs w:val="32"/>
        </w:rPr>
      </w:pPr>
    </w:p>
    <w:p>
      <w:pPr>
        <w:pStyle w:val="13"/>
        <w:spacing w:line="360" w:lineRule="exact"/>
        <w:ind w:firstLine="640" w:firstLineChars="200"/>
        <w:jc w:val="center"/>
        <w:rPr>
          <w:rFonts w:hint="eastAsia" w:hAnsi="宋体" w:cs="宋体"/>
          <w:color w:val="auto"/>
          <w:sz w:val="32"/>
          <w:szCs w:val="32"/>
        </w:rPr>
      </w:pPr>
    </w:p>
    <w:p>
      <w:pPr>
        <w:pStyle w:val="13"/>
        <w:spacing w:line="360" w:lineRule="exact"/>
        <w:ind w:firstLine="640" w:firstLineChars="200"/>
        <w:jc w:val="center"/>
        <w:rPr>
          <w:rFonts w:hint="eastAsia" w:hAnsi="宋体" w:cs="宋体"/>
          <w:color w:val="auto"/>
          <w:sz w:val="32"/>
          <w:szCs w:val="32"/>
        </w:rPr>
      </w:pPr>
    </w:p>
    <w:p>
      <w:pPr>
        <w:pStyle w:val="13"/>
        <w:spacing w:line="360" w:lineRule="exact"/>
        <w:ind w:firstLine="640" w:firstLineChars="200"/>
        <w:jc w:val="center"/>
        <w:rPr>
          <w:rFonts w:hint="eastAsia" w:hAnsi="宋体" w:cs="宋体"/>
          <w:color w:val="auto"/>
          <w:sz w:val="32"/>
          <w:szCs w:val="32"/>
        </w:rPr>
      </w:pPr>
    </w:p>
    <w:p>
      <w:pPr>
        <w:pStyle w:val="13"/>
        <w:spacing w:line="360" w:lineRule="exact"/>
        <w:jc w:val="center"/>
        <w:rPr>
          <w:rFonts w:hint="eastAsia" w:hAnsi="宋体" w:cs="宋体"/>
          <w:color w:val="auto"/>
          <w:sz w:val="32"/>
          <w:szCs w:val="32"/>
          <w:lang w:eastAsia="zh-CN"/>
        </w:rPr>
      </w:pPr>
      <w:r>
        <w:rPr>
          <w:rFonts w:hint="eastAsia" w:hAnsi="宋体" w:cs="宋体"/>
          <w:color w:val="auto"/>
          <w:sz w:val="32"/>
          <w:szCs w:val="32"/>
        </w:rPr>
        <w:t>项目名称：渔洲坪社区卫生服务中心发热门诊设备采购</w:t>
      </w:r>
    </w:p>
    <w:p>
      <w:pPr>
        <w:jc w:val="center"/>
        <w:rPr>
          <w:rFonts w:hint="eastAsia" w:ascii="宋体" w:hAnsi="宋体" w:cs="宋体"/>
          <w:color w:val="auto"/>
          <w:sz w:val="32"/>
          <w:szCs w:val="32"/>
        </w:rPr>
      </w:pPr>
    </w:p>
    <w:p>
      <w:pPr>
        <w:jc w:val="center"/>
        <w:rPr>
          <w:rFonts w:hint="eastAsia" w:ascii="宋体" w:hAnsi="宋体" w:cs="宋体"/>
          <w:color w:val="auto"/>
          <w:sz w:val="84"/>
        </w:rPr>
      </w:pPr>
      <w:r>
        <w:rPr>
          <w:rFonts w:hint="eastAsia" w:ascii="宋体" w:hAnsi="宋体" w:cs="宋体"/>
          <w:color w:val="auto"/>
          <w:sz w:val="32"/>
          <w:szCs w:val="32"/>
        </w:rPr>
        <w:t>项目编号：</w:t>
      </w:r>
      <w:r>
        <w:rPr>
          <w:rFonts w:hint="eastAsia" w:ascii="宋体" w:hAnsi="宋体" w:cs="宋体"/>
          <w:color w:val="auto"/>
          <w:sz w:val="32"/>
          <w:szCs w:val="32"/>
          <w:lang w:eastAsia="zh-CN"/>
        </w:rPr>
        <w:t>FCZC2020-J1-20004-KLZB</w:t>
      </w:r>
      <w:r>
        <w:rPr>
          <w:rFonts w:hint="eastAsia" w:ascii="宋体" w:hAnsi="宋体" w:cs="宋体"/>
          <w:color w:val="auto"/>
          <w:sz w:val="84"/>
        </w:rPr>
        <w:t xml:space="preserve">      </w:t>
      </w:r>
    </w:p>
    <w:p>
      <w:pPr>
        <w:spacing w:line="400" w:lineRule="exact"/>
        <w:jc w:val="both"/>
        <w:rPr>
          <w:rFonts w:hint="eastAsia" w:ascii="宋体" w:hAnsi="宋体" w:cs="宋体"/>
          <w:b/>
          <w:color w:val="auto"/>
          <w:sz w:val="32"/>
          <w:szCs w:val="32"/>
        </w:rPr>
      </w:pPr>
    </w:p>
    <w:p>
      <w:pPr>
        <w:pStyle w:val="37"/>
        <w:rPr>
          <w:rFonts w:hint="eastAsia"/>
          <w:color w:val="auto"/>
        </w:rPr>
      </w:pPr>
    </w:p>
    <w:p>
      <w:pPr>
        <w:pStyle w:val="8"/>
        <w:jc w:val="center"/>
        <w:rPr>
          <w:rFonts w:hint="eastAsia" w:ascii="宋体" w:hAnsi="宋体" w:cs="宋体"/>
          <w:b w:val="0"/>
          <w:bCs/>
          <w:color w:val="auto"/>
          <w:sz w:val="32"/>
          <w:szCs w:val="32"/>
        </w:rPr>
      </w:pPr>
    </w:p>
    <w:p>
      <w:pPr>
        <w:pStyle w:val="8"/>
        <w:jc w:val="center"/>
        <w:rPr>
          <w:rFonts w:hint="eastAsia" w:ascii="宋体" w:hAnsi="宋体" w:cs="宋体"/>
          <w:b w:val="0"/>
          <w:bCs/>
          <w:color w:val="auto"/>
          <w:sz w:val="32"/>
          <w:szCs w:val="32"/>
          <w:lang w:eastAsia="zh-CN"/>
        </w:rPr>
      </w:pPr>
      <w:r>
        <w:rPr>
          <w:rFonts w:hint="eastAsia" w:ascii="宋体" w:hAnsi="宋体" w:cs="宋体"/>
          <w:b w:val="0"/>
          <w:bCs/>
          <w:color w:val="auto"/>
          <w:sz w:val="32"/>
          <w:szCs w:val="32"/>
        </w:rPr>
        <w:t>采购人：</w:t>
      </w:r>
      <w:r>
        <w:rPr>
          <w:rFonts w:hint="eastAsia" w:ascii="宋体" w:hAnsi="宋体" w:cs="宋体"/>
          <w:b w:val="0"/>
          <w:bCs/>
          <w:color w:val="auto"/>
          <w:sz w:val="32"/>
          <w:szCs w:val="32"/>
          <w:lang w:val="en-US" w:eastAsia="zh-CN"/>
        </w:rPr>
        <w:t>防城港市港口区渔洲坪社区卫生中心</w:t>
      </w:r>
    </w:p>
    <w:p>
      <w:pPr>
        <w:pStyle w:val="8"/>
        <w:jc w:val="center"/>
        <w:rPr>
          <w:rFonts w:hint="eastAsia" w:ascii="宋体" w:hAnsi="宋体" w:cs="宋体"/>
          <w:b w:val="0"/>
          <w:bCs/>
          <w:color w:val="auto"/>
          <w:sz w:val="32"/>
          <w:szCs w:val="32"/>
        </w:rPr>
      </w:pPr>
    </w:p>
    <w:p>
      <w:pPr>
        <w:pStyle w:val="8"/>
        <w:jc w:val="center"/>
        <w:rPr>
          <w:rFonts w:hint="eastAsia" w:ascii="宋体" w:hAnsi="宋体" w:cs="宋体"/>
          <w:b w:val="0"/>
          <w:bCs/>
          <w:color w:val="auto"/>
          <w:sz w:val="32"/>
          <w:szCs w:val="32"/>
        </w:rPr>
      </w:pPr>
      <w:r>
        <w:rPr>
          <w:rFonts w:hint="eastAsia" w:ascii="宋体" w:hAnsi="宋体" w:cs="宋体"/>
          <w:b w:val="0"/>
          <w:bCs/>
          <w:color w:val="auto"/>
          <w:sz w:val="32"/>
          <w:szCs w:val="32"/>
        </w:rPr>
        <w:t>采购代理机构：广西科联招标中心有限公司</w:t>
      </w:r>
    </w:p>
    <w:p>
      <w:pPr>
        <w:pStyle w:val="8"/>
        <w:jc w:val="center"/>
        <w:rPr>
          <w:rFonts w:hint="eastAsia" w:ascii="宋体" w:hAnsi="宋体" w:cs="宋体"/>
          <w:b w:val="0"/>
          <w:bCs/>
          <w:color w:val="auto"/>
          <w:sz w:val="32"/>
          <w:szCs w:val="32"/>
        </w:rPr>
      </w:pPr>
    </w:p>
    <w:p>
      <w:pPr>
        <w:pStyle w:val="8"/>
        <w:jc w:val="center"/>
        <w:rPr>
          <w:rFonts w:hint="eastAsia" w:ascii="宋体" w:hAnsi="宋体" w:cs="宋体"/>
          <w:b w:val="0"/>
          <w:bCs/>
          <w:color w:val="auto"/>
          <w:sz w:val="32"/>
          <w:szCs w:val="32"/>
        </w:rPr>
      </w:pPr>
      <w:r>
        <w:rPr>
          <w:rFonts w:hint="eastAsia" w:ascii="宋体" w:hAnsi="宋体" w:cs="宋体"/>
          <w:b w:val="0"/>
          <w:bCs/>
          <w:color w:val="auto"/>
          <w:sz w:val="32"/>
          <w:szCs w:val="32"/>
        </w:rPr>
        <w:t>2020年</w:t>
      </w:r>
      <w:r>
        <w:rPr>
          <w:rFonts w:hint="eastAsia" w:ascii="宋体" w:hAnsi="宋体" w:cs="宋体"/>
          <w:b w:val="0"/>
          <w:bCs/>
          <w:color w:val="auto"/>
          <w:sz w:val="32"/>
          <w:szCs w:val="32"/>
          <w:lang w:val="en-US" w:eastAsia="zh-CN"/>
        </w:rPr>
        <w:t>10</w:t>
      </w:r>
      <w:r>
        <w:rPr>
          <w:rFonts w:hint="eastAsia" w:ascii="宋体" w:hAnsi="宋体" w:cs="宋体"/>
          <w:b w:val="0"/>
          <w:bCs/>
          <w:color w:val="auto"/>
          <w:sz w:val="32"/>
          <w:szCs w:val="32"/>
        </w:rPr>
        <w:t>月</w:t>
      </w:r>
    </w:p>
    <w:p>
      <w:pPr>
        <w:pStyle w:val="8"/>
        <w:rPr>
          <w:rFonts w:hint="eastAsia" w:ascii="宋体" w:hAnsi="宋体" w:cs="宋体"/>
          <w:b/>
          <w:color w:val="auto"/>
          <w:sz w:val="32"/>
          <w:szCs w:val="32"/>
        </w:rPr>
      </w:pPr>
    </w:p>
    <w:p>
      <w:pPr>
        <w:pStyle w:val="8"/>
        <w:ind w:left="0" w:leftChars="0" w:firstLine="0" w:firstLineChars="0"/>
        <w:rPr>
          <w:rFonts w:hint="eastAsia" w:ascii="宋体" w:hAnsi="宋体" w:cs="宋体"/>
          <w:b/>
          <w:color w:val="auto"/>
          <w:sz w:val="32"/>
          <w:szCs w:val="32"/>
        </w:rPr>
        <w:sectPr>
          <w:headerReference r:id="rId3" w:type="default"/>
          <w:footerReference r:id="rId4" w:type="default"/>
          <w:footerReference r:id="rId5" w:type="even"/>
          <w:pgSz w:w="11906" w:h="16838"/>
          <w:pgMar w:top="1202" w:right="1191" w:bottom="1304" w:left="1418" w:header="851" w:footer="992" w:gutter="0"/>
          <w:pgNumType w:start="0"/>
          <w:cols w:space="720" w:num="1"/>
          <w:titlePg/>
          <w:docGrid w:type="lines" w:linePitch="312" w:charSpace="0"/>
        </w:sectPr>
      </w:pPr>
    </w:p>
    <w:p>
      <w:pPr>
        <w:pStyle w:val="8"/>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60" w:lineRule="exact"/>
        <w:jc w:val="center"/>
        <w:rPr>
          <w:rFonts w:hint="eastAsia" w:ascii="宋体" w:hAnsi="宋体" w:cs="宋体"/>
          <w:b/>
          <w:color w:val="auto"/>
          <w:sz w:val="44"/>
          <w:szCs w:val="44"/>
        </w:rPr>
      </w:pPr>
      <w:r>
        <w:rPr>
          <w:rFonts w:hint="eastAsia" w:ascii="宋体" w:hAnsi="宋体" w:cs="宋体"/>
          <w:b/>
          <w:color w:val="auto"/>
          <w:sz w:val="44"/>
          <w:szCs w:val="44"/>
        </w:rPr>
        <w:t>目       录</w:t>
      </w:r>
    </w:p>
    <w:p>
      <w:pPr>
        <w:tabs>
          <w:tab w:val="left" w:pos="7995"/>
        </w:tabs>
        <w:spacing w:line="460" w:lineRule="exact"/>
        <w:jc w:val="left"/>
        <w:rPr>
          <w:rFonts w:hint="eastAsia" w:ascii="宋体" w:hAnsi="宋体" w:cs="宋体"/>
          <w:b/>
          <w:color w:val="auto"/>
          <w:sz w:val="32"/>
          <w:szCs w:val="32"/>
        </w:rPr>
      </w:pPr>
      <w:r>
        <w:rPr>
          <w:rFonts w:hint="eastAsia" w:ascii="宋体" w:hAnsi="宋体" w:cs="宋体"/>
          <w:b/>
          <w:color w:val="auto"/>
          <w:sz w:val="32"/>
          <w:szCs w:val="32"/>
        </w:rPr>
        <w:tab/>
      </w:r>
    </w:p>
    <w:p>
      <w:pPr>
        <w:spacing w:line="400" w:lineRule="exact"/>
        <w:jc w:val="left"/>
        <w:rPr>
          <w:rFonts w:hint="eastAsia" w:ascii="宋体" w:hAnsi="宋体" w:cs="宋体"/>
          <w:b/>
          <w:color w:val="auto"/>
          <w:sz w:val="32"/>
          <w:szCs w:val="32"/>
        </w:rPr>
      </w:pPr>
    </w:p>
    <w:p>
      <w:pPr>
        <w:pStyle w:val="18"/>
        <w:tabs>
          <w:tab w:val="right" w:leader="dot" w:pos="9060"/>
        </w:tabs>
        <w:spacing w:line="400" w:lineRule="exact"/>
        <w:rPr>
          <w:rFonts w:hint="eastAsia" w:ascii="宋体" w:hAnsi="宋体" w:cs="宋体"/>
          <w:color w:val="auto"/>
          <w:sz w:val="24"/>
        </w:rPr>
      </w:pPr>
      <w:r>
        <w:rPr>
          <w:rFonts w:hint="eastAsia" w:ascii="宋体" w:hAnsi="宋体" w:cs="宋体"/>
          <w:b/>
          <w:color w:val="auto"/>
          <w:sz w:val="32"/>
          <w:szCs w:val="32"/>
        </w:rPr>
        <w:fldChar w:fldCharType="begin"/>
      </w:r>
      <w:r>
        <w:rPr>
          <w:rFonts w:hint="eastAsia" w:ascii="宋体" w:hAnsi="宋体" w:cs="宋体"/>
          <w:b/>
          <w:color w:val="auto"/>
          <w:sz w:val="32"/>
          <w:szCs w:val="32"/>
        </w:rPr>
        <w:instrText xml:space="preserve"> TOC \o "1-2" \u </w:instrText>
      </w:r>
      <w:r>
        <w:rPr>
          <w:rFonts w:hint="eastAsia" w:ascii="宋体" w:hAnsi="宋体" w:cs="宋体"/>
          <w:b/>
          <w:color w:val="auto"/>
          <w:sz w:val="32"/>
          <w:szCs w:val="32"/>
        </w:rPr>
        <w:fldChar w:fldCharType="separate"/>
      </w:r>
      <w:r>
        <w:rPr>
          <w:rFonts w:hint="eastAsia" w:ascii="宋体" w:hAnsi="宋体" w:cs="宋体"/>
          <w:color w:val="auto"/>
          <w:sz w:val="24"/>
        </w:rPr>
        <w:t>第一章 竞争性谈判公告</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_Toc327975570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第二章 供应商须知及前附表</w:t>
      </w:r>
      <w:r>
        <w:rPr>
          <w:rFonts w:hint="eastAsia" w:ascii="宋体" w:hAnsi="宋体" w:cs="宋体"/>
          <w:color w:val="auto"/>
          <w:sz w:val="24"/>
        </w:rPr>
        <w:tab/>
      </w:r>
      <w:r>
        <w:rPr>
          <w:rFonts w:hint="eastAsia" w:ascii="宋体" w:hAnsi="宋体" w:cs="宋体"/>
          <w:color w:val="auto"/>
          <w:sz w:val="24"/>
        </w:rPr>
        <w:t>4</w:t>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供应商须知前附表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_Toc327975572 \h </w:instrText>
      </w:r>
      <w:r>
        <w:rPr>
          <w:rFonts w:hint="eastAsia" w:ascii="宋体" w:hAnsi="宋体" w:cs="宋体"/>
          <w:color w:val="auto"/>
          <w:sz w:val="24"/>
        </w:rPr>
        <w:fldChar w:fldCharType="separate"/>
      </w:r>
      <w:r>
        <w:rPr>
          <w:rFonts w:hint="eastAsia" w:ascii="宋体" w:hAnsi="宋体" w:cs="宋体"/>
          <w:color w:val="auto"/>
          <w:sz w:val="24"/>
        </w:rPr>
        <w:t>5</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供应商须知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_Toc327975573 \h </w:instrText>
      </w:r>
      <w:r>
        <w:rPr>
          <w:rFonts w:hint="eastAsia" w:ascii="宋体" w:hAnsi="宋体" w:cs="宋体"/>
          <w:color w:val="auto"/>
          <w:sz w:val="24"/>
        </w:rPr>
        <w:fldChar w:fldCharType="separate"/>
      </w:r>
      <w:r>
        <w:rPr>
          <w:rFonts w:hint="eastAsia" w:ascii="宋体" w:hAnsi="宋体" w:cs="宋体"/>
          <w:color w:val="auto"/>
          <w:sz w:val="24"/>
        </w:rPr>
        <w:t>7</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一、总　则</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_Toc327975574 \h </w:instrText>
      </w:r>
      <w:r>
        <w:rPr>
          <w:rFonts w:hint="eastAsia" w:ascii="宋体" w:hAnsi="宋体" w:cs="宋体"/>
          <w:color w:val="auto"/>
          <w:sz w:val="24"/>
        </w:rPr>
        <w:fldChar w:fldCharType="separate"/>
      </w:r>
      <w:r>
        <w:rPr>
          <w:rFonts w:hint="eastAsia" w:ascii="宋体" w:hAnsi="宋体" w:cs="宋体"/>
          <w:color w:val="auto"/>
          <w:sz w:val="24"/>
        </w:rPr>
        <w:t>7</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二、竞争性谈判采购条件书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_Toc327975577 \h </w:instrText>
      </w:r>
      <w:r>
        <w:rPr>
          <w:rFonts w:hint="eastAsia" w:ascii="宋体" w:hAnsi="宋体" w:cs="宋体"/>
          <w:color w:val="auto"/>
          <w:sz w:val="24"/>
        </w:rPr>
        <w:fldChar w:fldCharType="separate"/>
      </w:r>
      <w:r>
        <w:rPr>
          <w:rFonts w:hint="eastAsia" w:ascii="宋体" w:hAnsi="宋体" w:cs="宋体"/>
          <w:color w:val="auto"/>
          <w:sz w:val="24"/>
        </w:rPr>
        <w:t>8</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三、竞争性谈判响应文件的编制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_Toc327975578 \h </w:instrText>
      </w:r>
      <w:r>
        <w:rPr>
          <w:rFonts w:hint="eastAsia" w:ascii="宋体" w:hAnsi="宋体" w:cs="宋体"/>
          <w:color w:val="auto"/>
          <w:sz w:val="24"/>
        </w:rPr>
        <w:fldChar w:fldCharType="separate"/>
      </w:r>
      <w:r>
        <w:rPr>
          <w:rFonts w:hint="eastAsia" w:ascii="宋体" w:hAnsi="宋体" w:cs="宋体"/>
          <w:color w:val="auto"/>
          <w:sz w:val="24"/>
        </w:rPr>
        <w:t>9</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四、竞争性谈判响应文件的份数、封装和递交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_Toc327975579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五、竞争性谈判（简称谈判）与评标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_Toc327975580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六、签订合同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_Toc327975581 \h </w:instrText>
      </w:r>
      <w:r>
        <w:rPr>
          <w:rFonts w:hint="eastAsia" w:ascii="宋体" w:hAnsi="宋体" w:cs="宋体"/>
          <w:color w:val="auto"/>
          <w:sz w:val="24"/>
        </w:rPr>
        <w:fldChar w:fldCharType="separate"/>
      </w:r>
      <w:r>
        <w:rPr>
          <w:rFonts w:hint="eastAsia" w:ascii="宋体" w:hAnsi="宋体" w:cs="宋体"/>
          <w:color w:val="auto"/>
          <w:sz w:val="24"/>
        </w:rPr>
        <w:t>16</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七、其他事项</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_Toc327975582 \h </w:instrText>
      </w:r>
      <w:r>
        <w:rPr>
          <w:rFonts w:hint="eastAsia" w:ascii="宋体" w:hAnsi="宋体" w:cs="宋体"/>
          <w:color w:val="auto"/>
          <w:sz w:val="24"/>
        </w:rPr>
        <w:fldChar w:fldCharType="separate"/>
      </w:r>
      <w:r>
        <w:rPr>
          <w:rFonts w:hint="eastAsia" w:ascii="宋体" w:hAnsi="宋体" w:cs="宋体"/>
          <w:color w:val="auto"/>
          <w:sz w:val="24"/>
        </w:rPr>
        <w:t>17</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第三章 项目需求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_Toc327975583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第四章 评标办法及评分标准</w:t>
      </w:r>
      <w:r>
        <w:rPr>
          <w:rFonts w:hint="eastAsia" w:ascii="宋体" w:hAnsi="宋体" w:cs="宋体"/>
          <w:color w:val="auto"/>
          <w:sz w:val="24"/>
        </w:rPr>
        <w:tab/>
      </w:r>
      <w:r>
        <w:rPr>
          <w:rFonts w:hint="eastAsia" w:ascii="宋体" w:hAnsi="宋体" w:cs="宋体"/>
          <w:color w:val="auto"/>
          <w:sz w:val="24"/>
        </w:rPr>
        <w:t>20</w:t>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第五章 合同主要条款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_Toc327975585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pPr>
        <w:pStyle w:val="18"/>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第六章 竞争性谈判响应文件（格式）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_Toc327975586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pPr>
        <w:pStyle w:val="18"/>
        <w:tabs>
          <w:tab w:val="right" w:leader="dot" w:pos="9060"/>
        </w:tabs>
        <w:rPr>
          <w:rFonts w:hint="eastAsia" w:ascii="宋体" w:hAnsi="宋体" w:cs="宋体"/>
          <w:color w:val="auto"/>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fldChar w:fldCharType="end"/>
      </w: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pStyle w:val="21"/>
        <w:spacing w:line="300" w:lineRule="exact"/>
        <w:rPr>
          <w:rFonts w:hint="eastAsia" w:ascii="宋体" w:hAnsi="宋体" w:cs="宋体"/>
          <w:color w:val="auto"/>
        </w:rPr>
      </w:pPr>
      <w:bookmarkStart w:id="2" w:name="_Toc327975570"/>
      <w:r>
        <w:rPr>
          <w:rFonts w:hint="eastAsia" w:ascii="宋体" w:hAnsi="宋体" w:cs="宋体"/>
          <w:color w:val="auto"/>
        </w:rPr>
        <w:br w:type="page"/>
      </w:r>
      <w:r>
        <w:rPr>
          <w:rFonts w:hint="eastAsia" w:ascii="宋体" w:hAnsi="宋体" w:cs="宋体"/>
          <w:color w:val="auto"/>
        </w:rPr>
        <w:t>第一章 竞争性谈判公告</w:t>
      </w:r>
      <w:bookmarkEnd w:id="2"/>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hAnsi="宋体" w:cs="宋体"/>
          <w:color w:val="auto"/>
          <w:szCs w:val="21"/>
        </w:rPr>
      </w:pPr>
      <w:bookmarkStart w:id="3" w:name="_Toc327975571"/>
      <w:r>
        <w:rPr>
          <w:rFonts w:hint="eastAsia" w:ascii="宋体" w:hAnsi="宋体" w:cs="宋体"/>
          <w:b/>
          <w:bCs/>
          <w:color w:val="auto"/>
          <w:szCs w:val="21"/>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lang w:eastAsia="zh-CN"/>
        </w:rPr>
        <w:t>渔洲坪社区卫生服务中心发热门诊设备采购</w:t>
      </w:r>
      <w:r>
        <w:rPr>
          <w:rFonts w:hint="eastAsia" w:ascii="宋体" w:hAnsi="宋体" w:cs="宋体"/>
          <w:color w:val="auto"/>
          <w:szCs w:val="21"/>
        </w:rPr>
        <w:t>的潜在供应商应在政采云平台（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cs="宋体"/>
          <w:color w:val="auto"/>
          <w:szCs w:val="21"/>
        </w:rPr>
        <w:t>https://www.zcygov.cn/</w:t>
      </w:r>
      <w:r>
        <w:rPr>
          <w:rFonts w:hint="eastAsia" w:ascii="宋体" w:hAnsi="宋体" w:cs="宋体"/>
          <w:color w:val="auto"/>
          <w:szCs w:val="21"/>
        </w:rPr>
        <w:fldChar w:fldCharType="end"/>
      </w:r>
      <w:r>
        <w:rPr>
          <w:rFonts w:hint="eastAsia" w:ascii="宋体" w:hAnsi="宋体" w:cs="宋体"/>
          <w:color w:val="auto"/>
          <w:szCs w:val="21"/>
        </w:rPr>
        <w:t>）获取采购文件，并于</w:t>
      </w:r>
      <w:r>
        <w:rPr>
          <w:rFonts w:hint="eastAsia" w:ascii="宋体" w:hAnsi="宋体" w:cs="宋体"/>
          <w:color w:val="auto"/>
          <w:szCs w:val="21"/>
          <w:lang w:eastAsia="zh-CN"/>
        </w:rPr>
        <w:t>2020年10月15日9点30分整</w:t>
      </w:r>
      <w:r>
        <w:rPr>
          <w:rFonts w:hint="eastAsia" w:ascii="宋体" w:hAnsi="宋体" w:cs="宋体"/>
          <w:color w:val="auto"/>
          <w:szCs w:val="21"/>
        </w:rPr>
        <w:t>（北京时间）前提交响应文件。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4" w:name="_Toc35393629"/>
      <w:bookmarkStart w:id="5" w:name="_Toc28359012"/>
      <w:bookmarkStart w:id="6" w:name="_Toc28359089"/>
      <w:bookmarkStart w:id="7" w:name="_Toc35393798"/>
      <w:r>
        <w:rPr>
          <w:rFonts w:hint="eastAsia"/>
          <w:b/>
          <w:bCs/>
          <w:color w:val="auto"/>
        </w:rPr>
        <w:t>一、项目基本情况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lang w:eastAsia="zh-CN"/>
        </w:rPr>
      </w:pPr>
      <w:r>
        <w:rPr>
          <w:rFonts w:hint="eastAsia"/>
          <w:color w:val="auto"/>
        </w:rPr>
        <w:t>项目编号：</w:t>
      </w:r>
      <w:r>
        <w:rPr>
          <w:rFonts w:hint="eastAsia"/>
          <w:color w:val="auto"/>
          <w:lang w:eastAsia="zh-CN"/>
        </w:rPr>
        <w:t>FCZC2020-J1-20004-KLZB</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lang w:eastAsia="zh-CN"/>
        </w:rPr>
      </w:pPr>
      <w:r>
        <w:rPr>
          <w:rFonts w:hint="eastAsia"/>
          <w:color w:val="auto"/>
        </w:rPr>
        <w:t>项目名称：</w:t>
      </w:r>
      <w:r>
        <w:rPr>
          <w:rFonts w:hint="eastAsia"/>
          <w:color w:val="auto"/>
          <w:lang w:eastAsia="zh-CN"/>
        </w:rPr>
        <w:t>渔洲坪社区卫生服务中心发热门诊设备采购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采购方式：竞争性</w:t>
      </w:r>
      <w:r>
        <w:rPr>
          <w:rFonts w:hint="eastAsia"/>
          <w:color w:val="auto"/>
          <w:lang w:val="en-US" w:eastAsia="zh-CN"/>
        </w:rPr>
        <w:t>谈判</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预算金额：</w:t>
      </w:r>
      <w:r>
        <w:rPr>
          <w:rFonts w:hint="eastAsia"/>
          <w:color w:val="auto"/>
          <w:lang w:val="en-US" w:eastAsia="zh-CN"/>
        </w:rPr>
        <w:t>130</w:t>
      </w:r>
      <w:r>
        <w:rPr>
          <w:rFonts w:hint="eastAsia"/>
          <w:color w:val="auto"/>
        </w:rPr>
        <w:t>万元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最高限价（如有）：同预算金额</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color w:val="auto"/>
        </w:rPr>
        <w:t>采购需求：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57"/>
        <w:gridCol w:w="833"/>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ascii="宋体" w:cs="宋体"/>
                <w:b/>
                <w:bCs/>
                <w:color w:val="auto"/>
                <w:sz w:val="21"/>
                <w:szCs w:val="21"/>
              </w:rPr>
            </w:pPr>
            <w:r>
              <w:rPr>
                <w:rFonts w:hint="eastAsia" w:ascii="宋体" w:hAnsi="宋体" w:cs="宋体"/>
                <w:b/>
                <w:bCs/>
                <w:color w:val="auto"/>
                <w:sz w:val="21"/>
                <w:szCs w:val="21"/>
              </w:rPr>
              <w:t>序号</w:t>
            </w:r>
          </w:p>
        </w:tc>
        <w:tc>
          <w:tcPr>
            <w:tcW w:w="1757"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货物名称</w:t>
            </w:r>
          </w:p>
        </w:tc>
        <w:tc>
          <w:tcPr>
            <w:tcW w:w="833"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数量</w:t>
            </w:r>
          </w:p>
        </w:tc>
        <w:tc>
          <w:tcPr>
            <w:tcW w:w="5775"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kern w:val="0"/>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widowControl/>
              <w:ind w:firstLine="210" w:firstLineChars="100"/>
              <w:rPr>
                <w:rFonts w:hint="eastAsia" w:ascii="宋体" w:hAnsi="宋体" w:eastAsia="宋体" w:cs="宋体"/>
                <w:b/>
                <w:bCs/>
                <w:color w:val="auto"/>
                <w:sz w:val="21"/>
                <w:szCs w:val="21"/>
                <w:lang w:val="en-US" w:eastAsia="zh-CN"/>
              </w:rPr>
            </w:pPr>
            <w:r>
              <w:rPr>
                <w:rFonts w:hint="eastAsia" w:ascii="宋体" w:hAnsi="宋体" w:eastAsia="宋体" w:cs="宋体"/>
                <w:color w:val="auto"/>
                <w:kern w:val="0"/>
                <w:sz w:val="21"/>
                <w:szCs w:val="21"/>
              </w:rPr>
              <w:t>1</w:t>
            </w:r>
          </w:p>
        </w:tc>
        <w:tc>
          <w:tcPr>
            <w:tcW w:w="1757"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污水处理系统设备及安装</w:t>
            </w:r>
          </w:p>
          <w:p>
            <w:pPr>
              <w:pStyle w:val="8"/>
              <w:ind w:firstLine="422" w:firstLineChars="200"/>
              <w:rPr>
                <w:rFonts w:hint="eastAsia" w:ascii="宋体" w:hAnsi="宋体" w:cs="宋体"/>
                <w:b/>
                <w:bCs/>
                <w:color w:val="auto"/>
                <w:sz w:val="21"/>
                <w:szCs w:val="21"/>
              </w:rPr>
            </w:pPr>
          </w:p>
        </w:tc>
        <w:tc>
          <w:tcPr>
            <w:tcW w:w="833"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hAnsi="宋体" w:eastAsia="宋体" w:cs="宋体"/>
                <w:color w:val="auto"/>
                <w:sz w:val="21"/>
                <w:szCs w:val="21"/>
                <w:lang w:val="en-US" w:eastAsia="zh-CN"/>
              </w:rPr>
              <w:t>1套</w:t>
            </w:r>
          </w:p>
        </w:tc>
        <w:tc>
          <w:tcPr>
            <w:tcW w:w="5775" w:type="dxa"/>
            <w:noWrap w:val="0"/>
            <w:vAlign w:val="center"/>
          </w:tcPr>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（1）进水水质参数</w:t>
            </w:r>
          </w:p>
          <w:p>
            <w:pPr>
              <w:spacing w:line="360" w:lineRule="exact"/>
              <w:jc w:val="both"/>
              <w:rPr>
                <w:rFonts w:hint="default" w:ascii="宋体" w:hAnsi="宋体" w:eastAsia="宋体" w:cs="宋体"/>
                <w:b/>
                <w:bCs/>
                <w:color w:val="auto"/>
                <w:kern w:val="0"/>
                <w:sz w:val="21"/>
                <w:szCs w:val="21"/>
                <w:lang w:val="en-US" w:eastAsia="zh-CN"/>
              </w:rPr>
            </w:pPr>
            <w:r>
              <w:rPr>
                <w:rFonts w:hint="eastAsia" w:ascii="宋体" w:hAnsi="宋体" w:cs="宋体"/>
                <w:b w:val="0"/>
                <w:bCs w:val="0"/>
                <w:color w:val="auto"/>
                <w:kern w:val="0"/>
                <w:sz w:val="21"/>
                <w:szCs w:val="21"/>
                <w:lang w:val="en-US" w:eastAsia="zh-CN"/>
              </w:rPr>
              <w:t>根据《医院污水处理工程技术规范》（HJ2029-2013）结合项目环境特征，主要指标按高要求考虑，以应对实际水质复杂多样性···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lang w:val="en-US" w:eastAsia="zh-CN"/>
              </w:rPr>
            </w:pPr>
            <w:r>
              <w:rPr>
                <w:rFonts w:hint="eastAsia" w:ascii="宋体" w:hAnsi="宋体" w:eastAsia="宋体" w:cs="宋体"/>
                <w:i w:val="0"/>
                <w:color w:val="auto"/>
                <w:kern w:val="0"/>
                <w:sz w:val="21"/>
                <w:szCs w:val="21"/>
                <w:u w:val="none"/>
                <w:lang w:val="en-US" w:eastAsia="zh-CN" w:bidi="ar"/>
              </w:rPr>
              <w:t>2</w:t>
            </w:r>
          </w:p>
        </w:tc>
        <w:tc>
          <w:tcPr>
            <w:tcW w:w="1757"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hAnsi="宋体" w:eastAsia="宋体" w:cs="宋体"/>
                <w:i w:val="0"/>
                <w:color w:val="auto"/>
                <w:kern w:val="0"/>
                <w:sz w:val="21"/>
                <w:szCs w:val="21"/>
                <w:u w:val="none"/>
                <w:lang w:val="en-US" w:eastAsia="zh-CN" w:bidi="ar"/>
              </w:rPr>
              <w:t>DR室防辐射改造设备及安装</w:t>
            </w:r>
          </w:p>
        </w:tc>
        <w:tc>
          <w:tcPr>
            <w:tcW w:w="833" w:type="dxa"/>
            <w:noWrap w:val="0"/>
            <w:vAlign w:val="center"/>
          </w:tcPr>
          <w:p>
            <w:pPr>
              <w:keepNext w:val="0"/>
              <w:keepLines w:val="0"/>
              <w:widowControl/>
              <w:suppressLineNumbers w:val="0"/>
              <w:jc w:val="center"/>
              <w:textAlignment w:val="center"/>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1套</w:t>
            </w:r>
          </w:p>
        </w:tc>
        <w:tc>
          <w:tcPr>
            <w:tcW w:w="5775" w:type="dxa"/>
            <w:noWrap w:val="0"/>
            <w:vAlign w:val="center"/>
          </w:tcPr>
          <w:p>
            <w:pPr>
              <w:keepNext w:val="0"/>
              <w:keepLines w:val="0"/>
              <w:widowControl/>
              <w:numPr>
                <w:ilvl w:val="0"/>
                <w:numId w:val="1"/>
              </w:numPr>
              <w:suppressLineNumbers w:val="0"/>
              <w:jc w:val="left"/>
              <w:textAlignment w:val="center"/>
              <w:rPr>
                <w:rFonts w:hint="eastAsia" w:ascii="宋体" w:hAnsi="宋体" w:cs="宋体"/>
                <w:b w:val="0"/>
                <w:bCs w:val="0"/>
                <w:color w:val="auto"/>
                <w:kern w:val="0"/>
                <w:sz w:val="21"/>
                <w:szCs w:val="21"/>
                <w:lang w:val="en-US" w:eastAsia="zh-CN"/>
              </w:rPr>
            </w:pPr>
            <w:r>
              <w:rPr>
                <w:rFonts w:hint="eastAsia" w:ascii="宋体" w:hAnsi="宋体" w:eastAsia="宋体" w:cs="宋体"/>
                <w:b w:val="0"/>
                <w:bCs w:val="0"/>
                <w:color w:val="auto"/>
                <w:sz w:val="21"/>
                <w:szCs w:val="21"/>
                <w:lang w:val="en-US" w:eastAsia="zh-CN"/>
              </w:rPr>
              <w:t>DR室面积为40平方米，全景机室防辐射、地面、墙体防辐射、电动式铝门、观察窗安装、机房射线防护装饰。要求达到国家防护标准。</w:t>
            </w:r>
            <w:r>
              <w:rPr>
                <w:rFonts w:hint="eastAsia" w:ascii="宋体" w:hAnsi="宋体" w:cs="宋体"/>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lang w:val="en-US" w:eastAsia="zh-CN"/>
              </w:rPr>
            </w:pPr>
            <w:r>
              <w:rPr>
                <w:rFonts w:hint="eastAsia" w:ascii="宋体" w:hAnsi="宋体" w:eastAsia="宋体" w:cs="宋体"/>
                <w:i w:val="0"/>
                <w:color w:val="auto"/>
                <w:kern w:val="0"/>
                <w:sz w:val="21"/>
                <w:szCs w:val="21"/>
                <w:u w:val="none"/>
                <w:lang w:val="en-US" w:eastAsia="zh-CN" w:bidi="ar"/>
              </w:rPr>
              <w:t>3</w:t>
            </w:r>
          </w:p>
        </w:tc>
        <w:tc>
          <w:tcPr>
            <w:tcW w:w="1757"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hAnsi="宋体" w:eastAsia="宋体" w:cs="宋体"/>
                <w:color w:val="auto"/>
                <w:sz w:val="21"/>
                <w:szCs w:val="21"/>
                <w:lang w:val="en-US" w:eastAsia="zh-CN"/>
              </w:rPr>
              <w:t>数字化医用X射线摄影系统</w:t>
            </w:r>
          </w:p>
        </w:tc>
        <w:tc>
          <w:tcPr>
            <w:tcW w:w="833"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hAnsi="宋体" w:eastAsia="宋体" w:cs="宋体"/>
                <w:color w:val="auto"/>
                <w:sz w:val="21"/>
                <w:szCs w:val="21"/>
                <w:lang w:val="en-US" w:eastAsia="zh-CN"/>
              </w:rPr>
              <w:t>1套</w:t>
            </w:r>
          </w:p>
        </w:tc>
        <w:tc>
          <w:tcPr>
            <w:tcW w:w="5775" w:type="dxa"/>
            <w:noWrap w:val="0"/>
            <w:vAlign w:val="center"/>
          </w:tcPr>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设备用途说明：能给病人进行全身各部位立位和卧位投照摄影</w:t>
            </w:r>
          </w:p>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设备主要构成：</w:t>
            </w:r>
          </w:p>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1.1数字化平板探测器</w:t>
            </w:r>
          </w:p>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1.2 X光球管</w:t>
            </w:r>
          </w:p>
          <w:p>
            <w:pPr>
              <w:spacing w:line="360" w:lineRule="exact"/>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1.3高频高压发生器及曝光控制系统</w:t>
            </w:r>
          </w:p>
          <w:p>
            <w:pPr>
              <w:spacing w:line="360" w:lineRule="exact"/>
              <w:jc w:val="both"/>
              <w:rPr>
                <w:rFonts w:hint="default" w:ascii="宋体" w:hAnsi="宋体" w:cs="宋体"/>
                <w:b/>
                <w:bCs/>
                <w:color w:val="auto"/>
                <w:kern w:val="0"/>
                <w:sz w:val="21"/>
                <w:szCs w:val="21"/>
                <w:lang w:val="en-US" w:eastAsia="zh-CN"/>
              </w:rPr>
            </w:pPr>
            <w:r>
              <w:rPr>
                <w:rFonts w:hint="eastAsia" w:ascii="宋体" w:hAnsi="宋体" w:cs="宋体"/>
                <w:b w:val="0"/>
                <w:bCs w:val="0"/>
                <w:color w:val="auto"/>
                <w:kern w:val="0"/>
                <w:sz w:val="21"/>
                <w:szCs w:val="21"/>
                <w:lang w:val="en-US" w:eastAsia="zh-CN"/>
              </w:rPr>
              <w:t>1.4满足立、卧位检查需要的DR摄影装置···</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lang w:eastAsia="zh-CN"/>
        </w:rPr>
      </w:pPr>
      <w:r>
        <w:rPr>
          <w:rFonts w:hint="eastAsia"/>
          <w:color w:val="auto"/>
          <w:lang w:val="en-US" w:eastAsia="zh-CN"/>
        </w:rPr>
        <w:t>具体内容详见条件书。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合同履行期限：自合同签订之日起90天内交付使用。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本项目不接受联合体</w:t>
      </w:r>
      <w:r>
        <w:rPr>
          <w:rFonts w:hint="eastAsia"/>
          <w:color w:val="auto"/>
          <w:lang w:eastAsia="zh-CN"/>
        </w:rPr>
        <w:t>谈判</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color w:val="auto"/>
        </w:rPr>
      </w:pPr>
      <w:bookmarkStart w:id="8" w:name="_Toc28359013"/>
      <w:bookmarkStart w:id="9" w:name="_Toc28359090"/>
      <w:bookmarkStart w:id="10" w:name="_Toc35393630"/>
      <w:bookmarkStart w:id="11" w:name="_Toc35393799"/>
      <w:r>
        <w:rPr>
          <w:rFonts w:hint="eastAsia"/>
          <w:b/>
          <w:bCs/>
          <w:color w:val="auto"/>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5.本项目的特定资格要求：供应商必须具有行业主管部门颁发的有效的《中华人民共和国医疗器械经营企业许可证》或《中华人民共和国医疗器械生产企业许可证》或《二类医疗器械经营备案凭证》。</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12" w:name="_Toc28359091"/>
      <w:bookmarkStart w:id="13" w:name="_Toc28359014"/>
      <w:bookmarkStart w:id="14" w:name="_Toc35393800"/>
      <w:bookmarkStart w:id="15" w:name="_Toc35393631"/>
      <w:r>
        <w:rPr>
          <w:rFonts w:hint="eastAsia"/>
          <w:b/>
          <w:bCs/>
          <w:color w:val="auto"/>
        </w:rPr>
        <w:t>三、获取采购文件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bookmarkStart w:id="16" w:name="_Toc28359092"/>
      <w:bookmarkStart w:id="17" w:name="_Toc28359015"/>
      <w:bookmarkStart w:id="18" w:name="_Toc35393632"/>
      <w:bookmarkStart w:id="19" w:name="_Toc35393801"/>
      <w:r>
        <w:rPr>
          <w:color w:val="auto"/>
        </w:rPr>
        <w:t>1.</w:t>
      </w:r>
      <w:r>
        <w:rPr>
          <w:rFonts w:hint="eastAsia"/>
          <w:color w:val="auto"/>
        </w:rPr>
        <w:t>时间：本公告发布之时起至2020年</w:t>
      </w:r>
      <w:r>
        <w:rPr>
          <w:rFonts w:hint="eastAsia"/>
          <w:color w:val="auto"/>
          <w:lang w:val="en-US" w:eastAsia="zh-CN"/>
        </w:rPr>
        <w:t>10</w:t>
      </w:r>
      <w:r>
        <w:rPr>
          <w:rFonts w:hint="eastAsia"/>
          <w:color w:val="auto"/>
        </w:rPr>
        <w:t>月</w:t>
      </w:r>
      <w:r>
        <w:rPr>
          <w:rFonts w:hint="eastAsia"/>
          <w:color w:val="auto"/>
          <w:lang w:val="en-US" w:eastAsia="zh-CN"/>
        </w:rPr>
        <w:t>14</w:t>
      </w:r>
      <w:r>
        <w:rPr>
          <w:rFonts w:hint="eastAsia"/>
          <w:color w:val="auto"/>
        </w:rPr>
        <w:t>日</w:t>
      </w:r>
      <w:r>
        <w:rPr>
          <w:rFonts w:hint="eastAsia"/>
          <w:color w:val="auto"/>
          <w:lang w:val="en-US" w:eastAsia="zh-CN"/>
        </w:rPr>
        <w:t>18</w:t>
      </w:r>
      <w:r>
        <w:rPr>
          <w:rFonts w:hint="eastAsia"/>
          <w:color w:val="auto"/>
        </w:rPr>
        <w:t>时</w:t>
      </w:r>
      <w:r>
        <w:rPr>
          <w:rFonts w:hint="eastAsia"/>
          <w:color w:val="auto"/>
          <w:lang w:val="en-US" w:eastAsia="zh-CN"/>
        </w:rPr>
        <w:t>00</w:t>
      </w:r>
      <w:r>
        <w:rPr>
          <w:rFonts w:hint="eastAsia"/>
          <w:color w:val="auto"/>
        </w:rPr>
        <w:t>分止。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eastAsia="宋体"/>
          <w:color w:val="auto"/>
          <w:lang w:val="en-US" w:eastAsia="zh-CN"/>
        </w:rPr>
      </w:pPr>
      <w:r>
        <w:rPr>
          <w:color w:val="auto"/>
        </w:rPr>
        <w:t>2.</w:t>
      </w:r>
      <w:r>
        <w:rPr>
          <w:rFonts w:hint="eastAsia"/>
          <w:color w:val="auto"/>
          <w:lang w:val="en-US" w:eastAsia="zh-CN"/>
        </w:rPr>
        <w:t>地点：政采云平台（https://www.zcygov.cn/）</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color w:val="auto"/>
          <w:lang w:val="en-US" w:eastAsia="zh-CN"/>
        </w:rPr>
        <w:t>3.</w:t>
      </w:r>
      <w:r>
        <w:rPr>
          <w:rFonts w:hint="eastAsia"/>
          <w:color w:val="auto"/>
        </w:rPr>
        <w:t>方式：本项目由</w:t>
      </w:r>
      <w:r>
        <w:rPr>
          <w:rFonts w:hint="eastAsia"/>
          <w:color w:val="auto"/>
          <w:lang w:val="en-US" w:eastAsia="zh-CN"/>
        </w:rPr>
        <w:t>潜在供应商</w:t>
      </w:r>
      <w:r>
        <w:rPr>
          <w:rFonts w:hint="eastAsia"/>
          <w:color w:val="auto"/>
        </w:rPr>
        <w:t>登陆政采云平台（</w:t>
      </w:r>
      <w:r>
        <w:rPr>
          <w:rFonts w:hint="eastAsia"/>
          <w:color w:val="auto"/>
        </w:rPr>
        <w:fldChar w:fldCharType="begin"/>
      </w:r>
      <w:r>
        <w:rPr>
          <w:rFonts w:hint="eastAsia"/>
          <w:color w:val="auto"/>
        </w:rPr>
        <w:instrText xml:space="preserve"> HYPERLINK "https://www.zcygov.cn/" </w:instrText>
      </w:r>
      <w:r>
        <w:rPr>
          <w:rFonts w:hint="eastAsia"/>
          <w:color w:val="auto"/>
        </w:rPr>
        <w:fldChar w:fldCharType="separate"/>
      </w:r>
      <w:r>
        <w:rPr>
          <w:rFonts w:hint="eastAsia"/>
          <w:color w:val="auto"/>
        </w:rPr>
        <w:t>https://www.zcygov.cn/</w:t>
      </w:r>
      <w:r>
        <w:rPr>
          <w:rFonts w:hint="eastAsia"/>
          <w:color w:val="auto"/>
        </w:rPr>
        <w:fldChar w:fldCharType="end"/>
      </w:r>
      <w:r>
        <w:rPr>
          <w:rFonts w:hint="eastAsia"/>
          <w:color w:val="auto"/>
        </w:rPr>
        <w:t>）下载</w:t>
      </w:r>
      <w:r>
        <w:rPr>
          <w:rFonts w:hint="eastAsia"/>
          <w:color w:val="auto"/>
          <w:lang w:val="en-US" w:eastAsia="zh-CN"/>
        </w:rPr>
        <w:t>竞争性谈判采购条件书</w:t>
      </w:r>
      <w:r>
        <w:rPr>
          <w:rFonts w:hint="eastAsia"/>
          <w:color w:val="auto"/>
        </w:rPr>
        <w:t>电子版，并根据</w:t>
      </w:r>
      <w:r>
        <w:rPr>
          <w:rFonts w:hint="eastAsia"/>
          <w:color w:val="auto"/>
          <w:lang w:val="en-US" w:eastAsia="zh-CN"/>
        </w:rPr>
        <w:t>竞争性谈判采购条件书</w:t>
      </w:r>
      <w:r>
        <w:rPr>
          <w:rFonts w:hint="eastAsia"/>
          <w:color w:val="auto"/>
        </w:rPr>
        <w:t>规定的</w:t>
      </w:r>
      <w:r>
        <w:rPr>
          <w:rFonts w:hint="eastAsia"/>
          <w:color w:val="auto"/>
          <w:lang w:val="en-US" w:eastAsia="zh-CN"/>
        </w:rPr>
        <w:t>响应文件</w:t>
      </w:r>
      <w:r>
        <w:rPr>
          <w:rFonts w:hint="eastAsia"/>
          <w:color w:val="auto"/>
        </w:rPr>
        <w:t>递交截止时间和地点提交</w:t>
      </w:r>
      <w:r>
        <w:rPr>
          <w:rFonts w:hint="eastAsia"/>
          <w:color w:val="auto"/>
          <w:lang w:val="en-US" w:eastAsia="zh-CN"/>
        </w:rPr>
        <w:t>响应</w:t>
      </w:r>
      <w:r>
        <w:rPr>
          <w:rFonts w:hint="eastAsia"/>
          <w:color w:val="auto"/>
        </w:rPr>
        <w:t>文件。未注册的供应商可登录政采云平台进行注册（政采云平台-商家入驻-注册），如在操作过程中遇到问题或者需要技术支持，请致电政采云客服热线：400-881-7190。供应商未按以上时间、方式获取本项目</w:t>
      </w:r>
      <w:r>
        <w:rPr>
          <w:rFonts w:hint="eastAsia"/>
          <w:color w:val="auto"/>
          <w:lang w:val="en-US" w:eastAsia="zh-CN"/>
        </w:rPr>
        <w:t>竞争性谈判采购条件书</w:t>
      </w:r>
      <w:r>
        <w:rPr>
          <w:rFonts w:hint="eastAsia"/>
          <w:color w:val="auto"/>
        </w:rPr>
        <w:t>的，本公司将拒收其</w:t>
      </w:r>
      <w:r>
        <w:rPr>
          <w:rFonts w:hint="eastAsia"/>
          <w:color w:val="auto"/>
          <w:lang w:val="en-US" w:eastAsia="zh-CN"/>
        </w:rPr>
        <w:t>响应</w:t>
      </w:r>
      <w:r>
        <w:rPr>
          <w:rFonts w:hint="eastAsia"/>
          <w:color w:val="auto"/>
        </w:rPr>
        <w:t>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r>
        <w:rPr>
          <w:rFonts w:hint="eastAsia"/>
          <w:b/>
          <w:bCs/>
          <w:color w:val="auto"/>
        </w:rPr>
        <w:t>四、响应文件提交</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截止时间：</w:t>
      </w:r>
      <w:r>
        <w:rPr>
          <w:rFonts w:hint="eastAsia" w:ascii="宋体" w:hAnsi="宋体" w:cs="宋体"/>
          <w:color w:val="auto"/>
          <w:szCs w:val="21"/>
          <w:lang w:eastAsia="zh-CN"/>
        </w:rPr>
        <w:t>2020年10月15日9点30分整</w:t>
      </w:r>
      <w:r>
        <w:rPr>
          <w:rFonts w:hint="eastAsia"/>
          <w:color w:val="auto"/>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地点：防城港市公共资源交易中心（防城港市迎宾路红树林大厦东塔）（具体开标厅根据防城港市公共资源交易中心网站公示或防城港市迎宾路红树林大厦东塔6楼电子屏幕显示的安排）</w:t>
      </w:r>
    </w:p>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供应商的法定代表人或委托代理人必须持有效证件在响应文件提交截止时间前，将响应文件密封送达响应文件提交地点。在响应文件提交截止时间后送达的响应文件为无效文件，采购代理机构应当拒收。</w:t>
      </w:r>
      <w:bookmarkStart w:id="139" w:name="_GoBack"/>
      <w:bookmarkEnd w:id="139"/>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20" w:name="_Toc28359016"/>
      <w:bookmarkStart w:id="21" w:name="_Toc35393633"/>
      <w:bookmarkStart w:id="22" w:name="_Toc28359093"/>
      <w:bookmarkStart w:id="23" w:name="_Toc35393802"/>
      <w:r>
        <w:rPr>
          <w:rFonts w:hint="eastAsia"/>
          <w:b/>
          <w:bCs/>
          <w:color w:val="auto"/>
        </w:rPr>
        <w:t>五、开启</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时间：</w:t>
      </w:r>
      <w:r>
        <w:rPr>
          <w:rFonts w:hint="eastAsia" w:ascii="宋体" w:hAnsi="宋体" w:cs="宋体"/>
          <w:color w:val="auto"/>
          <w:szCs w:val="21"/>
          <w:lang w:eastAsia="zh-CN"/>
        </w:rPr>
        <w:t>2020年10月15日9点30分整</w:t>
      </w:r>
      <w:r>
        <w:rPr>
          <w:rFonts w:hint="eastAsia"/>
          <w:color w:val="auto"/>
        </w:rPr>
        <w:t>（北京时间），响应文件递交截止时间后为与供应商</w:t>
      </w:r>
      <w:r>
        <w:rPr>
          <w:rFonts w:hint="eastAsia"/>
          <w:color w:val="auto"/>
          <w:lang w:eastAsia="zh-CN"/>
        </w:rPr>
        <w:t>谈判</w:t>
      </w:r>
      <w:r>
        <w:rPr>
          <w:rFonts w:hint="eastAsia"/>
          <w:color w:val="auto"/>
        </w:rPr>
        <w:t>时间，具体时间由采购代理机构另行通知。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地点：防城港市公共资源交易中心（防城港市迎宾路红树林大厦东塔）。参加</w:t>
      </w:r>
      <w:r>
        <w:rPr>
          <w:rFonts w:hint="eastAsia"/>
          <w:color w:val="auto"/>
          <w:lang w:eastAsia="zh-CN"/>
        </w:rPr>
        <w:t>谈判</w:t>
      </w:r>
      <w:r>
        <w:rPr>
          <w:rFonts w:hint="eastAsia"/>
          <w:color w:val="auto"/>
        </w:rPr>
        <w:t>的法定代表人或委托代理人必须持有效证件（法定代表人凭法定代表人身份证明和身份证原件或委托代理人凭法人授权委托书原件和身份证原件）依时到达指定地点等候当面</w:t>
      </w:r>
      <w:r>
        <w:rPr>
          <w:rFonts w:hint="eastAsia"/>
          <w:color w:val="auto"/>
          <w:lang w:eastAsia="zh-CN"/>
        </w:rPr>
        <w:t>谈判</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24" w:name="_Toc28359094"/>
      <w:bookmarkStart w:id="25" w:name="_Toc35393803"/>
      <w:bookmarkStart w:id="26" w:name="_Toc35393634"/>
      <w:bookmarkStart w:id="27" w:name="_Toc28359017"/>
      <w:r>
        <w:rPr>
          <w:rFonts w:hint="eastAsia"/>
          <w:b/>
          <w:bCs/>
          <w:color w:val="auto"/>
        </w:rPr>
        <w:t>六、公告期限</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22" w:firstLineChars="200"/>
        <w:textAlignment w:val="auto"/>
        <w:rPr>
          <w:rFonts w:ascii="宋体" w:hAnsi="宋体" w:cs="宋体"/>
          <w:color w:val="auto"/>
          <w:szCs w:val="21"/>
        </w:rPr>
      </w:pPr>
      <w:bookmarkStart w:id="28" w:name="_Toc35393804"/>
      <w:bookmarkStart w:id="29" w:name="_Toc35393635"/>
      <w:r>
        <w:rPr>
          <w:rFonts w:hint="eastAsia" w:ascii="宋体" w:hAnsi="宋体" w:cs="宋体"/>
          <w:b/>
          <w:bCs/>
          <w:color w:val="auto"/>
          <w:szCs w:val="21"/>
        </w:rPr>
        <w:t>其他补充事宜</w:t>
      </w:r>
      <w:bookmarkEnd w:id="28"/>
      <w:bookmarkEnd w:id="29"/>
      <w:r>
        <w:rPr>
          <w:rFonts w:hint="eastAsia" w:ascii="宋体" w:hAnsi="宋体" w:cs="宋体"/>
          <w:b/>
          <w:bCs/>
          <w:color w:val="auto"/>
          <w:szCs w:val="21"/>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1.本项目需要落实的政府采购政策：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1）政府采购促进中小企业发展。</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2）政府采购支持采用本国产品的政策。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3）支持监狱企业发展政策。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4)政府采购促进残疾人就业政策。</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2.网上公告媒体查询：</w:t>
      </w:r>
      <w:r>
        <w:rPr>
          <w:rFonts w:hint="eastAsia" w:ascii="宋体" w:hAnsi="宋体" w:eastAsia="宋体" w:cs="宋体"/>
          <w:b w:val="0"/>
          <w:color w:val="auto"/>
          <w:sz w:val="21"/>
          <w:szCs w:val="21"/>
          <w:lang w:val="en-US" w:eastAsia="zh-CN"/>
        </w:rPr>
        <w:t>中国政府采购网（http://www.ccgp.gov.cn）、广西壮族自治区政府采购网（http://www.gxzfcg.gov.cn）、广西防城港港口区人民政府门户网站（</w:t>
      </w:r>
      <w:r>
        <w:rPr>
          <w:rFonts w:hint="eastAsia" w:ascii="宋体" w:hAnsi="宋体" w:eastAsia="宋体" w:cs="宋体"/>
          <w:b w:val="0"/>
          <w:color w:val="auto"/>
          <w:sz w:val="21"/>
          <w:szCs w:val="21"/>
          <w:lang w:val="en-US" w:eastAsia="zh-CN"/>
        </w:rPr>
        <w:fldChar w:fldCharType="begin"/>
      </w:r>
      <w:r>
        <w:rPr>
          <w:rFonts w:hint="eastAsia" w:ascii="宋体" w:hAnsi="宋体" w:eastAsia="宋体" w:cs="宋体"/>
          <w:b w:val="0"/>
          <w:color w:val="auto"/>
          <w:sz w:val="21"/>
          <w:szCs w:val="21"/>
          <w:lang w:val="en-US" w:eastAsia="zh-CN"/>
        </w:rPr>
        <w:instrText xml:space="preserve"> HYPERLINK "http://www.gkq.gov.cn/" \t "https://web.qun.qq.com/announce/_blank" </w:instrText>
      </w:r>
      <w:r>
        <w:rPr>
          <w:rFonts w:hint="eastAsia" w:ascii="宋体" w:hAnsi="宋体" w:eastAsia="宋体" w:cs="宋体"/>
          <w:b w:val="0"/>
          <w:color w:val="auto"/>
          <w:sz w:val="21"/>
          <w:szCs w:val="21"/>
          <w:lang w:val="en-US" w:eastAsia="zh-CN"/>
        </w:rPr>
        <w:fldChar w:fldCharType="separate"/>
      </w:r>
      <w:r>
        <w:rPr>
          <w:rFonts w:hint="eastAsia" w:ascii="宋体" w:hAnsi="宋体" w:eastAsia="宋体" w:cs="宋体"/>
          <w:b w:val="0"/>
          <w:color w:val="auto"/>
          <w:sz w:val="21"/>
          <w:szCs w:val="21"/>
          <w:lang w:val="en-US" w:eastAsia="zh-CN"/>
        </w:rPr>
        <w:t>http://www.gkq.gov.cn</w:t>
      </w:r>
      <w:r>
        <w:rPr>
          <w:rFonts w:hint="eastAsia" w:ascii="宋体" w:hAnsi="宋体" w:eastAsia="宋体" w:cs="宋体"/>
          <w:b w:val="0"/>
          <w:color w:val="auto"/>
          <w:sz w:val="21"/>
          <w:szCs w:val="21"/>
          <w:lang w:val="en-US" w:eastAsia="zh-CN"/>
        </w:rPr>
        <w:fldChar w:fldCharType="end"/>
      </w:r>
      <w:r>
        <w:rPr>
          <w:rFonts w:hint="eastAsia" w:ascii="宋体" w:hAnsi="宋体" w:eastAsia="宋体" w:cs="宋体"/>
          <w:b w:val="0"/>
          <w:color w:val="auto"/>
          <w:sz w:val="21"/>
          <w:szCs w:val="21"/>
          <w:lang w:val="en-US" w:eastAsia="zh-CN"/>
        </w:rPr>
        <w:t>）、防城港市公共资源交易中心网（http://www.fcgggzy.cn）。</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color w:val="auto"/>
        </w:rPr>
      </w:pPr>
      <w:bookmarkStart w:id="30" w:name="_Toc28359018"/>
      <w:bookmarkStart w:id="31" w:name="_Toc35393636"/>
      <w:bookmarkStart w:id="32" w:name="_Toc35393805"/>
      <w:bookmarkStart w:id="33" w:name="_Toc28359095"/>
      <w:r>
        <w:rPr>
          <w:rFonts w:hint="eastAsia"/>
          <w:b/>
          <w:bCs/>
          <w:color w:val="auto"/>
        </w:rPr>
        <w:t>八、凡对本次采购提出询问，请按以下方式联系。</w:t>
      </w:r>
      <w:bookmarkEnd w:id="30"/>
      <w:bookmarkEnd w:id="31"/>
      <w:bookmarkEnd w:id="32"/>
      <w:bookmarkEnd w:id="33"/>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1、采购单位：防城港市港口区渔洲坪社区卫生中心；</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采购人联系人：</w:t>
      </w:r>
      <w:r>
        <w:rPr>
          <w:rFonts w:hint="eastAsia" w:ascii="宋体" w:hAnsi="宋体" w:eastAsia="宋体" w:cs="宋体"/>
          <w:b w:val="0"/>
          <w:color w:val="auto"/>
          <w:sz w:val="21"/>
          <w:szCs w:val="21"/>
          <w:lang w:eastAsia="zh-CN"/>
        </w:rPr>
        <w:t>杜天燕</w:t>
      </w:r>
      <w:r>
        <w:rPr>
          <w:rFonts w:hint="eastAsia" w:ascii="宋体" w:hAnsi="宋体" w:eastAsia="宋体" w:cs="宋体"/>
          <w:b w:val="0"/>
          <w:color w:val="auto"/>
          <w:sz w:val="21"/>
          <w:szCs w:val="21"/>
        </w:rPr>
        <w:t>；联系电话：</w:t>
      </w:r>
      <w:r>
        <w:rPr>
          <w:rFonts w:hint="eastAsia" w:ascii="宋体" w:hAnsi="宋体" w:eastAsia="宋体" w:cs="宋体"/>
          <w:b w:val="0"/>
          <w:color w:val="auto"/>
          <w:sz w:val="21"/>
          <w:szCs w:val="21"/>
          <w:lang w:val="en-US" w:eastAsia="zh-CN"/>
        </w:rPr>
        <w:t xml:space="preserve">0770-2861553 </w:t>
      </w:r>
      <w:r>
        <w:rPr>
          <w:rFonts w:hint="eastAsia" w:ascii="宋体" w:hAnsi="宋体" w:eastAsia="宋体" w:cs="宋体"/>
          <w:b w:val="0"/>
          <w:color w:val="auto"/>
          <w:sz w:val="21"/>
          <w:szCs w:val="21"/>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采购单位地址：</w:t>
      </w:r>
      <w:r>
        <w:rPr>
          <w:rFonts w:hint="eastAsia" w:ascii="宋体" w:hAnsi="宋体" w:eastAsia="宋体" w:cs="宋体"/>
          <w:b w:val="0"/>
          <w:color w:val="auto"/>
          <w:sz w:val="21"/>
          <w:szCs w:val="21"/>
          <w:lang w:eastAsia="zh-CN"/>
        </w:rPr>
        <w:t>防城港市港口区渔洲坪街道龙山南路。</w:t>
      </w:r>
      <w:r>
        <w:rPr>
          <w:rFonts w:hint="eastAsia" w:ascii="宋体" w:hAnsi="宋体" w:eastAsia="宋体" w:cs="宋体"/>
          <w:b w:val="0"/>
          <w:color w:val="auto"/>
          <w:sz w:val="21"/>
          <w:szCs w:val="21"/>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2、采购代理机构：广西科联招标中心有限公司；</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项目联系人：梁莉萍；联系电话：0770-2821504；传真：0770-2831062；</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地址: 防城港市港口区桃花湾广场珍珠路6号桂海东盟新城9＃（H栋）605号房</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ascii="宋体" w:hAnsi="宋体" w:eastAsia="宋体" w:cs="宋体"/>
          <w:b w:val="0"/>
          <w:color w:val="auto"/>
          <w:sz w:val="21"/>
          <w:szCs w:val="21"/>
        </w:rPr>
        <w:t>3、监督部门:</w:t>
      </w:r>
      <w:r>
        <w:rPr>
          <w:rFonts w:hint="eastAsia" w:ascii="宋体" w:hAnsi="宋体" w:eastAsia="宋体" w:cs="宋体"/>
          <w:b w:val="0"/>
          <w:color w:val="auto"/>
          <w:sz w:val="21"/>
          <w:szCs w:val="21"/>
          <w:lang w:val="en-US" w:eastAsia="zh-CN"/>
        </w:rPr>
        <w:t>防城港市港口区政府采购管理办公室；电话：0770-6106362</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采购人：防城港市港口区渔洲坪社区卫生中心    </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采购代理机构：广西科联招标中心有限公司</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2020年</w:t>
      </w:r>
      <w:r>
        <w:rPr>
          <w:rFonts w:hint="eastAsia" w:ascii="宋体" w:hAnsi="宋体" w:cs="宋体"/>
          <w:b w:val="0"/>
          <w:color w:val="auto"/>
          <w:sz w:val="21"/>
          <w:szCs w:val="21"/>
          <w:lang w:val="en-US" w:eastAsia="zh-CN"/>
        </w:rPr>
        <w:t>10</w:t>
      </w:r>
      <w:r>
        <w:rPr>
          <w:rFonts w:hint="eastAsia" w:ascii="宋体" w:hAnsi="宋体" w:eastAsia="宋体" w:cs="宋体"/>
          <w:b w:val="0"/>
          <w:color w:val="auto"/>
          <w:sz w:val="21"/>
          <w:szCs w:val="21"/>
          <w:lang w:val="en-US" w:eastAsia="zh-CN"/>
        </w:rPr>
        <w:t>月</w:t>
      </w:r>
      <w:r>
        <w:rPr>
          <w:rFonts w:hint="eastAsia" w:ascii="宋体" w:hAnsi="宋体" w:cs="宋体"/>
          <w:b w:val="0"/>
          <w:color w:val="auto"/>
          <w:sz w:val="21"/>
          <w:szCs w:val="21"/>
          <w:lang w:val="en-US" w:eastAsia="zh-CN"/>
        </w:rPr>
        <w:t>10</w:t>
      </w:r>
      <w:r>
        <w:rPr>
          <w:rFonts w:hint="eastAsia" w:ascii="宋体" w:hAnsi="宋体" w:eastAsia="宋体" w:cs="宋体"/>
          <w:b w:val="0"/>
          <w:color w:val="auto"/>
          <w:sz w:val="21"/>
          <w:szCs w:val="21"/>
          <w:lang w:val="en-US" w:eastAsia="zh-CN"/>
        </w:rPr>
        <w:t>日</w:t>
      </w:r>
    </w:p>
    <w:p>
      <w:pPr>
        <w:pStyle w:val="13"/>
        <w:jc w:val="right"/>
        <w:rPr>
          <w:rFonts w:hint="eastAsia" w:ascii="宋体" w:hAnsi="宋体" w:cs="宋体"/>
          <w:color w:val="auto"/>
          <w:kern w:val="2"/>
          <w:sz w:val="22"/>
          <w:szCs w:val="22"/>
          <w:lang w:val="en-US" w:eastAsia="zh-CN" w:bidi="ar-SA"/>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jc w:val="both"/>
        <w:rPr>
          <w:rFonts w:hint="eastAsia" w:ascii="宋体" w:hAnsi="宋体" w:cs="宋体"/>
          <w:color w:val="auto"/>
        </w:rPr>
      </w:pPr>
    </w:p>
    <w:p>
      <w:pPr>
        <w:pStyle w:val="21"/>
        <w:spacing w:line="400" w:lineRule="exact"/>
        <w:rPr>
          <w:rFonts w:hint="eastAsia" w:ascii="宋体" w:hAnsi="宋体" w:cs="宋体"/>
          <w:color w:val="auto"/>
        </w:rPr>
      </w:pPr>
      <w:r>
        <w:rPr>
          <w:rFonts w:hint="eastAsia" w:ascii="宋体" w:hAnsi="宋体" w:cs="宋体"/>
          <w:color w:val="auto"/>
        </w:rPr>
        <w:t>第二章 供应商须知及前附表</w:t>
      </w:r>
      <w:bookmarkEnd w:id="3"/>
    </w:p>
    <w:p>
      <w:pPr>
        <w:pStyle w:val="21"/>
        <w:spacing w:line="400" w:lineRule="exact"/>
        <w:rPr>
          <w:rFonts w:hint="eastAsia" w:ascii="宋体" w:hAnsi="宋体" w:cs="宋体"/>
          <w:b w:val="0"/>
          <w:color w:val="auto"/>
        </w:rPr>
      </w:pPr>
      <w:bookmarkStart w:id="34" w:name="_Toc327975572"/>
      <w:r>
        <w:rPr>
          <w:rFonts w:hint="eastAsia" w:ascii="宋体" w:hAnsi="宋体" w:cs="宋体"/>
          <w:color w:val="auto"/>
        </w:rPr>
        <w:t>供应商须知前附表</w:t>
      </w:r>
      <w:bookmarkEnd w:id="34"/>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11"/>
        <w:gridCol w:w="7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911"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条款号</w:t>
            </w:r>
          </w:p>
        </w:tc>
        <w:tc>
          <w:tcPr>
            <w:tcW w:w="7560"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u w:val="single"/>
              </w:rPr>
            </w:pPr>
            <w:r>
              <w:rPr>
                <w:rFonts w:hint="eastAsia" w:ascii="宋体" w:hAnsi="宋体" w:cs="宋体"/>
                <w:b/>
                <w:color w:val="auto"/>
                <w:sz w:val="22"/>
                <w:szCs w:val="22"/>
              </w:rPr>
              <w:t>项目名称</w:t>
            </w:r>
            <w:r>
              <w:rPr>
                <w:rFonts w:hint="eastAsia" w:ascii="宋体" w:hAnsi="宋体" w:cs="宋体"/>
                <w:color w:val="auto"/>
                <w:sz w:val="22"/>
                <w:szCs w:val="22"/>
              </w:rPr>
              <w:t>：</w:t>
            </w:r>
            <w:r>
              <w:rPr>
                <w:rFonts w:hint="eastAsia" w:ascii="宋体" w:hAnsi="宋体" w:cs="宋体"/>
                <w:color w:val="auto"/>
                <w:sz w:val="22"/>
                <w:szCs w:val="22"/>
                <w:lang w:eastAsia="zh-CN"/>
              </w:rPr>
              <w:t>渔洲坪社区卫生服务中心发热门诊设备采购</w:t>
            </w:r>
          </w:p>
          <w:p>
            <w:pPr>
              <w:spacing w:line="400" w:lineRule="exact"/>
              <w:rPr>
                <w:rFonts w:hint="eastAsia" w:ascii="宋体" w:hAnsi="宋体" w:eastAsia="宋体" w:cs="宋体"/>
                <w:color w:val="auto"/>
                <w:sz w:val="22"/>
                <w:szCs w:val="22"/>
                <w:lang w:eastAsia="zh-CN"/>
              </w:rPr>
            </w:pPr>
            <w:r>
              <w:rPr>
                <w:rFonts w:hint="eastAsia" w:ascii="宋体" w:hAnsi="宋体" w:cs="宋体"/>
                <w:b/>
                <w:color w:val="auto"/>
                <w:sz w:val="22"/>
                <w:szCs w:val="22"/>
              </w:rPr>
              <w:t>项目编号</w:t>
            </w:r>
            <w:r>
              <w:rPr>
                <w:rFonts w:hint="eastAsia" w:ascii="宋体" w:hAnsi="宋体" w:cs="宋体"/>
                <w:color w:val="auto"/>
                <w:sz w:val="22"/>
                <w:szCs w:val="22"/>
              </w:rPr>
              <w:t>：</w:t>
            </w:r>
            <w:r>
              <w:rPr>
                <w:rFonts w:hint="eastAsia" w:ascii="宋体" w:hAnsi="宋体" w:cs="宋体"/>
                <w:color w:val="auto"/>
                <w:kern w:val="0"/>
                <w:sz w:val="22"/>
                <w:szCs w:val="22"/>
                <w:lang w:eastAsia="zh-CN"/>
              </w:rPr>
              <w:t>FCZC2020-J1-20004-KLZB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3.1</w:t>
            </w:r>
          </w:p>
        </w:tc>
        <w:tc>
          <w:tcPr>
            <w:tcW w:w="7560"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b/>
                <w:color w:val="auto"/>
                <w:sz w:val="22"/>
                <w:szCs w:val="22"/>
              </w:rPr>
              <w:t>供应商资格及要求</w:t>
            </w:r>
            <w:r>
              <w:rPr>
                <w:rFonts w:hint="eastAsia" w:ascii="宋体" w:hAnsi="宋体" w:cs="宋体"/>
                <w:color w:val="auto"/>
                <w:sz w:val="22"/>
                <w:szCs w:val="22"/>
              </w:rPr>
              <w:t>：</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1.满足《中华人民共和国政府采购法》第二十二条规定；</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2.落实政府采购政策需满足的资格要求：无；</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5.本项目的特定资格要求：供应商必须具有行业主管部门颁发的有效的《中华人民共和国医疗器械经营企业许可证》或《中华人民共和国医疗器械生产企业许可证》或《二类医疗器械经营备案凭证》。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16．1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谈判报价</w:t>
            </w:r>
            <w:r>
              <w:rPr>
                <w:rFonts w:hint="eastAsia" w:ascii="宋体" w:hAnsi="宋体" w:cs="宋体"/>
                <w:color w:val="auto"/>
                <w:sz w:val="22"/>
                <w:szCs w:val="22"/>
              </w:rPr>
              <w:t>：供应商必须就“项目需求”中的货物及服务内容作完整唯一报价，否则，其谈判将被拒绝。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17.1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响应文件有效期：谈判截止日期之日起45日历天。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18.1</w:t>
            </w:r>
          </w:p>
        </w:tc>
        <w:tc>
          <w:tcPr>
            <w:tcW w:w="7560" w:type="dxa"/>
            <w:noWrap w:val="0"/>
            <w:vAlign w:val="center"/>
          </w:tcPr>
          <w:p>
            <w:pPr>
              <w:spacing w:line="400" w:lineRule="exact"/>
              <w:rPr>
                <w:rFonts w:hint="eastAsia" w:ascii="宋体" w:hAnsi="宋体" w:eastAsia="宋体" w:cs="宋体"/>
                <w:color w:val="auto"/>
                <w:sz w:val="22"/>
                <w:szCs w:val="22"/>
                <w:lang w:val="en-US" w:eastAsia="zh-CN"/>
              </w:rPr>
            </w:pPr>
            <w:r>
              <w:rPr>
                <w:rFonts w:hint="eastAsia" w:hAnsi="宋体" w:cs="宋体"/>
                <w:b/>
                <w:color w:val="auto"/>
                <w:sz w:val="22"/>
                <w:szCs w:val="22"/>
              </w:rPr>
              <w:t>谈判保证金</w:t>
            </w:r>
            <w:r>
              <w:rPr>
                <w:rFonts w:hint="eastAsia" w:hAnsi="宋体" w:cs="宋体"/>
                <w:color w:val="auto"/>
                <w:sz w:val="22"/>
                <w:szCs w:val="22"/>
              </w:rPr>
              <w:t>：</w:t>
            </w:r>
            <w:r>
              <w:rPr>
                <w:rFonts w:hint="eastAsia" w:hAnsi="宋体" w:cs="宋体"/>
                <w:color w:val="auto"/>
                <w:sz w:val="22"/>
                <w:szCs w:val="22"/>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19.1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竞争性谈判响应文件份数</w:t>
            </w:r>
            <w:r>
              <w:rPr>
                <w:rFonts w:hint="eastAsia" w:ascii="宋体" w:hAnsi="宋体" w:cs="宋体"/>
                <w:color w:val="auto"/>
                <w:sz w:val="22"/>
                <w:szCs w:val="22"/>
              </w:rPr>
              <w:t>：正本壹份，副本肆份。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7</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20.1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竞争性谈判响应文件递交截止时间</w:t>
            </w:r>
            <w:r>
              <w:rPr>
                <w:rFonts w:hint="eastAsia" w:ascii="宋体" w:hAnsi="宋体" w:cs="宋体"/>
                <w:color w:val="auto"/>
                <w:sz w:val="22"/>
                <w:szCs w:val="22"/>
              </w:rPr>
              <w:t>：</w:t>
            </w:r>
            <w:r>
              <w:rPr>
                <w:rFonts w:hint="eastAsia" w:ascii="宋体" w:hAnsi="宋体" w:cs="宋体"/>
                <w:color w:val="auto"/>
                <w:sz w:val="22"/>
                <w:szCs w:val="22"/>
                <w:lang w:eastAsia="zh-CN"/>
              </w:rPr>
              <w:t>2020年10月15日9点30分整</w:t>
            </w:r>
            <w:r>
              <w:rPr>
                <w:rFonts w:hint="eastAsia" w:ascii="宋体" w:hAnsi="宋体" w:cs="宋体"/>
                <w:color w:val="auto"/>
                <w:sz w:val="22"/>
                <w:szCs w:val="22"/>
              </w:rPr>
              <w:t>。</w:t>
            </w:r>
          </w:p>
          <w:p>
            <w:pPr>
              <w:spacing w:line="400" w:lineRule="exact"/>
              <w:rPr>
                <w:rFonts w:hint="eastAsia" w:ascii="宋体" w:hAnsi="宋体" w:cs="宋体"/>
                <w:color w:val="auto"/>
                <w:sz w:val="22"/>
                <w:szCs w:val="22"/>
              </w:rPr>
            </w:pPr>
            <w:r>
              <w:rPr>
                <w:rFonts w:hint="eastAsia" w:ascii="宋体" w:hAnsi="宋体" w:cs="宋体"/>
                <w:color w:val="auto"/>
                <w:sz w:val="22"/>
                <w:szCs w:val="22"/>
              </w:rPr>
              <w:t xml:space="preserve">地址：防城港市公共资源交易中心开标厅（防城港市迎宾路红树林大厦东塔）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8</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22.1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谈判时间</w:t>
            </w:r>
            <w:r>
              <w:rPr>
                <w:rFonts w:hint="eastAsia" w:ascii="宋体" w:hAnsi="宋体" w:cs="宋体"/>
                <w:color w:val="auto"/>
                <w:sz w:val="22"/>
                <w:szCs w:val="22"/>
              </w:rPr>
              <w:t>：</w:t>
            </w:r>
            <w:r>
              <w:rPr>
                <w:rFonts w:hint="eastAsia" w:ascii="宋体" w:hAnsi="宋体" w:cs="宋体"/>
                <w:color w:val="auto"/>
                <w:sz w:val="22"/>
                <w:szCs w:val="22"/>
                <w:lang w:eastAsia="zh-CN"/>
              </w:rPr>
              <w:t>2020年10月15日9点30分整</w:t>
            </w:r>
            <w:r>
              <w:rPr>
                <w:rFonts w:hint="eastAsia" w:ascii="宋体" w:hAnsi="宋体" w:cs="宋体"/>
                <w:color w:val="auto"/>
                <w:sz w:val="22"/>
                <w:szCs w:val="22"/>
              </w:rPr>
              <w:t>截标后（具体时间由采购代理机构另行通知）。</w:t>
            </w:r>
          </w:p>
          <w:p>
            <w:pPr>
              <w:spacing w:line="400" w:lineRule="exact"/>
              <w:rPr>
                <w:rFonts w:hint="eastAsia" w:ascii="宋体" w:hAnsi="宋体" w:cs="宋体"/>
                <w:color w:val="auto"/>
                <w:sz w:val="22"/>
                <w:szCs w:val="22"/>
              </w:rPr>
            </w:pPr>
            <w:r>
              <w:rPr>
                <w:rFonts w:hint="eastAsia" w:ascii="宋体" w:hAnsi="宋体" w:cs="宋体"/>
                <w:color w:val="auto"/>
                <w:sz w:val="22"/>
                <w:szCs w:val="22"/>
              </w:rPr>
              <w:t xml:space="preserve">谈判地点：防城港市公共资源交易中心评标室（防城港市迎宾路红树林大厦东塔）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9</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31.1</w:t>
            </w:r>
          </w:p>
        </w:tc>
        <w:tc>
          <w:tcPr>
            <w:tcW w:w="7560" w:type="dxa"/>
            <w:noWrap w:val="0"/>
            <w:vAlign w:val="center"/>
          </w:tcPr>
          <w:p>
            <w:pPr>
              <w:pStyle w:val="13"/>
              <w:spacing w:line="420" w:lineRule="exact"/>
              <w:rPr>
                <w:rFonts w:hint="eastAsia" w:hAnsi="宋体" w:eastAsia="宋体" w:cs="宋体"/>
                <w:color w:val="auto"/>
                <w:sz w:val="22"/>
                <w:szCs w:val="22"/>
                <w:lang w:val="en-US" w:eastAsia="zh-CN"/>
              </w:rPr>
            </w:pPr>
            <w:r>
              <w:rPr>
                <w:rFonts w:hint="eastAsia" w:ascii="宋体" w:hAnsi="宋体" w:cs="宋体"/>
                <w:b/>
                <w:color w:val="auto"/>
                <w:sz w:val="22"/>
                <w:szCs w:val="22"/>
              </w:rPr>
              <w:t>履约保证金的收取</w:t>
            </w:r>
            <w:r>
              <w:rPr>
                <w:rFonts w:hint="eastAsia" w:ascii="宋体" w:hAnsi="宋体" w:cs="宋体"/>
                <w:color w:val="auto"/>
                <w:sz w:val="22"/>
                <w:szCs w:val="22"/>
              </w:rPr>
              <w:t>:</w:t>
            </w:r>
            <w:r>
              <w:rPr>
                <w:rFonts w:hint="eastAsia" w:hAnsi="宋体" w:cs="宋体"/>
                <w:color w:val="auto"/>
                <w:sz w:val="22"/>
                <w:szCs w:val="22"/>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10</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32.1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委托代理服务费</w:t>
            </w:r>
            <w:r>
              <w:rPr>
                <w:rFonts w:hint="eastAsia" w:ascii="宋体" w:hAnsi="宋体" w:cs="宋体"/>
                <w:color w:val="auto"/>
                <w:sz w:val="22"/>
                <w:szCs w:val="22"/>
              </w:rPr>
              <w:t>：参照桂价费[2011]55号文规定的</w:t>
            </w:r>
            <w:r>
              <w:rPr>
                <w:rFonts w:hint="eastAsia" w:ascii="宋体" w:hAnsi="宋体" w:cs="宋体"/>
                <w:color w:val="auto"/>
                <w:sz w:val="22"/>
                <w:szCs w:val="22"/>
                <w:lang w:val="en-US" w:eastAsia="zh-CN"/>
              </w:rPr>
              <w:t>货物类</w:t>
            </w:r>
            <w:r>
              <w:rPr>
                <w:rFonts w:hint="eastAsia" w:ascii="宋体" w:hAnsi="宋体" w:cs="宋体"/>
                <w:color w:val="auto"/>
                <w:sz w:val="22"/>
                <w:szCs w:val="22"/>
              </w:rPr>
              <w:t>招标收费标准收取</w:t>
            </w:r>
            <w:r>
              <w:rPr>
                <w:rFonts w:hint="eastAsia" w:ascii="宋体" w:hAnsi="宋体" w:cs="宋体"/>
                <w:color w:val="auto"/>
                <w:sz w:val="22"/>
                <w:szCs w:val="22"/>
                <w:lang w:eastAsia="zh-CN"/>
              </w:rPr>
              <w:t>，不足三千元的，按三千元收取</w:t>
            </w:r>
            <w:r>
              <w:rPr>
                <w:rFonts w:hint="eastAsia" w:ascii="宋体" w:hAnsi="宋体" w:cs="宋体"/>
                <w:color w:val="auto"/>
                <w:sz w:val="22"/>
                <w:szCs w:val="22"/>
              </w:rPr>
              <w:t>，由成交供应商在签订合同前向采购代理机构一次性支付。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eastAsia="宋体" w:cs="宋体"/>
                <w:b/>
                <w:color w:val="auto"/>
                <w:sz w:val="22"/>
                <w:szCs w:val="22"/>
                <w:lang w:eastAsia="zh-CN"/>
              </w:rPr>
            </w:pPr>
            <w:r>
              <w:rPr>
                <w:rFonts w:hint="eastAsia" w:ascii="宋体" w:hAnsi="宋体" w:cs="宋体"/>
                <w:b/>
                <w:color w:val="auto"/>
                <w:sz w:val="22"/>
                <w:szCs w:val="22"/>
              </w:rPr>
              <w:t>本项目采购预算价为：</w:t>
            </w:r>
            <w:r>
              <w:rPr>
                <w:rFonts w:hint="eastAsia" w:ascii="宋体" w:hAnsi="宋体" w:cs="宋体"/>
                <w:bCs/>
                <w:color w:val="auto"/>
                <w:sz w:val="22"/>
                <w:szCs w:val="22"/>
                <w:lang w:eastAsia="zh-CN"/>
              </w:rPr>
              <w:t>人民币</w:t>
            </w:r>
            <w:r>
              <w:rPr>
                <w:rFonts w:hint="eastAsia" w:ascii="宋体" w:hAnsi="宋体" w:cs="宋体"/>
                <w:bCs/>
                <w:color w:val="auto"/>
                <w:sz w:val="22"/>
                <w:szCs w:val="22"/>
                <w:lang w:val="en-US" w:eastAsia="zh-CN"/>
              </w:rPr>
              <w:t>壹佰叁拾万元整</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1300000</w:t>
            </w:r>
            <w:r>
              <w:rPr>
                <w:rFonts w:hint="eastAsia" w:ascii="宋体" w:hAnsi="宋体" w:cs="宋体"/>
                <w:bCs/>
                <w:color w:val="auto"/>
                <w:sz w:val="22"/>
                <w:szCs w:val="22"/>
                <w:lang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12</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评标方法</w:t>
            </w:r>
            <w:r>
              <w:rPr>
                <w:rFonts w:hint="eastAsia" w:ascii="宋体" w:hAnsi="宋体" w:cs="宋体"/>
                <w:color w:val="auto"/>
                <w:sz w:val="22"/>
                <w:szCs w:val="22"/>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13</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现场踏勘、测试：无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14</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在对供应商资格审查时进行信用查询</w:t>
            </w:r>
          </w:p>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查询渠道：“信用中国”网站(www.creditchina.gov.cn)、中国政府采购网(www.ccgp.gov.cn)等</w:t>
            </w:r>
          </w:p>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查询记录和证据留存方式：通过查询网站打印</w:t>
            </w:r>
            <w:r>
              <w:rPr>
                <w:rFonts w:hint="eastAsia" w:ascii="宋体" w:hAnsi="宋体" w:cs="宋体"/>
                <w:b/>
                <w:bCs/>
                <w:color w:val="auto"/>
                <w:sz w:val="22"/>
                <w:szCs w:val="22"/>
                <w:lang w:eastAsia="zh-CN"/>
              </w:rPr>
              <w:t>供应商</w:t>
            </w:r>
            <w:r>
              <w:rPr>
                <w:rFonts w:hint="eastAsia" w:ascii="宋体" w:hAnsi="宋体" w:cs="宋体"/>
                <w:b/>
                <w:bCs/>
                <w:color w:val="auto"/>
                <w:sz w:val="22"/>
                <w:szCs w:val="22"/>
              </w:rPr>
              <w:t>查询记录，并将打印材料作为评审资料保存。</w:t>
            </w:r>
          </w:p>
          <w:p>
            <w:pPr>
              <w:spacing w:line="400" w:lineRule="exact"/>
              <w:rPr>
                <w:rFonts w:hint="eastAsia" w:ascii="宋体" w:hAnsi="宋体" w:cs="宋体"/>
                <w:color w:val="auto"/>
                <w:sz w:val="22"/>
                <w:szCs w:val="22"/>
              </w:rPr>
            </w:pPr>
            <w:r>
              <w:rPr>
                <w:rFonts w:hint="eastAsia" w:ascii="宋体" w:hAnsi="宋体" w:cs="宋体"/>
                <w:b/>
                <w:bCs/>
                <w:color w:val="auto"/>
                <w:sz w:val="22"/>
                <w:szCs w:val="22"/>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21"/>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jc w:val="both"/>
        <w:rPr>
          <w:rFonts w:hint="eastAsia" w:ascii="宋体" w:hAnsi="宋体" w:cs="宋体"/>
          <w:b w:val="0"/>
          <w:color w:val="auto"/>
        </w:rPr>
      </w:pPr>
    </w:p>
    <w:p>
      <w:pPr>
        <w:pStyle w:val="21"/>
        <w:rPr>
          <w:rFonts w:hint="eastAsia" w:ascii="宋体" w:hAnsi="宋体" w:cs="宋体"/>
          <w:b w:val="0"/>
          <w:color w:val="auto"/>
        </w:rPr>
      </w:pPr>
      <w:r>
        <w:rPr>
          <w:rFonts w:hint="eastAsia" w:ascii="宋体" w:hAnsi="宋体" w:cs="宋体"/>
          <w:b w:val="0"/>
          <w:color w:val="auto"/>
        </w:rPr>
        <w:t xml:space="preserve"> </w:t>
      </w:r>
      <w:bookmarkStart w:id="35" w:name="_Toc327975573"/>
      <w:r>
        <w:rPr>
          <w:rFonts w:hint="eastAsia" w:ascii="宋体" w:hAnsi="宋体" w:cs="宋体"/>
          <w:color w:val="auto"/>
        </w:rPr>
        <w:t>供应商须知</w:t>
      </w:r>
      <w:bookmarkEnd w:id="35"/>
    </w:p>
    <w:p>
      <w:pPr>
        <w:pStyle w:val="4"/>
        <w:spacing w:line="300" w:lineRule="exact"/>
        <w:jc w:val="center"/>
        <w:rPr>
          <w:rFonts w:hint="eastAsia" w:ascii="宋体" w:hAnsi="宋体" w:cs="宋体"/>
          <w:color w:val="auto"/>
          <w:sz w:val="22"/>
          <w:szCs w:val="22"/>
        </w:rPr>
      </w:pPr>
      <w:bookmarkStart w:id="36" w:name="_Toc327975574"/>
      <w:r>
        <w:rPr>
          <w:rFonts w:hint="eastAsia" w:ascii="宋体" w:hAnsi="宋体" w:cs="宋体"/>
          <w:color w:val="auto"/>
          <w:sz w:val="22"/>
          <w:szCs w:val="22"/>
        </w:rPr>
        <w:t>一、总　则</w:t>
      </w:r>
      <w:bookmarkEnd w:id="36"/>
    </w:p>
    <w:p>
      <w:pPr>
        <w:spacing w:line="42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1.适用范围</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本文件仅适用于本文件中所叙述的货物类政府采购项目。</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 定义</w:t>
      </w:r>
    </w:p>
    <w:p>
      <w:pPr>
        <w:spacing w:line="42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2.1“采购人”是指：</w:t>
      </w:r>
      <w:r>
        <w:rPr>
          <w:rFonts w:hint="eastAsia" w:ascii="宋体" w:hAnsi="宋体" w:cs="宋体"/>
          <w:color w:val="auto"/>
          <w:sz w:val="22"/>
          <w:szCs w:val="22"/>
          <w:lang w:val="en-US" w:eastAsia="zh-CN"/>
        </w:rPr>
        <w:t>防城港市港口区渔洲坪社区卫生中心</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2.2“采购代理机构”是指：广西科联招标中心有限公司。</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2.3“谈判供应商”是指响应本文件要求，参加谈判的法人。如果该供应商在本次谈判中成交,即成为“成交供应商”。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2.4“货物”是</w:t>
      </w:r>
      <w:r>
        <w:rPr>
          <w:rFonts w:hint="eastAsia" w:ascii="宋体" w:hAnsi="宋体" w:cs="宋体"/>
          <w:color w:val="auto"/>
          <w:spacing w:val="-10"/>
          <w:sz w:val="22"/>
          <w:szCs w:val="22"/>
        </w:rPr>
        <w:t>指各种形态和种类的物品，包括原材料、燃料、设备、产品等</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2.5“服务”</w:t>
      </w:r>
      <w:r>
        <w:rPr>
          <w:rFonts w:hint="eastAsia" w:ascii="宋体" w:hAnsi="宋体" w:cs="宋体"/>
          <w:color w:val="auto"/>
          <w:spacing w:val="-10"/>
          <w:sz w:val="22"/>
          <w:szCs w:val="22"/>
        </w:rPr>
        <w:t>是指除货物和工程以外的其他政府采购对象</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2.6“竞争性谈判响应文件”是指：供应商根据本采购文件要求，编制包含报价、技术和服务等所有内容的文件，也称响应文件。</w:t>
      </w:r>
    </w:p>
    <w:p>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2.7“ 供应商公章”系指供应商</w:t>
      </w:r>
      <w:r>
        <w:rPr>
          <w:rFonts w:hint="eastAsia" w:ascii="宋体" w:hAnsi="宋体" w:cs="宋体"/>
          <w:color w:val="auto"/>
          <w:spacing w:val="8"/>
          <w:sz w:val="22"/>
          <w:szCs w:val="22"/>
        </w:rPr>
        <w:t>用自己法定主体行为名称制作的签名印章</w:t>
      </w:r>
      <w:r>
        <w:rPr>
          <w:rFonts w:hint="eastAsia" w:ascii="宋体" w:hAnsi="宋体" w:cs="宋体"/>
          <w:color w:val="auto"/>
          <w:sz w:val="22"/>
          <w:szCs w:val="22"/>
        </w:rPr>
        <w:t>，不包含专用章。</w:t>
      </w:r>
    </w:p>
    <w:p>
      <w:pPr>
        <w:snapToGrid w:val="0"/>
        <w:spacing w:line="400" w:lineRule="exact"/>
        <w:ind w:firstLine="440" w:firstLineChars="200"/>
        <w:jc w:val="left"/>
        <w:rPr>
          <w:rFonts w:hint="eastAsia" w:ascii="宋体" w:hAnsi="宋体" w:cs="宋体"/>
          <w:bCs/>
          <w:color w:val="auto"/>
          <w:sz w:val="22"/>
          <w:szCs w:val="22"/>
        </w:rPr>
      </w:pPr>
      <w:r>
        <w:rPr>
          <w:rFonts w:hint="eastAsia" w:ascii="宋体" w:hAnsi="宋体" w:cs="宋体"/>
          <w:color w:val="auto"/>
          <w:sz w:val="22"/>
          <w:szCs w:val="22"/>
        </w:rPr>
        <w:t>2.8 “财政部门指定的政府采购信息发布媒体”系指</w:t>
      </w:r>
      <w:r>
        <w:rPr>
          <w:rFonts w:hint="eastAsia" w:ascii="宋体" w:hAnsi="宋体" w:cs="宋体"/>
          <w:color w:val="auto"/>
          <w:sz w:val="22"/>
          <w:szCs w:val="22"/>
          <w:lang w:val="en-US" w:eastAsia="zh-CN"/>
        </w:rPr>
        <w:t>中国政府采购网（http://www.ccgp.gov.cn）、广西壮族自治区政府采购网（http://www.gxzfcg.gov.cn）、广西防城港港口区人民政府门户网站（</w:t>
      </w:r>
      <w:r>
        <w:rPr>
          <w:rFonts w:hint="eastAsia" w:ascii="宋体" w:hAnsi="宋体" w:cs="宋体"/>
          <w:color w:val="auto"/>
          <w:sz w:val="22"/>
          <w:szCs w:val="22"/>
          <w:lang w:val="en-US" w:eastAsia="zh-CN"/>
        </w:rPr>
        <w:fldChar w:fldCharType="begin"/>
      </w:r>
      <w:r>
        <w:rPr>
          <w:rFonts w:hint="eastAsia" w:ascii="宋体" w:hAnsi="宋体" w:cs="宋体"/>
          <w:color w:val="auto"/>
          <w:sz w:val="22"/>
          <w:szCs w:val="22"/>
          <w:lang w:val="en-US" w:eastAsia="zh-CN"/>
        </w:rPr>
        <w:instrText xml:space="preserve"> HYPERLINK "http://www.gkq.gov.cn/" \t "https://web.qun.qq.com/announce/_blank" </w:instrText>
      </w:r>
      <w:r>
        <w:rPr>
          <w:rFonts w:hint="eastAsia" w:ascii="宋体" w:hAnsi="宋体" w:cs="宋体"/>
          <w:color w:val="auto"/>
          <w:sz w:val="22"/>
          <w:szCs w:val="22"/>
          <w:lang w:val="en-US" w:eastAsia="zh-CN"/>
        </w:rPr>
        <w:fldChar w:fldCharType="separate"/>
      </w:r>
      <w:r>
        <w:rPr>
          <w:rFonts w:hint="eastAsia" w:ascii="宋体" w:hAnsi="宋体" w:cs="宋体"/>
          <w:color w:val="auto"/>
          <w:sz w:val="22"/>
          <w:szCs w:val="22"/>
          <w:lang w:val="en-US" w:eastAsia="zh-CN"/>
        </w:rPr>
        <w:t>http://www.gkq.gov.cn</w:t>
      </w:r>
      <w:r>
        <w:rPr>
          <w:rFonts w:hint="eastAsia" w:ascii="宋体" w:hAnsi="宋体" w:cs="宋体"/>
          <w:color w:val="auto"/>
          <w:sz w:val="22"/>
          <w:szCs w:val="22"/>
          <w:lang w:val="en-US" w:eastAsia="zh-CN"/>
        </w:rPr>
        <w:fldChar w:fldCharType="end"/>
      </w:r>
      <w:r>
        <w:rPr>
          <w:rFonts w:hint="eastAsia" w:ascii="宋体" w:hAnsi="宋体" w:cs="宋体"/>
          <w:color w:val="auto"/>
          <w:sz w:val="22"/>
          <w:szCs w:val="22"/>
          <w:lang w:val="en-US" w:eastAsia="zh-CN"/>
        </w:rPr>
        <w:t>）、防城港市公共资源交易中心网（http://www.fcgggzy.cn）</w:t>
      </w:r>
      <w:r>
        <w:rPr>
          <w:rFonts w:hint="eastAsia" w:ascii="宋体" w:hAnsi="宋体" w:cs="宋体"/>
          <w:bCs/>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3.谈判供应商的基本条件</w:t>
      </w:r>
    </w:p>
    <w:p>
      <w:pPr>
        <w:spacing w:line="42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3.1 供应商资格及要求：详见</w:t>
      </w:r>
      <w:r>
        <w:rPr>
          <w:rFonts w:hint="eastAsia" w:ascii="宋体" w:hAnsi="宋体" w:cs="宋体"/>
          <w:bCs/>
          <w:color w:val="auto"/>
          <w:sz w:val="22"/>
          <w:szCs w:val="22"/>
        </w:rPr>
        <w:t>供应商须知前附表第2项。</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4.谈判费用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谈判供应商应自行承担所有与编写和提交竞争性谈判响应文件有关的费用，不论谈判结果如何，采购人和广西科联招标中心有限公司在任何情况下无义务和责任承担此类费用。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5.联合体谈判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5.1本项目不接受联合体谈判。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6.转包与分包             </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6.1本项目不允许转包。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6.2本项目不可以分包。</w:t>
      </w:r>
    </w:p>
    <w:p>
      <w:pPr>
        <w:pStyle w:val="13"/>
        <w:snapToGrid w:val="0"/>
        <w:spacing w:line="420" w:lineRule="exact"/>
        <w:ind w:firstLine="433" w:firstLineChars="196"/>
        <w:outlineLvl w:val="1"/>
        <w:rPr>
          <w:rFonts w:hint="eastAsia" w:hAnsi="宋体" w:cs="宋体"/>
          <w:b/>
          <w:bCs/>
          <w:color w:val="auto"/>
          <w:sz w:val="22"/>
          <w:szCs w:val="22"/>
        </w:rPr>
      </w:pPr>
      <w:bookmarkStart w:id="37" w:name="_Toc327974950"/>
      <w:bookmarkStart w:id="38" w:name="_Toc327975575"/>
      <w:bookmarkStart w:id="39" w:name="_Toc254970674"/>
      <w:bookmarkStart w:id="40" w:name="_Toc327975194"/>
      <w:bookmarkStart w:id="41" w:name="_Toc254970533"/>
      <w:r>
        <w:rPr>
          <w:rFonts w:hint="eastAsia" w:hAnsi="宋体" w:cs="宋体"/>
          <w:b/>
          <w:bCs/>
          <w:color w:val="auto"/>
          <w:sz w:val="22"/>
          <w:szCs w:val="22"/>
        </w:rPr>
        <w:t>7.质疑和投诉</w:t>
      </w:r>
      <w:bookmarkEnd w:id="37"/>
      <w:bookmarkEnd w:id="38"/>
      <w:bookmarkEnd w:id="39"/>
      <w:bookmarkEnd w:id="40"/>
      <w:bookmarkEnd w:id="41"/>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7.1供应商认为采购过程或成交结果使自己的合法权益受到损害的，应当在知道或者应知其权益受到损害之日起七个工作日内，以书面形式向采购代理机构提出质疑。</w:t>
      </w:r>
      <w:r>
        <w:rPr>
          <w:rFonts w:hint="eastAsia" w:hAnsi="宋体" w:cs="宋体"/>
          <w:color w:val="auto"/>
          <w:sz w:val="22"/>
          <w:szCs w:val="22"/>
        </w:rPr>
        <w:t>供应商对采购单位的质疑答复不满意或者采购单位未在规定时间内作出答复的，可以在答复期满后十五个工作日内向同级政府采购监管部门投诉。</w:t>
      </w:r>
    </w:p>
    <w:p>
      <w:pPr>
        <w:pStyle w:val="13"/>
        <w:snapToGrid w:val="0"/>
        <w:spacing w:line="420" w:lineRule="exact"/>
        <w:ind w:firstLine="440" w:firstLineChars="200"/>
        <w:rPr>
          <w:rFonts w:hint="eastAsia" w:hAnsi="宋体" w:cs="宋体"/>
          <w:color w:val="auto"/>
          <w:sz w:val="22"/>
          <w:szCs w:val="22"/>
        </w:rPr>
      </w:pPr>
      <w:r>
        <w:rPr>
          <w:rFonts w:hint="eastAsia" w:hAnsi="宋体" w:cs="宋体"/>
          <w:color w:val="auto"/>
          <w:sz w:val="22"/>
          <w:szCs w:val="22"/>
        </w:rPr>
        <w:t>7.2质疑、投诉应当采用书面形式，质疑书、投诉书均应明确阐述竞争性谈判采购条件书、采购过程或成交结果使自己合法权益受到损害的实质性内容，提供相关事实、依据和证据及其来源或线索，便于有关单位调查、答复和处理。</w:t>
      </w:r>
    </w:p>
    <w:p>
      <w:pPr>
        <w:pStyle w:val="13"/>
        <w:snapToGrid w:val="0"/>
        <w:spacing w:line="400" w:lineRule="exact"/>
        <w:ind w:firstLine="440" w:firstLineChars="200"/>
        <w:rPr>
          <w:rFonts w:hint="eastAsia" w:hAnsi="宋体" w:cs="宋体"/>
          <w:bCs/>
          <w:color w:val="auto"/>
          <w:sz w:val="22"/>
          <w:szCs w:val="22"/>
        </w:rPr>
      </w:pPr>
      <w:r>
        <w:rPr>
          <w:rFonts w:hint="eastAsia" w:hAnsi="宋体" w:cs="宋体"/>
          <w:bCs/>
          <w:color w:val="auto"/>
          <w:sz w:val="22"/>
          <w:szCs w:val="22"/>
        </w:rPr>
        <w:t>7.3</w:t>
      </w:r>
      <w:r>
        <w:rPr>
          <w:rFonts w:hint="eastAsia" w:hAnsi="宋体" w:cs="宋体"/>
          <w:b/>
          <w:bCs/>
          <w:color w:val="auto"/>
          <w:sz w:val="22"/>
          <w:szCs w:val="22"/>
        </w:rPr>
        <w:t xml:space="preserve"> 供应商认为竞争性谈判采购条件书使自己的合法权益受到损害的，按“10.1条款” 执行。</w:t>
      </w:r>
    </w:p>
    <w:p>
      <w:pPr>
        <w:snapToGrid w:val="0"/>
        <w:spacing w:before="156" w:beforeLines="50" w:line="400" w:lineRule="exact"/>
        <w:ind w:firstLine="433" w:firstLineChars="196"/>
        <w:jc w:val="left"/>
        <w:outlineLvl w:val="1"/>
        <w:rPr>
          <w:rFonts w:hint="eastAsia" w:ascii="宋体" w:hAnsi="宋体" w:cs="宋体"/>
          <w:b/>
          <w:color w:val="auto"/>
          <w:sz w:val="22"/>
          <w:szCs w:val="22"/>
        </w:rPr>
      </w:pPr>
      <w:bookmarkStart w:id="42" w:name="_Toc327975576"/>
      <w:bookmarkStart w:id="43" w:name="_Toc327975195"/>
      <w:bookmarkStart w:id="44" w:name="_Toc254970532"/>
      <w:bookmarkStart w:id="45" w:name="_Toc327974951"/>
      <w:bookmarkStart w:id="46" w:name="_Toc254970673"/>
      <w:r>
        <w:rPr>
          <w:rFonts w:hint="eastAsia" w:ascii="宋体" w:hAnsi="宋体" w:cs="宋体"/>
          <w:b/>
          <w:color w:val="auto"/>
          <w:sz w:val="22"/>
          <w:szCs w:val="22"/>
        </w:rPr>
        <w:t>8.特别说明：</w:t>
      </w:r>
      <w:bookmarkEnd w:id="42"/>
      <w:bookmarkEnd w:id="43"/>
      <w:bookmarkEnd w:id="44"/>
      <w:bookmarkEnd w:id="45"/>
      <w:bookmarkEnd w:id="46"/>
    </w:p>
    <w:p>
      <w:pPr>
        <w:widowControl/>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8.1提供相同品牌产品的不同</w:t>
      </w:r>
      <w:r>
        <w:rPr>
          <w:rFonts w:hint="eastAsia" w:ascii="宋体" w:hAnsi="宋体" w:cs="宋体"/>
          <w:color w:val="auto"/>
          <w:sz w:val="22"/>
          <w:szCs w:val="22"/>
          <w:lang w:eastAsia="zh-CN"/>
        </w:rPr>
        <w:t>供应商</w:t>
      </w:r>
      <w:r>
        <w:rPr>
          <w:rFonts w:hint="eastAsia" w:ascii="宋体" w:hAnsi="宋体" w:cs="宋体"/>
          <w:color w:val="auto"/>
          <w:sz w:val="22"/>
          <w:szCs w:val="22"/>
        </w:rPr>
        <w:t>参加同一合同项下</w:t>
      </w:r>
      <w:r>
        <w:rPr>
          <w:rFonts w:hint="eastAsia" w:ascii="宋体" w:hAnsi="宋体" w:cs="宋体"/>
          <w:color w:val="auto"/>
          <w:sz w:val="22"/>
          <w:szCs w:val="22"/>
          <w:lang w:val="en-US" w:eastAsia="zh-CN"/>
        </w:rPr>
        <w:t>谈判</w:t>
      </w:r>
      <w:r>
        <w:rPr>
          <w:rFonts w:hint="eastAsia" w:ascii="宋体" w:hAnsi="宋体" w:cs="宋体"/>
          <w:color w:val="auto"/>
          <w:sz w:val="22"/>
          <w:szCs w:val="22"/>
        </w:rPr>
        <w:t>的，以其中通过资格审查、符合性审查且报价最低的参加评标，报价相同的，由采购人自主选择确定一个参加评标的</w:t>
      </w:r>
      <w:r>
        <w:rPr>
          <w:rFonts w:hint="eastAsia" w:ascii="宋体" w:hAnsi="宋体" w:cs="宋体"/>
          <w:color w:val="auto"/>
          <w:sz w:val="22"/>
          <w:szCs w:val="22"/>
          <w:lang w:eastAsia="zh-CN"/>
        </w:rPr>
        <w:t>供应商</w:t>
      </w:r>
      <w:r>
        <w:rPr>
          <w:rFonts w:hint="eastAsia" w:ascii="宋体" w:hAnsi="宋体" w:cs="宋体"/>
          <w:color w:val="auto"/>
          <w:sz w:val="22"/>
          <w:szCs w:val="22"/>
        </w:rPr>
        <w:t>，其他</w:t>
      </w:r>
      <w:r>
        <w:rPr>
          <w:rFonts w:hint="eastAsia" w:ascii="宋体" w:hAnsi="宋体" w:cs="宋体"/>
          <w:color w:val="auto"/>
          <w:sz w:val="22"/>
          <w:szCs w:val="22"/>
          <w:lang w:val="en-US" w:eastAsia="zh-CN"/>
        </w:rPr>
        <w:t>谈判</w:t>
      </w:r>
      <w:r>
        <w:rPr>
          <w:rFonts w:hint="eastAsia" w:ascii="宋体" w:hAnsi="宋体" w:cs="宋体"/>
          <w:color w:val="auto"/>
          <w:sz w:val="22"/>
          <w:szCs w:val="22"/>
        </w:rPr>
        <w:t>无效。</w:t>
      </w:r>
    </w:p>
    <w:p>
      <w:pPr>
        <w:widowControl/>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非单一产品采购项目中，多家</w:t>
      </w:r>
      <w:r>
        <w:rPr>
          <w:rFonts w:hint="eastAsia" w:ascii="宋体" w:hAnsi="宋体" w:cs="宋体"/>
          <w:color w:val="auto"/>
          <w:sz w:val="22"/>
          <w:szCs w:val="22"/>
          <w:lang w:eastAsia="zh-CN"/>
        </w:rPr>
        <w:t>供应商</w:t>
      </w:r>
      <w:r>
        <w:rPr>
          <w:rFonts w:hint="eastAsia" w:ascii="宋体" w:hAnsi="宋体" w:cs="宋体"/>
          <w:color w:val="auto"/>
          <w:sz w:val="22"/>
          <w:szCs w:val="22"/>
        </w:rPr>
        <w:t>提供的核心产品品牌相同的，视为提供相同品牌产品。</w:t>
      </w:r>
    </w:p>
    <w:p>
      <w:pPr>
        <w:widowControl/>
        <w:spacing w:line="40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w:t>
      </w:r>
      <w:r>
        <w:rPr>
          <w:rFonts w:hint="eastAsia" w:ascii="宋体" w:hAnsi="宋体" w:cs="宋体"/>
          <w:color w:val="auto"/>
          <w:sz w:val="22"/>
          <w:szCs w:val="22"/>
          <w:lang w:val="en-US" w:eastAsia="zh-CN"/>
        </w:rPr>
        <w:t>谈判</w:t>
      </w:r>
      <w:r>
        <w:rPr>
          <w:rFonts w:hint="eastAsia" w:ascii="宋体" w:hAnsi="宋体" w:cs="宋体"/>
          <w:color w:val="auto"/>
          <w:sz w:val="22"/>
          <w:szCs w:val="22"/>
        </w:rPr>
        <w:t>。</w:t>
      </w:r>
    </w:p>
    <w:p>
      <w:pPr>
        <w:pStyle w:val="13"/>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8.2供应商谈判所使用的资格、信誉、荣誉、业绩与企业认证必须为本法人所拥有。供应商谈判所使用的采购项目实施人员必须为本法人员工（或必须为本法人控股公司正式员工）。</w:t>
      </w:r>
    </w:p>
    <w:p>
      <w:pPr>
        <w:pStyle w:val="13"/>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8.3供应商应仔细阅读</w:t>
      </w:r>
      <w:r>
        <w:rPr>
          <w:rFonts w:hint="eastAsia" w:hAnsi="宋体" w:cs="宋体"/>
          <w:color w:val="auto"/>
          <w:sz w:val="22"/>
          <w:szCs w:val="22"/>
          <w:lang w:eastAsia="zh-CN"/>
        </w:rPr>
        <w:t>竞争性谈判采购条件书</w:t>
      </w:r>
      <w:r>
        <w:rPr>
          <w:rFonts w:hint="eastAsia" w:hAnsi="宋体" w:cs="宋体"/>
          <w:color w:val="auto"/>
          <w:sz w:val="22"/>
          <w:szCs w:val="22"/>
        </w:rPr>
        <w:t>的所有内容，按照</w:t>
      </w:r>
      <w:r>
        <w:rPr>
          <w:rFonts w:hint="eastAsia" w:hAnsi="宋体" w:cs="宋体"/>
          <w:color w:val="auto"/>
          <w:sz w:val="22"/>
          <w:szCs w:val="22"/>
          <w:lang w:eastAsia="zh-CN"/>
        </w:rPr>
        <w:t>竞争性谈判采购条件书</w:t>
      </w:r>
      <w:r>
        <w:rPr>
          <w:rFonts w:hint="eastAsia" w:hAnsi="宋体" w:cs="宋体"/>
          <w:color w:val="auto"/>
          <w:sz w:val="22"/>
          <w:szCs w:val="22"/>
        </w:rPr>
        <w:t>的要求提交响应文件，并对所提供的全部资料的真实性承担法律责任。</w:t>
      </w:r>
    </w:p>
    <w:p>
      <w:pPr>
        <w:pStyle w:val="13"/>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8.4供应商在谈判活动中提供任何虚假材料,其谈判无效，并报监管部门查处；成交后发现的,成交供应商须依照《中华人民共和国消费者权益保护法》第49条之规定双倍赔偿采购人，且民事赔偿并不免除违法供应商的行政与刑事责任。</w:t>
      </w:r>
    </w:p>
    <w:p>
      <w:pPr>
        <w:pStyle w:val="4"/>
        <w:spacing w:line="300" w:lineRule="exact"/>
        <w:jc w:val="center"/>
        <w:rPr>
          <w:rFonts w:hint="eastAsia" w:ascii="宋体" w:hAnsi="宋体" w:cs="宋体"/>
          <w:b w:val="0"/>
          <w:color w:val="auto"/>
          <w:sz w:val="22"/>
          <w:szCs w:val="22"/>
        </w:rPr>
      </w:pPr>
      <w:bookmarkStart w:id="47" w:name="_Toc327975577"/>
      <w:r>
        <w:rPr>
          <w:rFonts w:hint="eastAsia" w:ascii="宋体" w:hAnsi="宋体" w:cs="宋体"/>
          <w:color w:val="auto"/>
          <w:sz w:val="22"/>
          <w:szCs w:val="22"/>
        </w:rPr>
        <w:t>二、竞争性谈判采购条件书</w:t>
      </w:r>
      <w:bookmarkEnd w:id="47"/>
    </w:p>
    <w:p>
      <w:pPr>
        <w:pStyle w:val="13"/>
        <w:snapToGrid w:val="0"/>
        <w:spacing w:line="420" w:lineRule="exact"/>
        <w:ind w:firstLine="442" w:firstLineChars="200"/>
        <w:rPr>
          <w:rFonts w:hint="eastAsia" w:hAnsi="宋体" w:cs="宋体"/>
          <w:b/>
          <w:color w:val="auto"/>
          <w:sz w:val="22"/>
          <w:szCs w:val="22"/>
        </w:rPr>
      </w:pPr>
      <w:r>
        <w:rPr>
          <w:rFonts w:hint="eastAsia" w:hAnsi="宋体" w:cs="宋体"/>
          <w:b/>
          <w:color w:val="auto"/>
          <w:sz w:val="22"/>
          <w:szCs w:val="22"/>
        </w:rPr>
        <w:t>9.竞争性谈判采购条件书构成</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9.1竞争性谈判公告</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9.2谈判须知</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9.3项目需求</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9.4评标办法及评分标准</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9.5合同主要条款</w:t>
      </w:r>
    </w:p>
    <w:p>
      <w:pPr>
        <w:pStyle w:val="13"/>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9.6竞争性谈判响应文件格式</w:t>
      </w:r>
    </w:p>
    <w:p>
      <w:pPr>
        <w:pStyle w:val="13"/>
        <w:spacing w:line="420" w:lineRule="exact"/>
        <w:ind w:firstLine="433" w:firstLineChars="196"/>
        <w:rPr>
          <w:rFonts w:hint="eastAsia" w:hAnsi="宋体" w:cs="宋体"/>
          <w:color w:val="auto"/>
          <w:sz w:val="22"/>
          <w:szCs w:val="22"/>
        </w:rPr>
      </w:pPr>
      <w:r>
        <w:rPr>
          <w:rFonts w:hint="eastAsia" w:hAnsi="宋体" w:cs="宋体"/>
          <w:b/>
          <w:bCs/>
          <w:color w:val="auto"/>
          <w:sz w:val="22"/>
          <w:szCs w:val="22"/>
        </w:rPr>
        <w:t>10.</w:t>
      </w:r>
      <w:r>
        <w:rPr>
          <w:rFonts w:hint="eastAsia" w:hAnsi="宋体" w:cs="宋体"/>
          <w:b/>
          <w:color w:val="auto"/>
          <w:sz w:val="22"/>
          <w:szCs w:val="22"/>
        </w:rPr>
        <w:t>竞争性谈判采购条件书的澄清和修改</w:t>
      </w:r>
    </w:p>
    <w:p>
      <w:pPr>
        <w:pStyle w:val="13"/>
        <w:snapToGrid w:val="0"/>
        <w:spacing w:line="400" w:lineRule="exact"/>
        <w:ind w:firstLine="442" w:firstLineChars="200"/>
        <w:rPr>
          <w:rFonts w:hint="eastAsia" w:hAnsi="宋体" w:cs="宋体"/>
          <w:b/>
          <w:color w:val="auto"/>
          <w:sz w:val="22"/>
          <w:szCs w:val="22"/>
        </w:rPr>
      </w:pPr>
      <w:r>
        <w:rPr>
          <w:rFonts w:hint="eastAsia" w:hAnsi="宋体" w:cs="宋体"/>
          <w:b/>
          <w:bCs/>
          <w:color w:val="auto"/>
          <w:sz w:val="22"/>
          <w:szCs w:val="22"/>
        </w:rPr>
        <w:t>10.1供应商要认真审核竞争性谈判采购条件书，如发现其中有误或要求不合理的，供应商必须在规定的时间前要求澄清。</w:t>
      </w:r>
      <w:r>
        <w:rPr>
          <w:rFonts w:hint="eastAsia" w:hAnsi="宋体" w:cs="宋体"/>
          <w:b/>
          <w:color w:val="auto"/>
          <w:sz w:val="22"/>
          <w:szCs w:val="22"/>
        </w:rPr>
        <w:t>如供应商未在规定时间内提出质疑或疑问的，视同供应商理解并接受本</w:t>
      </w:r>
      <w:r>
        <w:rPr>
          <w:rFonts w:hint="eastAsia" w:hAnsi="宋体" w:cs="宋体"/>
          <w:b/>
          <w:bCs/>
          <w:color w:val="auto"/>
          <w:sz w:val="22"/>
          <w:szCs w:val="22"/>
        </w:rPr>
        <w:t>竞争性谈判采购条件书</w:t>
      </w:r>
      <w:r>
        <w:rPr>
          <w:rFonts w:hint="eastAsia" w:hAnsi="宋体" w:cs="宋体"/>
          <w:b/>
          <w:color w:val="auto"/>
          <w:sz w:val="22"/>
          <w:szCs w:val="22"/>
        </w:rPr>
        <w:t>所有内容，并自己承担由此引起的谈判损失。同时，不得在谈判结束后针对</w:t>
      </w:r>
      <w:r>
        <w:rPr>
          <w:rFonts w:hint="eastAsia" w:hAnsi="宋体" w:cs="宋体"/>
          <w:b/>
          <w:bCs/>
          <w:color w:val="auto"/>
          <w:sz w:val="22"/>
          <w:szCs w:val="22"/>
        </w:rPr>
        <w:t>竞争性谈判采购条件书</w:t>
      </w:r>
      <w:r>
        <w:rPr>
          <w:rFonts w:hint="eastAsia" w:hAnsi="宋体" w:cs="宋体"/>
          <w:b/>
          <w:color w:val="auto"/>
          <w:sz w:val="22"/>
          <w:szCs w:val="22"/>
        </w:rPr>
        <w:t>所有内容提出质疑事项。</w:t>
      </w:r>
    </w:p>
    <w:p>
      <w:pPr>
        <w:pStyle w:val="13"/>
        <w:spacing w:line="420" w:lineRule="exact"/>
        <w:ind w:firstLine="420"/>
        <w:rPr>
          <w:rFonts w:hint="eastAsia" w:hAnsi="宋体" w:cs="宋体"/>
          <w:bCs/>
          <w:color w:val="auto"/>
          <w:sz w:val="22"/>
          <w:szCs w:val="22"/>
        </w:rPr>
      </w:pPr>
      <w:r>
        <w:rPr>
          <w:rFonts w:hint="eastAsia" w:hAnsi="宋体" w:cs="宋体"/>
          <w:b/>
          <w:bCs/>
          <w:color w:val="auto"/>
          <w:sz w:val="22"/>
          <w:szCs w:val="22"/>
        </w:rPr>
        <w:t>10.2如果供应商认为本</w:t>
      </w:r>
      <w:r>
        <w:rPr>
          <w:rFonts w:hint="eastAsia" w:hAnsi="宋体" w:cs="宋体"/>
          <w:b/>
          <w:color w:val="auto"/>
          <w:sz w:val="22"/>
          <w:szCs w:val="22"/>
        </w:rPr>
        <w:t>竞争性谈判采购条件书</w:t>
      </w:r>
      <w:r>
        <w:rPr>
          <w:rFonts w:hint="eastAsia" w:hAnsi="宋体" w:cs="宋体"/>
          <w:b/>
          <w:bCs/>
          <w:color w:val="auto"/>
          <w:sz w:val="22"/>
          <w:szCs w:val="22"/>
        </w:rPr>
        <w:t>中存在有倾向性、排他性的内容或条款的，可以在谈判截止日期2天前，以书面形式并附上相关证明材料向本采购项目联系人反映。</w:t>
      </w:r>
    </w:p>
    <w:p>
      <w:pPr>
        <w:pStyle w:val="13"/>
        <w:spacing w:line="420" w:lineRule="exact"/>
        <w:ind w:firstLine="422"/>
        <w:rPr>
          <w:rFonts w:hint="eastAsia" w:hAnsi="宋体" w:cs="宋体"/>
          <w:b/>
          <w:bCs/>
          <w:color w:val="auto"/>
          <w:sz w:val="22"/>
          <w:szCs w:val="22"/>
        </w:rPr>
      </w:pPr>
      <w:r>
        <w:rPr>
          <w:rFonts w:hint="eastAsia" w:hAnsi="宋体" w:cs="宋体"/>
          <w:b/>
          <w:bCs/>
          <w:color w:val="auto"/>
          <w:sz w:val="22"/>
          <w:szCs w:val="22"/>
        </w:rPr>
        <w:t>10.3任何供应商对</w:t>
      </w:r>
      <w:r>
        <w:rPr>
          <w:rFonts w:hint="eastAsia" w:hAnsi="宋体" w:cs="宋体"/>
          <w:b/>
          <w:color w:val="auto"/>
          <w:sz w:val="22"/>
          <w:szCs w:val="22"/>
        </w:rPr>
        <w:t>竞争性谈判采购条件书</w:t>
      </w:r>
      <w:r>
        <w:rPr>
          <w:rFonts w:hint="eastAsia" w:hAnsi="宋体" w:cs="宋体"/>
          <w:b/>
          <w:bCs/>
          <w:color w:val="auto"/>
          <w:sz w:val="22"/>
          <w:szCs w:val="22"/>
        </w:rPr>
        <w:t>的澄清要求，均应在响应文件递交截止时间2天前的正常工作时间以传真或电报等书面形式通知采购代理机构，同时认定其他形式为无效。采购代理机构将以书面形式予以答复，该答复不指明答复问题的来源，并以书面形式通知所有购买了</w:t>
      </w:r>
      <w:r>
        <w:rPr>
          <w:rFonts w:hint="eastAsia" w:hAnsi="宋体" w:cs="宋体"/>
          <w:b/>
          <w:color w:val="auto"/>
          <w:sz w:val="22"/>
          <w:szCs w:val="22"/>
        </w:rPr>
        <w:t>竞争性谈判采购条件书</w:t>
      </w:r>
      <w:r>
        <w:rPr>
          <w:rFonts w:hint="eastAsia" w:hAnsi="宋体" w:cs="宋体"/>
          <w:b/>
          <w:bCs/>
          <w:color w:val="auto"/>
          <w:sz w:val="22"/>
          <w:szCs w:val="22"/>
        </w:rPr>
        <w:t>的供应商，答复将同时在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广西防城港港口区人民政府门户网站（网址：http://www.gkq.gov.cn）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上发布。为确保项目的如期完成，采购代理机构将可能对供应商在规定时间之后提出的澄清问题不予答复。</w:t>
      </w:r>
    </w:p>
    <w:p>
      <w:pPr>
        <w:pStyle w:val="13"/>
        <w:spacing w:line="420" w:lineRule="exact"/>
        <w:ind w:firstLine="420"/>
        <w:rPr>
          <w:rFonts w:hint="eastAsia" w:hAnsi="宋体" w:cs="宋体"/>
          <w:b/>
          <w:bCs/>
          <w:color w:val="auto"/>
          <w:sz w:val="22"/>
          <w:szCs w:val="22"/>
        </w:rPr>
      </w:pPr>
      <w:r>
        <w:rPr>
          <w:rFonts w:hint="eastAsia" w:hAnsi="宋体" w:cs="宋体"/>
          <w:b/>
          <w:bCs/>
          <w:color w:val="auto"/>
          <w:sz w:val="22"/>
          <w:szCs w:val="22"/>
        </w:rPr>
        <w:t>10.4采购代理机构对已发出的</w:t>
      </w:r>
      <w:r>
        <w:rPr>
          <w:rFonts w:hint="eastAsia" w:hAnsi="宋体" w:cs="宋体"/>
          <w:b/>
          <w:color w:val="auto"/>
          <w:sz w:val="22"/>
          <w:szCs w:val="22"/>
        </w:rPr>
        <w:t>竞争性谈判采购条件书</w:t>
      </w:r>
      <w:r>
        <w:rPr>
          <w:rFonts w:hint="eastAsia" w:hAnsi="宋体" w:cs="宋体"/>
          <w:b/>
          <w:bCs/>
          <w:color w:val="auto"/>
          <w:sz w:val="22"/>
          <w:szCs w:val="22"/>
        </w:rPr>
        <w:t>进行必要修改的，在</w:t>
      </w:r>
      <w:r>
        <w:rPr>
          <w:rFonts w:hint="eastAsia" w:hAnsi="宋体" w:cs="宋体"/>
          <w:b/>
          <w:color w:val="auto"/>
          <w:sz w:val="22"/>
          <w:szCs w:val="22"/>
        </w:rPr>
        <w:t>竞争性谈判采购条件书</w:t>
      </w:r>
      <w:r>
        <w:rPr>
          <w:rFonts w:hint="eastAsia" w:hAnsi="宋体" w:cs="宋体"/>
          <w:b/>
          <w:bCs/>
          <w:color w:val="auto"/>
          <w:sz w:val="22"/>
          <w:szCs w:val="22"/>
        </w:rPr>
        <w:t>要求提交竞争性谈判响应文件截止时间1天前，在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广西防城港港口区人民政府门户网站（网址：http://www.gkq.gov.cn）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上发布更正公告，并以书面形式通知所有购买</w:t>
      </w:r>
      <w:r>
        <w:rPr>
          <w:rFonts w:hint="eastAsia" w:hAnsi="宋体" w:cs="宋体"/>
          <w:b/>
          <w:color w:val="auto"/>
          <w:sz w:val="22"/>
          <w:szCs w:val="22"/>
        </w:rPr>
        <w:t>竞争性谈判采购条件书</w:t>
      </w:r>
      <w:r>
        <w:rPr>
          <w:rFonts w:hint="eastAsia" w:hAnsi="宋体" w:cs="宋体"/>
          <w:b/>
          <w:bCs/>
          <w:color w:val="auto"/>
          <w:sz w:val="22"/>
          <w:szCs w:val="22"/>
        </w:rPr>
        <w:t>的供应商。</w:t>
      </w:r>
    </w:p>
    <w:p>
      <w:pPr>
        <w:pStyle w:val="13"/>
        <w:spacing w:line="420" w:lineRule="exact"/>
        <w:ind w:firstLine="420"/>
        <w:rPr>
          <w:rFonts w:hint="eastAsia" w:hAnsi="宋体" w:cs="宋体"/>
          <w:b/>
          <w:bCs/>
          <w:color w:val="auto"/>
          <w:sz w:val="22"/>
          <w:szCs w:val="22"/>
        </w:rPr>
      </w:pPr>
      <w:r>
        <w:rPr>
          <w:rFonts w:hint="eastAsia" w:hAnsi="宋体" w:cs="宋体"/>
          <w:b/>
          <w:bCs/>
          <w:color w:val="auto"/>
          <w:sz w:val="22"/>
          <w:szCs w:val="22"/>
        </w:rPr>
        <w:t>10.5请供应商接电话通知后到采购代理机构处领取以上澄清答复（或补充通知），或在网上查询。澄清答复（或补充通知）不用传真方式发出，如在电话通知后24小时内不上门领取的，则视为已在网上查询收到。该澄清或修改的内容为</w:t>
      </w:r>
      <w:r>
        <w:rPr>
          <w:rFonts w:hint="eastAsia" w:hAnsi="宋体" w:cs="宋体"/>
          <w:b/>
          <w:color w:val="auto"/>
          <w:sz w:val="22"/>
          <w:szCs w:val="22"/>
        </w:rPr>
        <w:t>竞争性谈判采购条件书</w:t>
      </w:r>
      <w:r>
        <w:rPr>
          <w:rFonts w:hint="eastAsia" w:hAnsi="宋体" w:cs="宋体"/>
          <w:b/>
          <w:bCs/>
          <w:color w:val="auto"/>
          <w:sz w:val="22"/>
          <w:szCs w:val="22"/>
        </w:rPr>
        <w:t>的组成部分。供应商在每一次收到澄清答复或补充通知后应立即以书面形式通知采购代理机构，确认已收到该澄清答复或补充通知。否则，由此造成的一切后果由供应商承担。</w:t>
      </w:r>
    </w:p>
    <w:p>
      <w:pPr>
        <w:pStyle w:val="13"/>
        <w:tabs>
          <w:tab w:val="left" w:pos="455"/>
        </w:tabs>
        <w:spacing w:line="420" w:lineRule="exact"/>
        <w:ind w:firstLine="442" w:firstLineChars="200"/>
        <w:rPr>
          <w:rFonts w:hint="eastAsia" w:hAnsi="宋体" w:cs="宋体"/>
          <w:b/>
          <w:bCs/>
          <w:color w:val="auto"/>
          <w:sz w:val="22"/>
          <w:szCs w:val="22"/>
        </w:rPr>
      </w:pPr>
      <w:r>
        <w:rPr>
          <w:rFonts w:hint="eastAsia" w:hAnsi="宋体" w:cs="宋体"/>
          <w:b/>
          <w:bCs/>
          <w:color w:val="auto"/>
          <w:sz w:val="22"/>
          <w:szCs w:val="22"/>
        </w:rPr>
        <w:t>10.6采购代理机构可视具体情况，延长响应文件递交截止日期和开标时间，至少于响应文件递交截止时间1天前以书面形式通知所有购买</w:t>
      </w:r>
      <w:r>
        <w:rPr>
          <w:rFonts w:hint="eastAsia" w:hAnsi="宋体" w:cs="宋体"/>
          <w:b/>
          <w:color w:val="auto"/>
          <w:sz w:val="22"/>
          <w:szCs w:val="22"/>
        </w:rPr>
        <w:t>竞争性谈判采购条件书</w:t>
      </w:r>
      <w:r>
        <w:rPr>
          <w:rFonts w:hint="eastAsia" w:hAnsi="宋体" w:cs="宋体"/>
          <w:b/>
          <w:bCs/>
          <w:color w:val="auto"/>
          <w:sz w:val="22"/>
          <w:szCs w:val="22"/>
        </w:rPr>
        <w:t>的供应商，同时在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广西防城港港口区人民政府门户网站（网址：http://www.gkq.gov.cn）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 xml:space="preserve">上发布公告。 </w:t>
      </w:r>
    </w:p>
    <w:p>
      <w:pPr>
        <w:pStyle w:val="4"/>
        <w:spacing w:line="300" w:lineRule="exact"/>
        <w:jc w:val="center"/>
        <w:rPr>
          <w:rFonts w:hint="eastAsia" w:ascii="宋体" w:hAnsi="宋体" w:cs="宋体"/>
          <w:b w:val="0"/>
          <w:color w:val="auto"/>
          <w:sz w:val="22"/>
          <w:szCs w:val="22"/>
        </w:rPr>
      </w:pPr>
      <w:bookmarkStart w:id="48" w:name="_Toc327975578"/>
      <w:r>
        <w:rPr>
          <w:rFonts w:hint="eastAsia" w:ascii="宋体" w:hAnsi="宋体" w:cs="宋体"/>
          <w:color w:val="auto"/>
          <w:sz w:val="22"/>
          <w:szCs w:val="22"/>
        </w:rPr>
        <w:t>三、竞争性谈判响应文件的编制</w:t>
      </w:r>
      <w:bookmarkEnd w:id="48"/>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11.竞争性谈判响应文件的组成</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竞争性谈判响应文件按竞争性谈判采购条件书第六章格式的要求填写并装订，响应文件必须包边装订，使用活页夹、订书钉等可能导致响应文件散落或脱页方式装订的将被视为无效响应文件。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11.1响应文件：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（1）谈判书；</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（2）谈判报价表；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（3）分项报价表；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（4）商务及技术响应、偏离情况说明表；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val="en-US" w:eastAsia="zh-CN"/>
        </w:rPr>
        <w:t>售后</w:t>
      </w:r>
      <w:r>
        <w:rPr>
          <w:rFonts w:hint="eastAsia" w:ascii="宋体" w:hAnsi="宋体" w:cs="宋体"/>
          <w:color w:val="auto"/>
          <w:sz w:val="22"/>
          <w:szCs w:val="22"/>
          <w:lang w:eastAsia="zh-CN"/>
        </w:rPr>
        <w:t>售后服务方案</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（6）供应商资格证明文件（按本须知第12条要求提供）；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w:t>
      </w:r>
      <w:r>
        <w:rPr>
          <w:rFonts w:hint="eastAsia" w:ascii="宋体" w:hAnsi="宋体" w:cs="宋体"/>
          <w:color w:val="auto"/>
          <w:sz w:val="22"/>
          <w:szCs w:val="22"/>
          <w:lang w:eastAsia="zh-CN"/>
        </w:rPr>
        <w:t>服务</w:t>
      </w:r>
      <w:r>
        <w:rPr>
          <w:rFonts w:hint="eastAsia" w:ascii="宋体" w:hAnsi="宋体" w:cs="宋体"/>
          <w:color w:val="auto"/>
          <w:sz w:val="22"/>
          <w:szCs w:val="22"/>
        </w:rPr>
        <w:t>合格证明文件（按本须知第13条要求提供）；</w:t>
      </w:r>
    </w:p>
    <w:p>
      <w:pPr>
        <w:spacing w:line="42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（8）供应商必须提供的其他材料</w:t>
      </w:r>
      <w:r>
        <w:rPr>
          <w:rFonts w:hint="eastAsia" w:ascii="宋体" w:hAnsi="宋体" w:cs="宋体"/>
          <w:color w:val="auto"/>
          <w:sz w:val="22"/>
          <w:szCs w:val="22"/>
          <w:lang w:eastAsia="zh-CN"/>
        </w:rPr>
        <w:t>。</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12. 供应商资格证明文件</w:t>
      </w:r>
      <w:r>
        <w:rPr>
          <w:rFonts w:hint="eastAsia" w:hAnsi="宋体" w:cs="宋体"/>
          <w:b/>
          <w:color w:val="auto"/>
          <w:sz w:val="22"/>
          <w:szCs w:val="22"/>
        </w:rPr>
        <w:t>[下述资料属复印件的必须加盖单位公章，其中注明必须提交的文件均应于本项目截标前与响应文件同时提交完备，如未加盖单位公章的，可在谈判小组指定的期限内加盖单位公章。如提供的材料不完备或未按规定期限内加盖单位公章的，将被当作资格审查不合格而取消谈判资格]：</w:t>
      </w:r>
      <w:r>
        <w:rPr>
          <w:rFonts w:hint="eastAsia" w:hAnsi="宋体" w:cs="宋体"/>
          <w:color w:val="auto"/>
          <w:sz w:val="22"/>
          <w:szCs w:val="22"/>
        </w:rPr>
        <w:t xml:space="preserve"> </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⑴供应商有效的“营业执照”副本复印件</w:t>
      </w:r>
      <w:r>
        <w:rPr>
          <w:rFonts w:hint="eastAsia" w:hAnsi="宋体" w:cs="宋体"/>
          <w:color w:val="auto"/>
          <w:sz w:val="22"/>
          <w:szCs w:val="22"/>
          <w:lang w:eastAsia="zh-CN"/>
        </w:rPr>
        <w:t>或</w:t>
      </w:r>
      <w:r>
        <w:rPr>
          <w:rFonts w:hint="eastAsia" w:ascii="宋体" w:hAnsi="宋体" w:cs="宋体"/>
          <w:bCs/>
          <w:color w:val="auto"/>
          <w:spacing w:val="0"/>
          <w:kern w:val="2"/>
          <w:sz w:val="22"/>
          <w:szCs w:val="22"/>
        </w:rPr>
        <w:t>事业单位法人证书</w:t>
      </w:r>
      <w:r>
        <w:rPr>
          <w:rFonts w:hint="eastAsia" w:hAnsi="宋体" w:cs="宋体"/>
          <w:bCs/>
          <w:color w:val="auto"/>
          <w:spacing w:val="0"/>
          <w:kern w:val="2"/>
          <w:sz w:val="22"/>
          <w:szCs w:val="22"/>
          <w:lang w:eastAsia="zh-CN"/>
        </w:rPr>
        <w:t>复印件</w:t>
      </w:r>
      <w:r>
        <w:rPr>
          <w:rFonts w:hint="eastAsia" w:ascii="宋体" w:hAnsi="宋体" w:cs="宋体"/>
          <w:bCs/>
          <w:color w:val="auto"/>
          <w:spacing w:val="0"/>
          <w:kern w:val="2"/>
          <w:sz w:val="22"/>
          <w:szCs w:val="22"/>
        </w:rPr>
        <w:t>、社会团体法人登记证书</w:t>
      </w:r>
      <w:r>
        <w:rPr>
          <w:rFonts w:hint="eastAsia" w:hAnsi="宋体" w:cs="宋体"/>
          <w:bCs/>
          <w:color w:val="auto"/>
          <w:spacing w:val="0"/>
          <w:kern w:val="2"/>
          <w:sz w:val="22"/>
          <w:szCs w:val="22"/>
          <w:lang w:eastAsia="zh-CN"/>
        </w:rPr>
        <w:t>复印件</w:t>
      </w:r>
      <w:r>
        <w:rPr>
          <w:rFonts w:hint="eastAsia" w:hAnsi="宋体" w:cs="宋体"/>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rPr>
        <w:t>）；</w:t>
      </w:r>
    </w:p>
    <w:p>
      <w:pPr>
        <w:pStyle w:val="13"/>
        <w:spacing w:line="420" w:lineRule="exact"/>
        <w:ind w:firstLine="420"/>
        <w:rPr>
          <w:rFonts w:hint="eastAsia" w:hAnsi="宋体" w:eastAsia="宋体" w:cs="宋体"/>
          <w:color w:val="auto"/>
          <w:sz w:val="22"/>
          <w:szCs w:val="22"/>
          <w:lang w:eastAsia="zh-CN"/>
        </w:rPr>
      </w:pPr>
      <w:r>
        <w:rPr>
          <w:rFonts w:hint="eastAsia" w:hAnsi="宋体" w:cs="宋体"/>
          <w:color w:val="auto"/>
          <w:sz w:val="22"/>
          <w:szCs w:val="22"/>
        </w:rPr>
        <w:t>⑵供应商必须具有行业主管部门颁发的有效的《中华人民共和国医疗器械经营企业许可证》或《中华人民共和国医疗器械生产企业许可证》或《二类医疗器械经营备案凭证》</w:t>
      </w:r>
      <w:r>
        <w:rPr>
          <w:rFonts w:hint="eastAsia" w:hAnsi="宋体" w:cs="宋体"/>
          <w:color w:val="auto"/>
          <w:sz w:val="22"/>
          <w:szCs w:val="22"/>
          <w:lang w:eastAsia="zh-CN"/>
        </w:rPr>
        <w:t>复印件</w:t>
      </w:r>
      <w:r>
        <w:rPr>
          <w:rFonts w:hint="eastAsia" w:hAnsi="宋体" w:cs="宋体"/>
          <w:b/>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lang w:eastAsia="zh-CN"/>
        </w:rPr>
        <w:t>；</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⑶法定代表人完整有效的身份证复印件</w:t>
      </w:r>
      <w:r>
        <w:rPr>
          <w:rFonts w:hint="eastAsia" w:hAnsi="宋体" w:cs="宋体"/>
          <w:b/>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rPr>
        <w:t>；</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⑷供应商法定代表人授权委托书原件和委托代理人完整有效的身份证复印件</w:t>
      </w:r>
      <w:r>
        <w:rPr>
          <w:rFonts w:hint="eastAsia" w:hAnsi="宋体" w:cs="宋体"/>
          <w:b/>
          <w:color w:val="auto"/>
          <w:sz w:val="22"/>
          <w:szCs w:val="22"/>
        </w:rPr>
        <w:t>（</w:t>
      </w:r>
      <w:r>
        <w:rPr>
          <w:rFonts w:hint="eastAsia" w:hAnsi="宋体" w:cs="宋体"/>
          <w:b/>
          <w:bCs/>
          <w:color w:val="auto"/>
          <w:sz w:val="22"/>
          <w:szCs w:val="22"/>
        </w:rPr>
        <w:t>委托代理时必须提供，</w:t>
      </w:r>
      <w:r>
        <w:rPr>
          <w:rFonts w:hint="eastAsia" w:hAnsi="宋体" w:cs="宋体"/>
          <w:b/>
          <w:color w:val="auto"/>
          <w:sz w:val="22"/>
          <w:szCs w:val="22"/>
        </w:rPr>
        <w:t>同时要加盖单位公章，否则被认定为资格审查不合格而取消其谈判资格）</w:t>
      </w:r>
      <w:r>
        <w:rPr>
          <w:rFonts w:hint="eastAsia" w:hAnsi="宋体" w:cs="宋体"/>
          <w:color w:val="auto"/>
          <w:sz w:val="22"/>
          <w:szCs w:val="22"/>
        </w:rPr>
        <w:t>；</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⑸截标时间前半年内，连续三个月供应商依法缴纳税收的凭证复印件。无纳税记录的，应提供供应商所在地的税务部门出具的《依法纳税或依法免税证明》复印件。（新成立的公司以实际情况为准）；</w:t>
      </w:r>
      <w:r>
        <w:rPr>
          <w:rFonts w:hint="eastAsia" w:hAnsi="宋体" w:cs="宋体"/>
          <w:b/>
          <w:bCs/>
          <w:color w:val="auto"/>
          <w:sz w:val="22"/>
          <w:szCs w:val="22"/>
        </w:rPr>
        <w:t>（必须提供）</w:t>
      </w:r>
    </w:p>
    <w:p>
      <w:pPr>
        <w:pStyle w:val="13"/>
        <w:spacing w:line="420" w:lineRule="exact"/>
        <w:ind w:firstLine="420"/>
        <w:rPr>
          <w:rFonts w:hint="eastAsia" w:hAnsi="宋体" w:cs="宋体"/>
          <w:b/>
          <w:bCs/>
          <w:color w:val="auto"/>
          <w:sz w:val="22"/>
          <w:szCs w:val="22"/>
        </w:rPr>
      </w:pPr>
      <w:r>
        <w:rPr>
          <w:rFonts w:hint="eastAsia" w:hAnsi="宋体" w:cs="宋体"/>
          <w:color w:val="auto"/>
          <w:sz w:val="22"/>
          <w:szCs w:val="22"/>
        </w:rPr>
        <w:fldChar w:fldCharType="begin"/>
      </w:r>
      <w:r>
        <w:rPr>
          <w:rFonts w:hint="eastAsia" w:hAnsi="宋体" w:cs="宋体"/>
          <w:color w:val="auto"/>
          <w:sz w:val="22"/>
          <w:szCs w:val="22"/>
        </w:rPr>
        <w:instrText xml:space="preserve"> = 6 \* GB2 </w:instrText>
      </w:r>
      <w:r>
        <w:rPr>
          <w:rFonts w:hint="eastAsia" w:hAnsi="宋体" w:cs="宋体"/>
          <w:color w:val="auto"/>
          <w:sz w:val="22"/>
          <w:szCs w:val="22"/>
        </w:rPr>
        <w:fldChar w:fldCharType="separate"/>
      </w:r>
      <w:r>
        <w:rPr>
          <w:rFonts w:hint="eastAsia" w:hAnsi="宋体" w:cs="宋体"/>
          <w:color w:val="auto"/>
          <w:sz w:val="22"/>
          <w:szCs w:val="22"/>
        </w:rPr>
        <w:t>⑹</w:t>
      </w:r>
      <w:r>
        <w:rPr>
          <w:rFonts w:hint="eastAsia" w:hAnsi="宋体" w:cs="宋体"/>
          <w:color w:val="auto"/>
          <w:sz w:val="22"/>
          <w:szCs w:val="22"/>
        </w:rPr>
        <w:fldChar w:fldCharType="end"/>
      </w:r>
      <w:r>
        <w:rPr>
          <w:rFonts w:hint="eastAsia" w:hAnsi="宋体" w:cs="宋体"/>
          <w:color w:val="auto"/>
          <w:sz w:val="22"/>
          <w:szCs w:val="22"/>
        </w:rPr>
        <w:t>截标时间前半年内，连续三个月供应商依法缴纳社会保障资金的凭证复印件。无缴费记录的，应提供供应商所在地社保部门出具的《依法缴纳或依法免缴社保费证明》复印件（新成立的公司以实际情况为准）；</w:t>
      </w:r>
      <w:r>
        <w:rPr>
          <w:rFonts w:hint="eastAsia" w:hAnsi="宋体" w:cs="宋体"/>
          <w:b/>
          <w:bCs/>
          <w:color w:val="auto"/>
          <w:sz w:val="22"/>
          <w:szCs w:val="22"/>
        </w:rPr>
        <w:t>（必须提供）</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fldChar w:fldCharType="begin"/>
      </w:r>
      <w:r>
        <w:rPr>
          <w:rFonts w:hint="eastAsia" w:hAnsi="宋体" w:cs="宋体"/>
          <w:color w:val="auto"/>
          <w:sz w:val="22"/>
          <w:szCs w:val="22"/>
        </w:rPr>
        <w:instrText xml:space="preserve"> = 7 \* GB2 </w:instrText>
      </w:r>
      <w:r>
        <w:rPr>
          <w:rFonts w:hint="eastAsia" w:hAnsi="宋体" w:cs="宋体"/>
          <w:color w:val="auto"/>
          <w:sz w:val="22"/>
          <w:szCs w:val="22"/>
        </w:rPr>
        <w:fldChar w:fldCharType="separate"/>
      </w:r>
      <w:r>
        <w:rPr>
          <w:rFonts w:hint="eastAsia" w:hAnsi="宋体" w:cs="宋体"/>
          <w:color w:val="auto"/>
          <w:sz w:val="22"/>
          <w:szCs w:val="22"/>
        </w:rPr>
        <w:t>⑺</w:t>
      </w:r>
      <w:r>
        <w:rPr>
          <w:rFonts w:hint="eastAsia" w:hAnsi="宋体" w:cs="宋体"/>
          <w:color w:val="auto"/>
          <w:sz w:val="22"/>
          <w:szCs w:val="22"/>
        </w:rPr>
        <w:fldChar w:fldCharType="end"/>
      </w:r>
      <w:r>
        <w:rPr>
          <w:rFonts w:hint="eastAsia" w:hAnsi="宋体" w:cs="宋体"/>
          <w:color w:val="auto"/>
          <w:sz w:val="22"/>
          <w:szCs w:val="22"/>
        </w:rPr>
        <w:t>信用声明函；</w:t>
      </w:r>
      <w:r>
        <w:rPr>
          <w:rFonts w:hint="eastAsia" w:hAnsi="宋体" w:cs="宋体"/>
          <w:b/>
          <w:bCs/>
          <w:color w:val="auto"/>
          <w:sz w:val="22"/>
          <w:szCs w:val="22"/>
        </w:rPr>
        <w:t>（</w:t>
      </w:r>
      <w:r>
        <w:rPr>
          <w:rFonts w:hint="eastAsia" w:hAnsi="宋体" w:cs="宋体"/>
          <w:b/>
          <w:bCs/>
          <w:color w:val="auto"/>
          <w:sz w:val="22"/>
          <w:szCs w:val="22"/>
          <w:lang w:eastAsia="zh-CN"/>
        </w:rPr>
        <w:t>格式见第六章，</w:t>
      </w:r>
      <w:r>
        <w:rPr>
          <w:rFonts w:hint="eastAsia" w:hAnsi="宋体" w:cs="宋体"/>
          <w:b/>
          <w:bCs/>
          <w:color w:val="auto"/>
          <w:sz w:val="22"/>
          <w:szCs w:val="22"/>
        </w:rPr>
        <w:t>必须提供）</w:t>
      </w:r>
    </w:p>
    <w:p>
      <w:pPr>
        <w:pStyle w:val="13"/>
        <w:spacing w:line="420" w:lineRule="exact"/>
        <w:ind w:firstLine="420"/>
        <w:rPr>
          <w:rFonts w:hint="eastAsia" w:hAnsi="宋体" w:cs="宋体"/>
          <w:b/>
          <w:bCs/>
          <w:color w:val="auto"/>
          <w:sz w:val="22"/>
          <w:szCs w:val="22"/>
        </w:rPr>
      </w:pPr>
      <w:r>
        <w:rPr>
          <w:rFonts w:hint="eastAsia" w:hAnsi="宋体" w:cs="宋体"/>
          <w:color w:val="auto"/>
          <w:sz w:val="22"/>
          <w:szCs w:val="22"/>
        </w:rPr>
        <w:t>⑻参加采购活动前三年内在经营活动中没有重大违法记录的书面声明</w:t>
      </w:r>
      <w:r>
        <w:rPr>
          <w:rFonts w:hint="eastAsia" w:hAnsi="宋体" w:cs="宋体"/>
          <w:b/>
          <w:bCs/>
          <w:color w:val="auto"/>
          <w:sz w:val="22"/>
          <w:szCs w:val="22"/>
        </w:rPr>
        <w:t>（格式自拟，必须提供）；</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⑼供应商自</w:t>
      </w:r>
      <w:r>
        <w:rPr>
          <w:rFonts w:hint="eastAsia" w:hAnsi="宋体" w:cs="宋体"/>
          <w:color w:val="auto"/>
          <w:sz w:val="22"/>
          <w:szCs w:val="22"/>
          <w:lang w:eastAsia="zh-CN"/>
        </w:rPr>
        <w:t>2017年</w:t>
      </w:r>
      <w:r>
        <w:rPr>
          <w:rFonts w:hint="eastAsia" w:hAnsi="宋体" w:cs="宋体"/>
          <w:color w:val="auto"/>
          <w:sz w:val="22"/>
          <w:szCs w:val="22"/>
        </w:rPr>
        <w:t>以来获得的省级及以上有关行政主管部门颁发的与企业生产经营相关的各种荣（信）誉奖项证书（如有，请提供复印件）；</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⑽供应商</w:t>
      </w:r>
      <w:r>
        <w:rPr>
          <w:rFonts w:hint="eastAsia" w:hAnsi="宋体" w:cs="宋体"/>
          <w:color w:val="auto"/>
          <w:sz w:val="22"/>
          <w:szCs w:val="22"/>
          <w:lang w:eastAsia="zh-CN"/>
        </w:rPr>
        <w:t>2017年</w:t>
      </w:r>
      <w:r>
        <w:rPr>
          <w:rFonts w:hint="eastAsia" w:hAnsi="宋体" w:cs="宋体"/>
          <w:color w:val="auto"/>
          <w:sz w:val="22"/>
          <w:szCs w:val="22"/>
        </w:rPr>
        <w:t>以来类似项目合同或中标通知书复印件（若有，请提供复印件，原件备查）。</w:t>
      </w:r>
    </w:p>
    <w:p>
      <w:pPr>
        <w:pStyle w:val="13"/>
        <w:spacing w:line="420" w:lineRule="exact"/>
        <w:ind w:firstLine="420"/>
        <w:rPr>
          <w:rFonts w:hint="eastAsia" w:hAnsi="宋体" w:cs="宋体"/>
          <w:color w:val="auto"/>
          <w:sz w:val="22"/>
          <w:szCs w:val="22"/>
        </w:rPr>
      </w:pPr>
      <w:r>
        <w:rPr>
          <w:rFonts w:hint="eastAsia" w:ascii="宋体" w:hAnsi="宋体" w:eastAsia="宋体" w:cs="宋体"/>
          <w:color w:val="auto"/>
          <w:sz w:val="22"/>
          <w:szCs w:val="22"/>
        </w:rPr>
        <w:t>⑾</w:t>
      </w:r>
      <w:r>
        <w:rPr>
          <w:rFonts w:hint="eastAsia" w:hAnsi="宋体" w:cs="宋体"/>
          <w:color w:val="auto"/>
          <w:sz w:val="22"/>
          <w:szCs w:val="22"/>
        </w:rPr>
        <w:t>供应商认为必要提供的声明及文件资料。</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13.证明</w:t>
      </w:r>
      <w:r>
        <w:rPr>
          <w:rFonts w:hint="eastAsia" w:ascii="宋体" w:hAnsi="宋体" w:cs="宋体"/>
          <w:color w:val="auto"/>
          <w:sz w:val="22"/>
          <w:szCs w:val="22"/>
          <w:lang w:eastAsia="zh-CN"/>
        </w:rPr>
        <w:t>服务</w:t>
      </w:r>
      <w:r>
        <w:rPr>
          <w:rFonts w:hint="eastAsia" w:ascii="宋体" w:hAnsi="宋体" w:cs="宋体"/>
          <w:color w:val="auto"/>
          <w:sz w:val="22"/>
          <w:szCs w:val="22"/>
        </w:rPr>
        <w:t>的合格性和符合竞争性谈判采购条件书规定的文件（如有，请提供）；</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14.竞争性谈判响应文件编制基本要求</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14.1谈判供应商对竞争性谈判响应文件的编制应按要求装订和封装。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14.3谈判供应商应认真阅读、并充分理解本文件的全部内容（包括所有的补充、修改内容），承诺并履行本文件中各项条款规定及要求。</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14.4竞争性谈判响应文件必须按本文件的全部内容，包括所有的补充通知及附件进行编制。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14.5如因谈判供应商只填写和提供了本文件要求的部分内容和附件，而给评审造成困难，其可能导致的结果和责任由谈判供应商自行承担。</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15.竞争性谈判响应文件的语言及计量单位</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15.1竞争性谈判响应文件以及谈判方与采购方就有关谈判事宜的所有来往函电，均应以中文汉语书写。除签名、盖章、专用名称等特殊情形外，以中文汉语以外的文字表述的竞争性谈判响应文件视同未提供。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15.2除技术要求中另有规定外，本文件所要求使用的计量单位均应采用国家法定计量单位。</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16.谈判报价</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16.1供应商必须就“项目需求”中的所有货物及服务内容作完整唯一报价，否则，其谈判将被拒绝。</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16.2对于本文件中未列明，而谈判供应商认为必需的费用也需列入总报价。在合同实施时，采购人将不予支付成交供应商没有列入的项目费用，并认为此项目的费用已包括在总报价中。</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16.3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如果因供应商原因引起的报价失误，并在谈判时被接受，其后果由供应商自负。</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16.4供应商报价应包含货物、随配附件、备品备件、工具、货物运抵指定交货地点、基础、安装调试的各种费用和售后服务、税金及其它所有成本费用的总和。</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17.谈判的有效期</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17.1竞争性谈判响应文件有效期详见本须知前附表第4项规定。</w:t>
      </w:r>
    </w:p>
    <w:p>
      <w:pPr>
        <w:pStyle w:val="13"/>
        <w:spacing w:line="420" w:lineRule="exact"/>
        <w:ind w:firstLine="420"/>
        <w:rPr>
          <w:rFonts w:hint="eastAsia" w:hAnsi="宋体" w:cs="宋体"/>
          <w:color w:val="auto"/>
          <w:spacing w:val="2"/>
          <w:sz w:val="22"/>
          <w:szCs w:val="22"/>
        </w:rPr>
      </w:pPr>
      <w:r>
        <w:rPr>
          <w:rFonts w:hint="eastAsia" w:hAnsi="宋体" w:cs="宋体"/>
          <w:color w:val="auto"/>
          <w:sz w:val="22"/>
          <w:szCs w:val="22"/>
        </w:rPr>
        <w:t>17.2</w:t>
      </w:r>
      <w:r>
        <w:rPr>
          <w:rFonts w:hint="eastAsia" w:hAnsi="宋体" w:cs="宋体"/>
          <w:color w:val="auto"/>
          <w:spacing w:val="2"/>
          <w:sz w:val="22"/>
          <w:szCs w:val="22"/>
        </w:rPr>
        <w:t>在原定谈判有效期满之前，如果出现特殊情况，采购人或采购代理机构可以书面形式向供应商提出延长谈判有效期的要求。供应商须以书面形式予以答复，供应商可以拒绝这种要求。同意延长谈判有效期的供应商不允许修改其竞争性谈判响应文件及谈判应答文件，在延长期内本须知第16条的规定仍然适用。</w:t>
      </w:r>
    </w:p>
    <w:p>
      <w:pPr>
        <w:pStyle w:val="13"/>
        <w:spacing w:line="420" w:lineRule="exact"/>
        <w:ind w:firstLine="420"/>
        <w:rPr>
          <w:rFonts w:hint="default" w:hAnsi="宋体" w:eastAsia="宋体" w:cs="宋体"/>
          <w:color w:val="auto"/>
          <w:sz w:val="22"/>
          <w:szCs w:val="22"/>
          <w:lang w:val="en-US" w:eastAsia="zh-CN"/>
        </w:rPr>
      </w:pPr>
      <w:r>
        <w:rPr>
          <w:rFonts w:hint="eastAsia" w:hAnsi="宋体" w:cs="宋体"/>
          <w:b/>
          <w:color w:val="auto"/>
          <w:sz w:val="22"/>
          <w:szCs w:val="22"/>
        </w:rPr>
        <w:t>18.谈判保证金</w:t>
      </w:r>
      <w:r>
        <w:rPr>
          <w:rFonts w:hint="eastAsia" w:hAnsi="宋体" w:cs="宋体"/>
          <w:b/>
          <w:color w:val="auto"/>
          <w:sz w:val="22"/>
          <w:szCs w:val="22"/>
          <w:lang w:eastAsia="zh-CN"/>
        </w:rPr>
        <w:t>：</w:t>
      </w:r>
      <w:r>
        <w:rPr>
          <w:rFonts w:hint="eastAsia" w:hAnsi="宋体" w:cs="宋体"/>
          <w:b w:val="0"/>
          <w:bCs/>
          <w:color w:val="auto"/>
          <w:sz w:val="22"/>
          <w:szCs w:val="22"/>
          <w:lang w:val="en-US" w:eastAsia="zh-CN"/>
        </w:rPr>
        <w:t>不收取</w:t>
      </w:r>
    </w:p>
    <w:p>
      <w:pPr>
        <w:snapToGrid w:val="0"/>
        <w:spacing w:line="420" w:lineRule="exact"/>
        <w:ind w:firstLine="440" w:firstLineChars="200"/>
        <w:rPr>
          <w:rFonts w:hint="eastAsia" w:ascii="宋体" w:hAnsi="宋体" w:cs="宋体"/>
          <w:color w:val="auto"/>
          <w:sz w:val="22"/>
          <w:szCs w:val="22"/>
        </w:rPr>
      </w:pPr>
    </w:p>
    <w:p>
      <w:pPr>
        <w:pStyle w:val="4"/>
        <w:spacing w:line="300" w:lineRule="exact"/>
        <w:jc w:val="center"/>
        <w:rPr>
          <w:rFonts w:hint="eastAsia" w:ascii="宋体" w:hAnsi="宋体" w:cs="宋体"/>
          <w:b w:val="0"/>
          <w:color w:val="auto"/>
          <w:sz w:val="22"/>
          <w:szCs w:val="22"/>
        </w:rPr>
      </w:pPr>
      <w:bookmarkStart w:id="49" w:name="_Toc327975579"/>
      <w:r>
        <w:rPr>
          <w:rFonts w:hint="eastAsia" w:ascii="宋体" w:hAnsi="宋体" w:cs="宋体"/>
          <w:color w:val="auto"/>
          <w:sz w:val="22"/>
          <w:szCs w:val="22"/>
        </w:rPr>
        <w:t>四、竞争性谈判响应文件的份数、封装和递交</w:t>
      </w:r>
      <w:bookmarkEnd w:id="49"/>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19.谈判响应文件的份数和封装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19.1供应商应将响应文件按顺序编制并装订成册，响应文件正、副本全部装入一个文件袋（盒、箱）中并加以密封，封口处必须加盖供应商单位公章以示密封。</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19.2竞争性谈判响应文件的信封上应写明：</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（1）竞争性谈判项目编号：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（2）竞争性谈判项目名称：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（3）谈判供应商名称：</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（4）供应商法定代表人或委托代理人姓名：</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00" w:lineRule="exact"/>
        <w:ind w:firstLine="482"/>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日北京时间</w:t>
      </w:r>
      <w:r>
        <w:rPr>
          <w:rFonts w:hint="eastAsia" w:ascii="宋体" w:hAnsi="宋体" w:cs="宋体"/>
          <w:color w:val="auto"/>
          <w:sz w:val="22"/>
          <w:szCs w:val="22"/>
          <w:u w:val="single"/>
        </w:rPr>
        <w:t xml:space="preserve">    </w:t>
      </w:r>
      <w:r>
        <w:rPr>
          <w:rFonts w:hint="eastAsia" w:ascii="宋体" w:hAnsi="宋体" w:cs="宋体"/>
          <w:color w:val="auto"/>
          <w:sz w:val="22"/>
          <w:szCs w:val="22"/>
        </w:rPr>
        <w:t>时</w:t>
      </w:r>
      <w:r>
        <w:rPr>
          <w:rFonts w:hint="eastAsia" w:ascii="宋体" w:hAnsi="宋体" w:cs="宋体"/>
          <w:color w:val="auto"/>
          <w:sz w:val="22"/>
          <w:szCs w:val="22"/>
          <w:u w:val="single"/>
        </w:rPr>
        <w:t xml:space="preserve">   </w:t>
      </w:r>
      <w:r>
        <w:rPr>
          <w:rFonts w:hint="eastAsia" w:ascii="宋体" w:hAnsi="宋体" w:cs="宋体"/>
          <w:color w:val="auto"/>
          <w:sz w:val="22"/>
          <w:szCs w:val="22"/>
        </w:rPr>
        <w:t>分开标，此时间以前不得开封。</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19.3响应文件的正本需打印或用不褪色的墨水填写，响应文件正本除本竞争性谈判采购条件书中规定的可提供复印件外均须提供原件。副本可以是正本的复印件。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19.4响应文件须由供应商在规定位置盖单位公章并由法定代表人或委托代理人签署，供应商应写单位全称。</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19.5响应文件不得涂改，若有修改错漏处，须加盖单位公章及法定代表人（或委托代理人）签字或盖印鉴章；响应文件因字迹潦草或表达不清所引起的后果由供应商负责。</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20.竞争性谈判响应文件的递交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20.1所有竞争性谈判响应文件应按本须知前附表第7项规定的时间前递交到</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20.2若遇到供应商过多造成部分供应商在截止时间前已抵达开标现场但未能签到的情况，采购代理机构将按规定在响应文件递交截止时间关闭大门，禁止迟到的供应商进入递交响应文件，供应商递交响应文件的时间应以其进入采购文件规定的开标场所的时间为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21.迟交的竞争性谈判响应文件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21.1按《中华人民共和国政府采购法》的规定，采购代理机构将拒绝或原封退回在其规定的递交竞争性谈判响应文件截止时间之后收到的任何竞争性谈判响应文件。</w:t>
      </w:r>
    </w:p>
    <w:p>
      <w:pPr>
        <w:pStyle w:val="4"/>
        <w:spacing w:line="300" w:lineRule="exact"/>
        <w:jc w:val="center"/>
        <w:rPr>
          <w:rFonts w:hint="eastAsia" w:ascii="宋体" w:hAnsi="宋体" w:cs="宋体"/>
          <w:b w:val="0"/>
          <w:color w:val="auto"/>
          <w:sz w:val="22"/>
          <w:szCs w:val="22"/>
        </w:rPr>
      </w:pPr>
      <w:bookmarkStart w:id="50" w:name="_Toc327975580"/>
      <w:r>
        <w:rPr>
          <w:rFonts w:hint="eastAsia" w:ascii="宋体" w:hAnsi="宋体" w:cs="宋体"/>
          <w:color w:val="auto"/>
          <w:sz w:val="22"/>
          <w:szCs w:val="22"/>
        </w:rPr>
        <w:t>五、竞争性谈判（简称谈判）与评标</w:t>
      </w:r>
      <w:bookmarkEnd w:id="50"/>
    </w:p>
    <w:p>
      <w:pPr>
        <w:spacing w:line="420" w:lineRule="exact"/>
        <w:ind w:firstLine="442" w:firstLineChars="200"/>
        <w:rPr>
          <w:rFonts w:hint="eastAsia" w:ascii="宋体" w:hAnsi="宋体" w:cs="宋体"/>
          <w:b/>
          <w:color w:val="auto"/>
          <w:sz w:val="22"/>
          <w:szCs w:val="22"/>
        </w:rPr>
      </w:pPr>
      <w:bookmarkStart w:id="51" w:name="_Toc304876596"/>
      <w:r>
        <w:rPr>
          <w:rFonts w:hint="eastAsia" w:ascii="宋体" w:hAnsi="宋体" w:cs="宋体"/>
          <w:b/>
          <w:color w:val="auto"/>
          <w:sz w:val="22"/>
          <w:szCs w:val="22"/>
        </w:rPr>
        <w:t>22. 开标</w:t>
      </w:r>
      <w:bookmarkEnd w:id="51"/>
    </w:p>
    <w:p>
      <w:pPr>
        <w:spacing w:line="420" w:lineRule="exact"/>
        <w:rPr>
          <w:rFonts w:hint="eastAsia" w:ascii="宋体" w:hAnsi="宋体" w:cs="宋体"/>
          <w:color w:val="auto"/>
          <w:sz w:val="22"/>
          <w:szCs w:val="22"/>
        </w:rPr>
      </w:pPr>
      <w:r>
        <w:rPr>
          <w:rFonts w:hint="eastAsia" w:ascii="宋体" w:hAnsi="宋体" w:cs="宋体"/>
          <w:color w:val="auto"/>
        </w:rPr>
        <w:t xml:space="preserve">  </w:t>
      </w:r>
      <w:r>
        <w:rPr>
          <w:rFonts w:hint="eastAsia" w:ascii="宋体" w:hAnsi="宋体" w:cs="宋体"/>
          <w:color w:val="auto"/>
          <w:sz w:val="22"/>
          <w:szCs w:val="22"/>
        </w:rPr>
        <w:t xml:space="preserve">  22.l 采购代理机构将于前附表第7项规定的时间和地点举行开标会议，参加开标的供应商法定代表人或授权委托代理人必须持证件</w:t>
      </w:r>
      <w:r>
        <w:rPr>
          <w:rFonts w:hint="eastAsia" w:ascii="宋体" w:hAnsi="宋体" w:cs="宋体"/>
          <w:b/>
          <w:bCs/>
          <w:color w:val="auto"/>
          <w:sz w:val="22"/>
          <w:szCs w:val="22"/>
        </w:rPr>
        <w:t>【法定代表人持法人身份证明书原件、本人身份证原件</w:t>
      </w:r>
      <w:r>
        <w:rPr>
          <w:rFonts w:hint="eastAsia" w:ascii="宋体" w:hAnsi="宋体" w:cs="宋体"/>
          <w:color w:val="auto"/>
          <w:sz w:val="22"/>
          <w:szCs w:val="22"/>
        </w:rPr>
        <w:t>；</w:t>
      </w:r>
      <w:r>
        <w:rPr>
          <w:rFonts w:hint="eastAsia" w:ascii="宋体" w:hAnsi="宋体" w:cs="宋体"/>
          <w:b/>
          <w:bCs/>
          <w:color w:val="auto"/>
          <w:sz w:val="22"/>
          <w:szCs w:val="22"/>
        </w:rPr>
        <w:t>委托代理人持法定代表人授权委托书原件、本人身份证原件】</w:t>
      </w:r>
      <w:r>
        <w:rPr>
          <w:rFonts w:hint="eastAsia" w:ascii="宋体" w:hAnsi="宋体" w:cs="宋体"/>
          <w:color w:val="auto"/>
          <w:sz w:val="22"/>
          <w:szCs w:val="22"/>
        </w:rPr>
        <w:t>参加开标会并签到，未按规定参加开标会的，视同放弃谈判，其响应文件不予接收。</w:t>
      </w:r>
    </w:p>
    <w:p>
      <w:pPr>
        <w:spacing w:line="42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22.2 开标会议在采购单位代表现场监督下，由采购代理机构组织并主持，对响应文件进行检查，确认它们是否按要求密封，是否按要求提供了</w:t>
      </w:r>
      <w:r>
        <w:rPr>
          <w:rFonts w:hint="eastAsia" w:ascii="宋体" w:hAnsi="宋体" w:cs="宋体"/>
          <w:color w:val="auto"/>
          <w:sz w:val="22"/>
          <w:szCs w:val="22"/>
          <w:lang w:val="en-US" w:eastAsia="zh-CN"/>
        </w:rPr>
        <w:t>有效证件</w:t>
      </w:r>
      <w:r>
        <w:rPr>
          <w:rFonts w:hint="eastAsia" w:ascii="宋体" w:hAnsi="宋体" w:cs="宋体"/>
          <w:color w:val="auto"/>
          <w:sz w:val="22"/>
          <w:szCs w:val="22"/>
        </w:rPr>
        <w:t>。但按规定提交了合格撤回通知的响应文件不予启封。</w:t>
      </w:r>
    </w:p>
    <w:p>
      <w:pPr>
        <w:spacing w:line="420" w:lineRule="exact"/>
        <w:ind w:firstLine="480"/>
        <w:rPr>
          <w:rFonts w:hint="eastAsia" w:ascii="宋体" w:hAnsi="宋体" w:cs="宋体"/>
          <w:color w:val="auto"/>
          <w:sz w:val="22"/>
          <w:szCs w:val="22"/>
        </w:rPr>
      </w:pPr>
      <w:r>
        <w:rPr>
          <w:rFonts w:hint="eastAsia" w:ascii="宋体" w:hAnsi="宋体" w:cs="宋体"/>
          <w:color w:val="auto"/>
          <w:sz w:val="22"/>
          <w:szCs w:val="22"/>
        </w:rPr>
        <w:t>22.3 开标会议程序</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（1）采购代理机构主持人宣布开标会议开始；</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（2）公布在谈判截止时间前递交响应文件的供应商数量；</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（3）介绍参加开标会议的人员名单（包括供应商代表、采购单位代表和采购代理机构工作人员）；</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（4）宣布开标纪律；</w:t>
      </w:r>
    </w:p>
    <w:p>
      <w:pPr>
        <w:spacing w:line="420" w:lineRule="exact"/>
        <w:ind w:left="22" w:firstLine="418" w:firstLineChars="190"/>
        <w:rPr>
          <w:rFonts w:hint="eastAsia" w:ascii="宋体" w:hAnsi="宋体" w:cs="宋体"/>
          <w:color w:val="auto"/>
          <w:sz w:val="22"/>
          <w:szCs w:val="22"/>
        </w:rPr>
      </w:pPr>
      <w:r>
        <w:rPr>
          <w:rFonts w:hint="eastAsia" w:ascii="宋体" w:hAnsi="宋体" w:cs="宋体"/>
          <w:color w:val="auto"/>
          <w:sz w:val="22"/>
          <w:szCs w:val="22"/>
        </w:rPr>
        <w:t>（5）采购人代表检验参加开标会各供应商的法定代表人或其委托代理人（如委托）的证件（</w:t>
      </w:r>
      <w:r>
        <w:rPr>
          <w:rFonts w:hint="eastAsia" w:ascii="宋体" w:hAnsi="宋体" w:cs="宋体"/>
          <w:b/>
          <w:bCs/>
          <w:color w:val="auto"/>
          <w:sz w:val="22"/>
          <w:szCs w:val="22"/>
        </w:rPr>
        <w:t>法定代表人身份证明书、身份证；法定代表人授权委托书、委托代理人身份证</w:t>
      </w:r>
      <w:r>
        <w:rPr>
          <w:rFonts w:hint="eastAsia" w:ascii="宋体" w:hAnsi="宋体" w:cs="宋体"/>
          <w:color w:val="auto"/>
          <w:sz w:val="22"/>
          <w:szCs w:val="22"/>
        </w:rPr>
        <w:t>），资格证件不齐、无效的响应文件不予启封；</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（6）当众宣布核查结果；</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（7）由各供应商的代表交叉检验各响应文件密封的完整性并签字确认；</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 xml:space="preserve"> (8) 宣读谈判和评标期间的有关事项；</w:t>
      </w:r>
    </w:p>
    <w:p>
      <w:pPr>
        <w:spacing w:line="420" w:lineRule="exact"/>
        <w:ind w:firstLine="660" w:firstLineChars="300"/>
        <w:rPr>
          <w:rFonts w:hint="eastAsia" w:ascii="宋体" w:hAnsi="宋体" w:cs="宋体"/>
          <w:b/>
          <w:color w:val="auto"/>
          <w:sz w:val="22"/>
          <w:szCs w:val="22"/>
        </w:rPr>
      </w:pPr>
      <w:r>
        <w:rPr>
          <w:rFonts w:hint="eastAsia" w:ascii="宋体" w:hAnsi="宋体" w:cs="宋体"/>
          <w:color w:val="auto"/>
          <w:sz w:val="22"/>
          <w:szCs w:val="22"/>
        </w:rPr>
        <w:t>(9) 宣布开标会议结束。</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23.谈判</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23.1谈判时间及地点：按本须知前附表第8项规定，具体时间由采购代理机构另行通知。</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23.2采购代理机构根据谈判项目的特点组建由三人以上（含三人）的单数组成的谈判小组，谈判小组成员由采购人代表、从政府采购专家库中随机抽取的有关专家组成。在整个谈判过程中，谈判小组将负责对全部竞争性谈判响应文件格式进行审查、谈判及评标工作。</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23.3谈判的步骤</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23.3.1第一轮谈判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第一轮谈判：谈判小组按已确定的谈判顺序，与单一供应商分别就符合采购需求、质量和服务等方面进行谈判，并了解其报价组成情况。</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谈判过程中，谈判的任何一方不得透露与谈判有关的其他供应商的技术资料、价格和其他信息。谈判文件有实质变动的，谈判小组应当以书面形式通知所有参加谈判的供应商。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采购代理机构对谈判过程和重要谈判内容进行记录，谈判双方在记录上签字确认。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谈判小组一致确定相应供应商符合谈判文件要求的。按照谈判文件设定的方法和标准确定成交候选人。在第一轮谈判中谈判小组未能确定成交候选人的，对谈判文件修正后进行第二轮谈判。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23.3.2谈判文件修正</w:t>
      </w:r>
    </w:p>
    <w:p>
      <w:pPr>
        <w:widowControl/>
        <w:tabs>
          <w:tab w:val="left" w:pos="540"/>
        </w:tabs>
        <w:spacing w:line="42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⑴</w:t>
      </w:r>
      <w:r>
        <w:rPr>
          <w:rFonts w:hint="eastAsia" w:ascii="宋体" w:hAnsi="宋体" w:cs="宋体"/>
          <w:color w:val="auto"/>
          <w:sz w:val="22"/>
          <w:szCs w:val="22"/>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2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⑵采购</w:t>
      </w:r>
      <w:r>
        <w:rPr>
          <w:rFonts w:hint="eastAsia" w:ascii="宋体" w:hAnsi="宋体" w:cs="宋体"/>
          <w:color w:val="auto"/>
          <w:kern w:val="0"/>
          <w:sz w:val="22"/>
          <w:szCs w:val="22"/>
        </w:rPr>
        <w:t>代理机构</w:t>
      </w:r>
      <w:r>
        <w:rPr>
          <w:rFonts w:hint="eastAsia" w:ascii="宋体" w:hAnsi="宋体" w:cs="宋体"/>
          <w:color w:val="auto"/>
          <w:sz w:val="22"/>
          <w:szCs w:val="22"/>
        </w:rPr>
        <w:t>通知响应供应商集中，谈判小组强调调整后的采购要求，将谈判文件的修改结果以书面形式通知响应供应商，向响应供应商提供较充分的修正时间。</w:t>
      </w:r>
    </w:p>
    <w:p>
      <w:pPr>
        <w:widowControl/>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⑶响应供应商根据第一轮谈判情况和谈判文件修改书面通知，对原响应文件进行修正，并将修正文件签字（或盖章）后密封送交谈判小组。逾时不交的，视同放弃谈判。修正文件与响应文件同具法律效应。</w:t>
      </w:r>
    </w:p>
    <w:p>
      <w:pPr>
        <w:widowControl/>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kern w:val="0"/>
          <w:sz w:val="22"/>
          <w:szCs w:val="22"/>
        </w:rPr>
        <w:t>23.3.3第二轮谈判</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kern w:val="0"/>
          <w:sz w:val="22"/>
          <w:szCs w:val="22"/>
        </w:rPr>
        <w:t>谈判小组就修正后的响应文件与响应供应商分别进行谈判。采购</w:t>
      </w:r>
      <w:r>
        <w:rPr>
          <w:rFonts w:hint="eastAsia" w:ascii="宋体" w:hAnsi="宋体" w:cs="宋体"/>
          <w:color w:val="auto"/>
          <w:sz w:val="22"/>
          <w:szCs w:val="22"/>
        </w:rPr>
        <w:t>代理机构对谈判过程和重要谈判内容进行记录，谈判双方在记录上签字确认。谈判小组按谈判文件设定的方法和标准确定成交候选人。</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第二轮谈判谈判小组未能确定成交候选人的，对谈判文件修正后进行第三轮谈判。以此类推。</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23.3.4最终报价</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响应供应商作最终报价，密封递交谈判小组。</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23.3.5响应供应商的报价均超过了政府采购预算，采购人不能支付的，谈判活动终止；终止后，采购人需要采取调整采购预算或项目配置标准等，或采取其他采购方式的，应当在采购活动开始前获得财政部门批准。</w:t>
      </w:r>
    </w:p>
    <w:p>
      <w:pPr>
        <w:widowControl/>
        <w:tabs>
          <w:tab w:val="left" w:pos="540"/>
        </w:tabs>
        <w:spacing w:line="42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24.评标</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24.1本采购项目是以政府采购预算价为最高限价，超出政府采购预算价的最终谈判报价，采购人不能支付时，谈判小组将不予以评审。</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24.2本采购项目的评标依据为条件书和响应文件。</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24.3本项目采用的评标方法按本须知前附表第11项规定执行，“谈判小组”成员、有关工作人员及其他知情人不得透露对响应文件的评审、比较和成交候选供应商的推荐情况以及与评标有关的其他情况。</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24.4供应商在评标过程中，所进行的力图影响评标结果公正性的活动，将可能导致其成交资格被取消。</w:t>
      </w:r>
    </w:p>
    <w:p>
      <w:pPr>
        <w:widowControl/>
        <w:tabs>
          <w:tab w:val="left" w:pos="540"/>
        </w:tabs>
        <w:spacing w:line="420" w:lineRule="exact"/>
        <w:ind w:firstLine="442" w:firstLineChars="200"/>
        <w:jc w:val="left"/>
        <w:rPr>
          <w:rFonts w:hint="eastAsia" w:ascii="宋体" w:hAnsi="宋体" w:cs="宋体"/>
          <w:color w:val="auto"/>
          <w:sz w:val="22"/>
          <w:szCs w:val="22"/>
        </w:rPr>
      </w:pPr>
      <w:r>
        <w:rPr>
          <w:rFonts w:hint="eastAsia" w:ascii="宋体" w:hAnsi="宋体" w:cs="宋体"/>
          <w:b/>
          <w:color w:val="auto"/>
          <w:sz w:val="22"/>
          <w:szCs w:val="22"/>
        </w:rPr>
        <w:t>25.无效的竞争性谈判响应文件</w:t>
      </w:r>
    </w:p>
    <w:p>
      <w:pPr>
        <w:widowControl/>
        <w:spacing w:line="420" w:lineRule="exact"/>
        <w:ind w:firstLine="431" w:firstLineChars="195"/>
        <w:jc w:val="left"/>
        <w:rPr>
          <w:rFonts w:hint="eastAsia" w:ascii="宋体" w:hAnsi="宋体" w:cs="宋体"/>
          <w:b/>
          <w:bCs/>
          <w:color w:val="auto"/>
          <w:sz w:val="22"/>
          <w:szCs w:val="22"/>
        </w:rPr>
      </w:pPr>
      <w:r>
        <w:rPr>
          <w:rFonts w:hint="eastAsia" w:ascii="宋体" w:hAnsi="宋体" w:cs="宋体"/>
          <w:b/>
          <w:bCs/>
          <w:color w:val="auto"/>
          <w:sz w:val="22"/>
          <w:szCs w:val="22"/>
        </w:rPr>
        <w:t>25.1竞争性谈判响应文件或最终谈判报价如有下列情况之一，将会在评标中按照无效谈判处理：</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（1）供应商所提供的材料不足以证明其具备本项目要求资格的；</w:t>
      </w:r>
    </w:p>
    <w:p>
      <w:pPr>
        <w:pStyle w:val="13"/>
        <w:spacing w:line="420" w:lineRule="exact"/>
        <w:ind w:firstLine="431" w:firstLineChars="195"/>
        <w:rPr>
          <w:rFonts w:hint="eastAsia" w:hAnsi="宋体" w:cs="宋体"/>
          <w:color w:val="auto"/>
          <w:sz w:val="22"/>
          <w:szCs w:val="22"/>
        </w:rPr>
      </w:pPr>
      <w:r>
        <w:rPr>
          <w:rFonts w:hint="eastAsia" w:hAnsi="宋体" w:cs="宋体"/>
          <w:b/>
          <w:color w:val="auto"/>
          <w:sz w:val="22"/>
          <w:szCs w:val="22"/>
        </w:rPr>
        <w:t>（2）供应商未按规定向采购代理机构购买本项目竞争性谈判采购条件书的；</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（3）供应商未就“项目需求”的所有货物及服务内容作完整唯一报价的；</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（4）供应商未按竞争性谈判采购条件书的要求密封、签署、盖章的；</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（5）供应商</w:t>
      </w:r>
      <w:r>
        <w:rPr>
          <w:rFonts w:hint="eastAsia" w:hAnsi="宋体" w:cs="宋体"/>
          <w:b/>
          <w:bCs/>
          <w:color w:val="auto"/>
          <w:sz w:val="22"/>
          <w:szCs w:val="22"/>
        </w:rPr>
        <w:t>最终</w:t>
      </w:r>
      <w:r>
        <w:rPr>
          <w:rFonts w:hint="eastAsia" w:hAnsi="宋体" w:cs="宋体"/>
          <w:b/>
          <w:color w:val="auto"/>
          <w:sz w:val="22"/>
          <w:szCs w:val="22"/>
        </w:rPr>
        <w:t>谈判报价</w:t>
      </w:r>
      <w:r>
        <w:rPr>
          <w:rFonts w:hint="eastAsia" w:hAnsi="宋体" w:cs="宋体"/>
          <w:b/>
          <w:bCs/>
          <w:color w:val="auto"/>
          <w:sz w:val="22"/>
          <w:szCs w:val="22"/>
        </w:rPr>
        <w:t>超出政府采购预算价的</w:t>
      </w:r>
      <w:r>
        <w:rPr>
          <w:rFonts w:hint="eastAsia" w:hAnsi="宋体" w:cs="宋体"/>
          <w:b/>
          <w:color w:val="auto"/>
          <w:sz w:val="22"/>
          <w:szCs w:val="22"/>
        </w:rPr>
        <w:t>；</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（6）供应商不符合本须知第12、13条中规定的实质性要求并且在谈判规定的时间内无法说明和补充的；</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（7）供应商无法在规定时间内提供资格证明材料进行核对的，或应谈判小组要求提供的有关材料原件与其在竞争性谈判响应文件中所提供的材料复印件不一致的；</w:t>
      </w:r>
    </w:p>
    <w:p>
      <w:pPr>
        <w:pStyle w:val="13"/>
        <w:spacing w:line="420" w:lineRule="exact"/>
        <w:ind w:firstLine="431" w:firstLineChars="195"/>
        <w:rPr>
          <w:rFonts w:hint="eastAsia" w:hAnsi="宋体" w:cs="宋体"/>
          <w:b/>
          <w:color w:val="auto"/>
          <w:sz w:val="22"/>
          <w:szCs w:val="22"/>
        </w:rPr>
      </w:pPr>
      <w:r>
        <w:rPr>
          <w:rFonts w:hint="eastAsia" w:hAnsi="宋体" w:cs="宋体"/>
          <w:b/>
          <w:color w:val="auto"/>
          <w:sz w:val="22"/>
          <w:szCs w:val="22"/>
        </w:rPr>
        <w:t>（8）供应商递交两份或多份内容不同的竞争性谈判响应文件，或在一份竞争性谈判响应文件中对同一采购货物有两个或多个报价，且未声明哪一个为最终报价的，按竞争性谈判采购条件书规定提交备选谈判方案的除外；</w:t>
      </w:r>
    </w:p>
    <w:p>
      <w:pPr>
        <w:widowControl/>
        <w:spacing w:line="420" w:lineRule="exact"/>
        <w:ind w:firstLine="431" w:firstLineChars="195"/>
        <w:jc w:val="left"/>
        <w:rPr>
          <w:rFonts w:hint="eastAsia" w:ascii="宋体" w:hAnsi="宋体" w:cs="宋体"/>
          <w:b/>
          <w:color w:val="auto"/>
          <w:sz w:val="22"/>
          <w:szCs w:val="22"/>
        </w:rPr>
      </w:pPr>
      <w:r>
        <w:rPr>
          <w:rFonts w:hint="eastAsia" w:hAnsi="宋体" w:cs="宋体"/>
          <w:b/>
          <w:color w:val="auto"/>
          <w:sz w:val="22"/>
          <w:szCs w:val="22"/>
        </w:rPr>
        <w:t>（9）</w:t>
      </w:r>
      <w:r>
        <w:rPr>
          <w:rFonts w:hint="eastAsia" w:ascii="宋体" w:hAnsi="宋体" w:cs="宋体"/>
          <w:b/>
          <w:bCs/>
          <w:color w:val="auto"/>
          <w:sz w:val="22"/>
          <w:szCs w:val="22"/>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widowControl/>
        <w:spacing w:line="420" w:lineRule="exact"/>
        <w:ind w:firstLine="431" w:firstLineChars="195"/>
        <w:jc w:val="left"/>
        <w:rPr>
          <w:rFonts w:hint="eastAsia" w:ascii="宋体" w:hAnsi="宋体" w:cs="宋体"/>
          <w:b/>
          <w:color w:val="auto"/>
          <w:sz w:val="22"/>
          <w:szCs w:val="22"/>
        </w:rPr>
      </w:pPr>
      <w:r>
        <w:rPr>
          <w:rFonts w:hint="eastAsia" w:ascii="宋体" w:hAnsi="宋体" w:cs="宋体"/>
          <w:b/>
          <w:color w:val="auto"/>
          <w:sz w:val="22"/>
          <w:szCs w:val="22"/>
        </w:rPr>
        <w:t>（10）供应商不符合法律、法规和竞争性谈判采购条件书规定的其他实质性要求和条件的。</w:t>
      </w:r>
    </w:p>
    <w:p>
      <w:pPr>
        <w:pStyle w:val="13"/>
        <w:spacing w:line="400" w:lineRule="exact"/>
        <w:ind w:firstLine="442" w:firstLineChars="200"/>
        <w:rPr>
          <w:rFonts w:hint="eastAsia" w:hAnsi="宋体" w:cs="宋体"/>
          <w:b/>
          <w:bCs/>
          <w:color w:val="auto"/>
          <w:sz w:val="22"/>
          <w:szCs w:val="22"/>
        </w:rPr>
      </w:pPr>
      <w:r>
        <w:rPr>
          <w:rFonts w:hint="eastAsia" w:hAnsi="宋体" w:cs="宋体"/>
          <w:b/>
          <w:color w:val="auto"/>
          <w:sz w:val="22"/>
          <w:szCs w:val="22"/>
        </w:rPr>
        <w:t xml:space="preserve">25.2 </w:t>
      </w:r>
      <w:r>
        <w:rPr>
          <w:rFonts w:hint="eastAsia" w:hAnsi="宋体" w:cs="宋体"/>
          <w:b/>
          <w:bCs/>
          <w:color w:val="auto"/>
          <w:sz w:val="22"/>
          <w:szCs w:val="22"/>
        </w:rPr>
        <w:t>有下列情形之一的视为供应商相互串通谈判，竞争性谈判响应文件将被视为无效：</w:t>
      </w:r>
    </w:p>
    <w:p>
      <w:pPr>
        <w:pStyle w:val="13"/>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（1）不同供应商的竞争性谈判响应文件由同一单位或者个人编制；或不同供应商报名的IP地址一致的；</w:t>
      </w:r>
    </w:p>
    <w:p>
      <w:pPr>
        <w:pStyle w:val="13"/>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（2）不同供应商委托同一单位或者个人办理</w:t>
      </w:r>
      <w:r>
        <w:rPr>
          <w:rFonts w:hint="eastAsia" w:hAnsi="宋体" w:cs="宋体"/>
          <w:b/>
          <w:bCs/>
          <w:color w:val="auto"/>
          <w:sz w:val="22"/>
          <w:szCs w:val="22"/>
          <w:lang w:val="en-US" w:eastAsia="zh-CN"/>
        </w:rPr>
        <w:t>谈判</w:t>
      </w:r>
      <w:r>
        <w:rPr>
          <w:rFonts w:hint="eastAsia" w:hAnsi="宋体" w:cs="宋体"/>
          <w:b/>
          <w:bCs/>
          <w:color w:val="auto"/>
          <w:sz w:val="22"/>
          <w:szCs w:val="22"/>
        </w:rPr>
        <w:t>事宜；</w:t>
      </w:r>
    </w:p>
    <w:p>
      <w:pPr>
        <w:pStyle w:val="13"/>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（3）不同的供应商的竞争性谈判响应文件载明的项目管理员为同一个人；</w:t>
      </w:r>
    </w:p>
    <w:p>
      <w:pPr>
        <w:pStyle w:val="13"/>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（4）不同供应商的竞争性谈判响应文件异常一致或谈判报价呈规律性差异；</w:t>
      </w:r>
    </w:p>
    <w:p>
      <w:pPr>
        <w:pStyle w:val="13"/>
        <w:spacing w:line="400" w:lineRule="exact"/>
        <w:ind w:firstLine="442" w:firstLineChars="200"/>
        <w:rPr>
          <w:rFonts w:hint="eastAsia" w:hAnsi="宋体" w:eastAsia="宋体" w:cs="宋体"/>
          <w:b/>
          <w:bCs/>
          <w:color w:val="auto"/>
          <w:sz w:val="22"/>
          <w:szCs w:val="22"/>
          <w:lang w:eastAsia="zh-CN"/>
        </w:rPr>
      </w:pPr>
      <w:r>
        <w:rPr>
          <w:rFonts w:hint="eastAsia" w:hAnsi="宋体" w:cs="宋体"/>
          <w:b/>
          <w:bCs/>
          <w:color w:val="auto"/>
          <w:sz w:val="22"/>
          <w:szCs w:val="22"/>
        </w:rPr>
        <w:t>（5）不同供应商的竞争性谈判响应文件相互混装</w:t>
      </w:r>
      <w:r>
        <w:rPr>
          <w:rFonts w:hint="eastAsia" w:hAnsi="宋体" w:cs="宋体"/>
          <w:b/>
          <w:bCs/>
          <w:color w:val="auto"/>
          <w:sz w:val="22"/>
          <w:szCs w:val="22"/>
          <w:lang w:eastAsia="zh-CN"/>
        </w:rPr>
        <w:t>。</w:t>
      </w:r>
    </w:p>
    <w:p>
      <w:pPr>
        <w:pStyle w:val="13"/>
        <w:spacing w:line="420" w:lineRule="exact"/>
        <w:ind w:firstLine="375" w:firstLineChars="170"/>
        <w:rPr>
          <w:rFonts w:hint="eastAsia" w:hAnsi="宋体" w:cs="宋体"/>
          <w:b/>
          <w:color w:val="auto"/>
          <w:sz w:val="22"/>
          <w:szCs w:val="22"/>
        </w:rPr>
      </w:pPr>
      <w:r>
        <w:rPr>
          <w:rFonts w:hint="eastAsia" w:hAnsi="宋体" w:cs="宋体"/>
          <w:b/>
          <w:color w:val="auto"/>
          <w:sz w:val="22"/>
          <w:szCs w:val="22"/>
        </w:rPr>
        <w:t>26．废标</w:t>
      </w:r>
    </w:p>
    <w:p>
      <w:pPr>
        <w:pStyle w:val="13"/>
        <w:spacing w:line="420" w:lineRule="exact"/>
        <w:ind w:firstLine="442" w:firstLineChars="200"/>
        <w:rPr>
          <w:rFonts w:hint="eastAsia" w:hAnsi="宋体" w:cs="宋体"/>
          <w:b/>
          <w:color w:val="auto"/>
          <w:sz w:val="22"/>
          <w:szCs w:val="22"/>
        </w:rPr>
      </w:pPr>
      <w:r>
        <w:rPr>
          <w:rFonts w:hint="eastAsia" w:hAnsi="宋体" w:cs="宋体"/>
          <w:b/>
          <w:color w:val="auto"/>
          <w:sz w:val="22"/>
          <w:szCs w:val="22"/>
        </w:rPr>
        <w:t>26.1谈判采购过程中出现下列情形之一的，将予以废标：</w:t>
      </w:r>
    </w:p>
    <w:p>
      <w:pPr>
        <w:pStyle w:val="13"/>
        <w:spacing w:line="420" w:lineRule="exact"/>
        <w:ind w:firstLine="442" w:firstLineChars="200"/>
        <w:rPr>
          <w:rFonts w:hint="eastAsia" w:hAnsi="宋体" w:cs="宋体"/>
          <w:b/>
          <w:color w:val="auto"/>
          <w:sz w:val="22"/>
          <w:szCs w:val="22"/>
        </w:rPr>
      </w:pPr>
      <w:r>
        <w:rPr>
          <w:rFonts w:hint="eastAsia" w:hAnsi="宋体" w:cs="宋体"/>
          <w:b/>
          <w:color w:val="auto"/>
          <w:sz w:val="22"/>
          <w:szCs w:val="22"/>
        </w:rPr>
        <w:t xml:space="preserve">⑴参与谈判的供应商或者符合专业条件的供应商或者对竞争性谈判采购条件书作实质响应的供应商不足三家的； </w:t>
      </w:r>
    </w:p>
    <w:p>
      <w:pPr>
        <w:pStyle w:val="13"/>
        <w:spacing w:line="420" w:lineRule="exact"/>
        <w:ind w:firstLine="325" w:firstLineChars="147"/>
        <w:rPr>
          <w:rFonts w:hint="eastAsia" w:hAnsi="宋体" w:cs="宋体"/>
          <w:b/>
          <w:color w:val="auto"/>
          <w:sz w:val="22"/>
          <w:szCs w:val="22"/>
        </w:rPr>
      </w:pPr>
      <w:r>
        <w:rPr>
          <w:rFonts w:hint="eastAsia" w:hAnsi="宋体" w:cs="宋体"/>
          <w:b/>
          <w:color w:val="auto"/>
          <w:sz w:val="22"/>
          <w:szCs w:val="22"/>
        </w:rPr>
        <w:t xml:space="preserve"> ⑵ 出现影响采购公正的违法、违规行为的；　　</w:t>
      </w:r>
    </w:p>
    <w:p>
      <w:pPr>
        <w:pStyle w:val="13"/>
        <w:spacing w:line="420" w:lineRule="exact"/>
        <w:ind w:firstLine="442" w:firstLineChars="200"/>
        <w:rPr>
          <w:rFonts w:hint="eastAsia" w:hAnsi="宋体" w:cs="宋体"/>
          <w:b/>
          <w:color w:val="auto"/>
          <w:sz w:val="22"/>
          <w:szCs w:val="22"/>
        </w:rPr>
      </w:pPr>
      <w:r>
        <w:rPr>
          <w:rFonts w:hint="eastAsia" w:hAnsi="宋体" w:cs="宋体"/>
          <w:b/>
          <w:color w:val="auto"/>
          <w:sz w:val="22"/>
          <w:szCs w:val="22"/>
        </w:rPr>
        <w:t>⑶ 供应商的最终报价均超过了采购预算，采购人不能支付的；　</w:t>
      </w:r>
    </w:p>
    <w:p>
      <w:pPr>
        <w:pStyle w:val="13"/>
        <w:spacing w:line="420" w:lineRule="exact"/>
        <w:ind w:firstLine="442" w:firstLineChars="200"/>
        <w:rPr>
          <w:rFonts w:hint="eastAsia" w:hAnsi="宋体" w:cs="宋体"/>
          <w:color w:val="auto"/>
          <w:sz w:val="22"/>
          <w:szCs w:val="22"/>
        </w:rPr>
      </w:pPr>
      <w:r>
        <w:rPr>
          <w:rFonts w:hint="eastAsia" w:hAnsi="宋体" w:cs="宋体"/>
          <w:b/>
          <w:color w:val="auto"/>
          <w:sz w:val="22"/>
          <w:szCs w:val="22"/>
        </w:rPr>
        <w:t>⑷ 因重大变故，采购任务取消的。　</w:t>
      </w:r>
      <w:r>
        <w:rPr>
          <w:rFonts w:hint="eastAsia" w:hAnsi="宋体" w:cs="宋体"/>
          <w:b/>
          <w:color w:val="auto"/>
          <w:sz w:val="22"/>
          <w:szCs w:val="22"/>
        </w:rPr>
        <w:br w:type="textWrapping"/>
      </w:r>
      <w:r>
        <w:rPr>
          <w:rFonts w:hint="eastAsia" w:hAnsi="宋体" w:cs="宋体"/>
          <w:color w:val="auto"/>
          <w:sz w:val="22"/>
          <w:szCs w:val="22"/>
        </w:rPr>
        <w:t xml:space="preserve">    26.2废标后，采购代理机构将废标公告在中国政府采购网（http://www.ccgp.gov.cn）、广西壮族自治区政府采购网（www.zfcg.gxzf.gov.cn）、</w:t>
      </w:r>
      <w:r>
        <w:rPr>
          <w:rFonts w:hint="eastAsia" w:hAnsi="宋体" w:cs="宋体"/>
          <w:color w:val="auto"/>
          <w:sz w:val="22"/>
          <w:szCs w:val="22"/>
          <w:lang w:eastAsia="zh-CN"/>
        </w:rPr>
        <w:t>广西防城港港口区人民政府门户网站（网址：http://www.gkq.gov.cn）</w:t>
      </w:r>
      <w:r>
        <w:rPr>
          <w:rFonts w:hint="eastAsia" w:hAnsi="宋体" w:cs="宋体"/>
          <w:color w:val="auto"/>
          <w:sz w:val="22"/>
          <w:szCs w:val="22"/>
        </w:rPr>
        <w:t>、防城港市公共资源交易中心网（http://www.fcgggzy.cn）上发布。</w:t>
      </w:r>
    </w:p>
    <w:p>
      <w:pPr>
        <w:pStyle w:val="13"/>
        <w:spacing w:line="420" w:lineRule="exact"/>
        <w:ind w:firstLine="442" w:firstLineChars="200"/>
        <w:rPr>
          <w:rFonts w:hint="eastAsia" w:hAnsi="宋体" w:cs="宋体"/>
          <w:b/>
          <w:color w:val="auto"/>
          <w:sz w:val="22"/>
          <w:szCs w:val="22"/>
        </w:rPr>
      </w:pPr>
      <w:r>
        <w:rPr>
          <w:rFonts w:hint="eastAsia" w:hAnsi="宋体" w:cs="宋体"/>
          <w:b/>
          <w:color w:val="auto"/>
          <w:sz w:val="22"/>
          <w:szCs w:val="22"/>
        </w:rPr>
        <w:t>27.确定成交供应商办法</w:t>
      </w:r>
    </w:p>
    <w:p>
      <w:pPr>
        <w:pStyle w:val="13"/>
        <w:spacing w:line="420" w:lineRule="exact"/>
        <w:ind w:firstLine="440" w:firstLineChars="200"/>
        <w:rPr>
          <w:rFonts w:hint="eastAsia" w:hAnsi="宋体" w:cs="宋体"/>
          <w:color w:val="auto"/>
          <w:sz w:val="22"/>
          <w:szCs w:val="22"/>
        </w:rPr>
      </w:pPr>
      <w:r>
        <w:rPr>
          <w:rFonts w:hint="eastAsia" w:hAnsi="宋体" w:cs="宋体"/>
          <w:color w:val="auto"/>
          <w:sz w:val="22"/>
          <w:szCs w:val="22"/>
        </w:rPr>
        <w:t>27.1 谈判小组要求商务评审和技术（服务）评审合格的谈判供应商在规定的时间内进行报价。</w:t>
      </w:r>
    </w:p>
    <w:p>
      <w:pPr>
        <w:pStyle w:val="13"/>
        <w:spacing w:line="420" w:lineRule="exact"/>
        <w:ind w:firstLine="440" w:firstLineChars="200"/>
        <w:rPr>
          <w:rFonts w:hint="eastAsia" w:hAnsi="宋体" w:cs="宋体"/>
          <w:color w:val="auto"/>
          <w:sz w:val="22"/>
          <w:szCs w:val="22"/>
        </w:rPr>
      </w:pPr>
      <w:r>
        <w:rPr>
          <w:rFonts w:hint="eastAsia" w:hAnsi="宋体" w:cs="宋体"/>
          <w:color w:val="auto"/>
          <w:sz w:val="22"/>
          <w:szCs w:val="22"/>
        </w:rPr>
        <w:t>27.2谈判小组将根据需要决定是否要求所有合格的谈判供应商在规定时间内进行最终报价，该最终报价将作为谈判小组评审的最终依据。</w:t>
      </w:r>
    </w:p>
    <w:p>
      <w:pPr>
        <w:pStyle w:val="13"/>
        <w:spacing w:line="420" w:lineRule="exact"/>
        <w:ind w:firstLine="440" w:firstLineChars="200"/>
        <w:rPr>
          <w:rFonts w:hint="eastAsia" w:hAnsi="宋体" w:cs="宋体"/>
          <w:color w:val="auto"/>
          <w:sz w:val="22"/>
          <w:szCs w:val="22"/>
        </w:rPr>
      </w:pPr>
      <w:r>
        <w:rPr>
          <w:rFonts w:hint="eastAsia" w:hAnsi="宋体" w:cs="宋体"/>
          <w:color w:val="auto"/>
          <w:sz w:val="22"/>
          <w:szCs w:val="22"/>
        </w:rPr>
        <w:t>27.3 根据以下原则确定成交供应商</w:t>
      </w:r>
    </w:p>
    <w:p>
      <w:pPr>
        <w:pStyle w:val="13"/>
        <w:spacing w:line="420" w:lineRule="exact"/>
        <w:ind w:firstLine="440" w:firstLineChars="200"/>
        <w:rPr>
          <w:rFonts w:hint="eastAsia" w:hAnsi="宋体" w:cs="宋体"/>
          <w:color w:val="auto"/>
          <w:sz w:val="22"/>
          <w:szCs w:val="22"/>
        </w:rPr>
      </w:pPr>
      <w:r>
        <w:rPr>
          <w:rFonts w:hint="eastAsia" w:hAnsi="宋体" w:cs="宋体"/>
          <w:color w:val="auto"/>
          <w:sz w:val="22"/>
          <w:szCs w:val="22"/>
        </w:rPr>
        <w:t>27.3.1符合采购需求、质量和服务相等时按报价最低的原则确定成交供应商。</w:t>
      </w:r>
    </w:p>
    <w:p>
      <w:pPr>
        <w:pStyle w:val="4"/>
        <w:spacing w:line="300" w:lineRule="exact"/>
        <w:jc w:val="center"/>
        <w:rPr>
          <w:rFonts w:hint="eastAsia" w:ascii="宋体" w:hAnsi="宋体" w:cs="宋体"/>
          <w:color w:val="auto"/>
          <w:sz w:val="22"/>
          <w:szCs w:val="22"/>
        </w:rPr>
      </w:pPr>
      <w:bookmarkStart w:id="52" w:name="_Toc204135087"/>
      <w:bookmarkStart w:id="53" w:name="_Toc327975581"/>
      <w:r>
        <w:rPr>
          <w:rFonts w:hint="eastAsia" w:ascii="宋体" w:hAnsi="宋体" w:cs="宋体"/>
          <w:color w:val="auto"/>
          <w:sz w:val="22"/>
          <w:szCs w:val="22"/>
        </w:rPr>
        <w:t>六、签订合同</w:t>
      </w:r>
      <w:bookmarkEnd w:id="52"/>
      <w:bookmarkEnd w:id="53"/>
    </w:p>
    <w:p>
      <w:pPr>
        <w:pStyle w:val="13"/>
        <w:spacing w:line="420" w:lineRule="exact"/>
        <w:ind w:firstLine="442" w:firstLineChars="200"/>
        <w:rPr>
          <w:rFonts w:hint="eastAsia" w:hAnsi="宋体" w:cs="宋体"/>
          <w:b/>
          <w:color w:val="auto"/>
          <w:sz w:val="22"/>
          <w:szCs w:val="22"/>
        </w:rPr>
      </w:pPr>
      <w:r>
        <w:rPr>
          <w:rFonts w:hint="eastAsia" w:hAnsi="宋体" w:cs="宋体"/>
          <w:b/>
          <w:color w:val="auto"/>
          <w:sz w:val="22"/>
          <w:szCs w:val="22"/>
        </w:rPr>
        <w:t>28.成交结果及公告</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28.1采购代理机构在谈判工作完成后2个工作日内将谈判报告送采购人,采购人确认后，成交结果将在媒体上发布。</w:t>
      </w:r>
    </w:p>
    <w:p>
      <w:pPr>
        <w:pStyle w:val="13"/>
        <w:spacing w:line="420" w:lineRule="exact"/>
        <w:ind w:firstLine="440" w:firstLineChars="200"/>
        <w:rPr>
          <w:rFonts w:hint="eastAsia" w:hAnsi="宋体" w:cs="宋体"/>
          <w:color w:val="auto"/>
          <w:sz w:val="22"/>
          <w:szCs w:val="22"/>
        </w:rPr>
      </w:pPr>
      <w:r>
        <w:rPr>
          <w:rFonts w:hint="eastAsia" w:hAnsi="宋体" w:cs="宋体"/>
          <w:color w:val="auto"/>
          <w:sz w:val="22"/>
          <w:szCs w:val="22"/>
        </w:rPr>
        <w:t>28.2在发布成交公告的同时，采购代理机构将向成交供应商发出成交通知书。</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28.3采购代理机构无义务向落标的供应商解释落标原因和退还响应文件。</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28.4供应商如对成交公告有异议，可以在成交公告期满之日起七个工作日内以书面形式向采购代理机构提出质疑。采购代理机构将在收到供应商的书面质疑后七个工作日内做出答复，但答复的内容不得涉及商业秘密。</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28.5质疑供应商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人民政府财政部门投诉。</w:t>
      </w:r>
    </w:p>
    <w:p>
      <w:pPr>
        <w:pStyle w:val="13"/>
        <w:spacing w:line="420" w:lineRule="exact"/>
        <w:ind w:firstLine="420"/>
        <w:rPr>
          <w:rFonts w:hint="eastAsia" w:hAnsi="宋体" w:cs="宋体"/>
          <w:color w:val="auto"/>
          <w:sz w:val="22"/>
          <w:szCs w:val="22"/>
        </w:rPr>
      </w:pPr>
      <w:r>
        <w:rPr>
          <w:rFonts w:hint="eastAsia" w:hAnsi="宋体" w:cs="宋体"/>
          <w:b/>
          <w:color w:val="auto"/>
          <w:sz w:val="22"/>
          <w:szCs w:val="22"/>
        </w:rPr>
        <w:t>29.合同授予标准</w:t>
      </w:r>
    </w:p>
    <w:p>
      <w:pPr>
        <w:snapToGrid w:val="0"/>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合同将授予被确定实质上相应谈判文件要求，具备履行合同能力，报价最低的供应商。</w:t>
      </w:r>
    </w:p>
    <w:p>
      <w:pPr>
        <w:pStyle w:val="13"/>
        <w:snapToGrid w:val="0"/>
        <w:spacing w:line="420" w:lineRule="exact"/>
        <w:ind w:firstLine="433" w:firstLineChars="196"/>
        <w:rPr>
          <w:rFonts w:hint="eastAsia" w:hAnsi="宋体" w:cs="宋体"/>
          <w:b/>
          <w:color w:val="auto"/>
          <w:sz w:val="22"/>
          <w:szCs w:val="22"/>
        </w:rPr>
      </w:pPr>
      <w:r>
        <w:rPr>
          <w:rFonts w:hint="eastAsia" w:hAnsi="宋体" w:cs="宋体"/>
          <w:b/>
          <w:color w:val="auto"/>
          <w:sz w:val="22"/>
          <w:szCs w:val="22"/>
        </w:rPr>
        <w:t>30.签订合同</w:t>
      </w:r>
    </w:p>
    <w:p>
      <w:pPr>
        <w:pStyle w:val="13"/>
        <w:snapToGrid w:val="0"/>
        <w:spacing w:line="420" w:lineRule="exact"/>
        <w:ind w:firstLine="440" w:firstLineChars="200"/>
        <w:rPr>
          <w:rFonts w:hint="eastAsia" w:hAnsi="宋体" w:cs="宋体"/>
          <w:color w:val="auto"/>
          <w:sz w:val="22"/>
          <w:szCs w:val="22"/>
        </w:rPr>
      </w:pPr>
      <w:r>
        <w:rPr>
          <w:rFonts w:hint="eastAsia" w:hAnsi="宋体" w:cs="宋体"/>
          <w:color w:val="auto"/>
          <w:sz w:val="22"/>
          <w:szCs w:val="22"/>
        </w:rPr>
        <w:t>30.1供应商接到成交通知书后，应按成交通知书规定的时间、地点与采购人签订合同。</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30.2如成交供应商不按成交通知书的规定签订合同（因不可抗力导致的情况除外），则按成交供应商违约处理，该违约将记入防城港市</w:t>
      </w:r>
      <w:r>
        <w:rPr>
          <w:rFonts w:hint="eastAsia" w:hAnsi="宋体" w:cs="宋体"/>
          <w:color w:val="auto"/>
          <w:sz w:val="22"/>
          <w:szCs w:val="22"/>
          <w:lang w:eastAsia="zh-CN"/>
        </w:rPr>
        <w:t>港口区</w:t>
      </w:r>
      <w:r>
        <w:rPr>
          <w:rFonts w:hint="eastAsia" w:hAnsi="宋体" w:cs="宋体"/>
          <w:color w:val="auto"/>
          <w:sz w:val="22"/>
          <w:szCs w:val="22"/>
        </w:rPr>
        <w:t>政府采购供应商诚信评价库。</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30.3成交供应商因不可抗力或者自身原因不能履行采购合同的，采购人可以与成交供应商之后排名第一的成交候选供应商签订采购合同，以此类推，或重新组织采购。</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30.4</w:t>
      </w:r>
      <w:r>
        <w:rPr>
          <w:rFonts w:hint="eastAsia" w:hAnsi="宋体" w:cs="宋体"/>
          <w:b/>
          <w:color w:val="auto"/>
          <w:sz w:val="22"/>
          <w:szCs w:val="22"/>
        </w:rPr>
        <w:t>由于成交供应商放弃成交或未按规定签订合同（因不可抗力导致的情况除外），造成本项目的合同成交价提高（指采购人选择第二成交候选供应商或重新采购导致成交金额高于违约供应商的成交价），所超出违约供应商的成交价部分由违约供应商承担赔偿责任，并将赔偿金额上缴同级财政国库。若成交人拒绝交纳赔偿金，除按相关法规追收赔偿金外，列入不良行为记录名单，在一至三年内禁止其参加政府采购活动。</w:t>
      </w:r>
    </w:p>
    <w:p>
      <w:pPr>
        <w:pStyle w:val="13"/>
        <w:spacing w:line="420" w:lineRule="exact"/>
        <w:ind w:firstLine="420"/>
        <w:rPr>
          <w:rFonts w:hint="eastAsia" w:hAnsi="宋体" w:cs="宋体"/>
          <w:color w:val="auto"/>
          <w:sz w:val="22"/>
          <w:szCs w:val="22"/>
        </w:rPr>
      </w:pPr>
      <w:r>
        <w:rPr>
          <w:rFonts w:hint="eastAsia" w:hAnsi="宋体" w:cs="宋体"/>
          <w:color w:val="auto"/>
          <w:sz w:val="22"/>
          <w:szCs w:val="22"/>
        </w:rPr>
        <w:t>30.5</w:t>
      </w:r>
      <w:r>
        <w:rPr>
          <w:rFonts w:hint="eastAsia" w:hAnsi="宋体" w:cs="宋体"/>
          <w:color w:val="auto"/>
          <w:sz w:val="22"/>
          <w:szCs w:val="22"/>
          <w:u w:val="single"/>
        </w:rPr>
        <w:t>合同签订必须按照《中华人民共和国政府采购法》和《中华人民共和国合同法》相关规定执行，且签订的合同必须与本响应文件中的合同书格式(包括内容和结构)相一致，不能改变主要条款，否则由此造成的后果由采购人负责</w:t>
      </w:r>
      <w:r>
        <w:rPr>
          <w:rFonts w:hint="eastAsia" w:hAnsi="宋体" w:cs="宋体"/>
          <w:color w:val="auto"/>
          <w:sz w:val="22"/>
          <w:szCs w:val="22"/>
        </w:rPr>
        <w:t>。</w:t>
      </w:r>
    </w:p>
    <w:p>
      <w:pPr>
        <w:pStyle w:val="13"/>
        <w:spacing w:line="420" w:lineRule="exact"/>
        <w:ind w:firstLine="420"/>
        <w:rPr>
          <w:rFonts w:hint="eastAsia" w:hAnsi="宋体" w:cs="宋体"/>
          <w:color w:val="auto"/>
          <w:sz w:val="22"/>
          <w:szCs w:val="22"/>
        </w:rPr>
      </w:pPr>
      <w:r>
        <w:rPr>
          <w:rFonts w:hint="eastAsia" w:hAnsi="宋体" w:cs="宋体"/>
          <w:b/>
          <w:color w:val="auto"/>
          <w:sz w:val="22"/>
          <w:szCs w:val="22"/>
        </w:rPr>
        <w:t>31.履约保证金</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 xml:space="preserve">31.1履约保证金详见本须知前附表第9项规定。 </w:t>
      </w:r>
      <w:r>
        <w:rPr>
          <w:rFonts w:hint="eastAsia" w:hAnsi="宋体" w:cs="宋体"/>
          <w:color w:val="auto"/>
          <w:sz w:val="22"/>
          <w:szCs w:val="22"/>
        </w:rPr>
        <w:tab/>
      </w:r>
    </w:p>
    <w:p>
      <w:pPr>
        <w:pStyle w:val="4"/>
        <w:spacing w:line="360" w:lineRule="exact"/>
        <w:jc w:val="center"/>
        <w:rPr>
          <w:rFonts w:hint="eastAsia" w:ascii="宋体" w:hAnsi="宋体" w:cs="宋体"/>
          <w:color w:val="auto"/>
          <w:sz w:val="22"/>
          <w:szCs w:val="22"/>
        </w:rPr>
      </w:pPr>
      <w:bookmarkStart w:id="54" w:name="_Toc327975582"/>
      <w:r>
        <w:rPr>
          <w:rFonts w:hint="eastAsia" w:ascii="宋体" w:hAnsi="宋体" w:cs="宋体"/>
          <w:color w:val="auto"/>
          <w:sz w:val="22"/>
          <w:szCs w:val="22"/>
        </w:rPr>
        <w:t>七、其他事项</w:t>
      </w:r>
      <w:bookmarkEnd w:id="54"/>
    </w:p>
    <w:p>
      <w:pPr>
        <w:pStyle w:val="13"/>
        <w:spacing w:line="360" w:lineRule="exact"/>
        <w:ind w:firstLine="440" w:firstLineChars="200"/>
        <w:rPr>
          <w:rFonts w:hint="eastAsia" w:hAnsi="宋体" w:cs="宋体"/>
          <w:b/>
          <w:color w:val="auto"/>
          <w:sz w:val="22"/>
          <w:szCs w:val="22"/>
        </w:rPr>
      </w:pPr>
      <w:r>
        <w:rPr>
          <w:rFonts w:hint="eastAsia" w:hAnsi="宋体" w:cs="宋体"/>
          <w:color w:val="auto"/>
          <w:sz w:val="22"/>
          <w:szCs w:val="22"/>
        </w:rPr>
        <w:t>32.</w:t>
      </w:r>
      <w:r>
        <w:rPr>
          <w:rFonts w:hint="eastAsia" w:hAnsi="宋体" w:cs="宋体"/>
          <w:b/>
          <w:color w:val="auto"/>
          <w:sz w:val="22"/>
          <w:szCs w:val="22"/>
        </w:rPr>
        <w:t>采购代理服务费</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32.1签订合同前，成交供应商向采购代理机构一次性付清采购代理服务费，其金额详见本须知前附表第10项规定。否则，采购代理机构将视之为违约。代理服务费缴纳账户以下：</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开户名称：广西科联招标中心有限公司防城港分公司；</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开户银行：建行防城港分行营业部；</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帐号：45001659588059282828</w:t>
      </w:r>
    </w:p>
    <w:p>
      <w:pPr>
        <w:pStyle w:val="13"/>
        <w:spacing w:line="360" w:lineRule="exact"/>
        <w:ind w:firstLine="420"/>
        <w:rPr>
          <w:rFonts w:hint="eastAsia" w:hAnsi="宋体" w:cs="宋体"/>
          <w:b/>
          <w:color w:val="auto"/>
          <w:sz w:val="22"/>
          <w:szCs w:val="22"/>
        </w:rPr>
      </w:pPr>
      <w:r>
        <w:rPr>
          <w:rFonts w:hint="eastAsia" w:hAnsi="宋体" w:cs="宋体"/>
          <w:b/>
          <w:color w:val="auto"/>
          <w:sz w:val="22"/>
          <w:szCs w:val="22"/>
        </w:rPr>
        <w:t>33.适用法律</w:t>
      </w:r>
    </w:p>
    <w:p>
      <w:pPr>
        <w:pStyle w:val="13"/>
        <w:spacing w:line="360" w:lineRule="exact"/>
        <w:ind w:firstLine="420"/>
        <w:rPr>
          <w:rFonts w:hint="eastAsia" w:hAnsi="宋体" w:cs="宋体"/>
          <w:color w:val="auto"/>
          <w:sz w:val="22"/>
          <w:szCs w:val="22"/>
        </w:rPr>
      </w:pPr>
      <w:r>
        <w:rPr>
          <w:rFonts w:hint="eastAsia" w:hAnsi="宋体" w:cs="宋体"/>
          <w:b/>
          <w:color w:val="auto"/>
          <w:sz w:val="22"/>
          <w:szCs w:val="22"/>
        </w:rPr>
        <w:t>33.1</w:t>
      </w:r>
      <w:r>
        <w:rPr>
          <w:rFonts w:hint="eastAsia" w:hAnsi="宋体" w:cs="宋体"/>
          <w:color w:val="auto"/>
          <w:sz w:val="22"/>
          <w:szCs w:val="22"/>
        </w:rPr>
        <w:t>采购当事人的一切活动均适用于《中华人民共和国政府采购法》及相关规定。</w:t>
      </w:r>
    </w:p>
    <w:p>
      <w:pPr>
        <w:pStyle w:val="13"/>
        <w:spacing w:line="360" w:lineRule="exact"/>
        <w:ind w:firstLine="420"/>
        <w:rPr>
          <w:rFonts w:hint="eastAsia" w:hAnsi="宋体" w:cs="宋体"/>
          <w:color w:val="auto"/>
          <w:sz w:val="22"/>
          <w:szCs w:val="22"/>
        </w:rPr>
      </w:pPr>
      <w:r>
        <w:rPr>
          <w:rFonts w:hint="eastAsia" w:hAnsi="宋体" w:cs="宋体"/>
          <w:color w:val="auto"/>
          <w:sz w:val="22"/>
          <w:szCs w:val="22"/>
        </w:rPr>
        <w:t>33.2最终谈判结束后，谈判小组不得再与供应商进行任何形式的商谈。</w:t>
      </w:r>
    </w:p>
    <w:p>
      <w:pPr>
        <w:pStyle w:val="13"/>
        <w:snapToGrid w:val="0"/>
        <w:spacing w:line="360" w:lineRule="exact"/>
        <w:ind w:firstLine="431" w:firstLineChars="196"/>
        <w:rPr>
          <w:rFonts w:hint="eastAsia" w:hAnsi="宋体" w:cs="宋体"/>
          <w:b/>
          <w:color w:val="auto"/>
          <w:sz w:val="22"/>
          <w:szCs w:val="22"/>
        </w:rPr>
      </w:pPr>
      <w:r>
        <w:rPr>
          <w:rFonts w:hint="eastAsia" w:hAnsi="宋体" w:cs="宋体"/>
          <w:color w:val="auto"/>
          <w:sz w:val="22"/>
          <w:szCs w:val="22"/>
        </w:rPr>
        <w:t>34.</w:t>
      </w:r>
      <w:r>
        <w:rPr>
          <w:rFonts w:hint="eastAsia" w:hAnsi="宋体" w:cs="宋体"/>
          <w:b/>
          <w:color w:val="auto"/>
          <w:sz w:val="22"/>
          <w:szCs w:val="22"/>
        </w:rPr>
        <w:t xml:space="preserve"> 谈判过程的监控</w:t>
      </w:r>
    </w:p>
    <w:p>
      <w:pPr>
        <w:pStyle w:val="13"/>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本项目谈判过程实行全程录音、录像监控，供应商在谈判过程中所进行的试图影响谈判结果的不公正活动，可能导致其谈判被拒绝。</w:t>
      </w:r>
      <w:bookmarkStart w:id="55" w:name="_Toc327975583"/>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ind w:firstLine="440" w:firstLineChars="200"/>
        <w:rPr>
          <w:rFonts w:hint="eastAsia" w:hAnsi="宋体" w:cs="宋体"/>
          <w:color w:val="auto"/>
          <w:sz w:val="22"/>
          <w:szCs w:val="22"/>
        </w:rPr>
      </w:pPr>
    </w:p>
    <w:p>
      <w:pPr>
        <w:pStyle w:val="13"/>
        <w:snapToGrid w:val="0"/>
        <w:spacing w:line="360" w:lineRule="exact"/>
        <w:rPr>
          <w:rFonts w:hint="eastAsia" w:hAnsi="宋体" w:cs="宋体"/>
          <w:color w:val="auto"/>
          <w:sz w:val="22"/>
          <w:szCs w:val="22"/>
        </w:rPr>
      </w:pPr>
    </w:p>
    <w:p>
      <w:pPr>
        <w:pStyle w:val="21"/>
        <w:rPr>
          <w:rFonts w:hint="eastAsia" w:ascii="宋体" w:hAnsi="宋体" w:cs="宋体"/>
          <w:color w:val="auto"/>
        </w:rPr>
      </w:pPr>
      <w:r>
        <w:rPr>
          <w:rFonts w:hint="eastAsia" w:ascii="宋体" w:hAnsi="宋体" w:cs="宋体"/>
          <w:color w:val="auto"/>
        </w:rPr>
        <w:t>第三章 项目需求</w:t>
      </w:r>
      <w:bookmarkEnd w:id="55"/>
      <w:bookmarkStart w:id="56" w:name="_Toc327975584"/>
    </w:p>
    <w:p>
      <w:pPr>
        <w:spacing w:line="360" w:lineRule="auto"/>
        <w:rPr>
          <w:rFonts w:ascii="宋体" w:cs="宋体"/>
          <w:b/>
          <w:bCs/>
          <w:color w:val="auto"/>
        </w:rPr>
      </w:pPr>
      <w:r>
        <w:rPr>
          <w:rFonts w:hint="eastAsia" w:ascii="宋体" w:hAnsi="宋体" w:cs="宋体"/>
          <w:b/>
          <w:bCs/>
          <w:color w:val="auto"/>
        </w:rPr>
        <w:t>说明：</w:t>
      </w:r>
    </w:p>
    <w:p>
      <w:pPr>
        <w:spacing w:line="360" w:lineRule="auto"/>
        <w:ind w:firstLine="411" w:firstLineChars="195"/>
        <w:rPr>
          <w:rFonts w:ascii="宋体" w:cs="宋体"/>
          <w:b/>
          <w:bCs/>
          <w:color w:val="auto"/>
        </w:rPr>
      </w:pPr>
      <w:r>
        <w:rPr>
          <w:rFonts w:ascii="宋体" w:hAnsi="宋体" w:cs="宋体"/>
          <w:b/>
          <w:color w:val="auto"/>
          <w:szCs w:val="21"/>
        </w:rPr>
        <w:t>1</w:t>
      </w:r>
      <w:r>
        <w:rPr>
          <w:rFonts w:hint="eastAsia" w:ascii="宋体" w:hAnsi="宋体" w:cs="宋体"/>
          <w:b/>
          <w:color w:val="auto"/>
          <w:szCs w:val="21"/>
        </w:rPr>
        <w:t>、</w:t>
      </w:r>
      <w:r>
        <w:rPr>
          <w:rFonts w:hint="eastAsia" w:ascii="宋体" w:hAnsi="宋体" w:cs="宋体"/>
          <w:b/>
          <w:bCs/>
          <w:color w:val="auto"/>
          <w:szCs w:val="21"/>
        </w:rPr>
        <w:t>根据《国务院办公厅关于建立政府强制采购节能产品制度的通知》（国办发〔</w:t>
      </w:r>
      <w:r>
        <w:rPr>
          <w:rFonts w:ascii="宋体" w:hAnsi="宋体" w:cs="宋体"/>
          <w:b/>
          <w:bCs/>
          <w:color w:val="auto"/>
          <w:szCs w:val="21"/>
        </w:rPr>
        <w:t>2007</w:t>
      </w:r>
      <w:r>
        <w:rPr>
          <w:rFonts w:hint="eastAsia" w:ascii="宋体" w:hAnsi="宋体" w:cs="宋体"/>
          <w:b/>
          <w:bCs/>
          <w:color w:val="auto"/>
          <w:szCs w:val="21"/>
        </w:rPr>
        <w:t>〕</w:t>
      </w:r>
      <w:r>
        <w:rPr>
          <w:rFonts w:ascii="宋体" w:hAnsi="宋体" w:cs="宋体"/>
          <w:b/>
          <w:bCs/>
          <w:color w:val="auto"/>
          <w:szCs w:val="21"/>
        </w:rPr>
        <w:t>51</w:t>
      </w:r>
      <w:r>
        <w:rPr>
          <w:rFonts w:hint="eastAsia" w:ascii="宋体" w:hAnsi="宋体" w:cs="宋体"/>
          <w:b/>
          <w:bCs/>
          <w:color w:val="auto"/>
          <w:szCs w:val="21"/>
        </w:rPr>
        <w:t>号）和财政部、国家发展改革委发布的《节能产品政府采购实施意见》（财库〔</w:t>
      </w:r>
      <w:r>
        <w:rPr>
          <w:rFonts w:ascii="宋体" w:hAnsi="宋体" w:cs="宋体"/>
          <w:b/>
          <w:bCs/>
          <w:color w:val="auto"/>
          <w:szCs w:val="21"/>
        </w:rPr>
        <w:t>2004</w:t>
      </w:r>
      <w:r>
        <w:rPr>
          <w:rFonts w:hint="eastAsia" w:ascii="宋体" w:hAnsi="宋体" w:cs="宋体"/>
          <w:b/>
          <w:bCs/>
          <w:color w:val="auto"/>
          <w:szCs w:val="21"/>
        </w:rPr>
        <w:t>〕</w:t>
      </w:r>
      <w:r>
        <w:rPr>
          <w:rFonts w:ascii="宋体" w:hAnsi="宋体" w:cs="宋体"/>
          <w:b/>
          <w:bCs/>
          <w:color w:val="auto"/>
          <w:szCs w:val="21"/>
        </w:rPr>
        <w:t>185</w:t>
      </w:r>
      <w:r>
        <w:rPr>
          <w:rFonts w:hint="eastAsia" w:ascii="宋体" w:hAnsi="宋体" w:cs="宋体"/>
          <w:b/>
          <w:bCs/>
          <w:color w:val="auto"/>
          <w:szCs w:val="21"/>
        </w:rPr>
        <w:t>号）的规定，采购需求中凡列入国家财政部在中国政府采购网上公布的最新一期节能产品政府采购清单的产品，</w:t>
      </w:r>
      <w:r>
        <w:rPr>
          <w:rFonts w:hint="eastAsia" w:ascii="宋体" w:hAnsi="宋体" w:cs="宋体"/>
          <w:b/>
          <w:bCs/>
          <w:color w:val="auto"/>
          <w:szCs w:val="21"/>
          <w:lang w:val="en-US" w:eastAsia="zh-CN"/>
        </w:rPr>
        <w:t>供应商参加谈判</w:t>
      </w:r>
      <w:r>
        <w:rPr>
          <w:rFonts w:hint="eastAsia" w:ascii="宋体" w:hAnsi="宋体" w:cs="宋体"/>
          <w:b/>
          <w:bCs/>
          <w:color w:val="auto"/>
          <w:szCs w:val="21"/>
        </w:rPr>
        <w:t>时必须于</w:t>
      </w:r>
      <w:r>
        <w:rPr>
          <w:rFonts w:hint="eastAsia" w:ascii="宋体" w:hAnsi="宋体" w:cs="宋体"/>
          <w:b/>
          <w:bCs/>
          <w:color w:val="auto"/>
          <w:szCs w:val="21"/>
          <w:lang w:val="en-US" w:eastAsia="zh-CN"/>
        </w:rPr>
        <w:t>响应</w:t>
      </w:r>
      <w:r>
        <w:rPr>
          <w:rFonts w:hint="eastAsia" w:ascii="宋体" w:hAnsi="宋体" w:cs="宋体"/>
          <w:b/>
          <w:bCs/>
          <w:color w:val="auto"/>
          <w:szCs w:val="21"/>
        </w:rPr>
        <w:t>文件中提供所投产品属于强制采购最新一期节能产品清单的证明。</w:t>
      </w:r>
    </w:p>
    <w:p>
      <w:pPr>
        <w:spacing w:line="360" w:lineRule="auto"/>
        <w:ind w:firstLine="411" w:firstLineChars="195"/>
        <w:rPr>
          <w:rFonts w:ascii="宋体" w:cs="宋体"/>
          <w:b/>
          <w:bCs/>
          <w:color w:val="auto"/>
        </w:rPr>
      </w:pPr>
      <w:r>
        <w:rPr>
          <w:rFonts w:ascii="宋体" w:hAnsi="宋体" w:cs="宋体"/>
          <w:b/>
          <w:bCs/>
          <w:color w:val="auto"/>
        </w:rPr>
        <w:t>2</w:t>
      </w:r>
      <w:r>
        <w:rPr>
          <w:rFonts w:hint="eastAsia" w:ascii="宋体" w:hAnsi="宋体" w:cs="宋体"/>
          <w:b/>
          <w:bCs/>
          <w:color w:val="auto"/>
        </w:rPr>
        <w:t>、</w:t>
      </w:r>
      <w:r>
        <w:rPr>
          <w:rFonts w:hint="eastAsia" w:ascii="宋体" w:hAnsi="宋体" w:cs="宋体"/>
          <w:b/>
          <w:color w:val="auto"/>
          <w:szCs w:val="21"/>
          <w:lang w:eastAsia="zh-CN"/>
        </w:rPr>
        <w:t>供应商</w:t>
      </w:r>
      <w:r>
        <w:rPr>
          <w:rFonts w:hint="eastAsia" w:ascii="宋体" w:hAnsi="宋体" w:cs="宋体"/>
          <w:b/>
          <w:color w:val="auto"/>
          <w:szCs w:val="21"/>
        </w:rPr>
        <w:t>应对</w:t>
      </w:r>
      <w:r>
        <w:rPr>
          <w:rFonts w:hint="eastAsia" w:ascii="宋体" w:hAnsi="宋体" w:cs="宋体"/>
          <w:b/>
          <w:color w:val="auto"/>
          <w:szCs w:val="21"/>
          <w:lang w:val="en-US" w:eastAsia="zh-CN"/>
        </w:rPr>
        <w:t>谈判</w:t>
      </w:r>
      <w:r>
        <w:rPr>
          <w:rFonts w:hint="eastAsia" w:ascii="宋体" w:hAnsi="宋体" w:cs="宋体"/>
          <w:b/>
          <w:color w:val="auto"/>
          <w:szCs w:val="21"/>
        </w:rPr>
        <w:t>内容所涉及的专利承担法律责任，并负责保护业主的利益不受任何损害。一切由于文字、商标、技术和软件专利授权引起的法律裁决、诉讼和赔偿费用均由</w:t>
      </w:r>
      <w:r>
        <w:rPr>
          <w:rFonts w:hint="eastAsia" w:ascii="宋体" w:hAnsi="宋体" w:cs="宋体"/>
          <w:b/>
          <w:color w:val="auto"/>
          <w:szCs w:val="21"/>
          <w:lang w:val="en-US" w:eastAsia="zh-CN"/>
        </w:rPr>
        <w:t>成交</w:t>
      </w:r>
      <w:r>
        <w:rPr>
          <w:rFonts w:hint="eastAsia" w:ascii="宋体" w:hAnsi="宋体" w:cs="宋体"/>
          <w:b/>
          <w:color w:val="auto"/>
          <w:szCs w:val="21"/>
        </w:rPr>
        <w:t>人负责。</w:t>
      </w:r>
      <w:r>
        <w:rPr>
          <w:rFonts w:hint="eastAsia" w:ascii="宋体" w:hAnsi="宋体" w:cs="宋体"/>
          <w:b/>
          <w:color w:val="auto"/>
        </w:rPr>
        <w:t>同时，具有产品专利的</w:t>
      </w:r>
      <w:r>
        <w:rPr>
          <w:rFonts w:hint="eastAsia" w:ascii="宋体" w:hAnsi="宋体" w:cs="宋体"/>
          <w:b/>
          <w:color w:val="auto"/>
          <w:lang w:eastAsia="zh-CN"/>
        </w:rPr>
        <w:t>供应商</w:t>
      </w:r>
      <w:r>
        <w:rPr>
          <w:rFonts w:hint="eastAsia" w:ascii="宋体" w:hAnsi="宋体" w:cs="宋体"/>
          <w:b/>
          <w:color w:val="auto"/>
        </w:rPr>
        <w:t>应在其</w:t>
      </w:r>
      <w:r>
        <w:rPr>
          <w:rFonts w:hint="eastAsia" w:ascii="宋体" w:hAnsi="宋体" w:cs="宋体"/>
          <w:b/>
          <w:color w:val="auto"/>
          <w:lang w:val="en-US" w:eastAsia="zh-CN"/>
        </w:rPr>
        <w:t>响应</w:t>
      </w:r>
      <w:r>
        <w:rPr>
          <w:rFonts w:hint="eastAsia" w:ascii="宋体" w:hAnsi="宋体" w:cs="宋体"/>
          <w:b/>
          <w:color w:val="auto"/>
        </w:rPr>
        <w:t>文件中提供与其自有产品专利相关的有效证明材料，否则，</w:t>
      </w:r>
      <w:r>
        <w:rPr>
          <w:rFonts w:hint="eastAsia" w:ascii="宋体" w:hAnsi="宋体" w:cs="宋体"/>
          <w:b/>
          <w:bCs/>
          <w:color w:val="auto"/>
        </w:rPr>
        <w:t>不能就其产品的专利在本项目</w:t>
      </w:r>
      <w:r>
        <w:rPr>
          <w:rFonts w:hint="eastAsia" w:ascii="宋体" w:hAnsi="宋体" w:cs="宋体"/>
          <w:b/>
          <w:bCs/>
          <w:color w:val="auto"/>
          <w:lang w:eastAsia="zh-CN"/>
        </w:rPr>
        <w:t>谈判</w:t>
      </w:r>
      <w:r>
        <w:rPr>
          <w:rFonts w:hint="eastAsia" w:ascii="宋体" w:hAnsi="宋体" w:cs="宋体"/>
          <w:b/>
          <w:bCs/>
          <w:color w:val="auto"/>
        </w:rPr>
        <w:t>过程中被侵权问题而提出异议。</w:t>
      </w:r>
    </w:p>
    <w:p>
      <w:pPr>
        <w:spacing w:line="360" w:lineRule="auto"/>
        <w:ind w:firstLine="411" w:firstLineChars="195"/>
        <w:rPr>
          <w:rFonts w:ascii="宋体" w:cs="宋体"/>
          <w:b/>
          <w:bCs/>
          <w:color w:val="auto"/>
          <w:szCs w:val="21"/>
        </w:rPr>
      </w:pPr>
      <w:r>
        <w:rPr>
          <w:rFonts w:ascii="宋体" w:hAnsi="宋体" w:cs="宋体"/>
          <w:b/>
          <w:bCs/>
          <w:color w:val="auto"/>
        </w:rPr>
        <w:t>3</w:t>
      </w:r>
      <w:r>
        <w:rPr>
          <w:rFonts w:hint="eastAsia" w:ascii="宋体" w:hAnsi="宋体" w:cs="宋体"/>
          <w:b/>
          <w:bCs/>
          <w:color w:val="auto"/>
        </w:rPr>
        <w:t>、</w:t>
      </w:r>
      <w:r>
        <w:rPr>
          <w:rFonts w:hint="eastAsia" w:ascii="宋体" w:hAnsi="宋体" w:cs="宋体"/>
          <w:b/>
          <w:bCs/>
          <w:color w:val="auto"/>
          <w:szCs w:val="21"/>
        </w:rPr>
        <w:t>根据《关于信息安全产品实施政府采购的通知》（财库</w:t>
      </w:r>
      <w:r>
        <w:rPr>
          <w:rFonts w:ascii="宋体" w:hAnsi="宋体" w:cs="宋体"/>
          <w:b/>
          <w:bCs/>
          <w:color w:val="auto"/>
          <w:szCs w:val="21"/>
        </w:rPr>
        <w:t>[2010]48</w:t>
      </w:r>
      <w:r>
        <w:rPr>
          <w:rFonts w:hint="eastAsia" w:ascii="宋体" w:hAnsi="宋体" w:cs="宋体"/>
          <w:b/>
          <w:bCs/>
          <w:color w:val="auto"/>
          <w:szCs w:val="21"/>
        </w:rPr>
        <w:t>号）的规定，如采购需求中有涉及信息安全产品的设备，必须提供由中国信息安全认证中心按国家标准认证颁发的有效认证证书复印件。</w:t>
      </w:r>
    </w:p>
    <w:p>
      <w:pPr>
        <w:spacing w:line="360" w:lineRule="auto"/>
        <w:ind w:firstLine="422" w:firstLineChars="200"/>
        <w:jc w:val="left"/>
        <w:rPr>
          <w:rFonts w:ascii="宋体" w:cs="宋体"/>
          <w:b/>
          <w:bCs/>
          <w:color w:val="auto"/>
          <w:szCs w:val="21"/>
        </w:rPr>
      </w:pPr>
      <w:r>
        <w:rPr>
          <w:rFonts w:ascii="宋体" w:hAnsi="宋体" w:cs="宋体"/>
          <w:b/>
          <w:bCs/>
          <w:color w:val="auto"/>
          <w:szCs w:val="21"/>
        </w:rPr>
        <w:t>4</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应注意下列内容：</w:t>
      </w:r>
    </w:p>
    <w:p>
      <w:pPr>
        <w:spacing w:line="360" w:lineRule="auto"/>
        <w:ind w:firstLine="422" w:firstLineChars="200"/>
        <w:jc w:val="left"/>
        <w:rPr>
          <w:rFonts w:ascii="宋体" w:cs="宋体"/>
          <w:b/>
          <w:bCs/>
          <w:color w:val="auto"/>
          <w:szCs w:val="21"/>
        </w:rPr>
      </w:pPr>
      <w:r>
        <w:rPr>
          <w:rFonts w:ascii="宋体" w:hAnsi="宋体" w:cs="宋体"/>
          <w:b/>
          <w:bCs/>
          <w:color w:val="auto"/>
          <w:szCs w:val="21"/>
        </w:rPr>
        <w:t>1</w:t>
      </w:r>
      <w:r>
        <w:rPr>
          <w:rFonts w:hint="eastAsia" w:ascii="宋体" w:hAnsi="宋体" w:cs="宋体"/>
          <w:b/>
          <w:bCs/>
          <w:color w:val="auto"/>
          <w:szCs w:val="21"/>
        </w:rPr>
        <w:t>）招标文件中带“</w:t>
      </w:r>
      <w:r>
        <w:rPr>
          <w:rFonts w:hint="eastAsia" w:ascii="宋体" w:hAnsi="宋体" w:cs="宋体"/>
          <w:color w:val="auto"/>
          <w:szCs w:val="21"/>
        </w:rPr>
        <w:t>★</w:t>
      </w:r>
      <w:r>
        <w:rPr>
          <w:rFonts w:hint="eastAsia" w:ascii="宋体" w:hAnsi="宋体" w:cs="宋体"/>
          <w:b/>
          <w:bCs/>
          <w:color w:val="auto"/>
          <w:kern w:val="0"/>
        </w:rPr>
        <w:t>”</w:t>
      </w:r>
      <w:r>
        <w:rPr>
          <w:rFonts w:hint="eastAsia" w:ascii="宋体" w:hAnsi="宋体" w:cs="宋体"/>
          <w:b/>
          <w:bCs/>
          <w:color w:val="auto"/>
          <w:szCs w:val="21"/>
        </w:rPr>
        <w:t>的条款为本次采购的实质性的商务、技术或服务要求，</w:t>
      </w:r>
      <w:r>
        <w:rPr>
          <w:rFonts w:hint="eastAsia" w:ascii="宋体" w:hAnsi="宋体" w:cs="宋体"/>
          <w:b/>
          <w:bCs/>
          <w:color w:val="auto"/>
          <w:szCs w:val="21"/>
          <w:lang w:eastAsia="zh-CN"/>
        </w:rPr>
        <w:t>供应商</w:t>
      </w:r>
      <w:r>
        <w:rPr>
          <w:rFonts w:hint="eastAsia" w:ascii="宋体" w:hAnsi="宋体" w:cs="宋体"/>
          <w:b/>
          <w:bCs/>
          <w:color w:val="auto"/>
          <w:szCs w:val="21"/>
        </w:rPr>
        <w:t>须满足或响应，若无法完全满足，将会被认定为无效</w:t>
      </w:r>
      <w:r>
        <w:rPr>
          <w:rFonts w:hint="eastAsia" w:ascii="宋体" w:hAnsi="宋体" w:cs="宋体"/>
          <w:b/>
          <w:bCs/>
          <w:color w:val="auto"/>
          <w:szCs w:val="21"/>
          <w:lang w:eastAsia="zh-CN"/>
        </w:rPr>
        <w:t>谈判</w:t>
      </w:r>
      <w:r>
        <w:rPr>
          <w:rFonts w:hint="eastAsia" w:ascii="宋体" w:hAnsi="宋体" w:cs="宋体"/>
          <w:b/>
          <w:bCs/>
          <w:color w:val="auto"/>
          <w:szCs w:val="21"/>
        </w:rPr>
        <w:t>。</w:t>
      </w:r>
    </w:p>
    <w:p>
      <w:pPr>
        <w:spacing w:line="360" w:lineRule="auto"/>
        <w:ind w:firstLine="422" w:firstLineChars="200"/>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须在</w:t>
      </w:r>
      <w:r>
        <w:rPr>
          <w:rFonts w:hint="eastAsia" w:ascii="宋体" w:hAnsi="宋体" w:cs="宋体"/>
          <w:b/>
          <w:bCs/>
          <w:color w:val="auto"/>
          <w:szCs w:val="21"/>
          <w:lang w:val="en-US" w:eastAsia="zh-CN"/>
        </w:rPr>
        <w:t>响应</w:t>
      </w:r>
      <w:r>
        <w:rPr>
          <w:rFonts w:hint="eastAsia" w:ascii="宋体" w:hAnsi="宋体" w:cs="宋体"/>
          <w:b/>
          <w:bCs/>
          <w:color w:val="auto"/>
          <w:szCs w:val="21"/>
        </w:rPr>
        <w:t>文件中填写</w:t>
      </w:r>
      <w:r>
        <w:rPr>
          <w:rFonts w:ascii="宋体" w:hAnsi="宋体" w:cs="宋体"/>
          <w:b/>
          <w:bCs/>
          <w:color w:val="auto"/>
          <w:szCs w:val="21"/>
        </w:rPr>
        <w:t>/</w:t>
      </w:r>
      <w:r>
        <w:rPr>
          <w:rFonts w:hint="eastAsia" w:ascii="宋体" w:hAnsi="宋体" w:cs="宋体"/>
          <w:b/>
          <w:bCs/>
          <w:color w:val="auto"/>
          <w:szCs w:val="21"/>
        </w:rPr>
        <w:t>应答技术规格参数，当</w:t>
      </w:r>
      <w:r>
        <w:rPr>
          <w:rFonts w:hint="eastAsia" w:ascii="宋体" w:hAnsi="宋体" w:cs="宋体"/>
          <w:b/>
          <w:bCs/>
          <w:color w:val="auto"/>
          <w:szCs w:val="21"/>
          <w:lang w:val="en-US" w:eastAsia="zh-CN"/>
        </w:rPr>
        <w:t>响应</w:t>
      </w:r>
      <w:r>
        <w:rPr>
          <w:rFonts w:hint="eastAsia" w:ascii="宋体" w:hAnsi="宋体" w:cs="宋体"/>
          <w:b/>
          <w:bCs/>
          <w:color w:val="auto"/>
          <w:szCs w:val="21"/>
        </w:rPr>
        <w:t>文件中技术参数与</w:t>
      </w:r>
      <w:r>
        <w:rPr>
          <w:rFonts w:hint="eastAsia" w:ascii="宋体" w:hAnsi="宋体" w:cs="宋体"/>
          <w:b/>
          <w:bCs/>
          <w:color w:val="auto"/>
          <w:szCs w:val="21"/>
          <w:lang w:val="en-US" w:eastAsia="zh-CN"/>
        </w:rPr>
        <w:t>采购</w:t>
      </w:r>
      <w:r>
        <w:rPr>
          <w:rFonts w:hint="eastAsia" w:ascii="宋体" w:hAnsi="宋体" w:cs="宋体"/>
          <w:b/>
          <w:bCs/>
          <w:color w:val="auto"/>
          <w:szCs w:val="21"/>
        </w:rPr>
        <w:t>文件中技术参数有偏离时，须在“偏离”栏内如实注明是“正偏离”或“负偏离”，“正偏离”指</w:t>
      </w:r>
      <w:r>
        <w:rPr>
          <w:rFonts w:hint="eastAsia" w:ascii="宋体" w:hAnsi="宋体" w:cs="宋体"/>
          <w:b/>
          <w:bCs/>
          <w:color w:val="auto"/>
          <w:szCs w:val="21"/>
          <w:lang w:val="en-US" w:eastAsia="zh-CN"/>
        </w:rPr>
        <w:t>谈判</w:t>
      </w:r>
      <w:r>
        <w:rPr>
          <w:rFonts w:hint="eastAsia" w:ascii="宋体" w:hAnsi="宋体" w:cs="宋体"/>
          <w:b/>
          <w:bCs/>
          <w:color w:val="auto"/>
          <w:szCs w:val="21"/>
        </w:rPr>
        <w:t>设备的技术参数优于</w:t>
      </w:r>
      <w:r>
        <w:rPr>
          <w:rFonts w:hint="eastAsia" w:ascii="宋体" w:hAnsi="宋体" w:cs="宋体"/>
          <w:b/>
          <w:bCs/>
          <w:color w:val="auto"/>
          <w:szCs w:val="21"/>
          <w:lang w:val="en-US" w:eastAsia="zh-CN"/>
        </w:rPr>
        <w:t>采购</w:t>
      </w:r>
      <w:r>
        <w:rPr>
          <w:rFonts w:hint="eastAsia" w:ascii="宋体" w:hAnsi="宋体" w:cs="宋体"/>
          <w:b/>
          <w:bCs/>
          <w:color w:val="auto"/>
          <w:szCs w:val="21"/>
        </w:rPr>
        <w:t>文件中要求，“负偏离”指</w:t>
      </w:r>
      <w:r>
        <w:rPr>
          <w:rFonts w:hint="eastAsia" w:ascii="宋体" w:hAnsi="宋体" w:cs="宋体"/>
          <w:b/>
          <w:bCs/>
          <w:color w:val="auto"/>
          <w:szCs w:val="21"/>
          <w:lang w:val="en-US" w:eastAsia="zh-CN"/>
        </w:rPr>
        <w:t>谈判</w:t>
      </w:r>
      <w:r>
        <w:rPr>
          <w:rFonts w:hint="eastAsia" w:ascii="宋体" w:hAnsi="宋体" w:cs="宋体"/>
          <w:b/>
          <w:bCs/>
          <w:color w:val="auto"/>
          <w:szCs w:val="21"/>
        </w:rPr>
        <w:t>设备的技术参数低于</w:t>
      </w:r>
      <w:r>
        <w:rPr>
          <w:rFonts w:hint="eastAsia" w:ascii="宋体" w:hAnsi="宋体" w:cs="宋体"/>
          <w:b/>
          <w:bCs/>
          <w:color w:val="auto"/>
          <w:szCs w:val="21"/>
          <w:lang w:val="en-US" w:eastAsia="zh-CN"/>
        </w:rPr>
        <w:t>采购</w:t>
      </w:r>
      <w:r>
        <w:rPr>
          <w:rFonts w:hint="eastAsia" w:ascii="宋体" w:hAnsi="宋体" w:cs="宋体"/>
          <w:b/>
          <w:bCs/>
          <w:color w:val="auto"/>
          <w:szCs w:val="21"/>
        </w:rPr>
        <w:t>文件中要求。</w:t>
      </w:r>
      <w:r>
        <w:rPr>
          <w:rFonts w:hint="eastAsia" w:ascii="宋体" w:hAnsi="宋体" w:cs="宋体"/>
          <w:b/>
          <w:bCs/>
          <w:color w:val="auto"/>
          <w:szCs w:val="21"/>
          <w:lang w:eastAsia="zh-CN"/>
        </w:rPr>
        <w:t>响应文件</w:t>
      </w:r>
      <w:r>
        <w:rPr>
          <w:rFonts w:hint="eastAsia" w:ascii="宋体" w:hAnsi="宋体" w:cs="宋体"/>
          <w:b/>
          <w:bCs/>
          <w:color w:val="auto"/>
          <w:szCs w:val="21"/>
        </w:rPr>
        <w:t>中的技术参数、功能或其它内容有“正偏离”的，</w:t>
      </w:r>
      <w:r>
        <w:rPr>
          <w:rFonts w:hint="eastAsia" w:ascii="宋体" w:hAnsi="宋体" w:cs="宋体"/>
          <w:b/>
          <w:bCs/>
          <w:color w:val="auto"/>
          <w:szCs w:val="21"/>
          <w:lang w:eastAsia="zh-CN"/>
        </w:rPr>
        <w:t>供应商</w:t>
      </w:r>
      <w:r>
        <w:rPr>
          <w:rFonts w:hint="eastAsia" w:ascii="宋体" w:hAnsi="宋体" w:cs="宋体"/>
          <w:b/>
          <w:bCs/>
          <w:color w:val="auto"/>
          <w:szCs w:val="21"/>
        </w:rPr>
        <w:t>须对“正偏离”的情况单独作出说明。</w:t>
      </w:r>
    </w:p>
    <w:p>
      <w:pPr>
        <w:spacing w:line="360" w:lineRule="auto"/>
        <w:ind w:firstLine="422" w:firstLineChars="200"/>
        <w:jc w:val="left"/>
        <w:rPr>
          <w:rFonts w:ascii="宋体" w:cs="宋体"/>
          <w:b/>
          <w:bCs/>
          <w:color w:val="auto"/>
          <w:szCs w:val="21"/>
        </w:rPr>
      </w:pPr>
      <w:r>
        <w:rPr>
          <w:rFonts w:ascii="宋体" w:hAnsi="宋体" w:cs="宋体"/>
          <w:b/>
          <w:bCs/>
          <w:color w:val="auto"/>
          <w:szCs w:val="21"/>
        </w:rPr>
        <w:t>3</w:t>
      </w:r>
      <w:r>
        <w:rPr>
          <w:rFonts w:hint="eastAsia" w:ascii="宋体" w:hAnsi="宋体" w:cs="宋体"/>
          <w:b/>
          <w:bCs/>
          <w:color w:val="auto"/>
          <w:szCs w:val="21"/>
        </w:rPr>
        <w:t>）本货物需求一览表中所列的品牌、型号仅起参考作用，供应商可选用其他品牌、型号替代，但替代的品牌、型号在实质性要求和条件上要相当于或优于参考品牌、型号。</w:t>
      </w:r>
    </w:p>
    <w:p>
      <w:pPr>
        <w:adjustRightInd w:val="0"/>
        <w:snapToGrid w:val="0"/>
        <w:spacing w:line="360" w:lineRule="auto"/>
        <w:ind w:firstLine="422" w:firstLineChars="200"/>
        <w:rPr>
          <w:rFonts w:ascii="宋体" w:cs="宋体"/>
          <w:b/>
          <w:bCs/>
          <w:color w:val="auto"/>
          <w:szCs w:val="21"/>
        </w:rPr>
      </w:pPr>
      <w:r>
        <w:rPr>
          <w:rFonts w:ascii="宋体" w:hAnsi="宋体" w:cs="宋体"/>
          <w:b/>
          <w:bCs/>
          <w:color w:val="auto"/>
          <w:szCs w:val="21"/>
        </w:rPr>
        <w:t>5</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lang w:val="en-US" w:eastAsia="zh-CN"/>
        </w:rPr>
        <w:t>谈判</w:t>
      </w:r>
      <w:r>
        <w:rPr>
          <w:rFonts w:hint="eastAsia" w:ascii="宋体" w:hAnsi="宋体" w:cs="宋体"/>
          <w:b/>
          <w:bCs/>
          <w:color w:val="auto"/>
          <w:szCs w:val="21"/>
        </w:rPr>
        <w:t>产品中的主要设备需提供有关产品说明书或产品彩页，这些资料文件应以附件形式在</w:t>
      </w:r>
      <w:r>
        <w:rPr>
          <w:rFonts w:hint="eastAsia" w:ascii="宋体" w:hAnsi="宋体" w:cs="宋体"/>
          <w:b/>
          <w:bCs/>
          <w:color w:val="auto"/>
          <w:szCs w:val="21"/>
          <w:lang w:eastAsia="zh-CN"/>
        </w:rPr>
        <w:t>响应文件</w:t>
      </w:r>
      <w:r>
        <w:rPr>
          <w:rFonts w:hint="eastAsia" w:ascii="宋体" w:hAnsi="宋体" w:cs="宋体"/>
          <w:b/>
          <w:bCs/>
          <w:color w:val="auto"/>
          <w:szCs w:val="21"/>
        </w:rPr>
        <w:t>中列出。若提供的产品说明书或产品彩页与</w:t>
      </w:r>
      <w:r>
        <w:rPr>
          <w:rFonts w:hint="eastAsia" w:ascii="宋体" w:hAnsi="宋体" w:cs="宋体"/>
          <w:b/>
          <w:bCs/>
          <w:color w:val="auto"/>
          <w:szCs w:val="21"/>
          <w:lang w:eastAsia="zh-CN"/>
        </w:rPr>
        <w:t>响应文件</w:t>
      </w:r>
      <w:r>
        <w:rPr>
          <w:rFonts w:hint="eastAsia" w:ascii="宋体" w:hAnsi="宋体" w:cs="宋体"/>
          <w:b/>
          <w:bCs/>
          <w:color w:val="auto"/>
          <w:szCs w:val="21"/>
        </w:rPr>
        <w:t>中响应的同一技术指标不一致时，应由生产厂商出具相关说明，否则以产品说明书或产品彩页为准。</w:t>
      </w:r>
    </w:p>
    <w:p>
      <w:pPr>
        <w:adjustRightInd w:val="0"/>
        <w:snapToGrid w:val="0"/>
        <w:spacing w:line="360" w:lineRule="auto"/>
        <w:ind w:firstLine="422" w:firstLineChars="200"/>
        <w:rPr>
          <w:rFonts w:hint="eastAsia" w:ascii="宋体" w:hAnsi="宋体" w:cs="宋体"/>
          <w:b/>
          <w:bCs/>
          <w:color w:val="auto"/>
          <w:lang w:eastAsia="zh-CN"/>
        </w:rPr>
      </w:pPr>
      <w:bookmarkStart w:id="57" w:name="工期要求"/>
      <w:bookmarkEnd w:id="57"/>
      <w:r>
        <w:rPr>
          <w:rFonts w:ascii="宋体" w:hAnsi="宋体" w:cs="宋体"/>
          <w:b/>
          <w:bCs/>
          <w:color w:val="auto"/>
          <w:szCs w:val="21"/>
        </w:rPr>
        <w:t>6</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应承诺</w:t>
      </w:r>
      <w:r>
        <w:rPr>
          <w:rFonts w:hint="eastAsia" w:ascii="宋体" w:hAnsi="宋体" w:cs="宋体"/>
          <w:b/>
          <w:bCs/>
          <w:color w:val="auto"/>
          <w:szCs w:val="21"/>
          <w:lang w:eastAsia="zh-CN"/>
        </w:rPr>
        <w:t>响应文件</w:t>
      </w:r>
      <w:r>
        <w:rPr>
          <w:rFonts w:hint="eastAsia" w:ascii="宋体" w:hAnsi="宋体" w:cs="宋体"/>
          <w:b/>
          <w:bCs/>
          <w:color w:val="auto"/>
          <w:szCs w:val="21"/>
        </w:rPr>
        <w:t>中提供的证明材料和资质文件真实，如出现虚假应标情况，</w:t>
      </w:r>
      <w:r>
        <w:rPr>
          <w:rFonts w:hint="eastAsia" w:ascii="宋体" w:hAnsi="宋体" w:cs="宋体"/>
          <w:b/>
          <w:bCs/>
          <w:color w:val="auto"/>
          <w:szCs w:val="21"/>
          <w:lang w:eastAsia="zh-CN"/>
        </w:rPr>
        <w:t>供应商</w:t>
      </w:r>
      <w:r>
        <w:rPr>
          <w:rFonts w:hint="eastAsia" w:ascii="宋体" w:hAnsi="宋体" w:cs="宋体"/>
          <w:b/>
          <w:bCs/>
          <w:color w:val="auto"/>
          <w:szCs w:val="21"/>
        </w:rPr>
        <w:t>除了应接受有关部门的处罚外，还应</w:t>
      </w:r>
      <w:r>
        <w:rPr>
          <w:rFonts w:hint="eastAsia" w:ascii="宋体" w:hAnsi="宋体" w:cs="宋体"/>
          <w:b/>
          <w:bCs/>
          <w:color w:val="auto"/>
        </w:rPr>
        <w:t>依据《中华人民共和国合同法》的相关条款来确定赔偿金额</w:t>
      </w:r>
      <w:r>
        <w:rPr>
          <w:rFonts w:hint="eastAsia" w:ascii="宋体" w:hAnsi="宋体" w:cs="宋体"/>
          <w:b/>
          <w:bCs/>
          <w:color w:val="auto"/>
          <w:lang w:eastAsia="zh-CN"/>
        </w:rPr>
        <w:t>。</w:t>
      </w:r>
    </w:p>
    <w:p>
      <w:pPr>
        <w:pStyle w:val="2"/>
        <w:rPr>
          <w:rFonts w:hint="eastAsia" w:ascii="宋体" w:hAnsi="宋体" w:cs="宋体"/>
          <w:b/>
          <w:bCs/>
          <w:color w:val="auto"/>
          <w:lang w:eastAsia="zh-CN"/>
        </w:rPr>
      </w:pPr>
    </w:p>
    <w:p>
      <w:pPr>
        <w:rPr>
          <w:rFonts w:hint="eastAsia" w:ascii="宋体" w:hAnsi="宋体" w:cs="宋体"/>
          <w:b/>
          <w:bCs/>
          <w:color w:val="auto"/>
          <w:lang w:eastAsia="zh-CN"/>
        </w:rPr>
      </w:pPr>
    </w:p>
    <w:p>
      <w:pPr>
        <w:pStyle w:val="2"/>
        <w:rPr>
          <w:rFonts w:hint="eastAsia" w:ascii="宋体" w:hAnsi="宋体" w:cs="宋体"/>
          <w:b/>
          <w:bCs/>
          <w:color w:val="auto"/>
          <w:lang w:eastAsia="zh-CN"/>
        </w:rPr>
      </w:pPr>
    </w:p>
    <w:p>
      <w:pPr>
        <w:rPr>
          <w:rFonts w:hint="eastAsia" w:ascii="宋体" w:hAnsi="宋体" w:cs="宋体"/>
          <w:b/>
          <w:bCs/>
          <w:color w:val="auto"/>
          <w:lang w:eastAsia="zh-CN"/>
        </w:rPr>
      </w:pPr>
    </w:p>
    <w:p>
      <w:pPr>
        <w:pStyle w:val="2"/>
        <w:rPr>
          <w:rFonts w:hint="eastAsia"/>
          <w:color w:val="auto"/>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58"/>
        <w:gridCol w:w="1132"/>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ascii="宋体" w:cs="宋体"/>
                <w:b/>
                <w:bCs/>
                <w:color w:val="auto"/>
                <w:sz w:val="21"/>
                <w:szCs w:val="21"/>
              </w:rPr>
            </w:pPr>
            <w:r>
              <w:rPr>
                <w:rFonts w:hint="eastAsia" w:ascii="宋体" w:hAnsi="宋体" w:cs="宋体"/>
                <w:b/>
                <w:bCs/>
                <w:color w:val="auto"/>
                <w:sz w:val="21"/>
                <w:szCs w:val="21"/>
              </w:rPr>
              <w:t>序号</w:t>
            </w:r>
          </w:p>
        </w:tc>
        <w:tc>
          <w:tcPr>
            <w:tcW w:w="1458"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货物名称</w:t>
            </w:r>
          </w:p>
        </w:tc>
        <w:tc>
          <w:tcPr>
            <w:tcW w:w="1132"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数量</w:t>
            </w:r>
          </w:p>
        </w:tc>
        <w:tc>
          <w:tcPr>
            <w:tcW w:w="5775"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kern w:val="0"/>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81" w:type="dxa"/>
            <w:noWrap w:val="0"/>
            <w:vAlign w:val="center"/>
          </w:tcPr>
          <w:p>
            <w:pPr>
              <w:widowControl/>
              <w:ind w:firstLine="220" w:firstLineChars="100"/>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1458" w:type="dxa"/>
            <w:noWrap w:val="0"/>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污水处理系统设备及安装</w:t>
            </w:r>
          </w:p>
          <w:p>
            <w:pPr>
              <w:pStyle w:val="8"/>
              <w:rPr>
                <w:rFonts w:hint="eastAsia" w:ascii="宋体" w:hAnsi="宋体" w:eastAsia="宋体" w:cs="宋体"/>
                <w:color w:val="auto"/>
                <w:sz w:val="22"/>
                <w:szCs w:val="22"/>
              </w:rPr>
            </w:pPr>
          </w:p>
        </w:tc>
        <w:tc>
          <w:tcPr>
            <w:tcW w:w="1132"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c>
          <w:tcPr>
            <w:tcW w:w="5775" w:type="dxa"/>
            <w:noWrap w:val="0"/>
            <w:vAlign w:val="center"/>
          </w:tcPr>
          <w:p>
            <w:pPr>
              <w:widowControl/>
              <w:numPr>
                <w:ilvl w:val="0"/>
                <w:numId w:val="0"/>
              </w:numPr>
              <w:ind w:left="105" w:leftChars="0"/>
              <w:jc w:val="left"/>
              <w:rPr>
                <w:rFonts w:hint="eastAsia" w:ascii="宋体" w:hAnsi="宋体" w:eastAsia="宋体" w:cs="宋体"/>
                <w:color w:val="auto"/>
                <w:sz w:val="22"/>
                <w:szCs w:val="22"/>
              </w:rPr>
            </w:pPr>
            <w:r>
              <w:rPr>
                <w:rFonts w:hint="eastAsia" w:ascii="宋体" w:hAnsi="宋体" w:eastAsia="宋体" w:cs="宋体"/>
                <w:color w:val="auto"/>
                <w:sz w:val="22"/>
                <w:szCs w:val="22"/>
              </w:rPr>
              <w:t>（1）进水水质参数</w:t>
            </w:r>
          </w:p>
          <w:p>
            <w:pPr>
              <w:widowControl/>
              <w:numPr>
                <w:ilvl w:val="0"/>
                <w:numId w:val="0"/>
              </w:numPr>
              <w:ind w:left="105" w:leftChars="0"/>
              <w:jc w:val="left"/>
              <w:rPr>
                <w:rFonts w:hint="eastAsia" w:ascii="宋体" w:hAnsi="宋体" w:eastAsia="宋体" w:cs="宋体"/>
                <w:color w:val="auto"/>
                <w:sz w:val="22"/>
                <w:szCs w:val="22"/>
              </w:rPr>
            </w:pPr>
            <w:r>
              <w:rPr>
                <w:rFonts w:hint="eastAsia" w:ascii="宋体" w:hAnsi="宋体" w:eastAsia="宋体" w:cs="宋体"/>
                <w:color w:val="auto"/>
                <w:sz w:val="22"/>
                <w:szCs w:val="22"/>
              </w:rPr>
              <w:t>根据《医院污水处理工程技术规范》（HJ2029-2013）结合项目环境特征，主要指标按高要求考虑，以应对实际水质复杂多样性，医疗废水设计进水水质见下表。</w:t>
            </w:r>
          </w:p>
          <w:p>
            <w:pPr>
              <w:widowControl/>
              <w:numPr>
                <w:ilvl w:val="0"/>
                <w:numId w:val="0"/>
              </w:numPr>
              <w:ind w:left="105" w:leftChars="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rPr>
              <w:t>表3-1  医疗废水设计进水水质</w:t>
            </w:r>
          </w:p>
          <w:tbl>
            <w:tblPr>
              <w:tblStyle w:val="25"/>
              <w:tblW w:w="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37"/>
              <w:gridCol w:w="926"/>
              <w:gridCol w:w="927"/>
              <w:gridCol w:w="78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指标</w:t>
                  </w:r>
                </w:p>
              </w:tc>
              <w:tc>
                <w:tcPr>
                  <w:tcW w:w="837" w:type="dxa"/>
                  <w:vAlign w:val="center"/>
                </w:tcPr>
                <w:p>
                  <w:pPr>
                    <w:widowControl/>
                    <w:snapToGrid w:val="0"/>
                    <w:jc w:val="center"/>
                    <w:rPr>
                      <w:rFonts w:hint="eastAsia" w:ascii="宋体" w:hAnsi="宋体" w:eastAsia="宋体" w:cs="宋体"/>
                      <w:color w:val="auto"/>
                      <w:kern w:val="0"/>
                      <w:sz w:val="22"/>
                      <w:szCs w:val="22"/>
                      <w:vertAlign w:val="subscript"/>
                    </w:rPr>
                  </w:pPr>
                  <w:r>
                    <w:rPr>
                      <w:rFonts w:hint="eastAsia" w:ascii="宋体" w:hAnsi="宋体" w:eastAsia="宋体" w:cs="宋体"/>
                      <w:color w:val="auto"/>
                      <w:kern w:val="0"/>
                      <w:sz w:val="22"/>
                      <w:szCs w:val="22"/>
                    </w:rPr>
                    <w:t>COD</w:t>
                  </w:r>
                  <w:r>
                    <w:rPr>
                      <w:rFonts w:hint="eastAsia" w:ascii="宋体" w:hAnsi="宋体" w:eastAsia="宋体" w:cs="宋体"/>
                      <w:color w:val="auto"/>
                      <w:kern w:val="0"/>
                      <w:sz w:val="22"/>
                      <w:szCs w:val="22"/>
                      <w:vertAlign w:val="subscript"/>
                    </w:rPr>
                    <w:t>C）</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（mg/L）</w:t>
                  </w:r>
                </w:p>
              </w:tc>
              <w:tc>
                <w:tcPr>
                  <w:tcW w:w="926" w:type="dxa"/>
                  <w:vAlign w:val="center"/>
                </w:tcPr>
                <w:p>
                  <w:pPr>
                    <w:widowControl/>
                    <w:snapToGrid w:val="0"/>
                    <w:jc w:val="center"/>
                    <w:rPr>
                      <w:rFonts w:hint="eastAsia" w:ascii="宋体" w:hAnsi="宋体" w:eastAsia="宋体" w:cs="宋体"/>
                      <w:color w:val="auto"/>
                      <w:kern w:val="0"/>
                      <w:sz w:val="22"/>
                      <w:szCs w:val="22"/>
                      <w:vertAlign w:val="subscript"/>
                    </w:rPr>
                  </w:pPr>
                  <w:r>
                    <w:rPr>
                      <w:rFonts w:hint="eastAsia" w:ascii="宋体" w:hAnsi="宋体" w:eastAsia="宋体" w:cs="宋体"/>
                      <w:color w:val="auto"/>
                      <w:kern w:val="0"/>
                      <w:sz w:val="22"/>
                      <w:szCs w:val="22"/>
                    </w:rPr>
                    <w:t>BOD</w:t>
                  </w:r>
                  <w:r>
                    <w:rPr>
                      <w:rFonts w:hint="eastAsia" w:ascii="宋体" w:hAnsi="宋体" w:eastAsia="宋体" w:cs="宋体"/>
                      <w:color w:val="auto"/>
                      <w:kern w:val="0"/>
                      <w:sz w:val="22"/>
                      <w:szCs w:val="22"/>
                      <w:vertAlign w:val="subscript"/>
                    </w:rPr>
                    <w:t>5</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（mg/L）</w:t>
                  </w:r>
                </w:p>
              </w:tc>
              <w:tc>
                <w:tcPr>
                  <w:tcW w:w="927" w:type="dxa"/>
                  <w:vAlign w:val="center"/>
                </w:tcPr>
                <w:p>
                  <w:pPr>
                    <w:widowControl/>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SS</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（mg/L）</w:t>
                  </w:r>
                </w:p>
              </w:tc>
              <w:tc>
                <w:tcPr>
                  <w:tcW w:w="785" w:type="dxa"/>
                  <w:vAlign w:val="center"/>
                </w:tcPr>
                <w:p>
                  <w:pPr>
                    <w:widowControl/>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NH</w:t>
                  </w:r>
                  <w:r>
                    <w:rPr>
                      <w:rFonts w:hint="eastAsia" w:ascii="宋体" w:hAnsi="宋体" w:eastAsia="宋体" w:cs="宋体"/>
                      <w:color w:val="auto"/>
                      <w:kern w:val="0"/>
                      <w:sz w:val="22"/>
                      <w:szCs w:val="22"/>
                      <w:vertAlign w:val="subscript"/>
                    </w:rPr>
                    <w:t>3</w:t>
                  </w:r>
                  <w:r>
                    <w:rPr>
                      <w:rFonts w:hint="eastAsia" w:ascii="宋体" w:hAnsi="宋体" w:eastAsia="宋体" w:cs="宋体"/>
                      <w:color w:val="auto"/>
                      <w:kern w:val="0"/>
                      <w:sz w:val="22"/>
                      <w:szCs w:val="22"/>
                    </w:rPr>
                    <w:t>-N</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（mg/L）</w:t>
                  </w:r>
                </w:p>
              </w:tc>
              <w:tc>
                <w:tcPr>
                  <w:tcW w:w="1069" w:type="dxa"/>
                  <w:vAlign w:val="center"/>
                </w:tcPr>
                <w:p>
                  <w:pPr>
                    <w:widowControl/>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粪大肠杆菌</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5" w:type="dxa"/>
                  <w:vAlign w:val="center"/>
                </w:tcPr>
                <w:p>
                  <w:pPr>
                    <w:widowControl/>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染物</w:t>
                  </w:r>
                </w:p>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浓度</w:t>
                  </w:r>
                </w:p>
              </w:tc>
              <w:tc>
                <w:tcPr>
                  <w:tcW w:w="837"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250</w:t>
                  </w:r>
                </w:p>
              </w:tc>
              <w:tc>
                <w:tcPr>
                  <w:tcW w:w="926"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100</w:t>
                  </w:r>
                </w:p>
              </w:tc>
              <w:tc>
                <w:tcPr>
                  <w:tcW w:w="927"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60</w:t>
                  </w:r>
                </w:p>
              </w:tc>
              <w:tc>
                <w:tcPr>
                  <w:tcW w:w="785"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50</w:t>
                  </w:r>
                </w:p>
              </w:tc>
              <w:tc>
                <w:tcPr>
                  <w:tcW w:w="1069" w:type="dxa"/>
                  <w:vAlign w:val="center"/>
                </w:tcPr>
                <w:p>
                  <w:pPr>
                    <w:widowControl/>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1.6×10</w:t>
                  </w:r>
                  <w:r>
                    <w:rPr>
                      <w:rFonts w:hint="eastAsia" w:ascii="宋体" w:hAnsi="宋体" w:eastAsia="宋体" w:cs="宋体"/>
                      <w:color w:val="auto"/>
                      <w:sz w:val="22"/>
                      <w:szCs w:val="22"/>
                      <w:vertAlign w:val="superscript"/>
                    </w:rPr>
                    <w:t>8</w:t>
                  </w:r>
                </w:p>
              </w:tc>
            </w:tr>
          </w:tbl>
          <w:p>
            <w:pPr>
              <w:pStyle w:val="2"/>
              <w:rPr>
                <w:rFonts w:hint="eastAsia" w:ascii="宋体" w:hAnsi="宋体" w:eastAsia="宋体" w:cs="宋体"/>
                <w:b/>
                <w:bCs/>
                <w:color w:val="auto"/>
                <w:sz w:val="22"/>
                <w:szCs w:val="22"/>
              </w:rPr>
            </w:pP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rPr>
              <w:t>（2）出水排放标准</w:t>
            </w:r>
          </w:p>
          <w:p>
            <w:pP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环境影响评价报告表所述污水按综合医院污水处理，污水站出水水质应满足《医疗机构水污物排放标准》（GB18466-2005）中表 2 综合医疗机构和其他医疗机构水污染物排放限值标准要求。具体见表3-2。</w:t>
            </w:r>
          </w:p>
          <w:p>
            <w:pPr>
              <w:rPr>
                <w:rFonts w:hint="eastAsia" w:ascii="宋体" w:hAnsi="宋体" w:eastAsia="宋体" w:cs="宋体"/>
                <w:b/>
                <w:bCs/>
                <w:color w:val="auto"/>
                <w:sz w:val="22"/>
                <w:szCs w:val="22"/>
              </w:rPr>
            </w:pPr>
            <w:r>
              <w:rPr>
                <w:rFonts w:hint="eastAsia" w:ascii="宋体" w:hAnsi="宋体" w:eastAsia="宋体" w:cs="宋体"/>
                <w:b/>
                <w:bCs/>
                <w:color w:val="auto"/>
                <w:sz w:val="22"/>
                <w:szCs w:val="22"/>
              </w:rPr>
              <w:t>表3-2  污染物排放限值              pH：无量纲</w:t>
            </w:r>
          </w:p>
          <w:tbl>
            <w:tblPr>
              <w:tblStyle w:val="25"/>
              <w:tblW w:w="488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61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序号</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控制项目</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粪大肠菌群数/（MPN/L）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肠道致病菌</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3</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肠道病毒</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4</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pH</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COD/（mg/L）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6</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BOD/（mg/L）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7</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SS/（mg/L）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8</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氨氮/（mg/L）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9</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动植物油/（mg/L）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10</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石油类/（mg/L）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11</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阴离子表面活性剂/（mg/L）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12</w:t>
                  </w:r>
                </w:p>
              </w:tc>
              <w:tc>
                <w:tcPr>
                  <w:tcW w:w="1612"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色度/（稀释倍数）</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13</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挥发酚</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14</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总氰化物</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15</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总汞</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16</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总镉</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17</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总铬</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18</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六价铬</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19</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总砷</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20</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总铅/（mg/L）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21</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总银</w:t>
                  </w:r>
                  <w:r>
                    <w:rPr>
                      <w:rFonts w:hint="eastAsia" w:ascii="宋体" w:hAnsi="宋体" w:eastAsia="宋体" w:cs="宋体"/>
                      <w:color w:val="auto"/>
                      <w:sz w:val="22"/>
                      <w:szCs w:val="22"/>
                    </w:rPr>
                    <w:t>/（mg/L）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sz w:val="22"/>
                      <w:szCs w:val="22"/>
                    </w:rPr>
                    <w:t>22</w:t>
                  </w:r>
                </w:p>
              </w:tc>
              <w:tc>
                <w:tcPr>
                  <w:tcW w:w="1612" w:type="dxa"/>
                  <w:vAlign w:val="center"/>
                </w:tcPr>
                <w:p>
                  <w:pPr>
                    <w:widowControl/>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总A（Bq/L）</w:t>
                  </w:r>
                </w:p>
              </w:tc>
              <w:tc>
                <w:tcPr>
                  <w:tcW w:w="1800" w:type="dxa"/>
                  <w:vAlign w:val="center"/>
                </w:tcPr>
                <w:p>
                  <w:pPr>
                    <w:adjustRightInd w:val="0"/>
                    <w:snapToGrid w:val="0"/>
                    <w:jc w:val="center"/>
                    <w:rPr>
                      <w:rFonts w:hint="eastAsia" w:ascii="宋体" w:hAnsi="宋体" w:eastAsia="宋体" w:cs="宋体"/>
                      <w:b/>
                      <w:bCs/>
                      <w:color w:val="auto"/>
                      <w:sz w:val="22"/>
                      <w:szCs w:val="22"/>
                      <w:vertAlign w:val="baseline"/>
                    </w:rPr>
                  </w:pPr>
                  <w:r>
                    <w:rPr>
                      <w:rFonts w:hint="eastAsia" w:ascii="宋体" w:hAnsi="宋体" w:eastAsia="宋体" w:cs="宋体"/>
                      <w:color w:val="auto"/>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23</w:t>
                  </w:r>
                </w:p>
              </w:tc>
              <w:tc>
                <w:tcPr>
                  <w:tcW w:w="1612" w:type="dxa"/>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总B（Bq/L）</w:t>
                  </w:r>
                </w:p>
              </w:tc>
              <w:tc>
                <w:tcPr>
                  <w:tcW w:w="1800" w:type="dxa"/>
                  <w:vAlign w:val="center"/>
                </w:tcPr>
                <w:p>
                  <w:pPr>
                    <w:adjustRightInd w:val="0"/>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24</w:t>
                  </w:r>
                </w:p>
              </w:tc>
              <w:tc>
                <w:tcPr>
                  <w:tcW w:w="1612" w:type="dxa"/>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总余氯</w:t>
                  </w:r>
                </w:p>
              </w:tc>
              <w:tc>
                <w:tcPr>
                  <w:tcW w:w="1800" w:type="dxa"/>
                  <w:vAlign w:val="center"/>
                </w:tcPr>
                <w:p>
                  <w:pPr>
                    <w:adjustRightInd w:val="0"/>
                    <w:snapToGri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0.5</w:t>
                  </w:r>
                </w:p>
              </w:tc>
            </w:tr>
          </w:tbl>
          <w:p>
            <w:pPr>
              <w:pStyle w:val="2"/>
              <w:ind w:left="0" w:leftChars="0" w:firstLine="0" w:firstLineChars="0"/>
              <w:rPr>
                <w:rFonts w:hint="eastAsia" w:ascii="宋体" w:hAnsi="宋体" w:eastAsia="宋体" w:cs="宋体"/>
                <w:color w:val="auto"/>
                <w:sz w:val="22"/>
                <w:szCs w:val="22"/>
              </w:rPr>
            </w:pPr>
            <w:bookmarkStart w:id="58" w:name="_Toc52185322"/>
            <w:r>
              <w:rPr>
                <w:rFonts w:hint="eastAsia" w:ascii="宋体" w:hAnsi="宋体" w:eastAsia="宋体" w:cs="宋体"/>
                <w:b/>
                <w:bCs/>
                <w:color w:val="auto"/>
                <w:sz w:val="22"/>
                <w:szCs w:val="22"/>
              </w:rPr>
              <w:t>注：采用含氯消毒剂消毒的工艺控制要求为：消毒接触池的接触时间≥1.0h，接触池出口总余氯3.0-10mg/L。</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5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1458"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DR室防辐射改造设备及安装</w:t>
            </w:r>
          </w:p>
        </w:tc>
        <w:tc>
          <w:tcPr>
            <w:tcW w:w="1132"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c>
          <w:tcPr>
            <w:tcW w:w="5775" w:type="dxa"/>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DR室面积为40平方米，全景机室防辐射、地面、墙体防辐射、电动式铝门、观察窗安装、机房射线防护装饰。要求达到国家防护标准。</w:t>
            </w:r>
          </w:p>
          <w:tbl>
            <w:tblPr>
              <w:tblStyle w:val="25"/>
              <w:tblW w:w="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60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i w:val="0"/>
                      <w:color w:val="auto"/>
                      <w:kern w:val="0"/>
                      <w:sz w:val="22"/>
                      <w:szCs w:val="22"/>
                      <w:u w:val="none"/>
                      <w:lang w:val="en-US" w:eastAsia="zh-CN" w:bidi="ar"/>
                    </w:rPr>
                    <w:t>序号</w:t>
                  </w:r>
                </w:p>
              </w:tc>
              <w:tc>
                <w:tcPr>
                  <w:tcW w:w="2600"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i w:val="0"/>
                      <w:color w:val="auto"/>
                      <w:kern w:val="0"/>
                      <w:sz w:val="22"/>
                      <w:szCs w:val="22"/>
                      <w:u w:val="none"/>
                      <w:lang w:val="en-US" w:eastAsia="zh-CN" w:bidi="ar"/>
                    </w:rPr>
                    <w:t>货物名称</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i w:val="0"/>
                      <w:color w:val="auto"/>
                      <w:kern w:val="2"/>
                      <w:sz w:val="22"/>
                      <w:szCs w:val="22"/>
                      <w:u w:val="none"/>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1</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美观型射线防护门全整（医生出入门)</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2</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电动防护平移门全整（患者出入门)</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铅当量：3mmpb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3</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观察窗全套</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铅当量：3mmpb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4</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四周墙体射线防护涂料</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铅当量：3mmpb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5</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LED双色工作灯/警示灯</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6</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照明，电线，电箱</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符合厂家装机要求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7</w:t>
                  </w:r>
                </w:p>
              </w:tc>
              <w:tc>
                <w:tcPr>
                  <w:tcW w:w="2600" w:type="dxa"/>
                  <w:vAlign w:val="center"/>
                </w:tcPr>
                <w:p>
                  <w:pPr>
                    <w:keepNext w:val="0"/>
                    <w:keepLines w:val="0"/>
                    <w:widowControl/>
                    <w:suppressLineNumbers w:val="0"/>
                    <w:jc w:val="left"/>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配套防护用具</w:t>
                  </w:r>
                </w:p>
              </w:tc>
              <w:tc>
                <w:tcPr>
                  <w:tcW w:w="2144" w:type="dxa"/>
                  <w:vAlign w:val="center"/>
                </w:tcPr>
                <w:p>
                  <w:pPr>
                    <w:keepNext w:val="0"/>
                    <w:keepLines w:val="0"/>
                    <w:widowControl/>
                    <w:suppressLineNumbers w:val="0"/>
                    <w:jc w:val="center"/>
                    <w:textAlignment w:val="center"/>
                    <w:rPr>
                      <w:rFonts w:hint="eastAsia" w:ascii="宋体" w:hAnsi="宋体" w:eastAsia="宋体" w:cs="宋体"/>
                      <w:color w:val="auto"/>
                      <w:sz w:val="22"/>
                      <w:szCs w:val="22"/>
                      <w:vertAlign w:val="baseline"/>
                      <w:lang w:val="en-US" w:eastAsia="zh-CN"/>
                    </w:rPr>
                  </w:pPr>
                  <w:r>
                    <w:rPr>
                      <w:rFonts w:hint="eastAsia" w:ascii="宋体" w:hAnsi="宋体" w:eastAsia="宋体" w:cs="宋体"/>
                      <w:b w:val="0"/>
                      <w:bCs/>
                      <w:i w:val="0"/>
                      <w:color w:val="auto"/>
                      <w:kern w:val="0"/>
                      <w:sz w:val="22"/>
                      <w:szCs w:val="22"/>
                      <w:u w:val="none"/>
                      <w:lang w:val="en-US" w:eastAsia="zh-CN" w:bidi="ar"/>
                    </w:rPr>
                    <w:t>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22"/>
                      <w:szCs w:val="22"/>
                      <w:u w:val="none"/>
                      <w:lang w:val="en-US" w:eastAsia="zh-CN" w:bidi="ar"/>
                    </w:rPr>
                  </w:pPr>
                  <w:r>
                    <w:rPr>
                      <w:rFonts w:hint="eastAsia" w:ascii="宋体" w:hAnsi="宋体" w:cs="宋体"/>
                      <w:b w:val="0"/>
                      <w:bCs/>
                      <w:i w:val="0"/>
                      <w:color w:val="auto"/>
                      <w:kern w:val="0"/>
                      <w:sz w:val="22"/>
                      <w:szCs w:val="22"/>
                      <w:u w:val="none"/>
                      <w:lang w:val="en-US" w:eastAsia="zh-CN" w:bidi="ar"/>
                    </w:rPr>
                    <w:t>8</w:t>
                  </w:r>
                </w:p>
              </w:tc>
              <w:tc>
                <w:tcPr>
                  <w:tcW w:w="2600" w:type="dxa"/>
                  <w:vAlign w:val="center"/>
                </w:tcPr>
                <w:p>
                  <w:pPr>
                    <w:keepNext w:val="0"/>
                    <w:keepLines w:val="0"/>
                    <w:widowControl/>
                    <w:suppressLineNumbers w:val="0"/>
                    <w:jc w:val="left"/>
                    <w:textAlignment w:val="center"/>
                    <w:rPr>
                      <w:rFonts w:hint="default" w:ascii="宋体" w:hAnsi="宋体" w:eastAsia="宋体" w:cs="宋体"/>
                      <w:b w:val="0"/>
                      <w:bCs/>
                      <w:i w:val="0"/>
                      <w:color w:val="auto"/>
                      <w:kern w:val="0"/>
                      <w:sz w:val="22"/>
                      <w:szCs w:val="22"/>
                      <w:u w:val="none"/>
                      <w:lang w:val="en-US" w:eastAsia="zh-CN" w:bidi="ar"/>
                    </w:rPr>
                  </w:pPr>
                  <w:r>
                    <w:rPr>
                      <w:rFonts w:hint="eastAsia" w:ascii="宋体" w:hAnsi="宋体" w:cs="宋体"/>
                      <w:b w:val="0"/>
                      <w:bCs/>
                      <w:i w:val="0"/>
                      <w:color w:val="auto"/>
                      <w:kern w:val="0"/>
                      <w:sz w:val="22"/>
                      <w:szCs w:val="22"/>
                      <w:u w:val="none"/>
                      <w:lang w:val="en-US" w:eastAsia="zh-CN" w:bidi="ar"/>
                    </w:rPr>
                    <w:t>配套DR工作台</w:t>
                  </w:r>
                </w:p>
              </w:tc>
              <w:tc>
                <w:tcPr>
                  <w:tcW w:w="2144" w:type="dxa"/>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22"/>
                      <w:szCs w:val="22"/>
                      <w:u w:val="none"/>
                      <w:lang w:val="en-US" w:eastAsia="zh-CN" w:bidi="ar"/>
                    </w:rPr>
                  </w:pPr>
                </w:p>
              </w:tc>
            </w:tr>
          </w:tbl>
          <w:p>
            <w:pPr>
              <w:pStyle w:val="2"/>
              <w:numPr>
                <w:ilvl w:val="0"/>
                <w:numId w:val="0"/>
              </w:numPr>
              <w:rPr>
                <w:rFonts w:hint="eastAsia" w:ascii="宋体" w:hAnsi="宋体" w:eastAsia="宋体" w:cs="宋体"/>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1458"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数字化医用X射线摄影系统</w:t>
            </w:r>
          </w:p>
        </w:tc>
        <w:tc>
          <w:tcPr>
            <w:tcW w:w="1132"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c>
          <w:tcPr>
            <w:tcW w:w="5775" w:type="dxa"/>
            <w:noWrap w:val="0"/>
            <w:vAlign w:val="center"/>
          </w:tcPr>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设备用途说明：能给病人进行全身各部位立位和卧位投照摄影</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设备主要构成：</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1.1数字化平板探测器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 X光球管</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1.3高频高压发生器及曝光控制系统</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1.4满足立、卧位检查需要的DR摄影装置</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 限束器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1.6滤线栅</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1.7专用图像采集/处理工作站</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主要技术及系统概述：</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2.1数字化平板探测器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2.1.1探测器成像介质：非晶硅</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2.1.2探测器TFT成像板结构：非拼接TFT整板</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2.1.3探测器有效成像尺寸：17″×17″</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2.1.4探测器检测像素矩阵：≥3k×3k </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★2.1.5探测器检测单元尺寸：＜141um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★2.1.6A/D变换：≥16bit</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2.1.7自曝光至图像在监视器上显示的时间：＜5s</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2.1.8 DQE值（量子转换效率）：≥70%</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2.1.9最大极限空间分辨率：≥3.6Lp/mm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2.1.10数字平板探测器冷却方式为自然冷却，无须额外辅助冷却</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2.1.11所投产品平板探测器为原厂自主研发生产</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 原装X光球管</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2.2.1功率：≥50KW</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2.2.2阳极热容量：≥140kHu</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2.2.3球管阳极旋转速度：2800转/分钟</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2.2.4双焦点：0.6mm（小焦点）/ 1.2mm（大焦点）</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2.2.5阳极靶角：12度靶角</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2.2.6管电压范围：40～150kVp</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2.3高压发生器及曝光控制系统</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2.3.1 类型：高频高压发生器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★2.3.2 输出功率：≥50kW</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2.3.3 输入电源：380V 50HZ 三相电源</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2.3.4 输出电压：40～150kVP</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★2.3.5 最大摄影mA：≥600mA，mA分档须在R’10数系中选取</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2.3.6 最大mAs：≥600mAs</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★2.3.7 具有器官程序摄影(APR)功能，摄影程序数量≥590种</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2.3.8 摄影方式应包括普通摄影，滤线器摄影</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★2.3.9应具备曝光参数单元化菜单，直接通过采集软件调节曝光参数，无需单独曝光操作台</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2.3.10 具有故障状态显示功能</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★2.3.11为保障整机设备的性能，高压发生器、平板探测器与整机为同一品牌</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 DR摄影装置</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2.4.1 采用落地式机架结构，满足全身各部位立位和卧位投照摄影临床需求</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2.4.2横臂（水平时）上下竖直移动行程：1130mm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2.4.3横臂（水平时）焦点与地面最小距离：≤560mm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2.4.4横臂电动旋转范围：（-30°～0°～+90°～+120°）</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2.4.5焦点与接收器输入屏间距(SID)：1100mm～1800mm，电动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2.4.6探测器旋转范围：≥±45°</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2.4.7 X管球机头配有≥10寸的PAD彩色液晶触摸屏显示控制装置，可在X管球机头控制装置上实现近台曝光参数选择以及图像采集协议选取设置且可在球管机头PAD上显示摄影图像。</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2.4.8 病人支承床承重≥130kg</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 滤线栅</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2.5.1尺寸：48×44cm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2.5.2 栅格比：8:1</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2.5.3 焦距：1.3m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 图像采集/处理工作站</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2.6.1 基于WIN7操作系统的专业图像工作站</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2.6.2 配置：Intel Core 2 Duo（酷睿2双核）≥3.2GHz</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2.6.3 内存容量≥2G</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2.6.4 硬盘容量≥500G </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2.6.5 工作站显示器：≥23″液晶显示器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2.6.6 100M网络接口</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2.6.7 DICOM3.0接口</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2.7工作站图像处理软件功能：</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2.7.1 图像采集工作站软件操作界面均为中文界面</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2.7.2 图像采集工作站应包含如下图像处理功能：</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调整或预置窗宽/窗位、正负像翻转、图像翻转及旋转、图像放大及漫游、图像插值</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边缘增强、局部放大/恢复原始图像、文字/数字标注、图像标记、标尺线段测量</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2.7.3  打印胶片上可显示摄影曝光kV、mA、mAs等设置条件。</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2.7.4  病人图像可以采用各种方式查询，并可自定义查询方式</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2.7.5  图像采集工作站和图像诊断工作站均应支持分格打印输出</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2.7.6  支持无损压缩的高速传输</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2.7.7  支持在线解压</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2.7.8  支持DICOM 3.0（2000）最新版，包括支持DICOM 打印、支持DICOM 存档、支持DICOM 网络传输、支持DICOM WORKLIST</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2.7.9  不同患者图像可打印在同一张胶片上</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2.8  支持DR设备远程会诊服务，包括图像上传、存储、诊断报告回复、云胶片存储。</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其他要求：</w:t>
            </w:r>
          </w:p>
          <w:p>
            <w:pPr>
              <w:keepNext w:val="0"/>
              <w:keepLines w:val="0"/>
              <w:widowControl/>
              <w:numPr>
                <w:ilvl w:val="0"/>
                <w:numId w:val="3"/>
              </w:numPr>
              <w:suppressLineNumbers w:val="0"/>
              <w:spacing w:after="240" w:afterAutospacing="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为了得到更好的售后服务，在省内设有专门的维修站并提供相关证明文件。</w:t>
            </w:r>
          </w:p>
          <w:p>
            <w:pPr>
              <w:keepNext w:val="0"/>
              <w:keepLines w:val="0"/>
              <w:widowControl/>
              <w:numPr>
                <w:ilvl w:val="0"/>
                <w:numId w:val="3"/>
              </w:numPr>
              <w:suppressLineNumbers w:val="0"/>
              <w:spacing w:after="240" w:afterAutospacing="0"/>
              <w:ind w:left="0" w:leftChars="0"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谈判响应文件须提供国家药品监督管理局颁发的中华人民共和国医疗器械注册证（SFDA）复印件（加盖</w:t>
            </w:r>
            <w:r>
              <w:rPr>
                <w:rFonts w:hint="eastAsia" w:ascii="宋体" w:hAnsi="宋体" w:cs="宋体"/>
                <w:color w:val="auto"/>
                <w:sz w:val="22"/>
                <w:szCs w:val="22"/>
                <w:lang w:val="en-US" w:eastAsia="zh-CN"/>
              </w:rPr>
              <w:t>单位</w:t>
            </w:r>
            <w:r>
              <w:rPr>
                <w:rFonts w:hint="eastAsia" w:ascii="宋体" w:hAnsi="宋体" w:eastAsia="宋体" w:cs="宋体"/>
                <w:color w:val="auto"/>
                <w:sz w:val="22"/>
                <w:szCs w:val="22"/>
                <w:lang w:val="en-US" w:eastAsia="zh-CN"/>
              </w:rPr>
              <w:t>公章）</w:t>
            </w:r>
          </w:p>
          <w:p>
            <w:pPr>
              <w:keepNext w:val="0"/>
              <w:keepLines w:val="0"/>
              <w:widowControl/>
              <w:numPr>
                <w:ilvl w:val="0"/>
                <w:numId w:val="3"/>
              </w:numPr>
              <w:suppressLineNumbers w:val="0"/>
              <w:spacing w:after="240" w:afterAutospacing="0"/>
              <w:ind w:left="0" w:leftChars="0"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图像软件通过中国医学装备协会IHE系统测试DR设备四项必检项目：SWF/MOD、PIR/MOD 、CPI/MOD、CPI/PC，提供同时包含上述四项的测试通过证书。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noWrap w:val="0"/>
            <w:vAlign w:val="center"/>
          </w:tcPr>
          <w:p>
            <w:pPr>
              <w:widowControl/>
              <w:jc w:val="left"/>
              <w:rPr>
                <w:rFonts w:ascii="宋体" w:cs="宋体"/>
                <w:color w:val="auto"/>
                <w:sz w:val="21"/>
                <w:szCs w:val="21"/>
              </w:rPr>
            </w:pPr>
            <w:r>
              <w:rPr>
                <w:rFonts w:hint="eastAsia" w:ascii="宋体" w:cs="宋体"/>
                <w:b/>
                <w:bCs/>
                <w:color w:val="auto"/>
                <w:sz w:val="21"/>
                <w:szCs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color w:val="auto"/>
              </w:rPr>
            </w:pPr>
            <w:r>
              <w:rPr>
                <w:rFonts w:hint="eastAsia" w:ascii="宋体" w:hAnsi="宋体" w:cs="宋体"/>
                <w:b/>
                <w:color w:val="auto"/>
                <w:sz w:val="21"/>
                <w:szCs w:val="21"/>
              </w:rPr>
              <w:t>项目交货地点及交货期</w:t>
            </w:r>
          </w:p>
        </w:tc>
        <w:tc>
          <w:tcPr>
            <w:tcW w:w="6907" w:type="dxa"/>
            <w:gridSpan w:val="2"/>
            <w:noWrap w:val="0"/>
            <w:vAlign w:val="center"/>
          </w:tcPr>
          <w:p>
            <w:pPr>
              <w:spacing w:line="360" w:lineRule="exact"/>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、交货地点：广西壮族自治区防城港市内采购人指定地点。</w:t>
            </w:r>
          </w:p>
          <w:p>
            <w:pPr>
              <w:spacing w:line="360" w:lineRule="exact"/>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、交货期：自合同签订之日起</w:t>
            </w:r>
            <w:r>
              <w:rPr>
                <w:rFonts w:ascii="宋体" w:hAnsi="宋体" w:cs="宋体"/>
                <w:color w:val="auto"/>
                <w:sz w:val="21"/>
                <w:szCs w:val="21"/>
              </w:rPr>
              <w:t>90</w:t>
            </w:r>
            <w:r>
              <w:rPr>
                <w:rFonts w:hint="eastAsia" w:ascii="宋体" w:hAnsi="宋体" w:cs="宋体"/>
                <w:color w:val="auto"/>
                <w:sz w:val="21"/>
                <w:szCs w:val="21"/>
              </w:rPr>
              <w:t>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pacing w:line="360" w:lineRule="exact"/>
              <w:jc w:val="center"/>
              <w:rPr>
                <w:color w:val="auto"/>
              </w:rPr>
            </w:pPr>
            <w:r>
              <w:rPr>
                <w:rFonts w:hint="eastAsia" w:ascii="宋体" w:hAnsi="宋体" w:cs="宋体"/>
                <w:b/>
                <w:color w:val="auto"/>
                <w:sz w:val="21"/>
                <w:szCs w:val="21"/>
              </w:rPr>
              <w:t>质保期</w:t>
            </w:r>
          </w:p>
        </w:tc>
        <w:tc>
          <w:tcPr>
            <w:tcW w:w="6907" w:type="dxa"/>
            <w:gridSpan w:val="2"/>
            <w:noWrap w:val="0"/>
            <w:vAlign w:val="top"/>
          </w:tcPr>
          <w:p>
            <w:pPr>
              <w:spacing w:line="360" w:lineRule="exact"/>
              <w:rPr>
                <w:rFonts w:ascii="宋体" w:cs="宋体"/>
                <w:color w:val="auto"/>
                <w:sz w:val="21"/>
                <w:szCs w:val="21"/>
              </w:rPr>
            </w:pPr>
            <w:r>
              <w:rPr>
                <w:rFonts w:hint="eastAsia" w:ascii="宋体" w:cs="宋体"/>
                <w:color w:val="auto"/>
                <w:sz w:val="21"/>
                <w:szCs w:val="21"/>
                <w:lang w:val="en-US" w:eastAsia="zh-CN"/>
              </w:rPr>
              <w:t>除特别说明外，</w:t>
            </w:r>
            <w:r>
              <w:rPr>
                <w:rFonts w:hint="eastAsia" w:ascii="宋体" w:cs="宋体"/>
                <w:color w:val="auto"/>
                <w:sz w:val="21"/>
                <w:szCs w:val="21"/>
              </w:rPr>
              <w:t>交货验收合格之日起，产品质保期</w:t>
            </w:r>
            <w:r>
              <w:rPr>
                <w:rFonts w:ascii="宋体" w:cs="宋体"/>
                <w:color w:val="auto"/>
                <w:kern w:val="0"/>
                <w:sz w:val="21"/>
                <w:szCs w:val="21"/>
              </w:rPr>
              <w:t>1</w:t>
            </w:r>
            <w:r>
              <w:rPr>
                <w:rFonts w:hint="eastAsia" w:ascii="宋体" w:cs="宋体"/>
                <w:color w:val="auto"/>
                <w:sz w:val="21"/>
                <w:szCs w:val="21"/>
              </w:rPr>
              <w:t>年，质保期内全免费上门维修、免费更换零部件。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pacing w:line="360" w:lineRule="exact"/>
              <w:jc w:val="center"/>
              <w:rPr>
                <w:color w:val="auto"/>
              </w:rPr>
            </w:pPr>
            <w:r>
              <w:rPr>
                <w:rFonts w:hint="eastAsia" w:ascii="宋体" w:hAnsi="宋体" w:cs="宋体"/>
                <w:b/>
                <w:color w:val="auto"/>
                <w:sz w:val="21"/>
                <w:szCs w:val="21"/>
              </w:rPr>
              <w:t>售后服务要求</w:t>
            </w:r>
          </w:p>
        </w:tc>
        <w:tc>
          <w:tcPr>
            <w:tcW w:w="6907" w:type="dxa"/>
            <w:gridSpan w:val="2"/>
            <w:noWrap w:val="0"/>
            <w:vAlign w:val="top"/>
          </w:tcPr>
          <w:p>
            <w:pPr>
              <w:spacing w:line="360" w:lineRule="exact"/>
              <w:rPr>
                <w:color w:val="auto"/>
                <w:sz w:val="21"/>
                <w:szCs w:val="21"/>
              </w:rPr>
            </w:pPr>
            <w:r>
              <w:rPr>
                <w:color w:val="auto"/>
                <w:sz w:val="21"/>
                <w:szCs w:val="21"/>
              </w:rPr>
              <w:t>1</w:t>
            </w:r>
            <w:r>
              <w:rPr>
                <w:rFonts w:hint="eastAsia"/>
                <w:color w:val="auto"/>
                <w:sz w:val="21"/>
                <w:szCs w:val="21"/>
              </w:rPr>
              <w:t>、</w:t>
            </w:r>
            <w:r>
              <w:rPr>
                <w:rFonts w:hint="eastAsia"/>
                <w:color w:val="auto"/>
                <w:sz w:val="21"/>
                <w:szCs w:val="21"/>
                <w:lang w:val="en-US" w:eastAsia="zh-CN"/>
              </w:rPr>
              <w:t>供应商</w:t>
            </w:r>
            <w:r>
              <w:rPr>
                <w:rFonts w:hint="eastAsia"/>
                <w:color w:val="auto"/>
                <w:sz w:val="21"/>
                <w:szCs w:val="21"/>
              </w:rPr>
              <w:t>必须能够提供长期稳定的售后服务。</w:t>
            </w:r>
          </w:p>
          <w:p>
            <w:pPr>
              <w:spacing w:line="360" w:lineRule="exact"/>
              <w:rPr>
                <w:color w:val="auto"/>
                <w:sz w:val="21"/>
                <w:szCs w:val="21"/>
              </w:rPr>
            </w:pPr>
            <w:r>
              <w:rPr>
                <w:color w:val="auto"/>
                <w:sz w:val="21"/>
                <w:szCs w:val="21"/>
              </w:rPr>
              <w:t>2</w:t>
            </w:r>
            <w:r>
              <w:rPr>
                <w:rFonts w:hint="eastAsia"/>
                <w:color w:val="auto"/>
                <w:sz w:val="21"/>
                <w:szCs w:val="21"/>
              </w:rPr>
              <w:t>、</w:t>
            </w:r>
            <w:r>
              <w:rPr>
                <w:rFonts w:hint="eastAsia"/>
                <w:color w:val="auto"/>
                <w:sz w:val="21"/>
                <w:szCs w:val="21"/>
                <w:lang w:val="en-US" w:eastAsia="zh-CN"/>
              </w:rPr>
              <w:t>成交人</w:t>
            </w:r>
            <w:r>
              <w:rPr>
                <w:rFonts w:hint="eastAsia"/>
                <w:color w:val="auto"/>
                <w:sz w:val="21"/>
                <w:szCs w:val="21"/>
              </w:rPr>
              <w:t>须按国家有关规定实行“三包”，免费送货上门，免费现场安装调试至验收合格，免费培训。</w:t>
            </w:r>
          </w:p>
          <w:p>
            <w:pPr>
              <w:spacing w:line="360" w:lineRule="exact"/>
              <w:rPr>
                <w:color w:val="auto"/>
                <w:sz w:val="21"/>
                <w:szCs w:val="21"/>
              </w:rPr>
            </w:pPr>
            <w:r>
              <w:rPr>
                <w:color w:val="auto"/>
                <w:sz w:val="21"/>
                <w:szCs w:val="21"/>
              </w:rPr>
              <w:t>3</w:t>
            </w:r>
            <w:r>
              <w:rPr>
                <w:rFonts w:hint="eastAsia"/>
                <w:color w:val="auto"/>
                <w:sz w:val="21"/>
                <w:szCs w:val="21"/>
              </w:rPr>
              <w:t>、接到用户报修通知后，</w:t>
            </w:r>
            <w:r>
              <w:rPr>
                <w:rFonts w:hint="eastAsia"/>
                <w:color w:val="auto"/>
                <w:sz w:val="21"/>
                <w:szCs w:val="21"/>
                <w:lang w:val="en-US" w:eastAsia="zh-CN"/>
              </w:rPr>
              <w:t>成交人</w:t>
            </w:r>
            <w:r>
              <w:rPr>
                <w:rFonts w:hint="eastAsia"/>
                <w:color w:val="auto"/>
                <w:sz w:val="21"/>
                <w:szCs w:val="21"/>
              </w:rPr>
              <w:t>必须在</w:t>
            </w:r>
            <w:r>
              <w:rPr>
                <w:color w:val="auto"/>
                <w:sz w:val="21"/>
                <w:szCs w:val="21"/>
              </w:rPr>
              <w:t xml:space="preserve"> 2</w:t>
            </w:r>
            <w:r>
              <w:rPr>
                <w:rFonts w:hint="eastAsia"/>
                <w:color w:val="auto"/>
                <w:sz w:val="21"/>
                <w:szCs w:val="21"/>
              </w:rPr>
              <w:t>个小时内联系客户了解具体情况，</w:t>
            </w:r>
            <w:r>
              <w:rPr>
                <w:color w:val="auto"/>
                <w:sz w:val="21"/>
                <w:szCs w:val="21"/>
              </w:rPr>
              <w:t>24</w:t>
            </w:r>
            <w:r>
              <w:rPr>
                <w:rFonts w:hint="eastAsia"/>
                <w:color w:val="auto"/>
                <w:sz w:val="21"/>
                <w:szCs w:val="21"/>
              </w:rPr>
              <w:t>小时内解决问题，如货物无法修复，</w:t>
            </w:r>
            <w:r>
              <w:rPr>
                <w:rFonts w:hint="eastAsia"/>
                <w:color w:val="auto"/>
                <w:sz w:val="21"/>
                <w:szCs w:val="21"/>
                <w:lang w:val="en-US" w:eastAsia="zh-CN"/>
              </w:rPr>
              <w:t>成交人</w:t>
            </w:r>
            <w:r>
              <w:rPr>
                <w:rFonts w:hint="eastAsia"/>
                <w:color w:val="auto"/>
                <w:sz w:val="21"/>
                <w:szCs w:val="21"/>
              </w:rPr>
              <w:t>须在</w:t>
            </w:r>
            <w:r>
              <w:rPr>
                <w:color w:val="auto"/>
                <w:sz w:val="21"/>
                <w:szCs w:val="21"/>
              </w:rPr>
              <w:t>2</w:t>
            </w:r>
            <w:r>
              <w:rPr>
                <w:rFonts w:hint="eastAsia"/>
                <w:color w:val="auto"/>
                <w:sz w:val="21"/>
                <w:szCs w:val="21"/>
              </w:rPr>
              <w:t>个工作日内提供同等或以上档次替代品。</w:t>
            </w:r>
          </w:p>
          <w:p>
            <w:pPr>
              <w:spacing w:line="360" w:lineRule="exact"/>
              <w:rPr>
                <w:rFonts w:ascii="宋体" w:cs="宋体"/>
                <w:color w:val="auto"/>
                <w:sz w:val="21"/>
                <w:szCs w:val="21"/>
              </w:rPr>
            </w:pPr>
            <w:r>
              <w:rPr>
                <w:color w:val="auto"/>
                <w:sz w:val="21"/>
                <w:szCs w:val="21"/>
              </w:rPr>
              <w:t>4</w:t>
            </w:r>
            <w:r>
              <w:rPr>
                <w:rFonts w:hint="eastAsia"/>
                <w:color w:val="auto"/>
                <w:sz w:val="21"/>
                <w:szCs w:val="21"/>
              </w:rPr>
              <w:t>、</w:t>
            </w:r>
            <w:r>
              <w:rPr>
                <w:rFonts w:hint="eastAsia"/>
                <w:color w:val="auto"/>
                <w:sz w:val="21"/>
                <w:szCs w:val="21"/>
                <w:lang w:val="en-US" w:eastAsia="zh-CN"/>
              </w:rPr>
              <w:t>谈判</w:t>
            </w:r>
            <w:r>
              <w:rPr>
                <w:rFonts w:hint="eastAsia"/>
                <w:color w:val="auto"/>
                <w:sz w:val="21"/>
                <w:szCs w:val="21"/>
              </w:rPr>
              <w:t>产品必须是原厂生产的全新合格产品，产品质量须符合相关标准及安全规范，满足本项目需要的技术参数及性能（配置）要求的设备。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9" w:type="dxa"/>
            <w:gridSpan w:val="2"/>
            <w:noWrap w:val="0"/>
            <w:vAlign w:val="center"/>
          </w:tcPr>
          <w:p>
            <w:pPr>
              <w:snapToGrid w:val="0"/>
              <w:jc w:val="center"/>
              <w:rPr>
                <w:color w:val="auto"/>
              </w:rPr>
            </w:pPr>
            <w:r>
              <w:rPr>
                <w:rFonts w:hint="eastAsia" w:ascii="宋体" w:hAnsi="宋体" w:cs="宋体"/>
                <w:b/>
                <w:color w:val="auto"/>
                <w:sz w:val="21"/>
                <w:szCs w:val="21"/>
              </w:rPr>
              <w:t>合同签订期</w:t>
            </w:r>
          </w:p>
        </w:tc>
        <w:tc>
          <w:tcPr>
            <w:tcW w:w="6907" w:type="dxa"/>
            <w:gridSpan w:val="2"/>
            <w:noWrap w:val="0"/>
            <w:vAlign w:val="center"/>
          </w:tcPr>
          <w:p>
            <w:pPr>
              <w:snapToGrid w:val="0"/>
              <w:rPr>
                <w:rFonts w:ascii="宋体" w:cs="宋体"/>
                <w:color w:val="auto"/>
                <w:sz w:val="21"/>
                <w:szCs w:val="21"/>
              </w:rPr>
            </w:pPr>
            <w:r>
              <w:rPr>
                <w:rFonts w:hint="eastAsia" w:ascii="宋体" w:hAnsi="宋体" w:cs="宋体"/>
                <w:color w:val="auto"/>
                <w:sz w:val="21"/>
                <w:szCs w:val="21"/>
              </w:rPr>
              <w:t>自</w:t>
            </w:r>
            <w:r>
              <w:rPr>
                <w:rFonts w:hint="eastAsia" w:ascii="宋体" w:hAnsi="宋体" w:cs="宋体"/>
                <w:color w:val="auto"/>
                <w:sz w:val="21"/>
                <w:szCs w:val="21"/>
                <w:lang w:val="en-US" w:eastAsia="zh-CN"/>
              </w:rPr>
              <w:t>成交</w:t>
            </w:r>
            <w:r>
              <w:rPr>
                <w:rFonts w:hint="eastAsia" w:ascii="宋体" w:hAnsi="宋体" w:cs="宋体"/>
                <w:color w:val="auto"/>
                <w:sz w:val="21"/>
                <w:szCs w:val="21"/>
              </w:rPr>
              <w:t>通知书发出之日起</w:t>
            </w:r>
            <w:r>
              <w:rPr>
                <w:rFonts w:ascii="宋体" w:hAnsi="宋体" w:cs="宋体"/>
                <w:color w:val="auto"/>
                <w:sz w:val="21"/>
                <w:szCs w:val="21"/>
              </w:rPr>
              <w:t>25</w:t>
            </w:r>
            <w:r>
              <w:rPr>
                <w:rFonts w:hint="eastAsia" w:ascii="宋体" w:hAnsi="宋体" w:cs="宋体"/>
                <w:color w:val="auto"/>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付款条件</w:t>
            </w:r>
          </w:p>
        </w:tc>
        <w:tc>
          <w:tcPr>
            <w:tcW w:w="6907" w:type="dxa"/>
            <w:gridSpan w:val="2"/>
            <w:noWrap w:val="0"/>
            <w:vAlign w:val="center"/>
          </w:tcPr>
          <w:p>
            <w:pPr>
              <w:snapToGrid w:val="0"/>
              <w:rPr>
                <w:rFonts w:hint="eastAsia" w:ascii="宋体" w:hAnsi="宋体" w:cs="宋体"/>
                <w:color w:val="auto"/>
                <w:sz w:val="21"/>
                <w:szCs w:val="21"/>
              </w:rPr>
            </w:pPr>
            <w:r>
              <w:rPr>
                <w:rFonts w:hint="eastAsia" w:ascii="宋体" w:cs="宋体"/>
                <w:color w:val="auto"/>
                <w:sz w:val="21"/>
                <w:szCs w:val="21"/>
                <w:lang w:val="en-US" w:eastAsia="zh-CN"/>
              </w:rPr>
              <w:t>成交人与采购人</w:t>
            </w:r>
            <w:r>
              <w:rPr>
                <w:rFonts w:hint="eastAsia" w:ascii="宋体" w:cs="宋体"/>
                <w:color w:val="auto"/>
                <w:sz w:val="21"/>
                <w:szCs w:val="21"/>
              </w:rPr>
              <w:t>双方合同签订后，</w:t>
            </w:r>
            <w:r>
              <w:rPr>
                <w:rFonts w:hint="eastAsia" w:ascii="宋体" w:cs="宋体"/>
                <w:color w:val="auto"/>
                <w:sz w:val="21"/>
                <w:szCs w:val="21"/>
                <w:lang w:val="en-US" w:eastAsia="zh-CN"/>
              </w:rPr>
              <w:t>采购人</w:t>
            </w:r>
            <w:r>
              <w:rPr>
                <w:rFonts w:hint="eastAsia" w:ascii="宋体" w:cs="宋体"/>
                <w:color w:val="auto"/>
                <w:sz w:val="21"/>
                <w:szCs w:val="21"/>
              </w:rPr>
              <w:t>即申请财政拨款支付合同金额的</w:t>
            </w:r>
            <w:r>
              <w:rPr>
                <w:rFonts w:ascii="宋体" w:cs="宋体"/>
                <w:color w:val="auto"/>
                <w:sz w:val="21"/>
                <w:szCs w:val="21"/>
              </w:rPr>
              <w:t>30%</w:t>
            </w:r>
            <w:r>
              <w:rPr>
                <w:rFonts w:hint="eastAsia" w:ascii="宋体" w:cs="宋体"/>
                <w:color w:val="auto"/>
                <w:sz w:val="21"/>
                <w:szCs w:val="21"/>
              </w:rPr>
              <w:t>款项给</w:t>
            </w:r>
            <w:r>
              <w:rPr>
                <w:rFonts w:hint="eastAsia" w:ascii="宋体" w:cs="宋体"/>
                <w:color w:val="auto"/>
                <w:sz w:val="21"/>
                <w:szCs w:val="21"/>
                <w:lang w:val="en-US" w:eastAsia="zh-CN"/>
              </w:rPr>
              <w:t>成交人</w:t>
            </w:r>
            <w:r>
              <w:rPr>
                <w:rFonts w:hint="eastAsia" w:ascii="宋体" w:cs="宋体"/>
                <w:color w:val="auto"/>
                <w:sz w:val="21"/>
                <w:szCs w:val="21"/>
              </w:rPr>
              <w:t>，</w:t>
            </w:r>
            <w:r>
              <w:rPr>
                <w:rFonts w:hint="eastAsia" w:ascii="宋体" w:cs="宋体"/>
                <w:color w:val="auto"/>
                <w:sz w:val="21"/>
                <w:szCs w:val="21"/>
                <w:lang w:val="en-US" w:eastAsia="zh-CN"/>
              </w:rPr>
              <w:t>剩余</w:t>
            </w:r>
            <w:r>
              <w:rPr>
                <w:rFonts w:hint="eastAsia" w:ascii="宋体" w:cs="宋体"/>
                <w:color w:val="auto"/>
                <w:sz w:val="21"/>
                <w:szCs w:val="21"/>
              </w:rPr>
              <w:t>合同款在货物验收合格后，</w:t>
            </w:r>
            <w:r>
              <w:rPr>
                <w:rFonts w:hint="eastAsia" w:ascii="宋体" w:cs="宋体"/>
                <w:color w:val="auto"/>
                <w:sz w:val="21"/>
                <w:szCs w:val="21"/>
                <w:lang w:val="en-US" w:eastAsia="zh-CN"/>
              </w:rPr>
              <w:t>采购人支付合同款65%</w:t>
            </w:r>
            <w:r>
              <w:rPr>
                <w:rFonts w:hint="eastAsia" w:ascii="宋体" w:cs="宋体"/>
                <w:color w:val="auto"/>
                <w:sz w:val="21"/>
                <w:szCs w:val="21"/>
              </w:rPr>
              <w:t>，剩余合同款</w:t>
            </w:r>
            <w:r>
              <w:rPr>
                <w:rFonts w:ascii="宋体" w:cs="宋体"/>
                <w:color w:val="auto"/>
                <w:sz w:val="21"/>
                <w:szCs w:val="21"/>
              </w:rPr>
              <w:t xml:space="preserve">5% </w:t>
            </w:r>
            <w:r>
              <w:rPr>
                <w:rFonts w:hint="eastAsia" w:ascii="宋体" w:cs="宋体"/>
                <w:color w:val="auto"/>
                <w:sz w:val="21"/>
                <w:szCs w:val="21"/>
              </w:rPr>
              <w:t>作质保金，质保金在合同签订日起满一年后</w:t>
            </w:r>
            <w:r>
              <w:rPr>
                <w:rFonts w:hint="eastAsia" w:ascii="宋体" w:cs="宋体"/>
                <w:color w:val="auto"/>
                <w:sz w:val="21"/>
                <w:szCs w:val="21"/>
                <w:lang w:eastAsia="zh-CN"/>
              </w:rPr>
              <w:t>，</w:t>
            </w:r>
            <w:r>
              <w:rPr>
                <w:rFonts w:hint="eastAsia" w:ascii="宋体" w:cs="宋体"/>
                <w:color w:val="auto"/>
                <w:sz w:val="21"/>
                <w:szCs w:val="21"/>
                <w:lang w:val="en-US" w:eastAsia="zh-CN"/>
              </w:rPr>
              <w:t>采购人</w:t>
            </w:r>
            <w:r>
              <w:rPr>
                <w:rFonts w:hint="eastAsia" w:ascii="宋体" w:cs="宋体"/>
                <w:color w:val="auto"/>
                <w:sz w:val="21"/>
                <w:szCs w:val="21"/>
              </w:rPr>
              <w:t>在</w:t>
            </w:r>
            <w:r>
              <w:rPr>
                <w:rFonts w:ascii="宋体" w:cs="宋体"/>
                <w:color w:val="auto"/>
                <w:sz w:val="21"/>
                <w:szCs w:val="21"/>
              </w:rPr>
              <w:t>30</w:t>
            </w:r>
            <w:r>
              <w:rPr>
                <w:rFonts w:hint="eastAsia" w:ascii="宋体" w:cs="宋体"/>
                <w:color w:val="auto"/>
                <w:sz w:val="21"/>
                <w:szCs w:val="21"/>
              </w:rPr>
              <w:t>个工作日内支付。在合同期限内出现违约责任的，违约处罚金额按照合同执行，并从合同余款中扣除相应的违约金。</w:t>
            </w:r>
            <w:r>
              <w:rPr>
                <w:rFonts w:hint="eastAsia" w:ascii="宋体" w:cs="宋体"/>
                <w:color w:val="auto"/>
                <w:sz w:val="21"/>
                <w:szCs w:val="21"/>
                <w:lang w:val="en-US" w:eastAsia="zh-CN"/>
              </w:rPr>
              <w:t>成交人</w:t>
            </w:r>
            <w:r>
              <w:rPr>
                <w:rFonts w:hint="eastAsia" w:ascii="宋体" w:cs="宋体"/>
                <w:color w:val="auto"/>
                <w:sz w:val="21"/>
                <w:szCs w:val="21"/>
              </w:rPr>
              <w:t>方自收到首笔款项之日起</w:t>
            </w:r>
            <w:r>
              <w:rPr>
                <w:rFonts w:ascii="宋体" w:cs="宋体"/>
                <w:color w:val="auto"/>
                <w:sz w:val="21"/>
                <w:szCs w:val="21"/>
              </w:rPr>
              <w:t>7</w:t>
            </w:r>
            <w:r>
              <w:rPr>
                <w:rFonts w:hint="eastAsia" w:ascii="宋体" w:cs="宋体"/>
                <w:color w:val="auto"/>
                <w:sz w:val="21"/>
                <w:szCs w:val="21"/>
              </w:rPr>
              <w:t>个工作日内开具合同金额全额发票给</w:t>
            </w:r>
            <w:r>
              <w:rPr>
                <w:rFonts w:hint="eastAsia" w:ascii="宋体" w:cs="宋体"/>
                <w:color w:val="auto"/>
                <w:sz w:val="21"/>
                <w:szCs w:val="21"/>
                <w:lang w:val="en-US" w:eastAsia="zh-CN"/>
              </w:rPr>
              <w:t>采购人</w:t>
            </w:r>
            <w:r>
              <w:rPr>
                <w:rFonts w:hint="eastAsia" w:asci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核心产品</w:t>
            </w:r>
          </w:p>
        </w:tc>
        <w:tc>
          <w:tcPr>
            <w:tcW w:w="6907" w:type="dxa"/>
            <w:gridSpan w:val="2"/>
            <w:noWrap w:val="0"/>
            <w:vAlign w:val="center"/>
          </w:tcPr>
          <w:p>
            <w:pPr>
              <w:tabs>
                <w:tab w:val="center" w:pos="3345"/>
              </w:tabs>
              <w:snapToGrid w:val="0"/>
              <w:rPr>
                <w:rFonts w:hint="eastAsia" w:ascii="宋体" w:hAnsi="宋体" w:cs="宋体"/>
                <w:color w:val="auto"/>
                <w:sz w:val="21"/>
                <w:szCs w:val="21"/>
              </w:rPr>
            </w:pPr>
            <w:r>
              <w:rPr>
                <w:rFonts w:hint="eastAsia" w:ascii="宋体" w:hAnsi="宋体" w:cs="宋体"/>
                <w:b/>
                <w:bCs/>
                <w:color w:val="auto"/>
                <w:sz w:val="21"/>
                <w:szCs w:val="21"/>
                <w:lang w:val="en-US" w:eastAsia="zh-CN"/>
              </w:rPr>
              <w:t>数字化X线摄影系统（DR）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其他要求及说明</w:t>
            </w:r>
          </w:p>
        </w:tc>
        <w:tc>
          <w:tcPr>
            <w:tcW w:w="6907" w:type="dxa"/>
            <w:gridSpan w:val="2"/>
            <w:noWrap w:val="0"/>
            <w:vAlign w:val="center"/>
          </w:tcPr>
          <w:p>
            <w:pPr>
              <w:snapToGrid w:val="0"/>
              <w:rPr>
                <w:color w:val="auto"/>
                <w:sz w:val="21"/>
                <w:szCs w:val="21"/>
              </w:rPr>
            </w:pPr>
            <w:r>
              <w:rPr>
                <w:color w:val="auto"/>
                <w:sz w:val="21"/>
                <w:szCs w:val="21"/>
              </w:rPr>
              <w:t>1</w:t>
            </w:r>
            <w:r>
              <w:rPr>
                <w:rFonts w:hint="eastAsia"/>
                <w:color w:val="auto"/>
                <w:sz w:val="21"/>
                <w:szCs w:val="21"/>
              </w:rPr>
              <w:t>、</w:t>
            </w:r>
            <w:r>
              <w:rPr>
                <w:rFonts w:hint="eastAsia"/>
                <w:color w:val="auto"/>
                <w:sz w:val="21"/>
                <w:szCs w:val="21"/>
                <w:lang w:val="en-US" w:eastAsia="zh-CN"/>
              </w:rPr>
              <w:t>谈判</w:t>
            </w:r>
            <w:r>
              <w:rPr>
                <w:rFonts w:hint="eastAsia"/>
                <w:color w:val="auto"/>
                <w:sz w:val="21"/>
                <w:szCs w:val="21"/>
              </w:rPr>
              <w:t>报价为供应商在采购人指定地点交付所投产品时所产生的一切费用总和。</w:t>
            </w:r>
          </w:p>
          <w:p>
            <w:pPr>
              <w:snapToGrid w:val="0"/>
              <w:rPr>
                <w:color w:val="auto"/>
                <w:sz w:val="21"/>
                <w:szCs w:val="21"/>
              </w:rPr>
            </w:pPr>
            <w:r>
              <w:rPr>
                <w:rFonts w:hint="eastAsia"/>
                <w:color w:val="auto"/>
                <w:sz w:val="21"/>
                <w:szCs w:val="21"/>
              </w:rPr>
              <w:t>货物采购包括货款、标准附件、备品备件、专用工具、包装、运输、装卸、保险、税金、货到就位以及安装、调试、培训、保修等一切税金和费用；</w:t>
            </w:r>
          </w:p>
          <w:p>
            <w:pPr>
              <w:numPr>
                <w:ilvl w:val="0"/>
                <w:numId w:val="0"/>
              </w:numPr>
              <w:snapToGrid w:val="0"/>
              <w:rPr>
                <w:color w:val="auto"/>
                <w:sz w:val="21"/>
                <w:szCs w:val="21"/>
              </w:rPr>
            </w:pPr>
            <w:r>
              <w:rPr>
                <w:rFonts w:hint="eastAsia"/>
                <w:color w:val="auto"/>
                <w:sz w:val="21"/>
                <w:szCs w:val="21"/>
                <w:lang w:val="en-US" w:eastAsia="zh-CN"/>
              </w:rPr>
              <w:t>2、谈判小组</w:t>
            </w:r>
            <w:r>
              <w:rPr>
                <w:rFonts w:hint="eastAsia"/>
                <w:color w:val="auto"/>
                <w:sz w:val="21"/>
                <w:szCs w:val="21"/>
              </w:rPr>
              <w:t>认为</w:t>
            </w:r>
            <w:r>
              <w:rPr>
                <w:rFonts w:hint="eastAsia"/>
                <w:color w:val="auto"/>
                <w:sz w:val="21"/>
                <w:szCs w:val="21"/>
                <w:lang w:val="en-US" w:eastAsia="zh-CN"/>
              </w:rPr>
              <w:t>供应商</w:t>
            </w:r>
            <w:r>
              <w:rPr>
                <w:rFonts w:hint="eastAsia"/>
                <w:color w:val="auto"/>
                <w:sz w:val="21"/>
                <w:szCs w:val="21"/>
              </w:rPr>
              <w:t>的</w:t>
            </w:r>
            <w:r>
              <w:rPr>
                <w:rFonts w:hint="eastAsia"/>
                <w:color w:val="auto"/>
                <w:sz w:val="21"/>
                <w:szCs w:val="21"/>
                <w:lang w:val="en-US" w:eastAsia="zh-CN"/>
              </w:rPr>
              <w:t>谈判</w:t>
            </w:r>
            <w:r>
              <w:rPr>
                <w:rFonts w:hint="eastAsia"/>
                <w:color w:val="auto"/>
                <w:sz w:val="21"/>
                <w:szCs w:val="21"/>
              </w:rPr>
              <w:t>报价明显低于其他通过符合性审查</w:t>
            </w:r>
            <w:r>
              <w:rPr>
                <w:rFonts w:hint="eastAsia"/>
                <w:color w:val="auto"/>
                <w:sz w:val="21"/>
                <w:szCs w:val="21"/>
                <w:lang w:val="en-US" w:eastAsia="zh-CN"/>
              </w:rPr>
              <w:t>供应商</w:t>
            </w:r>
            <w:r>
              <w:rPr>
                <w:rFonts w:hint="eastAsia"/>
                <w:color w:val="auto"/>
                <w:sz w:val="21"/>
                <w:szCs w:val="21"/>
              </w:rPr>
              <w:t>的</w:t>
            </w:r>
            <w:r>
              <w:rPr>
                <w:rFonts w:hint="eastAsia"/>
                <w:color w:val="auto"/>
                <w:sz w:val="21"/>
                <w:szCs w:val="21"/>
                <w:lang w:val="en-US" w:eastAsia="zh-CN"/>
              </w:rPr>
              <w:t>谈判</w:t>
            </w:r>
            <w:r>
              <w:rPr>
                <w:rFonts w:hint="eastAsia"/>
                <w:color w:val="auto"/>
                <w:sz w:val="21"/>
                <w:szCs w:val="21"/>
              </w:rPr>
              <w:t>报价，有可能影响产品质量或者不能诚信履约的，应当要求其在评标现场合理的时间内提供书面说明，必要时提交相关证明材料；</w:t>
            </w:r>
            <w:r>
              <w:rPr>
                <w:rFonts w:hint="eastAsia"/>
                <w:color w:val="auto"/>
                <w:sz w:val="21"/>
                <w:szCs w:val="21"/>
                <w:lang w:val="en-US" w:eastAsia="zh-CN"/>
              </w:rPr>
              <w:t>供应商</w:t>
            </w:r>
            <w:r>
              <w:rPr>
                <w:rFonts w:hint="eastAsia"/>
                <w:color w:val="auto"/>
                <w:sz w:val="21"/>
                <w:szCs w:val="21"/>
              </w:rPr>
              <w:t>不能证明其</w:t>
            </w:r>
            <w:r>
              <w:rPr>
                <w:rFonts w:hint="eastAsia"/>
                <w:color w:val="auto"/>
                <w:sz w:val="21"/>
                <w:szCs w:val="21"/>
                <w:lang w:val="en-US" w:eastAsia="zh-CN"/>
              </w:rPr>
              <w:t>谈判</w:t>
            </w:r>
            <w:r>
              <w:rPr>
                <w:rFonts w:hint="eastAsia"/>
                <w:color w:val="auto"/>
                <w:sz w:val="21"/>
                <w:szCs w:val="21"/>
              </w:rPr>
              <w:t>报价合理性的，</w:t>
            </w:r>
            <w:r>
              <w:rPr>
                <w:rFonts w:hint="eastAsia"/>
                <w:color w:val="auto"/>
                <w:sz w:val="21"/>
                <w:szCs w:val="21"/>
                <w:lang w:val="en-US" w:eastAsia="zh-CN"/>
              </w:rPr>
              <w:t>谈判小组</w:t>
            </w:r>
            <w:r>
              <w:rPr>
                <w:rFonts w:hint="eastAsia"/>
                <w:color w:val="auto"/>
                <w:sz w:val="21"/>
                <w:szCs w:val="21"/>
              </w:rPr>
              <w:t>应当将其作为无效</w:t>
            </w:r>
            <w:r>
              <w:rPr>
                <w:rFonts w:hint="eastAsia"/>
                <w:color w:val="auto"/>
                <w:sz w:val="21"/>
                <w:szCs w:val="21"/>
                <w:lang w:val="en-US" w:eastAsia="zh-CN"/>
              </w:rPr>
              <w:t>谈判</w:t>
            </w:r>
            <w:r>
              <w:rPr>
                <w:rFonts w:hint="eastAsia"/>
                <w:color w:val="auto"/>
                <w:sz w:val="21"/>
                <w:szCs w:val="21"/>
              </w:rPr>
              <w:t>处理。</w:t>
            </w:r>
          </w:p>
          <w:p>
            <w:pPr>
              <w:numPr>
                <w:ilvl w:val="0"/>
                <w:numId w:val="0"/>
              </w:numPr>
              <w:snapToGrid w:val="0"/>
              <w:rPr>
                <w:rFonts w:hint="eastAsia" w:ascii="宋体" w:hAnsi="宋体" w:cs="宋体"/>
                <w:color w:val="auto"/>
                <w:sz w:val="21"/>
                <w:szCs w:val="21"/>
              </w:rPr>
            </w:pPr>
            <w:r>
              <w:rPr>
                <w:rFonts w:hint="eastAsia"/>
                <w:b/>
                <w:bCs/>
                <w:color w:val="auto"/>
                <w:sz w:val="21"/>
                <w:szCs w:val="21"/>
                <w:lang w:val="en-US" w:eastAsia="zh-CN"/>
              </w:rPr>
              <w:t>3、</w:t>
            </w:r>
            <w:r>
              <w:rPr>
                <w:rFonts w:hint="eastAsia"/>
                <w:b/>
                <w:bCs/>
                <w:color w:val="auto"/>
                <w:sz w:val="21"/>
                <w:szCs w:val="21"/>
              </w:rPr>
              <w:t>本项目采购货物不接受进口产品（即通过中国海关报关验放进入中国境内且产自关境外的产品）参与</w:t>
            </w:r>
            <w:r>
              <w:rPr>
                <w:rFonts w:hint="eastAsia"/>
                <w:b/>
                <w:bCs/>
                <w:color w:val="auto"/>
                <w:sz w:val="21"/>
                <w:szCs w:val="21"/>
                <w:lang w:val="en-US" w:eastAsia="zh-CN"/>
              </w:rPr>
              <w:t>谈判</w:t>
            </w:r>
            <w:r>
              <w:rPr>
                <w:rFonts w:hint="eastAsia"/>
                <w:b/>
                <w:bCs/>
                <w:color w:val="auto"/>
                <w:sz w:val="21"/>
                <w:szCs w:val="21"/>
              </w:rPr>
              <w:t>，如有此类产品参与</w:t>
            </w:r>
            <w:r>
              <w:rPr>
                <w:rFonts w:hint="eastAsia"/>
                <w:b/>
                <w:bCs/>
                <w:color w:val="auto"/>
                <w:sz w:val="21"/>
                <w:szCs w:val="21"/>
                <w:lang w:val="en-US" w:eastAsia="zh-CN"/>
              </w:rPr>
              <w:t>谈判</w:t>
            </w:r>
            <w:r>
              <w:rPr>
                <w:rFonts w:hint="eastAsia"/>
                <w:b/>
                <w:bCs/>
                <w:color w:val="auto"/>
                <w:sz w:val="21"/>
                <w:szCs w:val="21"/>
              </w:rPr>
              <w:t>的做无效</w:t>
            </w:r>
            <w:r>
              <w:rPr>
                <w:rFonts w:hint="eastAsia"/>
                <w:b/>
                <w:bCs/>
                <w:color w:val="auto"/>
                <w:sz w:val="21"/>
                <w:szCs w:val="21"/>
                <w:lang w:val="en-US" w:eastAsia="zh-CN"/>
              </w:rPr>
              <w:t>谈判</w:t>
            </w:r>
            <w:r>
              <w:rPr>
                <w:rFonts w:hint="eastAsia"/>
                <w:b/>
                <w:bCs/>
                <w:color w:val="auto"/>
                <w:sz w:val="21"/>
                <w:szCs w:val="21"/>
              </w:rPr>
              <w:t>处理。</w:t>
            </w:r>
          </w:p>
        </w:tc>
      </w:tr>
    </w:tbl>
    <w:p>
      <w:pPr>
        <w:pStyle w:val="21"/>
        <w:jc w:val="both"/>
        <w:rPr>
          <w:rFonts w:hint="eastAsia" w:ascii="宋体" w:hAnsi="宋体" w:cs="宋体"/>
          <w:color w:val="auto"/>
        </w:rPr>
      </w:pPr>
    </w:p>
    <w:p>
      <w:pPr>
        <w:pStyle w:val="21"/>
        <w:rPr>
          <w:rFonts w:hint="eastAsia" w:ascii="宋体" w:hAnsi="宋体" w:cs="宋体"/>
          <w:color w:val="auto"/>
        </w:rPr>
      </w:pPr>
      <w:r>
        <w:rPr>
          <w:rFonts w:hint="eastAsia" w:ascii="宋体" w:hAnsi="宋体" w:cs="宋体"/>
          <w:color w:val="auto"/>
        </w:rPr>
        <w:t>第四章 评标办法及评分标准</w:t>
      </w:r>
      <w:bookmarkEnd w:id="56"/>
    </w:p>
    <w:p>
      <w:pPr>
        <w:spacing w:line="240" w:lineRule="atLeast"/>
        <w:jc w:val="center"/>
        <w:rPr>
          <w:rFonts w:hint="eastAsia" w:ascii="宋体" w:hAnsi="宋体" w:cs="宋体"/>
          <w:b/>
          <w:color w:val="auto"/>
          <w:sz w:val="32"/>
          <w:szCs w:val="32"/>
        </w:rPr>
      </w:pPr>
      <w:r>
        <w:rPr>
          <w:rFonts w:hint="eastAsia" w:ascii="宋体" w:hAnsi="宋体" w:cs="宋体"/>
          <w:b/>
          <w:color w:val="auto"/>
          <w:sz w:val="32"/>
          <w:szCs w:val="32"/>
        </w:rPr>
        <w:t xml:space="preserve"> 评标办法及评分标准</w:t>
      </w:r>
    </w:p>
    <w:p>
      <w:pPr>
        <w:pStyle w:val="13"/>
        <w:spacing w:line="360" w:lineRule="exact"/>
        <w:ind w:firstLine="442" w:firstLineChars="200"/>
        <w:rPr>
          <w:rFonts w:hint="eastAsia" w:hAnsi="宋体" w:cs="宋体"/>
          <w:b/>
          <w:bCs/>
          <w:color w:val="auto"/>
          <w:sz w:val="22"/>
          <w:szCs w:val="22"/>
        </w:rPr>
      </w:pPr>
      <w:r>
        <w:rPr>
          <w:rFonts w:hint="eastAsia" w:hAnsi="宋体" w:cs="宋体"/>
          <w:b/>
          <w:bCs/>
          <w:color w:val="auto"/>
          <w:sz w:val="22"/>
          <w:szCs w:val="22"/>
        </w:rPr>
        <w:t>一、评标原则</w:t>
      </w:r>
    </w:p>
    <w:p>
      <w:pPr>
        <w:pStyle w:val="13"/>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 xml:space="preserve">(一) 谈判小组构成：本采购项目的谈判小组分别由依法组成的采购人代表、评审专家三人以上（含三人）单数组成。 </w:t>
      </w:r>
    </w:p>
    <w:p>
      <w:pPr>
        <w:pStyle w:val="13"/>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(二)评标依据：以竞争性谈判采购条件书和竞争性谈判响应文件为评定依据。</w:t>
      </w:r>
    </w:p>
    <w:p>
      <w:pPr>
        <w:pStyle w:val="13"/>
        <w:spacing w:line="360" w:lineRule="exact"/>
        <w:ind w:firstLine="442" w:firstLineChars="200"/>
        <w:rPr>
          <w:rFonts w:hint="eastAsia" w:hAnsi="宋体" w:cs="宋体"/>
          <w:b/>
          <w:bCs/>
          <w:color w:val="auto"/>
          <w:sz w:val="22"/>
          <w:szCs w:val="22"/>
        </w:rPr>
      </w:pPr>
      <w:r>
        <w:rPr>
          <w:rFonts w:hint="eastAsia" w:hAnsi="宋体" w:cs="宋体"/>
          <w:b/>
          <w:bCs/>
          <w:color w:val="auto"/>
          <w:sz w:val="22"/>
          <w:szCs w:val="22"/>
        </w:rPr>
        <w:t>二、评定方法</w:t>
      </w:r>
    </w:p>
    <w:p>
      <w:pPr>
        <w:pStyle w:val="13"/>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谈判小组应当从货物各项主要性能指标、安装调试要求及相关售后服务要求均能满足竞争性谈判文件实质性响应要求的供应商中，按照评标报价由低到高顺序提出3名以上（含3名）成交候选人。</w:t>
      </w:r>
    </w:p>
    <w:p>
      <w:pPr>
        <w:pStyle w:val="13"/>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谈判小组将以竞争性谈判采购文件、响应文件为评定依据，标记有</w:t>
      </w:r>
      <w:r>
        <w:rPr>
          <w:rFonts w:hint="eastAsia" w:hAnsi="宋体" w:cs="宋体"/>
          <w:color w:val="auto"/>
          <w:sz w:val="22"/>
          <w:szCs w:val="22"/>
        </w:rPr>
        <w:t>★</w:t>
      </w:r>
      <w:r>
        <w:rPr>
          <w:rFonts w:hint="eastAsia" w:hAnsi="宋体" w:cs="宋体"/>
          <w:bCs/>
          <w:color w:val="auto"/>
          <w:sz w:val="22"/>
          <w:szCs w:val="22"/>
        </w:rPr>
        <w:t>号参数为关键参数和配置，对这些关键参数和配置不符合将导致谈判无效。非标记有</w:t>
      </w:r>
      <w:r>
        <w:rPr>
          <w:rFonts w:hint="eastAsia" w:hAnsi="宋体" w:cs="宋体"/>
          <w:color w:val="auto"/>
          <w:sz w:val="22"/>
          <w:szCs w:val="22"/>
        </w:rPr>
        <w:t>★</w:t>
      </w:r>
      <w:r>
        <w:rPr>
          <w:rFonts w:hint="eastAsia" w:hAnsi="宋体" w:cs="宋体"/>
          <w:bCs/>
          <w:color w:val="auto"/>
          <w:sz w:val="22"/>
          <w:szCs w:val="22"/>
        </w:rPr>
        <w:t>号参数为非关键参数和配置，非关键参数和配置未达到谈判文件要求累计负偏离项目超过3项以上将导致其谈判无效；</w:t>
      </w:r>
    </w:p>
    <w:p>
      <w:pPr>
        <w:pStyle w:val="13"/>
        <w:spacing w:line="360" w:lineRule="exact"/>
        <w:ind w:firstLine="440" w:firstLineChars="200"/>
        <w:rPr>
          <w:rFonts w:hint="eastAsia" w:hAnsi="宋体" w:cs="宋体"/>
          <w:color w:val="auto"/>
          <w:sz w:val="22"/>
          <w:szCs w:val="22"/>
          <w:lang w:bidi="ar"/>
        </w:rPr>
      </w:pPr>
      <w:r>
        <w:rPr>
          <w:rFonts w:hint="eastAsia" w:hAnsi="宋体" w:cs="宋体"/>
          <w:bCs/>
          <w:color w:val="auto"/>
          <w:sz w:val="22"/>
          <w:szCs w:val="22"/>
        </w:rPr>
        <w:t>按照《政府采购促进中小企业发展暂行办法》（财库[2011]181号），供应商认定为小型和微型企业（以竞争性谈判响应文件提供的符合规定的有关证明材料为准）且所投产品均为小型和微型企业产品的，对谈判报价给予</w:t>
      </w:r>
      <w:r>
        <w:rPr>
          <w:rFonts w:hint="eastAsia" w:hAnsi="宋体" w:cs="宋体"/>
          <w:bCs/>
          <w:color w:val="auto"/>
          <w:sz w:val="22"/>
          <w:szCs w:val="22"/>
          <w:lang w:val="en-US" w:eastAsia="zh-CN"/>
        </w:rPr>
        <w:t>10</w:t>
      </w:r>
      <w:r>
        <w:rPr>
          <w:rFonts w:hint="eastAsia" w:hAnsi="宋体" w:cs="宋体"/>
          <w:bCs/>
          <w:color w:val="auto"/>
          <w:sz w:val="22"/>
          <w:szCs w:val="22"/>
        </w:rPr>
        <w:t>%的扣除，扣除后的价格为评标报价，即评标报价=最后报价×（1-</w:t>
      </w:r>
      <w:r>
        <w:rPr>
          <w:rFonts w:hint="eastAsia" w:hAnsi="宋体" w:cs="宋体"/>
          <w:bCs/>
          <w:color w:val="auto"/>
          <w:sz w:val="22"/>
          <w:szCs w:val="22"/>
          <w:lang w:val="en-US" w:eastAsia="zh-CN"/>
        </w:rPr>
        <w:t>10</w:t>
      </w:r>
      <w:r>
        <w:rPr>
          <w:rFonts w:hint="eastAsia" w:hAnsi="宋体" w:cs="宋体"/>
          <w:bCs/>
          <w:color w:val="auto"/>
          <w:sz w:val="22"/>
          <w:szCs w:val="22"/>
        </w:rPr>
        <w:t>%）；除上述情况外，评标报价=最后报价（</w:t>
      </w:r>
      <w:r>
        <w:rPr>
          <w:rFonts w:hint="eastAsia" w:hAnsi="宋体" w:cs="宋体"/>
          <w:color w:val="auto"/>
          <w:sz w:val="22"/>
          <w:szCs w:val="22"/>
          <w:lang w:bidi="ar"/>
        </w:rPr>
        <w:t>扣除后报价仅作为评标报价排序，不作为合同签订报价，合同将按实际最终报价签订）。</w:t>
      </w:r>
    </w:p>
    <w:p>
      <w:pPr>
        <w:pStyle w:val="13"/>
        <w:spacing w:line="360" w:lineRule="exact"/>
        <w:ind w:firstLine="440" w:firstLineChars="200"/>
        <w:rPr>
          <w:rFonts w:hint="eastAsia" w:hAnsi="宋体" w:cs="宋体"/>
          <w:color w:val="auto"/>
          <w:sz w:val="22"/>
          <w:szCs w:val="22"/>
          <w:lang w:bidi="ar"/>
        </w:rPr>
      </w:pPr>
      <w:r>
        <w:rPr>
          <w:rFonts w:hint="eastAsia" w:hAnsi="宋体" w:cs="宋体"/>
          <w:color w:val="auto"/>
          <w:sz w:val="22"/>
          <w:szCs w:val="22"/>
          <w:lang w:bidi="ar"/>
        </w:rPr>
        <w:t>注：小型、微型企业提供中型企业制造的货物的，视同为中型企业。</w:t>
      </w:r>
    </w:p>
    <w:p>
      <w:pPr>
        <w:pStyle w:val="13"/>
        <w:spacing w:line="360" w:lineRule="exact"/>
        <w:ind w:firstLine="440" w:firstLineChars="200"/>
        <w:rPr>
          <w:rFonts w:hint="eastAsia" w:hAnsi="宋体" w:cs="宋体"/>
          <w:color w:val="auto"/>
          <w:sz w:val="22"/>
          <w:szCs w:val="22"/>
          <w:lang w:bidi="ar"/>
        </w:rPr>
      </w:pPr>
      <w:r>
        <w:rPr>
          <w:rFonts w:hint="eastAsia" w:hAnsi="宋体" w:cs="宋体"/>
          <w:color w:val="auto"/>
          <w:sz w:val="22"/>
          <w:szCs w:val="22"/>
          <w:lang w:bidi="ar"/>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3"/>
        <w:spacing w:line="360" w:lineRule="exact"/>
        <w:rPr>
          <w:rFonts w:hint="eastAsia" w:hAnsi="宋体" w:cs="宋体"/>
          <w:bCs/>
          <w:color w:val="auto"/>
          <w:sz w:val="22"/>
          <w:szCs w:val="22"/>
        </w:rPr>
      </w:pPr>
      <w:r>
        <w:rPr>
          <w:rFonts w:hint="eastAsia" w:hAnsi="宋体" w:cs="宋体"/>
          <w:color w:val="auto"/>
          <w:sz w:val="22"/>
          <w:szCs w:val="22"/>
          <w:lang w:bidi="ar"/>
        </w:rPr>
        <w:t xml:space="preserve">     </w:t>
      </w:r>
      <w:r>
        <w:rPr>
          <w:rFonts w:hint="eastAsia" w:hAnsi="宋体" w:cs="宋体"/>
          <w:bCs/>
          <w:color w:val="auto"/>
          <w:sz w:val="22"/>
          <w:szCs w:val="22"/>
        </w:rPr>
        <w:t>三、成交候选人推荐原则</w:t>
      </w:r>
      <w:r>
        <w:rPr>
          <w:rFonts w:hint="eastAsia" w:hAnsi="宋体" w:cs="宋体"/>
          <w:bCs/>
          <w:color w:val="auto"/>
          <w:sz w:val="22"/>
          <w:szCs w:val="22"/>
        </w:rPr>
        <w:br w:type="textWrapping"/>
      </w:r>
      <w:r>
        <w:rPr>
          <w:rFonts w:hint="eastAsia" w:hAnsi="宋体" w:cs="宋体"/>
          <w:bCs/>
          <w:color w:val="auto"/>
          <w:sz w:val="22"/>
          <w:szCs w:val="22"/>
        </w:rPr>
        <w:t xml:space="preserve">     （一）竞争性谈判响应文件在质量和服务均能满足竞争性谈判文件实质性响应要求时，谈判小组将按评标报价由低到高顺序推荐3名以上成交候选人（评标报价相同时，由谈判小组根据响应文件中技术、服务、企业业绩信誉集体讨论确定排序，并按确定排序由高到低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p>
      <w:pPr>
        <w:pStyle w:val="13"/>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二）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成交候选人资格，按顺序由排在后面的成交候选人递补，以此类推。</w:t>
      </w:r>
    </w:p>
    <w:p>
      <w:pPr>
        <w:spacing w:line="440" w:lineRule="exact"/>
        <w:rPr>
          <w:rFonts w:hint="eastAsia" w:ascii="宋体" w:hAnsi="宋体" w:cs="宋体"/>
          <w:bCs/>
          <w:color w:val="auto"/>
        </w:rPr>
      </w:pPr>
    </w:p>
    <w:p>
      <w:pPr>
        <w:pStyle w:val="21"/>
        <w:rPr>
          <w:rFonts w:hint="eastAsia" w:ascii="宋体" w:hAnsi="宋体" w:cs="宋体"/>
          <w:color w:val="auto"/>
        </w:rPr>
      </w:pPr>
      <w:bookmarkStart w:id="59" w:name="_Toc327975585"/>
      <w:r>
        <w:rPr>
          <w:rFonts w:hint="eastAsia" w:ascii="宋体" w:hAnsi="宋体" w:cs="宋体"/>
          <w:color w:val="auto"/>
        </w:rPr>
        <w:t>第五章 合同主要条款</w:t>
      </w:r>
      <w:bookmarkEnd w:id="59"/>
    </w:p>
    <w:p>
      <w:pPr>
        <w:snapToGrid w:val="0"/>
        <w:spacing w:line="480" w:lineRule="auto"/>
        <w:jc w:val="center"/>
        <w:rPr>
          <w:rFonts w:ascii="宋体" w:cs="宋体"/>
          <w:b/>
          <w:color w:val="auto"/>
          <w:sz w:val="32"/>
          <w:szCs w:val="32"/>
        </w:rPr>
      </w:pPr>
      <w:bookmarkStart w:id="60" w:name="_Toc327975586"/>
      <w:r>
        <w:rPr>
          <w:rFonts w:hint="eastAsia" w:ascii="宋体" w:hAnsi="宋体" w:cs="宋体"/>
          <w:b/>
          <w:bCs/>
          <w:color w:val="auto"/>
          <w:sz w:val="32"/>
          <w:szCs w:val="32"/>
        </w:rPr>
        <w:t>《广西壮族自治区政府采购合同》</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采购单位（甲方）</w:t>
      </w:r>
      <w:r>
        <w:rPr>
          <w:rFonts w:ascii="宋体" w:hAnsi="宋体" w:cs="宋体"/>
          <w:color w:val="auto"/>
          <w:sz w:val="22"/>
          <w:szCs w:val="22"/>
          <w:u w:val="single"/>
        </w:rPr>
        <w:t xml:space="preserve">                            </w:t>
      </w:r>
      <w:r>
        <w:rPr>
          <w:rFonts w:ascii="宋体" w:hAnsi="宋体" w:cs="宋体"/>
          <w:color w:val="auto"/>
          <w:spacing w:val="-20"/>
          <w:sz w:val="22"/>
          <w:szCs w:val="22"/>
        </w:rPr>
        <w:t xml:space="preserve">  </w:t>
      </w:r>
      <w:r>
        <w:rPr>
          <w:rFonts w:hint="eastAsia" w:ascii="宋体" w:hAnsi="宋体" w:cs="宋体"/>
          <w:color w:val="auto"/>
          <w:spacing w:val="-20"/>
          <w:sz w:val="22"/>
          <w:szCs w:val="22"/>
        </w:rPr>
        <w:t>采</w:t>
      </w:r>
      <w:r>
        <w:rPr>
          <w:rFonts w:ascii="宋体" w:hAnsi="宋体" w:cs="宋体"/>
          <w:color w:val="auto"/>
          <w:spacing w:val="-20"/>
          <w:sz w:val="22"/>
          <w:szCs w:val="22"/>
        </w:rPr>
        <w:t xml:space="preserve"> </w:t>
      </w:r>
      <w:r>
        <w:rPr>
          <w:rFonts w:hint="eastAsia" w:ascii="宋体" w:hAnsi="宋体" w:cs="宋体"/>
          <w:color w:val="auto"/>
          <w:spacing w:val="-20"/>
          <w:sz w:val="22"/>
          <w:szCs w:val="22"/>
        </w:rPr>
        <w:t>购</w:t>
      </w:r>
      <w:r>
        <w:rPr>
          <w:rFonts w:ascii="宋体" w:hAnsi="宋体" w:cs="宋体"/>
          <w:color w:val="auto"/>
          <w:spacing w:val="-20"/>
          <w:sz w:val="22"/>
          <w:szCs w:val="22"/>
        </w:rPr>
        <w:t xml:space="preserve"> </w:t>
      </w:r>
      <w:r>
        <w:rPr>
          <w:rFonts w:hint="eastAsia" w:ascii="宋体" w:hAnsi="宋体" w:cs="宋体"/>
          <w:color w:val="auto"/>
          <w:spacing w:val="-20"/>
          <w:sz w:val="22"/>
          <w:szCs w:val="22"/>
        </w:rPr>
        <w:t>计</w:t>
      </w:r>
      <w:r>
        <w:rPr>
          <w:rFonts w:ascii="宋体" w:hAnsi="宋体" w:cs="宋体"/>
          <w:color w:val="auto"/>
          <w:spacing w:val="-20"/>
          <w:sz w:val="22"/>
          <w:szCs w:val="22"/>
        </w:rPr>
        <w:t xml:space="preserve"> </w:t>
      </w:r>
      <w:r>
        <w:rPr>
          <w:rFonts w:hint="eastAsia" w:ascii="宋体" w:hAnsi="宋体" w:cs="宋体"/>
          <w:color w:val="auto"/>
          <w:spacing w:val="-20"/>
          <w:sz w:val="22"/>
          <w:szCs w:val="22"/>
        </w:rPr>
        <w:t>划</w:t>
      </w:r>
      <w:r>
        <w:rPr>
          <w:rFonts w:ascii="宋体" w:hAnsi="宋体" w:cs="宋体"/>
          <w:color w:val="auto"/>
          <w:spacing w:val="-20"/>
          <w:sz w:val="22"/>
          <w:szCs w:val="22"/>
        </w:rPr>
        <w:t xml:space="preserve"> </w:t>
      </w:r>
      <w:r>
        <w:rPr>
          <w:rFonts w:hint="eastAsia" w:ascii="宋体" w:hAnsi="宋体" w:cs="宋体"/>
          <w:color w:val="auto"/>
          <w:spacing w:val="-20"/>
          <w:sz w:val="22"/>
          <w:szCs w:val="22"/>
        </w:rPr>
        <w:t>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供</w:t>
      </w:r>
      <w:r>
        <w:rPr>
          <w:rFonts w:ascii="宋体" w:hAnsi="宋体" w:cs="宋体"/>
          <w:color w:val="auto"/>
          <w:sz w:val="22"/>
          <w:szCs w:val="22"/>
        </w:rPr>
        <w:t xml:space="preserve"> </w:t>
      </w:r>
      <w:r>
        <w:rPr>
          <w:rFonts w:hint="eastAsia" w:ascii="宋体" w:hAnsi="宋体" w:cs="宋体"/>
          <w:color w:val="auto"/>
          <w:sz w:val="22"/>
          <w:szCs w:val="22"/>
        </w:rPr>
        <w:t>应</w:t>
      </w:r>
      <w:r>
        <w:rPr>
          <w:rFonts w:ascii="宋体" w:hAnsi="宋体" w:cs="宋体"/>
          <w:color w:val="auto"/>
          <w:sz w:val="22"/>
          <w:szCs w:val="22"/>
        </w:rPr>
        <w:t xml:space="preserve"> </w:t>
      </w:r>
      <w:r>
        <w:rPr>
          <w:rFonts w:hint="eastAsia" w:ascii="宋体" w:hAnsi="宋体" w:cs="宋体"/>
          <w:color w:val="auto"/>
          <w:sz w:val="22"/>
          <w:szCs w:val="22"/>
        </w:rPr>
        <w:t>商（乙方）</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pacing w:val="-20"/>
          <w:sz w:val="22"/>
          <w:szCs w:val="22"/>
        </w:rPr>
        <w:t>项目名称和编号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地</w:t>
      </w:r>
      <w:r>
        <w:rPr>
          <w:rFonts w:ascii="宋体" w:hAnsi="宋体" w:cs="宋体"/>
          <w:color w:val="auto"/>
          <w:sz w:val="22"/>
          <w:szCs w:val="22"/>
        </w:rPr>
        <w:t xml:space="preserve">  </w:t>
      </w:r>
      <w:r>
        <w:rPr>
          <w:rFonts w:hint="eastAsia" w:ascii="宋体" w:hAnsi="宋体" w:cs="宋体"/>
          <w:color w:val="auto"/>
          <w:sz w:val="22"/>
          <w:szCs w:val="22"/>
        </w:rPr>
        <w:t>点</w:t>
      </w:r>
      <w:r>
        <w:rPr>
          <w:rFonts w:ascii="宋体" w:hAnsi="宋体" w:cs="宋体"/>
          <w:color w:val="auto"/>
          <w:sz w:val="22"/>
          <w:szCs w:val="22"/>
        </w:rPr>
        <w:t xml:space="preserve">  </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时</w:t>
      </w:r>
      <w:r>
        <w:rPr>
          <w:rFonts w:ascii="宋体" w:hAnsi="宋体" w:cs="宋体"/>
          <w:color w:val="auto"/>
          <w:sz w:val="22"/>
          <w:szCs w:val="22"/>
        </w:rPr>
        <w:t xml:space="preserve"> </w:t>
      </w:r>
      <w:r>
        <w:rPr>
          <w:rFonts w:hint="eastAsia" w:ascii="宋体" w:hAnsi="宋体" w:cs="宋体"/>
          <w:color w:val="auto"/>
          <w:sz w:val="22"/>
          <w:szCs w:val="22"/>
        </w:rPr>
        <w:t>间</w:t>
      </w:r>
      <w:r>
        <w:rPr>
          <w:rFonts w:ascii="宋体" w:hAnsi="宋体" w:cs="宋体"/>
          <w:color w:val="auto"/>
          <w:sz w:val="22"/>
          <w:szCs w:val="22"/>
        </w:rPr>
        <w:t xml:space="preserve"> </w:t>
      </w:r>
      <w:r>
        <w:rPr>
          <w:rFonts w:ascii="宋体" w:hAnsi="宋体" w:cs="宋体"/>
          <w:color w:val="auto"/>
          <w:sz w:val="22"/>
          <w:szCs w:val="22"/>
          <w:u w:val="single"/>
        </w:rPr>
        <w:t xml:space="preserve">            </w:t>
      </w:r>
    </w:p>
    <w:p>
      <w:pPr>
        <w:snapToGrid w:val="0"/>
        <w:spacing w:line="320" w:lineRule="exact"/>
        <w:ind w:firstLine="440" w:firstLineChars="200"/>
        <w:rPr>
          <w:rFonts w:ascii="宋体" w:cs="宋体"/>
          <w:color w:val="auto"/>
          <w:sz w:val="22"/>
          <w:szCs w:val="22"/>
        </w:rPr>
      </w:pPr>
    </w:p>
    <w:p>
      <w:pPr>
        <w:snapToGrid w:val="0"/>
        <w:spacing w:line="320" w:lineRule="exact"/>
        <w:ind w:firstLine="440" w:firstLineChars="200"/>
        <w:rPr>
          <w:rFonts w:ascii="宋体" w:cs="宋体"/>
          <w:color w:val="auto"/>
          <w:sz w:val="22"/>
          <w:szCs w:val="22"/>
        </w:rPr>
      </w:pPr>
      <w:r>
        <w:rPr>
          <w:rFonts w:hint="eastAsia" w:ascii="宋体" w:hAnsi="宋体" w:cs="宋体"/>
          <w:color w:val="auto"/>
          <w:sz w:val="22"/>
          <w:szCs w:val="22"/>
        </w:rPr>
        <w:t>根据《中华人民共和国政府采购法》、《中华人民共和国合同法》等法律、法规规定，按照</w:t>
      </w:r>
      <w:r>
        <w:rPr>
          <w:rFonts w:hint="eastAsia" w:ascii="宋体" w:hAnsi="宋体" w:cs="宋体"/>
          <w:color w:val="auto"/>
          <w:sz w:val="22"/>
          <w:szCs w:val="22"/>
          <w:lang w:eastAsia="zh-CN"/>
        </w:rPr>
        <w:t>竞争性谈判采购条件书</w:t>
      </w:r>
      <w:r>
        <w:rPr>
          <w:rFonts w:hint="eastAsia" w:ascii="宋体" w:hAnsi="宋体" w:cs="宋体"/>
          <w:color w:val="auto"/>
          <w:sz w:val="22"/>
          <w:szCs w:val="22"/>
        </w:rPr>
        <w:t>规定条款和中标供应商承诺，甲乙双方签订本合同。</w:t>
      </w:r>
    </w:p>
    <w:p>
      <w:pPr>
        <w:snapToGrid w:val="0"/>
        <w:spacing w:line="320" w:lineRule="exact"/>
        <w:ind w:firstLine="550" w:firstLineChars="249"/>
        <w:rPr>
          <w:rFonts w:ascii="宋体" w:cs="宋体"/>
          <w:color w:val="auto"/>
          <w:sz w:val="22"/>
          <w:szCs w:val="22"/>
        </w:rPr>
      </w:pPr>
      <w:r>
        <w:rPr>
          <w:rFonts w:hint="eastAsia" w:ascii="宋体" w:hAnsi="宋体" w:cs="宋体"/>
          <w:b/>
          <w:color w:val="auto"/>
          <w:sz w:val="22"/>
          <w:szCs w:val="22"/>
        </w:rPr>
        <w:t>第一条</w:t>
      </w:r>
      <w:r>
        <w:rPr>
          <w:rFonts w:ascii="宋体" w:hAnsi="宋体" w:cs="宋体"/>
          <w:b/>
          <w:color w:val="auto"/>
          <w:sz w:val="22"/>
          <w:szCs w:val="22"/>
        </w:rPr>
        <w:t xml:space="preserve">  </w:t>
      </w:r>
      <w:r>
        <w:rPr>
          <w:rFonts w:hint="eastAsia" w:ascii="宋体" w:hAnsi="宋体" w:cs="宋体"/>
          <w:b/>
          <w:color w:val="auto"/>
          <w:sz w:val="22"/>
          <w:szCs w:val="22"/>
        </w:rPr>
        <w:t>合同标的</w:t>
      </w:r>
    </w:p>
    <w:p>
      <w:pPr>
        <w:snapToGrid w:val="0"/>
        <w:spacing w:line="32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根据</w:t>
      </w:r>
      <w:r>
        <w:rPr>
          <w:rFonts w:hint="eastAsia" w:ascii="宋体" w:hAnsi="宋体" w:cs="宋体"/>
          <w:color w:val="auto"/>
          <w:sz w:val="22"/>
          <w:szCs w:val="22"/>
          <w:lang w:val="en-US" w:eastAsia="zh-CN"/>
        </w:rPr>
        <w:t>成交</w:t>
      </w:r>
      <w:r>
        <w:rPr>
          <w:rFonts w:hint="eastAsia" w:ascii="宋体" w:hAnsi="宋体" w:cs="宋体"/>
          <w:color w:val="auto"/>
          <w:sz w:val="22"/>
          <w:szCs w:val="22"/>
        </w:rPr>
        <w:t>通知书的</w:t>
      </w:r>
      <w:r>
        <w:rPr>
          <w:rFonts w:hint="eastAsia" w:ascii="宋体" w:hAnsi="宋体" w:cs="宋体"/>
          <w:color w:val="auto"/>
          <w:sz w:val="22"/>
          <w:szCs w:val="22"/>
          <w:lang w:val="en-US" w:eastAsia="zh-CN"/>
        </w:rPr>
        <w:t>成交</w:t>
      </w:r>
      <w:r>
        <w:rPr>
          <w:rFonts w:hint="eastAsia" w:ascii="宋体" w:hAnsi="宋体" w:cs="宋体"/>
          <w:color w:val="auto"/>
          <w:sz w:val="22"/>
          <w:szCs w:val="22"/>
        </w:rPr>
        <w:t>内容，合同的总金额为（大写）：人民币</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hint="eastAsia" w:ascii="宋体" w:hAnsi="宋体" w:cs="宋体"/>
          <w:color w:val="auto"/>
          <w:sz w:val="22"/>
          <w:szCs w:val="22"/>
        </w:rPr>
        <w:t>。</w:t>
      </w:r>
    </w:p>
    <w:p>
      <w:pPr>
        <w:snapToGrid w:val="0"/>
        <w:spacing w:line="32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货物一览表</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99"/>
        <w:gridCol w:w="1100"/>
        <w:gridCol w:w="1100"/>
        <w:gridCol w:w="1099"/>
        <w:gridCol w:w="1100"/>
        <w:gridCol w:w="1100"/>
        <w:gridCol w:w="11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92" w:type="dxa"/>
            <w:noWrap w:val="0"/>
            <w:vAlign w:val="center"/>
          </w:tcPr>
          <w:p>
            <w:pPr>
              <w:snapToGrid w:val="0"/>
              <w:jc w:val="center"/>
              <w:rPr>
                <w:rFonts w:ascii="宋体" w:cs="宋体"/>
                <w:color w:val="auto"/>
              </w:rPr>
            </w:pPr>
            <w:r>
              <w:rPr>
                <w:rFonts w:hint="eastAsia" w:ascii="宋体" w:hAnsi="宋体" w:cs="宋体"/>
                <w:color w:val="auto"/>
              </w:rPr>
              <w:t>序号</w:t>
            </w:r>
          </w:p>
        </w:tc>
        <w:tc>
          <w:tcPr>
            <w:tcW w:w="1099" w:type="dxa"/>
            <w:noWrap w:val="0"/>
            <w:vAlign w:val="center"/>
          </w:tcPr>
          <w:p>
            <w:pPr>
              <w:snapToGrid w:val="0"/>
              <w:jc w:val="center"/>
              <w:rPr>
                <w:rFonts w:ascii="宋体" w:cs="宋体"/>
                <w:color w:val="auto"/>
              </w:rPr>
            </w:pPr>
            <w:r>
              <w:rPr>
                <w:rFonts w:hint="eastAsia" w:ascii="宋体" w:hAnsi="宋体" w:cs="宋体"/>
                <w:color w:val="auto"/>
              </w:rPr>
              <w:t>产品名称</w:t>
            </w:r>
          </w:p>
        </w:tc>
        <w:tc>
          <w:tcPr>
            <w:tcW w:w="1100" w:type="dxa"/>
            <w:noWrap w:val="0"/>
            <w:vAlign w:val="center"/>
          </w:tcPr>
          <w:p>
            <w:pPr>
              <w:snapToGrid w:val="0"/>
              <w:jc w:val="center"/>
              <w:rPr>
                <w:rFonts w:ascii="宋体" w:cs="宋体"/>
                <w:color w:val="auto"/>
              </w:rPr>
            </w:pPr>
            <w:r>
              <w:rPr>
                <w:rFonts w:hint="eastAsia" w:ascii="宋体" w:hAnsi="宋体" w:cs="宋体"/>
                <w:color w:val="auto"/>
              </w:rPr>
              <w:t>商标品牌</w:t>
            </w:r>
          </w:p>
        </w:tc>
        <w:tc>
          <w:tcPr>
            <w:tcW w:w="1100" w:type="dxa"/>
            <w:noWrap w:val="0"/>
            <w:vAlign w:val="center"/>
          </w:tcPr>
          <w:p>
            <w:pPr>
              <w:snapToGrid w:val="0"/>
              <w:jc w:val="center"/>
              <w:rPr>
                <w:rFonts w:ascii="宋体" w:cs="宋体"/>
                <w:color w:val="auto"/>
              </w:rPr>
            </w:pPr>
            <w:r>
              <w:rPr>
                <w:rFonts w:hint="eastAsia" w:ascii="宋体" w:hAnsi="宋体" w:cs="宋体"/>
                <w:color w:val="auto"/>
              </w:rPr>
              <w:t>规格型号</w:t>
            </w:r>
          </w:p>
        </w:tc>
        <w:tc>
          <w:tcPr>
            <w:tcW w:w="1099" w:type="dxa"/>
            <w:noWrap w:val="0"/>
            <w:vAlign w:val="center"/>
          </w:tcPr>
          <w:p>
            <w:pPr>
              <w:snapToGrid w:val="0"/>
              <w:jc w:val="center"/>
              <w:rPr>
                <w:rFonts w:ascii="宋体" w:cs="宋体"/>
                <w:color w:val="auto"/>
              </w:rPr>
            </w:pPr>
            <w:r>
              <w:rPr>
                <w:rFonts w:hint="eastAsia" w:ascii="宋体" w:hAnsi="宋体" w:cs="宋体"/>
                <w:color w:val="auto"/>
              </w:rPr>
              <w:t>生产厂家</w:t>
            </w:r>
          </w:p>
        </w:tc>
        <w:tc>
          <w:tcPr>
            <w:tcW w:w="1100" w:type="dxa"/>
            <w:noWrap w:val="0"/>
            <w:vAlign w:val="center"/>
          </w:tcPr>
          <w:p>
            <w:pPr>
              <w:snapToGrid w:val="0"/>
              <w:jc w:val="center"/>
              <w:rPr>
                <w:rFonts w:ascii="宋体" w:cs="宋体"/>
                <w:color w:val="auto"/>
              </w:rPr>
            </w:pPr>
            <w:r>
              <w:rPr>
                <w:rFonts w:hint="eastAsia" w:ascii="宋体" w:hAnsi="宋体" w:cs="宋体"/>
                <w:color w:val="auto"/>
              </w:rPr>
              <w:t>数</w:t>
            </w:r>
            <w:r>
              <w:rPr>
                <w:rFonts w:ascii="宋体" w:hAnsi="宋体" w:cs="宋体"/>
                <w:color w:val="auto"/>
              </w:rPr>
              <w:t xml:space="preserve">  </w:t>
            </w:r>
            <w:r>
              <w:rPr>
                <w:rFonts w:hint="eastAsia" w:ascii="宋体" w:hAnsi="宋体" w:cs="宋体"/>
                <w:color w:val="auto"/>
              </w:rPr>
              <w:t>量</w:t>
            </w:r>
          </w:p>
        </w:tc>
        <w:tc>
          <w:tcPr>
            <w:tcW w:w="1100" w:type="dxa"/>
            <w:noWrap w:val="0"/>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位</w:t>
            </w:r>
          </w:p>
        </w:tc>
        <w:tc>
          <w:tcPr>
            <w:tcW w:w="1100" w:type="dxa"/>
            <w:noWrap w:val="0"/>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价</w:t>
            </w:r>
          </w:p>
          <w:p>
            <w:pPr>
              <w:snapToGrid w:val="0"/>
              <w:jc w:val="center"/>
              <w:rPr>
                <w:rFonts w:ascii="宋体" w:cs="宋体"/>
                <w:color w:val="auto"/>
              </w:rPr>
            </w:pPr>
            <w:r>
              <w:rPr>
                <w:rFonts w:hint="eastAsia" w:ascii="宋体" w:hAnsi="宋体" w:cs="宋体"/>
                <w:color w:val="auto"/>
              </w:rPr>
              <w:t>（元）</w:t>
            </w:r>
          </w:p>
        </w:tc>
        <w:tc>
          <w:tcPr>
            <w:tcW w:w="1102" w:type="dxa"/>
            <w:noWrap w:val="0"/>
            <w:vAlign w:val="center"/>
          </w:tcPr>
          <w:p>
            <w:pPr>
              <w:snapToGrid w:val="0"/>
              <w:jc w:val="center"/>
              <w:rPr>
                <w:rFonts w:ascii="宋体" w:cs="宋体"/>
                <w:color w:val="auto"/>
              </w:rPr>
            </w:pPr>
            <w:r>
              <w:rPr>
                <w:rFonts w:hint="eastAsia" w:ascii="宋体" w:hAnsi="宋体" w:cs="宋体"/>
                <w:color w:val="auto"/>
              </w:rPr>
              <w:t>金</w:t>
            </w:r>
            <w:r>
              <w:rPr>
                <w:rFonts w:ascii="宋体" w:hAnsi="宋体" w:cs="宋体"/>
                <w:color w:val="auto"/>
              </w:rPr>
              <w:t xml:space="preserve">  </w:t>
            </w:r>
            <w:r>
              <w:rPr>
                <w:rFonts w:hint="eastAsia" w:ascii="宋体" w:hAnsi="宋体" w:cs="宋体"/>
                <w:color w:val="auto"/>
              </w:rPr>
              <w:t>额</w:t>
            </w:r>
          </w:p>
          <w:p>
            <w:pPr>
              <w:snapToGrid w:val="0"/>
              <w:jc w:val="center"/>
              <w:rPr>
                <w:rFonts w:ascii="宋体" w:cs="宋体"/>
                <w:color w:val="auto"/>
              </w:rPr>
            </w:pPr>
            <w:r>
              <w:rPr>
                <w:rFonts w:hint="eastAsia" w:ascii="宋体" w:hAnsi="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1</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2</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3</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192" w:type="dxa"/>
            <w:gridSpan w:val="9"/>
            <w:noWrap w:val="0"/>
            <w:vAlign w:val="center"/>
          </w:tcPr>
          <w:p>
            <w:pPr>
              <w:snapToGrid w:val="0"/>
              <w:rPr>
                <w:rFonts w:ascii="宋体" w:cs="宋体"/>
                <w:color w:val="auto"/>
              </w:rPr>
            </w:pPr>
            <w:r>
              <w:rPr>
                <w:rFonts w:hint="eastAsia" w:ascii="宋体" w:hAnsi="宋体" w:cs="宋体"/>
                <w:color w:val="auto"/>
              </w:rPr>
              <w:t>人民币合计金额（大写）</w:t>
            </w:r>
            <w:r>
              <w:rPr>
                <w:rFonts w:ascii="宋体" w:hAnsi="宋体" w:cs="宋体"/>
                <w:color w:val="auto"/>
              </w:rPr>
              <w:t xml:space="preserve">                            </w:t>
            </w:r>
            <w:r>
              <w:rPr>
                <w:rFonts w:hint="eastAsia" w:ascii="宋体" w:hAnsi="宋体" w:cs="宋体"/>
                <w:color w:val="auto"/>
              </w:rPr>
              <w:t>（小写）</w:t>
            </w:r>
          </w:p>
        </w:tc>
      </w:tr>
    </w:tbl>
    <w:p>
      <w:pPr>
        <w:snapToGrid w:val="0"/>
        <w:spacing w:line="320" w:lineRule="exact"/>
        <w:ind w:right="420" w:firstLine="456" w:firstLineChars="200"/>
        <w:rPr>
          <w:rFonts w:ascii="宋体" w:cs="宋体"/>
          <w:color w:val="auto"/>
          <w:spacing w:val="4"/>
          <w:sz w:val="22"/>
          <w:szCs w:val="22"/>
        </w:rPr>
      </w:pPr>
    </w:p>
    <w:p>
      <w:pPr>
        <w:snapToGrid w:val="0"/>
        <w:spacing w:line="320" w:lineRule="exact"/>
        <w:ind w:right="420"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合同合计金额包括货物价款、备件、专用工具、安装、检验、技术资料和包装、运输等全部费用。如</w:t>
      </w:r>
      <w:r>
        <w:rPr>
          <w:rFonts w:hint="eastAsia" w:ascii="宋体" w:hAnsi="宋体" w:cs="宋体"/>
          <w:color w:val="auto"/>
          <w:spacing w:val="4"/>
          <w:sz w:val="22"/>
          <w:szCs w:val="22"/>
          <w:lang w:val="en-US" w:eastAsia="zh-CN"/>
        </w:rPr>
        <w:t>谈判采购</w:t>
      </w:r>
      <w:r>
        <w:rPr>
          <w:rFonts w:hint="eastAsia" w:ascii="宋体" w:hAnsi="宋体" w:cs="宋体"/>
          <w:color w:val="auto"/>
          <w:spacing w:val="4"/>
          <w:sz w:val="22"/>
          <w:szCs w:val="22"/>
        </w:rPr>
        <w:t>文件对其另有规定的，从其规定。</w:t>
      </w:r>
    </w:p>
    <w:p>
      <w:pPr>
        <w:snapToGrid w:val="0"/>
        <w:spacing w:line="320" w:lineRule="exact"/>
        <w:ind w:right="525" w:firstLine="687" w:firstLineChars="300"/>
        <w:rPr>
          <w:rFonts w:ascii="宋体" w:cs="宋体"/>
          <w:color w:val="auto"/>
          <w:spacing w:val="4"/>
          <w:sz w:val="22"/>
          <w:szCs w:val="22"/>
        </w:rPr>
      </w:pPr>
      <w:r>
        <w:rPr>
          <w:rFonts w:hint="eastAsia" w:ascii="宋体" w:hAnsi="宋体" w:cs="宋体"/>
          <w:b/>
          <w:bCs/>
          <w:color w:val="auto"/>
          <w:spacing w:val="4"/>
          <w:sz w:val="22"/>
          <w:szCs w:val="22"/>
        </w:rPr>
        <w:t>第二条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质量保证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乙方所提供的货物规格、技术标准、材料等质量必须与</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和承诺相一致。乙方提供的自主创新产品、节能和环保产品必须是列入政府采购清单的产品。</w:t>
      </w:r>
    </w:p>
    <w:p>
      <w:pPr>
        <w:snapToGrid w:val="0"/>
        <w:spacing w:line="320" w:lineRule="exact"/>
        <w:ind w:firstLine="456" w:firstLineChars="200"/>
        <w:jc w:val="left"/>
        <w:rPr>
          <w:rFonts w:ascii="宋体" w:cs="宋体"/>
          <w:color w:val="auto"/>
          <w:spacing w:val="4"/>
          <w:sz w:val="22"/>
          <w:szCs w:val="22"/>
          <w:u w:val="single"/>
        </w:rPr>
      </w:pPr>
      <w:r>
        <w:rPr>
          <w:rFonts w:ascii="宋体" w:hAnsi="宋体" w:cs="宋体"/>
          <w:color w:val="auto"/>
          <w:spacing w:val="4"/>
          <w:sz w:val="22"/>
          <w:szCs w:val="22"/>
        </w:rPr>
        <w:t>2.</w:t>
      </w:r>
      <w:r>
        <w:rPr>
          <w:rFonts w:hint="eastAsia" w:ascii="宋体" w:hAnsi="宋体" w:cs="宋体"/>
          <w:color w:val="auto"/>
          <w:spacing w:val="4"/>
          <w:sz w:val="22"/>
          <w:szCs w:val="22"/>
        </w:rPr>
        <w:t>乙方所提供的货物必须是全新、未使用的产品，且在正常使用条件下，其使用寿命应达到承诺年限。</w:t>
      </w:r>
    </w:p>
    <w:p>
      <w:pPr>
        <w:snapToGrid w:val="0"/>
        <w:spacing w:line="320" w:lineRule="exact"/>
        <w:ind w:firstLine="682" w:firstLineChars="298"/>
        <w:rPr>
          <w:rFonts w:ascii="宋体" w:cs="宋体"/>
          <w:color w:val="auto"/>
          <w:spacing w:val="4"/>
          <w:sz w:val="22"/>
          <w:szCs w:val="22"/>
        </w:rPr>
      </w:pPr>
      <w:r>
        <w:rPr>
          <w:rFonts w:hint="eastAsia" w:ascii="宋体" w:hAnsi="宋体" w:cs="宋体"/>
          <w:b/>
          <w:bCs/>
          <w:color w:val="auto"/>
          <w:spacing w:val="4"/>
          <w:sz w:val="22"/>
          <w:szCs w:val="22"/>
        </w:rPr>
        <w:t>第三条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权力保证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乙方应保证所提供货物在使用时不会侵犯任何第三方的专利权、商标权、工业设计权或其他权利。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乙方应按</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规定的时间向甲方提供使用货物的有关技术资料。</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乙方保证所交付的货物的所有权完全属于乙方且无任何抵押、质押、查封等产权瑕疵。</w:t>
      </w:r>
    </w:p>
    <w:p>
      <w:pPr>
        <w:snapToGrid w:val="0"/>
        <w:spacing w:line="320" w:lineRule="exact"/>
        <w:ind w:firstLine="673" w:firstLineChars="294"/>
        <w:rPr>
          <w:rFonts w:ascii="宋体" w:cs="宋体"/>
          <w:b/>
          <w:bCs/>
          <w:color w:val="auto"/>
          <w:spacing w:val="4"/>
          <w:sz w:val="22"/>
          <w:szCs w:val="22"/>
        </w:rPr>
      </w:pPr>
      <w:r>
        <w:rPr>
          <w:rFonts w:hint="eastAsia" w:ascii="宋体" w:hAnsi="宋体" w:cs="宋体"/>
          <w:b/>
          <w:bCs/>
          <w:color w:val="auto"/>
          <w:spacing w:val="4"/>
          <w:sz w:val="22"/>
          <w:szCs w:val="22"/>
        </w:rPr>
        <w:t>第四条</w:t>
      </w:r>
      <w:r>
        <w:rPr>
          <w:rFonts w:ascii="宋体" w:hAnsi="宋体" w:cs="宋体"/>
          <w:b/>
          <w:bCs/>
          <w:color w:val="auto"/>
          <w:spacing w:val="4"/>
          <w:sz w:val="22"/>
          <w:szCs w:val="22"/>
        </w:rPr>
        <w:t xml:space="preserve">  </w:t>
      </w:r>
      <w:r>
        <w:rPr>
          <w:rFonts w:hint="eastAsia" w:ascii="宋体" w:hAnsi="宋体" w:cs="宋体"/>
          <w:b/>
          <w:bCs/>
          <w:color w:val="auto"/>
          <w:spacing w:val="4"/>
          <w:sz w:val="22"/>
          <w:szCs w:val="22"/>
        </w:rPr>
        <w:t>包装和运输</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乙方提供的货物均应按</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要求的包装材料、包装标准、包装方式进行包装，每一包装单元内应附详细的装箱单和质量合格证。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乙方负责货物运输，货物的运输方式：</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rPr>
        <w:t>乙方自行负责</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682" w:firstLineChars="298"/>
        <w:rPr>
          <w:rFonts w:ascii="宋体" w:cs="宋体"/>
          <w:b/>
          <w:color w:val="auto"/>
          <w:spacing w:val="4"/>
          <w:sz w:val="22"/>
          <w:szCs w:val="22"/>
        </w:rPr>
      </w:pPr>
      <w:r>
        <w:rPr>
          <w:rFonts w:hint="eastAsia" w:ascii="宋体" w:hAnsi="宋体" w:cs="宋体"/>
          <w:b/>
          <w:color w:val="auto"/>
          <w:spacing w:val="4"/>
          <w:sz w:val="22"/>
          <w:szCs w:val="22"/>
        </w:rPr>
        <w:t>第五条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交付和验收</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交货时间：</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lang w:val="en-US" w:eastAsia="zh-CN"/>
        </w:rPr>
        <w:t xml:space="preserve">             </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，地点：</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lang w:val="en-US" w:eastAsia="zh-CN"/>
        </w:rPr>
        <w:t xml:space="preserve">    </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乙方提供的货物、基础、安装不符合</w:t>
      </w:r>
      <w:r>
        <w:rPr>
          <w:rFonts w:hint="eastAsia" w:ascii="宋体" w:hAnsi="宋体" w:cs="宋体"/>
          <w:color w:val="auto"/>
          <w:sz w:val="22"/>
          <w:szCs w:val="22"/>
          <w:lang w:eastAsia="zh-CN"/>
        </w:rPr>
        <w:t>竞争性谈判采购条件书</w:t>
      </w:r>
      <w:r>
        <w:rPr>
          <w:rFonts w:hint="eastAsia" w:ascii="宋体" w:hAnsi="宋体" w:cs="宋体"/>
          <w:color w:val="auto"/>
          <w:sz w:val="22"/>
          <w:szCs w:val="22"/>
        </w:rPr>
        <w:t>、</w:t>
      </w:r>
      <w:r>
        <w:rPr>
          <w:rFonts w:hint="eastAsia" w:ascii="宋体" w:hAnsi="宋体" w:cs="宋体"/>
          <w:color w:val="auto"/>
          <w:sz w:val="22"/>
          <w:szCs w:val="22"/>
          <w:lang w:eastAsia="zh-CN"/>
        </w:rPr>
        <w:t>响应文件</w:t>
      </w:r>
      <w:r>
        <w:rPr>
          <w:rFonts w:hint="eastAsia" w:ascii="宋体" w:hAnsi="宋体" w:cs="宋体"/>
          <w:color w:val="auto"/>
          <w:spacing w:val="4"/>
          <w:sz w:val="22"/>
          <w:szCs w:val="22"/>
        </w:rPr>
        <w:t>和本合同规定的，甲方有权拒绝接受。</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乙方应将所提供货物的装箱清单、用户手册、原厂保修卡、随机资料、工具和备品、备件等交付给甲方，如有缺失应及时补齐，否则视为逾期交货。</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乙方应按照甲方的要求，在</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前交货验收完毕并承担验收相关费用。</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甲方应当在货物到货</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天内进行验收，逾期不验收的，乙方可视同验收合格。验收合格后由甲乙双方签署货物验收单并加盖采购单位公章，甲乙双方各执一份。</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甲方对验收有异议的，在验收后五个工作日内以书面形式向乙方提出，乙方应自收到甲方书面异议后</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日内及时予以解决。</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8.</w:t>
      </w:r>
      <w:r>
        <w:rPr>
          <w:rFonts w:hint="eastAsia" w:ascii="宋体" w:hAnsi="宋体" w:cs="宋体"/>
          <w:color w:val="auto"/>
          <w:spacing w:val="4"/>
          <w:sz w:val="22"/>
          <w:szCs w:val="22"/>
        </w:rPr>
        <w:t>项目验收要符合</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中的验收</w:t>
      </w:r>
      <w:r>
        <w:rPr>
          <w:rFonts w:hint="eastAsia" w:ascii="宋体" w:hAnsi="宋体" w:cs="宋体"/>
          <w:color w:val="auto"/>
          <w:sz w:val="22"/>
          <w:szCs w:val="22"/>
        </w:rPr>
        <w:t>技术标准和规范</w:t>
      </w:r>
      <w:r>
        <w:rPr>
          <w:rFonts w:hint="eastAsia" w:ascii="宋体" w:hAnsi="宋体" w:cs="宋体"/>
          <w:color w:val="auto"/>
          <w:spacing w:val="4"/>
          <w:sz w:val="22"/>
          <w:szCs w:val="22"/>
        </w:rPr>
        <w:t>、图纸及工程量清单的要求</w:t>
      </w:r>
      <w:r>
        <w:rPr>
          <w:rFonts w:hint="eastAsia" w:ascii="宋体" w:hAnsi="宋体" w:cs="宋体"/>
          <w:color w:val="auto"/>
          <w:sz w:val="22"/>
          <w:szCs w:val="22"/>
        </w:rPr>
        <w:t>。</w:t>
      </w:r>
    </w:p>
    <w:p>
      <w:pPr>
        <w:snapToGrid w:val="0"/>
        <w:spacing w:line="320" w:lineRule="exact"/>
        <w:ind w:firstLine="561" w:firstLineChars="245"/>
        <w:rPr>
          <w:rFonts w:ascii="宋体" w:cs="宋体"/>
          <w:color w:val="auto"/>
          <w:spacing w:val="4"/>
          <w:sz w:val="22"/>
          <w:szCs w:val="22"/>
        </w:rPr>
      </w:pPr>
      <w:r>
        <w:rPr>
          <w:rFonts w:hint="eastAsia" w:ascii="宋体" w:hAnsi="宋体" w:cs="宋体"/>
          <w:b/>
          <w:color w:val="auto"/>
          <w:spacing w:val="4"/>
          <w:sz w:val="22"/>
          <w:szCs w:val="22"/>
        </w:rPr>
        <w:t>第六条</w:t>
      </w:r>
      <w:r>
        <w:rPr>
          <w:rFonts w:ascii="宋体" w:hAnsi="宋体" w:cs="宋体"/>
          <w:b/>
          <w:color w:val="auto"/>
          <w:spacing w:val="4"/>
          <w:sz w:val="22"/>
          <w:szCs w:val="22"/>
        </w:rPr>
        <w:t xml:space="preserve">  </w:t>
      </w:r>
      <w:r>
        <w:rPr>
          <w:rFonts w:hint="eastAsia" w:ascii="宋体" w:hAnsi="宋体" w:cs="宋体"/>
          <w:color w:val="auto"/>
          <w:spacing w:val="4"/>
          <w:sz w:val="22"/>
          <w:szCs w:val="22"/>
        </w:rPr>
        <w:t>定做货物图纸提供方法及要求：</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568" w:firstLineChars="248"/>
        <w:rPr>
          <w:rFonts w:ascii="宋体" w:cs="宋体"/>
          <w:b/>
          <w:color w:val="auto"/>
          <w:spacing w:val="4"/>
          <w:sz w:val="22"/>
          <w:szCs w:val="22"/>
        </w:rPr>
      </w:pPr>
      <w:r>
        <w:rPr>
          <w:rFonts w:hint="eastAsia" w:ascii="宋体" w:hAnsi="宋体" w:cs="宋体"/>
          <w:b/>
          <w:bCs/>
          <w:color w:val="auto"/>
          <w:spacing w:val="4"/>
          <w:sz w:val="22"/>
          <w:szCs w:val="22"/>
        </w:rPr>
        <w:t>第七条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售后服务、保修期（质量保证期）</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乙方应按照国家有关法律法规和“三包”规定以及</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和本合同所附的《服务承诺》，为甲方提供售后服务。</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 xml:space="preserve">2. </w:t>
      </w:r>
      <w:r>
        <w:rPr>
          <w:rFonts w:hint="eastAsia" w:ascii="宋体" w:hAnsi="宋体" w:cs="宋体"/>
          <w:color w:val="auto"/>
          <w:spacing w:val="4"/>
          <w:sz w:val="22"/>
          <w:szCs w:val="22"/>
        </w:rPr>
        <w:t>货物保修期：</w:t>
      </w:r>
      <w:r>
        <w:rPr>
          <w:rFonts w:hint="eastAsia" w:ascii="宋体" w:hAnsi="宋体" w:cs="宋体"/>
          <w:color w:val="auto"/>
          <w:spacing w:val="4"/>
          <w:sz w:val="22"/>
          <w:szCs w:val="22"/>
          <w:u w:val="single"/>
        </w:rPr>
        <w:t>按乙方</w:t>
      </w:r>
      <w:r>
        <w:rPr>
          <w:rFonts w:hint="eastAsia" w:ascii="宋体" w:hAnsi="宋体" w:cs="宋体"/>
          <w:color w:val="auto"/>
          <w:spacing w:val="4"/>
          <w:sz w:val="22"/>
          <w:szCs w:val="22"/>
          <w:u w:val="single"/>
          <w:lang w:eastAsia="zh-CN"/>
        </w:rPr>
        <w:t>响应文件</w:t>
      </w:r>
      <w:r>
        <w:rPr>
          <w:rFonts w:hint="eastAsia" w:ascii="宋体" w:hAnsi="宋体" w:cs="宋体"/>
          <w:color w:val="auto"/>
          <w:spacing w:val="4"/>
          <w:sz w:val="22"/>
          <w:szCs w:val="22"/>
          <w:u w:val="single"/>
        </w:rPr>
        <w:t>中所承诺的期限</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乙方提供的服务承诺和售后服务及保修期责任等其它具体约定事项。（见合同附件）</w:t>
      </w:r>
    </w:p>
    <w:p>
      <w:pPr>
        <w:snapToGrid w:val="0"/>
        <w:spacing w:line="320" w:lineRule="exact"/>
        <w:ind w:firstLine="526" w:firstLineChars="230"/>
        <w:rPr>
          <w:rFonts w:ascii="宋体" w:cs="宋体"/>
          <w:color w:val="auto"/>
          <w:spacing w:val="4"/>
          <w:sz w:val="22"/>
          <w:szCs w:val="22"/>
        </w:rPr>
      </w:pPr>
      <w:r>
        <w:rPr>
          <w:rFonts w:hint="eastAsia" w:ascii="宋体" w:hAnsi="宋体" w:cs="宋体"/>
          <w:b/>
          <w:bCs/>
          <w:color w:val="auto"/>
          <w:spacing w:val="4"/>
          <w:sz w:val="22"/>
          <w:szCs w:val="22"/>
        </w:rPr>
        <w:t>第八条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付款方式和保证金</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1.</w:t>
      </w:r>
      <w:r>
        <w:rPr>
          <w:rFonts w:hint="eastAsia" w:ascii="宋体" w:hAnsi="宋体" w:cs="宋体"/>
          <w:color w:val="auto"/>
          <w:spacing w:val="4"/>
          <w:sz w:val="22"/>
          <w:szCs w:val="22"/>
        </w:rPr>
        <w:t>资金性质：一般公共预算。</w:t>
      </w:r>
    </w:p>
    <w:p>
      <w:pPr>
        <w:snapToGrid w:val="0"/>
        <w:spacing w:line="320" w:lineRule="exact"/>
        <w:ind w:firstLine="456" w:firstLineChars="200"/>
        <w:rPr>
          <w:rFonts w:hint="eastAsia" w:ascii="宋体" w:eastAsia="宋体" w:cs="宋体"/>
          <w:color w:val="auto"/>
          <w:spacing w:val="4"/>
          <w:sz w:val="22"/>
          <w:szCs w:val="22"/>
          <w:lang w:eastAsia="zh-CN"/>
        </w:rPr>
      </w:pPr>
      <w:r>
        <w:rPr>
          <w:rFonts w:ascii="宋体" w:hAnsi="宋体" w:cs="宋体"/>
          <w:color w:val="auto"/>
          <w:spacing w:val="4"/>
          <w:sz w:val="22"/>
          <w:szCs w:val="22"/>
        </w:rPr>
        <w:t>2.</w:t>
      </w:r>
      <w:r>
        <w:rPr>
          <w:rFonts w:hint="eastAsia" w:ascii="宋体" w:hAnsi="宋体" w:cs="宋体"/>
          <w:color w:val="auto"/>
          <w:spacing w:val="4"/>
          <w:sz w:val="22"/>
          <w:szCs w:val="22"/>
        </w:rPr>
        <w:t>付款方式：</w:t>
      </w:r>
      <w:r>
        <w:rPr>
          <w:rFonts w:hint="eastAsia" w:ascii="宋体" w:hAnsi="宋体"/>
          <w:color w:val="auto"/>
          <w:sz w:val="22"/>
          <w:szCs w:val="22"/>
          <w:lang w:val="en-US" w:eastAsia="zh-CN"/>
        </w:rPr>
        <w:t xml:space="preserve"> </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第九条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合同的变更、终止与转让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除《中华人民共和国政府采购法》第五十条规定的情形外，本合同一经签订，甲乙双方不得擅自变更、中止或终止。</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乙方不得擅自转让其应履行的合同义务。</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违约责任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违约金并赔偿甲方经济损失。</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乙方提供的货物如侵犯第三方合法权益而引发的任何纠纷或诉讼，均由乙方负责交涉并承担全部责任。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因包装、运输引起的货物损坏，按质量不合格处罚。</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甲方无故延期接收货物、乙方逾期交货的，每天向对方偿付违约货款额</w:t>
      </w:r>
      <w:r>
        <w:rPr>
          <w:rFonts w:ascii="宋体" w:hAnsi="宋体" w:cs="宋体"/>
          <w:color w:val="auto"/>
          <w:spacing w:val="4"/>
          <w:sz w:val="22"/>
          <w:szCs w:val="22"/>
        </w:rPr>
        <w:t>3</w:t>
      </w:r>
      <w:r>
        <w:rPr>
          <w:rFonts w:hint="eastAsia" w:ascii="宋体" w:hAnsi="宋体" w:cs="宋体"/>
          <w:color w:val="auto"/>
          <w:spacing w:val="4"/>
          <w:sz w:val="22"/>
          <w:szCs w:val="22"/>
        </w:rPr>
        <w:t>‰违约金，但违约金累计不得超过违约货款额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，超过</w:t>
      </w:r>
      <w:r>
        <w:rPr>
          <w:rFonts w:ascii="宋体" w:hAnsi="宋体" w:cs="宋体"/>
          <w:color w:val="auto"/>
          <w:spacing w:val="4"/>
          <w:sz w:val="22"/>
          <w:szCs w:val="22"/>
          <w:u w:val="single"/>
        </w:rPr>
        <w:t>15</w:t>
      </w:r>
      <w:r>
        <w:rPr>
          <w:rFonts w:hint="eastAsia" w:ascii="宋体" w:hAnsi="宋体" w:cs="宋体"/>
          <w:color w:val="auto"/>
          <w:spacing w:val="4"/>
          <w:sz w:val="22"/>
          <w:szCs w:val="22"/>
        </w:rPr>
        <w:t>天对方有权解除合同，违约方承担因此给对方造成经济损失；在财政资金拨付到位前提下，甲方延期付货款的，每天向乙方偿付延期货款额</w:t>
      </w:r>
      <w:r>
        <w:rPr>
          <w:rFonts w:ascii="宋体" w:hAnsi="宋体" w:cs="宋体"/>
          <w:color w:val="auto"/>
          <w:spacing w:val="4"/>
          <w:sz w:val="22"/>
          <w:szCs w:val="22"/>
        </w:rPr>
        <w:t>3</w:t>
      </w:r>
      <w:r>
        <w:rPr>
          <w:rFonts w:hint="eastAsia" w:ascii="宋体" w:hAnsi="宋体" w:cs="宋体"/>
          <w:color w:val="auto"/>
          <w:spacing w:val="4"/>
          <w:sz w:val="22"/>
          <w:szCs w:val="22"/>
        </w:rPr>
        <w:t>‰滞纳金，但滞纳金累计不得超过延期货款额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乙方未按本合同和</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中规定的服务承诺提供售后服务的，乙方应按本合同合计金额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向甲方支付违约金。</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乙方提供的货物在质量保证期内，因设计、工艺或材料的缺陷和其它质量原因造成的问题，由乙方负责，费用从质量保证金中扣除，</w:t>
      </w:r>
      <w:r>
        <w:rPr>
          <w:rFonts w:hint="eastAsia" w:ascii="宋体" w:hAnsi="宋体" w:cs="宋体"/>
          <w:color w:val="auto"/>
          <w:sz w:val="22"/>
          <w:szCs w:val="22"/>
        </w:rPr>
        <w:t>不足部分需补交</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其它违约行为按违约货款额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收取违约金并赔偿经济损失。</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第十一条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解决合同争议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因履行本合同引起的或与本合同有关的争议，甲乙双方应首先通过友好协商解决，如果协商不能解决，可向仲裁委员会申请仲裁或向人民法院提起诉讼。</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诉讼期间，本合同继续履行。</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第十二条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签订本合同依据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政府采购</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服务承诺书；</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4.</w:t>
      </w:r>
      <w:r>
        <w:rPr>
          <w:rFonts w:hint="eastAsia" w:ascii="宋体" w:hAnsi="宋体" w:cs="宋体"/>
          <w:color w:val="auto"/>
          <w:spacing w:val="4"/>
          <w:sz w:val="22"/>
          <w:szCs w:val="22"/>
          <w:lang w:val="en-US" w:eastAsia="zh-CN"/>
        </w:rPr>
        <w:t>成交</w:t>
      </w:r>
      <w:r>
        <w:rPr>
          <w:rFonts w:hint="eastAsia" w:ascii="宋体" w:hAnsi="宋体" w:cs="宋体"/>
          <w:color w:val="auto"/>
          <w:spacing w:val="4"/>
          <w:sz w:val="22"/>
          <w:szCs w:val="22"/>
        </w:rPr>
        <w:t>通知书。</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第十三条</w:t>
      </w:r>
      <w:r>
        <w:rPr>
          <w:rFonts w:ascii="宋体" w:hAnsi="宋体" w:cs="宋体"/>
          <w:b/>
          <w:color w:val="auto"/>
          <w:spacing w:val="4"/>
          <w:sz w:val="22"/>
          <w:szCs w:val="22"/>
        </w:rPr>
        <w:t xml:space="preserve">  </w:t>
      </w:r>
      <w:r>
        <w:rPr>
          <w:rFonts w:hint="eastAsia" w:ascii="宋体" w:hAnsi="宋体" w:cs="宋体"/>
          <w:color w:val="auto"/>
          <w:spacing w:val="4"/>
          <w:sz w:val="22"/>
          <w:szCs w:val="22"/>
        </w:rPr>
        <w:t>本合同一式四份，财政部门（政府采购监管部门）、采购代理机构各一份，甲乙双方各一份。（可根据需要另增加）</w:t>
      </w:r>
    </w:p>
    <w:p>
      <w:pPr>
        <w:snapToGrid w:val="0"/>
        <w:spacing w:line="320" w:lineRule="exact"/>
        <w:ind w:firstLine="456" w:firstLineChars="200"/>
        <w:rPr>
          <w:rFonts w:ascii="宋体" w:cs="宋体"/>
          <w:color w:val="auto"/>
          <w:spacing w:val="4"/>
          <w:sz w:val="22"/>
          <w:szCs w:val="22"/>
        </w:rPr>
      </w:pPr>
      <w:r>
        <w:rPr>
          <w:rFonts w:hint="eastAsia" w:ascii="宋体" w:hAnsi="宋体" w:cs="宋体"/>
          <w:color w:val="auto"/>
          <w:spacing w:val="4"/>
          <w:sz w:val="22"/>
          <w:szCs w:val="22"/>
        </w:rPr>
        <w:t>本合同甲乙双方签字盖章后生效，自签订之日起七个工作日内，采购人或采购代理机构应当将本合同副本报同级财政部门备案。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甲方（章）</w:t>
            </w:r>
            <w:r>
              <w:rPr>
                <w:rFonts w:ascii="宋体" w:hAnsi="宋体" w:cs="宋体"/>
                <w:color w:val="auto"/>
                <w:sz w:val="22"/>
                <w:szCs w:val="22"/>
              </w:rPr>
              <w:t xml:space="preserve">        </w:t>
            </w:r>
          </w:p>
          <w:p>
            <w:pPr>
              <w:snapToGrid w:val="0"/>
              <w:spacing w:line="320" w:lineRule="exact"/>
              <w:ind w:firstLine="660" w:firstLineChars="300"/>
              <w:jc w:val="righ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乙方（章）</w:t>
            </w:r>
          </w:p>
          <w:p>
            <w:pPr>
              <w:snapToGrid w:val="0"/>
              <w:spacing w:line="32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138" w:type="dxa"/>
            <w:gridSpan w:val="2"/>
            <w:noWrap w:val="0"/>
            <w:vAlign w:val="top"/>
          </w:tcPr>
          <w:p>
            <w:pPr>
              <w:snapToGrid w:val="0"/>
              <w:spacing w:line="320" w:lineRule="exact"/>
              <w:rPr>
                <w:rFonts w:ascii="宋体" w:cs="宋体"/>
                <w:color w:val="auto"/>
                <w:sz w:val="22"/>
                <w:szCs w:val="22"/>
              </w:rPr>
            </w:pPr>
          </w:p>
          <w:p>
            <w:pPr>
              <w:snapToGrid w:val="0"/>
              <w:spacing w:line="320" w:lineRule="exact"/>
              <w:rPr>
                <w:rFonts w:ascii="宋体" w:cs="宋体"/>
                <w:color w:val="auto"/>
                <w:sz w:val="22"/>
                <w:szCs w:val="22"/>
              </w:rPr>
            </w:pPr>
            <w:r>
              <w:rPr>
                <w:rFonts w:hint="eastAsia" w:ascii="宋体" w:hAnsi="宋体" w:cs="宋体"/>
                <w:color w:val="auto"/>
                <w:sz w:val="22"/>
                <w:szCs w:val="22"/>
              </w:rPr>
              <w:t>经办人：</w:t>
            </w:r>
          </w:p>
          <w:p>
            <w:pPr>
              <w:snapToGrid w:val="0"/>
              <w:spacing w:line="320" w:lineRule="exact"/>
              <w:rPr>
                <w:rFonts w:ascii="宋体" w:cs="宋体"/>
                <w:color w:val="auto"/>
                <w:sz w:val="22"/>
                <w:szCs w:val="22"/>
              </w:rPr>
            </w:pPr>
            <w:r>
              <w:rPr>
                <w:rFonts w:ascii="宋体" w:hAnsi="宋体" w:cs="宋体"/>
                <w:color w:val="auto"/>
                <w:sz w:val="22"/>
                <w:szCs w:val="22"/>
              </w:rPr>
              <w:t xml:space="preserve">                          </w:t>
            </w:r>
          </w:p>
          <w:p>
            <w:pPr>
              <w:snapToGrid w:val="0"/>
              <w:spacing w:line="320" w:lineRule="exact"/>
              <w:ind w:firstLine="880" w:firstLineChars="400"/>
              <w:jc w:val="right"/>
              <w:rPr>
                <w:rFonts w:ascii="宋体" w:cs="宋体"/>
                <w:color w:val="auto"/>
                <w:sz w:val="22"/>
                <w:szCs w:val="22"/>
              </w:rPr>
            </w:pP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r>
              <w:rPr>
                <w:rFonts w:ascii="宋体" w:hAnsi="宋体" w:cs="宋体"/>
                <w:color w:val="auto"/>
                <w:sz w:val="22"/>
                <w:szCs w:val="22"/>
              </w:rPr>
              <w:t xml:space="preserve"> </w:t>
            </w:r>
          </w:p>
        </w:tc>
      </w:tr>
    </w:tbl>
    <w:p>
      <w:pPr>
        <w:pStyle w:val="37"/>
        <w:rPr>
          <w:rFonts w:ascii="宋体" w:cs="宋体"/>
          <w:b/>
          <w:color w:val="auto"/>
          <w:sz w:val="28"/>
          <w:szCs w:val="28"/>
        </w:rPr>
      </w:pPr>
    </w:p>
    <w:p>
      <w:pPr>
        <w:pStyle w:val="37"/>
        <w:rPr>
          <w:rFonts w:ascii="宋体" w:cs="宋体"/>
          <w:b/>
          <w:color w:val="auto"/>
          <w:sz w:val="28"/>
          <w:szCs w:val="28"/>
        </w:rPr>
      </w:pPr>
    </w:p>
    <w:p>
      <w:pPr>
        <w:pStyle w:val="37"/>
        <w:rPr>
          <w:rFonts w:ascii="宋体" w:cs="宋体"/>
          <w:b/>
          <w:color w:val="auto"/>
          <w:sz w:val="28"/>
          <w:szCs w:val="28"/>
        </w:rPr>
      </w:pPr>
    </w:p>
    <w:p>
      <w:pPr>
        <w:pStyle w:val="37"/>
        <w:rPr>
          <w:rFonts w:ascii="宋体" w:cs="宋体"/>
          <w:b/>
          <w:color w:val="auto"/>
          <w:sz w:val="28"/>
          <w:szCs w:val="28"/>
        </w:rPr>
      </w:pPr>
    </w:p>
    <w:p>
      <w:pPr>
        <w:pStyle w:val="37"/>
        <w:rPr>
          <w:rFonts w:ascii="宋体" w:cs="宋体"/>
          <w:b/>
          <w:color w:val="auto"/>
          <w:sz w:val="28"/>
          <w:szCs w:val="28"/>
        </w:rPr>
      </w:pPr>
    </w:p>
    <w:p>
      <w:pPr>
        <w:pStyle w:val="37"/>
        <w:rPr>
          <w:rFonts w:ascii="宋体" w:cs="宋体"/>
          <w:b/>
          <w:color w:val="auto"/>
          <w:sz w:val="28"/>
          <w:szCs w:val="28"/>
        </w:rPr>
      </w:pPr>
    </w:p>
    <w:p>
      <w:pPr>
        <w:pStyle w:val="37"/>
        <w:rPr>
          <w:rFonts w:ascii="宋体" w:cs="宋体"/>
          <w:b/>
          <w:color w:val="auto"/>
          <w:sz w:val="28"/>
          <w:szCs w:val="28"/>
        </w:rPr>
      </w:pPr>
    </w:p>
    <w:p>
      <w:pPr>
        <w:snapToGrid w:val="0"/>
        <w:jc w:val="center"/>
        <w:rPr>
          <w:rFonts w:ascii="宋体" w:cs="宋体"/>
          <w:b/>
          <w:color w:val="auto"/>
          <w:sz w:val="28"/>
          <w:szCs w:val="28"/>
        </w:rPr>
      </w:pPr>
    </w:p>
    <w:p>
      <w:pPr>
        <w:snapToGrid w:val="0"/>
        <w:jc w:val="center"/>
        <w:rPr>
          <w:rFonts w:hint="eastAsia" w:ascii="宋体" w:hAnsi="宋体" w:cs="宋体"/>
          <w:b/>
          <w:color w:val="auto"/>
          <w:sz w:val="28"/>
          <w:szCs w:val="28"/>
        </w:rPr>
      </w:pPr>
    </w:p>
    <w:p>
      <w:pPr>
        <w:snapToGrid w:val="0"/>
        <w:jc w:val="center"/>
        <w:rPr>
          <w:rFonts w:ascii="宋体" w:cs="宋体"/>
          <w:b/>
          <w:color w:val="auto"/>
          <w:sz w:val="28"/>
          <w:szCs w:val="28"/>
        </w:rPr>
      </w:pPr>
      <w:r>
        <w:rPr>
          <w:rFonts w:hint="eastAsia" w:ascii="宋体" w:hAnsi="宋体" w:cs="宋体"/>
          <w:b/>
          <w:color w:val="auto"/>
          <w:sz w:val="28"/>
          <w:szCs w:val="28"/>
        </w:rPr>
        <w:t>合</w:t>
      </w:r>
      <w:r>
        <w:rPr>
          <w:rFonts w:ascii="宋体" w:hAnsi="宋体" w:cs="宋体"/>
          <w:b/>
          <w:color w:val="auto"/>
          <w:sz w:val="28"/>
          <w:szCs w:val="28"/>
        </w:rPr>
        <w:t xml:space="preserve"> </w:t>
      </w:r>
      <w:r>
        <w:rPr>
          <w:rFonts w:hint="eastAsia" w:ascii="宋体" w:hAnsi="宋体" w:cs="宋体"/>
          <w:b/>
          <w:color w:val="auto"/>
          <w:sz w:val="28"/>
          <w:szCs w:val="28"/>
        </w:rPr>
        <w:t>同</w:t>
      </w:r>
      <w:r>
        <w:rPr>
          <w:rFonts w:ascii="宋体" w:hAnsi="宋体" w:cs="宋体"/>
          <w:b/>
          <w:color w:val="auto"/>
          <w:sz w:val="28"/>
          <w:szCs w:val="28"/>
        </w:rPr>
        <w:t xml:space="preserve"> </w:t>
      </w:r>
      <w:r>
        <w:rPr>
          <w:rFonts w:hint="eastAsia" w:ascii="宋体" w:hAnsi="宋体" w:cs="宋体"/>
          <w:b/>
          <w:color w:val="auto"/>
          <w:sz w:val="28"/>
          <w:szCs w:val="28"/>
        </w:rPr>
        <w:t>附</w:t>
      </w:r>
      <w:r>
        <w:rPr>
          <w:rFonts w:ascii="宋体" w:hAnsi="宋体" w:cs="宋体"/>
          <w:b/>
          <w:color w:val="auto"/>
          <w:sz w:val="28"/>
          <w:szCs w:val="28"/>
        </w:rPr>
        <w:t xml:space="preserve"> </w:t>
      </w:r>
      <w:r>
        <w:rPr>
          <w:rFonts w:hint="eastAsia" w:ascii="宋体" w:hAnsi="宋体" w:cs="宋体"/>
          <w:b/>
          <w:color w:val="auto"/>
          <w:sz w:val="28"/>
          <w:szCs w:val="28"/>
        </w:rPr>
        <w:t>件</w:t>
      </w:r>
    </w:p>
    <w:tbl>
      <w:tblPr>
        <w:tblStyle w:val="24"/>
        <w:tblW w:w="0" w:type="auto"/>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1</w:t>
            </w:r>
            <w:r>
              <w:rPr>
                <w:rFonts w:hint="eastAsia" w:ascii="宋体" w:hAnsi="宋体" w:cs="宋体"/>
                <w:b/>
                <w:color w:val="auto"/>
                <w:sz w:val="24"/>
              </w:rPr>
              <w:t>．供应商承诺具体事项：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2</w:t>
            </w:r>
            <w:r>
              <w:rPr>
                <w:rFonts w:hint="eastAsia" w:ascii="宋体" w:hAnsi="宋体" w:cs="宋体"/>
                <w:b/>
                <w:color w:val="auto"/>
                <w:sz w:val="24"/>
              </w:rPr>
              <w:t>．售后服务具体事项：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3</w:t>
            </w:r>
            <w:r>
              <w:rPr>
                <w:rFonts w:hint="eastAsia" w:ascii="宋体" w:hAnsi="宋体" w:cs="宋体"/>
                <w:b/>
                <w:color w:val="auto"/>
                <w:sz w:val="24"/>
              </w:rPr>
              <w:t>．保修期责任：</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．其他具体事项：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1992"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甲方（章）</w:t>
            </w: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r>
              <w:rPr>
                <w:rFonts w:ascii="宋体" w:hAnsi="宋体" w:cs="宋体"/>
                <w:b/>
                <w:color w:val="auto"/>
                <w:sz w:val="24"/>
              </w:rPr>
              <w:t xml:space="preserve">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乙方（章）</w:t>
            </w:r>
          </w:p>
          <w:p>
            <w:pPr>
              <w:snapToGrid w:val="0"/>
              <w:spacing w:line="400" w:lineRule="exact"/>
              <w:rPr>
                <w:rFonts w:ascii="宋体" w:cs="宋体"/>
                <w:b/>
                <w:color w:val="auto"/>
                <w:sz w:val="24"/>
              </w:rPr>
            </w:pP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p>
        </w:tc>
      </w:tr>
    </w:tbl>
    <w:p>
      <w:pPr>
        <w:snapToGrid w:val="0"/>
        <w:jc w:val="left"/>
        <w:rPr>
          <w:rFonts w:ascii="宋体" w:cs="宋体"/>
          <w:color w:val="auto"/>
          <w:sz w:val="22"/>
          <w:szCs w:val="22"/>
        </w:rPr>
      </w:pPr>
      <w:r>
        <w:rPr>
          <w:rFonts w:ascii="宋体" w:hAnsi="宋体" w:cs="宋体"/>
          <w:color w:val="auto"/>
        </w:rPr>
        <w:t xml:space="preserve">    </w:t>
      </w:r>
      <w:r>
        <w:rPr>
          <w:rFonts w:hint="eastAsia" w:ascii="宋体" w:hAnsi="宋体" w:cs="宋体"/>
          <w:color w:val="auto"/>
          <w:sz w:val="22"/>
          <w:szCs w:val="22"/>
        </w:rPr>
        <w:t>注：售后服务事项填不下时可另加附页</w:t>
      </w:r>
    </w:p>
    <w:p>
      <w:pPr>
        <w:pStyle w:val="21"/>
        <w:jc w:val="both"/>
        <w:rPr>
          <w:rFonts w:ascii="宋体" w:cs="宋体"/>
          <w:color w:val="auto"/>
        </w:rPr>
      </w:pPr>
      <w:r>
        <w:rPr>
          <w:rFonts w:ascii="宋体" w:hAnsi="宋体" w:cs="宋体"/>
          <w:color w:val="auto"/>
        </w:rPr>
        <w:t xml:space="preserve">   </w:t>
      </w:r>
    </w:p>
    <w:p>
      <w:pPr>
        <w:pStyle w:val="21"/>
        <w:jc w:val="both"/>
        <w:rPr>
          <w:rFonts w:hint="eastAsia" w:ascii="宋体" w:hAnsi="宋体" w:cs="宋体"/>
          <w:color w:val="auto"/>
        </w:rPr>
      </w:pPr>
    </w:p>
    <w:p>
      <w:pPr>
        <w:pStyle w:val="21"/>
        <w:jc w:val="both"/>
        <w:rPr>
          <w:rFonts w:hint="eastAsia" w:ascii="宋体" w:hAnsi="宋体" w:cs="宋体"/>
          <w:color w:val="auto"/>
        </w:rPr>
      </w:pPr>
    </w:p>
    <w:p>
      <w:pPr>
        <w:pStyle w:val="21"/>
        <w:jc w:val="both"/>
        <w:rPr>
          <w:rFonts w:hint="eastAsia" w:ascii="宋体" w:hAnsi="宋体" w:cs="宋体"/>
          <w:color w:val="auto"/>
        </w:rPr>
      </w:pPr>
    </w:p>
    <w:p>
      <w:pPr>
        <w:pStyle w:val="21"/>
        <w:jc w:val="both"/>
        <w:rPr>
          <w:rFonts w:hint="eastAsia" w:ascii="宋体" w:hAnsi="宋体" w:cs="宋体"/>
          <w:color w:val="auto"/>
        </w:rPr>
      </w:pPr>
      <w:r>
        <w:rPr>
          <w:rFonts w:hint="eastAsia" w:ascii="宋体" w:hAnsi="宋体" w:cs="宋体"/>
          <w:color w:val="auto"/>
        </w:rPr>
        <w:t xml:space="preserve">           第六章 竞争性谈判响应文件（格式）</w:t>
      </w:r>
      <w:bookmarkEnd w:id="60"/>
    </w:p>
    <w:p>
      <w:pPr>
        <w:spacing w:line="240" w:lineRule="atLeast"/>
        <w:rPr>
          <w:rFonts w:hint="eastAsia" w:ascii="宋体" w:hAnsi="宋体" w:cs="宋体"/>
          <w:b/>
          <w:color w:val="auto"/>
          <w:sz w:val="32"/>
          <w:szCs w:val="32"/>
        </w:rPr>
      </w:pPr>
    </w:p>
    <w:p>
      <w:pPr>
        <w:pStyle w:val="7"/>
        <w:rPr>
          <w:rFonts w:hint="eastAsia"/>
          <w:color w:val="auto"/>
        </w:rPr>
      </w:pPr>
    </w:p>
    <w:p>
      <w:pPr>
        <w:spacing w:line="240" w:lineRule="atLeast"/>
        <w:jc w:val="center"/>
        <w:rPr>
          <w:rFonts w:hint="eastAsia" w:ascii="宋体" w:hAnsi="宋体" w:cs="宋体"/>
          <w:b/>
          <w:color w:val="auto"/>
          <w:sz w:val="32"/>
          <w:szCs w:val="32"/>
        </w:rPr>
      </w:pPr>
      <w:r>
        <w:rPr>
          <w:rFonts w:hint="eastAsia" w:ascii="宋体" w:hAnsi="宋体" w:cs="宋体"/>
          <w:b/>
          <w:color w:val="auto"/>
          <w:sz w:val="32"/>
          <w:szCs w:val="32"/>
        </w:rPr>
        <w:t xml:space="preserve">竞 争 性 谈 判 响 应 文 件 </w:t>
      </w:r>
      <w:r>
        <w:rPr>
          <w:rFonts w:hint="eastAsia" w:ascii="宋体" w:hAnsi="宋体" w:cs="宋体"/>
          <w:color w:val="auto"/>
        </w:rPr>
        <w:t>(封面)</w:t>
      </w:r>
    </w:p>
    <w:p>
      <w:pPr>
        <w:spacing w:line="360" w:lineRule="auto"/>
        <w:jc w:val="center"/>
        <w:rPr>
          <w:rFonts w:hint="eastAsia" w:ascii="宋体" w:hAnsi="宋体" w:cs="宋体"/>
          <w:color w:val="auto"/>
        </w:rPr>
      </w:pPr>
    </w:p>
    <w:p>
      <w:pPr>
        <w:spacing w:line="360" w:lineRule="auto"/>
        <w:jc w:val="center"/>
        <w:rPr>
          <w:rFonts w:hint="eastAsia" w:ascii="宋体" w:hAnsi="宋体" w:cs="宋体"/>
          <w:color w:val="auto"/>
        </w:rPr>
      </w:pPr>
    </w:p>
    <w:p>
      <w:pPr>
        <w:snapToGrid w:val="0"/>
        <w:spacing w:before="156" w:beforeLines="50" w:after="50"/>
        <w:ind w:firstLine="360" w:firstLineChars="150"/>
        <w:rPr>
          <w:rFonts w:hint="eastAsia" w:ascii="宋体" w:hAnsi="宋体" w:cs="宋体"/>
          <w:bCs/>
          <w:color w:val="auto"/>
          <w:sz w:val="24"/>
        </w:rPr>
      </w:pPr>
      <w:r>
        <w:rPr>
          <w:rFonts w:hint="eastAsia" w:ascii="宋体" w:hAnsi="宋体" w:cs="宋体"/>
          <w:bCs/>
          <w:color w:val="auto"/>
          <w:sz w:val="24"/>
        </w:rPr>
        <w:t>项目名称：××××</w:t>
      </w:r>
    </w:p>
    <w:p>
      <w:pPr>
        <w:snapToGrid w:val="0"/>
        <w:spacing w:before="156" w:beforeLines="50" w:after="50"/>
        <w:ind w:firstLine="360" w:firstLineChars="150"/>
        <w:rPr>
          <w:rFonts w:hint="eastAsia" w:ascii="宋体" w:hAnsi="宋体" w:cs="宋体"/>
          <w:bCs/>
          <w:color w:val="auto"/>
          <w:sz w:val="24"/>
          <w:szCs w:val="20"/>
        </w:rPr>
      </w:pPr>
    </w:p>
    <w:p>
      <w:pPr>
        <w:snapToGrid w:val="0"/>
        <w:spacing w:before="156" w:beforeLines="50" w:after="50"/>
        <w:ind w:firstLine="360" w:firstLineChars="150"/>
        <w:rPr>
          <w:rFonts w:hint="eastAsia" w:ascii="宋体" w:hAnsi="宋体" w:cs="宋体"/>
          <w:bCs/>
          <w:color w:val="auto"/>
          <w:sz w:val="24"/>
        </w:rPr>
      </w:pPr>
      <w:r>
        <w:rPr>
          <w:rFonts w:hint="eastAsia" w:ascii="宋体" w:hAnsi="宋体" w:cs="宋体"/>
          <w:bCs/>
          <w:color w:val="auto"/>
          <w:sz w:val="24"/>
        </w:rPr>
        <w:t>项目编号：×××</w:t>
      </w:r>
    </w:p>
    <w:p>
      <w:pPr>
        <w:snapToGrid w:val="0"/>
        <w:spacing w:before="156" w:beforeLines="50" w:after="50"/>
        <w:ind w:firstLine="360" w:firstLineChars="150"/>
        <w:rPr>
          <w:rFonts w:hint="eastAsia" w:ascii="宋体" w:hAnsi="宋体" w:cs="宋体"/>
          <w:bCs/>
          <w:color w:val="auto"/>
          <w:sz w:val="24"/>
          <w:szCs w:val="20"/>
        </w:rPr>
      </w:pPr>
    </w:p>
    <w:p>
      <w:pPr>
        <w:pStyle w:val="8"/>
        <w:snapToGrid w:val="0"/>
        <w:spacing w:before="50" w:after="50"/>
        <w:ind w:firstLine="360" w:firstLineChars="150"/>
        <w:rPr>
          <w:rFonts w:hint="eastAsia" w:ascii="宋体" w:hAnsi="宋体" w:cs="宋体"/>
          <w:bCs/>
          <w:color w:val="auto"/>
          <w:sz w:val="24"/>
        </w:rPr>
      </w:pPr>
    </w:p>
    <w:p>
      <w:pPr>
        <w:pStyle w:val="8"/>
        <w:snapToGrid w:val="0"/>
        <w:spacing w:before="50" w:after="50"/>
        <w:ind w:firstLine="360" w:firstLineChars="150"/>
        <w:rPr>
          <w:rFonts w:hint="eastAsia" w:ascii="宋体" w:hAnsi="宋体" w:cs="宋体"/>
          <w:bCs/>
          <w:color w:val="auto"/>
          <w:sz w:val="24"/>
        </w:rPr>
      </w:pPr>
      <w:r>
        <w:rPr>
          <w:rFonts w:hint="eastAsia" w:ascii="宋体" w:hAnsi="宋体" w:cs="宋体"/>
          <w:bCs/>
          <w:color w:val="auto"/>
          <w:sz w:val="24"/>
        </w:rPr>
        <w:t>供应商名称：××××</w:t>
      </w:r>
    </w:p>
    <w:p>
      <w:pPr>
        <w:pStyle w:val="8"/>
        <w:snapToGrid w:val="0"/>
        <w:spacing w:before="50" w:after="50"/>
        <w:ind w:firstLine="360" w:firstLineChars="150"/>
        <w:rPr>
          <w:rFonts w:hint="eastAsia" w:ascii="宋体" w:hAnsi="宋体" w:cs="宋体"/>
          <w:bCs/>
          <w:color w:val="auto"/>
          <w:sz w:val="24"/>
        </w:rPr>
      </w:pPr>
    </w:p>
    <w:p>
      <w:pPr>
        <w:pStyle w:val="8"/>
        <w:snapToGrid w:val="0"/>
        <w:spacing w:before="50" w:after="50"/>
        <w:ind w:firstLine="360" w:firstLineChars="150"/>
        <w:rPr>
          <w:rFonts w:hint="eastAsia" w:ascii="宋体" w:hAnsi="宋体" w:cs="宋体"/>
          <w:bCs/>
          <w:color w:val="auto"/>
          <w:sz w:val="24"/>
        </w:rPr>
      </w:pPr>
      <w:r>
        <w:rPr>
          <w:rFonts w:hint="eastAsia" w:ascii="宋体" w:hAnsi="宋体" w:cs="宋体"/>
          <w:bCs/>
          <w:color w:val="auto"/>
          <w:sz w:val="24"/>
        </w:rPr>
        <w:t>供应商地址：××××</w:t>
      </w:r>
    </w:p>
    <w:p>
      <w:pPr>
        <w:pStyle w:val="8"/>
        <w:snapToGrid w:val="0"/>
        <w:spacing w:before="50" w:after="50"/>
        <w:ind w:firstLine="360" w:firstLineChars="150"/>
        <w:rPr>
          <w:rFonts w:hint="eastAsia" w:ascii="宋体" w:hAnsi="宋体" w:cs="宋体"/>
          <w:bCs/>
          <w:color w:val="auto"/>
          <w:sz w:val="24"/>
        </w:rPr>
      </w:pPr>
    </w:p>
    <w:p>
      <w:pPr>
        <w:pStyle w:val="8"/>
        <w:snapToGrid w:val="0"/>
        <w:spacing w:before="50" w:after="50"/>
        <w:ind w:firstLine="360" w:firstLineChars="150"/>
        <w:rPr>
          <w:rFonts w:hint="eastAsia" w:ascii="宋体" w:hAnsi="宋体" w:cs="宋体"/>
          <w:bCs/>
          <w:color w:val="auto"/>
          <w:sz w:val="24"/>
        </w:rPr>
      </w:pPr>
    </w:p>
    <w:p>
      <w:pPr>
        <w:pStyle w:val="8"/>
        <w:snapToGrid w:val="0"/>
        <w:spacing w:before="50" w:after="50"/>
        <w:ind w:firstLine="360" w:firstLineChars="150"/>
        <w:rPr>
          <w:rFonts w:hint="eastAsia" w:ascii="宋体" w:hAnsi="宋体" w:cs="宋体"/>
          <w:bCs/>
          <w:color w:val="auto"/>
          <w:sz w:val="24"/>
        </w:rPr>
      </w:pPr>
    </w:p>
    <w:p>
      <w:pPr>
        <w:snapToGrid w:val="0"/>
        <w:spacing w:before="156" w:beforeLines="50" w:after="50"/>
        <w:ind w:firstLine="4080" w:firstLineChars="1700"/>
        <w:rPr>
          <w:rFonts w:hint="eastAsia" w:ascii="宋体" w:hAnsi="宋体" w:cs="宋体"/>
          <w:bCs/>
          <w:color w:val="auto"/>
          <w:sz w:val="24"/>
          <w:szCs w:val="20"/>
        </w:rPr>
      </w:pPr>
    </w:p>
    <w:p>
      <w:pPr>
        <w:snapToGrid w:val="0"/>
        <w:spacing w:before="156" w:beforeLines="50" w:after="50"/>
        <w:ind w:firstLine="645"/>
        <w:jc w:val="center"/>
        <w:rPr>
          <w:rFonts w:hint="eastAsia" w:ascii="宋体" w:hAnsi="宋体" w:cs="宋体"/>
          <w:bCs/>
          <w:color w:val="auto"/>
          <w:sz w:val="24"/>
          <w:szCs w:val="20"/>
        </w:rPr>
      </w:pPr>
      <w:r>
        <w:rPr>
          <w:rFonts w:hint="eastAsia" w:ascii="宋体" w:hAnsi="宋体" w:cs="宋体"/>
          <w:bCs/>
          <w:color w:val="auto"/>
          <w:sz w:val="24"/>
        </w:rPr>
        <w:t xml:space="preserve">                        ××××年××月××日</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8"/>
        <w:rPr>
          <w:rFonts w:hint="eastAsia"/>
          <w:color w:val="auto"/>
        </w:rPr>
      </w:pPr>
    </w:p>
    <w:p>
      <w:pPr>
        <w:spacing w:line="300" w:lineRule="auto"/>
        <w:rPr>
          <w:rFonts w:hint="eastAsia" w:ascii="宋体" w:hAnsi="宋体" w:cs="宋体"/>
          <w:color w:val="auto"/>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目录</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（1）谈判书；</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（2）谈判报价表；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（3）分项报价表；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（4）商务及技术响应、偏离情况说明表；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售后服务方案</w:t>
      </w:r>
      <w:r>
        <w:rPr>
          <w:rFonts w:hint="eastAsia" w:ascii="宋体" w:hAnsi="宋体" w:cs="宋体"/>
          <w:color w:val="auto"/>
          <w:sz w:val="22"/>
          <w:szCs w:val="22"/>
        </w:rPr>
        <w:t>；</w:t>
      </w:r>
    </w:p>
    <w:p>
      <w:pPr>
        <w:spacing w:line="42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（6）供应商资格证明文件（按本须知第12条要求提供）</w:t>
      </w:r>
      <w:r>
        <w:rPr>
          <w:rFonts w:hint="eastAsia" w:ascii="宋体" w:hAnsi="宋体" w:cs="宋体"/>
          <w:color w:val="auto"/>
          <w:sz w:val="22"/>
          <w:szCs w:val="22"/>
          <w:lang w:eastAsia="zh-CN"/>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w:t>
      </w:r>
      <w:r>
        <w:rPr>
          <w:rFonts w:hint="eastAsia" w:ascii="宋体" w:hAnsi="宋体" w:cs="宋体"/>
          <w:color w:val="auto"/>
          <w:sz w:val="22"/>
          <w:szCs w:val="22"/>
          <w:lang w:eastAsia="zh-CN"/>
        </w:rPr>
        <w:t>服务</w:t>
      </w:r>
      <w:r>
        <w:rPr>
          <w:rFonts w:hint="eastAsia" w:ascii="宋体" w:hAnsi="宋体" w:cs="宋体"/>
          <w:color w:val="auto"/>
          <w:sz w:val="22"/>
          <w:szCs w:val="22"/>
        </w:rPr>
        <w:t>合格证明文件（按本须知第13条要求提供）；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（8）供应商必须提供的其他材料。</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8"/>
        <w:rPr>
          <w:rFonts w:hint="eastAsia" w:ascii="宋体" w:hAnsi="宋体" w:cs="宋体"/>
          <w:color w:val="auto"/>
        </w:rPr>
      </w:pPr>
    </w:p>
    <w:p>
      <w:pPr>
        <w:pStyle w:val="8"/>
        <w:rPr>
          <w:rFonts w:hint="eastAsia" w:ascii="宋体" w:hAnsi="宋体" w:cs="宋体"/>
          <w:color w:val="auto"/>
        </w:rPr>
      </w:pPr>
    </w:p>
    <w:p>
      <w:pPr>
        <w:pStyle w:val="8"/>
        <w:rPr>
          <w:rFonts w:hint="eastAsia" w:ascii="宋体" w:hAnsi="宋体" w:cs="宋体"/>
          <w:color w:val="auto"/>
        </w:rPr>
      </w:pPr>
    </w:p>
    <w:p>
      <w:pPr>
        <w:pStyle w:val="8"/>
        <w:rPr>
          <w:rFonts w:hint="eastAsia" w:ascii="宋体" w:hAnsi="宋体" w:cs="宋体"/>
          <w:color w:val="auto"/>
        </w:rPr>
      </w:pPr>
    </w:p>
    <w:p>
      <w:pPr>
        <w:pStyle w:val="8"/>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20" w:lineRule="exact"/>
        <w:jc w:val="center"/>
        <w:rPr>
          <w:rFonts w:hint="eastAsia" w:ascii="宋体" w:hAnsi="宋体" w:cs="宋体"/>
          <w:b/>
          <w:color w:val="auto"/>
          <w:sz w:val="32"/>
          <w:szCs w:val="32"/>
        </w:rPr>
      </w:pPr>
      <w:r>
        <w:rPr>
          <w:rFonts w:hint="eastAsia" w:ascii="宋体" w:hAnsi="宋体" w:cs="宋体"/>
          <w:b/>
          <w:color w:val="auto"/>
          <w:sz w:val="32"/>
          <w:szCs w:val="32"/>
        </w:rPr>
        <w:t>一、谈  判  书（格式）</w:t>
      </w:r>
    </w:p>
    <w:p>
      <w:pPr>
        <w:spacing w:line="320" w:lineRule="exact"/>
        <w:jc w:val="center"/>
        <w:rPr>
          <w:rFonts w:hint="eastAsia" w:ascii="宋体" w:hAnsi="宋体" w:cs="宋体"/>
          <w:b/>
          <w:color w:val="auto"/>
          <w:sz w:val="32"/>
          <w:szCs w:val="32"/>
        </w:rPr>
      </w:pPr>
    </w:p>
    <w:p>
      <w:pPr>
        <w:pStyle w:val="13"/>
        <w:spacing w:line="320" w:lineRule="exact"/>
        <w:rPr>
          <w:rFonts w:hint="eastAsia" w:hAnsi="宋体" w:cs="宋体"/>
          <w:color w:val="auto"/>
          <w:sz w:val="22"/>
          <w:szCs w:val="22"/>
        </w:rPr>
      </w:pPr>
      <w:r>
        <w:rPr>
          <w:rFonts w:hint="eastAsia" w:hAnsi="宋体" w:cs="宋体"/>
          <w:color w:val="auto"/>
          <w:sz w:val="22"/>
          <w:szCs w:val="22"/>
          <w:u w:val="single"/>
        </w:rPr>
        <w:t>(采购代理机构)</w:t>
      </w:r>
      <w:r>
        <w:rPr>
          <w:rFonts w:hint="eastAsia" w:hAnsi="宋体" w:cs="宋体"/>
          <w:color w:val="auto"/>
          <w:sz w:val="22"/>
          <w:szCs w:val="22"/>
        </w:rPr>
        <w:t>：</w:t>
      </w:r>
    </w:p>
    <w:p>
      <w:pPr>
        <w:pStyle w:val="13"/>
        <w:spacing w:line="320" w:lineRule="exact"/>
        <w:ind w:firstLine="480"/>
        <w:rPr>
          <w:rFonts w:hint="eastAsia" w:hAnsi="宋体" w:cs="宋体"/>
          <w:color w:val="auto"/>
          <w:sz w:val="22"/>
          <w:szCs w:val="22"/>
        </w:rPr>
      </w:pPr>
      <w:r>
        <w:rPr>
          <w:rFonts w:hint="eastAsia" w:hAnsi="宋体" w:cs="宋体"/>
          <w:color w:val="auto"/>
          <w:sz w:val="22"/>
          <w:szCs w:val="22"/>
        </w:rPr>
        <w:t>依据贵方</w:t>
      </w:r>
      <w:r>
        <w:rPr>
          <w:rFonts w:hint="eastAsia" w:hAnsi="宋体" w:cs="宋体"/>
          <w:color w:val="auto"/>
          <w:sz w:val="22"/>
          <w:szCs w:val="22"/>
          <w:u w:val="single"/>
        </w:rPr>
        <w:t>（项目名称/文件编号）</w:t>
      </w:r>
      <w:r>
        <w:rPr>
          <w:rFonts w:hint="eastAsia" w:hAnsi="宋体" w:cs="宋体"/>
          <w:color w:val="auto"/>
          <w:sz w:val="22"/>
          <w:szCs w:val="22"/>
        </w:rPr>
        <w:t>项目政府采购的竞争性谈判采购条件书，我方</w:t>
      </w:r>
      <w:r>
        <w:rPr>
          <w:rFonts w:hint="eastAsia" w:hAnsi="宋体" w:cs="宋体"/>
          <w:color w:val="auto"/>
          <w:sz w:val="22"/>
          <w:szCs w:val="22"/>
          <w:u w:val="single"/>
        </w:rPr>
        <w:t>（姓名和职务）</w:t>
      </w:r>
      <w:r>
        <w:rPr>
          <w:rFonts w:hint="eastAsia" w:hAnsi="宋体" w:cs="宋体"/>
          <w:color w:val="auto"/>
          <w:sz w:val="22"/>
          <w:szCs w:val="22"/>
        </w:rPr>
        <w:t>经正式授权并代表谈判供应商</w:t>
      </w:r>
      <w:r>
        <w:rPr>
          <w:rFonts w:hint="eastAsia" w:hAnsi="宋体" w:cs="宋体"/>
          <w:color w:val="auto"/>
          <w:sz w:val="22"/>
          <w:szCs w:val="22"/>
          <w:u w:val="single"/>
        </w:rPr>
        <w:t>（谈判供应商名称、地址）</w:t>
      </w:r>
      <w:r>
        <w:rPr>
          <w:rFonts w:hint="eastAsia" w:hAnsi="宋体" w:cs="宋体"/>
          <w:color w:val="auto"/>
          <w:sz w:val="22"/>
          <w:szCs w:val="22"/>
        </w:rPr>
        <w:t>提交下述竞争性谈判响应文件价格文件及</w:t>
      </w:r>
      <w:r>
        <w:rPr>
          <w:rFonts w:hint="eastAsia" w:hAnsi="宋体" w:cs="宋体"/>
          <w:color w:val="auto"/>
        </w:rPr>
        <w:t>商务技术文件</w:t>
      </w:r>
      <w:r>
        <w:rPr>
          <w:rFonts w:hint="eastAsia" w:hAnsi="宋体" w:cs="宋体"/>
          <w:color w:val="auto"/>
          <w:sz w:val="22"/>
          <w:szCs w:val="22"/>
        </w:rPr>
        <w:t>正本各壹份，副本各</w:t>
      </w:r>
      <w:r>
        <w:rPr>
          <w:rFonts w:hint="eastAsia" w:hAnsi="宋体" w:cs="宋体"/>
          <w:color w:val="auto"/>
          <w:sz w:val="22"/>
          <w:szCs w:val="22"/>
          <w:u w:val="single"/>
        </w:rPr>
        <w:t xml:space="preserve"> 肆  </w:t>
      </w:r>
      <w:r>
        <w:rPr>
          <w:rFonts w:hint="eastAsia" w:hAnsi="宋体" w:cs="宋体"/>
          <w:color w:val="auto"/>
          <w:sz w:val="22"/>
          <w:szCs w:val="22"/>
        </w:rPr>
        <w:t>份。</w:t>
      </w:r>
    </w:p>
    <w:p>
      <w:pPr>
        <w:pStyle w:val="13"/>
        <w:spacing w:line="320" w:lineRule="exact"/>
        <w:rPr>
          <w:rFonts w:hint="eastAsia" w:hAnsi="宋体" w:cs="宋体"/>
          <w:color w:val="auto"/>
          <w:sz w:val="22"/>
          <w:szCs w:val="22"/>
        </w:rPr>
      </w:pPr>
      <w:r>
        <w:rPr>
          <w:rFonts w:hint="eastAsia" w:hAnsi="宋体" w:cs="宋体"/>
          <w:color w:val="auto"/>
          <w:sz w:val="22"/>
          <w:szCs w:val="22"/>
        </w:rPr>
        <w:t>（1）谈判书；</w:t>
      </w:r>
    </w:p>
    <w:p>
      <w:pPr>
        <w:pStyle w:val="13"/>
        <w:spacing w:line="320" w:lineRule="exact"/>
        <w:rPr>
          <w:rFonts w:hint="eastAsia" w:hAnsi="宋体" w:cs="宋体"/>
          <w:color w:val="auto"/>
          <w:sz w:val="22"/>
          <w:szCs w:val="22"/>
        </w:rPr>
      </w:pPr>
      <w:r>
        <w:rPr>
          <w:rFonts w:hint="eastAsia" w:hAnsi="宋体" w:cs="宋体"/>
          <w:color w:val="auto"/>
          <w:sz w:val="22"/>
          <w:szCs w:val="22"/>
        </w:rPr>
        <w:t>（2）谈判报价表；</w:t>
      </w:r>
    </w:p>
    <w:p>
      <w:pPr>
        <w:pStyle w:val="13"/>
        <w:spacing w:line="320" w:lineRule="exact"/>
        <w:rPr>
          <w:rFonts w:hint="eastAsia" w:hAnsi="宋体" w:cs="宋体"/>
          <w:color w:val="auto"/>
          <w:sz w:val="22"/>
          <w:szCs w:val="22"/>
        </w:rPr>
      </w:pPr>
      <w:r>
        <w:rPr>
          <w:rFonts w:hint="eastAsia" w:hAnsi="宋体" w:cs="宋体"/>
          <w:color w:val="auto"/>
          <w:sz w:val="22"/>
          <w:szCs w:val="22"/>
        </w:rPr>
        <w:t>（3）分项报价表；</w:t>
      </w:r>
    </w:p>
    <w:p>
      <w:pPr>
        <w:pStyle w:val="13"/>
        <w:spacing w:line="320" w:lineRule="exact"/>
        <w:rPr>
          <w:rFonts w:hint="eastAsia" w:hAnsi="宋体" w:cs="宋体"/>
          <w:color w:val="auto"/>
          <w:sz w:val="22"/>
          <w:szCs w:val="22"/>
        </w:rPr>
      </w:pPr>
      <w:r>
        <w:rPr>
          <w:rFonts w:hint="eastAsia" w:hAnsi="宋体" w:cs="宋体"/>
          <w:color w:val="auto"/>
          <w:sz w:val="22"/>
          <w:szCs w:val="22"/>
        </w:rPr>
        <w:t>（4）商务及技术响应、偏离情况说明表；</w:t>
      </w:r>
    </w:p>
    <w:p>
      <w:pPr>
        <w:pStyle w:val="13"/>
        <w:spacing w:line="320" w:lineRule="exact"/>
        <w:rPr>
          <w:rFonts w:hint="eastAsia"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eastAsia="zh-CN"/>
        </w:rPr>
        <w:t>售后服务方案</w:t>
      </w:r>
      <w:r>
        <w:rPr>
          <w:rFonts w:hint="eastAsia" w:hAnsi="宋体" w:cs="宋体"/>
          <w:color w:val="auto"/>
          <w:sz w:val="22"/>
          <w:szCs w:val="22"/>
        </w:rPr>
        <w:t>；</w:t>
      </w:r>
    </w:p>
    <w:p>
      <w:pPr>
        <w:pStyle w:val="13"/>
        <w:spacing w:line="320" w:lineRule="exact"/>
        <w:rPr>
          <w:rFonts w:hint="eastAsia" w:hAnsi="宋体" w:cs="宋体"/>
          <w:color w:val="auto"/>
          <w:sz w:val="22"/>
          <w:szCs w:val="22"/>
        </w:rPr>
      </w:pPr>
      <w:r>
        <w:rPr>
          <w:rFonts w:hint="eastAsia" w:hAnsi="宋体" w:cs="宋体"/>
          <w:color w:val="auto"/>
          <w:sz w:val="22"/>
          <w:szCs w:val="22"/>
        </w:rPr>
        <w:t>（6）供应商资格证明文件（按本须知第12条要求提供）；</w:t>
      </w:r>
    </w:p>
    <w:p>
      <w:pPr>
        <w:pStyle w:val="13"/>
        <w:spacing w:line="320" w:lineRule="exact"/>
        <w:rPr>
          <w:rFonts w:hint="eastAsia" w:hAnsi="宋体" w:eastAsia="宋体" w:cs="宋体"/>
          <w:color w:val="auto"/>
          <w:sz w:val="22"/>
          <w:szCs w:val="22"/>
          <w:lang w:eastAsia="zh-CN"/>
        </w:rPr>
      </w:pPr>
      <w:r>
        <w:rPr>
          <w:rFonts w:hint="eastAsia" w:hAnsi="宋体" w:cs="宋体"/>
          <w:color w:val="auto"/>
          <w:sz w:val="22"/>
          <w:szCs w:val="22"/>
        </w:rPr>
        <w:t>（7）</w:t>
      </w:r>
      <w:r>
        <w:rPr>
          <w:rFonts w:hint="eastAsia" w:hAnsi="宋体" w:cs="宋体"/>
          <w:color w:val="auto"/>
          <w:sz w:val="22"/>
          <w:szCs w:val="22"/>
          <w:lang w:eastAsia="zh-CN"/>
        </w:rPr>
        <w:t>服务</w:t>
      </w:r>
      <w:r>
        <w:rPr>
          <w:rFonts w:hint="eastAsia" w:hAnsi="宋体" w:cs="宋体"/>
          <w:color w:val="auto"/>
          <w:sz w:val="22"/>
          <w:szCs w:val="22"/>
        </w:rPr>
        <w:t>合格证明文件（按本须知第13条要求提供）</w:t>
      </w:r>
      <w:r>
        <w:rPr>
          <w:rFonts w:hint="eastAsia" w:hAnsi="宋体" w:cs="宋体"/>
          <w:color w:val="auto"/>
          <w:sz w:val="22"/>
          <w:szCs w:val="22"/>
          <w:lang w:eastAsia="zh-CN"/>
        </w:rPr>
        <w:t>。</w:t>
      </w:r>
    </w:p>
    <w:p>
      <w:pPr>
        <w:pStyle w:val="13"/>
        <w:spacing w:line="320" w:lineRule="exact"/>
        <w:ind w:firstLine="220" w:firstLineChars="100"/>
        <w:rPr>
          <w:rFonts w:hint="eastAsia" w:hAnsi="宋体" w:cs="宋体"/>
          <w:color w:val="auto"/>
          <w:sz w:val="22"/>
          <w:szCs w:val="22"/>
        </w:rPr>
      </w:pPr>
      <w:r>
        <w:rPr>
          <w:rFonts w:hint="eastAsia" w:hAnsi="宋体" w:cs="宋体"/>
          <w:color w:val="auto"/>
          <w:sz w:val="22"/>
          <w:szCs w:val="22"/>
        </w:rPr>
        <w:t>在此，授权代表宣布同意如下：</w:t>
      </w:r>
    </w:p>
    <w:p>
      <w:pPr>
        <w:pStyle w:val="13"/>
        <w:spacing w:line="320" w:lineRule="exact"/>
        <w:ind w:firstLine="480"/>
        <w:rPr>
          <w:rFonts w:hint="eastAsia" w:hAnsi="宋体" w:cs="宋体"/>
          <w:color w:val="auto"/>
          <w:sz w:val="22"/>
          <w:szCs w:val="22"/>
        </w:rPr>
      </w:pPr>
      <w:r>
        <w:rPr>
          <w:rFonts w:hint="eastAsia" w:hAnsi="宋体" w:cs="宋体"/>
          <w:color w:val="auto"/>
          <w:sz w:val="22"/>
          <w:szCs w:val="22"/>
        </w:rPr>
        <w:t>1.将按竞争性谈判文件的约定履行合同责任和义务；</w:t>
      </w:r>
    </w:p>
    <w:p>
      <w:pPr>
        <w:pStyle w:val="13"/>
        <w:spacing w:line="320" w:lineRule="exact"/>
        <w:ind w:firstLine="480"/>
        <w:rPr>
          <w:rFonts w:hint="eastAsia" w:hAnsi="宋体" w:cs="宋体"/>
          <w:color w:val="auto"/>
          <w:sz w:val="22"/>
          <w:szCs w:val="22"/>
        </w:rPr>
      </w:pPr>
      <w:r>
        <w:rPr>
          <w:rFonts w:hint="eastAsia" w:hAnsi="宋体" w:cs="宋体"/>
          <w:color w:val="auto"/>
          <w:sz w:val="22"/>
          <w:szCs w:val="22"/>
        </w:rPr>
        <w:t>2.已详细审查全部竞争性谈判文件，包括</w:t>
      </w:r>
      <w:r>
        <w:rPr>
          <w:rFonts w:hint="eastAsia" w:hAnsi="宋体" w:cs="宋体"/>
          <w:color w:val="auto"/>
          <w:sz w:val="22"/>
          <w:szCs w:val="22"/>
          <w:u w:val="single"/>
        </w:rPr>
        <w:t>（补遗文件）（如果有的话）</w:t>
      </w:r>
      <w:r>
        <w:rPr>
          <w:rFonts w:hint="eastAsia" w:hAnsi="宋体" w:cs="宋体"/>
          <w:color w:val="auto"/>
          <w:sz w:val="22"/>
          <w:szCs w:val="22"/>
        </w:rPr>
        <w:t>；我们完全理解并同意放弃对这方面有不明及误解的权力；</w:t>
      </w:r>
    </w:p>
    <w:p>
      <w:pPr>
        <w:pStyle w:val="13"/>
        <w:spacing w:line="320" w:lineRule="exact"/>
        <w:ind w:left="840" w:hanging="360"/>
        <w:rPr>
          <w:rFonts w:hint="eastAsia" w:hAnsi="宋体" w:cs="宋体"/>
          <w:color w:val="auto"/>
          <w:sz w:val="22"/>
          <w:szCs w:val="22"/>
        </w:rPr>
      </w:pPr>
      <w:r>
        <w:rPr>
          <w:rFonts w:hint="eastAsia" w:hAnsi="宋体" w:cs="宋体"/>
          <w:color w:val="auto"/>
          <w:sz w:val="22"/>
          <w:szCs w:val="22"/>
        </w:rPr>
        <w:t>3.同意提供按照贵方可能要求的与其谈判有关的一切数据或资料；</w:t>
      </w:r>
    </w:p>
    <w:p>
      <w:pPr>
        <w:pStyle w:val="13"/>
        <w:spacing w:line="320" w:lineRule="exact"/>
        <w:ind w:firstLine="480"/>
        <w:rPr>
          <w:rFonts w:hint="eastAsia" w:hAnsi="宋体" w:cs="宋体"/>
          <w:color w:val="auto"/>
          <w:sz w:val="22"/>
          <w:szCs w:val="22"/>
          <w:u w:val="single"/>
        </w:rPr>
      </w:pPr>
      <w:r>
        <w:rPr>
          <w:rFonts w:hint="eastAsia" w:hAnsi="宋体" w:cs="宋体"/>
          <w:color w:val="auto"/>
          <w:sz w:val="22"/>
          <w:szCs w:val="22"/>
        </w:rPr>
        <w:t>4.与本谈判有关的一切正式往来信函请寄：</w:t>
      </w:r>
      <w:r>
        <w:rPr>
          <w:rFonts w:hint="eastAsia" w:hAnsi="宋体" w:cs="宋体"/>
          <w:color w:val="auto"/>
          <w:sz w:val="22"/>
          <w:szCs w:val="22"/>
          <w:u w:val="single"/>
        </w:rPr>
        <w:t xml:space="preserve">                       </w:t>
      </w:r>
    </w:p>
    <w:p>
      <w:pPr>
        <w:pStyle w:val="13"/>
        <w:spacing w:line="320" w:lineRule="exact"/>
        <w:ind w:firstLine="752" w:firstLineChars="342"/>
        <w:rPr>
          <w:rFonts w:hint="eastAsia" w:hAnsi="宋体" w:cs="宋体"/>
          <w:color w:val="auto"/>
          <w:sz w:val="22"/>
          <w:szCs w:val="22"/>
        </w:rPr>
      </w:pPr>
      <w:r>
        <w:rPr>
          <w:rFonts w:hint="eastAsia" w:hAnsi="宋体" w:cs="宋体"/>
          <w:color w:val="auto"/>
          <w:sz w:val="22"/>
          <w:szCs w:val="22"/>
        </w:rPr>
        <w:t>电话/传真：</w:t>
      </w:r>
      <w:r>
        <w:rPr>
          <w:rFonts w:hint="eastAsia" w:hAnsi="宋体" w:cs="宋体"/>
          <w:color w:val="auto"/>
          <w:sz w:val="22"/>
          <w:szCs w:val="22"/>
          <w:u w:val="single"/>
        </w:rPr>
        <w:t xml:space="preserve">                        </w:t>
      </w:r>
      <w:r>
        <w:rPr>
          <w:rFonts w:hint="eastAsia" w:hAnsi="宋体" w:cs="宋体"/>
          <w:color w:val="auto"/>
          <w:sz w:val="22"/>
          <w:szCs w:val="22"/>
        </w:rPr>
        <w:t xml:space="preserve"> 电子函件：</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3"/>
        <w:spacing w:line="320" w:lineRule="exact"/>
        <w:ind w:firstLine="752" w:firstLineChars="342"/>
        <w:rPr>
          <w:rFonts w:hint="eastAsia" w:hAnsi="宋体" w:cs="宋体"/>
          <w:color w:val="auto"/>
          <w:sz w:val="22"/>
          <w:szCs w:val="22"/>
          <w:u w:val="single"/>
        </w:rPr>
      </w:pPr>
      <w:r>
        <w:rPr>
          <w:rFonts w:hint="eastAsia" w:hAnsi="宋体" w:cs="宋体"/>
          <w:color w:val="auto"/>
          <w:sz w:val="22"/>
          <w:szCs w:val="22"/>
        </w:rPr>
        <w:t>日期：</w:t>
      </w: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pStyle w:val="13"/>
        <w:spacing w:line="320" w:lineRule="exact"/>
        <w:ind w:firstLine="752" w:firstLineChars="342"/>
        <w:rPr>
          <w:rFonts w:hint="eastAsia" w:hAnsi="宋体" w:cs="宋体"/>
          <w:color w:val="auto"/>
          <w:sz w:val="22"/>
          <w:szCs w:val="22"/>
          <w:u w:val="single"/>
        </w:rPr>
      </w:pPr>
      <w:r>
        <w:rPr>
          <w:rFonts w:hint="eastAsia" w:hAnsi="宋体" w:cs="宋体"/>
          <w:color w:val="auto"/>
          <w:sz w:val="22"/>
          <w:szCs w:val="22"/>
        </w:rPr>
        <w:t>谈判供应商或委托代理人签字：</w:t>
      </w:r>
      <w:r>
        <w:rPr>
          <w:rFonts w:hint="eastAsia" w:hAnsi="宋体" w:cs="宋体"/>
          <w:color w:val="auto"/>
          <w:sz w:val="22"/>
          <w:szCs w:val="22"/>
          <w:u w:val="single"/>
        </w:rPr>
        <w:t xml:space="preserve">                       </w:t>
      </w:r>
    </w:p>
    <w:p>
      <w:pPr>
        <w:pStyle w:val="13"/>
        <w:spacing w:line="320" w:lineRule="exact"/>
        <w:ind w:firstLine="720"/>
        <w:rPr>
          <w:rFonts w:hint="eastAsia" w:hAnsi="宋体" w:cs="宋体"/>
          <w:color w:val="auto"/>
          <w:sz w:val="22"/>
          <w:szCs w:val="22"/>
        </w:rPr>
      </w:pPr>
      <w:r>
        <w:rPr>
          <w:rFonts w:hint="eastAsia" w:hAnsi="宋体" w:cs="宋体"/>
          <w:color w:val="auto"/>
          <w:sz w:val="22"/>
          <w:szCs w:val="22"/>
        </w:rPr>
        <w:t>谈判供应商名称（签章）：</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3"/>
        <w:spacing w:line="320" w:lineRule="exact"/>
        <w:ind w:firstLine="720"/>
        <w:rPr>
          <w:rFonts w:hint="eastAsia" w:hAnsi="宋体" w:cs="宋体"/>
          <w:color w:val="auto"/>
          <w:sz w:val="22"/>
          <w:szCs w:val="22"/>
        </w:rPr>
      </w:pPr>
      <w:r>
        <w:rPr>
          <w:rFonts w:hint="eastAsia" w:hAnsi="宋体" w:cs="宋体"/>
          <w:color w:val="auto"/>
          <w:sz w:val="22"/>
          <w:szCs w:val="22"/>
        </w:rPr>
        <w:t>开户银行：</w:t>
      </w:r>
      <w:r>
        <w:rPr>
          <w:rFonts w:hint="eastAsia" w:hAnsi="宋体" w:cs="宋体"/>
          <w:color w:val="auto"/>
          <w:sz w:val="22"/>
          <w:szCs w:val="22"/>
          <w:u w:val="single"/>
        </w:rPr>
        <w:t xml:space="preserve">                         </w:t>
      </w:r>
      <w:r>
        <w:rPr>
          <w:rFonts w:hint="eastAsia" w:hAnsi="宋体" w:cs="宋体"/>
          <w:color w:val="auto"/>
          <w:sz w:val="22"/>
          <w:szCs w:val="22"/>
        </w:rPr>
        <w:t xml:space="preserve">  帐号/行号：</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3"/>
        <w:spacing w:line="320" w:lineRule="exact"/>
        <w:ind w:firstLine="720"/>
        <w:rPr>
          <w:rFonts w:hint="eastAsia" w:hAnsi="宋体" w:cs="宋体"/>
          <w:color w:val="auto"/>
        </w:rPr>
      </w:pPr>
      <w:r>
        <w:rPr>
          <w:rFonts w:hint="eastAsia" w:hAnsi="宋体" w:cs="宋体"/>
          <w:color w:val="auto"/>
          <w:sz w:val="22"/>
          <w:szCs w:val="22"/>
        </w:rPr>
        <w:t>供应商地址：</w:t>
      </w:r>
      <w:r>
        <w:rPr>
          <w:rFonts w:hint="eastAsia" w:hAnsi="宋体" w:cs="宋体"/>
          <w:color w:val="auto"/>
          <w:sz w:val="22"/>
          <w:szCs w:val="22"/>
          <w:u w:val="single"/>
        </w:rPr>
        <w:t xml:space="preserve">                        </w:t>
      </w:r>
      <w:r>
        <w:rPr>
          <w:rFonts w:hint="eastAsia" w:hAnsi="宋体" w:cs="宋体"/>
          <w:color w:val="auto"/>
          <w:sz w:val="22"/>
          <w:szCs w:val="22"/>
        </w:rPr>
        <w:t xml:space="preserve"> </w:t>
      </w:r>
      <w:r>
        <w:rPr>
          <w:rFonts w:hint="eastAsia" w:hAnsi="宋体" w:cs="宋体"/>
          <w:color w:val="auto"/>
        </w:rPr>
        <w:t xml:space="preserve">              </w:t>
      </w:r>
    </w:p>
    <w:p>
      <w:pPr>
        <w:spacing w:line="360" w:lineRule="exact"/>
        <w:rPr>
          <w:rFonts w:hint="eastAsia" w:ascii="宋体" w:hAnsi="宋体" w:cs="宋体"/>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pStyle w:val="7"/>
        <w:rPr>
          <w:rFonts w:hint="eastAsia" w:ascii="宋体" w:hAnsi="宋体" w:cs="宋体"/>
          <w:b w:val="0"/>
          <w:color w:val="auto"/>
          <w:sz w:val="32"/>
          <w:szCs w:val="32"/>
        </w:rPr>
      </w:pPr>
    </w:p>
    <w:p>
      <w:pPr>
        <w:rPr>
          <w:rFonts w:hint="eastAsia" w:ascii="宋体" w:hAnsi="宋体" w:cs="宋体"/>
          <w:b/>
          <w:color w:val="auto"/>
          <w:sz w:val="32"/>
          <w:szCs w:val="32"/>
        </w:rPr>
      </w:pPr>
    </w:p>
    <w:p>
      <w:pPr>
        <w:pStyle w:val="37"/>
        <w:rPr>
          <w:rFonts w:hint="eastAsia" w:ascii="宋体" w:hAnsi="宋体" w:cs="宋体"/>
          <w:b/>
          <w:color w:val="auto"/>
          <w:sz w:val="32"/>
          <w:szCs w:val="32"/>
        </w:rPr>
      </w:pPr>
    </w:p>
    <w:p>
      <w:pPr>
        <w:pStyle w:val="37"/>
        <w:rPr>
          <w:rFonts w:hint="eastAsia" w:ascii="宋体" w:hAnsi="宋体" w:cs="宋体"/>
          <w:b/>
          <w:color w:val="auto"/>
          <w:sz w:val="32"/>
          <w:szCs w:val="32"/>
        </w:rPr>
      </w:pPr>
    </w:p>
    <w:p>
      <w:pPr>
        <w:pStyle w:val="7"/>
        <w:rPr>
          <w:rFonts w:hint="eastAsia" w:ascii="宋体" w:hAnsi="宋体" w:cs="宋体"/>
          <w:b w:val="0"/>
          <w:color w:val="auto"/>
          <w:sz w:val="32"/>
          <w:szCs w:val="32"/>
        </w:rPr>
      </w:pPr>
    </w:p>
    <w:p>
      <w:pPr>
        <w:rPr>
          <w:rFonts w:hint="eastAsia"/>
          <w:color w:val="auto"/>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二、谈 判  报  价  表</w:t>
      </w:r>
    </w:p>
    <w:p>
      <w:pPr>
        <w:spacing w:line="300" w:lineRule="auto"/>
        <w:jc w:val="center"/>
        <w:rPr>
          <w:rFonts w:hint="eastAsia" w:ascii="宋体" w:hAnsi="宋体" w:cs="宋体"/>
          <w:b/>
          <w:color w:val="auto"/>
          <w:sz w:val="32"/>
          <w:szCs w:val="32"/>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52"/>
        <w:gridCol w:w="647"/>
        <w:gridCol w:w="2282"/>
        <w:gridCol w:w="2568"/>
        <w:gridCol w:w="137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655" w:type="dxa"/>
            <w:tcBorders>
              <w:bottom w:val="single" w:color="auto" w:sz="4" w:space="0"/>
            </w:tcBorders>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项号</w:t>
            </w:r>
          </w:p>
        </w:tc>
        <w:tc>
          <w:tcPr>
            <w:tcW w:w="1552" w:type="dxa"/>
            <w:tcBorders>
              <w:bottom w:val="single" w:color="auto" w:sz="4" w:space="0"/>
            </w:tcBorders>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货物名称</w:t>
            </w:r>
          </w:p>
        </w:tc>
        <w:tc>
          <w:tcPr>
            <w:tcW w:w="647" w:type="dxa"/>
            <w:tcBorders>
              <w:bottom w:val="single" w:color="auto" w:sz="4" w:space="0"/>
            </w:tcBorders>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数量</w:t>
            </w:r>
          </w:p>
          <w:p>
            <w:pPr>
              <w:pStyle w:val="13"/>
              <w:rPr>
                <w:rFonts w:hint="eastAsia" w:hAnsi="宋体" w:cs="宋体"/>
                <w:color w:val="auto"/>
                <w:kern w:val="2"/>
                <w:sz w:val="22"/>
                <w:szCs w:val="22"/>
                <w:lang w:val="en-US" w:eastAsia="zh-CN"/>
              </w:rPr>
            </w:pPr>
          </w:p>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①</w:t>
            </w:r>
          </w:p>
        </w:tc>
        <w:tc>
          <w:tcPr>
            <w:tcW w:w="2282" w:type="dxa"/>
            <w:tcBorders>
              <w:bottom w:val="single" w:color="auto" w:sz="4" w:space="0"/>
            </w:tcBorders>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详细项目内容</w:t>
            </w:r>
          </w:p>
        </w:tc>
        <w:tc>
          <w:tcPr>
            <w:tcW w:w="2568" w:type="dxa"/>
            <w:tcBorders>
              <w:bottom w:val="single" w:color="auto" w:sz="4" w:space="0"/>
            </w:tcBorders>
            <w:noWrap w:val="0"/>
            <w:vAlign w:val="center"/>
          </w:tcPr>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单价</w:t>
            </w:r>
          </w:p>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(元)</w:t>
            </w:r>
          </w:p>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②</w:t>
            </w:r>
          </w:p>
        </w:tc>
        <w:tc>
          <w:tcPr>
            <w:tcW w:w="1371" w:type="dxa"/>
            <w:tcBorders>
              <w:bottom w:val="single" w:color="auto" w:sz="4" w:space="0"/>
            </w:tcBorders>
            <w:noWrap w:val="0"/>
            <w:vAlign w:val="center"/>
          </w:tcPr>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合价（元）</w:t>
            </w:r>
          </w:p>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③=①×②</w:t>
            </w:r>
          </w:p>
        </w:tc>
        <w:tc>
          <w:tcPr>
            <w:tcW w:w="567" w:type="dxa"/>
            <w:tcBorders>
              <w:bottom w:val="single" w:color="auto" w:sz="4" w:space="0"/>
            </w:tcBorders>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1</w:t>
            </w:r>
          </w:p>
        </w:tc>
        <w:tc>
          <w:tcPr>
            <w:tcW w:w="1552" w:type="dxa"/>
            <w:noWrap w:val="0"/>
            <w:vAlign w:val="center"/>
          </w:tcPr>
          <w:p>
            <w:pPr>
              <w:pStyle w:val="13"/>
              <w:rPr>
                <w:rFonts w:hint="eastAsia" w:hAnsi="宋体" w:cs="宋体"/>
                <w:color w:val="auto"/>
                <w:kern w:val="2"/>
                <w:sz w:val="22"/>
                <w:szCs w:val="22"/>
                <w:lang w:val="en-US" w:eastAsia="zh-CN"/>
              </w:rPr>
            </w:pPr>
          </w:p>
        </w:tc>
        <w:tc>
          <w:tcPr>
            <w:tcW w:w="647" w:type="dxa"/>
            <w:noWrap w:val="0"/>
            <w:vAlign w:val="center"/>
          </w:tcPr>
          <w:p>
            <w:pPr>
              <w:pStyle w:val="13"/>
              <w:rPr>
                <w:rFonts w:hint="eastAsia" w:hAnsi="宋体" w:cs="宋体"/>
                <w:color w:val="auto"/>
                <w:kern w:val="2"/>
                <w:sz w:val="22"/>
                <w:szCs w:val="22"/>
                <w:lang w:val="en-US" w:eastAsia="zh-CN"/>
              </w:rPr>
            </w:pPr>
          </w:p>
        </w:tc>
        <w:tc>
          <w:tcPr>
            <w:tcW w:w="2282" w:type="dxa"/>
            <w:noWrap w:val="0"/>
            <w:vAlign w:val="center"/>
          </w:tcPr>
          <w:p>
            <w:pPr>
              <w:pStyle w:val="13"/>
              <w:jc w:val="center"/>
              <w:rPr>
                <w:rFonts w:hint="eastAsia" w:hAnsi="宋体" w:cs="宋体"/>
                <w:color w:val="auto"/>
                <w:kern w:val="2"/>
                <w:sz w:val="22"/>
                <w:szCs w:val="22"/>
                <w:lang w:val="en-US" w:eastAsia="zh-CN"/>
              </w:rPr>
            </w:pPr>
          </w:p>
        </w:tc>
        <w:tc>
          <w:tcPr>
            <w:tcW w:w="2568" w:type="dxa"/>
            <w:noWrap w:val="0"/>
            <w:vAlign w:val="center"/>
          </w:tcPr>
          <w:p>
            <w:pPr>
              <w:pStyle w:val="13"/>
              <w:jc w:val="center"/>
              <w:rPr>
                <w:rFonts w:hint="eastAsia" w:hAnsi="宋体" w:cs="宋体"/>
                <w:color w:val="auto"/>
                <w:kern w:val="2"/>
                <w:sz w:val="22"/>
                <w:szCs w:val="22"/>
                <w:lang w:val="en-US" w:eastAsia="zh-CN"/>
              </w:rPr>
            </w:pPr>
          </w:p>
        </w:tc>
        <w:tc>
          <w:tcPr>
            <w:tcW w:w="1371" w:type="dxa"/>
            <w:noWrap w:val="0"/>
            <w:vAlign w:val="center"/>
          </w:tcPr>
          <w:p>
            <w:pPr>
              <w:pStyle w:val="13"/>
              <w:jc w:val="center"/>
              <w:rPr>
                <w:rFonts w:hint="eastAsia" w:hAnsi="宋体" w:cs="宋体"/>
                <w:color w:val="auto"/>
                <w:kern w:val="2"/>
                <w:sz w:val="22"/>
                <w:szCs w:val="22"/>
                <w:lang w:val="en-US" w:eastAsia="zh-CN"/>
              </w:rPr>
            </w:pPr>
          </w:p>
        </w:tc>
        <w:tc>
          <w:tcPr>
            <w:tcW w:w="567" w:type="dxa"/>
            <w:noWrap w:val="0"/>
            <w:vAlign w:val="center"/>
          </w:tcPr>
          <w:p>
            <w:pPr>
              <w:pStyle w:val="13"/>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w:t>
            </w:r>
          </w:p>
        </w:tc>
        <w:tc>
          <w:tcPr>
            <w:tcW w:w="1552" w:type="dxa"/>
            <w:noWrap w:val="0"/>
            <w:vAlign w:val="center"/>
          </w:tcPr>
          <w:p>
            <w:pPr>
              <w:pStyle w:val="13"/>
              <w:rPr>
                <w:rFonts w:hint="eastAsia" w:hAnsi="宋体" w:cs="宋体"/>
                <w:color w:val="auto"/>
                <w:kern w:val="2"/>
                <w:sz w:val="22"/>
                <w:szCs w:val="22"/>
                <w:lang w:val="en-US" w:eastAsia="zh-CN"/>
              </w:rPr>
            </w:pPr>
          </w:p>
        </w:tc>
        <w:tc>
          <w:tcPr>
            <w:tcW w:w="647" w:type="dxa"/>
            <w:noWrap w:val="0"/>
            <w:vAlign w:val="center"/>
          </w:tcPr>
          <w:p>
            <w:pPr>
              <w:pStyle w:val="13"/>
              <w:rPr>
                <w:rFonts w:hint="eastAsia" w:hAnsi="宋体" w:cs="宋体"/>
                <w:color w:val="auto"/>
                <w:kern w:val="2"/>
                <w:sz w:val="22"/>
                <w:szCs w:val="22"/>
                <w:lang w:val="en-US" w:eastAsia="zh-CN"/>
              </w:rPr>
            </w:pPr>
          </w:p>
        </w:tc>
        <w:tc>
          <w:tcPr>
            <w:tcW w:w="2282" w:type="dxa"/>
            <w:noWrap w:val="0"/>
            <w:vAlign w:val="center"/>
          </w:tcPr>
          <w:p>
            <w:pPr>
              <w:pStyle w:val="13"/>
              <w:jc w:val="center"/>
              <w:rPr>
                <w:rFonts w:hint="eastAsia" w:hAnsi="宋体" w:cs="宋体"/>
                <w:color w:val="auto"/>
                <w:kern w:val="2"/>
                <w:sz w:val="22"/>
                <w:szCs w:val="22"/>
                <w:lang w:val="en-US" w:eastAsia="zh-CN"/>
              </w:rPr>
            </w:pPr>
          </w:p>
        </w:tc>
        <w:tc>
          <w:tcPr>
            <w:tcW w:w="2568" w:type="dxa"/>
            <w:noWrap w:val="0"/>
            <w:vAlign w:val="center"/>
          </w:tcPr>
          <w:p>
            <w:pPr>
              <w:pStyle w:val="13"/>
              <w:jc w:val="center"/>
              <w:rPr>
                <w:rFonts w:hint="eastAsia" w:hAnsi="宋体" w:cs="宋体"/>
                <w:color w:val="auto"/>
                <w:kern w:val="2"/>
                <w:sz w:val="22"/>
                <w:szCs w:val="22"/>
                <w:lang w:val="en-US" w:eastAsia="zh-CN"/>
              </w:rPr>
            </w:pPr>
          </w:p>
        </w:tc>
        <w:tc>
          <w:tcPr>
            <w:tcW w:w="1371" w:type="dxa"/>
            <w:noWrap w:val="0"/>
            <w:vAlign w:val="center"/>
          </w:tcPr>
          <w:p>
            <w:pPr>
              <w:pStyle w:val="13"/>
              <w:jc w:val="center"/>
              <w:rPr>
                <w:rFonts w:hint="eastAsia" w:hAnsi="宋体" w:cs="宋体"/>
                <w:color w:val="auto"/>
                <w:kern w:val="2"/>
                <w:sz w:val="22"/>
                <w:szCs w:val="22"/>
                <w:lang w:val="en-US" w:eastAsia="zh-CN"/>
              </w:rPr>
            </w:pPr>
          </w:p>
        </w:tc>
        <w:tc>
          <w:tcPr>
            <w:tcW w:w="567" w:type="dxa"/>
            <w:noWrap w:val="0"/>
            <w:vAlign w:val="center"/>
          </w:tcPr>
          <w:p>
            <w:pPr>
              <w:pStyle w:val="13"/>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N</w:t>
            </w:r>
          </w:p>
        </w:tc>
        <w:tc>
          <w:tcPr>
            <w:tcW w:w="1552" w:type="dxa"/>
            <w:noWrap w:val="0"/>
            <w:vAlign w:val="center"/>
          </w:tcPr>
          <w:p>
            <w:pPr>
              <w:pStyle w:val="13"/>
              <w:rPr>
                <w:rFonts w:hint="eastAsia" w:hAnsi="宋体" w:cs="宋体"/>
                <w:color w:val="auto"/>
                <w:kern w:val="2"/>
                <w:sz w:val="22"/>
                <w:szCs w:val="22"/>
                <w:lang w:val="en-US" w:eastAsia="zh-CN"/>
              </w:rPr>
            </w:pPr>
          </w:p>
        </w:tc>
        <w:tc>
          <w:tcPr>
            <w:tcW w:w="647" w:type="dxa"/>
            <w:noWrap w:val="0"/>
            <w:vAlign w:val="center"/>
          </w:tcPr>
          <w:p>
            <w:pPr>
              <w:pStyle w:val="13"/>
              <w:rPr>
                <w:rFonts w:hint="eastAsia" w:hAnsi="宋体" w:cs="宋体"/>
                <w:color w:val="auto"/>
                <w:kern w:val="2"/>
                <w:sz w:val="22"/>
                <w:szCs w:val="22"/>
                <w:lang w:val="en-US" w:eastAsia="zh-CN"/>
              </w:rPr>
            </w:pPr>
          </w:p>
        </w:tc>
        <w:tc>
          <w:tcPr>
            <w:tcW w:w="2282" w:type="dxa"/>
            <w:noWrap w:val="0"/>
            <w:vAlign w:val="center"/>
          </w:tcPr>
          <w:p>
            <w:pPr>
              <w:pStyle w:val="13"/>
              <w:jc w:val="center"/>
              <w:rPr>
                <w:rFonts w:hint="eastAsia" w:hAnsi="宋体" w:cs="宋体"/>
                <w:color w:val="auto"/>
                <w:kern w:val="2"/>
                <w:sz w:val="22"/>
                <w:szCs w:val="22"/>
                <w:lang w:val="en-US" w:eastAsia="zh-CN"/>
              </w:rPr>
            </w:pPr>
          </w:p>
        </w:tc>
        <w:tc>
          <w:tcPr>
            <w:tcW w:w="2568" w:type="dxa"/>
            <w:noWrap w:val="0"/>
            <w:vAlign w:val="center"/>
          </w:tcPr>
          <w:p>
            <w:pPr>
              <w:pStyle w:val="13"/>
              <w:jc w:val="center"/>
              <w:rPr>
                <w:rFonts w:hint="eastAsia" w:hAnsi="宋体" w:cs="宋体"/>
                <w:color w:val="auto"/>
                <w:kern w:val="2"/>
                <w:sz w:val="22"/>
                <w:szCs w:val="22"/>
                <w:lang w:val="en-US" w:eastAsia="zh-CN"/>
              </w:rPr>
            </w:pPr>
          </w:p>
        </w:tc>
        <w:tc>
          <w:tcPr>
            <w:tcW w:w="1371" w:type="dxa"/>
            <w:noWrap w:val="0"/>
            <w:vAlign w:val="center"/>
          </w:tcPr>
          <w:p>
            <w:pPr>
              <w:pStyle w:val="13"/>
              <w:jc w:val="center"/>
              <w:rPr>
                <w:rFonts w:hint="eastAsia" w:hAnsi="宋体" w:cs="宋体"/>
                <w:color w:val="auto"/>
                <w:kern w:val="2"/>
                <w:sz w:val="22"/>
                <w:szCs w:val="22"/>
                <w:lang w:val="en-US" w:eastAsia="zh-CN"/>
              </w:rPr>
            </w:pPr>
          </w:p>
        </w:tc>
        <w:tc>
          <w:tcPr>
            <w:tcW w:w="567" w:type="dxa"/>
            <w:noWrap w:val="0"/>
            <w:vAlign w:val="center"/>
          </w:tcPr>
          <w:p>
            <w:pPr>
              <w:pStyle w:val="13"/>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9642" w:type="dxa"/>
            <w:gridSpan w:val="7"/>
            <w:noWrap w:val="0"/>
            <w:vAlign w:val="center"/>
          </w:tcPr>
          <w:p>
            <w:pPr>
              <w:pStyle w:val="13"/>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9642" w:type="dxa"/>
            <w:gridSpan w:val="7"/>
            <w:noWrap w:val="0"/>
            <w:vAlign w:val="center"/>
          </w:tcPr>
          <w:p>
            <w:pPr>
              <w:pStyle w:val="13"/>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交货期：</w:t>
            </w:r>
          </w:p>
        </w:tc>
      </w:tr>
    </w:tbl>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r>
        <w:rPr>
          <w:rFonts w:hint="eastAsia" w:ascii="宋体" w:hAnsi="宋体" w:cs="宋体"/>
          <w:color w:val="auto"/>
          <w:sz w:val="22"/>
          <w:szCs w:val="22"/>
        </w:rPr>
        <w:t>说明：1.所有价格均用人民币表示，单位为元，精确到个数位。</w:t>
      </w:r>
    </w:p>
    <w:p>
      <w:pPr>
        <w:pStyle w:val="13"/>
        <w:rPr>
          <w:rFonts w:hint="eastAsia" w:hAnsi="宋体" w:cs="宋体"/>
          <w:color w:val="auto"/>
          <w:sz w:val="22"/>
          <w:szCs w:val="22"/>
        </w:rPr>
      </w:pPr>
      <w:r>
        <w:rPr>
          <w:rFonts w:hint="eastAsia" w:hAnsi="宋体" w:cs="宋体"/>
          <w:color w:val="auto"/>
          <w:sz w:val="22"/>
          <w:szCs w:val="22"/>
        </w:rPr>
        <w:t xml:space="preserve">    2.若此报价表由多页构成的，应逐页加盖供应商法人公章并由法定代表人（或委托代理人）签字。</w:t>
      </w:r>
    </w:p>
    <w:p>
      <w:pPr>
        <w:pStyle w:val="13"/>
        <w:spacing w:line="300" w:lineRule="auto"/>
        <w:rPr>
          <w:rFonts w:hint="eastAsia" w:hAnsi="宋体" w:cs="宋体"/>
          <w:color w:val="auto"/>
          <w:sz w:val="22"/>
          <w:szCs w:val="22"/>
        </w:rPr>
      </w:pPr>
    </w:p>
    <w:p>
      <w:pPr>
        <w:pStyle w:val="13"/>
        <w:spacing w:line="300" w:lineRule="auto"/>
        <w:rPr>
          <w:rFonts w:hint="eastAsia" w:hAnsi="宋体" w:cs="宋体"/>
          <w:color w:val="auto"/>
          <w:sz w:val="22"/>
          <w:szCs w:val="22"/>
        </w:rPr>
      </w:pPr>
    </w:p>
    <w:p>
      <w:pPr>
        <w:pStyle w:val="13"/>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3"/>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spacing w:line="300" w:lineRule="auto"/>
        <w:rPr>
          <w:rFonts w:hint="eastAsia" w:ascii="宋体" w:hAnsi="宋体" w:cs="宋体"/>
          <w:color w:val="auto"/>
        </w:rPr>
      </w:pPr>
    </w:p>
    <w:p>
      <w:pPr>
        <w:pStyle w:val="8"/>
        <w:rPr>
          <w:rFonts w:hint="eastAsia" w:ascii="宋体" w:hAnsi="宋体" w:cs="宋体"/>
          <w:color w:val="auto"/>
        </w:rPr>
      </w:pPr>
    </w:p>
    <w:p>
      <w:pPr>
        <w:pStyle w:val="8"/>
        <w:rPr>
          <w:rFonts w:hint="eastAsia" w:ascii="宋体" w:hAnsi="宋体" w:cs="宋体"/>
          <w:color w:val="auto"/>
        </w:rPr>
      </w:pPr>
    </w:p>
    <w:p>
      <w:pPr>
        <w:spacing w:line="300" w:lineRule="auto"/>
        <w:rPr>
          <w:rFonts w:hint="eastAsia" w:ascii="宋体" w:hAnsi="宋体" w:cs="宋体"/>
          <w:color w:val="auto"/>
        </w:rPr>
      </w:pPr>
    </w:p>
    <w:p>
      <w:pPr>
        <w:adjustRightInd w:val="0"/>
        <w:snapToGrid w:val="0"/>
        <w:spacing w:line="300" w:lineRule="auto"/>
        <w:ind w:left="-88" w:leftChars="-42"/>
        <w:jc w:val="center"/>
        <w:rPr>
          <w:rFonts w:hint="eastAsia" w:ascii="宋体" w:hAnsi="宋体" w:cs="宋体"/>
          <w:b/>
          <w:color w:val="auto"/>
          <w:sz w:val="32"/>
          <w:szCs w:val="32"/>
        </w:rPr>
      </w:pPr>
      <w:r>
        <w:rPr>
          <w:rFonts w:hint="eastAsia" w:ascii="宋体" w:hAnsi="宋体" w:cs="宋体"/>
          <w:b/>
          <w:color w:val="auto"/>
          <w:sz w:val="32"/>
          <w:szCs w:val="32"/>
        </w:rPr>
        <w:t>三、分 项 报 价 表</w:t>
      </w:r>
    </w:p>
    <w:p>
      <w:pPr>
        <w:adjustRightInd w:val="0"/>
        <w:snapToGrid w:val="0"/>
        <w:spacing w:line="300" w:lineRule="auto"/>
        <w:ind w:left="-88" w:leftChars="-42"/>
        <w:jc w:val="center"/>
        <w:rPr>
          <w:rFonts w:hint="eastAsia" w:ascii="宋体" w:hAnsi="宋体" w:cs="宋体"/>
          <w:color w:val="auto"/>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1"/>
        <w:gridCol w:w="2426"/>
        <w:gridCol w:w="1146"/>
        <w:gridCol w:w="810"/>
        <w:gridCol w:w="2652"/>
        <w:gridCol w:w="856"/>
        <w:gridCol w:w="9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 xml:space="preserve">                       序号</w:t>
            </w:r>
          </w:p>
        </w:tc>
        <w:tc>
          <w:tcPr>
            <w:tcW w:w="2426"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lang w:val="en-US" w:eastAsia="zh-CN"/>
              </w:rPr>
              <w:t>货物</w:t>
            </w:r>
            <w:r>
              <w:rPr>
                <w:rFonts w:hint="eastAsia" w:ascii="宋体" w:hAnsi="宋体" w:cs="宋体"/>
                <w:color w:val="auto"/>
                <w:sz w:val="22"/>
                <w:szCs w:val="22"/>
              </w:rPr>
              <w:t>名称</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单位</w:t>
            </w: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数量</w:t>
            </w:r>
          </w:p>
        </w:tc>
        <w:tc>
          <w:tcPr>
            <w:tcW w:w="2652" w:type="dxa"/>
            <w:noWrap w:val="0"/>
            <w:vAlign w:val="center"/>
          </w:tcPr>
          <w:p>
            <w:pPr>
              <w:adjustRightInd w:val="0"/>
              <w:snapToGrid w:val="0"/>
              <w:spacing w:line="300" w:lineRule="auto"/>
              <w:jc w:val="center"/>
              <w:rPr>
                <w:rFonts w:hint="eastAsia"/>
                <w:color w:val="auto"/>
                <w:lang w:eastAsia="zh-CN"/>
              </w:rPr>
            </w:pPr>
            <w:r>
              <w:rPr>
                <w:rFonts w:hint="eastAsia"/>
                <w:color w:val="auto"/>
                <w:lang w:eastAsia="zh-CN"/>
              </w:rPr>
              <w:t>主要内容</w:t>
            </w: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单价</w:t>
            </w: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286" w:type="dxa"/>
            <w:gridSpan w:val="7"/>
            <w:noWrap w:val="0"/>
            <w:vAlign w:val="center"/>
          </w:tcPr>
          <w:p>
            <w:pPr>
              <w:adjustRightInd w:val="0"/>
              <w:snapToGrid w:val="0"/>
              <w:spacing w:line="300" w:lineRule="auto"/>
              <w:ind w:left="-88" w:leftChars="-42"/>
              <w:rPr>
                <w:rFonts w:hint="eastAsia" w:ascii="宋体" w:hAnsi="宋体" w:eastAsia="宋体" w:cs="宋体"/>
                <w:color w:val="auto"/>
                <w:sz w:val="22"/>
                <w:szCs w:val="22"/>
                <w:lang w:eastAsia="zh-CN"/>
              </w:rPr>
            </w:pPr>
            <w:r>
              <w:rPr>
                <w:rFonts w:hint="eastAsia" w:ascii="宋体" w:hAnsi="宋体" w:cs="宋体"/>
                <w:color w:val="auto"/>
                <w:sz w:val="22"/>
                <w:szCs w:val="22"/>
              </w:rPr>
              <w:t>一、主要</w:t>
            </w:r>
            <w:r>
              <w:rPr>
                <w:rFonts w:hint="eastAsia" w:ascii="宋体" w:hAnsi="宋体" w:cs="宋体"/>
                <w:color w:val="auto"/>
                <w:sz w:val="22"/>
                <w:szCs w:val="22"/>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1</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2</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3</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w:t>
            </w:r>
          </w:p>
        </w:tc>
        <w:tc>
          <w:tcPr>
            <w:tcW w:w="2426" w:type="dxa"/>
            <w:noWrap w:val="0"/>
            <w:vAlign w:val="center"/>
          </w:tcPr>
          <w:p>
            <w:pPr>
              <w:adjustRightInd w:val="0"/>
              <w:snapToGrid w:val="0"/>
              <w:spacing w:line="300" w:lineRule="auto"/>
              <w:ind w:left="-88" w:leftChars="-42"/>
              <w:rPr>
                <w:rFonts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86" w:type="dxa"/>
            <w:gridSpan w:val="7"/>
            <w:noWrap w:val="0"/>
            <w:vAlign w:val="center"/>
          </w:tcPr>
          <w:p>
            <w:pPr>
              <w:adjustRightInd w:val="0"/>
              <w:snapToGrid w:val="0"/>
              <w:spacing w:line="300" w:lineRule="auto"/>
              <w:rPr>
                <w:rFonts w:hint="eastAsia" w:ascii="宋体" w:hAnsi="宋体" w:cs="宋体"/>
                <w:color w:val="auto"/>
                <w:sz w:val="22"/>
                <w:szCs w:val="22"/>
              </w:rPr>
            </w:pPr>
            <w:r>
              <w:rPr>
                <w:rFonts w:hint="eastAsia" w:ascii="宋体" w:hAnsi="宋体" w:cs="宋体"/>
                <w:color w:val="auto"/>
                <w:sz w:val="22"/>
                <w:szCs w:val="22"/>
              </w:rPr>
              <w:t>二、其他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1</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技术服务</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2</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培训</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3</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其他</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505" w:type="dxa"/>
            <w:gridSpan w:val="5"/>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总计</w:t>
            </w: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rPr>
                <w:rFonts w:hint="eastAsia" w:ascii="宋体" w:hAnsi="宋体" w:cs="宋体"/>
                <w:color w:val="auto"/>
                <w:sz w:val="22"/>
                <w:szCs w:val="22"/>
              </w:rPr>
            </w:pPr>
          </w:p>
        </w:tc>
      </w:tr>
    </w:tbl>
    <w:p>
      <w:pPr>
        <w:adjustRightInd w:val="0"/>
        <w:snapToGrid w:val="0"/>
        <w:spacing w:line="300" w:lineRule="auto"/>
        <w:ind w:left="-88" w:leftChars="-42" w:firstLine="140"/>
        <w:rPr>
          <w:rFonts w:hint="eastAsia" w:ascii="宋体" w:hAnsi="宋体" w:cs="宋体"/>
          <w:color w:val="auto"/>
          <w:sz w:val="22"/>
          <w:szCs w:val="22"/>
        </w:rPr>
      </w:pPr>
    </w:p>
    <w:p>
      <w:pPr>
        <w:adjustRightInd w:val="0"/>
        <w:snapToGrid w:val="0"/>
        <w:spacing w:line="300" w:lineRule="auto"/>
        <w:ind w:left="-88" w:leftChars="-42" w:firstLine="140"/>
        <w:rPr>
          <w:rFonts w:hint="eastAsia" w:ascii="宋体" w:hAnsi="宋体" w:cs="宋体"/>
          <w:color w:val="auto"/>
          <w:sz w:val="22"/>
          <w:szCs w:val="22"/>
        </w:rPr>
      </w:pPr>
      <w:r>
        <w:rPr>
          <w:rFonts w:hint="eastAsia" w:ascii="宋体" w:hAnsi="宋体" w:cs="宋体"/>
          <w:color w:val="auto"/>
          <w:sz w:val="22"/>
          <w:szCs w:val="22"/>
        </w:rPr>
        <w:t>说明： 1.分项报价总计价格必须与报价表一致。</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2.如果不提供详细的分项报价表将被视为没有实质性响应竞争性谈判文件。</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3.必须按此表格式中的对应栏目内容填写，若需增加栏目，请在栏目“其它”中填写，并作详细说明。</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4.此报价表由多页构成的，应逐页加盖供应商法人公章并由法定代表人（或委托代理人）签字。</w:t>
      </w:r>
    </w:p>
    <w:p>
      <w:pPr>
        <w:adjustRightInd w:val="0"/>
        <w:snapToGrid w:val="0"/>
        <w:spacing w:line="300" w:lineRule="auto"/>
        <w:rPr>
          <w:rFonts w:hint="eastAsia" w:ascii="宋体" w:hAnsi="宋体" w:cs="宋体"/>
          <w:color w:val="auto"/>
          <w:sz w:val="22"/>
          <w:szCs w:val="22"/>
        </w:rPr>
      </w:pPr>
    </w:p>
    <w:p>
      <w:pPr>
        <w:pStyle w:val="13"/>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3"/>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adjustRightInd w:val="0"/>
        <w:snapToGrid w:val="0"/>
        <w:spacing w:line="300" w:lineRule="auto"/>
        <w:jc w:val="right"/>
        <w:rPr>
          <w:rFonts w:hint="eastAsia" w:ascii="宋体" w:hAnsi="宋体" w:cs="宋体"/>
          <w:color w:val="auto"/>
          <w:sz w:val="22"/>
          <w:szCs w:val="22"/>
          <w:u w:val="single"/>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60" w:lineRule="exact"/>
        <w:rPr>
          <w:rFonts w:hint="eastAsia" w:ascii="宋体" w:hAnsi="宋体" w:cs="宋体"/>
          <w:color w:val="auto"/>
        </w:rPr>
      </w:pPr>
    </w:p>
    <w:p>
      <w:pPr>
        <w:spacing w:line="360" w:lineRule="exact"/>
        <w:rPr>
          <w:rFonts w:hint="eastAsia" w:ascii="宋体" w:hAnsi="宋体" w:cs="宋体"/>
          <w:color w:val="auto"/>
        </w:rPr>
      </w:pPr>
    </w:p>
    <w:p>
      <w:pPr>
        <w:adjustRightInd w:val="0"/>
        <w:snapToGrid w:val="0"/>
        <w:spacing w:line="300" w:lineRule="auto"/>
        <w:ind w:left="-88" w:leftChars="-42"/>
        <w:rPr>
          <w:rFonts w:hint="eastAsia" w:ascii="宋体" w:hAnsi="宋体" w:cs="宋体"/>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四、商务及技术响应、偏离情况说明表（格式）</w:t>
      </w:r>
    </w:p>
    <w:p>
      <w:pPr>
        <w:spacing w:line="300" w:lineRule="auto"/>
        <w:rPr>
          <w:rFonts w:hint="eastAsia" w:ascii="宋体" w:hAnsi="宋体" w:cs="宋体"/>
          <w:color w:val="auto"/>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3"/>
        <w:gridCol w:w="2840"/>
        <w:gridCol w:w="2786"/>
        <w:gridCol w:w="1671"/>
        <w:gridCol w:w="13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r>
              <w:rPr>
                <w:rFonts w:hint="eastAsia" w:ascii="宋体" w:hAnsi="宋体" w:cs="宋体"/>
                <w:color w:val="auto"/>
                <w:sz w:val="22"/>
                <w:szCs w:val="22"/>
              </w:rPr>
              <w:t xml:space="preserve">                     </w:t>
            </w:r>
            <w:bookmarkStart w:id="61" w:name="_Toc173066401"/>
            <w:bookmarkStart w:id="62" w:name="_Toc327975587"/>
            <w:bookmarkStart w:id="63" w:name="_Toc254970729"/>
            <w:bookmarkStart w:id="64" w:name="_Toc254970588"/>
            <w:bookmarkStart w:id="65" w:name="_Toc173211900"/>
            <w:bookmarkStart w:id="66" w:name="_Toc327975200"/>
            <w:bookmarkStart w:id="67" w:name="_Toc327974952"/>
            <w:r>
              <w:rPr>
                <w:rFonts w:hint="eastAsia" w:ascii="宋体" w:hAnsi="宋体" w:cs="宋体"/>
                <w:color w:val="auto"/>
                <w:sz w:val="22"/>
                <w:szCs w:val="22"/>
              </w:rPr>
              <w:t>序号</w:t>
            </w:r>
            <w:bookmarkEnd w:id="61"/>
            <w:bookmarkEnd w:id="62"/>
            <w:bookmarkEnd w:id="63"/>
            <w:bookmarkEnd w:id="64"/>
            <w:bookmarkEnd w:id="65"/>
            <w:bookmarkEnd w:id="66"/>
            <w:bookmarkEnd w:id="67"/>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68" w:name="_Toc327975588"/>
            <w:bookmarkStart w:id="69" w:name="_Toc327974953"/>
            <w:bookmarkStart w:id="70" w:name="_Toc173211901"/>
            <w:bookmarkStart w:id="71" w:name="_Toc254970589"/>
            <w:bookmarkStart w:id="72" w:name="_Toc173066402"/>
            <w:bookmarkStart w:id="73" w:name="_Toc254970730"/>
            <w:bookmarkStart w:id="74" w:name="_Toc327975201"/>
            <w:r>
              <w:rPr>
                <w:rFonts w:hint="eastAsia" w:ascii="宋体" w:hAnsi="宋体" w:cs="宋体"/>
                <w:color w:val="auto"/>
                <w:sz w:val="22"/>
                <w:szCs w:val="22"/>
              </w:rPr>
              <w:t>竞争性谈判文件要求</w:t>
            </w:r>
            <w:bookmarkEnd w:id="68"/>
            <w:bookmarkEnd w:id="69"/>
            <w:bookmarkEnd w:id="70"/>
            <w:bookmarkEnd w:id="71"/>
            <w:bookmarkEnd w:id="72"/>
            <w:bookmarkEnd w:id="73"/>
            <w:bookmarkEnd w:id="74"/>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75" w:name="_Toc173066403"/>
            <w:bookmarkStart w:id="76" w:name="_Toc254970731"/>
            <w:bookmarkStart w:id="77" w:name="_Toc254970590"/>
            <w:bookmarkStart w:id="78" w:name="_Toc327974954"/>
            <w:bookmarkStart w:id="79" w:name="_Toc173211902"/>
            <w:bookmarkStart w:id="80" w:name="_Toc327975202"/>
            <w:bookmarkStart w:id="81" w:name="_Toc327975589"/>
            <w:r>
              <w:rPr>
                <w:rFonts w:hint="eastAsia" w:ascii="宋体" w:hAnsi="宋体" w:cs="宋体"/>
                <w:color w:val="auto"/>
                <w:sz w:val="22"/>
                <w:szCs w:val="22"/>
              </w:rPr>
              <w:t>谈判响应文件具体响应</w:t>
            </w:r>
            <w:bookmarkEnd w:id="75"/>
            <w:bookmarkEnd w:id="76"/>
            <w:bookmarkEnd w:id="77"/>
            <w:bookmarkEnd w:id="78"/>
            <w:bookmarkEnd w:id="79"/>
            <w:bookmarkEnd w:id="80"/>
            <w:bookmarkEnd w:id="81"/>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82" w:name="_Toc254970732"/>
            <w:bookmarkStart w:id="83" w:name="_Toc327975203"/>
            <w:bookmarkStart w:id="84" w:name="_Toc173211903"/>
            <w:bookmarkStart w:id="85" w:name="_Toc254970591"/>
            <w:bookmarkStart w:id="86" w:name="_Toc173066404"/>
            <w:bookmarkStart w:id="87" w:name="_Toc327974955"/>
            <w:bookmarkStart w:id="88" w:name="_Toc327975590"/>
            <w:r>
              <w:rPr>
                <w:rFonts w:hint="eastAsia" w:ascii="宋体" w:hAnsi="宋体" w:cs="宋体"/>
                <w:color w:val="auto"/>
                <w:sz w:val="22"/>
                <w:szCs w:val="22"/>
              </w:rPr>
              <w:t>响应/偏离</w:t>
            </w:r>
            <w:bookmarkEnd w:id="82"/>
            <w:bookmarkEnd w:id="83"/>
            <w:bookmarkEnd w:id="84"/>
            <w:bookmarkEnd w:id="85"/>
            <w:bookmarkEnd w:id="86"/>
            <w:bookmarkEnd w:id="87"/>
            <w:bookmarkEnd w:id="88"/>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89" w:name="_Toc327975204"/>
            <w:bookmarkStart w:id="90" w:name="_Toc254970733"/>
            <w:bookmarkStart w:id="91" w:name="_Toc327974956"/>
            <w:bookmarkStart w:id="92" w:name="_Toc173211904"/>
            <w:bookmarkStart w:id="93" w:name="_Toc327975591"/>
            <w:bookmarkStart w:id="94" w:name="_Toc254970592"/>
            <w:bookmarkStart w:id="95" w:name="_Toc173066405"/>
            <w:r>
              <w:rPr>
                <w:rFonts w:hint="eastAsia" w:ascii="宋体" w:hAnsi="宋体" w:cs="宋体"/>
                <w:color w:val="auto"/>
                <w:sz w:val="22"/>
                <w:szCs w:val="22"/>
              </w:rPr>
              <w:t>说明</w:t>
            </w:r>
            <w:bookmarkEnd w:id="89"/>
            <w:bookmarkEnd w:id="90"/>
            <w:bookmarkEnd w:id="91"/>
            <w:bookmarkEnd w:id="92"/>
            <w:bookmarkEnd w:id="93"/>
            <w:bookmarkEnd w:id="94"/>
            <w:bookmarkEnd w:id="9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96" w:name="_Toc327975205"/>
            <w:bookmarkStart w:id="97" w:name="_Toc327975592"/>
            <w:bookmarkStart w:id="98" w:name="_Toc327974957"/>
            <w:bookmarkStart w:id="99" w:name="_Toc173211905"/>
            <w:bookmarkStart w:id="100" w:name="_Toc254970734"/>
            <w:bookmarkStart w:id="101" w:name="_Toc173066406"/>
            <w:bookmarkStart w:id="102" w:name="_Toc254970593"/>
            <w:r>
              <w:rPr>
                <w:rFonts w:hint="eastAsia" w:ascii="宋体" w:hAnsi="宋体" w:cs="宋体"/>
                <w:color w:val="auto"/>
                <w:sz w:val="22"/>
                <w:szCs w:val="22"/>
              </w:rPr>
              <w:t>1</w:t>
            </w:r>
            <w:bookmarkEnd w:id="96"/>
            <w:bookmarkEnd w:id="97"/>
            <w:bookmarkEnd w:id="98"/>
            <w:bookmarkEnd w:id="99"/>
            <w:bookmarkEnd w:id="100"/>
            <w:bookmarkEnd w:id="101"/>
            <w:bookmarkEnd w:id="102"/>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03" w:name="_Toc254970594"/>
            <w:bookmarkStart w:id="104" w:name="_Toc327974958"/>
            <w:bookmarkStart w:id="105" w:name="_Toc173066407"/>
            <w:bookmarkStart w:id="106" w:name="_Toc173211906"/>
            <w:bookmarkStart w:id="107" w:name="_Toc327975206"/>
            <w:bookmarkStart w:id="108" w:name="_Toc254970735"/>
            <w:bookmarkStart w:id="109" w:name="_Toc327975593"/>
            <w:r>
              <w:rPr>
                <w:rFonts w:hint="eastAsia" w:ascii="宋体" w:hAnsi="宋体" w:cs="宋体"/>
                <w:color w:val="auto"/>
                <w:sz w:val="22"/>
                <w:szCs w:val="22"/>
              </w:rPr>
              <w:t>2</w:t>
            </w:r>
            <w:bookmarkEnd w:id="103"/>
            <w:bookmarkEnd w:id="104"/>
            <w:bookmarkEnd w:id="105"/>
            <w:bookmarkEnd w:id="106"/>
            <w:bookmarkEnd w:id="107"/>
            <w:bookmarkEnd w:id="108"/>
            <w:bookmarkEnd w:id="109"/>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10" w:name="_Toc254970736"/>
            <w:bookmarkStart w:id="111" w:name="_Toc327975594"/>
            <w:bookmarkStart w:id="112" w:name="_Toc173066408"/>
            <w:bookmarkStart w:id="113" w:name="_Toc327975207"/>
            <w:bookmarkStart w:id="114" w:name="_Toc173211907"/>
            <w:bookmarkStart w:id="115" w:name="_Toc327974959"/>
            <w:bookmarkStart w:id="116" w:name="_Toc254970595"/>
            <w:r>
              <w:rPr>
                <w:rFonts w:hint="eastAsia" w:ascii="宋体" w:hAnsi="宋体" w:cs="宋体"/>
                <w:color w:val="auto"/>
                <w:sz w:val="22"/>
                <w:szCs w:val="22"/>
              </w:rPr>
              <w:t>3</w:t>
            </w:r>
            <w:bookmarkEnd w:id="110"/>
            <w:bookmarkEnd w:id="111"/>
            <w:bookmarkEnd w:id="112"/>
            <w:bookmarkEnd w:id="113"/>
            <w:bookmarkEnd w:id="114"/>
            <w:bookmarkEnd w:id="115"/>
            <w:bookmarkEnd w:id="116"/>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17" w:name="_Toc173066409"/>
            <w:bookmarkStart w:id="118" w:name="_Toc173211908"/>
            <w:bookmarkStart w:id="119" w:name="_Toc254970596"/>
            <w:bookmarkStart w:id="120" w:name="_Toc254970737"/>
            <w:bookmarkStart w:id="121" w:name="_Toc327975595"/>
            <w:bookmarkStart w:id="122" w:name="_Toc327975208"/>
            <w:bookmarkStart w:id="123" w:name="_Toc327974960"/>
            <w:r>
              <w:rPr>
                <w:rFonts w:hint="eastAsia" w:ascii="宋体" w:hAnsi="宋体" w:cs="宋体"/>
                <w:color w:val="auto"/>
                <w:sz w:val="22"/>
                <w:szCs w:val="22"/>
              </w:rPr>
              <w:t>4</w:t>
            </w:r>
            <w:bookmarkEnd w:id="117"/>
            <w:bookmarkEnd w:id="118"/>
            <w:bookmarkEnd w:id="119"/>
            <w:bookmarkEnd w:id="120"/>
            <w:bookmarkEnd w:id="121"/>
            <w:bookmarkEnd w:id="122"/>
            <w:bookmarkEnd w:id="123"/>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24" w:name="_Toc254970597"/>
            <w:bookmarkStart w:id="125" w:name="_Toc327974961"/>
            <w:bookmarkStart w:id="126" w:name="_Toc173211909"/>
            <w:bookmarkStart w:id="127" w:name="_Toc327975596"/>
            <w:bookmarkStart w:id="128" w:name="_Toc327975209"/>
            <w:bookmarkStart w:id="129" w:name="_Toc254970738"/>
            <w:bookmarkStart w:id="130" w:name="_Toc173066410"/>
            <w:r>
              <w:rPr>
                <w:rFonts w:hint="eastAsia" w:ascii="宋体" w:hAnsi="宋体" w:cs="宋体"/>
                <w:color w:val="auto"/>
                <w:sz w:val="22"/>
                <w:szCs w:val="22"/>
              </w:rPr>
              <w:t>5</w:t>
            </w:r>
            <w:bookmarkEnd w:id="124"/>
            <w:bookmarkEnd w:id="125"/>
            <w:bookmarkEnd w:id="126"/>
            <w:bookmarkEnd w:id="127"/>
            <w:bookmarkEnd w:id="128"/>
            <w:bookmarkEnd w:id="129"/>
            <w:bookmarkEnd w:id="130"/>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31" w:name="_Toc173211914"/>
            <w:bookmarkStart w:id="132" w:name="_Toc327975210"/>
            <w:bookmarkStart w:id="133" w:name="_Toc327974962"/>
            <w:bookmarkStart w:id="134" w:name="_Toc254970743"/>
            <w:bookmarkStart w:id="135" w:name="_Toc173066415"/>
            <w:bookmarkStart w:id="136" w:name="_Toc327975597"/>
            <w:bookmarkStart w:id="137" w:name="_Toc254970602"/>
            <w:r>
              <w:rPr>
                <w:rFonts w:hint="eastAsia" w:ascii="宋体" w:hAnsi="宋体" w:cs="宋体"/>
                <w:color w:val="auto"/>
                <w:sz w:val="22"/>
                <w:szCs w:val="22"/>
              </w:rPr>
              <w:t>…</w:t>
            </w:r>
            <w:bookmarkEnd w:id="131"/>
            <w:bookmarkEnd w:id="132"/>
            <w:bookmarkEnd w:id="133"/>
            <w:bookmarkEnd w:id="134"/>
            <w:bookmarkEnd w:id="135"/>
            <w:bookmarkEnd w:id="136"/>
            <w:bookmarkEnd w:id="137"/>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color w:val="auto"/>
                <w:sz w:val="22"/>
                <w:szCs w:val="22"/>
              </w:rPr>
            </w:pPr>
          </w:p>
        </w:tc>
      </w:tr>
    </w:tbl>
    <w:p>
      <w:pPr>
        <w:adjustRightInd w:val="0"/>
        <w:snapToGrid w:val="0"/>
        <w:spacing w:line="300" w:lineRule="auto"/>
        <w:rPr>
          <w:rFonts w:hint="eastAsia" w:ascii="宋体" w:hAnsi="宋体" w:cs="宋体"/>
          <w:color w:val="auto"/>
          <w:sz w:val="22"/>
          <w:szCs w:val="22"/>
        </w:rPr>
      </w:pPr>
    </w:p>
    <w:p>
      <w:pPr>
        <w:pStyle w:val="11"/>
        <w:spacing w:line="300" w:lineRule="auto"/>
        <w:ind w:firstLine="0" w:firstLineChars="0"/>
        <w:rPr>
          <w:rFonts w:hint="eastAsia" w:ascii="宋体" w:hAnsi="宋体" w:eastAsia="宋体" w:cs="宋体"/>
          <w:b/>
          <w:bCs/>
          <w:color w:val="auto"/>
          <w:sz w:val="22"/>
          <w:szCs w:val="22"/>
        </w:rPr>
      </w:pPr>
      <w:r>
        <w:rPr>
          <w:rFonts w:hint="eastAsia" w:ascii="宋体" w:hAnsi="宋体" w:eastAsia="宋体" w:cs="宋体"/>
          <w:color w:val="auto"/>
          <w:sz w:val="22"/>
          <w:szCs w:val="22"/>
        </w:rPr>
        <w:t>说明：应对照竞争性谈判文件“第三章 项目需求”，</w:t>
      </w:r>
      <w:r>
        <w:rPr>
          <w:rFonts w:hint="eastAsia" w:ascii="宋体" w:hAnsi="宋体" w:eastAsia="宋体" w:cs="宋体"/>
          <w:b/>
          <w:bCs/>
          <w:color w:val="auto"/>
          <w:sz w:val="22"/>
          <w:szCs w:val="22"/>
        </w:rPr>
        <w:t>逐条说明所提供货物和服务已对竞争性谈判文件做出了实质性的响应</w:t>
      </w:r>
      <w:r>
        <w:rPr>
          <w:rFonts w:hint="eastAsia" w:ascii="宋体" w:hAnsi="宋体" w:eastAsia="宋体" w:cs="宋体"/>
          <w:color w:val="auto"/>
          <w:sz w:val="22"/>
          <w:szCs w:val="22"/>
        </w:rPr>
        <w:t>，并申明与技术规格条文的响应和偏离。特别对有具体参数要求的指标，谈判供应商必须提供所供设备的具体参数值。如果仅注明“符合”、“满足”或简单复制竞争性谈判文件要求，将导致谈判被拒绝。</w:t>
      </w:r>
    </w:p>
    <w:p>
      <w:pPr>
        <w:pStyle w:val="13"/>
        <w:spacing w:line="300" w:lineRule="auto"/>
        <w:rPr>
          <w:rFonts w:hint="eastAsia" w:hAnsi="宋体" w:cs="宋体"/>
          <w:color w:val="auto"/>
          <w:sz w:val="22"/>
          <w:szCs w:val="22"/>
        </w:rPr>
      </w:pPr>
    </w:p>
    <w:p>
      <w:pPr>
        <w:pStyle w:val="13"/>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3"/>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spacing w:line="300" w:lineRule="auto"/>
        <w:jc w:val="center"/>
        <w:rPr>
          <w:rFonts w:hint="eastAsia" w:hAnsi="宋体" w:cs="宋体"/>
          <w:b/>
          <w:color w:val="auto"/>
          <w:sz w:val="32"/>
          <w:szCs w:val="32"/>
        </w:rPr>
      </w:pPr>
    </w:p>
    <w:p>
      <w:pPr>
        <w:pStyle w:val="37"/>
        <w:rPr>
          <w:rFonts w:hint="eastAsia" w:hAnsi="宋体" w:cs="宋体"/>
          <w:b/>
          <w:color w:val="auto"/>
          <w:sz w:val="32"/>
          <w:szCs w:val="32"/>
        </w:rPr>
      </w:pPr>
    </w:p>
    <w:p>
      <w:pPr>
        <w:pStyle w:val="37"/>
        <w:rPr>
          <w:rFonts w:hint="eastAsia" w:hAnsi="宋体" w:cs="宋体"/>
          <w:b/>
          <w:color w:val="auto"/>
          <w:sz w:val="32"/>
          <w:szCs w:val="32"/>
        </w:rPr>
      </w:pPr>
    </w:p>
    <w:p>
      <w:pPr>
        <w:pStyle w:val="37"/>
        <w:rPr>
          <w:rFonts w:hint="eastAsia" w:hAnsi="宋体" w:cs="宋体"/>
          <w:b/>
          <w:color w:val="auto"/>
          <w:sz w:val="32"/>
          <w:szCs w:val="32"/>
        </w:rPr>
      </w:pPr>
    </w:p>
    <w:p>
      <w:pPr>
        <w:pStyle w:val="37"/>
        <w:rPr>
          <w:rFonts w:hint="eastAsia" w:hAnsi="宋体" w:cs="宋体"/>
          <w:b/>
          <w:color w:val="auto"/>
          <w:sz w:val="32"/>
          <w:szCs w:val="32"/>
        </w:rPr>
      </w:pPr>
    </w:p>
    <w:p>
      <w:pPr>
        <w:pStyle w:val="37"/>
        <w:rPr>
          <w:rFonts w:hint="eastAsia" w:hAnsi="宋体" w:cs="宋体"/>
          <w:b/>
          <w:color w:val="auto"/>
          <w:sz w:val="32"/>
          <w:szCs w:val="32"/>
        </w:rPr>
      </w:pPr>
    </w:p>
    <w:p>
      <w:pPr>
        <w:spacing w:line="300" w:lineRule="auto"/>
        <w:jc w:val="center"/>
        <w:rPr>
          <w:rFonts w:hint="eastAsia" w:ascii="宋体" w:hAnsi="宋体" w:cs="宋体"/>
          <w:b/>
          <w:color w:val="auto"/>
          <w:sz w:val="32"/>
          <w:szCs w:val="32"/>
          <w:lang w:val="en-US" w:eastAsia="zh-CN"/>
        </w:rPr>
      </w:pPr>
    </w:p>
    <w:p>
      <w:pPr>
        <w:spacing w:line="300" w:lineRule="auto"/>
        <w:jc w:val="center"/>
        <w:rPr>
          <w:rFonts w:hint="eastAsia" w:ascii="宋体" w:hAnsi="宋体" w:cs="宋体"/>
          <w:b/>
          <w:color w:val="auto"/>
          <w:sz w:val="32"/>
          <w:szCs w:val="32"/>
          <w:lang w:val="en-US" w:eastAsia="zh-CN"/>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lang w:val="en-US" w:eastAsia="zh-CN"/>
        </w:rPr>
        <w:t>五</w:t>
      </w:r>
      <w:r>
        <w:rPr>
          <w:rFonts w:hint="eastAsia" w:ascii="宋体" w:hAnsi="宋体" w:cs="宋体"/>
          <w:b/>
          <w:color w:val="auto"/>
          <w:sz w:val="32"/>
          <w:szCs w:val="32"/>
          <w:lang w:eastAsia="zh-CN"/>
        </w:rPr>
        <w:t>、售后服务方案（格式自拟）</w:t>
      </w:r>
    </w:p>
    <w:p>
      <w:pPr>
        <w:pStyle w:val="13"/>
        <w:spacing w:line="300" w:lineRule="auto"/>
        <w:ind w:firstLine="5170" w:firstLineChars="2350"/>
        <w:rPr>
          <w:rFonts w:hint="eastAsia" w:hAnsi="宋体" w:cs="宋体"/>
          <w:color w:val="auto"/>
          <w:sz w:val="22"/>
          <w:szCs w:val="22"/>
          <w:u w:val="single"/>
        </w:rPr>
      </w:pPr>
    </w:p>
    <w:p>
      <w:pPr>
        <w:spacing w:line="300" w:lineRule="auto"/>
        <w:rPr>
          <w:rFonts w:hint="eastAsia" w:ascii="宋体" w:hAnsi="宋体" w:cs="宋体"/>
          <w:color w:val="auto"/>
        </w:rPr>
      </w:pPr>
    </w:p>
    <w:p>
      <w:pPr>
        <w:pStyle w:val="13"/>
        <w:rPr>
          <w:rFonts w:hint="eastAsia" w:hAnsi="宋体" w:cs="宋体"/>
          <w:color w:val="auto"/>
          <w:sz w:val="22"/>
          <w:szCs w:val="22"/>
        </w:rPr>
      </w:pPr>
    </w:p>
    <w:p>
      <w:pPr>
        <w:pStyle w:val="13"/>
        <w:ind w:firstLine="1540" w:firstLineChars="700"/>
        <w:rPr>
          <w:rFonts w:hint="eastAsia" w:hAnsi="宋体" w:cs="宋体"/>
          <w:color w:val="auto"/>
          <w:sz w:val="22"/>
          <w:szCs w:val="22"/>
        </w:rPr>
      </w:pPr>
    </w:p>
    <w:p>
      <w:pPr>
        <w:pStyle w:val="13"/>
        <w:ind w:firstLine="1540" w:firstLineChars="700"/>
        <w:rPr>
          <w:rFonts w:hint="eastAsia" w:hAnsi="宋体" w:cs="宋体"/>
          <w:color w:val="auto"/>
          <w:sz w:val="22"/>
          <w:szCs w:val="22"/>
        </w:rPr>
      </w:pPr>
    </w:p>
    <w:p>
      <w:pPr>
        <w:pStyle w:val="13"/>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3"/>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六</w:t>
      </w:r>
      <w:r>
        <w:rPr>
          <w:rFonts w:hint="eastAsia" w:ascii="宋体" w:hAnsi="宋体" w:cs="宋体"/>
          <w:b/>
          <w:color w:val="auto"/>
          <w:sz w:val="32"/>
          <w:szCs w:val="32"/>
        </w:rPr>
        <w:t>、供应商资格证明文件</w:t>
      </w:r>
    </w:p>
    <w:p>
      <w:pPr>
        <w:spacing w:line="400" w:lineRule="exact"/>
        <w:jc w:val="center"/>
        <w:rPr>
          <w:rFonts w:hint="eastAsia" w:ascii="宋体" w:hAnsi="宋体" w:cs="宋体"/>
          <w:color w:val="auto"/>
          <w:sz w:val="24"/>
        </w:rPr>
      </w:pPr>
      <w:r>
        <w:rPr>
          <w:rFonts w:hint="eastAsia" w:ascii="宋体" w:hAnsi="宋体" w:cs="宋体"/>
          <w:color w:val="auto"/>
          <w:sz w:val="22"/>
          <w:szCs w:val="22"/>
        </w:rPr>
        <w:t>（按第二章“供应商须知”第12条要求提供）</w:t>
      </w: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jc w:val="center"/>
        <w:rPr>
          <w:rFonts w:hint="eastAsia" w:ascii="宋体" w:hAnsi="宋体" w:cs="宋体"/>
          <w:color w:val="auto"/>
        </w:rPr>
      </w:pPr>
      <w:r>
        <w:rPr>
          <w:rFonts w:hint="eastAsia" w:ascii="宋体" w:hAnsi="宋体" w:cs="宋体"/>
          <w:b/>
          <w:color w:val="auto"/>
          <w:sz w:val="32"/>
          <w:szCs w:val="32"/>
        </w:rPr>
        <w:t>法定代表人身份证明（格式）</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供应商名称：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单位性质：</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地址：</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姓名：</w:t>
      </w:r>
      <w:r>
        <w:rPr>
          <w:rFonts w:hint="eastAsia" w:ascii="宋体" w:hAnsi="宋体" w:cs="宋体"/>
          <w:color w:val="auto"/>
          <w:sz w:val="22"/>
          <w:szCs w:val="22"/>
          <w:u w:val="single"/>
        </w:rPr>
        <w:t xml:space="preserve">           </w:t>
      </w:r>
      <w:r>
        <w:rPr>
          <w:rFonts w:hint="eastAsia" w:ascii="宋体" w:hAnsi="宋体" w:cs="宋体"/>
          <w:color w:val="auto"/>
          <w:sz w:val="22"/>
          <w:szCs w:val="22"/>
        </w:rPr>
        <w:t>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r>
        <w:rPr>
          <w:rFonts w:hint="eastAsia" w:ascii="宋体" w:hAnsi="宋体" w:cs="宋体"/>
          <w:color w:val="auto"/>
          <w:sz w:val="22"/>
          <w:szCs w:val="22"/>
        </w:rPr>
        <w:t>_</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系</w:t>
      </w:r>
      <w:r>
        <w:rPr>
          <w:rFonts w:hint="eastAsia" w:ascii="宋体" w:hAnsi="宋体" w:cs="宋体"/>
          <w:color w:val="auto"/>
          <w:sz w:val="22"/>
          <w:szCs w:val="22"/>
          <w:u w:val="single"/>
        </w:rPr>
        <w:t xml:space="preserve">                                </w:t>
      </w:r>
      <w:r>
        <w:rPr>
          <w:rFonts w:hint="eastAsia" w:ascii="宋体" w:hAnsi="宋体" w:cs="宋体"/>
          <w:color w:val="auto"/>
          <w:sz w:val="22"/>
          <w:szCs w:val="22"/>
        </w:rPr>
        <w:t>（供应商名称）的法定代表人。</w:t>
      </w:r>
    </w:p>
    <w:p>
      <w:pPr>
        <w:spacing w:line="360" w:lineRule="auto"/>
        <w:ind w:firstLine="880" w:firstLineChars="400"/>
        <w:rPr>
          <w:rFonts w:hint="eastAsia" w:ascii="宋体" w:hAnsi="宋体" w:cs="宋体"/>
          <w:color w:val="auto"/>
          <w:sz w:val="22"/>
          <w:szCs w:val="22"/>
        </w:rPr>
      </w:pPr>
      <w:r>
        <w:rPr>
          <w:rFonts w:hint="eastAsia" w:ascii="宋体" w:hAnsi="宋体" w:cs="宋体"/>
          <w:color w:val="auto"/>
          <w:sz w:val="22"/>
          <w:szCs w:val="22"/>
        </w:rPr>
        <w:t>特此证明。</w:t>
      </w:r>
    </w:p>
    <w:p>
      <w:pPr>
        <w:spacing w:line="360" w:lineRule="auto"/>
        <w:ind w:firstLine="440" w:firstLineChars="200"/>
        <w:rPr>
          <w:rFonts w:hint="eastAsia" w:ascii="宋体" w:hAnsi="宋体" w:cs="宋体"/>
          <w:color w:val="auto"/>
          <w:sz w:val="22"/>
          <w:szCs w:val="22"/>
        </w:rPr>
      </w:pPr>
    </w:p>
    <w:p>
      <w:pPr>
        <w:spacing w:line="360" w:lineRule="auto"/>
        <w:ind w:firstLine="4400" w:firstLineChars="2000"/>
        <w:rPr>
          <w:rFonts w:hint="eastAsia" w:ascii="宋体" w:hAnsi="宋体" w:cs="宋体"/>
          <w:color w:val="auto"/>
          <w:sz w:val="22"/>
          <w:szCs w:val="22"/>
        </w:rPr>
      </w:pPr>
      <w:r>
        <w:rPr>
          <w:rFonts w:hint="eastAsia" w:ascii="宋体" w:hAnsi="宋体" w:cs="宋体"/>
          <w:color w:val="auto"/>
          <w:sz w:val="22"/>
          <w:szCs w:val="22"/>
        </w:rPr>
        <w:t>供应商：</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spacing w:line="360" w:lineRule="auto"/>
        <w:ind w:firstLine="4730" w:firstLineChars="2150"/>
        <w:rPr>
          <w:rFonts w:hint="eastAsia" w:ascii="宋体" w:hAnsi="宋体" w:cs="宋体"/>
          <w:color w:val="auto"/>
          <w:sz w:val="22"/>
          <w:szCs w:val="22"/>
        </w:rPr>
      </w:pP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rPr>
          <w:rFonts w:hint="eastAsia" w:ascii="宋体" w:hAnsi="宋体" w:cs="宋体"/>
          <w:color w:val="auto"/>
          <w:sz w:val="22"/>
          <w:szCs w:val="22"/>
        </w:rPr>
      </w:pPr>
      <w:r>
        <w:rPr>
          <w:rFonts w:hint="eastAsia" w:ascii="宋体" w:hAnsi="宋体" w:cs="宋体"/>
          <w:color w:val="auto"/>
          <w:sz w:val="22"/>
          <w:szCs w:val="22"/>
        </w:rPr>
        <w:t>（注：附法定代表人身份证复印件并加盖公章。）</w:t>
      </w:r>
    </w:p>
    <w:p>
      <w:pPr>
        <w:spacing w:line="400" w:lineRule="exact"/>
        <w:jc w:val="center"/>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pStyle w:val="37"/>
        <w:rPr>
          <w:rFonts w:hint="eastAsia" w:ascii="宋体" w:hAnsi="宋体" w:cs="宋体"/>
          <w:color w:val="auto"/>
          <w:sz w:val="24"/>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adjustRightInd w:val="0"/>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法 人 授 权 委 托 书（格式）</w:t>
      </w:r>
    </w:p>
    <w:p>
      <w:pPr>
        <w:adjustRightInd w:val="0"/>
        <w:snapToGrid w:val="0"/>
        <w:spacing w:line="300" w:lineRule="auto"/>
        <w:rPr>
          <w:rFonts w:hint="eastAsia" w:ascii="宋体" w:hAnsi="宋体" w:cs="宋体"/>
          <w:color w:val="auto"/>
        </w:rPr>
      </w:pPr>
    </w:p>
    <w:p>
      <w:pPr>
        <w:spacing w:line="300" w:lineRule="auto"/>
        <w:rPr>
          <w:rFonts w:hint="eastAsia" w:ascii="宋体" w:hAnsi="宋体" w:cs="宋体"/>
          <w:color w:val="auto"/>
          <w:sz w:val="22"/>
          <w:szCs w:val="22"/>
        </w:rPr>
      </w:pPr>
      <w:r>
        <w:rPr>
          <w:rFonts w:hint="eastAsia" w:ascii="宋体" w:hAnsi="宋体" w:cs="宋体"/>
          <w:color w:val="auto"/>
          <w:sz w:val="22"/>
          <w:szCs w:val="22"/>
          <w:u w:val="single"/>
        </w:rPr>
        <w:t>（采购代理机构）</w:t>
      </w:r>
      <w:r>
        <w:rPr>
          <w:rFonts w:hint="eastAsia" w:ascii="宋体" w:hAnsi="宋体" w:cs="宋体"/>
          <w:color w:val="auto"/>
          <w:sz w:val="22"/>
          <w:szCs w:val="22"/>
        </w:rPr>
        <w:t>：</w:t>
      </w: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兹授权</w:t>
      </w:r>
      <w:r>
        <w:rPr>
          <w:rFonts w:hint="eastAsia" w:ascii="宋体" w:hAnsi="宋体" w:cs="宋体"/>
          <w:color w:val="auto"/>
          <w:sz w:val="22"/>
          <w:szCs w:val="22"/>
          <w:u w:val="single"/>
        </w:rPr>
        <w:t xml:space="preserve">      </w:t>
      </w:r>
      <w:r>
        <w:rPr>
          <w:rFonts w:hint="eastAsia" w:ascii="宋体" w:hAnsi="宋体" w:cs="宋体"/>
          <w:color w:val="auto"/>
          <w:sz w:val="22"/>
          <w:szCs w:val="22"/>
        </w:rPr>
        <w:t>同志为我公司参加贵单位组织的</w:t>
      </w:r>
      <w:r>
        <w:rPr>
          <w:rFonts w:hint="eastAsia" w:ascii="宋体" w:hAnsi="宋体" w:cs="宋体"/>
          <w:color w:val="auto"/>
          <w:sz w:val="22"/>
          <w:szCs w:val="22"/>
          <w:u w:val="single"/>
        </w:rPr>
        <w:t>（项    目    名   称）</w:t>
      </w:r>
      <w:r>
        <w:rPr>
          <w:rFonts w:hint="eastAsia" w:ascii="宋体" w:hAnsi="宋体" w:cs="宋体"/>
          <w:color w:val="auto"/>
          <w:sz w:val="22"/>
          <w:szCs w:val="22"/>
        </w:rPr>
        <w:t>谈判活动的谈判代表人，全权代表我公司处理在该项目活动中的一切事宜。代理期限从</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日起至</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日止。 </w:t>
      </w: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r>
        <w:rPr>
          <w:rFonts w:hint="eastAsia" w:ascii="宋体" w:hAnsi="宋体" w:cs="宋体"/>
          <w:color w:val="auto"/>
          <w:sz w:val="22"/>
          <w:szCs w:val="22"/>
        </w:rPr>
        <w:t>授权单位（签章）：</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法定代表人（签字或盖章）：</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签发日期：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300" w:lineRule="auto"/>
        <w:rPr>
          <w:rFonts w:hint="eastAsia" w:ascii="宋体" w:hAnsi="宋体" w:cs="宋体"/>
          <w:color w:val="auto"/>
          <w:sz w:val="22"/>
          <w:szCs w:val="22"/>
        </w:rPr>
      </w:pP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附：代理人工作单位：</w:t>
      </w:r>
      <w:r>
        <w:rPr>
          <w:rFonts w:hint="eastAsia" w:ascii="宋体" w:hAnsi="宋体" w:cs="宋体"/>
          <w:color w:val="auto"/>
          <w:sz w:val="22"/>
          <w:szCs w:val="22"/>
          <w:u w:val="single"/>
        </w:rPr>
        <w:t xml:space="preserve">                     </w:t>
      </w: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职务：</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p>
    <w:p>
      <w:pPr>
        <w:adjustRightInd w:val="0"/>
        <w:snapToGrid w:val="0"/>
        <w:spacing w:line="300" w:lineRule="auto"/>
        <w:ind w:left="-88" w:leftChars="-42" w:firstLine="550" w:firstLineChars="250"/>
        <w:rPr>
          <w:rFonts w:hint="eastAsia" w:ascii="宋体" w:hAnsi="宋体" w:cs="宋体"/>
          <w:color w:val="auto"/>
          <w:sz w:val="22"/>
          <w:szCs w:val="22"/>
          <w:u w:val="single"/>
        </w:rPr>
      </w:pPr>
      <w:r>
        <w:rPr>
          <w:rFonts w:hint="eastAsia" w:ascii="宋体" w:hAnsi="宋体" w:cs="宋体"/>
          <w:color w:val="auto"/>
          <w:sz w:val="22"/>
          <w:szCs w:val="22"/>
        </w:rPr>
        <w:t>身份证号码：</w:t>
      </w:r>
      <w:r>
        <w:rPr>
          <w:rFonts w:hint="eastAsia" w:ascii="宋体" w:hAnsi="宋体" w:cs="宋体"/>
          <w:color w:val="auto"/>
          <w:sz w:val="22"/>
          <w:szCs w:val="22"/>
          <w:u w:val="single"/>
        </w:rPr>
        <w:t xml:space="preserve">                              </w:t>
      </w:r>
    </w:p>
    <w:tbl>
      <w:tblPr>
        <w:tblStyle w:val="2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350" w:type="dxa"/>
            <w:noWrap w:val="0"/>
            <w:vAlign w:val="top"/>
          </w:tcPr>
          <w:p>
            <w:pPr>
              <w:spacing w:line="300" w:lineRule="auto"/>
              <w:rPr>
                <w:rFonts w:hint="eastAsia" w:ascii="宋体" w:hAnsi="宋体" w:cs="宋体"/>
                <w:color w:val="auto"/>
                <w:sz w:val="22"/>
                <w:szCs w:val="22"/>
              </w:rPr>
            </w:pPr>
            <w:r>
              <w:rPr>
                <w:rFonts w:hint="eastAsia" w:ascii="宋体" w:hAnsi="宋体" w:cs="宋体"/>
                <w:color w:val="auto"/>
                <w:sz w:val="22"/>
                <w:szCs w:val="22"/>
              </w:rPr>
              <w:t>粘贴代理人身份证（复印件）</w:t>
            </w:r>
          </w:p>
        </w:tc>
      </w:tr>
    </w:tbl>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13"/>
        <w:spacing w:line="420" w:lineRule="exact"/>
        <w:jc w:val="center"/>
        <w:rPr>
          <w:rFonts w:hAnsi="宋体" w:cs="宋体"/>
          <w:b/>
          <w:color w:val="auto"/>
          <w:sz w:val="28"/>
          <w:szCs w:val="28"/>
        </w:rPr>
      </w:pPr>
      <w:r>
        <w:rPr>
          <w:rFonts w:hint="eastAsia" w:hAnsi="宋体" w:cs="宋体"/>
          <w:b/>
          <w:color w:val="auto"/>
          <w:sz w:val="28"/>
          <w:szCs w:val="28"/>
        </w:rPr>
        <w:t>信用声明函（格式）</w:t>
      </w:r>
    </w:p>
    <w:p>
      <w:pPr>
        <w:pStyle w:val="13"/>
        <w:spacing w:line="420" w:lineRule="exact"/>
        <w:jc w:val="center"/>
        <w:rPr>
          <w:rFonts w:hAnsi="宋体" w:cs="宋体"/>
          <w:b/>
          <w:color w:val="auto"/>
          <w:sz w:val="30"/>
          <w:szCs w:val="30"/>
        </w:rPr>
      </w:pPr>
    </w:p>
    <w:p>
      <w:pPr>
        <w:tabs>
          <w:tab w:val="left" w:pos="7200"/>
        </w:tabs>
        <w:spacing w:line="42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（采购代理机构名称）</w:t>
      </w:r>
    </w:p>
    <w:p>
      <w:pPr>
        <w:tabs>
          <w:tab w:val="left" w:pos="7200"/>
        </w:tabs>
        <w:spacing w:line="420" w:lineRule="exact"/>
        <w:ind w:firstLine="420" w:firstLineChars="200"/>
        <w:jc w:val="left"/>
        <w:rPr>
          <w:rFonts w:ascii="宋体" w:hAnsi="宋体" w:cs="宋体"/>
          <w:color w:val="auto"/>
        </w:rPr>
      </w:pPr>
    </w:p>
    <w:p>
      <w:pPr>
        <w:tabs>
          <w:tab w:val="left" w:pos="7200"/>
        </w:tabs>
        <w:spacing w:line="420" w:lineRule="exact"/>
        <w:ind w:firstLine="420" w:firstLineChars="200"/>
        <w:jc w:val="left"/>
        <w:rPr>
          <w:rFonts w:ascii="宋体" w:hAnsi="宋体" w:cs="宋体"/>
          <w:color w:val="auto"/>
        </w:rPr>
      </w:pPr>
      <w:r>
        <w:rPr>
          <w:rFonts w:hint="eastAsia" w:ascii="宋体" w:hAnsi="宋体" w:cs="宋体"/>
          <w:color w:val="auto"/>
        </w:rPr>
        <w:t>我方愿意参加贵方组织的</w:t>
      </w:r>
      <w:r>
        <w:rPr>
          <w:rFonts w:hint="eastAsia" w:ascii="宋体" w:hAnsi="宋体" w:cs="宋体"/>
          <w:color w:val="auto"/>
          <w:u w:val="single"/>
        </w:rPr>
        <w:t xml:space="preserve">     (项目名称)          </w:t>
      </w: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）项目的</w:t>
      </w:r>
      <w:r>
        <w:rPr>
          <w:rFonts w:hint="eastAsia" w:ascii="宋体" w:hAnsi="宋体" w:cs="宋体"/>
          <w:color w:val="auto"/>
          <w:lang w:val="en-US" w:eastAsia="zh-CN"/>
        </w:rPr>
        <w:t>谈判</w:t>
      </w:r>
      <w:r>
        <w:rPr>
          <w:rFonts w:hint="eastAsia" w:ascii="宋体" w:hAnsi="宋体" w:cs="宋体"/>
          <w:color w:val="auto"/>
        </w:rPr>
        <w:t>，为便于贵方公正、择优地确定中标人及其</w:t>
      </w:r>
      <w:r>
        <w:rPr>
          <w:rFonts w:hint="eastAsia" w:ascii="宋体" w:hAnsi="宋体" w:cs="宋体"/>
          <w:color w:val="auto"/>
          <w:lang w:val="en-US" w:eastAsia="zh-CN"/>
        </w:rPr>
        <w:t>谈判</w:t>
      </w:r>
      <w:r>
        <w:rPr>
          <w:rFonts w:hint="eastAsia" w:ascii="宋体" w:hAnsi="宋体" w:cs="宋体"/>
          <w:color w:val="auto"/>
        </w:rPr>
        <w:t>服务成果和服务，我方就本次</w:t>
      </w:r>
      <w:r>
        <w:rPr>
          <w:rFonts w:hint="eastAsia" w:ascii="宋体" w:hAnsi="宋体" w:cs="宋体"/>
          <w:color w:val="auto"/>
          <w:lang w:val="en-US" w:eastAsia="zh-CN"/>
        </w:rPr>
        <w:t>谈判</w:t>
      </w:r>
      <w:r>
        <w:rPr>
          <w:rFonts w:hint="eastAsia" w:ascii="宋体" w:hAnsi="宋体" w:cs="宋体"/>
          <w:color w:val="auto"/>
        </w:rPr>
        <w:t>有关事项郑重声明如下：</w:t>
      </w:r>
    </w:p>
    <w:p>
      <w:pPr>
        <w:tabs>
          <w:tab w:val="left" w:pos="7200"/>
        </w:tabs>
        <w:spacing w:line="420" w:lineRule="exact"/>
        <w:ind w:firstLine="420" w:firstLineChars="200"/>
        <w:rPr>
          <w:rFonts w:ascii="宋体" w:hAnsi="宋体" w:cs="宋体"/>
          <w:color w:val="auto"/>
          <w:u w:val="single"/>
        </w:rPr>
      </w:pPr>
      <w:r>
        <w:rPr>
          <w:rFonts w:hint="eastAsia" w:ascii="宋体" w:hAnsi="宋体" w:cs="宋体"/>
          <w:color w:val="auto"/>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auto"/>
        </w:rPr>
      </w:pPr>
      <w:r>
        <w:rPr>
          <w:rFonts w:hint="eastAsia" w:ascii="宋体" w:hAnsi="宋体" w:cs="宋体"/>
          <w:color w:val="auto"/>
        </w:rPr>
        <w:t>2. 以上事项如有虚假或隐瞒，我方愿意承担一切后果，并不再寻求任何旨在减轻或免除法律责任的辩解。</w:t>
      </w:r>
    </w:p>
    <w:p>
      <w:pPr>
        <w:tabs>
          <w:tab w:val="left" w:pos="7200"/>
        </w:tabs>
        <w:spacing w:line="420" w:lineRule="exact"/>
        <w:rPr>
          <w:rFonts w:ascii="宋体" w:hAnsi="宋体" w:cs="宋体"/>
          <w:color w:val="auto"/>
        </w:rPr>
      </w:pPr>
    </w:p>
    <w:p>
      <w:pPr>
        <w:tabs>
          <w:tab w:val="left" w:pos="7200"/>
        </w:tabs>
        <w:spacing w:line="420" w:lineRule="exact"/>
        <w:rPr>
          <w:rFonts w:ascii="宋体" w:hAnsi="宋体" w:cs="宋体"/>
          <w:color w:val="auto"/>
        </w:rPr>
      </w:pPr>
      <w:r>
        <w:rPr>
          <w:rFonts w:hint="eastAsia" w:ascii="宋体" w:hAnsi="宋体" w:cs="宋体"/>
          <w:color w:val="auto"/>
        </w:rPr>
        <w:t>说明：</w:t>
      </w:r>
    </w:p>
    <w:p>
      <w:pPr>
        <w:spacing w:line="420" w:lineRule="exact"/>
        <w:ind w:firstLine="420" w:firstLineChars="200"/>
        <w:jc w:val="left"/>
        <w:rPr>
          <w:rFonts w:ascii="宋体" w:hAnsi="宋体" w:cs="宋体"/>
          <w:color w:val="auto"/>
        </w:rPr>
      </w:pPr>
      <w:r>
        <w:rPr>
          <w:rFonts w:hint="eastAsia" w:ascii="宋体" w:hAnsi="宋体" w:cs="宋体"/>
          <w:color w:val="auto"/>
        </w:rPr>
        <w:t>1.对列入失信被执行人、重大税收违法案件当事人名单、政府采购严重违法失信行为记录名单的</w:t>
      </w:r>
      <w:r>
        <w:rPr>
          <w:rFonts w:hint="eastAsia" w:ascii="宋体" w:hAnsi="宋体" w:cs="宋体"/>
          <w:color w:val="auto"/>
          <w:lang w:eastAsia="zh-CN"/>
        </w:rPr>
        <w:t>供应商</w:t>
      </w:r>
      <w:r>
        <w:rPr>
          <w:rFonts w:hint="eastAsia" w:ascii="宋体" w:hAnsi="宋体" w:cs="宋体"/>
          <w:color w:val="auto"/>
        </w:rPr>
        <w:t>，将被拒绝参与本项目政府采购活动。</w:t>
      </w:r>
    </w:p>
    <w:p>
      <w:pPr>
        <w:spacing w:line="420" w:lineRule="exact"/>
        <w:ind w:firstLine="420" w:firstLineChars="200"/>
        <w:jc w:val="left"/>
        <w:rPr>
          <w:rFonts w:ascii="宋体" w:hAnsi="宋体" w:cs="宋体"/>
          <w:color w:val="auto"/>
        </w:rPr>
      </w:pPr>
      <w:r>
        <w:rPr>
          <w:rFonts w:hint="eastAsia" w:ascii="宋体" w:hAnsi="宋体" w:cs="宋体"/>
          <w:color w:val="auto"/>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ascii="宋体" w:hAnsi="宋体" w:cs="宋体"/>
          <w:color w:val="auto"/>
        </w:rPr>
      </w:pPr>
    </w:p>
    <w:p>
      <w:pPr>
        <w:tabs>
          <w:tab w:val="left" w:pos="7200"/>
        </w:tabs>
        <w:spacing w:line="420" w:lineRule="exact"/>
        <w:ind w:firstLine="839" w:firstLineChars="398"/>
        <w:rPr>
          <w:rFonts w:ascii="宋体" w:hAnsi="宋体" w:cs="宋体"/>
          <w:b/>
          <w:color w:val="auto"/>
          <w:u w:val="single"/>
        </w:rPr>
      </w:pPr>
      <w:r>
        <w:rPr>
          <w:rFonts w:hint="eastAsia" w:ascii="宋体" w:hAnsi="宋体" w:cs="宋体"/>
          <w:b/>
          <w:color w:val="auto"/>
        </w:rPr>
        <w:t xml:space="preserve">                              法定代表人或委托代理人签字：</w:t>
      </w:r>
      <w:r>
        <w:rPr>
          <w:rFonts w:hint="eastAsia" w:ascii="宋体" w:hAnsi="宋体" w:cs="宋体"/>
          <w:b/>
          <w:color w:val="auto"/>
          <w:u w:val="single"/>
        </w:rPr>
        <w:t xml:space="preserve">             </w:t>
      </w:r>
    </w:p>
    <w:p>
      <w:pPr>
        <w:tabs>
          <w:tab w:val="left" w:pos="7200"/>
        </w:tabs>
        <w:spacing w:line="420" w:lineRule="exact"/>
        <w:ind w:left="6635" w:leftChars="2000" w:hanging="2435" w:hangingChars="1155"/>
        <w:jc w:val="left"/>
        <w:rPr>
          <w:rFonts w:ascii="宋体" w:hAnsi="宋体" w:cs="宋体"/>
          <w:b/>
          <w:color w:val="auto"/>
        </w:rPr>
      </w:pPr>
      <w:r>
        <w:rPr>
          <w:rFonts w:hint="eastAsia" w:ascii="宋体" w:hAnsi="宋体" w:cs="宋体"/>
          <w:b/>
          <w:color w:val="auto"/>
          <w:lang w:eastAsia="zh-CN"/>
        </w:rPr>
        <w:t>供应商</w:t>
      </w:r>
      <w:r>
        <w:rPr>
          <w:rFonts w:hint="eastAsia" w:ascii="宋体" w:hAnsi="宋体" w:cs="宋体"/>
          <w:b/>
          <w:color w:val="auto"/>
        </w:rPr>
        <w:t>（盖章）：</w:t>
      </w:r>
      <w:r>
        <w:rPr>
          <w:rFonts w:hint="eastAsia" w:ascii="宋体" w:hAnsi="宋体" w:cs="宋体"/>
          <w:b/>
          <w:color w:val="auto"/>
          <w:u w:val="single"/>
        </w:rPr>
        <w:t xml:space="preserve">               </w:t>
      </w:r>
      <w:r>
        <w:rPr>
          <w:rFonts w:hint="eastAsia" w:ascii="宋体" w:hAnsi="宋体" w:cs="宋体"/>
          <w:b/>
          <w:color w:val="auto"/>
        </w:rPr>
        <w:t xml:space="preserve">                    </w:t>
      </w:r>
    </w:p>
    <w:p>
      <w:pPr>
        <w:tabs>
          <w:tab w:val="left" w:pos="7200"/>
        </w:tabs>
        <w:spacing w:line="420" w:lineRule="exact"/>
        <w:jc w:val="right"/>
        <w:rPr>
          <w:rFonts w:ascii="宋体" w:hAnsi="宋体" w:cs="宋体"/>
          <w:b/>
          <w:color w:val="auto"/>
        </w:rPr>
      </w:pPr>
      <w:r>
        <w:rPr>
          <w:rFonts w:hint="eastAsia" w:ascii="宋体" w:hAnsi="宋体" w:cs="宋体"/>
          <w:b/>
          <w:color w:val="auto"/>
        </w:rPr>
        <w:t xml:space="preserve"> 年    月    日</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37"/>
        <w:rPr>
          <w:rFonts w:hint="eastAsia" w:ascii="宋体" w:hAnsi="宋体" w:cs="宋体"/>
          <w:color w:val="auto"/>
        </w:rPr>
      </w:pPr>
    </w:p>
    <w:p>
      <w:pPr>
        <w:pStyle w:val="8"/>
        <w:overflowPunct w:val="0"/>
        <w:spacing w:line="400" w:lineRule="exact"/>
        <w:ind w:firstLine="480"/>
        <w:rPr>
          <w:rFonts w:hint="eastAsia" w:ascii="宋体" w:hAnsi="宋体" w:cs="宋体"/>
          <w:color w:val="auto"/>
          <w:sz w:val="24"/>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七</w:t>
      </w:r>
      <w:r>
        <w:rPr>
          <w:rFonts w:hint="eastAsia" w:ascii="宋体" w:hAnsi="宋体" w:cs="宋体"/>
          <w:b/>
          <w:color w:val="auto"/>
          <w:sz w:val="32"/>
          <w:szCs w:val="32"/>
        </w:rPr>
        <w:t>、</w:t>
      </w:r>
      <w:r>
        <w:rPr>
          <w:rFonts w:hint="eastAsia" w:ascii="宋体" w:hAnsi="宋体" w:cs="宋体"/>
          <w:b/>
          <w:color w:val="auto"/>
          <w:sz w:val="32"/>
          <w:szCs w:val="32"/>
          <w:lang w:eastAsia="zh-CN"/>
        </w:rPr>
        <w:t>服务</w:t>
      </w:r>
      <w:r>
        <w:rPr>
          <w:rFonts w:hint="eastAsia" w:ascii="宋体" w:hAnsi="宋体" w:cs="宋体"/>
          <w:b/>
          <w:color w:val="auto"/>
          <w:sz w:val="32"/>
          <w:szCs w:val="32"/>
        </w:rPr>
        <w:t>合格证明文件</w:t>
      </w:r>
    </w:p>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（按第二章“供应商须知”第13条要求提供）</w:t>
      </w: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八</w:t>
      </w:r>
      <w:r>
        <w:rPr>
          <w:rFonts w:hint="eastAsia" w:ascii="宋体" w:hAnsi="宋体" w:cs="宋体"/>
          <w:b/>
          <w:color w:val="auto"/>
          <w:sz w:val="32"/>
          <w:szCs w:val="32"/>
        </w:rPr>
        <w:t>、供应商必须提供的其他材料</w:t>
      </w:r>
    </w:p>
    <w:p>
      <w:pPr>
        <w:spacing w:line="400" w:lineRule="exact"/>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pStyle w:val="7"/>
        <w:rPr>
          <w:rFonts w:hint="eastAsia"/>
          <w:color w:val="auto"/>
        </w:rPr>
      </w:pPr>
    </w:p>
    <w:p>
      <w:pPr>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rPr>
          <w:rFonts w:hint="eastAsia" w:ascii="宋体" w:hAnsi="宋体" w:cs="宋体"/>
          <w:color w:val="auto"/>
          <w:sz w:val="22"/>
          <w:szCs w:val="22"/>
        </w:rPr>
      </w:pPr>
      <w:r>
        <w:rPr>
          <w:rFonts w:hint="eastAsia" w:ascii="宋体" w:hAnsi="宋体" w:cs="宋体"/>
          <w:color w:val="auto"/>
          <w:sz w:val="22"/>
          <w:szCs w:val="22"/>
        </w:rPr>
        <w:t>附件一：</w:t>
      </w:r>
    </w:p>
    <w:p>
      <w:pPr>
        <w:jc w:val="center"/>
        <w:rPr>
          <w:rFonts w:hint="eastAsia" w:ascii="宋体" w:hAnsi="宋体" w:cs="宋体"/>
          <w:b/>
          <w:bCs/>
          <w:color w:val="auto"/>
          <w:sz w:val="32"/>
          <w:szCs w:val="32"/>
        </w:rPr>
      </w:pPr>
      <w:bookmarkStart w:id="138" w:name="OLE_LINK30"/>
      <w:r>
        <w:rPr>
          <w:rFonts w:hint="eastAsia" w:ascii="宋体" w:hAnsi="宋体" w:cs="宋体"/>
          <w:b/>
          <w:bCs/>
          <w:color w:val="auto"/>
          <w:sz w:val="32"/>
          <w:szCs w:val="32"/>
        </w:rPr>
        <w:t>中小企业声明函</w:t>
      </w:r>
    </w:p>
    <w:bookmarkEnd w:id="138"/>
    <w:p>
      <w:pPr>
        <w:rPr>
          <w:rFonts w:hint="eastAsia" w:ascii="宋体" w:hAnsi="宋体" w:cs="宋体"/>
          <w:color w:val="auto"/>
        </w:rPr>
      </w:pPr>
      <w:r>
        <w:rPr>
          <w:rFonts w:hint="eastAsia" w:ascii="宋体" w:hAnsi="宋体" w:cs="宋体"/>
          <w:color w:val="auto"/>
        </w:rPr>
        <w:t xml:space="preserve">    本公司郑重声明，根据《政府采购促进中小企业发展暂行办法》(财库〔2011〕181号)的规定，本公司为______(请填写：中型、小型、微型)企业。即，本公司同时满足以下条件：</w:t>
      </w:r>
    </w:p>
    <w:p>
      <w:pPr>
        <w:rPr>
          <w:rFonts w:hint="eastAsia" w:ascii="宋体" w:hAnsi="宋体" w:cs="宋体"/>
          <w:color w:val="auto"/>
        </w:rPr>
      </w:pPr>
      <w:r>
        <w:rPr>
          <w:rFonts w:hint="eastAsia" w:ascii="宋体" w:hAnsi="宋体" w:cs="宋体"/>
          <w:color w:val="auto"/>
        </w:rPr>
        <w:t>1.根据《工业和信息化部、国家统计局、国家发展和改革委员会、财政部关于印发中小企业划型标准规定的通知》(工信部联企业〔2011〕300号)规定的划分标准，本公司为______(请填写：中型、小型、微型)企业。</w:t>
      </w:r>
    </w:p>
    <w:p>
      <w:pPr>
        <w:rPr>
          <w:rFonts w:hint="eastAsia" w:ascii="宋体" w:hAnsi="宋体" w:cs="宋体"/>
          <w:color w:val="auto"/>
        </w:rPr>
      </w:pPr>
      <w:r>
        <w:rPr>
          <w:rFonts w:hint="eastAsia" w:ascii="宋体" w:hAnsi="宋体" w:cs="宋体"/>
          <w:color w:val="auto"/>
        </w:rPr>
        <w:t>2.本公司参加________________单位的________________项目采购活动提供本企业制造的货物，由本企业提供服务，或者提供其他________(请填写：中型、小型、微型)企业制造的货物。本条所称货物不包括使用大型企业注册商标的货物。</w:t>
      </w:r>
    </w:p>
    <w:p>
      <w:pPr>
        <w:rPr>
          <w:rFonts w:hint="eastAsia" w:ascii="宋体" w:hAnsi="宋体" w:cs="宋体"/>
          <w:color w:val="auto"/>
        </w:rPr>
      </w:pPr>
      <w:r>
        <w:rPr>
          <w:rFonts w:hint="eastAsia" w:ascii="宋体" w:hAnsi="宋体" w:cs="宋体"/>
          <w:color w:val="auto"/>
        </w:rPr>
        <w:t>本公司对上述声明的真实性负责。如有虚假，将依法承担相应责任。</w:t>
      </w:r>
    </w:p>
    <w:p>
      <w:pPr>
        <w:rPr>
          <w:rFonts w:hint="eastAsia" w:ascii="宋体" w:hAnsi="宋体" w:cs="宋体"/>
          <w:color w:val="auto"/>
        </w:rPr>
      </w:pPr>
      <w:r>
        <w:rPr>
          <w:rFonts w:hint="eastAsia" w:ascii="宋体" w:hAnsi="宋体" w:cs="宋体"/>
          <w:color w:val="auto"/>
        </w:rPr>
        <w:t>供应商(公章)：________________</w:t>
      </w:r>
    </w:p>
    <w:p>
      <w:pPr>
        <w:rPr>
          <w:rFonts w:hint="eastAsia" w:ascii="宋体" w:hAnsi="宋体" w:cs="宋体"/>
          <w:color w:val="auto"/>
        </w:rPr>
      </w:pPr>
      <w:r>
        <w:rPr>
          <w:rFonts w:hint="eastAsia" w:ascii="宋体" w:hAnsi="宋体" w:cs="宋体"/>
          <w:color w:val="auto"/>
        </w:rPr>
        <w:t>法定代表人或其授权代表(签字或盖章)：________________</w:t>
      </w:r>
    </w:p>
    <w:p>
      <w:pPr>
        <w:rPr>
          <w:rFonts w:hint="eastAsia" w:ascii="宋体" w:hAnsi="宋体" w:cs="宋体"/>
          <w:color w:val="auto"/>
        </w:rPr>
      </w:pPr>
      <w:r>
        <w:rPr>
          <w:rFonts w:hint="eastAsia" w:ascii="宋体" w:hAnsi="宋体" w:cs="宋体"/>
          <w:color w:val="auto"/>
        </w:rPr>
        <w:t>日期：______年____月____日</w:t>
      </w:r>
    </w:p>
    <w:p>
      <w:pPr>
        <w:rPr>
          <w:rFonts w:hint="eastAsia" w:ascii="宋体" w:hAnsi="宋体" w:cs="宋体"/>
          <w:color w:val="auto"/>
        </w:rPr>
      </w:pPr>
      <w:r>
        <w:rPr>
          <w:rFonts w:hint="eastAsia" w:ascii="宋体" w:hAnsi="宋体" w:cs="宋体"/>
          <w:color w:val="auto"/>
        </w:rPr>
        <w:t>说明：授权用招标专用章的，与公章具有相同法律效力</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说明：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pPr>
        <w:snapToGrid w:val="0"/>
        <w:spacing w:before="50" w:after="50"/>
        <w:rPr>
          <w:rFonts w:hint="eastAsia" w:ascii="宋体" w:hAnsi="宋体" w:cs="宋体"/>
          <w:color w:val="auto"/>
          <w:spacing w:val="20"/>
          <w:sz w:val="22"/>
          <w:szCs w:val="22"/>
          <w:u w:val="single"/>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p>
    <w:p>
      <w:pPr>
        <w:pStyle w:val="13"/>
        <w:rPr>
          <w:rFonts w:hint="eastAsia" w:hAnsi="宋体" w:cs="宋体"/>
          <w:color w:val="auto"/>
        </w:rPr>
      </w:pPr>
      <w:r>
        <w:rPr>
          <w:rFonts w:hint="eastAsia" w:hAnsi="宋体" w:cs="宋体"/>
          <w:color w:val="auto"/>
        </w:rPr>
        <w:t>附表一：</w:t>
      </w:r>
    </w:p>
    <w:p>
      <w:pPr>
        <w:pStyle w:val="56"/>
        <w:ind w:firstLine="360" w:firstLineChars="200"/>
        <w:jc w:val="center"/>
        <w:rPr>
          <w:rFonts w:cs="宋体"/>
          <w:b/>
          <w:bCs/>
          <w:color w:val="auto"/>
          <w:sz w:val="32"/>
          <w:szCs w:val="32"/>
        </w:rPr>
      </w:pPr>
      <w:r>
        <w:rPr>
          <w:rFonts w:cs="宋体"/>
          <w:color w:val="auto"/>
          <w:sz w:val="18"/>
          <w:szCs w:val="18"/>
        </w:rPr>
        <w:br w:type="textWrapping"/>
      </w:r>
      <w:r>
        <w:rPr>
          <w:rFonts w:cs="宋体"/>
          <w:b/>
          <w:bCs/>
          <w:color w:val="auto"/>
          <w:sz w:val="32"/>
          <w:szCs w:val="32"/>
        </w:rPr>
        <w:t>采购代理服务收费标准</w:t>
      </w:r>
      <w:r>
        <w:rPr>
          <w:rFonts w:cs="宋体"/>
          <w:color w:val="auto"/>
          <w:sz w:val="32"/>
          <w:szCs w:val="32"/>
        </w:rPr>
        <w:t xml:space="preserve">( </w:t>
      </w:r>
      <w:r>
        <w:rPr>
          <w:rFonts w:cs="宋体"/>
          <w:b/>
          <w:bCs/>
          <w:color w:val="auto"/>
          <w:sz w:val="32"/>
          <w:szCs w:val="32"/>
        </w:rPr>
        <w:t>费    率)</w:t>
      </w:r>
    </w:p>
    <w:tbl>
      <w:tblPr>
        <w:tblStyle w:val="24"/>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5"/>
        <w:gridCol w:w="1185"/>
        <w:gridCol w:w="1880"/>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3615" w:type="dxa"/>
            <w:noWrap w:val="0"/>
            <w:vAlign w:val="bottom"/>
          </w:tcPr>
          <w:p>
            <w:pPr>
              <w:widowControl/>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0</wp:posOffset>
                      </wp:positionV>
                      <wp:extent cx="1362075" cy="763905"/>
                      <wp:effectExtent l="2540" t="4445" r="6985" b="12700"/>
                      <wp:wrapNone/>
                      <wp:docPr id="2" name="AutoShape 3"/>
                      <wp:cNvGraphicFramePr/>
                      <a:graphic xmlns:a="http://schemas.openxmlformats.org/drawingml/2006/main">
                        <a:graphicData uri="http://schemas.microsoft.com/office/word/2010/wordprocessingShape">
                          <wps:wsp>
                            <wps:cNvCnPr/>
                            <wps:spPr>
                              <a:xfrm flipH="1" flipV="1">
                                <a:off x="0" y="0"/>
                                <a:ext cx="1362075" cy="763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flip:x y;margin-left:33.15pt;margin-top:0pt;height:60.15pt;width:107.25pt;z-index:251659264;mso-width-relative:page;mso-height-relative:page;" filled="f" stroked="t" coordsize="21600,21600" o:gfxdata="UEsDBAoAAAAAAIdO4kAAAAAAAAAAAAAAAAAEAAAAZHJzL1BLAwQUAAAACACHTuJA97vYFdcAAAAH&#10;AQAADwAAAGRycy9kb3ducmV2LnhtbE2PQU/CQBCF7yb8h82QeDGySzGVlG45kEAkHoxgOG+7Y9vY&#10;nW26C0V/veNJjpP35c338vXVdeKCQ2g9aZjPFAikytuWag0fx+3jEkSIhqzpPKGGbwywLiZ3ucms&#10;H+kdL4dYCy6hkBkNTYx9JmWoGnQmzHyPxNmnH5yJfA61tIMZudx1MlEqlc60xB8a0+OmwerrcHYa&#10;ntJjuRsr3D/Lt5/Rvr6cdvsHp/X9dK5WICJe4z8Mf/qsDgU7lf5MNohOQ5oumNTAgzhNloqHlIwl&#10;agGyyOWtf/ELUEsDBBQAAAAIAIdO4kBfogKR1AEAAKsDAAAOAAAAZHJzL2Uyb0RvYy54bWytU8mO&#10;2zAMvRfoPwi6N3YSJNMx4gyKpNMeijZAlzsjS7YAbRA1cfL3peRMul2Koj4IlEg+8j3Sm4ezNewk&#10;I2rvWj6f1ZxJJ3ynXd/yr18eX73mDBO4Dox3suUXifxh+/LFZgyNXPjBm05GRiAOmzG0fEgpNFWF&#10;YpAWcOaDdORUPlpIdI191UUYCd2aalHX62r0sQvRC4lIr/vJybcFXykp0ielUCZmWk69pXLGch7z&#10;WW030PQRwqDFtQ34hy4saEdFb1B7SMCeov4DymoRPXqVZsLbyiulhSwciM28/o3N5wGCLFxIHAw3&#10;mfD/wYqPp0Nkumv5gjMHlkb05in5UpktszxjwIaidu4QrzcMh5i5nlW0TBkd3tPkebG+ZSv7iBk7&#10;F5kvN5nlOTFBj/PlelHfrTgT5LtbL+/rVS5UTYg5O0RM76S3LBstxxRB90Paeedooj5ONeD0AdOU&#10;+JyQk41jY8vvV4tcAWinlIFEpg3EEl1f+kNvdPeojckZGPvjzkR2grwl5bs29EtYLrIHHKa44sph&#10;0AwSureuY+kSSD9Hi85zC1Z2nBlJ/0W2SmQCbf4mkrQwjiTJ4k9yZ+vou0uZQnmnjSiiXbc3r9zP&#10;95L94x/b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3u9gV1wAAAAcBAAAPAAAAAAAAAAEAIAAA&#10;ACIAAABkcnMvZG93bnJldi54bWxQSwECFAAUAAAACACHTuJAX6ICkdQBAACrAwAADgAAAAAAAAAB&#10;ACAAAAAmAQAAZHJzL2Uyb0RvYy54bWxQSwUGAAAAAAYABgBZAQAAbAUAAAAA&#10;">
                      <v:fill on="f" focussize="0,0"/>
                      <v:stroke color="#000000" joinstyle="round"/>
                      <v:imagedata o:title=""/>
                      <o:lock v:ext="edit" aspectratio="f"/>
                    </v:shape>
                  </w:pict>
                </mc:Fallback>
              </mc:AlternateContent>
            </w:r>
            <w:r>
              <w:rPr>
                <w:rFonts w:hint="eastAsia" w:ascii="宋体" w:hAnsi="宋体" w:cs="宋体"/>
                <w:color w:val="auto"/>
                <w:kern w:val="0"/>
                <w:sz w:val="22"/>
                <w:szCs w:val="22"/>
              </w:rPr>
              <w:t>费率型           服务类型</w:t>
            </w:r>
          </w:p>
          <w:p>
            <w:pPr>
              <w:widowControl/>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89535</wp:posOffset>
                      </wp:positionV>
                      <wp:extent cx="1852930" cy="501650"/>
                      <wp:effectExtent l="1270" t="4445" r="12700" b="8255"/>
                      <wp:wrapNone/>
                      <wp:docPr id="3" name="AutoShape 4"/>
                      <wp:cNvGraphicFramePr/>
                      <a:graphic xmlns:a="http://schemas.openxmlformats.org/drawingml/2006/main">
                        <a:graphicData uri="http://schemas.microsoft.com/office/word/2010/wordprocessingShape">
                          <wps:wsp>
                            <wps:cNvCnPr/>
                            <wps:spPr>
                              <a:xfrm flipH="1" flipV="1">
                                <a:off x="0" y="0"/>
                                <a:ext cx="1852930" cy="501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4" o:spid="_x0000_s1026" o:spt="32" type="#_x0000_t32" style="position:absolute;left:0pt;flip:x y;margin-left:-5.5pt;margin-top:7.05pt;height:39.5pt;width:145.9pt;z-index:251660288;mso-width-relative:page;mso-height-relative:page;" filled="f" stroked="t" coordsize="21600,21600" o:gfxdata="UEsDBAoAAAAAAIdO4kAAAAAAAAAAAAAAAAAEAAAAZHJzL1BLAwQUAAAACACHTuJABTS9KdkAAAAJ&#10;AQAADwAAAGRycy9kb3ducmV2LnhtbE2PwU7DMBBE70j8g7VIXFBru1SlDXF6QKKi4lDRop6deEki&#10;4nUUu03h61lOcFzNaPa9fH3xnTjjENtABvRUgUCqgmupNvB+eJ4sQcRkydkuEBr4wgjr4voqt5kL&#10;I73heZ9qwSMUM2ugSanPpIxVg97GaeiROPsIg7eJz6GWbrAjj/tOzpRaSG9b4g+N7fGpwepzf/IG&#10;5otDuRkr3D7I3ffoXl+Om+2dN+b2RqtHEAkv6a8Mv/iMDgUzleFELorOwERrdkkczDUILsyWil1K&#10;A6t7DbLI5X+D4gdQSwMEFAAAAAgAh07iQFY+O//WAQAAqwMAAA4AAABkcnMvZTJvRG9jLnhtbK1T&#10;yY7bMAy9F+g/CLo3TjLNYMaIMyiSTnso2gBd7owWW4A2iJo4+ftScibdLkVRHwRKJB/fI+n1w8lZ&#10;dlQJTfAdX8zmnCkvgjS+7/jXL4+v7jjDDF6CDV51/KyQP2xevliPsVXLMAQrVWIE4rEdY8eHnGPb&#10;NCgG5QBnISpPTh2Sg0zX1DcywUjozjbL+fy2GUOSMQWhEOl1Nzn5puJrrUT+pDWqzGzHiVuuZ6rn&#10;oZzNZg1tnyAORlxowD+wcGA8Fb1C7SADe0rmDyhnRAoYdJ6J4JqgtRGqaiA1i/lvaj4PEFXVQs3B&#10;eG0T/j9Y8fG4T8zIjt9w5sHRiN485VArs9elPWPElqK2fp8uN4z7VLSedHJMWxPf0+R5tb4Vq/hI&#10;GTvVNp+vbVanzAQ9Lu5Wy/sbmoYg32q+uF3VOTQTYsmOCfM7FRwrRscxJzD9kLfBe5poSFMNOH7A&#10;TJwo8TmhJFvPxo7fr5YrqgC0U9pCJtNFUom+r/wwWCMfjbUlA1N/2NrEjlC2pH5FOeH+ElaK7ACH&#10;Ka66pv0ZFMi3XrJ8jtQ/T4vOCwWnJGdW0X9RLAKENoOxfxNJpa0nBqX5U7uLdQjyXKdQ32kjKsfL&#10;9paV+/les3/8Y5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S9KdkAAAAJAQAADwAAAAAAAAAB&#10;ACAAAAAiAAAAZHJzL2Rvd25yZXYueG1sUEsBAhQAFAAAAAgAh07iQFY+O//WAQAAqwMAAA4AAAAA&#10;AAAAAQAgAAAAKAEAAGRycy9lMm9Eb2MueG1sUEsFBgAAAAAGAAYAWQEAAHAFAAAAAA==&#10;">
                      <v:fill on="f" focussize="0,0"/>
                      <v:stroke color="#000000" joinstyle="round"/>
                      <v:imagedata o:title=""/>
                      <o:lock v:ext="edit" aspectratio="f"/>
                    </v:shape>
                  </w:pict>
                </mc:Fallback>
              </mc:AlternateContent>
            </w:r>
          </w:p>
          <w:p>
            <w:pPr>
              <w:widowControl/>
              <w:spacing w:line="400" w:lineRule="exact"/>
              <w:rPr>
                <w:rFonts w:hint="eastAsia" w:ascii="宋体" w:hAnsi="宋体" w:cs="宋体"/>
                <w:color w:val="auto"/>
                <w:kern w:val="0"/>
                <w:sz w:val="22"/>
                <w:szCs w:val="22"/>
              </w:rPr>
            </w:pPr>
          </w:p>
          <w:p>
            <w:pPr>
              <w:spacing w:line="40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中标金额（万元）</w:t>
            </w:r>
          </w:p>
        </w:tc>
        <w:tc>
          <w:tcPr>
            <w:tcW w:w="1185"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货物招标</w:t>
            </w:r>
          </w:p>
        </w:tc>
        <w:tc>
          <w:tcPr>
            <w:tcW w:w="1880"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服务招标</w:t>
            </w:r>
          </w:p>
        </w:tc>
        <w:tc>
          <w:tcPr>
            <w:tcW w:w="2695"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100以下</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1.50%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1.50%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100—500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1.10%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0.80%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500—1000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0.80%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0.45%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1000—5000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0.50%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5000—10000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0.25%</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0.10%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10000——100000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1000000以上</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r>
    </w:tbl>
    <w:p>
      <w:pPr>
        <w:pStyle w:val="56"/>
        <w:spacing w:line="360" w:lineRule="auto"/>
        <w:rPr>
          <w:rFonts w:cs="宋体"/>
          <w:color w:val="auto"/>
          <w:sz w:val="21"/>
        </w:rPr>
      </w:pPr>
      <w:r>
        <w:rPr>
          <w:rFonts w:cs="宋体"/>
          <w:color w:val="auto"/>
          <w:sz w:val="22"/>
          <w:szCs w:val="22"/>
        </w:rPr>
        <w:t>注：采购代理服务收费按差额定率累进法计算。例如：某分标货物采购代理业务成交金额为600万元，计算采购代理服务费额如下：</w:t>
      </w:r>
      <w:r>
        <w:rPr>
          <w:rFonts w:cs="宋体"/>
          <w:color w:val="auto"/>
          <w:sz w:val="22"/>
          <w:szCs w:val="22"/>
        </w:rPr>
        <w:br w:type="textWrapping"/>
      </w:r>
      <w:r>
        <w:rPr>
          <w:rFonts w:cs="宋体"/>
          <w:color w:val="auto"/>
          <w:sz w:val="22"/>
          <w:szCs w:val="22"/>
        </w:rPr>
        <w:t>      100万元×1.5％＝1.5万元</w:t>
      </w:r>
      <w:r>
        <w:rPr>
          <w:rFonts w:cs="宋体"/>
          <w:color w:val="auto"/>
          <w:sz w:val="22"/>
          <w:szCs w:val="22"/>
        </w:rPr>
        <w:br w:type="textWrapping"/>
      </w:r>
      <w:r>
        <w:rPr>
          <w:rFonts w:cs="宋体"/>
          <w:color w:val="auto"/>
          <w:sz w:val="22"/>
          <w:szCs w:val="22"/>
        </w:rPr>
        <w:t>     （500－100）万元×1.1％＝4.4万元</w:t>
      </w:r>
      <w:r>
        <w:rPr>
          <w:rFonts w:cs="宋体"/>
          <w:color w:val="auto"/>
          <w:sz w:val="22"/>
          <w:szCs w:val="22"/>
        </w:rPr>
        <w:br w:type="textWrapping"/>
      </w:r>
      <w:r>
        <w:rPr>
          <w:rFonts w:cs="宋体"/>
          <w:color w:val="auto"/>
          <w:sz w:val="22"/>
          <w:szCs w:val="22"/>
        </w:rPr>
        <w:t>     （600－500）万元×0.8％＝0.8万元</w:t>
      </w:r>
      <w:r>
        <w:rPr>
          <w:rFonts w:cs="宋体"/>
          <w:color w:val="auto"/>
          <w:sz w:val="22"/>
          <w:szCs w:val="22"/>
        </w:rPr>
        <w:br w:type="textWrapping"/>
      </w:r>
      <w:r>
        <w:rPr>
          <w:rFonts w:cs="宋体"/>
          <w:color w:val="auto"/>
          <w:sz w:val="22"/>
          <w:szCs w:val="22"/>
        </w:rPr>
        <w:t xml:space="preserve">      </w:t>
      </w:r>
      <w:r>
        <w:rPr>
          <w:rFonts w:cs="宋体"/>
          <w:color w:val="auto"/>
          <w:sz w:val="22"/>
          <w:szCs w:val="22"/>
        </w:rPr>
        <w:br w:type="textWrapping"/>
      </w:r>
      <w:r>
        <w:rPr>
          <w:rFonts w:cs="宋体"/>
          <w:color w:val="auto"/>
          <w:sz w:val="22"/>
          <w:szCs w:val="22"/>
        </w:rPr>
        <w:t>      合计收费＝1.5＋4.4＋0.8＝6.7(万元)</w:t>
      </w:r>
    </w:p>
    <w:p>
      <w:pPr>
        <w:rPr>
          <w:rFonts w:hint="eastAsia" w:ascii="宋体" w:hAnsi="宋体" w:cs="宋体"/>
          <w:color w:val="auto"/>
        </w:rPr>
      </w:pPr>
    </w:p>
    <w:p>
      <w:pPr>
        <w:pStyle w:val="13"/>
        <w:spacing w:line="288" w:lineRule="auto"/>
        <w:rPr>
          <w:rFonts w:hint="eastAsia" w:hAnsi="宋体" w:cs="宋体"/>
          <w:color w:val="auto"/>
        </w:rPr>
      </w:pPr>
    </w:p>
    <w:sectPr>
      <w:footerReference r:id="rId7" w:type="first"/>
      <w:footerReference r:id="rId6" w:type="default"/>
      <w:pgSz w:w="11906" w:h="16838"/>
      <w:pgMar w:top="1202" w:right="1191" w:bottom="1304" w:left="141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separate"/>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DiljJAQAAbwMAAA4AAABkcnMvZTJvRG9jLnhtbK1TwW4TMRC9&#10;I/UfLN+b3UYNXVZxKlDVCgkBUuEDHK+dtWR7LNvJbvgA+ANOXLjzXfmOjp1siuCGuHjHnpk3783M&#10;Lm9Ha8hOhqjBMXo1qymRTkCn3YbRz5/uLxtKYuKu4wacZHQvI71dXbxYDr6Vc+jBdDIQBHGxHTyj&#10;fUq+raooeml5nIGXDp0KguUJr2FTdYEPiG5NNa/rl9UAofMBhIwRX++OTroq+EpJkT4oFWUihlHk&#10;lsoZyrnOZ7Va8nYTuO+1ONHg/8DCcu2w6BnqjidOtkH/BWW1CBBBpZkAW4FSWsiiAdVc1X+oeey5&#10;l0ULNif6c5vi/4MV73cfA9EdowtKHLc4osP3b4cfvw4/v5Lr+tVN7tDgY4uBjx5D0/gGRpz09B7x&#10;MQsfVbD5i5II+rHX+3N/5ZiIyEnNvGlqdAn0TRfEr57TfYjpQYIl2WA04ABLX/nuXUzH0CkkV3Nw&#10;r40pQzSODIi6aG4WJePsQnTjsEhWcWSbrTSux5O0NXR7VIZbjBV7CF8oGXAjGHW4spSYtw4bnpdn&#10;MsJkrCeDO4GJjCZKtj7oTV8WLTOM/vU2IctCPhc+VjvxwakW+acNzGvz+71EPf8nq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aYJL0wAAAAUBAAAPAAAAAAAAAAEAIAAAACIAAABkcnMvZG93bnJl&#10;di54bWxQSwECFAAUAAAACACHTuJAbEOKWMkBAABvAwAADgAAAAAAAAABACAAAAAiAQAAZHJzL2Uy&#10;b0RvYy54bWxQSwUGAAAAAAYABgBZAQAAXQU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B8+APJAQAAbwMAAA4AAABkcnMvZTJvRG9jLnhtbK1TwW4TMRC9&#10;I/EPlu/NbqO2LKs4FagqQkKAVPgAx2tnLdkey3ayGz4A/oATF+58V76jYyebovZW9eIde2bevDcz&#10;u7gerSFbGaIGx+j5rKZEOgGddmtGv3+7PWsoiYm7jhtwktGdjPR6+frVYvCtnEMPppOBIIiL7eAZ&#10;7VPybVVF0UvL4wy8dOhUECxPeA3rqgt8QHRrqnldX1UDhM4HEDJGfL05OOmy4CslRfqiVJSJGEaR&#10;WypnKOcqn9Vywdt14L7X4kiDP4OF5dph0RPUDU+cbIJ+AmW1CBBBpZkAW4FSWsiiAdWc14/U3PXc&#10;y6IFmxP9qU3x5WDF5+3XQHTH6BUljlsc0f73r/2ff/u/P8lF/bbJHRp8bDHwzmNoGt/DiJOe3iM+&#10;ZuGjCjZ/URJBP/Z6d+qvHBMROamZN02NLoG+6YL41UO6DzF9kGBJNhgNOMDSV779FNMhdArJ1Rzc&#10;amPKEI0jA6JeNm8uS8bJhejGYZGs4sA2W2lcjUdpK+h2qAy3GCv2EH5QMuBGMOpwZSkxHx02PC/P&#10;ZITJWE0GdwITGU2UbHzQ674sWmYY/btNQpaFfC58qHbkg1Mt8o8bmNfm/3uJevhPl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aYJL0wAAAAUBAAAPAAAAAAAAAAEAIAAAACIAAABkcnMvZG93bnJl&#10;di54bWxQSwECFAAUAAAACACHTuJAMHz4A8kBAABvAwAADgAAAAAAAAABACAAAAAiAQAAZHJzL2Uy&#10;b0RvYy54bWxQSwUGAAAAAAYABgBZAQAAXQU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wordWrap w:val="0"/>
      <w:jc w:val="right"/>
      <w:rPr>
        <w:u w:val="single"/>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渔洲坪社区卫生服务中心发热门诊设备采购</w:t>
    </w:r>
    <w:r>
      <w:rPr>
        <w:rFonts w:hint="eastAsia" w:ascii="宋体" w:hAnsi="宋体"/>
        <w:sz w:val="21"/>
        <w:szCs w:val="21"/>
        <w:u w:val="single"/>
      </w:rPr>
      <w:t>（</w:t>
    </w:r>
    <w:r>
      <w:rPr>
        <w:rFonts w:hint="eastAsia" w:ascii="宋体" w:hAnsi="宋体"/>
        <w:sz w:val="21"/>
        <w:szCs w:val="21"/>
        <w:u w:val="single"/>
        <w:lang w:eastAsia="zh-CN"/>
      </w:rPr>
      <w:t>FCZC2020-J1-20004-KLZB</w:t>
    </w:r>
    <w:r>
      <w:rPr>
        <w:rFonts w:hint="eastAsia" w:ascii="宋体" w:hAnsi="宋体"/>
        <w:sz w:val="21"/>
        <w:szCs w:val="21"/>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911FB"/>
    <w:multiLevelType w:val="singleLevel"/>
    <w:tmpl w:val="B6D911FB"/>
    <w:lvl w:ilvl="0" w:tentative="0">
      <w:start w:val="7"/>
      <w:numFmt w:val="chineseCounting"/>
      <w:suff w:val="nothing"/>
      <w:lvlText w:val="%1、"/>
      <w:lvlJc w:val="left"/>
      <w:rPr>
        <w:rFonts w:hint="eastAsia"/>
      </w:rPr>
    </w:lvl>
  </w:abstractNum>
  <w:abstractNum w:abstractNumId="1">
    <w:nsid w:val="D04C26B2"/>
    <w:multiLevelType w:val="singleLevel"/>
    <w:tmpl w:val="D04C26B2"/>
    <w:lvl w:ilvl="0" w:tentative="0">
      <w:start w:val="1"/>
      <w:numFmt w:val="decimal"/>
      <w:suff w:val="nothing"/>
      <w:lvlText w:val="%1、"/>
      <w:lvlJc w:val="left"/>
    </w:lvl>
  </w:abstractNum>
  <w:abstractNum w:abstractNumId="2">
    <w:nsid w:val="1B1B879D"/>
    <w:multiLevelType w:val="singleLevel"/>
    <w:tmpl w:val="1B1B879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C5"/>
    <w:rsid w:val="00003A13"/>
    <w:rsid w:val="00003A68"/>
    <w:rsid w:val="00003ACF"/>
    <w:rsid w:val="0000563E"/>
    <w:rsid w:val="0000664E"/>
    <w:rsid w:val="0000716B"/>
    <w:rsid w:val="00011FE5"/>
    <w:rsid w:val="00012C9C"/>
    <w:rsid w:val="000130D7"/>
    <w:rsid w:val="000139B5"/>
    <w:rsid w:val="00013C0C"/>
    <w:rsid w:val="000157F2"/>
    <w:rsid w:val="00020B2C"/>
    <w:rsid w:val="00021143"/>
    <w:rsid w:val="0002241C"/>
    <w:rsid w:val="000253D5"/>
    <w:rsid w:val="00033286"/>
    <w:rsid w:val="00033E9B"/>
    <w:rsid w:val="000347D0"/>
    <w:rsid w:val="00037464"/>
    <w:rsid w:val="00040E11"/>
    <w:rsid w:val="0004202D"/>
    <w:rsid w:val="0004506E"/>
    <w:rsid w:val="000475D0"/>
    <w:rsid w:val="00047D4E"/>
    <w:rsid w:val="00050096"/>
    <w:rsid w:val="000503AB"/>
    <w:rsid w:val="000506E3"/>
    <w:rsid w:val="00052EF9"/>
    <w:rsid w:val="00053058"/>
    <w:rsid w:val="00053238"/>
    <w:rsid w:val="0005485D"/>
    <w:rsid w:val="00057A3C"/>
    <w:rsid w:val="00060176"/>
    <w:rsid w:val="000661BB"/>
    <w:rsid w:val="00066C1A"/>
    <w:rsid w:val="00067218"/>
    <w:rsid w:val="000678A4"/>
    <w:rsid w:val="000709EB"/>
    <w:rsid w:val="00072A12"/>
    <w:rsid w:val="00074784"/>
    <w:rsid w:val="00082AD8"/>
    <w:rsid w:val="000855DE"/>
    <w:rsid w:val="00086E4C"/>
    <w:rsid w:val="00090CCB"/>
    <w:rsid w:val="000926E7"/>
    <w:rsid w:val="0009450F"/>
    <w:rsid w:val="00095C23"/>
    <w:rsid w:val="000A0BEA"/>
    <w:rsid w:val="000A312C"/>
    <w:rsid w:val="000A648F"/>
    <w:rsid w:val="000A68B3"/>
    <w:rsid w:val="000A6C6F"/>
    <w:rsid w:val="000A752D"/>
    <w:rsid w:val="000A7BD7"/>
    <w:rsid w:val="000B0166"/>
    <w:rsid w:val="000B01A6"/>
    <w:rsid w:val="000B04C7"/>
    <w:rsid w:val="000B1BE3"/>
    <w:rsid w:val="000B1D4B"/>
    <w:rsid w:val="000B204B"/>
    <w:rsid w:val="000B5067"/>
    <w:rsid w:val="000B5C09"/>
    <w:rsid w:val="000C095B"/>
    <w:rsid w:val="000C59C3"/>
    <w:rsid w:val="000C7536"/>
    <w:rsid w:val="000D0391"/>
    <w:rsid w:val="000D3375"/>
    <w:rsid w:val="000D6017"/>
    <w:rsid w:val="000E043B"/>
    <w:rsid w:val="000E08A0"/>
    <w:rsid w:val="000E0D44"/>
    <w:rsid w:val="000E0E95"/>
    <w:rsid w:val="000E1364"/>
    <w:rsid w:val="000E37FE"/>
    <w:rsid w:val="000F2639"/>
    <w:rsid w:val="000F2D07"/>
    <w:rsid w:val="000F4B0E"/>
    <w:rsid w:val="000F621A"/>
    <w:rsid w:val="000F7038"/>
    <w:rsid w:val="000F75C7"/>
    <w:rsid w:val="000F7A15"/>
    <w:rsid w:val="001016EE"/>
    <w:rsid w:val="001024CC"/>
    <w:rsid w:val="00102E04"/>
    <w:rsid w:val="001063E3"/>
    <w:rsid w:val="00106BA0"/>
    <w:rsid w:val="00106FC4"/>
    <w:rsid w:val="00107384"/>
    <w:rsid w:val="001127BD"/>
    <w:rsid w:val="00114382"/>
    <w:rsid w:val="00120C5F"/>
    <w:rsid w:val="00122FA8"/>
    <w:rsid w:val="001235C0"/>
    <w:rsid w:val="00123BD6"/>
    <w:rsid w:val="00126823"/>
    <w:rsid w:val="0012746A"/>
    <w:rsid w:val="0012759F"/>
    <w:rsid w:val="0012785C"/>
    <w:rsid w:val="00131376"/>
    <w:rsid w:val="00136FD9"/>
    <w:rsid w:val="001375FF"/>
    <w:rsid w:val="00140DA9"/>
    <w:rsid w:val="00140ECE"/>
    <w:rsid w:val="001423DF"/>
    <w:rsid w:val="00142D5A"/>
    <w:rsid w:val="00143660"/>
    <w:rsid w:val="00145991"/>
    <w:rsid w:val="00145A79"/>
    <w:rsid w:val="0014619A"/>
    <w:rsid w:val="00146478"/>
    <w:rsid w:val="00146E78"/>
    <w:rsid w:val="0014734D"/>
    <w:rsid w:val="001474E9"/>
    <w:rsid w:val="00147F0D"/>
    <w:rsid w:val="00150D7B"/>
    <w:rsid w:val="00153A08"/>
    <w:rsid w:val="00154114"/>
    <w:rsid w:val="00154923"/>
    <w:rsid w:val="00154928"/>
    <w:rsid w:val="001556BF"/>
    <w:rsid w:val="00156686"/>
    <w:rsid w:val="00156B0D"/>
    <w:rsid w:val="0016084E"/>
    <w:rsid w:val="0016405E"/>
    <w:rsid w:val="00164EC0"/>
    <w:rsid w:val="00166BBE"/>
    <w:rsid w:val="0016707F"/>
    <w:rsid w:val="00173409"/>
    <w:rsid w:val="00173A4E"/>
    <w:rsid w:val="001744C5"/>
    <w:rsid w:val="00174855"/>
    <w:rsid w:val="001806A4"/>
    <w:rsid w:val="00180EE7"/>
    <w:rsid w:val="00184205"/>
    <w:rsid w:val="00187E6D"/>
    <w:rsid w:val="00191E35"/>
    <w:rsid w:val="00191FD0"/>
    <w:rsid w:val="001933B2"/>
    <w:rsid w:val="00193C3C"/>
    <w:rsid w:val="00196849"/>
    <w:rsid w:val="001A0022"/>
    <w:rsid w:val="001A1349"/>
    <w:rsid w:val="001A1EDB"/>
    <w:rsid w:val="001A4445"/>
    <w:rsid w:val="001A57DB"/>
    <w:rsid w:val="001A5842"/>
    <w:rsid w:val="001A6D4B"/>
    <w:rsid w:val="001B62B5"/>
    <w:rsid w:val="001B7C64"/>
    <w:rsid w:val="001C020E"/>
    <w:rsid w:val="001C0A0E"/>
    <w:rsid w:val="001C2315"/>
    <w:rsid w:val="001C3093"/>
    <w:rsid w:val="001C3256"/>
    <w:rsid w:val="001C7569"/>
    <w:rsid w:val="001D0BA8"/>
    <w:rsid w:val="001D0E06"/>
    <w:rsid w:val="001D11D3"/>
    <w:rsid w:val="001D30AD"/>
    <w:rsid w:val="001D662C"/>
    <w:rsid w:val="001D752E"/>
    <w:rsid w:val="001E0143"/>
    <w:rsid w:val="001E0216"/>
    <w:rsid w:val="001E1E2E"/>
    <w:rsid w:val="001E26D1"/>
    <w:rsid w:val="001E2734"/>
    <w:rsid w:val="001E32C2"/>
    <w:rsid w:val="001E359B"/>
    <w:rsid w:val="001E3AAA"/>
    <w:rsid w:val="001E4236"/>
    <w:rsid w:val="001E5627"/>
    <w:rsid w:val="001E6540"/>
    <w:rsid w:val="001E7105"/>
    <w:rsid w:val="001F03BC"/>
    <w:rsid w:val="001F050C"/>
    <w:rsid w:val="001F09F0"/>
    <w:rsid w:val="001F2AED"/>
    <w:rsid w:val="001F5C36"/>
    <w:rsid w:val="001F6171"/>
    <w:rsid w:val="001F6EEF"/>
    <w:rsid w:val="001F7D47"/>
    <w:rsid w:val="00202948"/>
    <w:rsid w:val="00203C74"/>
    <w:rsid w:val="00203FC5"/>
    <w:rsid w:val="00204AAC"/>
    <w:rsid w:val="00204C56"/>
    <w:rsid w:val="00205731"/>
    <w:rsid w:val="00206C2D"/>
    <w:rsid w:val="00207EEA"/>
    <w:rsid w:val="00211C06"/>
    <w:rsid w:val="002129B1"/>
    <w:rsid w:val="002130E0"/>
    <w:rsid w:val="0021376B"/>
    <w:rsid w:val="00213D81"/>
    <w:rsid w:val="00221B0F"/>
    <w:rsid w:val="00222574"/>
    <w:rsid w:val="0022271A"/>
    <w:rsid w:val="00222B16"/>
    <w:rsid w:val="00223747"/>
    <w:rsid w:val="00230560"/>
    <w:rsid w:val="00232725"/>
    <w:rsid w:val="00232849"/>
    <w:rsid w:val="00232BD0"/>
    <w:rsid w:val="0023324F"/>
    <w:rsid w:val="00234527"/>
    <w:rsid w:val="002366A0"/>
    <w:rsid w:val="00237786"/>
    <w:rsid w:val="002379EA"/>
    <w:rsid w:val="00242C0D"/>
    <w:rsid w:val="0024372C"/>
    <w:rsid w:val="002437F2"/>
    <w:rsid w:val="00243F2B"/>
    <w:rsid w:val="002458B5"/>
    <w:rsid w:val="002458FA"/>
    <w:rsid w:val="002467A3"/>
    <w:rsid w:val="0024796D"/>
    <w:rsid w:val="00247AAF"/>
    <w:rsid w:val="00250A16"/>
    <w:rsid w:val="00256400"/>
    <w:rsid w:val="002571B2"/>
    <w:rsid w:val="002606C3"/>
    <w:rsid w:val="00261E32"/>
    <w:rsid w:val="00262C39"/>
    <w:rsid w:val="00263235"/>
    <w:rsid w:val="002636B1"/>
    <w:rsid w:val="0026472E"/>
    <w:rsid w:val="0026664C"/>
    <w:rsid w:val="00270E0B"/>
    <w:rsid w:val="0027133A"/>
    <w:rsid w:val="00271D73"/>
    <w:rsid w:val="00277BFC"/>
    <w:rsid w:val="00280F90"/>
    <w:rsid w:val="00282838"/>
    <w:rsid w:val="0028797E"/>
    <w:rsid w:val="002909C9"/>
    <w:rsid w:val="002914FC"/>
    <w:rsid w:val="00293B00"/>
    <w:rsid w:val="0029511C"/>
    <w:rsid w:val="002951FF"/>
    <w:rsid w:val="002954B5"/>
    <w:rsid w:val="00295B38"/>
    <w:rsid w:val="00297730"/>
    <w:rsid w:val="00297EF3"/>
    <w:rsid w:val="002A0925"/>
    <w:rsid w:val="002A0DB9"/>
    <w:rsid w:val="002A0FBB"/>
    <w:rsid w:val="002A27B8"/>
    <w:rsid w:val="002A3466"/>
    <w:rsid w:val="002A6B3A"/>
    <w:rsid w:val="002B3CC3"/>
    <w:rsid w:val="002B423A"/>
    <w:rsid w:val="002B4B2C"/>
    <w:rsid w:val="002B5DA1"/>
    <w:rsid w:val="002B6058"/>
    <w:rsid w:val="002B702F"/>
    <w:rsid w:val="002B7CDB"/>
    <w:rsid w:val="002C02CA"/>
    <w:rsid w:val="002C4FB8"/>
    <w:rsid w:val="002D06AF"/>
    <w:rsid w:val="002D0CAB"/>
    <w:rsid w:val="002D3D77"/>
    <w:rsid w:val="002D4497"/>
    <w:rsid w:val="002D4B27"/>
    <w:rsid w:val="002D5A7C"/>
    <w:rsid w:val="002D6E9C"/>
    <w:rsid w:val="002D7005"/>
    <w:rsid w:val="002E0186"/>
    <w:rsid w:val="002E04F7"/>
    <w:rsid w:val="002E0D3B"/>
    <w:rsid w:val="002E1477"/>
    <w:rsid w:val="002E1863"/>
    <w:rsid w:val="002E1F45"/>
    <w:rsid w:val="002E4DA5"/>
    <w:rsid w:val="002E521D"/>
    <w:rsid w:val="002E5B59"/>
    <w:rsid w:val="002E6978"/>
    <w:rsid w:val="002F1672"/>
    <w:rsid w:val="002F1DBA"/>
    <w:rsid w:val="002F1F79"/>
    <w:rsid w:val="002F315D"/>
    <w:rsid w:val="002F68E0"/>
    <w:rsid w:val="00300029"/>
    <w:rsid w:val="003000DF"/>
    <w:rsid w:val="00301777"/>
    <w:rsid w:val="0030505F"/>
    <w:rsid w:val="003069A0"/>
    <w:rsid w:val="00310F3E"/>
    <w:rsid w:val="00311078"/>
    <w:rsid w:val="003133FD"/>
    <w:rsid w:val="003135B4"/>
    <w:rsid w:val="00313C2F"/>
    <w:rsid w:val="003156A2"/>
    <w:rsid w:val="0031630D"/>
    <w:rsid w:val="00316314"/>
    <w:rsid w:val="003172D7"/>
    <w:rsid w:val="003213F2"/>
    <w:rsid w:val="0032145B"/>
    <w:rsid w:val="0032181A"/>
    <w:rsid w:val="0032222A"/>
    <w:rsid w:val="00323015"/>
    <w:rsid w:val="0032336B"/>
    <w:rsid w:val="00323A4D"/>
    <w:rsid w:val="00324525"/>
    <w:rsid w:val="00324C15"/>
    <w:rsid w:val="003253FC"/>
    <w:rsid w:val="00326938"/>
    <w:rsid w:val="003278DC"/>
    <w:rsid w:val="003316D0"/>
    <w:rsid w:val="003319DA"/>
    <w:rsid w:val="003341E4"/>
    <w:rsid w:val="0033432C"/>
    <w:rsid w:val="003345BE"/>
    <w:rsid w:val="00334DE5"/>
    <w:rsid w:val="00335719"/>
    <w:rsid w:val="0033605A"/>
    <w:rsid w:val="003404E7"/>
    <w:rsid w:val="00341FA9"/>
    <w:rsid w:val="00343186"/>
    <w:rsid w:val="0034336B"/>
    <w:rsid w:val="003433C7"/>
    <w:rsid w:val="00343823"/>
    <w:rsid w:val="0035026B"/>
    <w:rsid w:val="003522C3"/>
    <w:rsid w:val="00354609"/>
    <w:rsid w:val="00355380"/>
    <w:rsid w:val="003562B8"/>
    <w:rsid w:val="003572B5"/>
    <w:rsid w:val="00362826"/>
    <w:rsid w:val="003668C1"/>
    <w:rsid w:val="00366F4E"/>
    <w:rsid w:val="00370406"/>
    <w:rsid w:val="00370F01"/>
    <w:rsid w:val="00374164"/>
    <w:rsid w:val="00374AD1"/>
    <w:rsid w:val="0037635C"/>
    <w:rsid w:val="00377351"/>
    <w:rsid w:val="00380B04"/>
    <w:rsid w:val="00384B37"/>
    <w:rsid w:val="00385E07"/>
    <w:rsid w:val="00385FA3"/>
    <w:rsid w:val="003861B5"/>
    <w:rsid w:val="00390859"/>
    <w:rsid w:val="003925DC"/>
    <w:rsid w:val="00392D2A"/>
    <w:rsid w:val="0039528E"/>
    <w:rsid w:val="0039643F"/>
    <w:rsid w:val="003965B7"/>
    <w:rsid w:val="003A0071"/>
    <w:rsid w:val="003A23CF"/>
    <w:rsid w:val="003A269C"/>
    <w:rsid w:val="003A3984"/>
    <w:rsid w:val="003A42AB"/>
    <w:rsid w:val="003A5626"/>
    <w:rsid w:val="003A72DE"/>
    <w:rsid w:val="003B20AB"/>
    <w:rsid w:val="003B2EEB"/>
    <w:rsid w:val="003B6C7C"/>
    <w:rsid w:val="003B6DE8"/>
    <w:rsid w:val="003B7A7A"/>
    <w:rsid w:val="003C172A"/>
    <w:rsid w:val="003C241F"/>
    <w:rsid w:val="003C28ED"/>
    <w:rsid w:val="003C7735"/>
    <w:rsid w:val="003D0862"/>
    <w:rsid w:val="003D334A"/>
    <w:rsid w:val="003D65FB"/>
    <w:rsid w:val="003D7EA8"/>
    <w:rsid w:val="003E28D2"/>
    <w:rsid w:val="003E3BD7"/>
    <w:rsid w:val="003E4378"/>
    <w:rsid w:val="003E4887"/>
    <w:rsid w:val="003E6E42"/>
    <w:rsid w:val="003F02C3"/>
    <w:rsid w:val="003F14D1"/>
    <w:rsid w:val="003F46DA"/>
    <w:rsid w:val="003F544D"/>
    <w:rsid w:val="003F63B2"/>
    <w:rsid w:val="00401915"/>
    <w:rsid w:val="0040233B"/>
    <w:rsid w:val="00411BCF"/>
    <w:rsid w:val="00412206"/>
    <w:rsid w:val="00414BE6"/>
    <w:rsid w:val="0041752C"/>
    <w:rsid w:val="00417D8A"/>
    <w:rsid w:val="00417E45"/>
    <w:rsid w:val="00420B9C"/>
    <w:rsid w:val="00421007"/>
    <w:rsid w:val="00422BA0"/>
    <w:rsid w:val="00422ECB"/>
    <w:rsid w:val="00423E16"/>
    <w:rsid w:val="004317B9"/>
    <w:rsid w:val="004318E4"/>
    <w:rsid w:val="00431A17"/>
    <w:rsid w:val="004320E9"/>
    <w:rsid w:val="00434F23"/>
    <w:rsid w:val="00435A81"/>
    <w:rsid w:val="004367A9"/>
    <w:rsid w:val="00436A29"/>
    <w:rsid w:val="00437A7F"/>
    <w:rsid w:val="004404BE"/>
    <w:rsid w:val="00441DB9"/>
    <w:rsid w:val="00443E3A"/>
    <w:rsid w:val="00451258"/>
    <w:rsid w:val="00452595"/>
    <w:rsid w:val="00452D17"/>
    <w:rsid w:val="00454582"/>
    <w:rsid w:val="0045581C"/>
    <w:rsid w:val="00457158"/>
    <w:rsid w:val="0045779E"/>
    <w:rsid w:val="0045784F"/>
    <w:rsid w:val="004609A4"/>
    <w:rsid w:val="0046119B"/>
    <w:rsid w:val="0046139B"/>
    <w:rsid w:val="00462880"/>
    <w:rsid w:val="00465138"/>
    <w:rsid w:val="004657DB"/>
    <w:rsid w:val="00467AAF"/>
    <w:rsid w:val="0047172D"/>
    <w:rsid w:val="00473213"/>
    <w:rsid w:val="004746B4"/>
    <w:rsid w:val="00475BCF"/>
    <w:rsid w:val="00476012"/>
    <w:rsid w:val="00476989"/>
    <w:rsid w:val="00477032"/>
    <w:rsid w:val="00483320"/>
    <w:rsid w:val="00483B66"/>
    <w:rsid w:val="00486F34"/>
    <w:rsid w:val="0048725C"/>
    <w:rsid w:val="00490CB0"/>
    <w:rsid w:val="004923E2"/>
    <w:rsid w:val="004926E0"/>
    <w:rsid w:val="00492E33"/>
    <w:rsid w:val="00493143"/>
    <w:rsid w:val="00493A1A"/>
    <w:rsid w:val="00496558"/>
    <w:rsid w:val="00496602"/>
    <w:rsid w:val="00496F58"/>
    <w:rsid w:val="004976D3"/>
    <w:rsid w:val="00497C72"/>
    <w:rsid w:val="004A00B5"/>
    <w:rsid w:val="004A0660"/>
    <w:rsid w:val="004A17C9"/>
    <w:rsid w:val="004A496C"/>
    <w:rsid w:val="004B1E79"/>
    <w:rsid w:val="004B235A"/>
    <w:rsid w:val="004B3B5E"/>
    <w:rsid w:val="004B6094"/>
    <w:rsid w:val="004B7C29"/>
    <w:rsid w:val="004B7CB5"/>
    <w:rsid w:val="004C0430"/>
    <w:rsid w:val="004C1CAB"/>
    <w:rsid w:val="004C520C"/>
    <w:rsid w:val="004C57B7"/>
    <w:rsid w:val="004C59AF"/>
    <w:rsid w:val="004C64BD"/>
    <w:rsid w:val="004D277F"/>
    <w:rsid w:val="004D2C18"/>
    <w:rsid w:val="004D2DD5"/>
    <w:rsid w:val="004D670B"/>
    <w:rsid w:val="004D760B"/>
    <w:rsid w:val="004D7AB1"/>
    <w:rsid w:val="004D7F40"/>
    <w:rsid w:val="004E136A"/>
    <w:rsid w:val="004E1B6B"/>
    <w:rsid w:val="004E2517"/>
    <w:rsid w:val="004E25ED"/>
    <w:rsid w:val="004E3931"/>
    <w:rsid w:val="004E3A30"/>
    <w:rsid w:val="004E4286"/>
    <w:rsid w:val="004E4B83"/>
    <w:rsid w:val="004F02CD"/>
    <w:rsid w:val="004F399E"/>
    <w:rsid w:val="004F6932"/>
    <w:rsid w:val="004F7855"/>
    <w:rsid w:val="00500B83"/>
    <w:rsid w:val="00500C66"/>
    <w:rsid w:val="00501E79"/>
    <w:rsid w:val="00504DA6"/>
    <w:rsid w:val="00505BD6"/>
    <w:rsid w:val="005066CC"/>
    <w:rsid w:val="00507048"/>
    <w:rsid w:val="00507336"/>
    <w:rsid w:val="00510B55"/>
    <w:rsid w:val="00510FE2"/>
    <w:rsid w:val="00511306"/>
    <w:rsid w:val="0051164E"/>
    <w:rsid w:val="00512CBB"/>
    <w:rsid w:val="00514615"/>
    <w:rsid w:val="00514D1B"/>
    <w:rsid w:val="005171A8"/>
    <w:rsid w:val="005174C0"/>
    <w:rsid w:val="00517A5A"/>
    <w:rsid w:val="00520CF8"/>
    <w:rsid w:val="00523AE4"/>
    <w:rsid w:val="005244DE"/>
    <w:rsid w:val="00525A42"/>
    <w:rsid w:val="00526A9E"/>
    <w:rsid w:val="00526EA0"/>
    <w:rsid w:val="00527AC7"/>
    <w:rsid w:val="00530173"/>
    <w:rsid w:val="00531BDD"/>
    <w:rsid w:val="00532275"/>
    <w:rsid w:val="0053340E"/>
    <w:rsid w:val="005401CB"/>
    <w:rsid w:val="0054250F"/>
    <w:rsid w:val="00545CBD"/>
    <w:rsid w:val="005469F8"/>
    <w:rsid w:val="00551AC4"/>
    <w:rsid w:val="00552B50"/>
    <w:rsid w:val="005530E7"/>
    <w:rsid w:val="00553D4A"/>
    <w:rsid w:val="00555B52"/>
    <w:rsid w:val="005563B4"/>
    <w:rsid w:val="00560E23"/>
    <w:rsid w:val="00561967"/>
    <w:rsid w:val="00561B9F"/>
    <w:rsid w:val="005622CD"/>
    <w:rsid w:val="005629D3"/>
    <w:rsid w:val="00563C13"/>
    <w:rsid w:val="00563C3F"/>
    <w:rsid w:val="005663F5"/>
    <w:rsid w:val="00567465"/>
    <w:rsid w:val="0057114B"/>
    <w:rsid w:val="0057129F"/>
    <w:rsid w:val="005718C0"/>
    <w:rsid w:val="0057398A"/>
    <w:rsid w:val="00574573"/>
    <w:rsid w:val="005769B9"/>
    <w:rsid w:val="00580417"/>
    <w:rsid w:val="00582D51"/>
    <w:rsid w:val="005856C1"/>
    <w:rsid w:val="00586655"/>
    <w:rsid w:val="00587C9A"/>
    <w:rsid w:val="00591002"/>
    <w:rsid w:val="00594294"/>
    <w:rsid w:val="005A0945"/>
    <w:rsid w:val="005A30B4"/>
    <w:rsid w:val="005A6A48"/>
    <w:rsid w:val="005A7F50"/>
    <w:rsid w:val="005B1767"/>
    <w:rsid w:val="005B2B61"/>
    <w:rsid w:val="005B4F97"/>
    <w:rsid w:val="005B59A1"/>
    <w:rsid w:val="005B762F"/>
    <w:rsid w:val="005B7959"/>
    <w:rsid w:val="005B7E7E"/>
    <w:rsid w:val="005C07E8"/>
    <w:rsid w:val="005C0F84"/>
    <w:rsid w:val="005C3FF9"/>
    <w:rsid w:val="005C5CCB"/>
    <w:rsid w:val="005C7B70"/>
    <w:rsid w:val="005D1C7B"/>
    <w:rsid w:val="005D40FF"/>
    <w:rsid w:val="005D523F"/>
    <w:rsid w:val="005D5E81"/>
    <w:rsid w:val="005D6FF8"/>
    <w:rsid w:val="005E198A"/>
    <w:rsid w:val="005E4770"/>
    <w:rsid w:val="005E514A"/>
    <w:rsid w:val="005E5D8A"/>
    <w:rsid w:val="005E5FAF"/>
    <w:rsid w:val="005F065A"/>
    <w:rsid w:val="005F2C43"/>
    <w:rsid w:val="005F4EF5"/>
    <w:rsid w:val="005F5AC3"/>
    <w:rsid w:val="005F6335"/>
    <w:rsid w:val="005F6DC4"/>
    <w:rsid w:val="005F7138"/>
    <w:rsid w:val="005F77A8"/>
    <w:rsid w:val="005F79C0"/>
    <w:rsid w:val="005F7E2E"/>
    <w:rsid w:val="0060311D"/>
    <w:rsid w:val="00603D2F"/>
    <w:rsid w:val="006043A4"/>
    <w:rsid w:val="00604687"/>
    <w:rsid w:val="0060591C"/>
    <w:rsid w:val="006059DB"/>
    <w:rsid w:val="00606333"/>
    <w:rsid w:val="00606488"/>
    <w:rsid w:val="0061011A"/>
    <w:rsid w:val="00611D72"/>
    <w:rsid w:val="00612008"/>
    <w:rsid w:val="0061205C"/>
    <w:rsid w:val="0061212A"/>
    <w:rsid w:val="00615833"/>
    <w:rsid w:val="0061638A"/>
    <w:rsid w:val="00617255"/>
    <w:rsid w:val="00617485"/>
    <w:rsid w:val="00617846"/>
    <w:rsid w:val="006205AD"/>
    <w:rsid w:val="00621C11"/>
    <w:rsid w:val="0062270C"/>
    <w:rsid w:val="00622D2C"/>
    <w:rsid w:val="006235E6"/>
    <w:rsid w:val="00623EF8"/>
    <w:rsid w:val="00624256"/>
    <w:rsid w:val="006255FA"/>
    <w:rsid w:val="00631B3D"/>
    <w:rsid w:val="00631C57"/>
    <w:rsid w:val="006341F1"/>
    <w:rsid w:val="0063691C"/>
    <w:rsid w:val="00640A60"/>
    <w:rsid w:val="006439E0"/>
    <w:rsid w:val="00645671"/>
    <w:rsid w:val="006474FF"/>
    <w:rsid w:val="00653676"/>
    <w:rsid w:val="006539EB"/>
    <w:rsid w:val="00654320"/>
    <w:rsid w:val="006548A0"/>
    <w:rsid w:val="006569B5"/>
    <w:rsid w:val="00656E4A"/>
    <w:rsid w:val="0066079E"/>
    <w:rsid w:val="00660B2E"/>
    <w:rsid w:val="0066117D"/>
    <w:rsid w:val="00661380"/>
    <w:rsid w:val="00662426"/>
    <w:rsid w:val="00665156"/>
    <w:rsid w:val="00667272"/>
    <w:rsid w:val="006714D8"/>
    <w:rsid w:val="0067376F"/>
    <w:rsid w:val="00674C53"/>
    <w:rsid w:val="00675A88"/>
    <w:rsid w:val="00677AB9"/>
    <w:rsid w:val="00680B53"/>
    <w:rsid w:val="006859D1"/>
    <w:rsid w:val="0068628D"/>
    <w:rsid w:val="00691683"/>
    <w:rsid w:val="00691AA8"/>
    <w:rsid w:val="00692A66"/>
    <w:rsid w:val="00694336"/>
    <w:rsid w:val="0069718C"/>
    <w:rsid w:val="00697675"/>
    <w:rsid w:val="006978B0"/>
    <w:rsid w:val="006A0F84"/>
    <w:rsid w:val="006A2846"/>
    <w:rsid w:val="006A56CF"/>
    <w:rsid w:val="006B0457"/>
    <w:rsid w:val="006B1238"/>
    <w:rsid w:val="006B26E9"/>
    <w:rsid w:val="006B5953"/>
    <w:rsid w:val="006B670E"/>
    <w:rsid w:val="006C0D53"/>
    <w:rsid w:val="006C198E"/>
    <w:rsid w:val="006C1A8D"/>
    <w:rsid w:val="006C25D8"/>
    <w:rsid w:val="006C5BA2"/>
    <w:rsid w:val="006C6448"/>
    <w:rsid w:val="006C6B7F"/>
    <w:rsid w:val="006C7047"/>
    <w:rsid w:val="006D0487"/>
    <w:rsid w:val="006D111B"/>
    <w:rsid w:val="006D19F3"/>
    <w:rsid w:val="006D5395"/>
    <w:rsid w:val="006D7A00"/>
    <w:rsid w:val="006E0E69"/>
    <w:rsid w:val="006E1110"/>
    <w:rsid w:val="006E3CA5"/>
    <w:rsid w:val="006E4C7D"/>
    <w:rsid w:val="006F0FA8"/>
    <w:rsid w:val="006F233C"/>
    <w:rsid w:val="006F5F76"/>
    <w:rsid w:val="007001EF"/>
    <w:rsid w:val="00701AF4"/>
    <w:rsid w:val="0070381C"/>
    <w:rsid w:val="00704490"/>
    <w:rsid w:val="00704D7E"/>
    <w:rsid w:val="00706F88"/>
    <w:rsid w:val="007070A3"/>
    <w:rsid w:val="00707564"/>
    <w:rsid w:val="0071023B"/>
    <w:rsid w:val="0071107A"/>
    <w:rsid w:val="00712866"/>
    <w:rsid w:val="007137A9"/>
    <w:rsid w:val="00713D3E"/>
    <w:rsid w:val="00713DE4"/>
    <w:rsid w:val="007145BC"/>
    <w:rsid w:val="007149A4"/>
    <w:rsid w:val="0072155A"/>
    <w:rsid w:val="0072217A"/>
    <w:rsid w:val="0072389D"/>
    <w:rsid w:val="007242C0"/>
    <w:rsid w:val="00726320"/>
    <w:rsid w:val="00732437"/>
    <w:rsid w:val="00733BA6"/>
    <w:rsid w:val="007344AC"/>
    <w:rsid w:val="007373FC"/>
    <w:rsid w:val="00737787"/>
    <w:rsid w:val="007416DB"/>
    <w:rsid w:val="0074197A"/>
    <w:rsid w:val="00745B45"/>
    <w:rsid w:val="00745F1F"/>
    <w:rsid w:val="007535E0"/>
    <w:rsid w:val="00754F97"/>
    <w:rsid w:val="00756830"/>
    <w:rsid w:val="00756AD6"/>
    <w:rsid w:val="00761BD0"/>
    <w:rsid w:val="00761F92"/>
    <w:rsid w:val="00762D71"/>
    <w:rsid w:val="007651A4"/>
    <w:rsid w:val="007664C5"/>
    <w:rsid w:val="0076702D"/>
    <w:rsid w:val="00770363"/>
    <w:rsid w:val="00771D1D"/>
    <w:rsid w:val="00774953"/>
    <w:rsid w:val="00775C3A"/>
    <w:rsid w:val="00776B58"/>
    <w:rsid w:val="0078425C"/>
    <w:rsid w:val="0078456C"/>
    <w:rsid w:val="007900B9"/>
    <w:rsid w:val="00790310"/>
    <w:rsid w:val="00792CC4"/>
    <w:rsid w:val="00793B35"/>
    <w:rsid w:val="00794647"/>
    <w:rsid w:val="007960FA"/>
    <w:rsid w:val="007A07C5"/>
    <w:rsid w:val="007A1135"/>
    <w:rsid w:val="007A23D8"/>
    <w:rsid w:val="007A54AC"/>
    <w:rsid w:val="007A7899"/>
    <w:rsid w:val="007B1DD3"/>
    <w:rsid w:val="007B37C0"/>
    <w:rsid w:val="007B422C"/>
    <w:rsid w:val="007B4CC5"/>
    <w:rsid w:val="007B66A1"/>
    <w:rsid w:val="007C01DE"/>
    <w:rsid w:val="007C0558"/>
    <w:rsid w:val="007C14E9"/>
    <w:rsid w:val="007C3881"/>
    <w:rsid w:val="007C4617"/>
    <w:rsid w:val="007C59D7"/>
    <w:rsid w:val="007C59E0"/>
    <w:rsid w:val="007C5CA3"/>
    <w:rsid w:val="007C68B4"/>
    <w:rsid w:val="007C6CFC"/>
    <w:rsid w:val="007C7258"/>
    <w:rsid w:val="007C7858"/>
    <w:rsid w:val="007D0203"/>
    <w:rsid w:val="007D0B0F"/>
    <w:rsid w:val="007D33F3"/>
    <w:rsid w:val="007D35AA"/>
    <w:rsid w:val="007D4469"/>
    <w:rsid w:val="007D45B2"/>
    <w:rsid w:val="007D63B3"/>
    <w:rsid w:val="007E17FC"/>
    <w:rsid w:val="007E2C0A"/>
    <w:rsid w:val="007E2E9E"/>
    <w:rsid w:val="007E45BD"/>
    <w:rsid w:val="007E639F"/>
    <w:rsid w:val="007E7F77"/>
    <w:rsid w:val="007F0786"/>
    <w:rsid w:val="007F14B4"/>
    <w:rsid w:val="008004DC"/>
    <w:rsid w:val="00800509"/>
    <w:rsid w:val="00800DB3"/>
    <w:rsid w:val="00802E1D"/>
    <w:rsid w:val="00803D2A"/>
    <w:rsid w:val="0080426F"/>
    <w:rsid w:val="00805004"/>
    <w:rsid w:val="00806B19"/>
    <w:rsid w:val="00810716"/>
    <w:rsid w:val="0081271B"/>
    <w:rsid w:val="008140D2"/>
    <w:rsid w:val="008145A8"/>
    <w:rsid w:val="00815032"/>
    <w:rsid w:val="008155AD"/>
    <w:rsid w:val="00817D48"/>
    <w:rsid w:val="00817EF3"/>
    <w:rsid w:val="008248EB"/>
    <w:rsid w:val="0082508B"/>
    <w:rsid w:val="008257D3"/>
    <w:rsid w:val="0082748C"/>
    <w:rsid w:val="00827D66"/>
    <w:rsid w:val="008312F0"/>
    <w:rsid w:val="008337C7"/>
    <w:rsid w:val="00833EF4"/>
    <w:rsid w:val="008342B4"/>
    <w:rsid w:val="00834F9D"/>
    <w:rsid w:val="0083595A"/>
    <w:rsid w:val="0084038B"/>
    <w:rsid w:val="008416C2"/>
    <w:rsid w:val="00841C8C"/>
    <w:rsid w:val="008420DC"/>
    <w:rsid w:val="00842432"/>
    <w:rsid w:val="008508E2"/>
    <w:rsid w:val="008533DE"/>
    <w:rsid w:val="00853DB7"/>
    <w:rsid w:val="00856CAF"/>
    <w:rsid w:val="008575C6"/>
    <w:rsid w:val="008610C0"/>
    <w:rsid w:val="00862AC7"/>
    <w:rsid w:val="008636F5"/>
    <w:rsid w:val="008665CD"/>
    <w:rsid w:val="0086749B"/>
    <w:rsid w:val="008737C3"/>
    <w:rsid w:val="008767A7"/>
    <w:rsid w:val="00877380"/>
    <w:rsid w:val="00882614"/>
    <w:rsid w:val="00882BDF"/>
    <w:rsid w:val="00884F00"/>
    <w:rsid w:val="00885F35"/>
    <w:rsid w:val="0089060D"/>
    <w:rsid w:val="00891C2C"/>
    <w:rsid w:val="0089251E"/>
    <w:rsid w:val="00894D40"/>
    <w:rsid w:val="00895885"/>
    <w:rsid w:val="008A170A"/>
    <w:rsid w:val="008A3FF9"/>
    <w:rsid w:val="008A4281"/>
    <w:rsid w:val="008B1F48"/>
    <w:rsid w:val="008B387F"/>
    <w:rsid w:val="008B4295"/>
    <w:rsid w:val="008B6F4C"/>
    <w:rsid w:val="008C057F"/>
    <w:rsid w:val="008C2B44"/>
    <w:rsid w:val="008C3FCB"/>
    <w:rsid w:val="008D055D"/>
    <w:rsid w:val="008D081B"/>
    <w:rsid w:val="008D1074"/>
    <w:rsid w:val="008D2B5A"/>
    <w:rsid w:val="008D315B"/>
    <w:rsid w:val="008D4EEE"/>
    <w:rsid w:val="008D6778"/>
    <w:rsid w:val="008E076D"/>
    <w:rsid w:val="008E0895"/>
    <w:rsid w:val="008E0DE7"/>
    <w:rsid w:val="008E2464"/>
    <w:rsid w:val="008E45B5"/>
    <w:rsid w:val="008E4D78"/>
    <w:rsid w:val="008E640F"/>
    <w:rsid w:val="008E6A17"/>
    <w:rsid w:val="008E768C"/>
    <w:rsid w:val="008F02CE"/>
    <w:rsid w:val="008F0A3C"/>
    <w:rsid w:val="008F2619"/>
    <w:rsid w:val="008F2A1D"/>
    <w:rsid w:val="008F39B7"/>
    <w:rsid w:val="008F4050"/>
    <w:rsid w:val="008F4B5E"/>
    <w:rsid w:val="008F50B9"/>
    <w:rsid w:val="008F5F96"/>
    <w:rsid w:val="008F713C"/>
    <w:rsid w:val="00900DE5"/>
    <w:rsid w:val="0090248D"/>
    <w:rsid w:val="00904F49"/>
    <w:rsid w:val="0092002B"/>
    <w:rsid w:val="0092098D"/>
    <w:rsid w:val="00923D37"/>
    <w:rsid w:val="00924867"/>
    <w:rsid w:val="0092519C"/>
    <w:rsid w:val="00926343"/>
    <w:rsid w:val="00927953"/>
    <w:rsid w:val="00930459"/>
    <w:rsid w:val="00930EBA"/>
    <w:rsid w:val="009323E8"/>
    <w:rsid w:val="00933356"/>
    <w:rsid w:val="00933B44"/>
    <w:rsid w:val="00933FC8"/>
    <w:rsid w:val="0093585C"/>
    <w:rsid w:val="00935C84"/>
    <w:rsid w:val="00935F4A"/>
    <w:rsid w:val="009400AC"/>
    <w:rsid w:val="009408F8"/>
    <w:rsid w:val="00940B55"/>
    <w:rsid w:val="00942B15"/>
    <w:rsid w:val="00946292"/>
    <w:rsid w:val="00946EDF"/>
    <w:rsid w:val="009476DB"/>
    <w:rsid w:val="0094794E"/>
    <w:rsid w:val="00947F33"/>
    <w:rsid w:val="0095069D"/>
    <w:rsid w:val="00950AA0"/>
    <w:rsid w:val="009572AC"/>
    <w:rsid w:val="009600B4"/>
    <w:rsid w:val="00960F9A"/>
    <w:rsid w:val="00961E4C"/>
    <w:rsid w:val="009640F6"/>
    <w:rsid w:val="0096415F"/>
    <w:rsid w:val="009719FF"/>
    <w:rsid w:val="00971BFF"/>
    <w:rsid w:val="00974D5F"/>
    <w:rsid w:val="0097528D"/>
    <w:rsid w:val="00975BD9"/>
    <w:rsid w:val="00975FE2"/>
    <w:rsid w:val="009803C3"/>
    <w:rsid w:val="009811A8"/>
    <w:rsid w:val="00983065"/>
    <w:rsid w:val="00984458"/>
    <w:rsid w:val="00985737"/>
    <w:rsid w:val="00987FA2"/>
    <w:rsid w:val="009919D3"/>
    <w:rsid w:val="0099453F"/>
    <w:rsid w:val="00997102"/>
    <w:rsid w:val="00997B5C"/>
    <w:rsid w:val="009A149F"/>
    <w:rsid w:val="009A1725"/>
    <w:rsid w:val="009A1CB5"/>
    <w:rsid w:val="009A395D"/>
    <w:rsid w:val="009A438D"/>
    <w:rsid w:val="009A4A78"/>
    <w:rsid w:val="009A6116"/>
    <w:rsid w:val="009A76B8"/>
    <w:rsid w:val="009A7A8F"/>
    <w:rsid w:val="009B35F4"/>
    <w:rsid w:val="009B4E06"/>
    <w:rsid w:val="009B7641"/>
    <w:rsid w:val="009C0C93"/>
    <w:rsid w:val="009C1FBE"/>
    <w:rsid w:val="009C31C7"/>
    <w:rsid w:val="009C3280"/>
    <w:rsid w:val="009C3CA6"/>
    <w:rsid w:val="009D234F"/>
    <w:rsid w:val="009D2839"/>
    <w:rsid w:val="009D31DB"/>
    <w:rsid w:val="009D4542"/>
    <w:rsid w:val="009D482B"/>
    <w:rsid w:val="009D7F3E"/>
    <w:rsid w:val="009E0D3D"/>
    <w:rsid w:val="009E3156"/>
    <w:rsid w:val="009E3536"/>
    <w:rsid w:val="009E35D4"/>
    <w:rsid w:val="009E390F"/>
    <w:rsid w:val="009E4C74"/>
    <w:rsid w:val="009E5E41"/>
    <w:rsid w:val="009F333F"/>
    <w:rsid w:val="009F4B8D"/>
    <w:rsid w:val="009F599A"/>
    <w:rsid w:val="009F5FA3"/>
    <w:rsid w:val="009F66F9"/>
    <w:rsid w:val="00A010C6"/>
    <w:rsid w:val="00A03142"/>
    <w:rsid w:val="00A038BE"/>
    <w:rsid w:val="00A07F99"/>
    <w:rsid w:val="00A1003A"/>
    <w:rsid w:val="00A10119"/>
    <w:rsid w:val="00A120E3"/>
    <w:rsid w:val="00A12FCE"/>
    <w:rsid w:val="00A14760"/>
    <w:rsid w:val="00A15A42"/>
    <w:rsid w:val="00A1615C"/>
    <w:rsid w:val="00A21004"/>
    <w:rsid w:val="00A21CC5"/>
    <w:rsid w:val="00A249AE"/>
    <w:rsid w:val="00A24A0C"/>
    <w:rsid w:val="00A24FED"/>
    <w:rsid w:val="00A3098F"/>
    <w:rsid w:val="00A31D72"/>
    <w:rsid w:val="00A343A2"/>
    <w:rsid w:val="00A34553"/>
    <w:rsid w:val="00A34ECB"/>
    <w:rsid w:val="00A361CD"/>
    <w:rsid w:val="00A3646A"/>
    <w:rsid w:val="00A4326F"/>
    <w:rsid w:val="00A468FE"/>
    <w:rsid w:val="00A46FB5"/>
    <w:rsid w:val="00A47D1A"/>
    <w:rsid w:val="00A50A53"/>
    <w:rsid w:val="00A50B09"/>
    <w:rsid w:val="00A528D2"/>
    <w:rsid w:val="00A55476"/>
    <w:rsid w:val="00A5571B"/>
    <w:rsid w:val="00A562AE"/>
    <w:rsid w:val="00A5692A"/>
    <w:rsid w:val="00A63AC7"/>
    <w:rsid w:val="00A66C95"/>
    <w:rsid w:val="00A670CD"/>
    <w:rsid w:val="00A7438A"/>
    <w:rsid w:val="00A766D8"/>
    <w:rsid w:val="00A77336"/>
    <w:rsid w:val="00A77867"/>
    <w:rsid w:val="00A803E5"/>
    <w:rsid w:val="00A81319"/>
    <w:rsid w:val="00A81ECC"/>
    <w:rsid w:val="00A82CE8"/>
    <w:rsid w:val="00A82D00"/>
    <w:rsid w:val="00A84B58"/>
    <w:rsid w:val="00A84EB5"/>
    <w:rsid w:val="00A8746B"/>
    <w:rsid w:val="00A874A4"/>
    <w:rsid w:val="00A911E0"/>
    <w:rsid w:val="00A929DF"/>
    <w:rsid w:val="00A93984"/>
    <w:rsid w:val="00A943D6"/>
    <w:rsid w:val="00A96989"/>
    <w:rsid w:val="00A96B4E"/>
    <w:rsid w:val="00A96FF0"/>
    <w:rsid w:val="00AA0003"/>
    <w:rsid w:val="00AA05E7"/>
    <w:rsid w:val="00AA171F"/>
    <w:rsid w:val="00AA1983"/>
    <w:rsid w:val="00AA1C9C"/>
    <w:rsid w:val="00AA23AA"/>
    <w:rsid w:val="00AA2B11"/>
    <w:rsid w:val="00AA326C"/>
    <w:rsid w:val="00AA3BFA"/>
    <w:rsid w:val="00AA434C"/>
    <w:rsid w:val="00AA490D"/>
    <w:rsid w:val="00AA51AB"/>
    <w:rsid w:val="00AA75B2"/>
    <w:rsid w:val="00AB05B3"/>
    <w:rsid w:val="00AB1789"/>
    <w:rsid w:val="00AB2A6D"/>
    <w:rsid w:val="00AB5D1D"/>
    <w:rsid w:val="00AB6ADF"/>
    <w:rsid w:val="00AC0D48"/>
    <w:rsid w:val="00AC144E"/>
    <w:rsid w:val="00AC3161"/>
    <w:rsid w:val="00AC349D"/>
    <w:rsid w:val="00AC55BF"/>
    <w:rsid w:val="00AC7580"/>
    <w:rsid w:val="00AD0BA5"/>
    <w:rsid w:val="00AD11A7"/>
    <w:rsid w:val="00AD1442"/>
    <w:rsid w:val="00AD4DD7"/>
    <w:rsid w:val="00AD6429"/>
    <w:rsid w:val="00AD6DAD"/>
    <w:rsid w:val="00AE22DE"/>
    <w:rsid w:val="00AE25A0"/>
    <w:rsid w:val="00AE46B7"/>
    <w:rsid w:val="00AE4B73"/>
    <w:rsid w:val="00AE6B0C"/>
    <w:rsid w:val="00AE7201"/>
    <w:rsid w:val="00AE78C9"/>
    <w:rsid w:val="00AF1158"/>
    <w:rsid w:val="00AF5CA0"/>
    <w:rsid w:val="00AF5F6F"/>
    <w:rsid w:val="00B00090"/>
    <w:rsid w:val="00B014F7"/>
    <w:rsid w:val="00B0150F"/>
    <w:rsid w:val="00B02494"/>
    <w:rsid w:val="00B034D0"/>
    <w:rsid w:val="00B0413F"/>
    <w:rsid w:val="00B050FF"/>
    <w:rsid w:val="00B0571F"/>
    <w:rsid w:val="00B10A29"/>
    <w:rsid w:val="00B14667"/>
    <w:rsid w:val="00B17AA6"/>
    <w:rsid w:val="00B267B5"/>
    <w:rsid w:val="00B319D3"/>
    <w:rsid w:val="00B33E6E"/>
    <w:rsid w:val="00B37FD4"/>
    <w:rsid w:val="00B41719"/>
    <w:rsid w:val="00B41C20"/>
    <w:rsid w:val="00B449D5"/>
    <w:rsid w:val="00B50D61"/>
    <w:rsid w:val="00B50ECE"/>
    <w:rsid w:val="00B528A1"/>
    <w:rsid w:val="00B538A4"/>
    <w:rsid w:val="00B56EA7"/>
    <w:rsid w:val="00B61D79"/>
    <w:rsid w:val="00B62077"/>
    <w:rsid w:val="00B630DC"/>
    <w:rsid w:val="00B6383E"/>
    <w:rsid w:val="00B64D56"/>
    <w:rsid w:val="00B74106"/>
    <w:rsid w:val="00B74476"/>
    <w:rsid w:val="00B75FCF"/>
    <w:rsid w:val="00B807CA"/>
    <w:rsid w:val="00B82565"/>
    <w:rsid w:val="00B84FF0"/>
    <w:rsid w:val="00B87BD0"/>
    <w:rsid w:val="00B9104F"/>
    <w:rsid w:val="00B934EA"/>
    <w:rsid w:val="00B946C8"/>
    <w:rsid w:val="00BA2DCC"/>
    <w:rsid w:val="00BA6614"/>
    <w:rsid w:val="00BB0E65"/>
    <w:rsid w:val="00BB1BC4"/>
    <w:rsid w:val="00BB224D"/>
    <w:rsid w:val="00BC020E"/>
    <w:rsid w:val="00BC0325"/>
    <w:rsid w:val="00BC091B"/>
    <w:rsid w:val="00BC0CBA"/>
    <w:rsid w:val="00BC1792"/>
    <w:rsid w:val="00BC1E5C"/>
    <w:rsid w:val="00BC416F"/>
    <w:rsid w:val="00BC46E6"/>
    <w:rsid w:val="00BD0A58"/>
    <w:rsid w:val="00BD3CFE"/>
    <w:rsid w:val="00BD46E4"/>
    <w:rsid w:val="00BD496C"/>
    <w:rsid w:val="00BD4D94"/>
    <w:rsid w:val="00BD5F55"/>
    <w:rsid w:val="00BD6466"/>
    <w:rsid w:val="00BD773E"/>
    <w:rsid w:val="00BD78EB"/>
    <w:rsid w:val="00BE0311"/>
    <w:rsid w:val="00BE0C20"/>
    <w:rsid w:val="00BE1054"/>
    <w:rsid w:val="00BE1F11"/>
    <w:rsid w:val="00BE2286"/>
    <w:rsid w:val="00BE24E1"/>
    <w:rsid w:val="00BE2531"/>
    <w:rsid w:val="00BE36FA"/>
    <w:rsid w:val="00BE5D81"/>
    <w:rsid w:val="00BE72DD"/>
    <w:rsid w:val="00C007BC"/>
    <w:rsid w:val="00C02449"/>
    <w:rsid w:val="00C02E44"/>
    <w:rsid w:val="00C034A5"/>
    <w:rsid w:val="00C04D67"/>
    <w:rsid w:val="00C04DB3"/>
    <w:rsid w:val="00C0568D"/>
    <w:rsid w:val="00C064E3"/>
    <w:rsid w:val="00C06D80"/>
    <w:rsid w:val="00C0733D"/>
    <w:rsid w:val="00C10574"/>
    <w:rsid w:val="00C14A01"/>
    <w:rsid w:val="00C155DB"/>
    <w:rsid w:val="00C175FC"/>
    <w:rsid w:val="00C17E92"/>
    <w:rsid w:val="00C20419"/>
    <w:rsid w:val="00C217D1"/>
    <w:rsid w:val="00C21B3D"/>
    <w:rsid w:val="00C22787"/>
    <w:rsid w:val="00C22BA3"/>
    <w:rsid w:val="00C23C47"/>
    <w:rsid w:val="00C243B3"/>
    <w:rsid w:val="00C2472D"/>
    <w:rsid w:val="00C25EC2"/>
    <w:rsid w:val="00C26A4A"/>
    <w:rsid w:val="00C2702A"/>
    <w:rsid w:val="00C2724C"/>
    <w:rsid w:val="00C27780"/>
    <w:rsid w:val="00C30FC5"/>
    <w:rsid w:val="00C325FE"/>
    <w:rsid w:val="00C36339"/>
    <w:rsid w:val="00C3791A"/>
    <w:rsid w:val="00C40B3A"/>
    <w:rsid w:val="00C42013"/>
    <w:rsid w:val="00C42088"/>
    <w:rsid w:val="00C42B2D"/>
    <w:rsid w:val="00C4406A"/>
    <w:rsid w:val="00C52234"/>
    <w:rsid w:val="00C52FAF"/>
    <w:rsid w:val="00C5710D"/>
    <w:rsid w:val="00C60C56"/>
    <w:rsid w:val="00C64221"/>
    <w:rsid w:val="00C649E2"/>
    <w:rsid w:val="00C66AE8"/>
    <w:rsid w:val="00C72484"/>
    <w:rsid w:val="00C72710"/>
    <w:rsid w:val="00C75B92"/>
    <w:rsid w:val="00C777F7"/>
    <w:rsid w:val="00C81F89"/>
    <w:rsid w:val="00C83242"/>
    <w:rsid w:val="00C8424C"/>
    <w:rsid w:val="00C92225"/>
    <w:rsid w:val="00C93E53"/>
    <w:rsid w:val="00C953BF"/>
    <w:rsid w:val="00C95503"/>
    <w:rsid w:val="00C95BE6"/>
    <w:rsid w:val="00C96402"/>
    <w:rsid w:val="00CA5034"/>
    <w:rsid w:val="00CA5682"/>
    <w:rsid w:val="00CA628C"/>
    <w:rsid w:val="00CB0969"/>
    <w:rsid w:val="00CB169B"/>
    <w:rsid w:val="00CB3982"/>
    <w:rsid w:val="00CB3E91"/>
    <w:rsid w:val="00CB56B2"/>
    <w:rsid w:val="00CB70D8"/>
    <w:rsid w:val="00CB7DD1"/>
    <w:rsid w:val="00CC0513"/>
    <w:rsid w:val="00CC4486"/>
    <w:rsid w:val="00CC54A6"/>
    <w:rsid w:val="00CC69B1"/>
    <w:rsid w:val="00CD15A3"/>
    <w:rsid w:val="00CD2A3C"/>
    <w:rsid w:val="00CD41D5"/>
    <w:rsid w:val="00CD4EE1"/>
    <w:rsid w:val="00CD652A"/>
    <w:rsid w:val="00CD6816"/>
    <w:rsid w:val="00CE0791"/>
    <w:rsid w:val="00CE366A"/>
    <w:rsid w:val="00CF3A7F"/>
    <w:rsid w:val="00CF6FB6"/>
    <w:rsid w:val="00D00E85"/>
    <w:rsid w:val="00D019B4"/>
    <w:rsid w:val="00D03891"/>
    <w:rsid w:val="00D056B6"/>
    <w:rsid w:val="00D05C80"/>
    <w:rsid w:val="00D06BAA"/>
    <w:rsid w:val="00D06C14"/>
    <w:rsid w:val="00D06FE2"/>
    <w:rsid w:val="00D10C5B"/>
    <w:rsid w:val="00D119BE"/>
    <w:rsid w:val="00D12237"/>
    <w:rsid w:val="00D124BD"/>
    <w:rsid w:val="00D12E6E"/>
    <w:rsid w:val="00D1487F"/>
    <w:rsid w:val="00D16066"/>
    <w:rsid w:val="00D16FAC"/>
    <w:rsid w:val="00D2039B"/>
    <w:rsid w:val="00D20B6C"/>
    <w:rsid w:val="00D22833"/>
    <w:rsid w:val="00D228CC"/>
    <w:rsid w:val="00D237FF"/>
    <w:rsid w:val="00D27CD4"/>
    <w:rsid w:val="00D3014E"/>
    <w:rsid w:val="00D310E9"/>
    <w:rsid w:val="00D3315A"/>
    <w:rsid w:val="00D335BC"/>
    <w:rsid w:val="00D33FF9"/>
    <w:rsid w:val="00D35CEC"/>
    <w:rsid w:val="00D37E97"/>
    <w:rsid w:val="00D40FBA"/>
    <w:rsid w:val="00D4171B"/>
    <w:rsid w:val="00D43E36"/>
    <w:rsid w:val="00D44004"/>
    <w:rsid w:val="00D44426"/>
    <w:rsid w:val="00D4489B"/>
    <w:rsid w:val="00D4700F"/>
    <w:rsid w:val="00D50477"/>
    <w:rsid w:val="00D508D3"/>
    <w:rsid w:val="00D516C4"/>
    <w:rsid w:val="00D5328E"/>
    <w:rsid w:val="00D55905"/>
    <w:rsid w:val="00D56E80"/>
    <w:rsid w:val="00D607DD"/>
    <w:rsid w:val="00D61080"/>
    <w:rsid w:val="00D6156C"/>
    <w:rsid w:val="00D72D54"/>
    <w:rsid w:val="00D83E48"/>
    <w:rsid w:val="00D84DF0"/>
    <w:rsid w:val="00D87DA4"/>
    <w:rsid w:val="00D92648"/>
    <w:rsid w:val="00D92A94"/>
    <w:rsid w:val="00D93F22"/>
    <w:rsid w:val="00D93F91"/>
    <w:rsid w:val="00D94C5E"/>
    <w:rsid w:val="00D95B44"/>
    <w:rsid w:val="00D967ED"/>
    <w:rsid w:val="00D96D37"/>
    <w:rsid w:val="00D97976"/>
    <w:rsid w:val="00D97B39"/>
    <w:rsid w:val="00DA193A"/>
    <w:rsid w:val="00DA1D73"/>
    <w:rsid w:val="00DA2609"/>
    <w:rsid w:val="00DA3952"/>
    <w:rsid w:val="00DA4C27"/>
    <w:rsid w:val="00DA542F"/>
    <w:rsid w:val="00DB0772"/>
    <w:rsid w:val="00DB08BB"/>
    <w:rsid w:val="00DC1C74"/>
    <w:rsid w:val="00DC33A2"/>
    <w:rsid w:val="00DD01EC"/>
    <w:rsid w:val="00DD0214"/>
    <w:rsid w:val="00DD0C4B"/>
    <w:rsid w:val="00DD13E3"/>
    <w:rsid w:val="00DD15CE"/>
    <w:rsid w:val="00DD1FEF"/>
    <w:rsid w:val="00DD3284"/>
    <w:rsid w:val="00DD32BC"/>
    <w:rsid w:val="00DD3AB6"/>
    <w:rsid w:val="00DD3F84"/>
    <w:rsid w:val="00DD4F52"/>
    <w:rsid w:val="00DD6C8A"/>
    <w:rsid w:val="00DE0168"/>
    <w:rsid w:val="00DE1204"/>
    <w:rsid w:val="00DE139B"/>
    <w:rsid w:val="00DE17AA"/>
    <w:rsid w:val="00DE1FC8"/>
    <w:rsid w:val="00DE2750"/>
    <w:rsid w:val="00DE2DEA"/>
    <w:rsid w:val="00DE481D"/>
    <w:rsid w:val="00DE4C10"/>
    <w:rsid w:val="00DE74C3"/>
    <w:rsid w:val="00DF0A73"/>
    <w:rsid w:val="00DF0F13"/>
    <w:rsid w:val="00DF1F6A"/>
    <w:rsid w:val="00DF44AC"/>
    <w:rsid w:val="00DF5274"/>
    <w:rsid w:val="00DF595B"/>
    <w:rsid w:val="00DF5A77"/>
    <w:rsid w:val="00DF6A26"/>
    <w:rsid w:val="00E00FEB"/>
    <w:rsid w:val="00E01599"/>
    <w:rsid w:val="00E059FF"/>
    <w:rsid w:val="00E063B4"/>
    <w:rsid w:val="00E12636"/>
    <w:rsid w:val="00E14370"/>
    <w:rsid w:val="00E1499C"/>
    <w:rsid w:val="00E14AA0"/>
    <w:rsid w:val="00E1508C"/>
    <w:rsid w:val="00E153CC"/>
    <w:rsid w:val="00E15E54"/>
    <w:rsid w:val="00E200A8"/>
    <w:rsid w:val="00E21573"/>
    <w:rsid w:val="00E22D15"/>
    <w:rsid w:val="00E23DC1"/>
    <w:rsid w:val="00E2562C"/>
    <w:rsid w:val="00E27874"/>
    <w:rsid w:val="00E3174B"/>
    <w:rsid w:val="00E33ACF"/>
    <w:rsid w:val="00E34EF9"/>
    <w:rsid w:val="00E36B37"/>
    <w:rsid w:val="00E4131F"/>
    <w:rsid w:val="00E42346"/>
    <w:rsid w:val="00E42A72"/>
    <w:rsid w:val="00E42C70"/>
    <w:rsid w:val="00E434F2"/>
    <w:rsid w:val="00E43613"/>
    <w:rsid w:val="00E44177"/>
    <w:rsid w:val="00E4736A"/>
    <w:rsid w:val="00E4738B"/>
    <w:rsid w:val="00E476E9"/>
    <w:rsid w:val="00E5201C"/>
    <w:rsid w:val="00E5320D"/>
    <w:rsid w:val="00E533C6"/>
    <w:rsid w:val="00E539A8"/>
    <w:rsid w:val="00E54825"/>
    <w:rsid w:val="00E54F8C"/>
    <w:rsid w:val="00E568D0"/>
    <w:rsid w:val="00E6101D"/>
    <w:rsid w:val="00E62572"/>
    <w:rsid w:val="00E6464B"/>
    <w:rsid w:val="00E64BA1"/>
    <w:rsid w:val="00E651E5"/>
    <w:rsid w:val="00E65956"/>
    <w:rsid w:val="00E70870"/>
    <w:rsid w:val="00E717EA"/>
    <w:rsid w:val="00E72639"/>
    <w:rsid w:val="00E731C1"/>
    <w:rsid w:val="00E73DB6"/>
    <w:rsid w:val="00E763E9"/>
    <w:rsid w:val="00E76B26"/>
    <w:rsid w:val="00E823CD"/>
    <w:rsid w:val="00E84C8C"/>
    <w:rsid w:val="00E84F7C"/>
    <w:rsid w:val="00E858D8"/>
    <w:rsid w:val="00E86CBA"/>
    <w:rsid w:val="00E904A7"/>
    <w:rsid w:val="00E90581"/>
    <w:rsid w:val="00E91A1E"/>
    <w:rsid w:val="00E91AC3"/>
    <w:rsid w:val="00EA07E3"/>
    <w:rsid w:val="00EA1485"/>
    <w:rsid w:val="00EA19A7"/>
    <w:rsid w:val="00EA22E3"/>
    <w:rsid w:val="00EA38C6"/>
    <w:rsid w:val="00EA3EE3"/>
    <w:rsid w:val="00EA718C"/>
    <w:rsid w:val="00EA796E"/>
    <w:rsid w:val="00EB0C04"/>
    <w:rsid w:val="00EB103E"/>
    <w:rsid w:val="00EB2620"/>
    <w:rsid w:val="00EB4030"/>
    <w:rsid w:val="00EB4D1E"/>
    <w:rsid w:val="00EB5746"/>
    <w:rsid w:val="00EB686E"/>
    <w:rsid w:val="00EC006F"/>
    <w:rsid w:val="00EC0FC9"/>
    <w:rsid w:val="00EC1061"/>
    <w:rsid w:val="00EC1EA9"/>
    <w:rsid w:val="00EC1FCD"/>
    <w:rsid w:val="00EC55F0"/>
    <w:rsid w:val="00EC6C27"/>
    <w:rsid w:val="00EC6E53"/>
    <w:rsid w:val="00EC766A"/>
    <w:rsid w:val="00EC7A1E"/>
    <w:rsid w:val="00ED1406"/>
    <w:rsid w:val="00ED1B4C"/>
    <w:rsid w:val="00ED7B6A"/>
    <w:rsid w:val="00EE10C6"/>
    <w:rsid w:val="00EE137D"/>
    <w:rsid w:val="00EE1538"/>
    <w:rsid w:val="00EE71B6"/>
    <w:rsid w:val="00EE79AE"/>
    <w:rsid w:val="00EE7DD0"/>
    <w:rsid w:val="00EF0CBB"/>
    <w:rsid w:val="00EF0F2B"/>
    <w:rsid w:val="00EF282C"/>
    <w:rsid w:val="00EF339C"/>
    <w:rsid w:val="00EF3944"/>
    <w:rsid w:val="00EF3AA7"/>
    <w:rsid w:val="00EF3DE2"/>
    <w:rsid w:val="00EF5E7E"/>
    <w:rsid w:val="00F00ABC"/>
    <w:rsid w:val="00F00CB8"/>
    <w:rsid w:val="00F0394E"/>
    <w:rsid w:val="00F050CF"/>
    <w:rsid w:val="00F05195"/>
    <w:rsid w:val="00F05549"/>
    <w:rsid w:val="00F05B96"/>
    <w:rsid w:val="00F10009"/>
    <w:rsid w:val="00F10F5B"/>
    <w:rsid w:val="00F16EDC"/>
    <w:rsid w:val="00F21894"/>
    <w:rsid w:val="00F222E0"/>
    <w:rsid w:val="00F24463"/>
    <w:rsid w:val="00F249DC"/>
    <w:rsid w:val="00F2512C"/>
    <w:rsid w:val="00F2546F"/>
    <w:rsid w:val="00F25C38"/>
    <w:rsid w:val="00F30318"/>
    <w:rsid w:val="00F30838"/>
    <w:rsid w:val="00F30EFA"/>
    <w:rsid w:val="00F31651"/>
    <w:rsid w:val="00F378FC"/>
    <w:rsid w:val="00F404E4"/>
    <w:rsid w:val="00F40FE0"/>
    <w:rsid w:val="00F42D28"/>
    <w:rsid w:val="00F43791"/>
    <w:rsid w:val="00F44DE4"/>
    <w:rsid w:val="00F4695F"/>
    <w:rsid w:val="00F47377"/>
    <w:rsid w:val="00F4779C"/>
    <w:rsid w:val="00F50205"/>
    <w:rsid w:val="00F51488"/>
    <w:rsid w:val="00F515A6"/>
    <w:rsid w:val="00F574AF"/>
    <w:rsid w:val="00F578D4"/>
    <w:rsid w:val="00F616AE"/>
    <w:rsid w:val="00F63C55"/>
    <w:rsid w:val="00F669C4"/>
    <w:rsid w:val="00F71BD9"/>
    <w:rsid w:val="00F71BFE"/>
    <w:rsid w:val="00F71DBA"/>
    <w:rsid w:val="00F73CFF"/>
    <w:rsid w:val="00F73EE5"/>
    <w:rsid w:val="00F74EDD"/>
    <w:rsid w:val="00F77168"/>
    <w:rsid w:val="00F77C1E"/>
    <w:rsid w:val="00F82D18"/>
    <w:rsid w:val="00F82D38"/>
    <w:rsid w:val="00F83EBF"/>
    <w:rsid w:val="00F91438"/>
    <w:rsid w:val="00F915A8"/>
    <w:rsid w:val="00F9226D"/>
    <w:rsid w:val="00F93004"/>
    <w:rsid w:val="00F9331D"/>
    <w:rsid w:val="00F9348B"/>
    <w:rsid w:val="00F93F20"/>
    <w:rsid w:val="00FA0668"/>
    <w:rsid w:val="00FA091A"/>
    <w:rsid w:val="00FA0B24"/>
    <w:rsid w:val="00FA0B73"/>
    <w:rsid w:val="00FA4632"/>
    <w:rsid w:val="00FB0B08"/>
    <w:rsid w:val="00FB23D3"/>
    <w:rsid w:val="00FB2AEB"/>
    <w:rsid w:val="00FB3D07"/>
    <w:rsid w:val="00FB404C"/>
    <w:rsid w:val="00FB6430"/>
    <w:rsid w:val="00FB7450"/>
    <w:rsid w:val="00FC2413"/>
    <w:rsid w:val="00FC3F0B"/>
    <w:rsid w:val="00FC5CAD"/>
    <w:rsid w:val="00FC5DF1"/>
    <w:rsid w:val="00FC61E0"/>
    <w:rsid w:val="00FC6BA3"/>
    <w:rsid w:val="00FC7147"/>
    <w:rsid w:val="00FC7C5F"/>
    <w:rsid w:val="00FD014F"/>
    <w:rsid w:val="00FD11E7"/>
    <w:rsid w:val="00FD4E7C"/>
    <w:rsid w:val="00FD4FD3"/>
    <w:rsid w:val="00FD642E"/>
    <w:rsid w:val="00FD67C9"/>
    <w:rsid w:val="00FD7D9D"/>
    <w:rsid w:val="00FD7FCB"/>
    <w:rsid w:val="00FE2E80"/>
    <w:rsid w:val="00FE3653"/>
    <w:rsid w:val="00FE4097"/>
    <w:rsid w:val="00FE5BB0"/>
    <w:rsid w:val="00FE6399"/>
    <w:rsid w:val="00FF3F4B"/>
    <w:rsid w:val="00FF3FB1"/>
    <w:rsid w:val="01463258"/>
    <w:rsid w:val="01754665"/>
    <w:rsid w:val="017B596D"/>
    <w:rsid w:val="02116713"/>
    <w:rsid w:val="034D4259"/>
    <w:rsid w:val="03DA2B0F"/>
    <w:rsid w:val="03F03331"/>
    <w:rsid w:val="03F34013"/>
    <w:rsid w:val="040C02B3"/>
    <w:rsid w:val="04221FD5"/>
    <w:rsid w:val="04E26F6C"/>
    <w:rsid w:val="04F50C47"/>
    <w:rsid w:val="04F67827"/>
    <w:rsid w:val="05B3239E"/>
    <w:rsid w:val="05E90D65"/>
    <w:rsid w:val="06556D01"/>
    <w:rsid w:val="065E11DA"/>
    <w:rsid w:val="06796A96"/>
    <w:rsid w:val="06B85617"/>
    <w:rsid w:val="06C540E7"/>
    <w:rsid w:val="06FD35A0"/>
    <w:rsid w:val="07B42A11"/>
    <w:rsid w:val="07C65943"/>
    <w:rsid w:val="0854528D"/>
    <w:rsid w:val="09004B76"/>
    <w:rsid w:val="09543787"/>
    <w:rsid w:val="09B62057"/>
    <w:rsid w:val="09F26D0C"/>
    <w:rsid w:val="0A4D5BE7"/>
    <w:rsid w:val="0A59636E"/>
    <w:rsid w:val="0BB34FA4"/>
    <w:rsid w:val="0C585A42"/>
    <w:rsid w:val="0CB247B6"/>
    <w:rsid w:val="0CD00F75"/>
    <w:rsid w:val="0CE147B6"/>
    <w:rsid w:val="0D995086"/>
    <w:rsid w:val="0F2C1EED"/>
    <w:rsid w:val="0FAA43C2"/>
    <w:rsid w:val="10482DBE"/>
    <w:rsid w:val="11322E1E"/>
    <w:rsid w:val="116C2D02"/>
    <w:rsid w:val="11795B1F"/>
    <w:rsid w:val="119B02E1"/>
    <w:rsid w:val="121F7164"/>
    <w:rsid w:val="124E201A"/>
    <w:rsid w:val="127F6C30"/>
    <w:rsid w:val="12B12142"/>
    <w:rsid w:val="132A6453"/>
    <w:rsid w:val="133A0F43"/>
    <w:rsid w:val="138921B9"/>
    <w:rsid w:val="1393374D"/>
    <w:rsid w:val="13A33393"/>
    <w:rsid w:val="13F33486"/>
    <w:rsid w:val="141A26E1"/>
    <w:rsid w:val="147C54BA"/>
    <w:rsid w:val="15145790"/>
    <w:rsid w:val="156A7D0F"/>
    <w:rsid w:val="15FF3CA4"/>
    <w:rsid w:val="1689094F"/>
    <w:rsid w:val="170221FD"/>
    <w:rsid w:val="172A7733"/>
    <w:rsid w:val="181B5E82"/>
    <w:rsid w:val="181C21C5"/>
    <w:rsid w:val="188177D0"/>
    <w:rsid w:val="1883592C"/>
    <w:rsid w:val="18A53B77"/>
    <w:rsid w:val="18AC0C59"/>
    <w:rsid w:val="18C1173D"/>
    <w:rsid w:val="18D414E7"/>
    <w:rsid w:val="18FA5917"/>
    <w:rsid w:val="18FF6439"/>
    <w:rsid w:val="19184483"/>
    <w:rsid w:val="19F20099"/>
    <w:rsid w:val="19F4198F"/>
    <w:rsid w:val="1A29079B"/>
    <w:rsid w:val="1A3B3EA7"/>
    <w:rsid w:val="1A401889"/>
    <w:rsid w:val="1A5E2502"/>
    <w:rsid w:val="1AD16040"/>
    <w:rsid w:val="1BBB4BD2"/>
    <w:rsid w:val="1BE36B1E"/>
    <w:rsid w:val="1C4C2331"/>
    <w:rsid w:val="1C590B75"/>
    <w:rsid w:val="1CBE7D09"/>
    <w:rsid w:val="1CCE5CAE"/>
    <w:rsid w:val="1D071D89"/>
    <w:rsid w:val="1D2C5185"/>
    <w:rsid w:val="1D44582E"/>
    <w:rsid w:val="1E06046B"/>
    <w:rsid w:val="1E4748AF"/>
    <w:rsid w:val="1EC65B12"/>
    <w:rsid w:val="1F633B4E"/>
    <w:rsid w:val="1FB904B5"/>
    <w:rsid w:val="1FF21EC0"/>
    <w:rsid w:val="204A39F2"/>
    <w:rsid w:val="206355FE"/>
    <w:rsid w:val="20ED0F56"/>
    <w:rsid w:val="213F4048"/>
    <w:rsid w:val="21F74CCB"/>
    <w:rsid w:val="22376920"/>
    <w:rsid w:val="224B4901"/>
    <w:rsid w:val="227E7C22"/>
    <w:rsid w:val="230840FB"/>
    <w:rsid w:val="239938DF"/>
    <w:rsid w:val="23A535D2"/>
    <w:rsid w:val="24634CE6"/>
    <w:rsid w:val="24F569DB"/>
    <w:rsid w:val="259D14B0"/>
    <w:rsid w:val="25E77D11"/>
    <w:rsid w:val="26A27DF3"/>
    <w:rsid w:val="26B44511"/>
    <w:rsid w:val="26CD3998"/>
    <w:rsid w:val="276C337A"/>
    <w:rsid w:val="277B2F4B"/>
    <w:rsid w:val="28273C44"/>
    <w:rsid w:val="28301D22"/>
    <w:rsid w:val="284A7C45"/>
    <w:rsid w:val="28ED22B0"/>
    <w:rsid w:val="28F0473C"/>
    <w:rsid w:val="297B3A34"/>
    <w:rsid w:val="2A147B17"/>
    <w:rsid w:val="2A226AB2"/>
    <w:rsid w:val="2AC07B48"/>
    <w:rsid w:val="2B22594E"/>
    <w:rsid w:val="2B3416A9"/>
    <w:rsid w:val="2B3D3882"/>
    <w:rsid w:val="2B802D22"/>
    <w:rsid w:val="2CAE38FC"/>
    <w:rsid w:val="2D327906"/>
    <w:rsid w:val="2D3E6639"/>
    <w:rsid w:val="2F0506C1"/>
    <w:rsid w:val="2F1D7B49"/>
    <w:rsid w:val="2F235524"/>
    <w:rsid w:val="2F9B7CB0"/>
    <w:rsid w:val="30937239"/>
    <w:rsid w:val="30CB0B36"/>
    <w:rsid w:val="31990B98"/>
    <w:rsid w:val="31F248AD"/>
    <w:rsid w:val="32047623"/>
    <w:rsid w:val="3248334A"/>
    <w:rsid w:val="32684683"/>
    <w:rsid w:val="32D53E8D"/>
    <w:rsid w:val="33111CFF"/>
    <w:rsid w:val="3370721E"/>
    <w:rsid w:val="338D7F35"/>
    <w:rsid w:val="3391332D"/>
    <w:rsid w:val="33A95829"/>
    <w:rsid w:val="33DA6681"/>
    <w:rsid w:val="33E90DDD"/>
    <w:rsid w:val="34CC269F"/>
    <w:rsid w:val="34F372AB"/>
    <w:rsid w:val="34FE048E"/>
    <w:rsid w:val="35083472"/>
    <w:rsid w:val="350C6AB0"/>
    <w:rsid w:val="352C0863"/>
    <w:rsid w:val="355228B6"/>
    <w:rsid w:val="355A03CA"/>
    <w:rsid w:val="35627940"/>
    <w:rsid w:val="35D741CA"/>
    <w:rsid w:val="35F6095B"/>
    <w:rsid w:val="36022857"/>
    <w:rsid w:val="3606170E"/>
    <w:rsid w:val="3671419C"/>
    <w:rsid w:val="36A13078"/>
    <w:rsid w:val="36D37B0E"/>
    <w:rsid w:val="37045422"/>
    <w:rsid w:val="37DD7412"/>
    <w:rsid w:val="380D1430"/>
    <w:rsid w:val="38C805FF"/>
    <w:rsid w:val="38DA627F"/>
    <w:rsid w:val="38E7317D"/>
    <w:rsid w:val="393E21A3"/>
    <w:rsid w:val="3992673A"/>
    <w:rsid w:val="39AB7FB8"/>
    <w:rsid w:val="3A78260E"/>
    <w:rsid w:val="3B98101D"/>
    <w:rsid w:val="3CA45DB8"/>
    <w:rsid w:val="3CD04F95"/>
    <w:rsid w:val="3D1E7950"/>
    <w:rsid w:val="3D3F15F0"/>
    <w:rsid w:val="3D477745"/>
    <w:rsid w:val="3D52032F"/>
    <w:rsid w:val="3D7F0C3B"/>
    <w:rsid w:val="3DBD2D4A"/>
    <w:rsid w:val="3EBD3D86"/>
    <w:rsid w:val="3EDF22FA"/>
    <w:rsid w:val="3F064D64"/>
    <w:rsid w:val="3F2947B7"/>
    <w:rsid w:val="3FD233A0"/>
    <w:rsid w:val="3FE23ED3"/>
    <w:rsid w:val="401477DB"/>
    <w:rsid w:val="403F497D"/>
    <w:rsid w:val="40434872"/>
    <w:rsid w:val="40BE0CAD"/>
    <w:rsid w:val="40CE171B"/>
    <w:rsid w:val="40CE1A93"/>
    <w:rsid w:val="40DD3B9D"/>
    <w:rsid w:val="40FC527A"/>
    <w:rsid w:val="410F69ED"/>
    <w:rsid w:val="41267720"/>
    <w:rsid w:val="41AC2D3D"/>
    <w:rsid w:val="42470808"/>
    <w:rsid w:val="436B782C"/>
    <w:rsid w:val="44115084"/>
    <w:rsid w:val="45AB77E5"/>
    <w:rsid w:val="45BE6989"/>
    <w:rsid w:val="45CE3829"/>
    <w:rsid w:val="45F561DC"/>
    <w:rsid w:val="4610788E"/>
    <w:rsid w:val="467F494A"/>
    <w:rsid w:val="46A04304"/>
    <w:rsid w:val="46D217EE"/>
    <w:rsid w:val="46EB6D1E"/>
    <w:rsid w:val="4728185D"/>
    <w:rsid w:val="474D1831"/>
    <w:rsid w:val="47826493"/>
    <w:rsid w:val="47F83CB3"/>
    <w:rsid w:val="47FC0316"/>
    <w:rsid w:val="48297B1C"/>
    <w:rsid w:val="48A53828"/>
    <w:rsid w:val="48D47E50"/>
    <w:rsid w:val="48D5194F"/>
    <w:rsid w:val="495363E7"/>
    <w:rsid w:val="4A542642"/>
    <w:rsid w:val="4A924A5C"/>
    <w:rsid w:val="4AA002F2"/>
    <w:rsid w:val="4B3A711E"/>
    <w:rsid w:val="4B533629"/>
    <w:rsid w:val="4B8D55E8"/>
    <w:rsid w:val="4C563C1B"/>
    <w:rsid w:val="4C6A35F4"/>
    <w:rsid w:val="4C9163A4"/>
    <w:rsid w:val="4CC24C48"/>
    <w:rsid w:val="4CFC5582"/>
    <w:rsid w:val="4D8648FE"/>
    <w:rsid w:val="4DAC074A"/>
    <w:rsid w:val="4DD32832"/>
    <w:rsid w:val="4E832BA1"/>
    <w:rsid w:val="4EFD1433"/>
    <w:rsid w:val="4F0E5881"/>
    <w:rsid w:val="4FCC7F34"/>
    <w:rsid w:val="4FD75666"/>
    <w:rsid w:val="4FFF4CC5"/>
    <w:rsid w:val="50774C91"/>
    <w:rsid w:val="50AC5EA1"/>
    <w:rsid w:val="50C90A4F"/>
    <w:rsid w:val="51325C52"/>
    <w:rsid w:val="525B7554"/>
    <w:rsid w:val="52C8311D"/>
    <w:rsid w:val="52E934D0"/>
    <w:rsid w:val="53F566E7"/>
    <w:rsid w:val="542E698E"/>
    <w:rsid w:val="54AC5FA5"/>
    <w:rsid w:val="54B73A9C"/>
    <w:rsid w:val="550C1E2E"/>
    <w:rsid w:val="55887A1A"/>
    <w:rsid w:val="55C1410B"/>
    <w:rsid w:val="567C2357"/>
    <w:rsid w:val="56DA69CD"/>
    <w:rsid w:val="57015EC2"/>
    <w:rsid w:val="57902842"/>
    <w:rsid w:val="57DA06A5"/>
    <w:rsid w:val="57EF2FBD"/>
    <w:rsid w:val="58363E59"/>
    <w:rsid w:val="58F518B7"/>
    <w:rsid w:val="59722F57"/>
    <w:rsid w:val="59FB4570"/>
    <w:rsid w:val="5A147CE7"/>
    <w:rsid w:val="5AAB51BC"/>
    <w:rsid w:val="5B1D56F6"/>
    <w:rsid w:val="5B20055C"/>
    <w:rsid w:val="5B232ABC"/>
    <w:rsid w:val="5B791A3C"/>
    <w:rsid w:val="5BA4227F"/>
    <w:rsid w:val="5C5F3444"/>
    <w:rsid w:val="5DAB67E1"/>
    <w:rsid w:val="5E3F33EB"/>
    <w:rsid w:val="5E841D00"/>
    <w:rsid w:val="5E9D4635"/>
    <w:rsid w:val="5EAC5E3A"/>
    <w:rsid w:val="5EBA491E"/>
    <w:rsid w:val="5EE61B00"/>
    <w:rsid w:val="5F3F5B6A"/>
    <w:rsid w:val="5F417319"/>
    <w:rsid w:val="5FB84D6A"/>
    <w:rsid w:val="60200C12"/>
    <w:rsid w:val="60424360"/>
    <w:rsid w:val="60463B62"/>
    <w:rsid w:val="60AD5B85"/>
    <w:rsid w:val="612F6664"/>
    <w:rsid w:val="6221342B"/>
    <w:rsid w:val="625B552E"/>
    <w:rsid w:val="63E975F5"/>
    <w:rsid w:val="6442372E"/>
    <w:rsid w:val="64715174"/>
    <w:rsid w:val="647B1ECA"/>
    <w:rsid w:val="649F46D7"/>
    <w:rsid w:val="656C295A"/>
    <w:rsid w:val="65911E94"/>
    <w:rsid w:val="659A3401"/>
    <w:rsid w:val="65A91F5F"/>
    <w:rsid w:val="66011FA3"/>
    <w:rsid w:val="66846931"/>
    <w:rsid w:val="66955E27"/>
    <w:rsid w:val="669D6625"/>
    <w:rsid w:val="66B9455F"/>
    <w:rsid w:val="679D767F"/>
    <w:rsid w:val="67D8781D"/>
    <w:rsid w:val="67E21C79"/>
    <w:rsid w:val="682B0234"/>
    <w:rsid w:val="686A051B"/>
    <w:rsid w:val="69522732"/>
    <w:rsid w:val="698E696F"/>
    <w:rsid w:val="69CF79D6"/>
    <w:rsid w:val="69DB5FCD"/>
    <w:rsid w:val="6A647E74"/>
    <w:rsid w:val="6B813C83"/>
    <w:rsid w:val="6BFF2A4A"/>
    <w:rsid w:val="6C851E17"/>
    <w:rsid w:val="6CE7456C"/>
    <w:rsid w:val="6E242A9E"/>
    <w:rsid w:val="6E7A5564"/>
    <w:rsid w:val="6FD4132C"/>
    <w:rsid w:val="6FDB181B"/>
    <w:rsid w:val="70015FBA"/>
    <w:rsid w:val="70C02131"/>
    <w:rsid w:val="70D22E52"/>
    <w:rsid w:val="719A0108"/>
    <w:rsid w:val="720C466E"/>
    <w:rsid w:val="72327E11"/>
    <w:rsid w:val="724D69A9"/>
    <w:rsid w:val="727B2CCF"/>
    <w:rsid w:val="72D45DAD"/>
    <w:rsid w:val="72D56C12"/>
    <w:rsid w:val="73204B55"/>
    <w:rsid w:val="73A44731"/>
    <w:rsid w:val="73A82633"/>
    <w:rsid w:val="73E2353D"/>
    <w:rsid w:val="73ED3308"/>
    <w:rsid w:val="744E38AE"/>
    <w:rsid w:val="74FC22A0"/>
    <w:rsid w:val="75A27388"/>
    <w:rsid w:val="75DD59EC"/>
    <w:rsid w:val="76150FFA"/>
    <w:rsid w:val="76406F47"/>
    <w:rsid w:val="766E4AF1"/>
    <w:rsid w:val="76D74C36"/>
    <w:rsid w:val="772B3ECD"/>
    <w:rsid w:val="775A2DE5"/>
    <w:rsid w:val="77901944"/>
    <w:rsid w:val="7845727E"/>
    <w:rsid w:val="78F20AC1"/>
    <w:rsid w:val="78FD6C40"/>
    <w:rsid w:val="79A737E4"/>
    <w:rsid w:val="7A0B4103"/>
    <w:rsid w:val="7A2C32E4"/>
    <w:rsid w:val="7AA1151E"/>
    <w:rsid w:val="7B4B77E4"/>
    <w:rsid w:val="7B616DAE"/>
    <w:rsid w:val="7B6F6A7B"/>
    <w:rsid w:val="7CD176AE"/>
    <w:rsid w:val="7CD576E4"/>
    <w:rsid w:val="7CEB2092"/>
    <w:rsid w:val="7D2B1D6C"/>
    <w:rsid w:val="7D681FE6"/>
    <w:rsid w:val="7DB46110"/>
    <w:rsid w:val="7E11431B"/>
    <w:rsid w:val="7F4423CB"/>
    <w:rsid w:val="7F9E69CD"/>
    <w:rsid w:val="7FB164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line="380" w:lineRule="exact"/>
    </w:pPr>
    <w:rPr>
      <w:sz w:val="24"/>
    </w:rPr>
  </w:style>
  <w:style w:type="paragraph" w:styleId="8">
    <w:name w:val="Normal Indent"/>
    <w:basedOn w:val="1"/>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next w:val="12"/>
    <w:link w:val="69"/>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Plain Text"/>
    <w:basedOn w:val="1"/>
    <w:link w:val="70"/>
    <w:qFormat/>
    <w:uiPriority w:val="0"/>
    <w:rPr>
      <w:rFonts w:ascii="宋体" w:hAnsi="Courier New"/>
      <w:kern w:val="0"/>
      <w:sz w:val="20"/>
    </w:rPr>
  </w:style>
  <w:style w:type="paragraph" w:styleId="14">
    <w:name w:val="Date"/>
    <w:basedOn w:val="1"/>
    <w:next w:val="1"/>
    <w:qFormat/>
    <w:uiPriority w:val="0"/>
    <w:pPr>
      <w:ind w:left="100" w:leftChars="2500"/>
    </w:pPr>
  </w:style>
  <w:style w:type="paragraph" w:styleId="15">
    <w:name w:val="Balloon Text"/>
    <w:basedOn w:val="1"/>
    <w:qFormat/>
    <w:uiPriority w:val="0"/>
    <w:rPr>
      <w:sz w:val="18"/>
      <w:szCs w:val="18"/>
    </w:rPr>
  </w:style>
  <w:style w:type="paragraph" w:styleId="16">
    <w:name w:val="footer"/>
    <w:basedOn w:val="1"/>
    <w:link w:val="58"/>
    <w:qFormat/>
    <w:uiPriority w:val="0"/>
    <w:pPr>
      <w:tabs>
        <w:tab w:val="center" w:pos="4153"/>
        <w:tab w:val="right" w:pos="8306"/>
      </w:tabs>
      <w:snapToGrid w:val="0"/>
      <w:jc w:val="left"/>
    </w:pPr>
    <w:rPr>
      <w:kern w:val="0"/>
      <w:sz w:val="18"/>
      <w:szCs w:val="18"/>
    </w:rPr>
  </w:style>
  <w:style w:type="paragraph" w:styleId="17">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1">
    <w:name w:val="Title"/>
    <w:basedOn w:val="1"/>
    <w:qFormat/>
    <w:uiPriority w:val="0"/>
    <w:pPr>
      <w:spacing w:before="240" w:beforeLines="0" w:after="60" w:afterLines="0"/>
      <w:jc w:val="center"/>
      <w:outlineLvl w:val="0"/>
    </w:pPr>
    <w:rPr>
      <w:rFonts w:ascii="Arial" w:hAnsi="Arial" w:cs="Arial"/>
      <w:b/>
      <w:bCs/>
      <w:sz w:val="32"/>
      <w:szCs w:val="32"/>
    </w:rPr>
  </w:style>
  <w:style w:type="paragraph" w:styleId="22">
    <w:name w:val="annotation subject"/>
    <w:basedOn w:val="10"/>
    <w:next w:val="10"/>
    <w:qFormat/>
    <w:uiPriority w:val="0"/>
    <w:rPr>
      <w:b/>
      <w:bCs/>
    </w:rPr>
  </w:style>
  <w:style w:type="paragraph" w:styleId="23">
    <w:name w:val="Body Text First Indent 2"/>
    <w:basedOn w:val="11"/>
    <w:qFormat/>
    <w:uiPriority w:val="0"/>
    <w:pPr>
      <w:ind w:left="420"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0"/>
    <w:rPr>
      <w:color w:val="333333"/>
      <w:u w:val="none"/>
    </w:rPr>
  </w:style>
  <w:style w:type="character" w:styleId="29">
    <w:name w:val="Emphasis"/>
    <w:qFormat/>
    <w:uiPriority w:val="0"/>
    <w:rPr>
      <w:color w:val="CC0000"/>
    </w:rPr>
  </w:style>
  <w:style w:type="character" w:styleId="30">
    <w:name w:val="HTML Definition"/>
    <w:basedOn w:val="26"/>
    <w:qFormat/>
    <w:uiPriority w:val="0"/>
  </w:style>
  <w:style w:type="character" w:styleId="31">
    <w:name w:val="HTML Acronym"/>
    <w:basedOn w:val="26"/>
    <w:qFormat/>
    <w:uiPriority w:val="0"/>
  </w:style>
  <w:style w:type="character" w:styleId="32">
    <w:name w:val="HTML Variable"/>
    <w:basedOn w:val="26"/>
    <w:qFormat/>
    <w:uiPriority w:val="0"/>
  </w:style>
  <w:style w:type="character" w:styleId="33">
    <w:name w:val="Hyperlink"/>
    <w:basedOn w:val="26"/>
    <w:qFormat/>
    <w:uiPriority w:val="0"/>
    <w:rPr>
      <w:color w:val="333333"/>
      <w:u w:val="none"/>
    </w:rPr>
  </w:style>
  <w:style w:type="character" w:styleId="34">
    <w:name w:val="HTML Code"/>
    <w:basedOn w:val="26"/>
    <w:qFormat/>
    <w:uiPriority w:val="0"/>
    <w:rPr>
      <w:rFonts w:ascii="Courier New" w:hAnsi="Courier New"/>
      <w:color w:val="505050"/>
      <w:sz w:val="24"/>
      <w:szCs w:val="24"/>
    </w:rPr>
  </w:style>
  <w:style w:type="character" w:styleId="35">
    <w:name w:val="annotation reference"/>
    <w:qFormat/>
    <w:uiPriority w:val="0"/>
    <w:rPr>
      <w:sz w:val="21"/>
      <w:szCs w:val="21"/>
    </w:rPr>
  </w:style>
  <w:style w:type="character" w:styleId="36">
    <w:name w:val="HTML Cite"/>
    <w:basedOn w:val="26"/>
    <w:qFormat/>
    <w:uiPriority w:val="0"/>
  </w:style>
  <w:style w:type="paragraph" w:customStyle="1" w:styleId="37">
    <w:name w:val="表格文字"/>
    <w:basedOn w:val="1"/>
    <w:qFormat/>
    <w:uiPriority w:val="99"/>
    <w:pPr>
      <w:spacing w:before="25" w:after="25"/>
      <w:jc w:val="left"/>
    </w:pPr>
    <w:rPr>
      <w:bCs/>
      <w:spacing w:val="10"/>
      <w:kern w:val="0"/>
      <w:sz w:val="24"/>
    </w:rPr>
  </w:style>
  <w:style w:type="paragraph" w:customStyle="1" w:styleId="38">
    <w:name w:val="1"/>
    <w:basedOn w:val="1"/>
    <w:next w:val="13"/>
    <w:qFormat/>
    <w:uiPriority w:val="0"/>
    <w:rPr>
      <w:rFonts w:ascii="宋体" w:hAnsi="Courier New"/>
      <w:szCs w:val="20"/>
    </w:rPr>
  </w:style>
  <w:style w:type="paragraph" w:styleId="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2"/>
    <w:basedOn w:val="1"/>
    <w:next w:val="13"/>
    <w:qFormat/>
    <w:uiPriority w:val="0"/>
    <w:rPr>
      <w:rFonts w:ascii="宋体" w:hAnsi="Courier New"/>
      <w:szCs w:val="20"/>
    </w:rPr>
  </w:style>
  <w:style w:type="paragraph" w:customStyle="1" w:styleId="41">
    <w:name w:val="List Paragraph1"/>
    <w:basedOn w:val="1"/>
    <w:qFormat/>
    <w:uiPriority w:val="34"/>
    <w:pPr>
      <w:ind w:firstLine="420" w:firstLineChars="200"/>
    </w:pPr>
    <w:rPr>
      <w:rFonts w:ascii="Calibri" w:hAnsi="Calibri" w:eastAsia="宋体" w:cs="Times New Roman"/>
      <w:szCs w:val="22"/>
    </w:rPr>
  </w:style>
  <w:style w:type="paragraph" w:customStyle="1" w:styleId="42">
    <w:name w:val="Char Char"/>
    <w:basedOn w:val="1"/>
    <w:qFormat/>
    <w:uiPriority w:val="0"/>
  </w:style>
  <w:style w:type="paragraph" w:customStyle="1" w:styleId="43">
    <w:name w:val=" Char Char Char Char"/>
    <w:basedOn w:val="9"/>
    <w:qFormat/>
    <w:uiPriority w:val="0"/>
    <w:rPr>
      <w:rFonts w:ascii="Tahoma" w:hAnsi="Tahoma"/>
      <w:sz w:val="24"/>
      <w:szCs w:val="20"/>
    </w:rPr>
  </w:style>
  <w:style w:type="paragraph" w:customStyle="1" w:styleId="44">
    <w:name w:val="Table Paragraph"/>
    <w:basedOn w:val="1"/>
    <w:unhideWhenUsed/>
    <w:qFormat/>
    <w:uiPriority w:val="1"/>
  </w:style>
  <w:style w:type="paragraph" w:customStyle="1" w:styleId="45">
    <w:name w:val="Char1"/>
    <w:basedOn w:val="1"/>
    <w:qFormat/>
    <w:uiPriority w:val="0"/>
    <w:rPr>
      <w:rFonts w:ascii="仿宋_GB2312" w:eastAsia="仿宋_GB2312"/>
      <w:b/>
      <w:sz w:val="32"/>
      <w:szCs w:val="32"/>
    </w:rPr>
  </w:style>
  <w:style w:type="paragraph" w:customStyle="1" w:styleId="46">
    <w:name w:val=" Char"/>
    <w:basedOn w:val="1"/>
    <w:qFormat/>
    <w:uiPriority w:val="0"/>
  </w:style>
  <w:style w:type="paragraph" w:customStyle="1" w:styleId="47">
    <w:name w:val="_Style 45"/>
    <w:unhideWhenUsed/>
    <w:qFormat/>
    <w:uiPriority w:val="99"/>
    <w:rPr>
      <w:rFonts w:ascii="Times New Roman" w:hAnsi="Times New Roman" w:eastAsia="宋体" w:cs="Times New Roman"/>
      <w:kern w:val="2"/>
      <w:sz w:val="21"/>
      <w:szCs w:val="21"/>
      <w:lang w:val="en-US" w:eastAsia="zh-CN" w:bidi="ar-SA"/>
    </w:rPr>
  </w:style>
  <w:style w:type="paragraph" w:customStyle="1" w:styleId="4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Char1 Char Char Char"/>
    <w:basedOn w:val="1"/>
    <w:qFormat/>
    <w:uiPriority w:val="0"/>
    <w:pPr>
      <w:snapToGrid w:val="0"/>
      <w:spacing w:line="360" w:lineRule="auto"/>
      <w:ind w:firstLine="200" w:firstLineChars="200"/>
    </w:pPr>
    <w:rPr>
      <w:rFonts w:ascii="黑体" w:hAnsi="宋体" w:eastAsia="仿宋_GB2312"/>
      <w:sz w:val="24"/>
    </w:rPr>
  </w:style>
  <w:style w:type="paragraph" w:styleId="50">
    <w:name w:val="List Paragraph"/>
    <w:basedOn w:val="1"/>
    <w:qFormat/>
    <w:uiPriority w:val="0"/>
    <w:pPr>
      <w:ind w:firstLine="420" w:firstLineChars="200"/>
    </w:pPr>
  </w:style>
  <w:style w:type="paragraph" w:customStyle="1" w:styleId="51">
    <w:name w:val="列出段落1"/>
    <w:basedOn w:val="1"/>
    <w:qFormat/>
    <w:uiPriority w:val="0"/>
    <w:pPr>
      <w:ind w:firstLine="420" w:firstLineChars="200"/>
    </w:pPr>
    <w:rPr>
      <w:rFonts w:ascii="Calibri" w:hAnsi="Calibri"/>
    </w:rPr>
  </w:style>
  <w:style w:type="paragraph" w:customStyle="1" w:styleId="52">
    <w:name w:val="p0"/>
    <w:basedOn w:val="1"/>
    <w:qFormat/>
    <w:uiPriority w:val="0"/>
    <w:pPr>
      <w:widowControl/>
    </w:pPr>
    <w:rPr>
      <w:rFonts w:ascii="Calibri" w:hAnsi="Calibri" w:cs="宋体"/>
      <w:kern w:val="0"/>
      <w:szCs w:val="21"/>
    </w:rPr>
  </w:style>
  <w:style w:type="paragraph" w:customStyle="1" w:styleId="5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55">
    <w:name w:val="p16"/>
    <w:basedOn w:val="1"/>
    <w:qFormat/>
    <w:uiPriority w:val="0"/>
    <w:pPr>
      <w:widowControl/>
    </w:pPr>
    <w:rPr>
      <w:kern w:val="0"/>
      <w:szCs w:val="21"/>
    </w:rPr>
  </w:style>
  <w:style w:type="paragraph" w:customStyle="1" w:styleId="56">
    <w:name w:val="b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customStyle="1" w:styleId="57">
    <w:name w:val="font91"/>
    <w:basedOn w:val="26"/>
    <w:qFormat/>
    <w:uiPriority w:val="0"/>
    <w:rPr>
      <w:rFonts w:hint="eastAsia" w:ascii="宋体" w:hAnsi="宋体" w:eastAsia="宋体" w:cs="宋体"/>
      <w:color w:val="000000"/>
      <w:sz w:val="16"/>
      <w:szCs w:val="16"/>
      <w:u w:val="none"/>
    </w:rPr>
  </w:style>
  <w:style w:type="character" w:customStyle="1" w:styleId="58">
    <w:name w:val="页脚 Char"/>
    <w:link w:val="16"/>
    <w:qFormat/>
    <w:uiPriority w:val="0"/>
    <w:rPr>
      <w:sz w:val="18"/>
      <w:szCs w:val="18"/>
    </w:rPr>
  </w:style>
  <w:style w:type="character" w:customStyle="1" w:styleId="59">
    <w:name w:val="unnamed21"/>
    <w:qFormat/>
    <w:uiPriority w:val="0"/>
    <w:rPr>
      <w:color w:val="000000"/>
      <w:sz w:val="20"/>
      <w:szCs w:val="20"/>
      <w:u w:val="none"/>
    </w:rPr>
  </w:style>
  <w:style w:type="character" w:customStyle="1" w:styleId="60">
    <w:name w:val="页眉 Char"/>
    <w:link w:val="17"/>
    <w:qFormat/>
    <w:uiPriority w:val="0"/>
    <w:rPr>
      <w:sz w:val="18"/>
      <w:szCs w:val="18"/>
    </w:rPr>
  </w:style>
  <w:style w:type="character" w:customStyle="1" w:styleId="61">
    <w:name w:val="font101"/>
    <w:basedOn w:val="26"/>
    <w:qFormat/>
    <w:uiPriority w:val="0"/>
    <w:rPr>
      <w:rFonts w:hint="eastAsia" w:ascii="宋体" w:hAnsi="宋体" w:eastAsia="宋体" w:cs="宋体"/>
      <w:color w:val="FF0000"/>
      <w:sz w:val="16"/>
      <w:szCs w:val="16"/>
      <w:u w:val="none"/>
    </w:rPr>
  </w:style>
  <w:style w:type="character" w:customStyle="1" w:styleId="62">
    <w:name w:val="1051"/>
    <w:qFormat/>
    <w:uiPriority w:val="0"/>
    <w:rPr>
      <w:rFonts w:ascii="Tahoma" w:hAnsi="Tahoma"/>
      <w:sz w:val="21"/>
    </w:rPr>
  </w:style>
  <w:style w:type="character" w:customStyle="1" w:styleId="63">
    <w:name w:val="纯文本 Char1"/>
    <w:qFormat/>
    <w:uiPriority w:val="0"/>
    <w:rPr>
      <w:rFonts w:ascii="宋体" w:hAnsi="Courier New" w:eastAsia="宋体" w:cs="Courier New"/>
      <w:szCs w:val="21"/>
    </w:rPr>
  </w:style>
  <w:style w:type="character" w:customStyle="1" w:styleId="64">
    <w:name w:val="font31"/>
    <w:basedOn w:val="26"/>
    <w:qFormat/>
    <w:uiPriority w:val="0"/>
    <w:rPr>
      <w:rFonts w:hint="eastAsia" w:ascii="宋体" w:hAnsi="宋体" w:eastAsia="宋体" w:cs="宋体"/>
      <w:color w:val="000000"/>
      <w:sz w:val="18"/>
      <w:szCs w:val="18"/>
      <w:u w:val="none"/>
    </w:rPr>
  </w:style>
  <w:style w:type="character" w:customStyle="1" w:styleId="65">
    <w:name w:val="font01"/>
    <w:basedOn w:val="26"/>
    <w:qFormat/>
    <w:uiPriority w:val="0"/>
    <w:rPr>
      <w:rFonts w:hint="default" w:ascii="Times New Roman" w:hAnsi="Times New Roman" w:cs="Times New Roman"/>
      <w:color w:val="000000"/>
      <w:sz w:val="24"/>
      <w:szCs w:val="24"/>
      <w:u w:val="none"/>
    </w:rPr>
  </w:style>
  <w:style w:type="character" w:customStyle="1" w:styleId="66">
    <w:name w:val="apple-style-span"/>
    <w:qFormat/>
    <w:uiPriority w:val="0"/>
    <w:rPr>
      <w:rFonts w:cs="Times New Roman"/>
    </w:rPr>
  </w:style>
  <w:style w:type="character" w:customStyle="1" w:styleId="67">
    <w:name w:val="font111"/>
    <w:basedOn w:val="26"/>
    <w:qFormat/>
    <w:uiPriority w:val="0"/>
    <w:rPr>
      <w:rFonts w:hint="eastAsia" w:ascii="宋体" w:hAnsi="宋体" w:eastAsia="宋体" w:cs="宋体"/>
      <w:color w:val="000000"/>
      <w:sz w:val="16"/>
      <w:szCs w:val="16"/>
      <w:u w:val="none"/>
    </w:rPr>
  </w:style>
  <w:style w:type="character" w:customStyle="1" w:styleId="68">
    <w:name w:val="font61"/>
    <w:basedOn w:val="26"/>
    <w:qFormat/>
    <w:uiPriority w:val="0"/>
    <w:rPr>
      <w:rFonts w:hint="default" w:ascii="Arial" w:hAnsi="Arial" w:cs="Arial"/>
      <w:color w:val="000000"/>
      <w:sz w:val="20"/>
      <w:szCs w:val="20"/>
      <w:u w:val="none"/>
    </w:rPr>
  </w:style>
  <w:style w:type="character" w:customStyle="1" w:styleId="69">
    <w:name w:val="正文文本缩进 Char"/>
    <w:link w:val="11"/>
    <w:qFormat/>
    <w:uiPriority w:val="0"/>
    <w:rPr>
      <w:rFonts w:ascii="仿宋_GB2312" w:hAnsi="Times New Roman" w:eastAsia="仿宋_GB2312" w:cs="Times New Roman"/>
      <w:sz w:val="32"/>
      <w:szCs w:val="20"/>
    </w:rPr>
  </w:style>
  <w:style w:type="character" w:customStyle="1" w:styleId="70">
    <w:name w:val="纯文本 Char"/>
    <w:link w:val="13"/>
    <w:qFormat/>
    <w:uiPriority w:val="0"/>
    <w:rPr>
      <w:rFonts w:ascii="宋体" w:hAnsi="Courier New" w:eastAsia="宋体" w:cs="Courier New"/>
      <w:szCs w:val="21"/>
    </w:rPr>
  </w:style>
  <w:style w:type="character" w:customStyle="1" w:styleId="71">
    <w:name w:val="font11"/>
    <w:basedOn w:val="26"/>
    <w:qFormat/>
    <w:uiPriority w:val="0"/>
    <w:rPr>
      <w:rFonts w:hint="eastAsia" w:ascii="宋体" w:hAnsi="宋体" w:eastAsia="宋体" w:cs="宋体"/>
      <w:color w:val="000000"/>
      <w:sz w:val="24"/>
      <w:szCs w:val="24"/>
      <w:u w:val="none"/>
      <w:vertAlign w:val="superscript"/>
    </w:rPr>
  </w:style>
  <w:style w:type="character" w:customStyle="1" w:styleId="72">
    <w:name w:val="font41"/>
    <w:basedOn w:val="26"/>
    <w:qFormat/>
    <w:uiPriority w:val="0"/>
    <w:rPr>
      <w:rFonts w:hint="eastAsia" w:ascii="宋体" w:hAnsi="宋体" w:eastAsia="宋体" w:cs="宋体"/>
      <w:color w:val="000000"/>
      <w:sz w:val="24"/>
      <w:szCs w:val="24"/>
      <w:u w:val="none"/>
    </w:rPr>
  </w:style>
  <w:style w:type="character" w:customStyle="1" w:styleId="73">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60</Pages>
  <Words>10083</Words>
  <Characters>57477</Characters>
  <Lines>478</Lines>
  <Paragraphs>134</Paragraphs>
  <TotalTime>13</TotalTime>
  <ScaleCrop>false</ScaleCrop>
  <LinksUpToDate>false</LinksUpToDate>
  <CharactersWithSpaces>67426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2019-08-06T10:08:00Z</dcterms:created>
  <dc:creator>Administrator</dc:creator>
  <cp:lastModifiedBy>一朵小蘑菇  </cp:lastModifiedBy>
  <cp:lastPrinted>2020-10-10T01:00:00Z</cp:lastPrinted>
  <dcterms:modified xsi:type="dcterms:W3CDTF">2020-10-10T02:01:47Z</dcterms:modified>
  <dc:title>广西科联招标中心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