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宋体" w:hAnsi="宋体" w:eastAsia="宋体" w:cs="宋体"/>
          <w:b/>
          <w:bCs w:val="0"/>
          <w:color w:val="auto"/>
          <w:sz w:val="21"/>
          <w:szCs w:val="21"/>
          <w:lang w:val="en-US" w:eastAsia="zh-CN"/>
        </w:rPr>
      </w:pPr>
      <w:bookmarkStart w:id="0" w:name="page2"/>
      <w:bookmarkEnd w:id="0"/>
    </w:p>
    <w:p>
      <w:pPr>
        <w:spacing w:line="400" w:lineRule="exact"/>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36"/>
          <w:szCs w:val="36"/>
          <w:lang w:val="en-US" w:eastAsia="zh-CN"/>
        </w:rPr>
        <w:t>广西建隆工程咨询有限公司</w:t>
      </w:r>
    </w:p>
    <w:p>
      <w:pPr>
        <w:pStyle w:val="8"/>
        <w:spacing w:line="240" w:lineRule="auto"/>
        <w:ind w:left="0" w:firstLine="0" w:firstLineChars="0"/>
        <w:rPr>
          <w:rFonts w:hint="eastAsia" w:ascii="宋体" w:hAnsi="宋体" w:eastAsia="宋体" w:cs="宋体"/>
          <w:color w:val="auto"/>
          <w:sz w:val="21"/>
          <w:szCs w:val="21"/>
        </w:rPr>
      </w:pPr>
    </w:p>
    <w:p>
      <w:pPr>
        <w:pStyle w:val="8"/>
        <w:spacing w:line="240" w:lineRule="auto"/>
        <w:ind w:left="0" w:firstLine="0" w:firstLineChars="0"/>
        <w:rPr>
          <w:rFonts w:hint="eastAsia" w:ascii="宋体" w:hAnsi="宋体" w:eastAsia="宋体" w:cs="宋体"/>
          <w:color w:val="auto"/>
          <w:sz w:val="21"/>
          <w:szCs w:val="21"/>
        </w:rPr>
      </w:pPr>
    </w:p>
    <w:p>
      <w:pPr>
        <w:spacing w:line="240" w:lineRule="auto"/>
        <w:ind w:left="0" w:firstLine="0" w:firstLineChars="0"/>
        <w:jc w:val="center"/>
        <w:rPr>
          <w:rFonts w:hint="eastAsia" w:ascii="宋体" w:hAnsi="宋体" w:eastAsia="宋体" w:cs="宋体"/>
          <w:b/>
          <w:color w:val="auto"/>
          <w:sz w:val="21"/>
          <w:szCs w:val="21"/>
          <w:lang w:eastAsia="zh-CN"/>
        </w:rPr>
      </w:pPr>
    </w:p>
    <w:p>
      <w:pPr>
        <w:spacing w:line="240" w:lineRule="auto"/>
        <w:ind w:left="0" w:firstLine="0" w:firstLineChars="0"/>
        <w:jc w:val="both"/>
        <w:rPr>
          <w:rFonts w:hint="eastAsia" w:ascii="宋体" w:hAnsi="宋体" w:eastAsia="宋体" w:cs="宋体"/>
          <w:b/>
          <w:color w:val="auto"/>
          <w:sz w:val="21"/>
          <w:szCs w:val="21"/>
          <w:lang w:eastAsia="zh-CN"/>
        </w:rPr>
      </w:pPr>
    </w:p>
    <w:p>
      <w:pPr>
        <w:spacing w:line="240" w:lineRule="auto"/>
        <w:ind w:left="0" w:firstLine="0" w:firstLineChars="0"/>
        <w:jc w:val="center"/>
        <w:rPr>
          <w:rFonts w:hint="eastAsia" w:ascii="宋体" w:hAnsi="宋体" w:eastAsia="宋体" w:cs="宋体"/>
          <w:b/>
          <w:color w:val="auto"/>
          <w:sz w:val="21"/>
          <w:szCs w:val="21"/>
          <w:lang w:eastAsia="zh-CN"/>
        </w:rPr>
      </w:pPr>
      <w:r>
        <w:rPr>
          <w:rFonts w:hint="eastAsia" w:ascii="宋体" w:hAnsi="宋体" w:eastAsia="宋体" w:cs="宋体"/>
          <w:color w:val="auto"/>
          <w:sz w:val="21"/>
          <w:szCs w:val="21"/>
        </w:rPr>
        <w:drawing>
          <wp:inline distT="0" distB="0" distL="0" distR="0">
            <wp:extent cx="2286000" cy="1695450"/>
            <wp:effectExtent l="0" t="0" r="0" b="0"/>
            <wp:docPr id="1026" name="图片 1" descr="wps_clip_image-22531"/>
            <wp:cNvGraphicFramePr/>
            <a:graphic xmlns:a="http://schemas.openxmlformats.org/drawingml/2006/main">
              <a:graphicData uri="http://schemas.openxmlformats.org/drawingml/2006/picture">
                <pic:pic xmlns:pic="http://schemas.openxmlformats.org/drawingml/2006/picture">
                  <pic:nvPicPr>
                    <pic:cNvPr id="1026" name="图片 1" descr="wps_clip_image-22531"/>
                    <pic:cNvPicPr/>
                  </pic:nvPicPr>
                  <pic:blipFill>
                    <a:blip r:embed="rId17" cstate="print"/>
                    <a:srcRect/>
                    <a:stretch>
                      <a:fillRect/>
                    </a:stretch>
                  </pic:blipFill>
                  <pic:spPr>
                    <a:xfrm>
                      <a:off x="0" y="0"/>
                      <a:ext cx="2286000" cy="1695450"/>
                    </a:xfrm>
                    <a:prstGeom prst="rect">
                      <a:avLst/>
                    </a:prstGeom>
                    <a:ln>
                      <a:noFill/>
                    </a:ln>
                  </pic:spPr>
                </pic:pic>
              </a:graphicData>
            </a:graphic>
          </wp:inline>
        </w:drawing>
      </w:r>
    </w:p>
    <w:p>
      <w:pPr>
        <w:pStyle w:val="8"/>
        <w:spacing w:line="240" w:lineRule="auto"/>
        <w:ind w:left="0" w:firstLine="0" w:firstLineChars="0"/>
        <w:rPr>
          <w:rFonts w:hint="eastAsia" w:ascii="宋体" w:hAnsi="宋体" w:eastAsia="宋体" w:cs="宋体"/>
          <w:b/>
          <w:color w:val="auto"/>
          <w:sz w:val="21"/>
          <w:szCs w:val="21"/>
          <w:lang w:eastAsia="zh-CN"/>
        </w:rPr>
      </w:pPr>
    </w:p>
    <w:p>
      <w:pPr>
        <w:pStyle w:val="8"/>
        <w:spacing w:line="240" w:lineRule="auto"/>
        <w:ind w:left="0" w:firstLine="0" w:firstLineChars="0"/>
        <w:rPr>
          <w:rFonts w:hint="eastAsia" w:ascii="宋体" w:hAnsi="宋体" w:eastAsia="宋体" w:cs="宋体"/>
          <w:b/>
          <w:color w:val="auto"/>
          <w:sz w:val="21"/>
          <w:szCs w:val="21"/>
          <w:lang w:eastAsia="zh-CN"/>
        </w:rPr>
      </w:pPr>
    </w:p>
    <w:p>
      <w:pPr>
        <w:spacing w:line="240" w:lineRule="auto"/>
        <w:ind w:left="0" w:firstLine="0" w:firstLineChars="0"/>
        <w:jc w:val="both"/>
        <w:rPr>
          <w:rFonts w:hint="eastAsia" w:ascii="宋体" w:hAnsi="宋体" w:eastAsia="宋体" w:cs="宋体"/>
          <w:b/>
          <w:color w:val="auto"/>
          <w:sz w:val="21"/>
          <w:szCs w:val="21"/>
          <w:lang w:eastAsia="zh-CN"/>
        </w:rPr>
      </w:pPr>
    </w:p>
    <w:p>
      <w:pPr>
        <w:spacing w:line="240" w:lineRule="auto"/>
        <w:ind w:left="0" w:firstLine="0" w:firstLineChars="0"/>
        <w:jc w:val="center"/>
        <w:rPr>
          <w:rFonts w:hint="eastAsia" w:ascii="宋体" w:hAnsi="宋体" w:eastAsia="宋体" w:cs="宋体"/>
          <w:b/>
          <w:color w:val="auto"/>
          <w:sz w:val="21"/>
          <w:szCs w:val="21"/>
          <w:lang w:eastAsia="zh-CN"/>
        </w:rPr>
      </w:pPr>
      <w:r>
        <w:rPr>
          <w:rFonts w:hint="eastAsia" w:ascii="宋体" w:hAnsi="宋体" w:eastAsia="宋体" w:cs="宋体"/>
          <w:b/>
          <w:color w:val="auto"/>
          <w:sz w:val="72"/>
          <w:szCs w:val="72"/>
          <w:lang w:eastAsia="zh-CN"/>
        </w:rPr>
        <w:t>竞争性磋商文件</w:t>
      </w:r>
    </w:p>
    <w:p>
      <w:pPr>
        <w:rPr>
          <w:rFonts w:hint="eastAsia" w:ascii="宋体" w:hAnsi="宋体" w:eastAsia="宋体" w:cs="宋体"/>
          <w:color w:val="auto"/>
          <w:sz w:val="21"/>
          <w:szCs w:val="21"/>
          <w:lang w:eastAsia="zh-CN"/>
        </w:rPr>
      </w:pPr>
    </w:p>
    <w:p>
      <w:pPr>
        <w:pStyle w:val="6"/>
        <w:rPr>
          <w:rFonts w:hint="eastAsia" w:ascii="宋体" w:hAnsi="宋体" w:eastAsia="宋体" w:cs="宋体"/>
          <w:sz w:val="21"/>
          <w:szCs w:val="21"/>
          <w:lang w:eastAsia="zh-CN"/>
        </w:rPr>
      </w:pPr>
    </w:p>
    <w:p>
      <w:pPr>
        <w:pStyle w:val="6"/>
        <w:spacing w:line="240" w:lineRule="auto"/>
        <w:ind w:left="0" w:firstLine="0" w:firstLineChars="0"/>
        <w:jc w:val="center"/>
        <w:rPr>
          <w:rFonts w:hint="eastAsia" w:ascii="宋体" w:hAnsi="宋体" w:eastAsia="宋体" w:cs="宋体"/>
          <w:color w:val="auto"/>
          <w:sz w:val="21"/>
          <w:szCs w:val="21"/>
          <w:lang w:eastAsia="zh-CN"/>
        </w:rPr>
      </w:pPr>
    </w:p>
    <w:p>
      <w:pPr>
        <w:pStyle w:val="6"/>
        <w:spacing w:line="240" w:lineRule="auto"/>
        <w:ind w:left="0" w:firstLine="0" w:firstLineChars="0"/>
        <w:jc w:val="left"/>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项目名称：</w:t>
      </w:r>
      <w:r>
        <w:rPr>
          <w:rFonts w:hint="eastAsia" w:ascii="宋体" w:hAnsi="宋体" w:eastAsia="宋体" w:cs="宋体"/>
          <w:b w:val="0"/>
          <w:bCs w:val="0"/>
          <w:color w:val="auto"/>
          <w:sz w:val="32"/>
          <w:szCs w:val="32"/>
          <w:lang w:val="en-US" w:eastAsia="zh-CN"/>
        </w:rPr>
        <w:t>崇左市江州区农业农村局崇左市江州区高标准农田建设规划（2019-2025年）编制服务项目</w:t>
      </w:r>
    </w:p>
    <w:p>
      <w:pPr>
        <w:pStyle w:val="8"/>
        <w:jc w:val="left"/>
        <w:rPr>
          <w:rFonts w:hint="eastAsia" w:ascii="宋体" w:hAnsi="宋体" w:eastAsia="宋体" w:cs="宋体"/>
          <w:b/>
          <w:color w:val="auto"/>
          <w:sz w:val="32"/>
          <w:szCs w:val="32"/>
          <w:lang w:eastAsia="zh-CN"/>
        </w:rPr>
      </w:pPr>
      <w:r>
        <w:rPr>
          <w:rFonts w:hint="eastAsia" w:ascii="宋体" w:hAnsi="宋体" w:eastAsia="宋体" w:cs="宋体"/>
          <w:b/>
          <w:bCs/>
          <w:color w:val="auto"/>
          <w:sz w:val="32"/>
          <w:szCs w:val="32"/>
          <w:lang w:eastAsia="zh-CN"/>
        </w:rPr>
        <w:t>项目编号</w:t>
      </w:r>
      <w:r>
        <w:rPr>
          <w:rFonts w:hint="eastAsia" w:ascii="宋体" w:hAnsi="宋体" w:eastAsia="宋体" w:cs="宋体"/>
          <w:color w:val="auto"/>
          <w:sz w:val="32"/>
          <w:szCs w:val="32"/>
          <w:lang w:eastAsia="zh-CN"/>
        </w:rPr>
        <w:t>：CZZC2020-C3-20015-GXJL</w:t>
      </w:r>
    </w:p>
    <w:p>
      <w:pPr>
        <w:pStyle w:val="8"/>
        <w:rPr>
          <w:rFonts w:hint="eastAsia" w:ascii="宋体" w:hAnsi="宋体" w:eastAsia="宋体" w:cs="宋体"/>
          <w:b/>
          <w:color w:val="auto"/>
          <w:sz w:val="32"/>
          <w:szCs w:val="32"/>
          <w:lang w:eastAsia="zh-CN"/>
        </w:rPr>
      </w:pPr>
    </w:p>
    <w:p>
      <w:pPr>
        <w:pStyle w:val="8"/>
        <w:rPr>
          <w:rFonts w:hint="eastAsia" w:ascii="宋体" w:hAnsi="宋体" w:eastAsia="宋体" w:cs="宋体"/>
          <w:b/>
          <w:color w:val="auto"/>
          <w:sz w:val="32"/>
          <w:szCs w:val="32"/>
          <w:lang w:eastAsia="zh-CN"/>
        </w:rPr>
      </w:pPr>
      <w:r>
        <w:rPr>
          <w:rFonts w:hint="eastAsia" w:ascii="宋体" w:hAnsi="宋体" w:eastAsia="宋体" w:cs="宋体"/>
          <w:color w:val="auto"/>
          <w:sz w:val="32"/>
          <w:szCs w:val="32"/>
        </w:rPr>
        <mc:AlternateContent>
          <mc:Choice Requires="wps">
            <w:drawing>
              <wp:anchor distT="0" distB="0" distL="0" distR="0" simplePos="0" relativeHeight="1024" behindDoc="0" locked="0" layoutInCell="1" allowOverlap="1">
                <wp:simplePos x="0" y="0"/>
                <wp:positionH relativeFrom="column">
                  <wp:posOffset>11430</wp:posOffset>
                </wp:positionH>
                <wp:positionV relativeFrom="paragraph">
                  <wp:posOffset>189865</wp:posOffset>
                </wp:positionV>
                <wp:extent cx="6324600" cy="28575"/>
                <wp:effectExtent l="0" t="4445" r="0" b="5080"/>
                <wp:wrapNone/>
                <wp:docPr id="1027" name="直接连接符 86"/>
                <wp:cNvGraphicFramePr/>
                <a:graphic xmlns:a="http://schemas.openxmlformats.org/drawingml/2006/main">
                  <a:graphicData uri="http://schemas.microsoft.com/office/word/2010/wordprocessingShape">
                    <wps:wsp>
                      <wps:cNvCnPr/>
                      <wps:spPr>
                        <a:xfrm flipV="1">
                          <a:off x="0" y="0"/>
                          <a:ext cx="6324600" cy="28575"/>
                        </a:xfrm>
                        <a:prstGeom prst="line">
                          <a:avLst/>
                        </a:prstGeom>
                        <a:ln w="9525" cap="flat" cmpd="sng">
                          <a:solidFill>
                            <a:srgbClr val="000000"/>
                          </a:solidFill>
                          <a:prstDash val="solid"/>
                          <a:round/>
                        </a:ln>
                      </wps:spPr>
                      <wps:bodyPr/>
                    </wps:wsp>
                  </a:graphicData>
                </a:graphic>
              </wp:anchor>
            </w:drawing>
          </mc:Choice>
          <mc:Fallback>
            <w:pict>
              <v:line id="直接连接符 86" o:spid="_x0000_s1026" o:spt="20" style="position:absolute;left:0pt;flip:y;margin-left:0.9pt;margin-top:14.95pt;height:2.25pt;width:498pt;z-index:1024;mso-width-relative:page;mso-height-relative:page;" filled="f" stroked="t" coordsize="21600,21600" o:gfxdata="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9qCk/UAAAABwEAAA8AAAAAAAAAAQAgAAAAIgAAAGRycy9kb3ducmV2Lnht&#10;bFBLAQIUABQAAAAIAIdO4kA/CXcuxAEAAFIDAAAOAAAAAAAAAAEAIAAAACMBAABkcnMvZTJvRG9j&#10;LnhtbFBLBQYAAAAABgAGAFkBAABZBQAAAAA=&#10;">
                <v:fill on="f" focussize="0,0"/>
                <v:stroke color="#000000" joinstyle="round"/>
                <v:imagedata o:title=""/>
                <o:lock v:ext="edit" aspectratio="f"/>
              </v:line>
            </w:pict>
          </mc:Fallback>
        </mc:AlternateContent>
      </w:r>
    </w:p>
    <w:p>
      <w:pPr>
        <w:pStyle w:val="8"/>
        <w:rPr>
          <w:rFonts w:hint="eastAsia" w:ascii="宋体" w:hAnsi="宋体" w:eastAsia="宋体" w:cs="宋体"/>
          <w:b/>
          <w:color w:val="auto"/>
          <w:sz w:val="32"/>
          <w:szCs w:val="32"/>
          <w:lang w:eastAsia="zh-CN"/>
        </w:rPr>
      </w:pPr>
    </w:p>
    <w:p>
      <w:pPr>
        <w:pStyle w:val="6"/>
        <w:jc w:val="both"/>
        <w:rPr>
          <w:rFonts w:hint="eastAsia" w:ascii="宋体" w:hAnsi="宋体" w:eastAsia="宋体" w:cs="宋体"/>
          <w:b/>
          <w:bCs/>
          <w:color w:val="auto"/>
          <w:sz w:val="32"/>
          <w:szCs w:val="32"/>
          <w:lang w:eastAsia="zh-CN"/>
        </w:rPr>
      </w:pPr>
    </w:p>
    <w:p>
      <w:pPr>
        <w:rPr>
          <w:rFonts w:hint="eastAsia" w:ascii="宋体" w:hAnsi="宋体" w:eastAsia="宋体" w:cs="宋体"/>
          <w:sz w:val="32"/>
          <w:szCs w:val="32"/>
          <w:lang w:eastAsia="zh-CN"/>
        </w:rPr>
      </w:pPr>
    </w:p>
    <w:p>
      <w:pPr>
        <w:spacing w:line="560" w:lineRule="exact"/>
        <w:jc w:val="both"/>
        <w:rPr>
          <w:rFonts w:hint="eastAsia" w:ascii="宋体" w:hAnsi="宋体" w:eastAsia="宋体" w:cs="宋体"/>
          <w:b w:val="0"/>
          <w:bCs w:val="0"/>
          <w:color w:val="auto"/>
          <w:sz w:val="32"/>
          <w:szCs w:val="32"/>
          <w:lang w:eastAsia="zh-CN"/>
        </w:rPr>
      </w:pPr>
      <w:r>
        <w:rPr>
          <w:rFonts w:hint="eastAsia" w:ascii="宋体" w:hAnsi="宋体" w:eastAsia="宋体" w:cs="宋体"/>
          <w:b/>
          <w:bCs/>
          <w:color w:val="auto"/>
          <w:sz w:val="32"/>
          <w:szCs w:val="32"/>
          <w:lang w:eastAsia="zh-CN"/>
        </w:rPr>
        <w:t>采 购 人：</w:t>
      </w:r>
      <w:r>
        <w:rPr>
          <w:rFonts w:hint="eastAsia" w:ascii="宋体" w:hAnsi="宋体" w:eastAsia="宋体" w:cs="宋体"/>
          <w:b w:val="0"/>
          <w:bCs w:val="0"/>
          <w:color w:val="auto"/>
          <w:sz w:val="32"/>
          <w:szCs w:val="32"/>
          <w:lang w:eastAsia="zh-CN"/>
        </w:rPr>
        <w:t>崇左市江州区农业农村局</w:t>
      </w:r>
    </w:p>
    <w:p>
      <w:pPr>
        <w:spacing w:line="560" w:lineRule="exact"/>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采购代理机构：</w:t>
      </w:r>
      <w:r>
        <w:rPr>
          <w:rFonts w:hint="eastAsia" w:ascii="宋体" w:hAnsi="宋体" w:eastAsia="宋体" w:cs="宋体"/>
          <w:b w:val="0"/>
          <w:bCs w:val="0"/>
          <w:color w:val="auto"/>
          <w:sz w:val="32"/>
          <w:szCs w:val="32"/>
          <w:lang w:eastAsia="zh-CN"/>
        </w:rPr>
        <w:t>广西建隆工程咨询有限公司</w:t>
      </w:r>
      <w:r>
        <w:rPr>
          <w:rFonts w:hint="eastAsia" w:ascii="宋体" w:hAnsi="宋体" w:eastAsia="宋体" w:cs="宋体"/>
          <w:b/>
          <w:bCs/>
          <w:color w:val="auto"/>
          <w:sz w:val="32"/>
          <w:szCs w:val="32"/>
          <w:lang w:eastAsia="zh-CN"/>
        </w:rPr>
        <w:t xml:space="preserve"> </w:t>
      </w:r>
    </w:p>
    <w:p>
      <w:pPr>
        <w:spacing w:line="560" w:lineRule="exact"/>
        <w:jc w:val="center"/>
        <w:rPr>
          <w:rFonts w:hint="eastAsia" w:ascii="宋体" w:hAnsi="宋体" w:eastAsia="宋体" w:cs="宋体"/>
          <w:b/>
          <w:bCs/>
          <w:color w:val="auto"/>
          <w:sz w:val="32"/>
          <w:szCs w:val="32"/>
          <w:lang w:eastAsia="zh-CN"/>
        </w:rPr>
      </w:pPr>
    </w:p>
    <w:p>
      <w:pPr>
        <w:spacing w:before="5"/>
        <w:ind w:left="2918" w:right="0" w:firstLine="0"/>
        <w:jc w:val="left"/>
        <w:rPr>
          <w:rFonts w:hint="eastAsia" w:ascii="宋体" w:hAnsi="宋体" w:eastAsia="宋体" w:cs="宋体"/>
          <w:b/>
          <w:sz w:val="21"/>
          <w:szCs w:val="21"/>
        </w:rPr>
      </w:pPr>
      <w:r>
        <w:rPr>
          <w:rFonts w:hint="eastAsia" w:ascii="宋体" w:hAnsi="宋体" w:eastAsia="宋体" w:cs="宋体"/>
          <w:b/>
          <w:bCs/>
          <w:color w:val="000000"/>
          <w:sz w:val="32"/>
          <w:szCs w:val="32"/>
        </w:rPr>
        <w:t>日  期：</w:t>
      </w:r>
      <w:r>
        <w:rPr>
          <w:rFonts w:hint="eastAsia" w:ascii="宋体" w:hAnsi="宋体" w:eastAsia="宋体" w:cs="宋体"/>
          <w:b w:val="0"/>
          <w:bCs w:val="0"/>
          <w:color w:val="000000"/>
          <w:sz w:val="32"/>
          <w:szCs w:val="32"/>
        </w:rPr>
        <w:t>二</w:t>
      </w:r>
      <w:r>
        <w:rPr>
          <w:rFonts w:hint="eastAsia" w:ascii="宋体" w:hAnsi="宋体" w:eastAsia="宋体" w:cs="宋体"/>
          <w:b w:val="0"/>
          <w:bCs w:val="0"/>
          <w:color w:val="000000"/>
          <w:sz w:val="32"/>
          <w:szCs w:val="32"/>
          <w:lang w:val="en-US" w:eastAsia="zh-CN"/>
        </w:rPr>
        <w:t>0</w:t>
      </w:r>
      <w:r>
        <w:rPr>
          <w:rFonts w:hint="eastAsia" w:ascii="宋体" w:hAnsi="宋体" w:eastAsia="宋体" w:cs="宋体"/>
          <w:b w:val="0"/>
          <w:bCs w:val="0"/>
          <w:color w:val="000000"/>
          <w:sz w:val="32"/>
          <w:szCs w:val="32"/>
          <w:lang w:eastAsia="zh-CN"/>
        </w:rPr>
        <w:t>二零</w:t>
      </w:r>
      <w:r>
        <w:rPr>
          <w:rFonts w:hint="eastAsia" w:ascii="宋体" w:hAnsi="宋体" w:eastAsia="宋体" w:cs="宋体"/>
          <w:b w:val="0"/>
          <w:bCs w:val="0"/>
          <w:color w:val="000000"/>
          <w:sz w:val="32"/>
          <w:szCs w:val="32"/>
        </w:rPr>
        <w:t>年</w:t>
      </w:r>
      <w:r>
        <w:rPr>
          <w:rFonts w:hint="eastAsia" w:ascii="宋体" w:hAnsi="宋体" w:eastAsia="宋体" w:cs="宋体"/>
          <w:b w:val="0"/>
          <w:bCs w:val="0"/>
          <w:color w:val="000000"/>
          <w:sz w:val="32"/>
          <w:szCs w:val="32"/>
          <w:lang w:eastAsia="zh-CN"/>
        </w:rPr>
        <w:t>七</w:t>
      </w:r>
      <w:r>
        <w:rPr>
          <w:rFonts w:hint="eastAsia" w:ascii="宋体" w:hAnsi="宋体" w:eastAsia="宋体" w:cs="宋体"/>
          <w:b w:val="0"/>
          <w:bCs w:val="0"/>
          <w:color w:val="000000"/>
          <w:sz w:val="32"/>
          <w:szCs w:val="32"/>
        </w:rPr>
        <w:t>月</w:t>
      </w:r>
    </w:p>
    <w:p>
      <w:pPr>
        <w:spacing w:after="0"/>
        <w:jc w:val="left"/>
        <w:rPr>
          <w:rFonts w:hint="eastAsia" w:ascii="宋体" w:hAnsi="宋体" w:eastAsia="宋体" w:cs="宋体"/>
          <w:sz w:val="21"/>
          <w:szCs w:val="21"/>
        </w:rPr>
        <w:sectPr>
          <w:type w:val="continuous"/>
          <w:pgSz w:w="11910" w:h="16840"/>
          <w:pgMar w:top="1600" w:right="900" w:bottom="280" w:left="900" w:header="720" w:footer="720" w:gutter="0"/>
        </w:sectPr>
      </w:pPr>
    </w:p>
    <w:p>
      <w:pPr>
        <w:pStyle w:val="8"/>
        <w:spacing w:before="5"/>
        <w:rPr>
          <w:rFonts w:hint="eastAsia" w:ascii="宋体" w:hAnsi="宋体" w:eastAsia="宋体" w:cs="宋体"/>
          <w:b/>
          <w:sz w:val="21"/>
          <w:szCs w:val="21"/>
        </w:rPr>
      </w:pPr>
    </w:p>
    <w:p>
      <w:pPr>
        <w:pStyle w:val="8"/>
        <w:spacing w:line="20" w:lineRule="exact"/>
        <w:ind w:left="510"/>
        <w:rPr>
          <w:rFonts w:hint="eastAsia" w:ascii="宋体" w:hAnsi="宋体" w:eastAsia="宋体" w:cs="宋体"/>
          <w:sz w:val="21"/>
          <w:szCs w:val="21"/>
        </w:rPr>
      </w:pPr>
    </w:p>
    <w:p>
      <w:pPr>
        <w:tabs>
          <w:tab w:val="left" w:pos="880"/>
        </w:tabs>
        <w:spacing w:before="104"/>
        <w:ind w:left="0" w:right="1" w:firstLine="0"/>
        <w:jc w:val="center"/>
        <w:rPr>
          <w:rFonts w:hint="eastAsia" w:ascii="宋体" w:hAnsi="宋体" w:eastAsia="宋体" w:cs="宋体"/>
          <w:b/>
          <w:sz w:val="21"/>
          <w:szCs w:val="21"/>
        </w:rPr>
      </w:pPr>
      <w:r>
        <w:rPr>
          <w:rFonts w:hint="eastAsia" w:ascii="宋体" w:hAnsi="宋体" w:eastAsia="宋体" w:cs="宋体"/>
          <w:b/>
          <w:sz w:val="32"/>
          <w:szCs w:val="32"/>
        </w:rPr>
        <w:t>目</w:t>
      </w:r>
      <w:r>
        <w:rPr>
          <w:rFonts w:hint="eastAsia" w:ascii="宋体" w:hAnsi="宋体" w:eastAsia="宋体" w:cs="宋体"/>
          <w:b/>
          <w:sz w:val="32"/>
          <w:szCs w:val="32"/>
        </w:rPr>
        <w:tab/>
      </w:r>
      <w:r>
        <w:rPr>
          <w:rFonts w:hint="eastAsia" w:ascii="宋体" w:hAnsi="宋体" w:eastAsia="宋体" w:cs="宋体"/>
          <w:b/>
          <w:sz w:val="32"/>
          <w:szCs w:val="32"/>
        </w:rPr>
        <w:t>录</w:t>
      </w:r>
    </w:p>
    <w:p>
      <w:pPr>
        <w:spacing w:after="0"/>
        <w:jc w:val="center"/>
        <w:rPr>
          <w:rFonts w:hint="eastAsia" w:ascii="宋体" w:hAnsi="宋体" w:eastAsia="宋体" w:cs="宋体"/>
          <w:sz w:val="21"/>
          <w:szCs w:val="21"/>
        </w:rPr>
        <w:sectPr>
          <w:headerReference r:id="rId3" w:type="default"/>
          <w:footerReference r:id="rId4" w:type="default"/>
          <w:pgSz w:w="11910" w:h="16840"/>
          <w:pgMar w:top="1260" w:right="900" w:bottom="1800" w:left="900" w:header="1066" w:footer="993" w:gutter="0"/>
          <w:pgNumType w:start="1"/>
        </w:sectPr>
      </w:pPr>
    </w:p>
    <w:p>
      <w:pPr>
        <w:pStyle w:val="13"/>
        <w:tabs>
          <w:tab w:val="left" w:pos="1123"/>
          <w:tab w:val="right" w:leader="dot" w:pos="907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"_bookmark0" </w:instrText>
      </w:r>
      <w:r>
        <w:rPr>
          <w:rFonts w:hint="eastAsia" w:ascii="宋体" w:hAnsi="宋体" w:eastAsia="宋体" w:cs="宋体"/>
          <w:sz w:val="21"/>
          <w:szCs w:val="21"/>
        </w:rPr>
        <w:fldChar w:fldCharType="separate"/>
      </w:r>
      <w:r>
        <w:rPr>
          <w:rFonts w:hint="eastAsia" w:ascii="宋体" w:hAnsi="宋体" w:eastAsia="宋体" w:cs="宋体"/>
          <w:sz w:val="21"/>
          <w:szCs w:val="21"/>
        </w:rPr>
        <w:t>第一章</w:t>
      </w:r>
      <w:r>
        <w:rPr>
          <w:rFonts w:hint="eastAsia" w:ascii="宋体" w:hAnsi="宋体" w:eastAsia="宋体" w:cs="宋体"/>
          <w:sz w:val="21"/>
          <w:szCs w:val="21"/>
        </w:rPr>
        <w:tab/>
      </w:r>
      <w:r>
        <w:rPr>
          <w:rFonts w:hint="eastAsia" w:ascii="宋体" w:hAnsi="宋体" w:eastAsia="宋体" w:cs="宋体"/>
          <w:sz w:val="21"/>
          <w:szCs w:val="21"/>
        </w:rPr>
        <w:t>磋商须知及前附表</w:t>
      </w:r>
      <w:r>
        <w:rPr>
          <w:rFonts w:hint="eastAsia" w:ascii="宋体" w:hAnsi="宋体" w:eastAsia="宋体" w:cs="宋体"/>
          <w:sz w:val="21"/>
          <w:szCs w:val="21"/>
        </w:rPr>
        <w:tab/>
      </w:r>
      <w:r>
        <w:rPr>
          <w:rFonts w:hint="eastAsia" w:ascii="宋体" w:hAnsi="宋体" w:eastAsia="宋体" w:cs="宋体"/>
          <w:sz w:val="21"/>
          <w:szCs w:val="21"/>
        </w:rPr>
        <w:t>6</w:t>
      </w:r>
      <w:r>
        <w:rPr>
          <w:rFonts w:hint="eastAsia" w:ascii="宋体" w:hAnsi="宋体" w:eastAsia="宋体" w:cs="宋体"/>
          <w:sz w:val="21"/>
          <w:szCs w:val="21"/>
        </w:rPr>
        <w:fldChar w:fldCharType="end"/>
      </w:r>
    </w:p>
    <w:p>
      <w:pPr>
        <w:pStyle w:val="14"/>
        <w:tabs>
          <w:tab w:val="left" w:pos="1641"/>
          <w:tab w:val="right" w:leader="dot" w:pos="958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"_bookmark37" </w:instrText>
      </w:r>
      <w:r>
        <w:rPr>
          <w:rFonts w:hint="eastAsia" w:ascii="宋体" w:hAnsi="宋体" w:eastAsia="宋体" w:cs="宋体"/>
          <w:sz w:val="21"/>
          <w:szCs w:val="21"/>
        </w:rPr>
        <w:fldChar w:fldCharType="separate"/>
      </w:r>
      <w:r>
        <w:rPr>
          <w:rFonts w:hint="eastAsia" w:ascii="宋体" w:hAnsi="宋体" w:eastAsia="宋体" w:cs="宋体"/>
          <w:sz w:val="21"/>
          <w:szCs w:val="21"/>
        </w:rPr>
        <w:t>第二章</w:t>
      </w:r>
      <w:r>
        <w:rPr>
          <w:rFonts w:hint="eastAsia" w:ascii="宋体" w:hAnsi="宋体" w:eastAsia="宋体" w:cs="宋体"/>
          <w:sz w:val="21"/>
          <w:szCs w:val="21"/>
        </w:rPr>
        <w:tab/>
      </w:r>
      <w:r>
        <w:rPr>
          <w:rFonts w:hint="eastAsia" w:ascii="宋体" w:hAnsi="宋体" w:eastAsia="宋体" w:cs="宋体"/>
          <w:sz w:val="21"/>
          <w:szCs w:val="21"/>
        </w:rPr>
        <w:t>项目服务要求</w:t>
      </w:r>
      <w:r>
        <w:rPr>
          <w:rFonts w:hint="eastAsia" w:ascii="宋体" w:hAnsi="宋体" w:eastAsia="宋体" w:cs="宋体"/>
          <w:sz w:val="21"/>
          <w:szCs w:val="21"/>
        </w:rPr>
        <w:tab/>
      </w:r>
      <w:r>
        <w:rPr>
          <w:rFonts w:hint="eastAsia" w:ascii="宋体" w:hAnsi="宋体" w:eastAsia="宋体" w:cs="宋体"/>
          <w:sz w:val="21"/>
          <w:szCs w:val="21"/>
        </w:rPr>
        <w:t>24</w:t>
      </w:r>
      <w:r>
        <w:rPr>
          <w:rFonts w:hint="eastAsia" w:ascii="宋体" w:hAnsi="宋体" w:eastAsia="宋体" w:cs="宋体"/>
          <w:sz w:val="21"/>
          <w:szCs w:val="21"/>
        </w:rPr>
        <w:fldChar w:fldCharType="end"/>
      </w:r>
    </w:p>
    <w:p>
      <w:pPr>
        <w:pStyle w:val="14"/>
        <w:tabs>
          <w:tab w:val="left" w:pos="1641"/>
          <w:tab w:val="right" w:leader="dot" w:pos="9589"/>
        </w:tabs>
        <w:spacing w:before="18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"_bookmark38" </w:instrText>
      </w:r>
      <w:r>
        <w:rPr>
          <w:rFonts w:hint="eastAsia" w:ascii="宋体" w:hAnsi="宋体" w:eastAsia="宋体" w:cs="宋体"/>
          <w:sz w:val="21"/>
          <w:szCs w:val="21"/>
        </w:rPr>
        <w:fldChar w:fldCharType="separate"/>
      </w:r>
      <w:r>
        <w:rPr>
          <w:rFonts w:hint="eastAsia" w:ascii="宋体" w:hAnsi="宋体" w:eastAsia="宋体" w:cs="宋体"/>
          <w:sz w:val="21"/>
          <w:szCs w:val="21"/>
        </w:rPr>
        <w:t>第三章</w:t>
      </w:r>
      <w:r>
        <w:rPr>
          <w:rFonts w:hint="eastAsia" w:ascii="宋体" w:hAnsi="宋体" w:eastAsia="宋体" w:cs="宋体"/>
          <w:sz w:val="21"/>
          <w:szCs w:val="21"/>
        </w:rPr>
        <w:tab/>
      </w:r>
      <w:r>
        <w:rPr>
          <w:rFonts w:hint="eastAsia" w:ascii="宋体" w:hAnsi="宋体" w:eastAsia="宋体" w:cs="宋体"/>
          <w:sz w:val="21"/>
          <w:szCs w:val="21"/>
        </w:rPr>
        <w:t>合同主要条款及格式</w:t>
      </w:r>
      <w:r>
        <w:rPr>
          <w:rFonts w:hint="eastAsia" w:ascii="宋体" w:hAnsi="宋体" w:eastAsia="宋体" w:cs="宋体"/>
          <w:sz w:val="21"/>
          <w:szCs w:val="21"/>
        </w:rPr>
        <w:tab/>
      </w:r>
      <w:r>
        <w:rPr>
          <w:rFonts w:hint="eastAsia" w:ascii="宋体" w:hAnsi="宋体" w:eastAsia="宋体" w:cs="宋体"/>
          <w:sz w:val="21"/>
          <w:szCs w:val="21"/>
        </w:rPr>
        <w:t>25</w:t>
      </w:r>
      <w:r>
        <w:rPr>
          <w:rFonts w:hint="eastAsia" w:ascii="宋体" w:hAnsi="宋体" w:eastAsia="宋体" w:cs="宋体"/>
          <w:sz w:val="21"/>
          <w:szCs w:val="21"/>
        </w:rPr>
        <w:fldChar w:fldCharType="end"/>
      </w:r>
    </w:p>
    <w:p>
      <w:pPr>
        <w:pStyle w:val="14"/>
        <w:tabs>
          <w:tab w:val="left" w:pos="1641"/>
          <w:tab w:val="right" w:leader="dot" w:pos="9586"/>
        </w:tabs>
        <w:spacing w:before="18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"_bookmark39" </w:instrText>
      </w:r>
      <w:r>
        <w:rPr>
          <w:rFonts w:hint="eastAsia" w:ascii="宋体" w:hAnsi="宋体" w:eastAsia="宋体" w:cs="宋体"/>
          <w:sz w:val="21"/>
          <w:szCs w:val="21"/>
        </w:rPr>
        <w:fldChar w:fldCharType="separate"/>
      </w:r>
      <w:r>
        <w:rPr>
          <w:rFonts w:hint="eastAsia" w:ascii="宋体" w:hAnsi="宋体" w:eastAsia="宋体" w:cs="宋体"/>
          <w:sz w:val="21"/>
          <w:szCs w:val="21"/>
        </w:rPr>
        <w:t>第四章</w:t>
      </w:r>
      <w:r>
        <w:rPr>
          <w:rFonts w:hint="eastAsia" w:ascii="宋体" w:hAnsi="宋体" w:eastAsia="宋体" w:cs="宋体"/>
          <w:sz w:val="21"/>
          <w:szCs w:val="21"/>
        </w:rPr>
        <w:tab/>
      </w:r>
      <w:r>
        <w:rPr>
          <w:rFonts w:hint="eastAsia" w:ascii="宋体" w:hAnsi="宋体" w:eastAsia="宋体" w:cs="宋体"/>
          <w:sz w:val="21"/>
          <w:szCs w:val="21"/>
        </w:rPr>
        <w:t>响应文件格式</w:t>
      </w:r>
      <w:r>
        <w:rPr>
          <w:rFonts w:hint="eastAsia" w:ascii="宋体" w:hAnsi="宋体" w:eastAsia="宋体" w:cs="宋体"/>
          <w:sz w:val="21"/>
          <w:szCs w:val="21"/>
        </w:rPr>
        <w:tab/>
      </w:r>
      <w:r>
        <w:rPr>
          <w:rFonts w:hint="eastAsia" w:ascii="宋体" w:hAnsi="宋体" w:eastAsia="宋体" w:cs="宋体"/>
          <w:sz w:val="21"/>
          <w:szCs w:val="21"/>
        </w:rPr>
        <w:t>33</w:t>
      </w:r>
      <w:r>
        <w:rPr>
          <w:rFonts w:hint="eastAsia" w:ascii="宋体" w:hAnsi="宋体" w:eastAsia="宋体" w:cs="宋体"/>
          <w:sz w:val="21"/>
          <w:szCs w:val="21"/>
        </w:rPr>
        <w:fldChar w:fldCharType="end"/>
      </w:r>
    </w:p>
    <w:p>
      <w:pPr>
        <w:pStyle w:val="14"/>
        <w:tabs>
          <w:tab w:val="left" w:pos="1641"/>
          <w:tab w:val="right" w:leader="dot" w:pos="9534"/>
        </w:tabs>
        <w:spacing w:before="18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"_bookmark40" </w:instrText>
      </w:r>
      <w:r>
        <w:rPr>
          <w:rFonts w:hint="eastAsia" w:ascii="宋体" w:hAnsi="宋体" w:eastAsia="宋体" w:cs="宋体"/>
          <w:sz w:val="21"/>
          <w:szCs w:val="21"/>
        </w:rPr>
        <w:fldChar w:fldCharType="separate"/>
      </w:r>
      <w:r>
        <w:rPr>
          <w:rFonts w:hint="eastAsia" w:ascii="宋体" w:hAnsi="宋体" w:eastAsia="宋体" w:cs="宋体"/>
          <w:sz w:val="21"/>
          <w:szCs w:val="21"/>
        </w:rPr>
        <w:t>第五章</w:t>
      </w:r>
      <w:r>
        <w:rPr>
          <w:rFonts w:hint="eastAsia" w:ascii="宋体" w:hAnsi="宋体" w:eastAsia="宋体" w:cs="宋体"/>
          <w:sz w:val="21"/>
          <w:szCs w:val="21"/>
        </w:rPr>
        <w:tab/>
      </w:r>
      <w:r>
        <w:rPr>
          <w:rFonts w:hint="eastAsia" w:ascii="宋体" w:hAnsi="宋体" w:eastAsia="宋体" w:cs="宋体"/>
          <w:sz w:val="21"/>
          <w:szCs w:val="21"/>
        </w:rPr>
        <w:t>评标方法和评标标准</w:t>
      </w:r>
      <w:r>
        <w:rPr>
          <w:rFonts w:hint="eastAsia" w:ascii="宋体" w:hAnsi="宋体" w:eastAsia="宋体" w:cs="宋体"/>
          <w:sz w:val="21"/>
          <w:szCs w:val="21"/>
        </w:rPr>
        <w:tab/>
      </w:r>
      <w:r>
        <w:rPr>
          <w:rFonts w:hint="eastAsia" w:ascii="宋体" w:hAnsi="宋体" w:eastAsia="宋体" w:cs="宋体"/>
          <w:sz w:val="21"/>
          <w:szCs w:val="21"/>
        </w:rPr>
        <w:t>51</w:t>
      </w:r>
      <w:r>
        <w:rPr>
          <w:rFonts w:hint="eastAsia" w:ascii="宋体" w:hAnsi="宋体" w:eastAsia="宋体" w:cs="宋体"/>
          <w:sz w:val="21"/>
          <w:szCs w:val="21"/>
        </w:rPr>
        <w:fldChar w:fldCharType="end"/>
      </w:r>
    </w:p>
    <w:p>
      <w:pPr>
        <w:spacing w:after="0"/>
        <w:rPr>
          <w:rFonts w:hint="eastAsia" w:ascii="宋体" w:hAnsi="宋体" w:eastAsia="宋体" w:cs="宋体"/>
          <w:sz w:val="21"/>
          <w:szCs w:val="21"/>
        </w:rPr>
        <w:sectPr>
          <w:type w:val="continuous"/>
          <w:pgSz w:w="11910" w:h="16840"/>
          <w:pgMar w:top="1266" w:right="900" w:bottom="1800" w:left="900" w:header="720" w:footer="720" w:gutter="0"/>
        </w:sectPr>
      </w:pPr>
    </w:p>
    <w:p>
      <w:pPr>
        <w:pStyle w:val="4"/>
        <w:tabs>
          <w:tab w:val="left" w:pos="0"/>
        </w:tabs>
        <w:autoSpaceDE w:val="0"/>
        <w:autoSpaceDN w:val="0"/>
        <w:adjustRightInd w:val="0"/>
        <w:spacing w:before="0" w:after="0" w:line="240" w:lineRule="auto"/>
        <w:jc w:val="center"/>
        <w:rPr>
          <w:rFonts w:hint="eastAsia" w:ascii="宋体" w:hAnsi="宋体" w:eastAsia="宋体" w:cs="宋体"/>
          <w:sz w:val="32"/>
          <w:szCs w:val="32"/>
        </w:rPr>
      </w:pPr>
      <w:bookmarkStart w:id="1" w:name="page5"/>
      <w:bookmarkEnd w:id="1"/>
      <w:bookmarkStart w:id="2" w:name="page4"/>
      <w:bookmarkEnd w:id="2"/>
      <w:r>
        <w:rPr>
          <w:rFonts w:hint="eastAsia" w:ascii="宋体" w:hAnsi="宋体" w:eastAsia="宋体" w:cs="宋体"/>
          <w:sz w:val="32"/>
          <w:szCs w:val="32"/>
        </w:rPr>
        <w:t>广西建隆工程咨询有限公司关于</w:t>
      </w:r>
      <w:r>
        <w:rPr>
          <w:rFonts w:hint="eastAsia" w:ascii="宋体" w:hAnsi="宋体" w:eastAsia="宋体" w:cs="宋体"/>
          <w:sz w:val="32"/>
          <w:szCs w:val="32"/>
          <w:lang w:eastAsia="zh-CN"/>
        </w:rPr>
        <w:t>崇左市江州区农业农村局崇左市江州区高标准农田建设规划（2019-2025年）编制服务项目</w:t>
      </w:r>
      <w:r>
        <w:rPr>
          <w:rFonts w:hint="eastAsia" w:ascii="宋体" w:hAnsi="宋体" w:eastAsia="宋体" w:cs="宋体"/>
          <w:sz w:val="32"/>
          <w:szCs w:val="32"/>
        </w:rPr>
        <w:t>（</w:t>
      </w:r>
      <w:r>
        <w:rPr>
          <w:rFonts w:hint="eastAsia" w:ascii="宋体" w:hAnsi="宋体" w:eastAsia="宋体" w:cs="宋体"/>
          <w:sz w:val="32"/>
          <w:szCs w:val="32"/>
          <w:lang w:eastAsia="zh-CN"/>
        </w:rPr>
        <w:t>CZZC2020-C3-20015-GXJL</w:t>
      </w:r>
      <w:r>
        <w:rPr>
          <w:rFonts w:hint="eastAsia" w:ascii="宋体" w:hAnsi="宋体" w:eastAsia="宋体" w:cs="宋体"/>
          <w:sz w:val="32"/>
          <w:szCs w:val="32"/>
        </w:rPr>
        <w:t>）竞争性磋商公告</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崇左市江州区农业农村局崇左市江州区高标准农田建设规划（2019-2025年）编制服务项目</w:t>
      </w:r>
      <w:r>
        <w:rPr>
          <w:rFonts w:hint="eastAsia" w:ascii="宋体" w:hAnsi="宋体" w:eastAsia="宋体" w:cs="宋体"/>
          <w:sz w:val="21"/>
          <w:szCs w:val="21"/>
        </w:rPr>
        <w:t xml:space="preserve"> 采购项目的潜在供应商应在</w:t>
      </w:r>
      <w:r>
        <w:rPr>
          <w:rFonts w:hint="eastAsia" w:ascii="宋体" w:hAnsi="宋体" w:eastAsia="宋体" w:cs="宋体"/>
          <w:sz w:val="21"/>
          <w:szCs w:val="21"/>
          <w:u w:val="single"/>
        </w:rPr>
        <w:t>崇左市花山路与城南八路交叉口万沣名车城4楼406室广西建隆工程咨询有限公司</w:t>
      </w:r>
      <w:r>
        <w:rPr>
          <w:rFonts w:hint="eastAsia" w:ascii="宋体" w:hAnsi="宋体" w:eastAsia="宋体" w:cs="宋体"/>
          <w:sz w:val="21"/>
          <w:szCs w:val="21"/>
        </w:rPr>
        <w:t>获取采购文件，并于</w:t>
      </w:r>
      <w:r>
        <w:rPr>
          <w:rFonts w:hint="eastAsia" w:ascii="宋体" w:hAnsi="宋体" w:eastAsia="宋体" w:cs="宋体"/>
          <w:sz w:val="21"/>
          <w:szCs w:val="21"/>
          <w:u w:val="single"/>
          <w:lang w:val="en-US" w:eastAsia="zh-CN"/>
        </w:rPr>
        <w:t>2020</w:t>
      </w:r>
      <w:r>
        <w:rPr>
          <w:rFonts w:hint="eastAsia" w:ascii="宋体" w:hAnsi="宋体" w:eastAsia="宋体" w:cs="宋体"/>
          <w:bCs/>
          <w:sz w:val="21"/>
          <w:szCs w:val="21"/>
          <w:u w:val="single"/>
        </w:rPr>
        <w:t>年</w:t>
      </w:r>
      <w:r>
        <w:rPr>
          <w:rFonts w:hint="eastAsia" w:ascii="宋体" w:hAnsi="宋体" w:eastAsia="宋体" w:cs="宋体"/>
          <w:bCs/>
          <w:sz w:val="21"/>
          <w:szCs w:val="21"/>
          <w:u w:val="single"/>
          <w:lang w:val="en-US" w:eastAsia="zh-CN"/>
        </w:rPr>
        <w:t>7</w:t>
      </w:r>
      <w:r>
        <w:rPr>
          <w:rFonts w:hint="eastAsia" w:ascii="宋体" w:hAnsi="宋体" w:eastAsia="宋体" w:cs="宋体"/>
          <w:bCs/>
          <w:sz w:val="21"/>
          <w:szCs w:val="21"/>
          <w:u w:val="single"/>
        </w:rPr>
        <w:t>月</w:t>
      </w:r>
      <w:r>
        <w:rPr>
          <w:rFonts w:hint="eastAsia" w:cs="宋体"/>
          <w:bCs/>
          <w:sz w:val="21"/>
          <w:szCs w:val="21"/>
          <w:u w:val="single"/>
          <w:lang w:val="en-US" w:eastAsia="zh-CN"/>
        </w:rPr>
        <w:t>31</w:t>
      </w:r>
      <w:r>
        <w:rPr>
          <w:rFonts w:hint="eastAsia" w:ascii="宋体" w:hAnsi="宋体" w:eastAsia="宋体" w:cs="宋体"/>
          <w:bCs/>
          <w:sz w:val="21"/>
          <w:szCs w:val="21"/>
          <w:u w:val="single"/>
        </w:rPr>
        <w:t>日</w:t>
      </w:r>
      <w:r>
        <w:rPr>
          <w:rFonts w:hint="eastAsia" w:ascii="宋体" w:hAnsi="宋体" w:eastAsia="宋体" w:cs="宋体"/>
          <w:bCs/>
          <w:sz w:val="21"/>
          <w:szCs w:val="21"/>
          <w:u w:val="single"/>
          <w:lang w:val="en-US" w:eastAsia="zh-CN"/>
        </w:rPr>
        <w:t>10</w:t>
      </w:r>
      <w:r>
        <w:rPr>
          <w:rFonts w:hint="eastAsia" w:ascii="宋体" w:hAnsi="宋体" w:eastAsia="宋体" w:cs="宋体"/>
          <w:bCs/>
          <w:sz w:val="21"/>
          <w:szCs w:val="21"/>
          <w:u w:val="single"/>
        </w:rPr>
        <w:t>点</w:t>
      </w:r>
      <w:r>
        <w:rPr>
          <w:rFonts w:hint="eastAsia" w:ascii="宋体" w:hAnsi="宋体" w:eastAsia="宋体" w:cs="宋体"/>
          <w:bCs/>
          <w:sz w:val="21"/>
          <w:szCs w:val="21"/>
          <w:u w:val="single"/>
          <w:lang w:val="en-US" w:eastAsia="zh-CN"/>
        </w:rPr>
        <w:t>00</w:t>
      </w:r>
      <w:r>
        <w:rPr>
          <w:rFonts w:hint="eastAsia" w:ascii="宋体" w:hAnsi="宋体" w:eastAsia="宋体" w:cs="宋体"/>
          <w:bCs/>
          <w:sz w:val="21"/>
          <w:szCs w:val="21"/>
          <w:u w:val="single"/>
        </w:rPr>
        <w:t>分</w:t>
      </w:r>
      <w:r>
        <w:rPr>
          <w:rFonts w:hint="eastAsia" w:ascii="宋体" w:hAnsi="宋体" w:eastAsia="宋体" w:cs="宋体"/>
          <w:bCs/>
          <w:sz w:val="21"/>
          <w:szCs w:val="21"/>
        </w:rPr>
        <w:t>（北京时间）前提交响应文件</w:t>
      </w:r>
      <w:r>
        <w:rPr>
          <w:rFonts w:hint="eastAsia" w:ascii="宋体" w:hAnsi="宋体" w:eastAsia="宋体" w:cs="宋体"/>
          <w:sz w:val="21"/>
          <w:szCs w:val="21"/>
        </w:rPr>
        <w:t>。</w:t>
      </w:r>
    </w:p>
    <w:p>
      <w:pPr>
        <w:pStyle w:val="5"/>
        <w:pageBreakBefore w:val="0"/>
        <w:widowControl w:val="0"/>
        <w:kinsoku/>
        <w:wordWrap/>
        <w:overflowPunct/>
        <w:topLinePunct w:val="0"/>
        <w:autoSpaceDE/>
        <w:autoSpaceDN/>
        <w:bidi w:val="0"/>
        <w:adjustRightInd/>
        <w:snapToGrid/>
        <w:spacing w:before="0" w:after="0" w:line="240" w:lineRule="auto"/>
        <w:ind w:firstLine="0" w:firstLineChars="0"/>
        <w:jc w:val="left"/>
        <w:textAlignment w:val="auto"/>
        <w:rPr>
          <w:rFonts w:hint="eastAsia" w:ascii="宋体" w:hAnsi="宋体" w:eastAsia="宋体" w:cs="宋体"/>
          <w:b w:val="0"/>
          <w:sz w:val="21"/>
          <w:szCs w:val="21"/>
        </w:rPr>
      </w:pPr>
      <w:bookmarkStart w:id="3" w:name="_Toc28359012"/>
      <w:bookmarkStart w:id="4" w:name="_Toc28359089"/>
      <w:bookmarkStart w:id="5" w:name="_Toc35393629"/>
      <w:bookmarkStart w:id="6" w:name="_Toc35393798"/>
      <w:r>
        <w:rPr>
          <w:rFonts w:hint="eastAsia" w:ascii="宋体" w:hAnsi="宋体" w:eastAsia="宋体" w:cs="宋体"/>
          <w:b w:val="0"/>
          <w:sz w:val="21"/>
          <w:szCs w:val="21"/>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lang w:eastAsia="zh-CN"/>
        </w:rPr>
        <w:t>CZZC2020-C3-20015-GXJL</w:t>
      </w:r>
    </w:p>
    <w:p>
      <w:pPr>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崇左市江州区农业农村局崇左市江州区高标准农田建设规划（2019-2025年）编制服务项目</w:t>
      </w:r>
    </w:p>
    <w:p>
      <w:pPr>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采购方式：□竞争性谈判 </w:t>
      </w:r>
      <w:r>
        <w:rPr>
          <w:rFonts w:hint="eastAsia" w:ascii="宋体" w:hAnsi="宋体" w:eastAsia="宋体" w:cs="宋体"/>
          <w:sz w:val="21"/>
          <w:szCs w:val="21"/>
          <w:lang w:eastAsia="zh-CN"/>
        </w:rPr>
        <w:t>☑</w:t>
      </w:r>
      <w:r>
        <w:rPr>
          <w:rFonts w:hint="eastAsia" w:ascii="宋体" w:hAnsi="宋体" w:eastAsia="宋体" w:cs="宋体"/>
          <w:sz w:val="21"/>
          <w:szCs w:val="21"/>
        </w:rPr>
        <w:t>竞争性磋商 □询价</w:t>
      </w:r>
    </w:p>
    <w:p>
      <w:pPr>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预算金额：</w:t>
      </w:r>
      <w:r>
        <w:rPr>
          <w:rFonts w:hint="eastAsia" w:ascii="宋体" w:hAnsi="宋体" w:eastAsia="宋体" w:cs="宋体"/>
          <w:sz w:val="21"/>
          <w:szCs w:val="21"/>
          <w:lang w:val="en-US" w:eastAsia="zh-CN"/>
        </w:rPr>
        <w:t>人民币叁拾万零叁仟贰佰元整（￥303,200.00）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最高限价：</w:t>
      </w:r>
      <w:r>
        <w:rPr>
          <w:rFonts w:hint="eastAsia" w:ascii="宋体" w:hAnsi="宋体" w:eastAsia="宋体" w:cs="宋体"/>
          <w:sz w:val="21"/>
          <w:szCs w:val="21"/>
          <w:lang w:val="en-US" w:eastAsia="zh-CN"/>
        </w:rPr>
        <w:t>人民币叁拾万零叁仟贰佰元整（￥303,200.00）</w:t>
      </w:r>
    </w:p>
    <w:p>
      <w:pPr>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采购需求：</w:t>
      </w:r>
      <w:r>
        <w:rPr>
          <w:rFonts w:hint="eastAsia" w:ascii="宋体" w:hAnsi="宋体" w:eastAsia="宋体" w:cs="宋体"/>
          <w:sz w:val="21"/>
          <w:szCs w:val="21"/>
          <w:lang w:eastAsia="zh-CN"/>
        </w:rPr>
        <w:t>崇左市江州区农业农村局崇左市江州区高标准农田建设规划（2019-2025年）编制服务项目</w:t>
      </w:r>
      <w:r>
        <w:rPr>
          <w:rFonts w:hint="eastAsia" w:ascii="宋体" w:hAnsi="宋体" w:eastAsia="宋体" w:cs="宋体"/>
          <w:sz w:val="21"/>
          <w:szCs w:val="21"/>
        </w:rPr>
        <w:t>的采购。如需进一步了解详细内容，详见竞争性磋商采购文件。</w:t>
      </w:r>
    </w:p>
    <w:p>
      <w:pPr>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合同履行期限：详见竞争性磋商文件</w:t>
      </w:r>
    </w:p>
    <w:p>
      <w:pPr>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本项目</w:t>
      </w:r>
      <w:r>
        <w:rPr>
          <w:rFonts w:hint="eastAsia" w:ascii="宋体" w:hAnsi="宋体" w:eastAsia="宋体" w:cs="宋体"/>
          <w:sz w:val="21"/>
          <w:szCs w:val="21"/>
          <w:lang w:eastAsia="zh-CN"/>
        </w:rPr>
        <w:t>不</w:t>
      </w:r>
      <w:r>
        <w:rPr>
          <w:rFonts w:hint="eastAsia" w:ascii="宋体" w:hAnsi="宋体" w:eastAsia="宋体" w:cs="宋体"/>
          <w:sz w:val="21"/>
          <w:szCs w:val="21"/>
        </w:rPr>
        <w:t>接受联合体</w:t>
      </w:r>
      <w:r>
        <w:rPr>
          <w:rFonts w:hint="eastAsia" w:ascii="宋体" w:hAnsi="宋体" w:eastAsia="宋体" w:cs="宋体"/>
          <w:sz w:val="21"/>
          <w:szCs w:val="21"/>
          <w:lang w:eastAsia="zh-CN"/>
        </w:rPr>
        <w:t>。</w:t>
      </w:r>
      <w:bookmarkStart w:id="135" w:name="_GoBack"/>
      <w:bookmarkEnd w:id="135"/>
    </w:p>
    <w:p>
      <w:pPr>
        <w:pStyle w:val="5"/>
        <w:numPr>
          <w:ilvl w:val="0"/>
          <w:numId w:val="1"/>
        </w:numPr>
        <w:spacing w:before="0" w:after="0" w:line="240" w:lineRule="auto"/>
        <w:ind w:leftChars="0" w:firstLine="0" w:firstLineChars="0"/>
        <w:jc w:val="left"/>
        <w:rPr>
          <w:rFonts w:hint="eastAsia" w:ascii="宋体" w:hAnsi="宋体" w:eastAsia="宋体" w:cs="宋体"/>
          <w:b w:val="0"/>
          <w:sz w:val="21"/>
          <w:szCs w:val="21"/>
        </w:rPr>
      </w:pPr>
      <w:bookmarkStart w:id="7" w:name="_Toc28359013"/>
      <w:bookmarkStart w:id="8" w:name="_Toc28359090"/>
      <w:bookmarkStart w:id="9" w:name="_Toc35393799"/>
      <w:bookmarkStart w:id="10" w:name="_Toc35393630"/>
      <w:r>
        <w:rPr>
          <w:rFonts w:hint="eastAsia" w:ascii="宋体" w:hAnsi="宋体" w:eastAsia="宋体" w:cs="宋体"/>
          <w:b w:val="0"/>
          <w:sz w:val="21"/>
          <w:szCs w:val="21"/>
        </w:rPr>
        <w:t>申请人的资格要求：</w:t>
      </w:r>
      <w:bookmarkEnd w:id="7"/>
      <w:bookmarkEnd w:id="8"/>
      <w:bookmarkEnd w:id="9"/>
      <w:bookmarkEnd w:id="10"/>
    </w:p>
    <w:p>
      <w:pPr>
        <w:spacing w:line="240" w:lineRule="auto"/>
        <w:ind w:leftChars="0" w:firstLine="0" w:firstLineChars="0"/>
        <w:jc w:val="left"/>
        <w:rPr>
          <w:rFonts w:hint="eastAsia" w:ascii="宋体" w:hAnsi="宋体" w:eastAsia="宋体" w:cs="宋体"/>
          <w:color w:val="auto"/>
          <w:spacing w:val="20"/>
          <w:kern w:val="0"/>
          <w:sz w:val="21"/>
          <w:szCs w:val="21"/>
          <w:lang w:val="en-US" w:eastAsia="zh-CN" w:bidi="ar-SA"/>
        </w:rPr>
      </w:pPr>
      <w:r>
        <w:rPr>
          <w:rFonts w:hint="eastAsia" w:ascii="宋体" w:hAnsi="宋体" w:eastAsia="宋体" w:cs="宋体"/>
          <w:color w:val="auto"/>
          <w:spacing w:val="20"/>
          <w:kern w:val="0"/>
          <w:sz w:val="21"/>
          <w:szCs w:val="21"/>
          <w:lang w:val="en-US" w:eastAsia="zh-CN" w:bidi="ar-SA"/>
        </w:rPr>
        <w:t>（一）磋商供应商资格要求:</w:t>
      </w:r>
    </w:p>
    <w:p>
      <w:pPr>
        <w:spacing w:line="240" w:lineRule="auto"/>
        <w:ind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1.供应商须符合《中华人民共和国政府采购法》第二十二条规定；</w:t>
      </w:r>
    </w:p>
    <w:p>
      <w:pPr>
        <w:spacing w:line="240" w:lineRule="auto"/>
        <w:ind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2.落实政府采购政策需满足的资格要求：《政府采购促进中小企业发展暂行办法》（财库[2011]181号）、财政部司法部《关于政府采购支持监狱企业发展有关问题的通知》（财库[2014]68号）、财政部《环保总局关于环境标志产品政府采购实施的意见》（财库[2006]90号）、财政部国家发展改革委关于印发《节能产品政府采购实施意见》的通知（财库[2004]185号）、《三部门联合发布关于促进残疾人就业政府采购政策的通知》（财库〔2017〕141号）等政府采购相关政策。</w:t>
      </w:r>
    </w:p>
    <w:p>
      <w:pPr>
        <w:spacing w:line="240" w:lineRule="auto"/>
        <w:ind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p>
    <w:p>
      <w:pPr>
        <w:spacing w:line="240" w:lineRule="auto"/>
        <w:ind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3.1国内注册（指按国家有关规定要求注册的），提供本次采购内容服务，符合《中华人民共和国政府采购法》第二十二条规定的具有独立法人资格的供应商,并具备水利行业丙级（含丙级）以上设计资质</w:t>
      </w:r>
      <w:r>
        <w:rPr>
          <w:rFonts w:hint="eastAsia" w:cs="宋体"/>
          <w:sz w:val="21"/>
          <w:szCs w:val="21"/>
          <w:highlight w:val="none"/>
          <w:lang w:val="en-US" w:eastAsia="zh-CN"/>
        </w:rPr>
        <w:t>及</w:t>
      </w:r>
      <w:r>
        <w:rPr>
          <w:rFonts w:hint="eastAsia" w:ascii="宋体" w:hAnsi="宋体" w:eastAsia="宋体" w:cs="宋体"/>
          <w:sz w:val="21"/>
          <w:szCs w:val="21"/>
          <w:highlight w:val="none"/>
          <w:lang w:val="en-US" w:eastAsia="zh-CN"/>
        </w:rPr>
        <w:t>工程勘探专业类丙级（含丙级）以上资质，在人员、设备、资金等方面具有承担本项目的设计能力；</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3.2拟投入的项目负责人具有水利类相关专业中级（含中级）以上技术职称；</w:t>
      </w:r>
    </w:p>
    <w:p>
      <w:pPr>
        <w:pStyle w:val="2"/>
        <w:spacing w:after="0"/>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
        <w:spacing w:after="0"/>
        <w:ind w:left="0" w:leftChars="0" w:firstLine="0" w:firstLineChars="0"/>
        <w:jc w:val="left"/>
        <w:rPr>
          <w:rFonts w:hint="eastAsia" w:ascii="宋体" w:hAnsi="宋体" w:eastAsia="宋体" w:cs="宋体"/>
          <w:i/>
          <w:iCs/>
          <w:sz w:val="21"/>
          <w:szCs w:val="21"/>
          <w:u w:val="single"/>
        </w:rPr>
      </w:pPr>
      <w:r>
        <w:rPr>
          <w:rFonts w:hint="eastAsia" w:ascii="宋体" w:hAnsi="宋体" w:eastAsia="宋体" w:cs="宋体"/>
          <w:sz w:val="21"/>
          <w:szCs w:val="21"/>
          <w:highlight w:val="none"/>
          <w:lang w:val="en-US" w:eastAsia="zh-CN"/>
        </w:rPr>
        <w:t>3.4不接受未购买本项目采购文件的供应商参加磋商</w:t>
      </w:r>
      <w:bookmarkStart w:id="11" w:name="_Toc28359014"/>
      <w:bookmarkStart w:id="12" w:name="_Toc28359091"/>
      <w:r>
        <w:rPr>
          <w:rFonts w:hint="eastAsia" w:ascii="宋体" w:hAnsi="宋体" w:eastAsia="宋体" w:cs="宋体"/>
          <w:sz w:val="21"/>
          <w:szCs w:val="21"/>
          <w:highlight w:val="none"/>
          <w:lang w:val="en-US" w:eastAsia="zh-CN"/>
        </w:rPr>
        <w:t>。</w:t>
      </w:r>
    </w:p>
    <w:p>
      <w:pPr>
        <w:pStyle w:val="5"/>
        <w:spacing w:before="0" w:after="0" w:line="240" w:lineRule="auto"/>
        <w:ind w:leftChars="0" w:firstLine="0" w:firstLineChars="0"/>
        <w:jc w:val="left"/>
        <w:rPr>
          <w:rFonts w:hint="eastAsia" w:ascii="宋体" w:hAnsi="宋体" w:eastAsia="宋体" w:cs="宋体"/>
          <w:b w:val="0"/>
          <w:sz w:val="21"/>
          <w:szCs w:val="21"/>
        </w:rPr>
      </w:pPr>
      <w:bookmarkStart w:id="13" w:name="_Toc35393800"/>
      <w:bookmarkStart w:id="14" w:name="_Toc35393631"/>
      <w:r>
        <w:rPr>
          <w:rFonts w:hint="eastAsia" w:ascii="宋体" w:hAnsi="宋体" w:eastAsia="宋体" w:cs="宋体"/>
          <w:b w:val="0"/>
          <w:sz w:val="21"/>
          <w:szCs w:val="21"/>
        </w:rPr>
        <w:t>三、获取采购文件</w:t>
      </w:r>
      <w:bookmarkEnd w:id="11"/>
      <w:bookmarkEnd w:id="12"/>
      <w:bookmarkEnd w:id="13"/>
      <w:bookmarkEnd w:id="14"/>
    </w:p>
    <w:p>
      <w:pPr>
        <w:spacing w:line="240" w:lineRule="auto"/>
        <w:ind w:left="630" w:leftChars="0" w:hanging="630" w:hangingChars="300"/>
        <w:jc w:val="lef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highlight w:val="none"/>
          <w:u w:val="single"/>
          <w:lang w:val="en-US" w:eastAsia="zh-CN"/>
        </w:rPr>
        <w:t>2020</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21</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lang w:val="en-US" w:eastAsia="zh-CN"/>
        </w:rPr>
        <w:t>2020</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28</w:t>
      </w:r>
      <w:r>
        <w:rPr>
          <w:rFonts w:hint="eastAsia" w:ascii="宋体" w:hAnsi="宋体" w:eastAsia="宋体" w:cs="宋体"/>
          <w:sz w:val="21"/>
          <w:szCs w:val="21"/>
          <w:highlight w:val="none"/>
          <w:u w:val="single"/>
        </w:rPr>
        <w:t>日</w:t>
      </w:r>
      <w:r>
        <w:rPr>
          <w:rFonts w:hint="eastAsia" w:ascii="宋体" w:hAnsi="宋体" w:eastAsia="宋体" w:cs="宋体"/>
          <w:sz w:val="21"/>
          <w:szCs w:val="21"/>
        </w:rPr>
        <w:t>，每天上午</w:t>
      </w:r>
      <w:r>
        <w:rPr>
          <w:rFonts w:hint="eastAsia" w:ascii="宋体" w:hAnsi="宋体" w:eastAsia="宋体" w:cs="宋体"/>
          <w:sz w:val="21"/>
          <w:szCs w:val="21"/>
          <w:u w:val="single"/>
          <w:lang w:val="en-US" w:eastAsia="zh-CN"/>
        </w:rPr>
        <w:t>9:00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12：00</w:t>
      </w:r>
      <w:r>
        <w:rPr>
          <w:rFonts w:hint="eastAsia" w:ascii="宋体" w:hAnsi="宋体" w:eastAsia="宋体" w:cs="宋体"/>
          <w:sz w:val="21"/>
          <w:szCs w:val="21"/>
        </w:rPr>
        <w:t>，下午</w:t>
      </w:r>
      <w:r>
        <w:rPr>
          <w:rFonts w:hint="eastAsia" w:ascii="宋体" w:hAnsi="宋体" w:eastAsia="宋体" w:cs="宋体"/>
          <w:sz w:val="21"/>
          <w:szCs w:val="21"/>
          <w:u w:val="single"/>
          <w:lang w:val="en-US" w:eastAsia="zh-CN"/>
        </w:rPr>
        <w:t>15：00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17:30</w:t>
      </w:r>
      <w:r>
        <w:rPr>
          <w:rFonts w:hint="eastAsia" w:ascii="宋体" w:hAnsi="宋体" w:eastAsia="宋体" w:cs="宋体"/>
          <w:sz w:val="21"/>
          <w:szCs w:val="21"/>
        </w:rPr>
        <w:t>（北京时间，法定节假日除外 ）</w:t>
      </w:r>
    </w:p>
    <w:p>
      <w:pPr>
        <w:spacing w:line="240" w:lineRule="auto"/>
        <w:ind w:left="630" w:leftChars="0" w:hanging="630" w:hangingChars="300"/>
        <w:jc w:val="left"/>
        <w:rPr>
          <w:rFonts w:hint="eastAsia" w:ascii="宋体" w:hAnsi="宋体" w:eastAsia="宋体" w:cs="宋体"/>
          <w:sz w:val="21"/>
          <w:szCs w:val="21"/>
          <w:u w:val="single"/>
        </w:rPr>
      </w:pPr>
      <w:r>
        <w:rPr>
          <w:rFonts w:hint="eastAsia" w:ascii="宋体" w:hAnsi="宋体" w:eastAsia="宋体" w:cs="宋体"/>
          <w:sz w:val="21"/>
          <w:szCs w:val="21"/>
        </w:rPr>
        <w:t>地点：崇左市花山路与城南八路交叉口万沣名车城4楼406室广西建隆工程咨询有限公司</w:t>
      </w:r>
    </w:p>
    <w:p>
      <w:pPr>
        <w:spacing w:line="240" w:lineRule="auto"/>
        <w:ind w:leftChars="0" w:firstLine="0" w:firstLineChars="0"/>
        <w:jc w:val="left"/>
        <w:rPr>
          <w:rFonts w:hint="eastAsia" w:ascii="宋体" w:hAnsi="宋体" w:eastAsia="宋体" w:cs="宋体"/>
          <w:sz w:val="21"/>
          <w:szCs w:val="21"/>
          <w:u w:val="single"/>
          <w:lang w:eastAsia="zh-CN"/>
        </w:rPr>
      </w:pPr>
      <w:r>
        <w:rPr>
          <w:rFonts w:hint="eastAsia" w:ascii="宋体" w:hAnsi="宋体" w:eastAsia="宋体" w:cs="宋体"/>
          <w:sz w:val="21"/>
          <w:szCs w:val="21"/>
        </w:rPr>
        <w:t>方式：法定代表人或委托代理人持身份证正反面复印件，主体资格证明（如营业执照、事业单位法人证书、执业许可证、个体工商户营业执照、自然人身份证等）复印件；非法定代表人还须携带法定代表人授权书原件（复印件均须加盖单位公章或自然人加盖手指指印）。</w:t>
      </w:r>
      <w:r>
        <w:rPr>
          <w:rFonts w:hint="eastAsia" w:ascii="宋体" w:hAnsi="宋体" w:eastAsia="宋体" w:cs="宋体"/>
          <w:sz w:val="21"/>
          <w:szCs w:val="21"/>
          <w:lang w:eastAsia="zh-CN"/>
        </w:rPr>
        <w:t>现场购买</w:t>
      </w:r>
    </w:p>
    <w:p>
      <w:pPr>
        <w:spacing w:line="240" w:lineRule="auto"/>
        <w:ind w:left="630" w:leftChars="0" w:hanging="630" w:hangingChars="300"/>
        <w:jc w:val="left"/>
        <w:rPr>
          <w:rFonts w:hint="eastAsia" w:ascii="宋体" w:hAnsi="宋体" w:eastAsia="宋体" w:cs="宋体"/>
          <w:sz w:val="21"/>
          <w:szCs w:val="21"/>
        </w:rPr>
      </w:pPr>
      <w:r>
        <w:rPr>
          <w:rFonts w:hint="eastAsia" w:ascii="宋体" w:hAnsi="宋体" w:eastAsia="宋体" w:cs="宋体"/>
          <w:sz w:val="21"/>
          <w:szCs w:val="21"/>
        </w:rPr>
        <w:t>售价：竞争性磋商文件工本费每本300元，售后不退。供应商未合法购买本项目竞争性磋商采购文件，采购代理机构将拒收响应文件。</w:t>
      </w:r>
    </w:p>
    <w:p>
      <w:pPr>
        <w:pStyle w:val="5"/>
        <w:spacing w:before="0" w:after="0" w:line="240" w:lineRule="auto"/>
        <w:ind w:leftChars="0" w:firstLine="0" w:firstLineChars="0"/>
        <w:jc w:val="left"/>
        <w:rPr>
          <w:rFonts w:hint="eastAsia" w:ascii="宋体" w:hAnsi="宋体" w:eastAsia="宋体" w:cs="宋体"/>
          <w:b w:val="0"/>
          <w:sz w:val="21"/>
          <w:szCs w:val="21"/>
        </w:rPr>
      </w:pPr>
      <w:bookmarkStart w:id="15" w:name="_Toc35393801"/>
      <w:bookmarkStart w:id="16" w:name="_Toc28359015"/>
      <w:bookmarkStart w:id="17" w:name="_Toc28359092"/>
      <w:bookmarkStart w:id="18" w:name="_Toc35393632"/>
      <w:r>
        <w:rPr>
          <w:rFonts w:hint="eastAsia" w:ascii="宋体" w:hAnsi="宋体" w:eastAsia="宋体" w:cs="宋体"/>
          <w:b w:val="0"/>
          <w:sz w:val="21"/>
          <w:szCs w:val="21"/>
        </w:rPr>
        <w:t>四、响应文件提交</w:t>
      </w:r>
      <w:bookmarkEnd w:id="15"/>
      <w:bookmarkEnd w:id="16"/>
      <w:bookmarkEnd w:id="17"/>
      <w:bookmarkEnd w:id="18"/>
    </w:p>
    <w:p>
      <w:pPr>
        <w:spacing w:line="240" w:lineRule="auto"/>
        <w:ind w:leftChars="0" w:firstLine="0" w:firstLineChars="0"/>
        <w:jc w:val="left"/>
        <w:rPr>
          <w:rFonts w:hint="eastAsia" w:ascii="宋体" w:hAnsi="宋体" w:eastAsia="宋体" w:cs="宋体"/>
          <w:bCs/>
          <w:sz w:val="21"/>
          <w:szCs w:val="21"/>
          <w:u w:val="single"/>
        </w:rPr>
      </w:pPr>
      <w:r>
        <w:rPr>
          <w:rFonts w:hint="eastAsia" w:ascii="宋体" w:hAnsi="宋体" w:eastAsia="宋体" w:cs="宋体"/>
          <w:sz w:val="21"/>
          <w:szCs w:val="21"/>
        </w:rPr>
        <w:t>截止时间：</w:t>
      </w:r>
      <w:r>
        <w:rPr>
          <w:rFonts w:hint="eastAsia" w:ascii="宋体" w:hAnsi="宋体" w:eastAsia="宋体" w:cs="宋体"/>
          <w:sz w:val="21"/>
          <w:szCs w:val="21"/>
          <w:highlight w:val="none"/>
          <w:u w:val="single"/>
          <w:lang w:val="en-US" w:eastAsia="zh-CN"/>
        </w:rPr>
        <w:t>2020</w:t>
      </w:r>
      <w:r>
        <w:rPr>
          <w:rFonts w:hint="eastAsia" w:ascii="宋体" w:hAnsi="宋体" w:eastAsia="宋体" w:cs="宋体"/>
          <w:bCs/>
          <w:sz w:val="21"/>
          <w:szCs w:val="21"/>
          <w:highlight w:val="none"/>
          <w:u w:val="single"/>
        </w:rPr>
        <w:t>年</w:t>
      </w:r>
      <w:r>
        <w:rPr>
          <w:rFonts w:hint="eastAsia" w:ascii="宋体" w:hAnsi="宋体" w:eastAsia="宋体" w:cs="宋体"/>
          <w:bCs/>
          <w:sz w:val="21"/>
          <w:szCs w:val="21"/>
          <w:highlight w:val="none"/>
          <w:u w:val="single"/>
          <w:lang w:val="en-US" w:eastAsia="zh-CN"/>
        </w:rPr>
        <w:t>7</w:t>
      </w:r>
      <w:r>
        <w:rPr>
          <w:rFonts w:hint="eastAsia" w:ascii="宋体" w:hAnsi="宋体" w:eastAsia="宋体" w:cs="宋体"/>
          <w:bCs/>
          <w:sz w:val="21"/>
          <w:szCs w:val="21"/>
          <w:highlight w:val="none"/>
          <w:u w:val="single"/>
        </w:rPr>
        <w:t>月</w:t>
      </w:r>
      <w:r>
        <w:rPr>
          <w:rFonts w:hint="eastAsia" w:ascii="宋体" w:hAnsi="宋体" w:eastAsia="宋体" w:cs="宋体"/>
          <w:bCs/>
          <w:sz w:val="21"/>
          <w:szCs w:val="21"/>
          <w:highlight w:val="none"/>
          <w:u w:val="single"/>
          <w:lang w:val="en-US" w:eastAsia="zh-CN"/>
        </w:rPr>
        <w:t>31</w:t>
      </w:r>
      <w:r>
        <w:rPr>
          <w:rFonts w:hint="eastAsia" w:ascii="宋体" w:hAnsi="宋体" w:eastAsia="宋体" w:cs="宋体"/>
          <w:bCs/>
          <w:sz w:val="21"/>
          <w:szCs w:val="21"/>
          <w:highlight w:val="none"/>
          <w:u w:val="single"/>
        </w:rPr>
        <w:t>日</w:t>
      </w:r>
      <w:r>
        <w:rPr>
          <w:rFonts w:hint="eastAsia" w:ascii="宋体" w:hAnsi="宋体" w:eastAsia="宋体" w:cs="宋体"/>
          <w:bCs/>
          <w:sz w:val="21"/>
          <w:szCs w:val="21"/>
          <w:highlight w:val="none"/>
          <w:u w:val="single"/>
          <w:lang w:val="en-US" w:eastAsia="zh-CN"/>
        </w:rPr>
        <w:t>10</w:t>
      </w:r>
      <w:r>
        <w:rPr>
          <w:rFonts w:hint="eastAsia" w:ascii="宋体" w:hAnsi="宋体" w:eastAsia="宋体" w:cs="宋体"/>
          <w:bCs/>
          <w:sz w:val="21"/>
          <w:szCs w:val="21"/>
          <w:highlight w:val="none"/>
          <w:u w:val="single"/>
        </w:rPr>
        <w:t>点</w:t>
      </w:r>
      <w:r>
        <w:rPr>
          <w:rFonts w:hint="eastAsia" w:ascii="宋体" w:hAnsi="宋体" w:eastAsia="宋体" w:cs="宋体"/>
          <w:bCs/>
          <w:sz w:val="21"/>
          <w:szCs w:val="21"/>
          <w:highlight w:val="none"/>
          <w:u w:val="single"/>
          <w:lang w:val="en-US" w:eastAsia="zh-CN"/>
        </w:rPr>
        <w:t>00</w:t>
      </w:r>
      <w:r>
        <w:rPr>
          <w:rFonts w:hint="eastAsia" w:ascii="宋体" w:hAnsi="宋体" w:eastAsia="宋体" w:cs="宋体"/>
          <w:bCs/>
          <w:sz w:val="21"/>
          <w:szCs w:val="21"/>
          <w:highlight w:val="none"/>
          <w:u w:val="single"/>
        </w:rPr>
        <w:t>分</w:t>
      </w:r>
      <w:r>
        <w:rPr>
          <w:rFonts w:hint="eastAsia" w:ascii="宋体" w:hAnsi="宋体" w:eastAsia="宋体" w:cs="宋体"/>
          <w:bCs/>
          <w:sz w:val="21"/>
          <w:szCs w:val="21"/>
        </w:rPr>
        <w:t>（北京时间）</w:t>
      </w:r>
    </w:p>
    <w:p>
      <w:pPr>
        <w:spacing w:line="240" w:lineRule="auto"/>
        <w:ind w:left="630" w:leftChars="0" w:hanging="630" w:hangingChars="300"/>
        <w:jc w:val="left"/>
        <w:rPr>
          <w:rFonts w:hint="eastAsia" w:ascii="宋体" w:hAnsi="宋体" w:eastAsia="宋体" w:cs="宋体"/>
          <w:bCs/>
          <w:sz w:val="21"/>
          <w:szCs w:val="21"/>
          <w:u w:val="single"/>
        </w:rPr>
      </w:pPr>
      <w:r>
        <w:rPr>
          <w:rFonts w:hint="eastAsia" w:ascii="宋体" w:hAnsi="宋体" w:eastAsia="宋体" w:cs="宋体"/>
          <w:sz w:val="21"/>
          <w:szCs w:val="21"/>
        </w:rPr>
        <w:t>地点：崇左市花山路与城南八路交叉口万沣名车城4楼406室广西建隆工程咨询有限公司开标大厅</w:t>
      </w:r>
    </w:p>
    <w:p>
      <w:pPr>
        <w:pStyle w:val="5"/>
        <w:spacing w:before="0" w:after="0" w:line="240" w:lineRule="auto"/>
        <w:ind w:leftChars="0" w:firstLine="0" w:firstLineChars="0"/>
        <w:jc w:val="left"/>
        <w:rPr>
          <w:rFonts w:hint="eastAsia" w:ascii="宋体" w:hAnsi="宋体" w:eastAsia="宋体" w:cs="宋体"/>
          <w:b w:val="0"/>
          <w:sz w:val="21"/>
          <w:szCs w:val="21"/>
        </w:rPr>
      </w:pPr>
      <w:bookmarkStart w:id="19" w:name="_Toc35393633"/>
      <w:bookmarkStart w:id="20" w:name="_Toc35393802"/>
      <w:bookmarkStart w:id="21" w:name="_Toc28359016"/>
      <w:bookmarkStart w:id="22" w:name="_Toc28359093"/>
      <w:r>
        <w:rPr>
          <w:rFonts w:hint="eastAsia" w:ascii="宋体" w:hAnsi="宋体" w:eastAsia="宋体" w:cs="宋体"/>
          <w:b w:val="0"/>
          <w:sz w:val="21"/>
          <w:szCs w:val="21"/>
        </w:rPr>
        <w:t>五、开启</w:t>
      </w:r>
      <w:bookmarkEnd w:id="19"/>
      <w:bookmarkEnd w:id="20"/>
      <w:bookmarkEnd w:id="21"/>
      <w:bookmarkEnd w:id="22"/>
    </w:p>
    <w:p>
      <w:pPr>
        <w:spacing w:line="240" w:lineRule="auto"/>
        <w:ind w:leftChars="0" w:firstLine="0" w:firstLineChars="0"/>
        <w:jc w:val="left"/>
        <w:rPr>
          <w:rFonts w:hint="eastAsia" w:ascii="宋体" w:hAnsi="宋体" w:eastAsia="宋体" w:cs="宋体"/>
          <w:bCs/>
          <w:sz w:val="21"/>
          <w:szCs w:val="21"/>
          <w:u w:val="single"/>
        </w:rPr>
      </w:pPr>
      <w:r>
        <w:rPr>
          <w:rFonts w:hint="eastAsia" w:ascii="宋体" w:hAnsi="宋体" w:eastAsia="宋体" w:cs="宋体"/>
          <w:sz w:val="21"/>
          <w:szCs w:val="21"/>
        </w:rPr>
        <w:t>时间：</w:t>
      </w:r>
      <w:r>
        <w:rPr>
          <w:rFonts w:hint="eastAsia" w:ascii="宋体" w:hAnsi="宋体" w:eastAsia="宋体" w:cs="宋体"/>
          <w:sz w:val="21"/>
          <w:szCs w:val="21"/>
          <w:highlight w:val="none"/>
          <w:u w:val="single"/>
          <w:lang w:val="en-US" w:eastAsia="zh-CN"/>
        </w:rPr>
        <w:t>2020</w:t>
      </w:r>
      <w:r>
        <w:rPr>
          <w:rFonts w:hint="eastAsia" w:ascii="宋体" w:hAnsi="宋体" w:eastAsia="宋体" w:cs="宋体"/>
          <w:bCs/>
          <w:sz w:val="21"/>
          <w:szCs w:val="21"/>
          <w:highlight w:val="none"/>
          <w:u w:val="single"/>
        </w:rPr>
        <w:t>年</w:t>
      </w:r>
      <w:r>
        <w:rPr>
          <w:rFonts w:hint="eastAsia" w:ascii="宋体" w:hAnsi="宋体" w:eastAsia="宋体" w:cs="宋体"/>
          <w:bCs/>
          <w:sz w:val="21"/>
          <w:szCs w:val="21"/>
          <w:highlight w:val="none"/>
          <w:u w:val="single"/>
          <w:lang w:val="en-US" w:eastAsia="zh-CN"/>
        </w:rPr>
        <w:t>7</w:t>
      </w:r>
      <w:r>
        <w:rPr>
          <w:rFonts w:hint="eastAsia" w:ascii="宋体" w:hAnsi="宋体" w:eastAsia="宋体" w:cs="宋体"/>
          <w:bCs/>
          <w:sz w:val="21"/>
          <w:szCs w:val="21"/>
          <w:highlight w:val="none"/>
          <w:u w:val="single"/>
        </w:rPr>
        <w:t>月</w:t>
      </w:r>
      <w:r>
        <w:rPr>
          <w:rFonts w:hint="eastAsia" w:ascii="宋体" w:hAnsi="宋体" w:eastAsia="宋体" w:cs="宋体"/>
          <w:bCs/>
          <w:sz w:val="21"/>
          <w:szCs w:val="21"/>
          <w:highlight w:val="none"/>
          <w:u w:val="single"/>
          <w:lang w:val="en-US" w:eastAsia="zh-CN"/>
        </w:rPr>
        <w:t>31</w:t>
      </w:r>
      <w:r>
        <w:rPr>
          <w:rFonts w:hint="eastAsia" w:ascii="宋体" w:hAnsi="宋体" w:eastAsia="宋体" w:cs="宋体"/>
          <w:bCs/>
          <w:sz w:val="21"/>
          <w:szCs w:val="21"/>
          <w:highlight w:val="none"/>
          <w:u w:val="single"/>
        </w:rPr>
        <w:t>日</w:t>
      </w:r>
      <w:r>
        <w:rPr>
          <w:rFonts w:hint="eastAsia" w:ascii="宋体" w:hAnsi="宋体" w:eastAsia="宋体" w:cs="宋体"/>
          <w:bCs/>
          <w:sz w:val="21"/>
          <w:szCs w:val="21"/>
          <w:highlight w:val="none"/>
          <w:u w:val="single"/>
          <w:lang w:val="en-US" w:eastAsia="zh-CN"/>
        </w:rPr>
        <w:t>10</w:t>
      </w:r>
      <w:r>
        <w:rPr>
          <w:rFonts w:hint="eastAsia" w:ascii="宋体" w:hAnsi="宋体" w:eastAsia="宋体" w:cs="宋体"/>
          <w:bCs/>
          <w:sz w:val="21"/>
          <w:szCs w:val="21"/>
          <w:highlight w:val="none"/>
          <w:u w:val="single"/>
        </w:rPr>
        <w:t>点</w:t>
      </w:r>
      <w:r>
        <w:rPr>
          <w:rFonts w:hint="eastAsia" w:ascii="宋体" w:hAnsi="宋体" w:eastAsia="宋体" w:cs="宋体"/>
          <w:bCs/>
          <w:sz w:val="21"/>
          <w:szCs w:val="21"/>
          <w:highlight w:val="none"/>
          <w:u w:val="single"/>
          <w:lang w:val="en-US" w:eastAsia="zh-CN"/>
        </w:rPr>
        <w:t>00</w:t>
      </w:r>
      <w:r>
        <w:rPr>
          <w:rFonts w:hint="eastAsia" w:ascii="宋体" w:hAnsi="宋体" w:eastAsia="宋体" w:cs="宋体"/>
          <w:bCs/>
          <w:sz w:val="21"/>
          <w:szCs w:val="21"/>
          <w:highlight w:val="none"/>
          <w:u w:val="single"/>
        </w:rPr>
        <w:t>分</w:t>
      </w:r>
      <w:r>
        <w:rPr>
          <w:rFonts w:hint="eastAsia" w:ascii="宋体" w:hAnsi="宋体" w:eastAsia="宋体" w:cs="宋体"/>
          <w:bCs/>
          <w:sz w:val="21"/>
          <w:szCs w:val="21"/>
        </w:rPr>
        <w:t>（北京时间）</w:t>
      </w:r>
    </w:p>
    <w:p>
      <w:pPr>
        <w:spacing w:line="240" w:lineRule="auto"/>
        <w:ind w:left="630" w:leftChars="0" w:hanging="630" w:hangingChars="300"/>
        <w:jc w:val="left"/>
        <w:rPr>
          <w:rFonts w:hint="eastAsia" w:ascii="宋体" w:hAnsi="宋体" w:eastAsia="宋体" w:cs="宋体"/>
          <w:bCs/>
          <w:sz w:val="21"/>
          <w:szCs w:val="21"/>
          <w:u w:val="single"/>
        </w:rPr>
      </w:pPr>
      <w:r>
        <w:rPr>
          <w:rFonts w:hint="eastAsia" w:ascii="宋体" w:hAnsi="宋体" w:eastAsia="宋体" w:cs="宋体"/>
          <w:sz w:val="21"/>
          <w:szCs w:val="21"/>
        </w:rPr>
        <w:t>地点：崇左市花山路与城南八路交叉口万沣名车城4楼406室广西建隆工程咨询有限公司开标大厅</w:t>
      </w:r>
    </w:p>
    <w:p>
      <w:pPr>
        <w:pStyle w:val="5"/>
        <w:spacing w:before="0" w:after="0" w:line="240" w:lineRule="auto"/>
        <w:ind w:leftChars="0" w:firstLine="0" w:firstLineChars="0"/>
        <w:jc w:val="left"/>
        <w:rPr>
          <w:rFonts w:hint="eastAsia" w:ascii="宋体" w:hAnsi="宋体" w:eastAsia="宋体" w:cs="宋体"/>
          <w:b w:val="0"/>
          <w:bCs w:val="0"/>
          <w:kern w:val="0"/>
          <w:sz w:val="21"/>
          <w:szCs w:val="21"/>
        </w:rPr>
      </w:pPr>
      <w:bookmarkStart w:id="23" w:name="_Toc28359017"/>
      <w:bookmarkStart w:id="24" w:name="_Toc35393803"/>
      <w:bookmarkStart w:id="25" w:name="_Toc28359094"/>
      <w:bookmarkStart w:id="26" w:name="_Toc35393634"/>
      <w:r>
        <w:rPr>
          <w:rFonts w:hint="eastAsia" w:ascii="宋体" w:hAnsi="宋体" w:eastAsia="宋体" w:cs="宋体"/>
          <w:b w:val="0"/>
          <w:sz w:val="21"/>
          <w:szCs w:val="21"/>
        </w:rPr>
        <w:t>六、公告期限</w:t>
      </w:r>
      <w:bookmarkEnd w:id="23"/>
      <w:bookmarkEnd w:id="24"/>
      <w:bookmarkEnd w:id="25"/>
      <w:bookmarkEnd w:id="26"/>
      <w:r>
        <w:rPr>
          <w:rFonts w:hint="eastAsia" w:ascii="宋体" w:hAnsi="宋体" w:eastAsia="宋体" w:cs="宋体"/>
          <w:b w:val="0"/>
          <w:sz w:val="21"/>
          <w:szCs w:val="21"/>
          <w:lang w:eastAsia="zh-CN"/>
        </w:rPr>
        <w:t>：自本公告发布之日起至递交响应文件截止时间前。</w:t>
      </w:r>
    </w:p>
    <w:p>
      <w:pPr>
        <w:pStyle w:val="5"/>
        <w:spacing w:before="0" w:after="0" w:line="240" w:lineRule="auto"/>
        <w:ind w:leftChars="0" w:firstLine="0" w:firstLineChars="0"/>
        <w:jc w:val="left"/>
        <w:rPr>
          <w:rFonts w:hint="eastAsia" w:ascii="宋体" w:hAnsi="宋体" w:eastAsia="宋体" w:cs="宋体"/>
          <w:b w:val="0"/>
          <w:sz w:val="21"/>
          <w:szCs w:val="21"/>
          <w:lang w:eastAsia="zh-CN"/>
        </w:rPr>
      </w:pPr>
      <w:bookmarkStart w:id="27" w:name="_Toc35393804"/>
      <w:bookmarkStart w:id="28" w:name="_Toc35393635"/>
      <w:r>
        <w:rPr>
          <w:rFonts w:hint="eastAsia" w:ascii="宋体" w:hAnsi="宋体" w:eastAsia="宋体" w:cs="宋体"/>
          <w:b w:val="0"/>
          <w:sz w:val="21"/>
          <w:szCs w:val="21"/>
        </w:rPr>
        <w:t>七、其他补充事宜</w:t>
      </w:r>
      <w:bookmarkEnd w:id="27"/>
      <w:bookmarkEnd w:id="28"/>
      <w:r>
        <w:rPr>
          <w:rFonts w:hint="eastAsia" w:ascii="宋体" w:hAnsi="宋体" w:eastAsia="宋体" w:cs="宋体"/>
          <w:b w:val="0"/>
          <w:sz w:val="21"/>
          <w:szCs w:val="21"/>
          <w:lang w:eastAsia="zh-CN"/>
        </w:rPr>
        <w:t>：无</w:t>
      </w:r>
    </w:p>
    <w:p>
      <w:pPr>
        <w:pStyle w:val="5"/>
        <w:spacing w:before="0" w:after="0" w:line="240" w:lineRule="auto"/>
        <w:ind w:leftChars="0" w:firstLine="0" w:firstLineChars="0"/>
        <w:jc w:val="left"/>
        <w:rPr>
          <w:rFonts w:hint="eastAsia" w:ascii="宋体" w:hAnsi="宋体" w:eastAsia="宋体" w:cs="宋体"/>
          <w:b w:val="0"/>
          <w:sz w:val="21"/>
          <w:szCs w:val="21"/>
        </w:rPr>
      </w:pPr>
      <w:bookmarkStart w:id="29" w:name="_Toc28359095"/>
      <w:bookmarkStart w:id="30" w:name="_Toc35393805"/>
      <w:bookmarkStart w:id="31" w:name="_Toc35393636"/>
      <w:bookmarkStart w:id="32" w:name="_Toc28359018"/>
      <w:r>
        <w:rPr>
          <w:rFonts w:hint="eastAsia" w:ascii="宋体" w:hAnsi="宋体" w:eastAsia="宋体" w:cs="宋体"/>
          <w:b w:val="0"/>
          <w:sz w:val="21"/>
          <w:szCs w:val="21"/>
        </w:rPr>
        <w:t>八、凡对本次采购提出询问，请按以下方式联系。</w:t>
      </w:r>
      <w:bookmarkEnd w:id="29"/>
      <w:bookmarkEnd w:id="30"/>
      <w:bookmarkEnd w:id="31"/>
      <w:bookmarkEnd w:id="32"/>
    </w:p>
    <w:p>
      <w:pPr>
        <w:pStyle w:val="5"/>
        <w:spacing w:before="0" w:after="0" w:line="240" w:lineRule="auto"/>
        <w:ind w:leftChars="0" w:firstLine="0" w:firstLineChars="0"/>
        <w:jc w:val="left"/>
        <w:rPr>
          <w:rFonts w:hint="eastAsia" w:ascii="宋体" w:hAnsi="宋体" w:eastAsia="宋体" w:cs="宋体"/>
          <w:b w:val="0"/>
          <w:sz w:val="21"/>
          <w:szCs w:val="21"/>
        </w:rPr>
      </w:pPr>
      <w:bookmarkStart w:id="33" w:name="_Toc28359096"/>
      <w:bookmarkStart w:id="34" w:name="_Toc28359019"/>
      <w:bookmarkStart w:id="35" w:name="_Toc35393806"/>
      <w:bookmarkStart w:id="36" w:name="_Toc35393637"/>
      <w:r>
        <w:rPr>
          <w:rFonts w:hint="eastAsia" w:ascii="宋体" w:hAnsi="宋体" w:eastAsia="宋体" w:cs="宋体"/>
          <w:b w:val="0"/>
          <w:sz w:val="21"/>
          <w:szCs w:val="21"/>
        </w:rPr>
        <w:t>1.采购人信息</w:t>
      </w:r>
      <w:bookmarkEnd w:id="33"/>
      <w:bookmarkEnd w:id="34"/>
      <w:bookmarkEnd w:id="35"/>
      <w:bookmarkEnd w:id="36"/>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名称：</w:t>
      </w:r>
      <w:r>
        <w:rPr>
          <w:rFonts w:hint="eastAsia" w:ascii="宋体" w:hAnsi="宋体" w:eastAsia="宋体" w:cs="宋体"/>
          <w:sz w:val="21"/>
          <w:szCs w:val="21"/>
          <w:lang w:val="en-US" w:eastAsia="zh-CN"/>
        </w:rPr>
        <w:t>崇左市江州区农业农村局</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地址：崇左市江州区江南街道新民路39号</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lang w:eastAsia="zh-CN"/>
        </w:rPr>
        <w:t>刘工</w:t>
      </w:r>
      <w:r>
        <w:rPr>
          <w:rFonts w:hint="eastAsia" w:ascii="宋体" w:hAnsi="宋体" w:eastAsia="宋体" w:cs="宋体"/>
          <w:sz w:val="21"/>
          <w:szCs w:val="21"/>
          <w:lang w:val="en-US" w:eastAsia="zh-CN"/>
        </w:rPr>
        <w:t xml:space="preserve">  </w:t>
      </w:r>
      <w:r>
        <w:rPr>
          <w:rFonts w:hint="eastAsia" w:cs="宋体"/>
          <w:sz w:val="21"/>
          <w:szCs w:val="21"/>
          <w:lang w:val="en-US" w:eastAsia="zh-CN"/>
        </w:rPr>
        <w:t>0771-7986336</w:t>
      </w:r>
    </w:p>
    <w:p>
      <w:pPr>
        <w:pStyle w:val="5"/>
        <w:spacing w:before="0" w:after="0" w:line="240" w:lineRule="auto"/>
        <w:ind w:leftChars="0" w:firstLine="0" w:firstLineChars="0"/>
        <w:jc w:val="left"/>
        <w:rPr>
          <w:rFonts w:hint="eastAsia" w:ascii="宋体" w:hAnsi="宋体" w:eastAsia="宋体" w:cs="宋体"/>
          <w:b w:val="0"/>
          <w:sz w:val="21"/>
          <w:szCs w:val="21"/>
        </w:rPr>
      </w:pPr>
      <w:bookmarkStart w:id="37" w:name="_Toc35393807"/>
      <w:bookmarkStart w:id="38" w:name="_Toc28359020"/>
      <w:bookmarkStart w:id="39" w:name="_Toc28359097"/>
      <w:bookmarkStart w:id="40" w:name="_Toc35393638"/>
      <w:r>
        <w:rPr>
          <w:rFonts w:hint="eastAsia" w:ascii="宋体" w:hAnsi="宋体" w:eastAsia="宋体" w:cs="宋体"/>
          <w:b w:val="0"/>
          <w:sz w:val="21"/>
          <w:szCs w:val="21"/>
        </w:rPr>
        <w:t>2.采购代理机构信息</w:t>
      </w:r>
      <w:bookmarkEnd w:id="37"/>
      <w:bookmarkEnd w:id="38"/>
      <w:bookmarkEnd w:id="39"/>
      <w:bookmarkEnd w:id="40"/>
    </w:p>
    <w:p>
      <w:pPr>
        <w:spacing w:line="240" w:lineRule="auto"/>
        <w:ind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名称：广西建隆工程咨询有限公司</w:t>
      </w:r>
    </w:p>
    <w:p>
      <w:pPr>
        <w:spacing w:line="240" w:lineRule="auto"/>
        <w:ind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地址：崇左市花山路与城南八路交叉口万沣名车城4楼406室</w:t>
      </w:r>
    </w:p>
    <w:p>
      <w:pPr>
        <w:spacing w:line="240" w:lineRule="auto"/>
        <w:ind w:leftChars="0" w:firstLine="0" w:firstLineChars="0"/>
        <w:jc w:val="left"/>
        <w:rPr>
          <w:rFonts w:hint="eastAsia" w:ascii="宋体" w:hAnsi="宋体" w:eastAsia="宋体" w:cs="宋体"/>
          <w:sz w:val="21"/>
          <w:szCs w:val="21"/>
          <w:u w:val="single"/>
        </w:rPr>
      </w:pPr>
      <w:r>
        <w:rPr>
          <w:rFonts w:hint="eastAsia" w:ascii="宋体" w:hAnsi="宋体" w:eastAsia="宋体" w:cs="宋体"/>
          <w:sz w:val="21"/>
          <w:szCs w:val="21"/>
        </w:rPr>
        <w:t>联系方式：0771-7960670</w:t>
      </w:r>
    </w:p>
    <w:p>
      <w:pPr>
        <w:pStyle w:val="5"/>
        <w:spacing w:before="0" w:after="0" w:line="240" w:lineRule="auto"/>
        <w:ind w:leftChars="0" w:firstLine="0" w:firstLineChars="0"/>
        <w:jc w:val="left"/>
        <w:rPr>
          <w:rFonts w:hint="eastAsia" w:ascii="宋体" w:hAnsi="宋体" w:eastAsia="宋体" w:cs="宋体"/>
          <w:b w:val="0"/>
          <w:sz w:val="21"/>
          <w:szCs w:val="21"/>
        </w:rPr>
      </w:pPr>
      <w:bookmarkStart w:id="41" w:name="_Toc35393639"/>
      <w:bookmarkStart w:id="42" w:name="_Toc35393808"/>
      <w:bookmarkStart w:id="43" w:name="_Toc28359098"/>
      <w:bookmarkStart w:id="44" w:name="_Toc28359021"/>
      <w:r>
        <w:rPr>
          <w:rFonts w:hint="eastAsia" w:ascii="宋体" w:hAnsi="宋体" w:eastAsia="宋体" w:cs="宋体"/>
          <w:b w:val="0"/>
          <w:sz w:val="21"/>
          <w:szCs w:val="21"/>
        </w:rPr>
        <w:t>3.项目联系方式</w:t>
      </w:r>
      <w:bookmarkEnd w:id="41"/>
      <w:bookmarkEnd w:id="42"/>
      <w:bookmarkEnd w:id="43"/>
      <w:bookmarkEnd w:id="44"/>
    </w:p>
    <w:p>
      <w:pPr>
        <w:pStyle w:val="10"/>
        <w:spacing w:line="240" w:lineRule="auto"/>
        <w:ind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eastAsia="宋体" w:cs="宋体"/>
          <w:sz w:val="21"/>
          <w:szCs w:val="21"/>
          <w:u w:val="none"/>
          <w:lang w:eastAsia="zh-CN"/>
        </w:rPr>
        <w:t>潘工</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电话：0771-7960670</w:t>
      </w:r>
    </w:p>
    <w:p>
      <w:pPr>
        <w:pStyle w:val="10"/>
        <w:numPr>
          <w:ilvl w:val="0"/>
          <w:numId w:val="2"/>
        </w:numPr>
        <w:spacing w:line="240" w:lineRule="auto"/>
        <w:ind w:leftChars="0" w:firstLine="0" w:firstLineChars="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政府采购监督管理部门：</w:t>
      </w:r>
      <w:r>
        <w:rPr>
          <w:rFonts w:hint="eastAsia" w:ascii="宋体" w:hAnsi="宋体" w:eastAsia="宋体" w:cs="宋体"/>
          <w:b w:val="0"/>
          <w:color w:val="auto"/>
          <w:sz w:val="21"/>
          <w:szCs w:val="21"/>
          <w:highlight w:val="none"/>
          <w:lang w:eastAsia="zh-CN"/>
        </w:rPr>
        <w:t>崇左市江州区</w:t>
      </w:r>
      <w:r>
        <w:rPr>
          <w:rFonts w:hint="eastAsia" w:ascii="宋体" w:hAnsi="宋体" w:eastAsia="宋体" w:cs="宋体"/>
          <w:b w:val="0"/>
          <w:color w:val="auto"/>
          <w:sz w:val="21"/>
          <w:szCs w:val="21"/>
          <w:highlight w:val="none"/>
        </w:rPr>
        <w:t>财政局政府采购监督管理股</w:t>
      </w:r>
    </w:p>
    <w:p>
      <w:pPr>
        <w:pStyle w:val="10"/>
        <w:numPr>
          <w:ilvl w:val="0"/>
          <w:numId w:val="0"/>
        </w:numPr>
        <w:spacing w:line="240" w:lineRule="auto"/>
        <w:ind w:leftChars="0" w:firstLine="420" w:firstLineChars="200"/>
        <w:jc w:val="left"/>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rPr>
        <w:t>联系电话</w:t>
      </w:r>
      <w:r>
        <w:rPr>
          <w:rFonts w:hint="eastAsia" w:ascii="宋体" w:hAnsi="宋体" w:eastAsia="宋体" w:cs="宋体"/>
          <w:b w:val="0"/>
          <w:color w:val="auto"/>
          <w:sz w:val="21"/>
          <w:szCs w:val="21"/>
          <w:highlight w:val="none"/>
          <w:lang w:eastAsia="zh-CN"/>
        </w:rPr>
        <w:t>： 0771-7829899</w:t>
      </w:r>
    </w:p>
    <w:p>
      <w:pPr>
        <w:pStyle w:val="15"/>
        <w:widowControl/>
        <w:pBdr>
          <w:top w:val="none" w:color="383838" w:sz="0" w:space="0"/>
          <w:left w:val="none" w:color="383838" w:sz="0" w:space="0"/>
          <w:bottom w:val="none" w:color="383838" w:sz="0" w:space="0"/>
          <w:right w:val="none" w:color="383838" w:sz="0" w:space="0"/>
        </w:pBdr>
        <w:spacing w:before="0" w:beforeAutospacing="0" w:after="0" w:afterAutospacing="0" w:line="240" w:lineRule="auto"/>
        <w:ind w:firstLine="0" w:firstLineChars="0"/>
        <w:jc w:val="left"/>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b w:val="0"/>
          <w:color w:val="auto"/>
          <w:sz w:val="21"/>
          <w:szCs w:val="21"/>
          <w:highlight w:val="none"/>
          <w:lang w:eastAsia="zh-CN"/>
        </w:rPr>
        <w:t>九、网上查询地址：</w:t>
      </w:r>
      <w:r>
        <w:rPr>
          <w:rFonts w:hint="eastAsia" w:ascii="宋体" w:hAnsi="宋体" w:eastAsia="宋体" w:cs="宋体"/>
          <w:color w:val="auto"/>
          <w:spacing w:val="20"/>
          <w:kern w:val="0"/>
          <w:sz w:val="21"/>
          <w:szCs w:val="21"/>
          <w:lang w:val="en-US" w:eastAsia="zh-CN" w:bidi="ar-SA"/>
        </w:rPr>
        <w:t>中国政府采购网（http://www.ccgp.gov.cn）、广西政府采购网(http:// www.zfcg.gxzf.gov.cn )。</w:t>
      </w:r>
    </w:p>
    <w:p>
      <w:pPr>
        <w:pStyle w:val="10"/>
        <w:numPr>
          <w:ilvl w:val="0"/>
          <w:numId w:val="0"/>
        </w:numPr>
        <w:spacing w:line="240" w:lineRule="auto"/>
        <w:ind w:leftChars="200"/>
        <w:rPr>
          <w:rFonts w:hint="eastAsia" w:ascii="宋体" w:hAnsi="宋体" w:eastAsia="宋体" w:cs="宋体"/>
          <w:b w:val="0"/>
          <w:color w:val="auto"/>
          <w:sz w:val="21"/>
          <w:szCs w:val="21"/>
          <w:highlight w:val="none"/>
          <w:lang w:eastAsia="zh-CN"/>
        </w:rPr>
      </w:pPr>
    </w:p>
    <w:p>
      <w:pPr>
        <w:pStyle w:val="10"/>
        <w:numPr>
          <w:ilvl w:val="0"/>
          <w:numId w:val="0"/>
        </w:numPr>
        <w:spacing w:line="240" w:lineRule="auto"/>
        <w:ind w:leftChars="200" w:firstLine="420" w:firstLineChars="200"/>
        <w:rPr>
          <w:rFonts w:hint="eastAsia" w:ascii="宋体" w:hAnsi="宋体" w:eastAsia="宋体" w:cs="宋体"/>
          <w:b w:val="0"/>
          <w:color w:val="auto"/>
          <w:sz w:val="21"/>
          <w:szCs w:val="21"/>
          <w:highlight w:val="none"/>
          <w:lang w:eastAsia="zh-CN"/>
        </w:rPr>
      </w:pPr>
    </w:p>
    <w:p>
      <w:pPr>
        <w:pStyle w:val="10"/>
        <w:numPr>
          <w:ilvl w:val="0"/>
          <w:numId w:val="0"/>
        </w:numPr>
        <w:spacing w:line="240" w:lineRule="auto"/>
        <w:ind w:leftChars="200" w:firstLine="420" w:firstLineChars="200"/>
        <w:rPr>
          <w:rFonts w:hint="eastAsia" w:ascii="宋体" w:hAnsi="宋体" w:eastAsia="宋体" w:cs="宋体"/>
          <w:b w:val="0"/>
          <w:color w:val="auto"/>
          <w:sz w:val="21"/>
          <w:szCs w:val="21"/>
          <w:highlight w:val="none"/>
          <w:lang w:eastAsia="zh-CN"/>
        </w:rPr>
      </w:pPr>
    </w:p>
    <w:p>
      <w:pPr>
        <w:pStyle w:val="10"/>
        <w:numPr>
          <w:ilvl w:val="0"/>
          <w:numId w:val="0"/>
        </w:numPr>
        <w:spacing w:line="240" w:lineRule="auto"/>
        <w:ind w:leftChars="200" w:firstLine="420" w:firstLineChars="200"/>
        <w:rPr>
          <w:rFonts w:hint="eastAsia" w:ascii="宋体" w:hAnsi="宋体" w:eastAsia="宋体" w:cs="宋体"/>
          <w:b w:val="0"/>
          <w:color w:val="auto"/>
          <w:sz w:val="21"/>
          <w:szCs w:val="21"/>
          <w:highlight w:val="none"/>
          <w:lang w:eastAsia="zh-CN"/>
        </w:rPr>
      </w:pPr>
    </w:p>
    <w:p>
      <w:pPr>
        <w:pStyle w:val="10"/>
        <w:numPr>
          <w:ilvl w:val="0"/>
          <w:numId w:val="0"/>
        </w:numPr>
        <w:spacing w:line="240" w:lineRule="auto"/>
        <w:ind w:leftChars="200" w:firstLine="5880" w:firstLineChars="2800"/>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广西建隆工程咨询有限公司</w:t>
      </w:r>
    </w:p>
    <w:p>
      <w:pPr>
        <w:pStyle w:val="8"/>
        <w:tabs>
          <w:tab w:val="left" w:pos="4238"/>
          <w:tab w:val="left" w:pos="4358"/>
          <w:tab w:val="left" w:pos="4958"/>
        </w:tabs>
        <w:spacing w:before="223" w:line="364" w:lineRule="auto"/>
        <w:ind w:left="3758" w:right="2026"/>
        <w:jc w:val="center"/>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lang w:eastAsia="zh-CN"/>
        </w:rPr>
        <w:t xml:space="preserve">              </w:t>
      </w: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lang w:eastAsia="zh-CN"/>
        </w:rPr>
        <w:t xml:space="preserve"> </w:t>
      </w: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lang w:eastAsia="zh-CN"/>
        </w:rPr>
        <w:t>2020年7月</w:t>
      </w:r>
      <w:r>
        <w:rPr>
          <w:rFonts w:hint="eastAsia" w:ascii="宋体" w:hAnsi="宋体" w:eastAsia="宋体" w:cs="宋体"/>
          <w:b w:val="0"/>
          <w:color w:val="auto"/>
          <w:sz w:val="21"/>
          <w:szCs w:val="21"/>
          <w:highlight w:val="none"/>
          <w:lang w:val="en-US" w:eastAsia="zh-CN"/>
        </w:rPr>
        <w:t>2</w:t>
      </w:r>
      <w:r>
        <w:rPr>
          <w:rFonts w:hint="eastAsia" w:cs="宋体"/>
          <w:b w:val="0"/>
          <w:color w:val="auto"/>
          <w:sz w:val="21"/>
          <w:szCs w:val="21"/>
          <w:highlight w:val="none"/>
          <w:lang w:val="en-US" w:eastAsia="zh-CN"/>
        </w:rPr>
        <w:t>1</w:t>
      </w:r>
      <w:r>
        <w:rPr>
          <w:rFonts w:hint="eastAsia" w:ascii="宋体" w:hAnsi="宋体" w:eastAsia="宋体" w:cs="宋体"/>
          <w:b w:val="0"/>
          <w:color w:val="auto"/>
          <w:sz w:val="21"/>
          <w:szCs w:val="21"/>
          <w:highlight w:val="none"/>
          <w:lang w:eastAsia="zh-CN"/>
        </w:rPr>
        <w:t>日</w:t>
      </w:r>
    </w:p>
    <w:p>
      <w:pPr>
        <w:spacing w:after="0" w:line="364" w:lineRule="auto"/>
        <w:jc w:val="center"/>
        <w:rPr>
          <w:rFonts w:hint="eastAsia" w:ascii="宋体" w:hAnsi="宋体" w:eastAsia="宋体" w:cs="宋体"/>
          <w:color w:val="auto"/>
          <w:sz w:val="21"/>
          <w:szCs w:val="21"/>
          <w:highlight w:val="none"/>
        </w:rPr>
        <w:sectPr>
          <w:headerReference r:id="rId5" w:type="default"/>
          <w:pgSz w:w="11910" w:h="16840"/>
          <w:pgMar w:top="1300" w:right="900" w:bottom="1180" w:left="900" w:header="737" w:footer="993" w:gutter="0"/>
        </w:sectPr>
      </w:pPr>
    </w:p>
    <w:p>
      <w:pPr>
        <w:pStyle w:val="4"/>
        <w:tabs>
          <w:tab w:val="left" w:pos="1446"/>
        </w:tabs>
        <w:spacing w:before="145"/>
        <w:rPr>
          <w:rFonts w:hint="eastAsia" w:ascii="宋体" w:hAnsi="宋体" w:eastAsia="宋体" w:cs="宋体"/>
          <w:color w:val="auto"/>
          <w:sz w:val="32"/>
          <w:szCs w:val="32"/>
          <w:highlight w:val="none"/>
        </w:rPr>
      </w:pPr>
      <w:bookmarkStart w:id="45" w:name="第一章  磋商须知及前附表"/>
      <w:bookmarkEnd w:id="45"/>
      <w:bookmarkStart w:id="46" w:name="_bookmark0"/>
      <w:bookmarkEnd w:id="46"/>
      <w:r>
        <w:rPr>
          <w:rFonts w:hint="eastAsia" w:ascii="宋体" w:hAnsi="宋体" w:eastAsia="宋体" w:cs="宋体"/>
          <w:color w:val="auto"/>
          <w:sz w:val="32"/>
          <w:szCs w:val="32"/>
          <w:highlight w:val="none"/>
        </w:rPr>
        <w:t>第一章</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磋商须知及前附表</w:t>
      </w:r>
    </w:p>
    <w:p>
      <w:pPr>
        <w:pStyle w:val="8"/>
        <w:spacing w:before="2"/>
        <w:rPr>
          <w:rFonts w:hint="eastAsia" w:ascii="宋体" w:hAnsi="宋体" w:eastAsia="宋体" w:cs="宋体"/>
          <w:b/>
          <w:color w:val="auto"/>
          <w:sz w:val="21"/>
          <w:szCs w:val="21"/>
          <w:highlight w:val="none"/>
        </w:rPr>
      </w:pPr>
    </w:p>
    <w:p>
      <w:pPr>
        <w:spacing w:before="0"/>
        <w:ind w:left="420" w:right="1"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磋商须知前附表</w:t>
      </w:r>
    </w:p>
    <w:p>
      <w:pPr>
        <w:pStyle w:val="8"/>
        <w:rPr>
          <w:rFonts w:hint="eastAsia" w:ascii="宋体" w:hAnsi="宋体" w:eastAsia="宋体" w:cs="宋体"/>
          <w:b/>
          <w:color w:val="auto"/>
          <w:sz w:val="21"/>
          <w:szCs w:val="21"/>
          <w:highlight w:val="none"/>
        </w:rPr>
      </w:pPr>
    </w:p>
    <w:tbl>
      <w:tblPr>
        <w:tblStyle w:val="16"/>
        <w:tblW w:w="9876"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889"/>
        <w:gridCol w:w="8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686" w:type="dxa"/>
          </w:tcPr>
          <w:p>
            <w:pPr>
              <w:pStyle w:val="20"/>
              <w:spacing w:before="4" w:line="398" w:lineRule="exact"/>
              <w:ind w:left="223" w:right="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889" w:type="dxa"/>
          </w:tcPr>
          <w:p>
            <w:pPr>
              <w:pStyle w:val="20"/>
              <w:spacing w:before="4" w:line="398" w:lineRule="exact"/>
              <w:ind w:left="324" w:right="192"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8301" w:type="dxa"/>
          </w:tcPr>
          <w:p>
            <w:pPr>
              <w:pStyle w:val="20"/>
              <w:rPr>
                <w:rFonts w:hint="eastAsia" w:ascii="宋体" w:hAnsi="宋体" w:eastAsia="宋体" w:cs="宋体"/>
                <w:b/>
                <w:color w:val="auto"/>
                <w:sz w:val="21"/>
                <w:szCs w:val="21"/>
                <w:highlight w:val="none"/>
              </w:rPr>
            </w:pPr>
          </w:p>
          <w:p>
            <w:pPr>
              <w:pStyle w:val="20"/>
              <w:ind w:left="3648" w:right="364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686" w:type="dxa"/>
          </w:tcPr>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spacing w:before="5"/>
              <w:rPr>
                <w:rFonts w:hint="eastAsia" w:ascii="宋体" w:hAnsi="宋体" w:eastAsia="宋体" w:cs="宋体"/>
                <w:b/>
                <w:color w:val="auto"/>
                <w:sz w:val="21"/>
                <w:szCs w:val="21"/>
                <w:highlight w:val="none"/>
              </w:rPr>
            </w:pPr>
          </w:p>
          <w:p>
            <w:pPr>
              <w:pStyle w:val="20"/>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9" w:type="dxa"/>
          </w:tcPr>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spacing w:before="5"/>
              <w:rPr>
                <w:rFonts w:hint="eastAsia" w:ascii="宋体" w:hAnsi="宋体" w:eastAsia="宋体" w:cs="宋体"/>
                <w:b/>
                <w:color w:val="auto"/>
                <w:sz w:val="21"/>
                <w:szCs w:val="21"/>
                <w:highlight w:val="none"/>
              </w:rPr>
            </w:pPr>
          </w:p>
          <w:p>
            <w:pPr>
              <w:pStyle w:val="20"/>
              <w:ind w:right="26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301" w:type="dxa"/>
          </w:tcPr>
          <w:p>
            <w:pPr>
              <w:pStyle w:val="20"/>
              <w:keepNext w:val="0"/>
              <w:keepLines w:val="0"/>
              <w:pageBreakBefore w:val="0"/>
              <w:widowControl w:val="0"/>
              <w:tabs>
                <w:tab w:val="left" w:pos="7920"/>
              </w:tabs>
              <w:kinsoku/>
              <w:wordWrap/>
              <w:overflowPunct/>
              <w:topLinePunct w:val="0"/>
              <w:autoSpaceDE w:val="0"/>
              <w:autoSpaceDN w:val="0"/>
              <w:bidi w:val="0"/>
              <w:adjustRightInd/>
              <w:snapToGrid w:val="0"/>
              <w:spacing w:before="141" w:line="300" w:lineRule="auto"/>
              <w:ind w:left="108" w:right="371" w:right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lang w:eastAsia="zh-CN"/>
              </w:rPr>
              <w:t>崇左市江州区农业农村局崇左市江州区高标准农田建设规划（2019-2025年）编制服务项目</w:t>
            </w:r>
          </w:p>
          <w:p>
            <w:pPr>
              <w:pStyle w:val="20"/>
              <w:keepNext w:val="0"/>
              <w:keepLines w:val="0"/>
              <w:pageBreakBefore w:val="0"/>
              <w:widowControl w:val="0"/>
              <w:kinsoku/>
              <w:wordWrap/>
              <w:overflowPunct/>
              <w:topLinePunct w:val="0"/>
              <w:autoSpaceDE w:val="0"/>
              <w:autoSpaceDN w:val="0"/>
              <w:bidi w:val="0"/>
              <w:adjustRightInd/>
              <w:snapToGrid w:val="0"/>
              <w:spacing w:before="141" w:line="300" w:lineRule="auto"/>
              <w:ind w:left="108" w:right="341"/>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eastAsia="宋体" w:cs="宋体"/>
                <w:color w:val="auto"/>
                <w:sz w:val="21"/>
                <w:szCs w:val="21"/>
                <w:highlight w:val="none"/>
                <w:lang w:eastAsia="zh-CN"/>
              </w:rPr>
              <w:t>CZZC2020-C3-20015-GXJL</w:t>
            </w:r>
          </w:p>
          <w:p>
            <w:pPr>
              <w:pStyle w:val="20"/>
              <w:keepNext w:val="0"/>
              <w:keepLines w:val="0"/>
              <w:pageBreakBefore w:val="0"/>
              <w:widowControl w:val="0"/>
              <w:kinsoku/>
              <w:wordWrap/>
              <w:overflowPunct/>
              <w:topLinePunct w:val="0"/>
              <w:autoSpaceDE w:val="0"/>
              <w:autoSpaceDN w:val="0"/>
              <w:bidi w:val="0"/>
              <w:adjustRightInd/>
              <w:snapToGrid w:val="0"/>
              <w:spacing w:line="300" w:lineRule="auto"/>
              <w:ind w:left="108" w:right="91"/>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项目内容：</w:t>
            </w:r>
            <w:r>
              <w:rPr>
                <w:rFonts w:hint="eastAsia" w:ascii="宋体" w:hAnsi="宋体" w:eastAsia="宋体" w:cs="宋体"/>
                <w:color w:val="auto"/>
                <w:sz w:val="21"/>
                <w:szCs w:val="21"/>
                <w:highlight w:val="none"/>
                <w:lang w:eastAsia="zh-CN"/>
              </w:rPr>
              <w:t>崇左市江州区农业农村局崇左市江州区高标准农田建设规划（2019-2025年）编制服务项目，包括项目资料收集、整理、分析，实地调研，内行处理，编制《崇左市江州区高标准农田建设规划（2019-2025年）》等。</w:t>
            </w:r>
          </w:p>
          <w:p>
            <w:pPr>
              <w:pStyle w:val="20"/>
              <w:keepNext w:val="0"/>
              <w:keepLines w:val="0"/>
              <w:pageBreakBefore w:val="0"/>
              <w:widowControl w:val="0"/>
              <w:kinsoku/>
              <w:wordWrap/>
              <w:overflowPunct/>
              <w:topLinePunct w:val="0"/>
              <w:autoSpaceDE w:val="0"/>
              <w:autoSpaceDN w:val="0"/>
              <w:bidi w:val="0"/>
              <w:adjustRightInd/>
              <w:snapToGrid w:val="0"/>
              <w:spacing w:line="300" w:lineRule="auto"/>
              <w:ind w:left="108" w:right="91"/>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服务成果提交时间：自合同签订之日起</w:t>
            </w:r>
            <w:r>
              <w:rPr>
                <w:rFonts w:hint="eastAsia" w:ascii="宋体" w:hAnsi="宋体" w:eastAsia="宋体" w:cs="宋体"/>
                <w:color w:val="auto"/>
                <w:sz w:val="21"/>
                <w:szCs w:val="21"/>
                <w:highlight w:val="none"/>
                <w:lang w:val="en-US" w:eastAsia="zh-CN"/>
              </w:rPr>
              <w:t>15日历日内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686" w:type="dxa"/>
          </w:tcPr>
          <w:p>
            <w:pPr>
              <w:pStyle w:val="20"/>
              <w:spacing w:before="158"/>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89" w:type="dxa"/>
          </w:tcPr>
          <w:p>
            <w:pPr>
              <w:pStyle w:val="20"/>
              <w:spacing w:before="125"/>
              <w:ind w:right="26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301" w:type="dxa"/>
          </w:tcPr>
          <w:p>
            <w:pPr>
              <w:pStyle w:val="20"/>
              <w:spacing w:before="110"/>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0" w:hRule="atLeast"/>
        </w:trPr>
        <w:tc>
          <w:tcPr>
            <w:tcW w:w="686" w:type="dxa"/>
          </w:tcPr>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spacing w:before="4"/>
              <w:rPr>
                <w:rFonts w:hint="eastAsia" w:ascii="宋体" w:hAnsi="宋体" w:eastAsia="宋体" w:cs="宋体"/>
                <w:b/>
                <w:color w:val="auto"/>
                <w:sz w:val="21"/>
                <w:szCs w:val="21"/>
                <w:highlight w:val="none"/>
              </w:rPr>
            </w:pPr>
          </w:p>
          <w:p>
            <w:pPr>
              <w:pStyle w:val="20"/>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89" w:type="dxa"/>
          </w:tcPr>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rPr>
                <w:rFonts w:hint="eastAsia" w:ascii="宋体" w:hAnsi="宋体" w:eastAsia="宋体" w:cs="宋体"/>
                <w:b/>
                <w:color w:val="auto"/>
                <w:sz w:val="21"/>
                <w:szCs w:val="21"/>
                <w:highlight w:val="none"/>
              </w:rPr>
            </w:pPr>
          </w:p>
          <w:p>
            <w:pPr>
              <w:pStyle w:val="20"/>
              <w:spacing w:before="4"/>
              <w:rPr>
                <w:rFonts w:hint="eastAsia" w:ascii="宋体" w:hAnsi="宋体" w:eastAsia="宋体" w:cs="宋体"/>
                <w:b/>
                <w:color w:val="auto"/>
                <w:sz w:val="21"/>
                <w:szCs w:val="21"/>
                <w:highlight w:val="none"/>
              </w:rPr>
            </w:pPr>
          </w:p>
          <w:p>
            <w:pPr>
              <w:pStyle w:val="20"/>
              <w:ind w:right="26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301" w:type="dxa"/>
          </w:tcPr>
          <w:p>
            <w:pPr>
              <w:pStyle w:val="20"/>
              <w:spacing w:before="3"/>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资质等级要求：</w:t>
            </w:r>
          </w:p>
          <w:p>
            <w:pPr>
              <w:pStyle w:val="20"/>
              <w:keepNext w:val="0"/>
              <w:keepLines w:val="0"/>
              <w:pageBreakBefore w:val="0"/>
              <w:widowControl w:val="0"/>
              <w:kinsoku/>
              <w:wordWrap/>
              <w:overflowPunct/>
              <w:topLinePunct w:val="0"/>
              <w:autoSpaceDE w:val="0"/>
              <w:autoSpaceDN w:val="0"/>
              <w:bidi w:val="0"/>
              <w:adjustRightInd/>
              <w:snapToGrid w:val="0"/>
              <w:spacing w:before="158" w:line="300" w:lineRule="auto"/>
              <w:ind w:left="108" w:right="93"/>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1、国内注册（指按国家有关规定要求注册的），提供本次采购内容服务，符</w:t>
            </w:r>
            <w:r>
              <w:rPr>
                <w:rFonts w:hint="eastAsia" w:ascii="宋体" w:hAnsi="宋体" w:eastAsia="宋体" w:cs="宋体"/>
                <w:color w:val="auto"/>
                <w:spacing w:val="-10"/>
                <w:sz w:val="21"/>
                <w:szCs w:val="21"/>
                <w:highlight w:val="none"/>
              </w:rPr>
              <w:t>合《中华人民共和国政府采购法》第二十二条规定的具有独立法人资格的供应</w:t>
            </w:r>
            <w:r>
              <w:rPr>
                <w:rFonts w:hint="eastAsia" w:ascii="宋体" w:hAnsi="宋体" w:eastAsia="宋体" w:cs="宋体"/>
                <w:color w:val="auto"/>
                <w:spacing w:val="-4"/>
                <w:sz w:val="21"/>
                <w:szCs w:val="21"/>
                <w:highlight w:val="none"/>
              </w:rPr>
              <w:t>商，并具备</w:t>
            </w:r>
            <w:r>
              <w:rPr>
                <w:rFonts w:hint="eastAsia" w:ascii="宋体" w:hAnsi="宋体" w:eastAsia="宋体" w:cs="宋体"/>
                <w:color w:val="auto"/>
                <w:sz w:val="21"/>
                <w:szCs w:val="21"/>
                <w:highlight w:val="none"/>
              </w:rPr>
              <w:t>水利行业丙级（含丙级）以上设计资质</w:t>
            </w:r>
            <w:r>
              <w:rPr>
                <w:rFonts w:hint="eastAsia" w:cs="宋体"/>
                <w:color w:val="auto"/>
                <w:sz w:val="21"/>
                <w:szCs w:val="21"/>
                <w:highlight w:val="none"/>
                <w:lang w:eastAsia="zh-CN"/>
              </w:rPr>
              <w:t>及</w:t>
            </w:r>
            <w:r>
              <w:rPr>
                <w:rFonts w:hint="eastAsia" w:ascii="宋体" w:hAnsi="宋体" w:eastAsia="宋体" w:cs="宋体"/>
                <w:color w:val="auto"/>
                <w:sz w:val="21"/>
                <w:szCs w:val="21"/>
                <w:highlight w:val="none"/>
                <w:lang w:eastAsia="zh-CN"/>
              </w:rPr>
              <w:t>工程勘探专业类</w:t>
            </w:r>
            <w:r>
              <w:rPr>
                <w:rFonts w:hint="eastAsia" w:ascii="宋体" w:hAnsi="宋体" w:eastAsia="宋体" w:cs="宋体"/>
                <w:color w:val="auto"/>
                <w:sz w:val="21"/>
                <w:szCs w:val="21"/>
                <w:highlight w:val="none"/>
              </w:rPr>
              <w:t>丙级（含丙级）以上资质</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6"/>
                <w:sz w:val="21"/>
                <w:szCs w:val="21"/>
                <w:highlight w:val="none"/>
              </w:rPr>
              <w:t>在人员、设备、资金等方面具</w:t>
            </w:r>
            <w:r>
              <w:rPr>
                <w:rFonts w:hint="eastAsia" w:ascii="宋体" w:hAnsi="宋体" w:eastAsia="宋体" w:cs="宋体"/>
                <w:color w:val="auto"/>
                <w:sz w:val="21"/>
                <w:szCs w:val="21"/>
                <w:highlight w:val="none"/>
              </w:rPr>
              <w:t>有承担本项目的设计能力。</w:t>
            </w:r>
          </w:p>
          <w:p>
            <w:pPr>
              <w:pStyle w:val="20"/>
              <w:keepNext w:val="0"/>
              <w:keepLines w:val="0"/>
              <w:pageBreakBefore w:val="0"/>
              <w:widowControl w:val="0"/>
              <w:kinsoku/>
              <w:wordWrap/>
              <w:overflowPunct/>
              <w:topLinePunct w:val="0"/>
              <w:autoSpaceDE w:val="0"/>
              <w:autoSpaceDN w:val="0"/>
              <w:bidi w:val="0"/>
              <w:adjustRightInd/>
              <w:snapToGrid w:val="0"/>
              <w:spacing w:line="30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2、拟投入的项目负责人具有</w:t>
            </w:r>
            <w:r>
              <w:rPr>
                <w:rFonts w:hint="eastAsia" w:ascii="宋体" w:hAnsi="宋体" w:eastAsia="宋体" w:cs="宋体"/>
                <w:color w:val="auto"/>
                <w:sz w:val="21"/>
                <w:szCs w:val="21"/>
                <w:highlight w:val="none"/>
                <w:lang w:val="en-US" w:eastAsia="zh-CN"/>
              </w:rPr>
              <w:t>水利类</w:t>
            </w:r>
            <w:r>
              <w:rPr>
                <w:rFonts w:hint="eastAsia" w:ascii="宋体" w:hAnsi="宋体" w:eastAsia="宋体" w:cs="宋体"/>
                <w:color w:val="auto"/>
                <w:sz w:val="21"/>
                <w:szCs w:val="21"/>
                <w:highlight w:val="none"/>
                <w:lang w:eastAsia="zh-CN"/>
              </w:rPr>
              <w:t>相关专业</w:t>
            </w:r>
            <w:r>
              <w:rPr>
                <w:rFonts w:hint="eastAsia" w:ascii="宋体" w:hAnsi="宋体" w:eastAsia="宋体" w:cs="宋体"/>
                <w:color w:val="auto"/>
                <w:sz w:val="21"/>
                <w:szCs w:val="21"/>
                <w:highlight w:val="none"/>
              </w:rPr>
              <w:t>中级（含中级）以上技术职称；</w:t>
            </w:r>
          </w:p>
          <w:p>
            <w:pPr>
              <w:pStyle w:val="20"/>
              <w:keepNext w:val="0"/>
              <w:keepLines w:val="0"/>
              <w:pageBreakBefore w:val="0"/>
              <w:widowControl w:val="0"/>
              <w:kinsoku/>
              <w:wordWrap/>
              <w:overflowPunct/>
              <w:topLinePunct w:val="0"/>
              <w:autoSpaceDE w:val="0"/>
              <w:autoSpaceDN w:val="0"/>
              <w:bidi w:val="0"/>
              <w:adjustRightInd/>
              <w:snapToGrid w:val="0"/>
              <w:spacing w:before="160" w:line="300" w:lineRule="auto"/>
              <w:ind w:left="108" w:right="-4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12"/>
                <w:sz w:val="21"/>
                <w:szCs w:val="21"/>
                <w:highlight w:val="none"/>
              </w:rPr>
              <w:t>、对在“信用中国”网站</w:t>
            </w:r>
            <w:r>
              <w:rPr>
                <w:rFonts w:hint="eastAsia" w:ascii="宋体" w:hAnsi="宋体" w:eastAsia="宋体" w:cs="宋体"/>
                <w:color w:val="auto"/>
                <w:spacing w:val="-1"/>
                <w:sz w:val="21"/>
                <w:szCs w:val="21"/>
                <w:highlight w:val="none"/>
              </w:rPr>
              <w:t>(www.creditchina.gov.cn)</w:t>
            </w:r>
            <w:r>
              <w:rPr>
                <w:rFonts w:hint="eastAsia" w:ascii="宋体" w:hAnsi="宋体" w:eastAsia="宋体" w:cs="宋体"/>
                <w:color w:val="auto"/>
                <w:sz w:val="21"/>
                <w:szCs w:val="21"/>
                <w:highlight w:val="none"/>
              </w:rPr>
              <w:t>等渠道列入失信被执行人、</w:t>
            </w:r>
            <w:r>
              <w:rPr>
                <w:rFonts w:hint="eastAsia" w:ascii="宋体" w:hAnsi="宋体" w:eastAsia="宋体" w:cs="宋体"/>
                <w:color w:val="auto"/>
                <w:spacing w:val="-6"/>
                <w:sz w:val="21"/>
                <w:szCs w:val="21"/>
                <w:highlight w:val="none"/>
              </w:rPr>
              <w:t>重大税收违法案件当事人名单、政府采购严重违法失信行为记录名单及其他不</w:t>
            </w:r>
            <w:r>
              <w:rPr>
                <w:rFonts w:hint="eastAsia" w:ascii="宋体" w:hAnsi="宋体" w:eastAsia="宋体" w:cs="宋体"/>
                <w:color w:val="auto"/>
                <w:spacing w:val="-9"/>
                <w:sz w:val="21"/>
                <w:szCs w:val="21"/>
                <w:highlight w:val="none"/>
              </w:rPr>
              <w:t>符合《中华人民共和国政府采购法》第二十二条规定条件的供应商，不得参与采购活动。</w:t>
            </w:r>
          </w:p>
          <w:p>
            <w:pPr>
              <w:pStyle w:val="20"/>
              <w:keepNext w:val="0"/>
              <w:keepLines w:val="0"/>
              <w:pageBreakBefore w:val="0"/>
              <w:widowControl w:val="0"/>
              <w:kinsoku/>
              <w:wordWrap/>
              <w:overflowPunct/>
              <w:topLinePunct w:val="0"/>
              <w:autoSpaceDE w:val="0"/>
              <w:autoSpaceDN w:val="0"/>
              <w:bidi w:val="0"/>
              <w:adjustRightInd/>
              <w:snapToGrid w:val="0"/>
              <w:spacing w:line="300" w:lineRule="auto"/>
              <w:ind w:left="108" w:right="96"/>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pacing w:val="-1"/>
                <w:sz w:val="21"/>
                <w:szCs w:val="21"/>
                <w:highlight w:val="none"/>
              </w:rPr>
              <w:t>、单位负责人为同一人或者存在直接控股、管理关系的不同供应商，不得参</w:t>
            </w:r>
            <w:r>
              <w:rPr>
                <w:rFonts w:hint="eastAsia" w:ascii="宋体" w:hAnsi="宋体" w:eastAsia="宋体" w:cs="宋体"/>
                <w:color w:val="auto"/>
                <w:spacing w:val="-6"/>
                <w:sz w:val="21"/>
                <w:szCs w:val="21"/>
                <w:highlight w:val="none"/>
              </w:rPr>
              <w:t>加同一合同项下的政府采购活动。除单一来源采购项目外，为采购项目提供整</w:t>
            </w:r>
            <w:r>
              <w:rPr>
                <w:rFonts w:hint="eastAsia" w:ascii="宋体" w:hAnsi="宋体" w:eastAsia="宋体" w:cs="宋体"/>
                <w:color w:val="auto"/>
                <w:spacing w:val="-9"/>
                <w:sz w:val="21"/>
                <w:szCs w:val="21"/>
                <w:highlight w:val="none"/>
              </w:rPr>
              <w:t>体设计、规范编制或者项目管理、监理、检测等服务的供应商，不得再参加该</w:t>
            </w:r>
            <w:r>
              <w:rPr>
                <w:rFonts w:hint="eastAsia" w:ascii="宋体" w:hAnsi="宋体" w:eastAsia="宋体" w:cs="宋体"/>
                <w:color w:val="auto"/>
                <w:sz w:val="21"/>
                <w:szCs w:val="21"/>
                <w:highlight w:val="none"/>
              </w:rPr>
              <w:t>采购项目的其他采购活动。</w:t>
            </w:r>
          </w:p>
          <w:p>
            <w:pPr>
              <w:pStyle w:val="20"/>
              <w:keepNext w:val="0"/>
              <w:keepLines w:val="0"/>
              <w:pageBreakBefore w:val="0"/>
              <w:widowControl w:val="0"/>
              <w:kinsoku/>
              <w:wordWrap/>
              <w:overflowPunct/>
              <w:topLinePunct w:val="0"/>
              <w:autoSpaceDE w:val="0"/>
              <w:autoSpaceDN w:val="0"/>
              <w:bidi w:val="0"/>
              <w:adjustRightInd/>
              <w:snapToGrid w:val="0"/>
              <w:spacing w:line="30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5、本次采购不接受联合体磋商。</w:t>
            </w:r>
          </w:p>
          <w:p>
            <w:pPr>
              <w:pStyle w:val="20"/>
              <w:keepNext w:val="0"/>
              <w:keepLines w:val="0"/>
              <w:pageBreakBefore w:val="0"/>
              <w:widowControl w:val="0"/>
              <w:kinsoku/>
              <w:wordWrap/>
              <w:overflowPunct/>
              <w:topLinePunct w:val="0"/>
              <w:autoSpaceDE w:val="0"/>
              <w:autoSpaceDN w:val="0"/>
              <w:bidi w:val="0"/>
              <w:adjustRightInd/>
              <w:snapToGrid w:val="0"/>
              <w:spacing w:before="156" w:line="300" w:lineRule="auto"/>
              <w:ind w:left="10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6、不接受未按本竞争性磋商公告要求购买采购文件的供应商磋商。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86" w:type="dxa"/>
          </w:tcPr>
          <w:p>
            <w:pPr>
              <w:pStyle w:val="20"/>
              <w:spacing w:before="163"/>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89" w:type="dxa"/>
          </w:tcPr>
          <w:p>
            <w:pPr>
              <w:pStyle w:val="20"/>
              <w:spacing w:before="163"/>
              <w:ind w:right="26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8301" w:type="dxa"/>
          </w:tcPr>
          <w:p>
            <w:pPr>
              <w:pStyle w:val="20"/>
              <w:spacing w:before="150"/>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现场考察或答疑会：不组织，供应商可自行勘查。</w:t>
            </w:r>
          </w:p>
        </w:tc>
      </w:tr>
    </w:tbl>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spacing w:before="2"/>
        <w:rPr>
          <w:rFonts w:hint="eastAsia" w:ascii="宋体" w:hAnsi="宋体" w:eastAsia="宋体" w:cs="宋体"/>
          <w:color w:val="auto"/>
          <w:sz w:val="21"/>
          <w:szCs w:val="21"/>
          <w:highlight w:val="none"/>
        </w:rPr>
      </w:pPr>
    </w:p>
    <w:tbl>
      <w:tblPr>
        <w:tblStyle w:val="16"/>
        <w:tblW w:w="9876"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889"/>
        <w:gridCol w:w="8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86" w:type="dxa"/>
          </w:tcPr>
          <w:p>
            <w:pPr>
              <w:pStyle w:val="20"/>
              <w:rPr>
                <w:rFonts w:hint="eastAsia" w:ascii="宋体" w:hAnsi="宋体" w:eastAsia="宋体" w:cs="宋体"/>
                <w:color w:val="auto"/>
                <w:sz w:val="21"/>
                <w:szCs w:val="21"/>
                <w:highlight w:val="none"/>
              </w:rPr>
            </w:pPr>
          </w:p>
          <w:p>
            <w:pPr>
              <w:pStyle w:val="20"/>
              <w:spacing w:before="197"/>
              <w:ind w:right="264"/>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89" w:type="dxa"/>
          </w:tcPr>
          <w:p>
            <w:pPr>
              <w:pStyle w:val="20"/>
              <w:rPr>
                <w:rFonts w:hint="eastAsia" w:ascii="宋体" w:hAnsi="宋体" w:eastAsia="宋体" w:cs="宋体"/>
                <w:color w:val="auto"/>
                <w:sz w:val="21"/>
                <w:szCs w:val="21"/>
                <w:highlight w:val="none"/>
              </w:rPr>
            </w:pPr>
          </w:p>
          <w:p>
            <w:pPr>
              <w:pStyle w:val="20"/>
              <w:spacing w:before="197"/>
              <w:ind w:right="19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8301" w:type="dxa"/>
          </w:tcPr>
          <w:p>
            <w:pPr>
              <w:pStyle w:val="20"/>
              <w:spacing w:before="80" w:line="312" w:lineRule="auto"/>
              <w:ind w:left="107" w:right="96"/>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磋商报价：供应商须就本项目采购内容及要求作唯一完整的报价，超过采购预</w:t>
            </w:r>
            <w:r>
              <w:rPr>
                <w:rFonts w:hint="eastAsia" w:ascii="宋体" w:hAnsi="宋体" w:eastAsia="宋体" w:cs="宋体"/>
                <w:color w:val="auto"/>
                <w:sz w:val="21"/>
                <w:szCs w:val="21"/>
                <w:highlight w:val="none"/>
              </w:rPr>
              <w:t>算的最后报价将视为无效报价，</w:t>
            </w:r>
          </w:p>
          <w:p>
            <w:pPr>
              <w:pStyle w:val="20"/>
              <w:spacing w:before="2" w:line="298" w:lineRule="exact"/>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采购预算金额：</w:t>
            </w:r>
            <w:r>
              <w:rPr>
                <w:rFonts w:hint="eastAsia" w:ascii="宋体" w:hAnsi="宋体" w:eastAsia="宋体" w:cs="宋体"/>
                <w:b/>
                <w:color w:val="auto"/>
                <w:sz w:val="21"/>
                <w:szCs w:val="21"/>
                <w:highlight w:val="none"/>
                <w:lang w:eastAsia="zh-CN"/>
              </w:rPr>
              <w:t>人民币叁拾万零叁仟贰佰元整（¥</w:t>
            </w:r>
            <w:r>
              <w:rPr>
                <w:rFonts w:hint="eastAsia" w:ascii="宋体" w:hAnsi="宋体" w:eastAsia="宋体" w:cs="宋体"/>
                <w:b/>
                <w:color w:val="auto"/>
                <w:sz w:val="21"/>
                <w:szCs w:val="21"/>
                <w:highlight w:val="none"/>
                <w:lang w:val="en-US" w:eastAsia="zh-CN"/>
              </w:rPr>
              <w:t>303200.00</w:t>
            </w:r>
            <w:r>
              <w:rPr>
                <w:rFonts w:hint="eastAsia" w:ascii="宋体" w:hAnsi="宋体" w:eastAsia="宋体" w:cs="宋体"/>
                <w:b/>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686" w:type="dxa"/>
          </w:tcPr>
          <w:p>
            <w:pPr>
              <w:pStyle w:val="20"/>
              <w:spacing w:before="152"/>
              <w:ind w:right="264"/>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89" w:type="dxa"/>
          </w:tcPr>
          <w:p>
            <w:pPr>
              <w:pStyle w:val="20"/>
              <w:spacing w:before="152"/>
              <w:ind w:right="19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8301" w:type="dxa"/>
          </w:tcPr>
          <w:p>
            <w:pPr>
              <w:pStyle w:val="20"/>
              <w:spacing w:before="152"/>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响应文件有效期：响应文件递交截止期结束后 </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 xml:space="preserve">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686" w:type="dxa"/>
          </w:tcPr>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spacing w:before="6"/>
              <w:rPr>
                <w:rFonts w:hint="eastAsia" w:ascii="宋体" w:hAnsi="宋体" w:eastAsia="宋体" w:cs="宋体"/>
                <w:color w:val="auto"/>
                <w:sz w:val="21"/>
                <w:szCs w:val="21"/>
                <w:highlight w:val="none"/>
              </w:rPr>
            </w:pPr>
          </w:p>
          <w:p>
            <w:pPr>
              <w:pStyle w:val="20"/>
              <w:ind w:right="264"/>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89" w:type="dxa"/>
          </w:tcPr>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spacing w:before="7"/>
              <w:rPr>
                <w:rFonts w:hint="eastAsia" w:ascii="宋体" w:hAnsi="宋体" w:eastAsia="宋体" w:cs="宋体"/>
                <w:color w:val="auto"/>
                <w:sz w:val="21"/>
                <w:szCs w:val="21"/>
                <w:highlight w:val="none"/>
              </w:rPr>
            </w:pPr>
          </w:p>
          <w:p>
            <w:pPr>
              <w:pStyle w:val="20"/>
              <w:ind w:right="19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8301" w:type="dxa"/>
          </w:tcPr>
          <w:p>
            <w:pPr>
              <w:pStyle w:val="20"/>
              <w:spacing w:before="82" w:line="312" w:lineRule="auto"/>
              <w:ind w:left="107" w:right="88"/>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磋商保证金</w:t>
            </w:r>
            <w:r>
              <w:rPr>
                <w:rFonts w:hint="eastAsia" w:ascii="宋体" w:hAnsi="宋体" w:eastAsia="宋体" w:cs="宋体"/>
                <w:b/>
                <w:color w:val="auto"/>
                <w:sz w:val="21"/>
                <w:szCs w:val="21"/>
                <w:highlight w:val="none"/>
                <w:lang w:eastAsia="zh-CN"/>
              </w:rPr>
              <w:t>（人民币）</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伍仟元整（￥5000.00）</w:t>
            </w:r>
            <w:r>
              <w:rPr>
                <w:rFonts w:hint="eastAsia" w:ascii="宋体" w:hAnsi="宋体" w:eastAsia="宋体" w:cs="宋体"/>
                <w:color w:val="auto"/>
                <w:sz w:val="21"/>
                <w:szCs w:val="21"/>
                <w:highlight w:val="none"/>
              </w:rPr>
              <w:t>。磋商保证金应以支票、汇票、</w:t>
            </w:r>
            <w:r>
              <w:rPr>
                <w:rFonts w:hint="eastAsia" w:ascii="宋体" w:hAnsi="宋体" w:eastAsia="宋体" w:cs="宋体"/>
                <w:color w:val="auto"/>
                <w:spacing w:val="-7"/>
                <w:sz w:val="21"/>
                <w:szCs w:val="21"/>
                <w:highlight w:val="none"/>
              </w:rPr>
              <w:t>本票或者金融机构、担保机构出具的保函等非现金形式提交，在提交磋商响应</w:t>
            </w:r>
            <w:r>
              <w:rPr>
                <w:rFonts w:hint="eastAsia" w:ascii="宋体" w:hAnsi="宋体" w:eastAsia="宋体" w:cs="宋体"/>
                <w:color w:val="auto"/>
                <w:spacing w:val="4"/>
                <w:sz w:val="21"/>
                <w:szCs w:val="21"/>
                <w:highlight w:val="none"/>
              </w:rPr>
              <w:t>文件递交截止日前交到以下账户（</w:t>
            </w:r>
            <w:r>
              <w:rPr>
                <w:rFonts w:hint="eastAsia" w:ascii="宋体" w:hAnsi="宋体" w:eastAsia="宋体" w:cs="宋体"/>
                <w:color w:val="auto"/>
                <w:spacing w:val="3"/>
                <w:sz w:val="21"/>
                <w:szCs w:val="21"/>
                <w:highlight w:val="none"/>
              </w:rPr>
              <w:t>以到账为准，且注明项目名称</w:t>
            </w:r>
            <w:r>
              <w:rPr>
                <w:rFonts w:hint="eastAsia" w:ascii="宋体" w:hAnsi="宋体" w:eastAsia="宋体" w:cs="宋体"/>
                <w:color w:val="auto"/>
                <w:spacing w:val="3"/>
                <w:sz w:val="21"/>
                <w:szCs w:val="21"/>
                <w:highlight w:val="none"/>
                <w:lang w:eastAsia="zh-CN"/>
              </w:rPr>
              <w:t>或</w:t>
            </w:r>
            <w:r>
              <w:rPr>
                <w:rFonts w:hint="eastAsia" w:ascii="宋体" w:hAnsi="宋体" w:eastAsia="宋体" w:cs="宋体"/>
                <w:color w:val="auto"/>
                <w:spacing w:val="3"/>
                <w:sz w:val="21"/>
                <w:szCs w:val="21"/>
                <w:highlight w:val="none"/>
              </w:rPr>
              <w:t>项目编号）。</w:t>
            </w:r>
          </w:p>
          <w:p>
            <w:pPr>
              <w:pStyle w:val="20"/>
              <w:spacing w:line="307" w:lineRule="exact"/>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广西建隆工程咨询有限公司</w:t>
            </w:r>
          </w:p>
          <w:p>
            <w:pPr>
              <w:pStyle w:val="20"/>
              <w:spacing w:before="1" w:line="400" w:lineRule="atLeast"/>
              <w:ind w:left="107" w:right="98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广西北部湾银行南宁市琅东支行</w:t>
            </w:r>
          </w:p>
          <w:p>
            <w:pPr>
              <w:pStyle w:val="20"/>
              <w:spacing w:before="1" w:line="400" w:lineRule="atLeast"/>
              <w:ind w:left="107" w:right="98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eastAsia="zh-CN"/>
              </w:rPr>
              <w:t>8000 7529 4800 010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86" w:type="dxa"/>
          </w:tcPr>
          <w:p>
            <w:pPr>
              <w:pStyle w:val="20"/>
              <w:spacing w:before="123"/>
              <w:ind w:right="264"/>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89" w:type="dxa"/>
          </w:tcPr>
          <w:p>
            <w:pPr>
              <w:pStyle w:val="20"/>
              <w:spacing w:before="123"/>
              <w:ind w:right="19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8301" w:type="dxa"/>
          </w:tcPr>
          <w:p>
            <w:pPr>
              <w:pStyle w:val="20"/>
              <w:spacing w:before="75"/>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响应文件：一套正本，</w:t>
            </w:r>
            <w:r>
              <w:rPr>
                <w:rFonts w:hint="eastAsia" w:ascii="宋体" w:hAnsi="宋体" w:eastAsia="宋体" w:cs="宋体"/>
                <w:color w:val="auto"/>
                <w:sz w:val="21"/>
                <w:szCs w:val="21"/>
                <w:highlight w:val="none"/>
                <w:lang w:eastAsia="zh-CN"/>
              </w:rPr>
              <w:t>四套副本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86" w:type="dxa"/>
          </w:tcPr>
          <w:p>
            <w:pPr>
              <w:pStyle w:val="20"/>
              <w:rPr>
                <w:rFonts w:hint="eastAsia" w:ascii="宋体" w:hAnsi="宋体" w:eastAsia="宋体" w:cs="宋体"/>
                <w:color w:val="auto"/>
                <w:sz w:val="21"/>
                <w:szCs w:val="21"/>
                <w:highlight w:val="none"/>
              </w:rPr>
            </w:pPr>
          </w:p>
          <w:p>
            <w:pPr>
              <w:pStyle w:val="20"/>
              <w:spacing w:before="3"/>
              <w:rPr>
                <w:rFonts w:hint="eastAsia" w:ascii="宋体" w:hAnsi="宋体" w:eastAsia="宋体" w:cs="宋体"/>
                <w:color w:val="auto"/>
                <w:sz w:val="21"/>
                <w:szCs w:val="21"/>
                <w:highlight w:val="none"/>
              </w:rPr>
            </w:pPr>
          </w:p>
          <w:p>
            <w:pPr>
              <w:pStyle w:val="20"/>
              <w:ind w:right="264"/>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89" w:type="dxa"/>
          </w:tcPr>
          <w:p>
            <w:pPr>
              <w:pStyle w:val="20"/>
              <w:rPr>
                <w:rFonts w:hint="eastAsia" w:ascii="宋体" w:hAnsi="宋体" w:eastAsia="宋体" w:cs="宋体"/>
                <w:color w:val="auto"/>
                <w:sz w:val="21"/>
                <w:szCs w:val="21"/>
                <w:highlight w:val="none"/>
              </w:rPr>
            </w:pPr>
          </w:p>
          <w:p>
            <w:pPr>
              <w:pStyle w:val="20"/>
              <w:spacing w:before="3"/>
              <w:rPr>
                <w:rFonts w:hint="eastAsia" w:ascii="宋体" w:hAnsi="宋体" w:eastAsia="宋体" w:cs="宋体"/>
                <w:color w:val="auto"/>
                <w:sz w:val="21"/>
                <w:szCs w:val="21"/>
                <w:highlight w:val="none"/>
              </w:rPr>
            </w:pPr>
          </w:p>
          <w:p>
            <w:pPr>
              <w:pStyle w:val="20"/>
              <w:ind w:right="19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p>
        </w:tc>
        <w:tc>
          <w:tcPr>
            <w:tcW w:w="8301" w:type="dxa"/>
          </w:tcPr>
          <w:p>
            <w:pPr>
              <w:pStyle w:val="20"/>
              <w:spacing w:before="113"/>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崇左市江州区农业农村局</w:t>
            </w:r>
          </w:p>
          <w:p>
            <w:pPr>
              <w:pStyle w:val="20"/>
              <w:spacing w:before="132"/>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广西建隆工程咨询有限公司</w:t>
            </w:r>
          </w:p>
          <w:p>
            <w:pPr>
              <w:keepNext w:val="0"/>
              <w:keepLines w:val="0"/>
              <w:pageBreakBefore w:val="0"/>
              <w:widowControl w:val="0"/>
              <w:kinsoku/>
              <w:wordWrap/>
              <w:overflowPunct/>
              <w:topLinePunct w:val="0"/>
              <w:autoSpaceDE w:val="0"/>
              <w:autoSpaceDN w:val="0"/>
              <w:bidi w:val="0"/>
              <w:adjustRightInd/>
              <w:snapToGrid w:val="0"/>
              <w:spacing w:line="480" w:lineRule="exact"/>
              <w:ind w:left="0"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zh-CN" w:eastAsia="zh-CN" w:bidi="zh-CN"/>
              </w:rPr>
              <w:tab/>
            </w:r>
            <w:r>
              <w:rPr>
                <w:rFonts w:hint="eastAsia" w:ascii="宋体" w:hAnsi="宋体" w:eastAsia="宋体" w:cs="宋体"/>
                <w:color w:val="auto"/>
                <w:sz w:val="21"/>
                <w:szCs w:val="21"/>
                <w:highlight w:val="none"/>
                <w:lang w:val="zh-CN" w:eastAsia="zh-CN" w:bidi="zh-CN"/>
              </w:rPr>
              <w:t>址：崇左市花山路与城南八路交叉口万沣名车城4楼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5" w:hRule="atLeast"/>
        </w:trPr>
        <w:tc>
          <w:tcPr>
            <w:tcW w:w="686" w:type="dxa"/>
          </w:tcPr>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spacing w:before="10"/>
              <w:rPr>
                <w:rFonts w:hint="eastAsia" w:ascii="宋体" w:hAnsi="宋体" w:eastAsia="宋体" w:cs="宋体"/>
                <w:color w:val="auto"/>
                <w:sz w:val="21"/>
                <w:szCs w:val="21"/>
                <w:highlight w:val="none"/>
              </w:rPr>
            </w:pPr>
          </w:p>
          <w:p>
            <w:pPr>
              <w:pStyle w:val="20"/>
              <w:ind w:right="197"/>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89" w:type="dxa"/>
          </w:tcPr>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spacing w:before="10"/>
              <w:rPr>
                <w:rFonts w:hint="eastAsia" w:ascii="宋体" w:hAnsi="宋体" w:eastAsia="宋体" w:cs="宋体"/>
                <w:color w:val="auto"/>
                <w:sz w:val="21"/>
                <w:szCs w:val="21"/>
                <w:highlight w:val="none"/>
              </w:rPr>
            </w:pPr>
          </w:p>
          <w:p>
            <w:pPr>
              <w:pStyle w:val="20"/>
              <w:ind w:right="19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8301" w:type="dxa"/>
          </w:tcPr>
          <w:p>
            <w:pPr>
              <w:pStyle w:val="20"/>
              <w:spacing w:before="113"/>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响应文件递交截止时间：</w:t>
            </w:r>
            <w:r>
              <w:rPr>
                <w:rFonts w:hint="eastAsia" w:ascii="宋体" w:hAnsi="宋体" w:eastAsia="宋体" w:cs="宋体"/>
                <w:color w:val="auto"/>
                <w:sz w:val="21"/>
                <w:szCs w:val="21"/>
                <w:highlight w:val="none"/>
                <w:lang w:eastAsia="zh-CN"/>
              </w:rPr>
              <w:t>2020 年7月31日北京时间10时00分</w:t>
            </w:r>
          </w:p>
          <w:p>
            <w:pPr>
              <w:pStyle w:val="20"/>
              <w:spacing w:before="131" w:line="345" w:lineRule="auto"/>
              <w:ind w:left="107" w:right="9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响应文件递交至：</w:t>
            </w:r>
            <w:r>
              <w:rPr>
                <w:rFonts w:hint="eastAsia" w:ascii="宋体" w:hAnsi="宋体" w:eastAsia="宋体" w:cs="宋体"/>
                <w:color w:val="auto"/>
                <w:spacing w:val="-7"/>
                <w:sz w:val="21"/>
                <w:szCs w:val="21"/>
                <w:highlight w:val="none"/>
                <w:lang w:eastAsia="zh-CN"/>
              </w:rPr>
              <w:t>广西建隆工程咨询有限公司</w:t>
            </w:r>
            <w:r>
              <w:rPr>
                <w:rFonts w:hint="eastAsia" w:ascii="宋体" w:hAnsi="宋体" w:eastAsia="宋体" w:cs="宋体"/>
                <w:color w:val="auto"/>
                <w:spacing w:val="-7"/>
                <w:sz w:val="21"/>
                <w:szCs w:val="21"/>
                <w:highlight w:val="none"/>
              </w:rPr>
              <w:t>开标厅</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eastAsia="zh-CN"/>
              </w:rPr>
              <w:t>崇左市花山路与城南八路交叉口万沣名车城4楼406室</w:t>
            </w:r>
            <w:r>
              <w:rPr>
                <w:rFonts w:hint="eastAsia" w:ascii="宋体" w:hAnsi="宋体" w:eastAsia="宋体" w:cs="宋体"/>
                <w:color w:val="auto"/>
                <w:sz w:val="21"/>
                <w:szCs w:val="21"/>
                <w:highlight w:val="none"/>
              </w:rPr>
              <w:t>）</w:t>
            </w:r>
          </w:p>
          <w:p>
            <w:pPr>
              <w:pStyle w:val="20"/>
              <w:spacing w:line="343" w:lineRule="auto"/>
              <w:ind w:left="107" w:right="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磋商日期：</w:t>
            </w:r>
            <w:r>
              <w:rPr>
                <w:rFonts w:hint="eastAsia" w:ascii="宋体" w:hAnsi="宋体" w:eastAsia="宋体" w:cs="宋体"/>
                <w:color w:val="auto"/>
                <w:sz w:val="21"/>
                <w:szCs w:val="21"/>
                <w:highlight w:val="none"/>
                <w:lang w:eastAsia="zh-CN"/>
              </w:rPr>
              <w:t>2020 年7月31日北京时间10时00分</w:t>
            </w:r>
            <w:r>
              <w:rPr>
                <w:rFonts w:hint="eastAsia" w:ascii="宋体" w:hAnsi="宋体" w:eastAsia="宋体" w:cs="宋体"/>
                <w:color w:val="auto"/>
                <w:sz w:val="21"/>
                <w:szCs w:val="21"/>
                <w:highlight w:val="none"/>
              </w:rPr>
              <w:t>（具体时间如有变动另行通知）</w:t>
            </w:r>
          </w:p>
          <w:p>
            <w:pPr>
              <w:pStyle w:val="20"/>
              <w:spacing w:before="128"/>
              <w:ind w:left="10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磋商地点：</w:t>
            </w:r>
            <w:r>
              <w:rPr>
                <w:rFonts w:hint="eastAsia" w:ascii="宋体" w:hAnsi="宋体" w:eastAsia="宋体" w:cs="宋体"/>
                <w:color w:val="auto"/>
                <w:spacing w:val="-3"/>
                <w:sz w:val="21"/>
                <w:szCs w:val="21"/>
                <w:highlight w:val="none"/>
                <w:lang w:eastAsia="zh-CN"/>
              </w:rPr>
              <w:t>广西建隆工程咨询有限公司</w:t>
            </w:r>
            <w:r>
              <w:rPr>
                <w:rFonts w:hint="eastAsia" w:ascii="宋体" w:hAnsi="宋体" w:eastAsia="宋体" w:cs="宋体"/>
                <w:color w:val="auto"/>
                <w:spacing w:val="-3"/>
                <w:sz w:val="21"/>
                <w:szCs w:val="21"/>
                <w:highlight w:val="none"/>
              </w:rPr>
              <w:t>评标室</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lang w:eastAsia="zh-CN"/>
              </w:rPr>
              <w:t>崇左市花山路与城南八路交叉口万沣名车城4楼406室</w:t>
            </w:r>
            <w:r>
              <w:rPr>
                <w:rFonts w:hint="eastAsia" w:ascii="宋体" w:hAnsi="宋体" w:eastAsia="宋体" w:cs="宋体"/>
                <w:color w:val="auto"/>
                <w:sz w:val="21"/>
                <w:szCs w:val="21"/>
                <w:highlight w:val="none"/>
              </w:rPr>
              <w:t>）</w:t>
            </w:r>
          </w:p>
          <w:p>
            <w:pPr>
              <w:pStyle w:val="20"/>
              <w:spacing w:before="22" w:line="242" w:lineRule="auto"/>
              <w:ind w:left="107" w:right="98"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供应商法定代表人或其授权代表必须携带以下有效证件按时参加磋商会</w:t>
            </w:r>
            <w:r>
              <w:rPr>
                <w:rFonts w:hint="eastAsia" w:ascii="宋体" w:hAnsi="宋体" w:eastAsia="宋体" w:cs="宋体"/>
                <w:color w:val="auto"/>
                <w:spacing w:val="-7"/>
                <w:sz w:val="21"/>
                <w:szCs w:val="21"/>
                <w:highlight w:val="none"/>
              </w:rPr>
              <w:t>议，否则视为自动放弃磋商。</w:t>
            </w:r>
            <w:r>
              <w:rPr>
                <w:rFonts w:hint="eastAsia" w:ascii="宋体" w:hAnsi="宋体" w:eastAsia="宋体" w:cs="宋体"/>
                <w:b/>
                <w:color w:val="auto"/>
                <w:spacing w:val="-7"/>
                <w:sz w:val="21"/>
                <w:szCs w:val="21"/>
                <w:highlight w:val="none"/>
              </w:rPr>
              <w:t>有效证件为：①磋商保证金交纳凭证</w:t>
            </w:r>
            <w:r>
              <w:rPr>
                <w:rFonts w:hint="eastAsia" w:ascii="宋体" w:hAnsi="宋体" w:eastAsia="宋体" w:cs="宋体"/>
                <w:b/>
                <w:color w:val="auto"/>
                <w:spacing w:val="-7"/>
                <w:sz w:val="21"/>
                <w:szCs w:val="21"/>
                <w:highlight w:val="none"/>
                <w:lang w:eastAsia="zh-CN"/>
              </w:rPr>
              <w:t>复印件</w:t>
            </w:r>
            <w:r>
              <w:rPr>
                <w:rFonts w:hint="eastAsia" w:ascii="宋体" w:hAnsi="宋体" w:eastAsia="宋体" w:cs="宋体"/>
                <w:b/>
                <w:color w:val="auto"/>
                <w:spacing w:val="-7"/>
                <w:sz w:val="21"/>
                <w:szCs w:val="21"/>
                <w:highlight w:val="none"/>
              </w:rPr>
              <w:t>；②授</w:t>
            </w:r>
            <w:r>
              <w:rPr>
                <w:rFonts w:hint="eastAsia" w:ascii="宋体" w:hAnsi="宋体" w:eastAsia="宋体" w:cs="宋体"/>
                <w:b/>
                <w:color w:val="auto"/>
                <w:spacing w:val="-14"/>
                <w:sz w:val="21"/>
                <w:szCs w:val="21"/>
                <w:highlight w:val="none"/>
              </w:rPr>
              <w:t>权委托书</w:t>
            </w:r>
            <w:r>
              <w:rPr>
                <w:rFonts w:hint="eastAsia" w:ascii="宋体" w:hAnsi="宋体" w:eastAsia="宋体" w:cs="宋体"/>
                <w:b/>
                <w:color w:val="auto"/>
                <w:sz w:val="21"/>
                <w:szCs w:val="21"/>
                <w:highlight w:val="none"/>
              </w:rPr>
              <w:t>（</w:t>
            </w:r>
            <w:r>
              <w:rPr>
                <w:rFonts w:hint="eastAsia" w:ascii="宋体" w:hAnsi="宋体" w:eastAsia="宋体" w:cs="宋体"/>
                <w:b/>
                <w:color w:val="auto"/>
                <w:spacing w:val="-4"/>
                <w:sz w:val="21"/>
                <w:szCs w:val="21"/>
                <w:highlight w:val="none"/>
              </w:rPr>
              <w:t>法定代表人参加的不需提供授权委托书，但需提供法定代表人身份</w:t>
            </w:r>
            <w:r>
              <w:rPr>
                <w:rFonts w:hint="eastAsia" w:ascii="宋体" w:hAnsi="宋体" w:eastAsia="宋体" w:cs="宋体"/>
                <w:b/>
                <w:color w:val="auto"/>
                <w:sz w:val="21"/>
                <w:szCs w:val="21"/>
                <w:highlight w:val="none"/>
              </w:rPr>
              <w:t>证明）和本人身份证原件</w:t>
            </w:r>
            <w:r>
              <w:rPr>
                <w:rFonts w:hint="eastAsia" w:ascii="宋体" w:hAnsi="宋体" w:eastAsia="宋体" w:cs="宋体"/>
                <w:b/>
                <w:color w:val="auto"/>
                <w:sz w:val="21"/>
                <w:szCs w:val="21"/>
                <w:highlight w:val="none"/>
                <w:lang w:eastAsia="zh-CN"/>
              </w:rPr>
              <w:t>及复印件</w:t>
            </w:r>
            <w:r>
              <w:rPr>
                <w:rFonts w:hint="eastAsia" w:ascii="宋体" w:hAnsi="宋体" w:eastAsia="宋体" w:cs="宋体"/>
                <w:b/>
                <w:color w:val="auto"/>
                <w:sz w:val="21"/>
                <w:szCs w:val="21"/>
                <w:highlight w:val="none"/>
              </w:rPr>
              <w:t>；③营业执照</w:t>
            </w:r>
            <w:r>
              <w:rPr>
                <w:rFonts w:hint="eastAsia" w:ascii="宋体" w:hAnsi="宋体" w:eastAsia="宋体" w:cs="宋体"/>
                <w:b/>
                <w:color w:val="auto"/>
                <w:sz w:val="21"/>
                <w:szCs w:val="21"/>
                <w:highlight w:val="none"/>
                <w:lang w:eastAsia="zh-CN"/>
              </w:rPr>
              <w:t>副本或者事业单位法人证书副本</w:t>
            </w:r>
            <w:r>
              <w:rPr>
                <w:rFonts w:hint="eastAsia" w:ascii="宋体" w:hAnsi="宋体" w:eastAsia="宋体" w:cs="宋体"/>
                <w:b/>
                <w:color w:val="auto"/>
                <w:sz w:val="21"/>
                <w:szCs w:val="21"/>
                <w:highlight w:val="none"/>
              </w:rPr>
              <w:t>复印件</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86" w:type="dxa"/>
          </w:tcPr>
          <w:p>
            <w:pPr>
              <w:pStyle w:val="20"/>
              <w:spacing w:before="165"/>
              <w:ind w:right="202"/>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89" w:type="dxa"/>
          </w:tcPr>
          <w:p>
            <w:pPr>
              <w:pStyle w:val="20"/>
              <w:spacing w:before="165"/>
              <w:ind w:right="19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301" w:type="dxa"/>
          </w:tcPr>
          <w:p>
            <w:pPr>
              <w:pStyle w:val="20"/>
              <w:spacing w:before="117"/>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86" w:type="dxa"/>
          </w:tcPr>
          <w:p>
            <w:pPr>
              <w:pStyle w:val="20"/>
              <w:spacing w:before="196"/>
              <w:ind w:right="197"/>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190" w:type="dxa"/>
            <w:gridSpan w:val="2"/>
          </w:tcPr>
          <w:p>
            <w:pPr>
              <w:pStyle w:val="20"/>
              <w:spacing w:before="148"/>
              <w:ind w:left="10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86" w:type="dxa"/>
          </w:tcPr>
          <w:p>
            <w:pPr>
              <w:pStyle w:val="20"/>
              <w:spacing w:before="190"/>
              <w:ind w:right="21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9190" w:type="dxa"/>
            <w:gridSpan w:val="2"/>
          </w:tcPr>
          <w:p>
            <w:pPr>
              <w:pStyle w:val="20"/>
              <w:spacing w:before="190"/>
              <w:ind w:left="10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投标费用：</w:t>
            </w:r>
            <w:r>
              <w:rPr>
                <w:rFonts w:hint="eastAsia" w:ascii="宋体" w:hAnsi="宋体" w:eastAsia="宋体" w:cs="宋体"/>
                <w:color w:val="auto"/>
                <w:sz w:val="21"/>
                <w:szCs w:val="21"/>
                <w:highlight w:val="none"/>
              </w:rPr>
              <w:t>不论投标结果如何，供应商均应自行承担所有与投标有关的全部费用。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686" w:type="dxa"/>
          </w:tcPr>
          <w:p>
            <w:pPr>
              <w:pStyle w:val="20"/>
              <w:rPr>
                <w:rFonts w:hint="eastAsia" w:ascii="宋体" w:hAnsi="宋体" w:eastAsia="宋体" w:cs="宋体"/>
                <w:color w:val="auto"/>
                <w:sz w:val="21"/>
                <w:szCs w:val="21"/>
                <w:highlight w:val="none"/>
              </w:rPr>
            </w:pPr>
          </w:p>
          <w:p>
            <w:pPr>
              <w:pStyle w:val="20"/>
              <w:spacing w:before="204"/>
              <w:ind w:right="21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9190" w:type="dxa"/>
            <w:gridSpan w:val="2"/>
          </w:tcPr>
          <w:p>
            <w:pPr>
              <w:pStyle w:val="20"/>
              <w:spacing w:before="82"/>
              <w:ind w:left="10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供应商确认收到澄清、修改的时间：</w:t>
            </w:r>
          </w:p>
          <w:p>
            <w:pPr>
              <w:pStyle w:val="20"/>
              <w:spacing w:before="11" w:line="400" w:lineRule="exact"/>
              <w:ind w:left="108" w:right="96" w:firstLine="48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11"/>
                <w:sz w:val="21"/>
                <w:szCs w:val="21"/>
                <w:highlight w:val="none"/>
              </w:rPr>
              <w:t>不需要确认。澄清、修改文件在招标公告发布媒介上发布，自发布之日起，视为</w:t>
            </w:r>
            <w:r>
              <w:rPr>
                <w:rFonts w:hint="eastAsia" w:ascii="宋体" w:hAnsi="宋体" w:eastAsia="宋体" w:cs="宋体"/>
                <w:color w:val="auto"/>
                <w:sz w:val="21"/>
                <w:szCs w:val="21"/>
                <w:highlight w:val="none"/>
              </w:rPr>
              <w:t>供应商已收到该澄清、修改。供应商未及时关注相关网站造成的损失，由供应商自行</w:t>
            </w:r>
          </w:p>
        </w:tc>
      </w:tr>
    </w:tbl>
    <w:p>
      <w:pPr>
        <w:spacing w:after="0" w:line="400" w:lineRule="exact"/>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spacing w:before="2"/>
        <w:rPr>
          <w:rFonts w:hint="eastAsia" w:ascii="宋体" w:hAnsi="宋体" w:eastAsia="宋体" w:cs="宋体"/>
          <w:color w:val="auto"/>
          <w:sz w:val="21"/>
          <w:szCs w:val="21"/>
          <w:highlight w:val="none"/>
        </w:rPr>
      </w:pPr>
    </w:p>
    <w:tbl>
      <w:tblPr>
        <w:tblStyle w:val="16"/>
        <w:tblW w:w="9876"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9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86" w:type="dxa"/>
          </w:tcPr>
          <w:p>
            <w:pPr>
              <w:pStyle w:val="20"/>
              <w:rPr>
                <w:rFonts w:hint="eastAsia" w:ascii="宋体" w:hAnsi="宋体" w:eastAsia="宋体" w:cs="宋体"/>
                <w:color w:val="auto"/>
                <w:sz w:val="21"/>
                <w:szCs w:val="21"/>
                <w:highlight w:val="none"/>
              </w:rPr>
            </w:pPr>
          </w:p>
        </w:tc>
        <w:tc>
          <w:tcPr>
            <w:tcW w:w="9190" w:type="dxa"/>
          </w:tcPr>
          <w:p>
            <w:pPr>
              <w:pStyle w:val="20"/>
              <w:spacing w:before="80"/>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w:t>
            </w:r>
          </w:p>
          <w:p>
            <w:pPr>
              <w:pStyle w:val="20"/>
              <w:spacing w:before="1" w:line="400" w:lineRule="atLeast"/>
              <w:ind w:left="108" w:right="9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□需要确认。供应商在收到澄清、修改文件后24小时内以书面形式通知采购人， 确认已收到该澄清、修改。书面形式确认可通过扫描件发送到邮箱，邮箱：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686" w:type="dxa"/>
          </w:tcPr>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spacing w:before="140"/>
              <w:ind w:left="2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9190" w:type="dxa"/>
          </w:tcPr>
          <w:p>
            <w:pPr>
              <w:pStyle w:val="20"/>
              <w:spacing w:before="169"/>
              <w:ind w:left="10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分包情况：</w:t>
            </w:r>
          </w:p>
          <w:p>
            <w:pPr>
              <w:pStyle w:val="20"/>
              <w:spacing w:before="90"/>
              <w:ind w:left="58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pPr>
              <w:pStyle w:val="20"/>
              <w:spacing w:before="94"/>
              <w:ind w:left="58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□允许，分包内容要求：</w:t>
            </w:r>
          </w:p>
          <w:p>
            <w:pPr>
              <w:pStyle w:val="20"/>
              <w:spacing w:before="93"/>
              <w:ind w:left="15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分包金额要求：</w:t>
            </w:r>
          </w:p>
          <w:p>
            <w:pPr>
              <w:pStyle w:val="20"/>
              <w:spacing w:before="91"/>
              <w:ind w:left="15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对分包人的其他要求：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686" w:type="dxa"/>
          </w:tcPr>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spacing w:before="6"/>
              <w:rPr>
                <w:rFonts w:hint="eastAsia" w:ascii="宋体" w:hAnsi="宋体" w:eastAsia="宋体" w:cs="宋体"/>
                <w:color w:val="auto"/>
                <w:sz w:val="21"/>
                <w:szCs w:val="21"/>
                <w:highlight w:val="none"/>
              </w:rPr>
            </w:pPr>
          </w:p>
          <w:p>
            <w:pPr>
              <w:pStyle w:val="20"/>
              <w:ind w:left="2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9190" w:type="dxa"/>
          </w:tcPr>
          <w:p>
            <w:pPr>
              <w:pStyle w:val="20"/>
              <w:spacing w:before="94" w:line="312" w:lineRule="auto"/>
              <w:ind w:left="108" w:right="9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项目代理服务费按原国家发展计划委员会计价格[2002]1980号《招标代理服务收费管理暂行办法》服务类收费标准向成交供应商收取。领取成交通知书前，成交供应商应向广西建隆工程咨询有限公司一次付清代理服务费，否则广西建隆工程咨询有限公司有权不予发放成交通知书，不予退还成交供应商的磋商保证金，并以该成交供应商的磋商保证金充抵代理服务费；如磋商保证金数额不足以抵扣代理服务费的，有权向成交供应商追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9" w:hRule="atLeast"/>
        </w:trPr>
        <w:tc>
          <w:tcPr>
            <w:tcW w:w="686" w:type="dxa"/>
          </w:tcPr>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spacing w:before="5"/>
              <w:rPr>
                <w:rFonts w:hint="eastAsia" w:ascii="宋体" w:hAnsi="宋体" w:eastAsia="宋体" w:cs="宋体"/>
                <w:color w:val="auto"/>
                <w:sz w:val="21"/>
                <w:szCs w:val="21"/>
                <w:highlight w:val="none"/>
              </w:rPr>
            </w:pPr>
          </w:p>
          <w:p>
            <w:pPr>
              <w:pStyle w:val="20"/>
              <w:ind w:left="2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9190" w:type="dxa"/>
          </w:tcPr>
          <w:p>
            <w:pPr>
              <w:pStyle w:val="20"/>
              <w:spacing w:before="80"/>
              <w:ind w:left="10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在对供应商资格审查时进行信用查询：</w:t>
            </w:r>
          </w:p>
          <w:p>
            <w:pPr>
              <w:pStyle w:val="20"/>
              <w:spacing w:before="93" w:line="312" w:lineRule="auto"/>
              <w:ind w:left="108" w:right="-29" w:firstLine="48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递交响应文件截止时间后，由采购人或采购代理机构对供应商进行信用信息查询， </w:t>
            </w:r>
            <w:r>
              <w:rPr>
                <w:rFonts w:hint="eastAsia" w:ascii="宋体" w:hAnsi="宋体" w:eastAsia="宋体" w:cs="宋体"/>
                <w:color w:val="auto"/>
                <w:sz w:val="21"/>
                <w:szCs w:val="21"/>
                <w:highlight w:val="none"/>
              </w:rPr>
              <w:t>具体规定如下：</w:t>
            </w:r>
          </w:p>
          <w:p>
            <w:pPr>
              <w:pStyle w:val="20"/>
              <w:spacing w:line="307" w:lineRule="exact"/>
              <w:ind w:left="58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查询渠道： “ 信用中国” 网站</w:t>
            </w:r>
            <w:r>
              <w:rPr>
                <w:rFonts w:hint="eastAsia" w:ascii="宋体" w:hAnsi="宋体" w:eastAsia="宋体" w:cs="宋体"/>
                <w:color w:val="auto"/>
                <w:sz w:val="21"/>
                <w:szCs w:val="21"/>
                <w:highlight w:val="none"/>
              </w:rPr>
              <w:t xml:space="preserve">(www.creditchina.gov.cn) </w:t>
            </w:r>
            <w:r>
              <w:rPr>
                <w:rFonts w:hint="eastAsia" w:ascii="宋体" w:hAnsi="宋体" w:eastAsia="宋体" w:cs="宋体"/>
                <w:color w:val="auto"/>
                <w:spacing w:val="33"/>
                <w:sz w:val="21"/>
                <w:szCs w:val="21"/>
                <w:highlight w:val="none"/>
              </w:rPr>
              <w:t>、中国政府采购网</w:t>
            </w:r>
          </w:p>
          <w:p>
            <w:pPr>
              <w:pStyle w:val="20"/>
              <w:spacing w:before="94"/>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)等</w:t>
            </w:r>
          </w:p>
          <w:p>
            <w:pPr>
              <w:pStyle w:val="20"/>
              <w:spacing w:before="93" w:line="312" w:lineRule="auto"/>
              <w:ind w:left="108" w:right="96"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“信用中国”网站查询内容：失信被执行人、重大税收违法案件当事人名单、政府采购严重违法失信行为记录名单查询结果或界面截图；查询或打印截止时点：递交响应文件截止时间。</w:t>
            </w:r>
          </w:p>
          <w:p>
            <w:pPr>
              <w:pStyle w:val="20"/>
              <w:spacing w:before="1" w:line="312" w:lineRule="auto"/>
              <w:ind w:left="108" w:right="9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“中国政府采购网”的查询内容：政府采购严重违法失信行为信息记录（查询界面截图须显示供应商名称以及查询结果）；</w:t>
            </w:r>
          </w:p>
          <w:p>
            <w:pPr>
              <w:pStyle w:val="20"/>
              <w:spacing w:line="307" w:lineRule="exact"/>
              <w:ind w:left="58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查询时间：递交响应文件截止时间前三年内。</w:t>
            </w:r>
          </w:p>
          <w:p>
            <w:pPr>
              <w:pStyle w:val="20"/>
              <w:spacing w:before="93" w:line="312" w:lineRule="auto"/>
              <w:ind w:left="108" w:right="9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查询记录和证据留存方式：在查询网站中直接打印查询记录，打印材料作为评审资料保存。</w:t>
            </w:r>
          </w:p>
          <w:p>
            <w:pPr>
              <w:pStyle w:val="20"/>
              <w:spacing w:line="312" w:lineRule="auto"/>
              <w:ind w:left="108" w:right="8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w:t>
            </w:r>
          </w:p>
          <w:p>
            <w:pPr>
              <w:pStyle w:val="20"/>
              <w:spacing w:before="1" w:line="299" w:lineRule="exact"/>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二十二条规定条件的供应商，资格审查不通过，不得参与政府采购活动。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686" w:type="dxa"/>
          </w:tcPr>
          <w:p>
            <w:pPr>
              <w:pStyle w:val="20"/>
              <w:rPr>
                <w:rFonts w:hint="eastAsia" w:ascii="宋体" w:hAnsi="宋体" w:eastAsia="宋体" w:cs="宋体"/>
                <w:color w:val="auto"/>
                <w:sz w:val="21"/>
                <w:szCs w:val="21"/>
                <w:highlight w:val="none"/>
              </w:rPr>
            </w:pPr>
          </w:p>
          <w:p>
            <w:pPr>
              <w:pStyle w:val="20"/>
              <w:spacing w:before="2"/>
              <w:rPr>
                <w:rFonts w:hint="eastAsia" w:ascii="宋体" w:hAnsi="宋体" w:eastAsia="宋体" w:cs="宋体"/>
                <w:color w:val="auto"/>
                <w:sz w:val="21"/>
                <w:szCs w:val="21"/>
                <w:highlight w:val="none"/>
              </w:rPr>
            </w:pPr>
          </w:p>
          <w:p>
            <w:pPr>
              <w:pStyle w:val="20"/>
              <w:ind w:left="2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9190" w:type="dxa"/>
          </w:tcPr>
          <w:p>
            <w:pPr>
              <w:pStyle w:val="20"/>
              <w:spacing w:before="204" w:line="343" w:lineRule="auto"/>
              <w:ind w:left="108" w:right="96"/>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根据《中华人民共和国政府采购法实施条例》第四十三条规定，中标结果公告内容中包括成交供应商名称、地址和中标金额，主要中标标的的名称、规格型号、数量、单价、服务要求。</w:t>
            </w:r>
          </w:p>
        </w:tc>
      </w:tr>
    </w:tbl>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tbl>
      <w:tblPr>
        <w:tblStyle w:val="16"/>
        <w:tblW w:w="9876"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9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686" w:type="dxa"/>
          </w:tcPr>
          <w:p>
            <w:pPr>
              <w:pStyle w:val="20"/>
              <w:rPr>
                <w:rFonts w:hint="eastAsia" w:ascii="宋体" w:hAnsi="宋体" w:eastAsia="宋体" w:cs="宋体"/>
                <w:color w:val="auto"/>
                <w:sz w:val="21"/>
                <w:szCs w:val="21"/>
                <w:highlight w:val="none"/>
              </w:rPr>
            </w:pPr>
          </w:p>
          <w:p>
            <w:pPr>
              <w:pStyle w:val="20"/>
              <w:spacing w:before="8"/>
              <w:rPr>
                <w:rFonts w:hint="eastAsia" w:ascii="宋体" w:hAnsi="宋体" w:eastAsia="宋体" w:cs="宋体"/>
                <w:color w:val="auto"/>
                <w:sz w:val="21"/>
                <w:szCs w:val="21"/>
                <w:highlight w:val="none"/>
              </w:rPr>
            </w:pPr>
          </w:p>
          <w:p>
            <w:pPr>
              <w:pStyle w:val="20"/>
              <w:ind w:left="189" w:righ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9190" w:type="dxa"/>
          </w:tcPr>
          <w:p>
            <w:pPr>
              <w:pStyle w:val="20"/>
              <w:spacing w:line="374" w:lineRule="auto"/>
              <w:ind w:left="108" w:right="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签订合同携带的资格证件：营业执照副本</w:t>
            </w:r>
            <w:r>
              <w:rPr>
                <w:rFonts w:hint="eastAsia" w:ascii="宋体" w:hAnsi="宋体" w:eastAsia="宋体" w:cs="宋体"/>
                <w:color w:val="auto"/>
                <w:sz w:val="21"/>
                <w:szCs w:val="21"/>
                <w:highlight w:val="none"/>
                <w:lang w:eastAsia="zh-CN"/>
              </w:rPr>
              <w:t>或事业单位法人证书副本</w:t>
            </w:r>
            <w:r>
              <w:rPr>
                <w:rFonts w:hint="eastAsia" w:ascii="宋体" w:hAnsi="宋体" w:eastAsia="宋体" w:cs="宋体"/>
                <w:color w:val="auto"/>
                <w:sz w:val="21"/>
                <w:szCs w:val="21"/>
                <w:highlight w:val="none"/>
              </w:rPr>
              <w:t>原件、单位授权委托书及被授权人身份证原件等其它资格证件。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686" w:type="dxa"/>
          </w:tcPr>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spacing w:before="209"/>
              <w:ind w:left="189" w:righ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190" w:type="dxa"/>
          </w:tcPr>
          <w:p>
            <w:pPr>
              <w:pStyle w:val="20"/>
              <w:spacing w:before="2" w:line="480" w:lineRule="exact"/>
              <w:ind w:left="108" w:right="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政府采购合同公告：根据《中华人民共和国政府采购法实施条例》第五十条规定，采</w:t>
            </w:r>
            <w:r>
              <w:rPr>
                <w:rFonts w:hint="eastAsia" w:ascii="宋体" w:hAnsi="宋体" w:eastAsia="宋体" w:cs="宋体"/>
                <w:color w:val="auto"/>
                <w:spacing w:val="-2"/>
                <w:sz w:val="21"/>
                <w:szCs w:val="21"/>
                <w:highlight w:val="none"/>
              </w:rPr>
              <w:t xml:space="preserve">购人应当自政府采购合同签订之日起 </w:t>
            </w: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 xml:space="preserve"> 个工作日内，将政府采购合同在省级以上人民</w:t>
            </w:r>
            <w:r>
              <w:rPr>
                <w:rFonts w:hint="eastAsia" w:ascii="宋体" w:hAnsi="宋体" w:eastAsia="宋体" w:cs="宋体"/>
                <w:color w:val="auto"/>
                <w:spacing w:val="-5"/>
                <w:sz w:val="21"/>
                <w:szCs w:val="21"/>
                <w:highlight w:val="none"/>
              </w:rPr>
              <w:t>政府财政部门指定的媒体上公告，但政府采购合同中涉及国家秘密、商业秘密的内容</w:t>
            </w:r>
            <w:r>
              <w:rPr>
                <w:rFonts w:hint="eastAsia" w:ascii="宋体" w:hAnsi="宋体" w:eastAsia="宋体" w:cs="宋体"/>
                <w:color w:val="auto"/>
                <w:spacing w:val="-4"/>
                <w:sz w:val="21"/>
                <w:szCs w:val="21"/>
                <w:highlight w:val="none"/>
              </w:rPr>
              <w:t>除外。因此请各供应商应在响应文件中注明投标内容中涉及商业秘密的部分，未注明的视为响应文件中不涉及商业秘密。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86" w:type="dxa"/>
          </w:tcPr>
          <w:p>
            <w:pPr>
              <w:pStyle w:val="20"/>
              <w:spacing w:before="10"/>
              <w:rPr>
                <w:rFonts w:hint="eastAsia" w:ascii="宋体" w:hAnsi="宋体" w:eastAsia="宋体" w:cs="宋体"/>
                <w:color w:val="auto"/>
                <w:sz w:val="21"/>
                <w:szCs w:val="21"/>
                <w:highlight w:val="none"/>
              </w:rPr>
            </w:pPr>
          </w:p>
          <w:p>
            <w:pPr>
              <w:pStyle w:val="20"/>
              <w:ind w:left="189" w:righ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9190" w:type="dxa"/>
          </w:tcPr>
          <w:p>
            <w:pPr>
              <w:pStyle w:val="20"/>
              <w:spacing w:before="7"/>
              <w:rPr>
                <w:rFonts w:hint="eastAsia" w:ascii="宋体" w:hAnsi="宋体" w:eastAsia="宋体" w:cs="宋体"/>
                <w:color w:val="auto"/>
                <w:sz w:val="21"/>
                <w:szCs w:val="21"/>
                <w:highlight w:val="none"/>
              </w:rPr>
            </w:pPr>
          </w:p>
          <w:p>
            <w:pPr>
              <w:pStyle w:val="20"/>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解释：本采购文件的解释权属于采购代理机构。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5" w:hRule="atLeast"/>
        </w:trPr>
        <w:tc>
          <w:tcPr>
            <w:tcW w:w="686" w:type="dxa"/>
          </w:tcPr>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spacing w:before="2"/>
              <w:rPr>
                <w:rFonts w:hint="eastAsia" w:ascii="宋体" w:hAnsi="宋体" w:eastAsia="宋体" w:cs="宋体"/>
                <w:color w:val="auto"/>
                <w:sz w:val="21"/>
                <w:szCs w:val="21"/>
                <w:highlight w:val="none"/>
              </w:rPr>
            </w:pPr>
          </w:p>
          <w:p>
            <w:pPr>
              <w:pStyle w:val="20"/>
              <w:ind w:left="189" w:righ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190" w:type="dxa"/>
          </w:tcPr>
          <w:p>
            <w:pPr>
              <w:pStyle w:val="20"/>
              <w:spacing w:before="81" w:line="312" w:lineRule="auto"/>
              <w:ind w:left="108" w:right="189" w:firstLine="48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①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r>
              <w:rPr>
                <w:rFonts w:hint="eastAsia" w:ascii="宋体" w:hAnsi="宋体" w:eastAsia="宋体" w:cs="宋体"/>
                <w:b/>
                <w:color w:val="auto"/>
                <w:sz w:val="21"/>
                <w:szCs w:val="21"/>
                <w:highlight w:val="none"/>
              </w:rPr>
              <w:t>不符合要求的作投标无效处理。</w:t>
            </w:r>
          </w:p>
          <w:p>
            <w:pPr>
              <w:pStyle w:val="20"/>
              <w:spacing w:line="312" w:lineRule="auto"/>
              <w:ind w:left="108" w:right="189" w:firstLine="48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②本采购文件中描述供应商的“签字”是指供应商的法定代表人或被授权人亲自在采购文件规定签署处亲笔写上个人的名字的行为，私章、签字章、印鉴、影印等其它形式均不能代替亲笔签字。</w:t>
            </w:r>
            <w:r>
              <w:rPr>
                <w:rFonts w:hint="eastAsia" w:ascii="宋体" w:hAnsi="宋体" w:eastAsia="宋体" w:cs="宋体"/>
                <w:b/>
                <w:color w:val="auto"/>
                <w:sz w:val="21"/>
                <w:szCs w:val="21"/>
                <w:highlight w:val="none"/>
              </w:rPr>
              <w:t>不符合要求的或漏签的作投标无效处理。</w:t>
            </w:r>
          </w:p>
          <w:p>
            <w:pPr>
              <w:pStyle w:val="20"/>
              <w:spacing w:line="312" w:lineRule="auto"/>
              <w:ind w:left="108" w:right="189"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③供应商须知前附表是对供应商须知的具体补充和修改，如有矛盾，应以本前附表为准。</w:t>
            </w:r>
          </w:p>
          <w:p>
            <w:pPr>
              <w:pStyle w:val="20"/>
              <w:spacing w:before="65"/>
              <w:ind w:left="58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④本采购文件是根据国家有关法律及有关政策、法规和参照国际惯例编制，解释</w:t>
            </w:r>
          </w:p>
          <w:p>
            <w:pPr>
              <w:pStyle w:val="20"/>
              <w:spacing w:before="172"/>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权属采购代理机构。</w:t>
            </w:r>
          </w:p>
        </w:tc>
      </w:tr>
    </w:tbl>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spacing w:before="8"/>
        <w:rPr>
          <w:rFonts w:hint="eastAsia" w:ascii="宋体" w:hAnsi="宋体" w:eastAsia="宋体" w:cs="宋体"/>
          <w:color w:val="auto"/>
          <w:sz w:val="21"/>
          <w:szCs w:val="21"/>
          <w:highlight w:val="none"/>
        </w:rPr>
      </w:pPr>
    </w:p>
    <w:p>
      <w:pPr>
        <w:pStyle w:val="5"/>
        <w:tabs>
          <w:tab w:val="left" w:pos="1442"/>
        </w:tabs>
        <w:spacing w:before="55"/>
        <w:ind w:left="0"/>
        <w:rPr>
          <w:rFonts w:hint="eastAsia" w:ascii="宋体" w:hAnsi="宋体" w:eastAsia="宋体" w:cs="宋体"/>
          <w:color w:val="auto"/>
          <w:sz w:val="21"/>
          <w:szCs w:val="21"/>
          <w:highlight w:val="none"/>
        </w:rPr>
      </w:pPr>
      <w:bookmarkStart w:id="47" w:name="一、总   则"/>
      <w:bookmarkEnd w:id="47"/>
      <w:bookmarkStart w:id="48" w:name="_bookmark1"/>
      <w:bookmarkEnd w:id="48"/>
      <w:r>
        <w:rPr>
          <w:rFonts w:hint="eastAsia" w:ascii="宋体" w:hAnsi="宋体" w:eastAsia="宋体" w:cs="宋体"/>
          <w:color w:val="auto"/>
          <w:sz w:val="32"/>
          <w:szCs w:val="32"/>
          <w:highlight w:val="none"/>
        </w:rPr>
        <w:t>一、总</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则</w:t>
      </w:r>
    </w:p>
    <w:p>
      <w:pPr>
        <w:pStyle w:val="8"/>
        <w:spacing w:before="6"/>
        <w:rPr>
          <w:rFonts w:hint="eastAsia" w:ascii="宋体" w:hAnsi="宋体" w:eastAsia="宋体" w:cs="宋体"/>
          <w:b/>
          <w:color w:val="auto"/>
          <w:sz w:val="21"/>
          <w:szCs w:val="21"/>
          <w:highlight w:val="none"/>
        </w:rPr>
      </w:pPr>
    </w:p>
    <w:p>
      <w:pPr>
        <w:pStyle w:val="6"/>
        <w:numPr>
          <w:ilvl w:val="0"/>
          <w:numId w:val="3"/>
        </w:numPr>
        <w:tabs>
          <w:tab w:val="left" w:pos="838"/>
        </w:tabs>
        <w:spacing w:before="77" w:after="0" w:line="240" w:lineRule="auto"/>
        <w:ind w:left="837" w:right="0" w:hanging="320"/>
        <w:jc w:val="left"/>
        <w:rPr>
          <w:rFonts w:hint="eastAsia" w:ascii="宋体" w:hAnsi="宋体" w:eastAsia="宋体" w:cs="宋体"/>
          <w:color w:val="auto"/>
          <w:sz w:val="21"/>
          <w:szCs w:val="21"/>
          <w:highlight w:val="none"/>
        </w:rPr>
      </w:pPr>
      <w:bookmarkStart w:id="49" w:name="_bookmark2"/>
      <w:bookmarkEnd w:id="49"/>
      <w:bookmarkStart w:id="50" w:name="1. 采购范围"/>
      <w:bookmarkEnd w:id="50"/>
      <w:r>
        <w:rPr>
          <w:rFonts w:hint="eastAsia" w:ascii="宋体" w:hAnsi="宋体" w:eastAsia="宋体" w:cs="宋体"/>
          <w:color w:val="auto"/>
          <w:sz w:val="21"/>
          <w:szCs w:val="21"/>
          <w:highlight w:val="none"/>
        </w:rPr>
        <w:t>采购范围</w:t>
      </w:r>
    </w:p>
    <w:p>
      <w:pPr>
        <w:pStyle w:val="8"/>
        <w:spacing w:before="10"/>
        <w:rPr>
          <w:rFonts w:hint="eastAsia" w:ascii="宋体" w:hAnsi="宋体" w:eastAsia="宋体" w:cs="宋体"/>
          <w:b/>
          <w:color w:val="auto"/>
          <w:sz w:val="21"/>
          <w:szCs w:val="21"/>
          <w:highlight w:val="none"/>
        </w:rPr>
      </w:pPr>
    </w:p>
    <w:p>
      <w:pPr>
        <w:pStyle w:val="19"/>
        <w:numPr>
          <w:ilvl w:val="1"/>
          <w:numId w:val="3"/>
        </w:numPr>
        <w:tabs>
          <w:tab w:val="left" w:pos="1392"/>
        </w:tabs>
        <w:spacing w:before="1" w:after="0" w:line="280"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 xml:space="preserve">采购人就本须知前附表第 </w:t>
      </w:r>
      <w:r>
        <w:rPr>
          <w:rFonts w:hint="eastAsia" w:ascii="宋体" w:hAnsi="宋体" w:eastAsia="宋体" w:cs="宋体"/>
          <w:color w:val="auto"/>
          <w:sz w:val="21"/>
          <w:szCs w:val="21"/>
          <w:highlight w:val="none"/>
        </w:rPr>
        <w:t>1</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4"/>
          <w:sz w:val="21"/>
          <w:szCs w:val="21"/>
          <w:highlight w:val="none"/>
        </w:rPr>
        <w:t xml:space="preserve">项和第 </w:t>
      </w:r>
      <w:r>
        <w:rPr>
          <w:rFonts w:hint="eastAsia" w:ascii="宋体" w:hAnsi="宋体" w:eastAsia="宋体" w:cs="宋体"/>
          <w:color w:val="auto"/>
          <w:sz w:val="21"/>
          <w:szCs w:val="21"/>
          <w:highlight w:val="none"/>
        </w:rPr>
        <w:t>2</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1"/>
          <w:sz w:val="21"/>
          <w:szCs w:val="21"/>
          <w:highlight w:val="none"/>
        </w:rPr>
        <w:t>项所述项目进行采购，现通过竞争性磋商</w:t>
      </w:r>
      <w:r>
        <w:rPr>
          <w:rFonts w:hint="eastAsia" w:ascii="宋体" w:hAnsi="宋体" w:eastAsia="宋体" w:cs="宋体"/>
          <w:color w:val="auto"/>
          <w:spacing w:val="-3"/>
          <w:sz w:val="21"/>
          <w:szCs w:val="21"/>
          <w:highlight w:val="none"/>
        </w:rPr>
        <w:t xml:space="preserve">择优选择单位。项目编号和合同名称见本须知前附表第 </w:t>
      </w:r>
      <w:r>
        <w:rPr>
          <w:rFonts w:hint="eastAsia" w:ascii="宋体" w:hAnsi="宋体" w:eastAsia="宋体" w:cs="宋体"/>
          <w:color w:val="auto"/>
          <w:sz w:val="21"/>
          <w:szCs w:val="21"/>
          <w:highlight w:val="none"/>
        </w:rPr>
        <w:t>1</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项款。</w:t>
      </w:r>
    </w:p>
    <w:p>
      <w:pPr>
        <w:pStyle w:val="19"/>
        <w:numPr>
          <w:ilvl w:val="1"/>
          <w:numId w:val="3"/>
        </w:numPr>
        <w:tabs>
          <w:tab w:val="left" w:pos="1452"/>
        </w:tabs>
        <w:spacing w:before="0" w:after="0" w:line="240" w:lineRule="auto"/>
        <w:ind w:left="1452" w:right="0" w:hanging="454"/>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成交供应商应在本须知前附表第 </w:t>
      </w:r>
      <w:r>
        <w:rPr>
          <w:rFonts w:hint="eastAsia" w:ascii="宋体" w:hAnsi="宋体" w:eastAsia="宋体" w:cs="宋体"/>
          <w:color w:val="auto"/>
          <w:sz w:val="21"/>
          <w:szCs w:val="21"/>
          <w:highlight w:val="none"/>
        </w:rPr>
        <w:t>1</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项中规定的要求工期前完成此项目工作。</w:t>
      </w:r>
    </w:p>
    <w:p>
      <w:pPr>
        <w:pStyle w:val="8"/>
        <w:spacing w:before="11"/>
        <w:rPr>
          <w:rFonts w:hint="eastAsia" w:ascii="宋体" w:hAnsi="宋体" w:eastAsia="宋体" w:cs="宋体"/>
          <w:color w:val="auto"/>
          <w:sz w:val="21"/>
          <w:szCs w:val="21"/>
          <w:highlight w:val="none"/>
        </w:rPr>
      </w:pPr>
    </w:p>
    <w:p>
      <w:pPr>
        <w:pStyle w:val="6"/>
        <w:numPr>
          <w:ilvl w:val="0"/>
          <w:numId w:val="3"/>
        </w:numPr>
        <w:tabs>
          <w:tab w:val="left" w:pos="838"/>
        </w:tabs>
        <w:spacing w:before="0" w:after="0" w:line="240" w:lineRule="auto"/>
        <w:ind w:left="837" w:right="0" w:hanging="320"/>
        <w:jc w:val="left"/>
        <w:rPr>
          <w:rFonts w:hint="eastAsia" w:ascii="宋体" w:hAnsi="宋体" w:eastAsia="宋体" w:cs="宋体"/>
          <w:color w:val="auto"/>
          <w:sz w:val="21"/>
          <w:szCs w:val="21"/>
          <w:highlight w:val="none"/>
        </w:rPr>
      </w:pPr>
      <w:bookmarkStart w:id="51" w:name="2. 资金情况"/>
      <w:bookmarkEnd w:id="51"/>
      <w:bookmarkStart w:id="52" w:name="_bookmark3"/>
      <w:bookmarkEnd w:id="52"/>
      <w:r>
        <w:rPr>
          <w:rFonts w:hint="eastAsia" w:ascii="宋体" w:hAnsi="宋体" w:eastAsia="宋体" w:cs="宋体"/>
          <w:color w:val="auto"/>
          <w:sz w:val="21"/>
          <w:szCs w:val="21"/>
          <w:highlight w:val="none"/>
        </w:rPr>
        <w:t>定义</w:t>
      </w:r>
    </w:p>
    <w:p>
      <w:pPr>
        <w:pStyle w:val="6"/>
        <w:numPr>
          <w:ilvl w:val="0"/>
          <w:numId w:val="0"/>
        </w:numPr>
        <w:tabs>
          <w:tab w:val="left" w:pos="838"/>
        </w:tabs>
        <w:spacing w:before="0" w:after="0" w:line="240" w:lineRule="auto"/>
        <w:ind w:left="517" w:leftChars="0" w:right="0" w:righ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“磋商供应商”是指符合本次采购项目的磋商供应商资格并提交响应文件、参加磋商的磋商供应商。如果该磋商供应商在本次磋商中成交，即成为“成交磋商供应商”。</w:t>
      </w:r>
    </w:p>
    <w:p>
      <w:pPr>
        <w:pStyle w:val="6"/>
        <w:numPr>
          <w:ilvl w:val="0"/>
          <w:numId w:val="0"/>
        </w:numPr>
        <w:tabs>
          <w:tab w:val="left" w:pos="838"/>
        </w:tabs>
        <w:spacing w:before="0" w:after="0" w:line="240" w:lineRule="auto"/>
        <w:ind w:left="517" w:leftChars="0" w:right="0" w:righ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“服务”系指按磋商文件规定，磋商供应商须承担的安装、调试、技术协助、校准、培训、技   术指导以及其他类似的义务。</w:t>
      </w:r>
    </w:p>
    <w:p>
      <w:pPr>
        <w:pStyle w:val="6"/>
        <w:numPr>
          <w:ilvl w:val="0"/>
          <w:numId w:val="0"/>
        </w:numPr>
        <w:tabs>
          <w:tab w:val="left" w:pos="838"/>
        </w:tabs>
        <w:spacing w:before="0" w:after="0" w:line="240" w:lineRule="auto"/>
        <w:ind w:left="517" w:leftChars="0" w:right="0" w:righ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2.3</w:t>
      </w:r>
      <w:r>
        <w:rPr>
          <w:rFonts w:hint="eastAsia" w:ascii="宋体" w:hAnsi="宋体" w:eastAsia="宋体" w:cs="宋体"/>
          <w:b w:val="0"/>
          <w:bCs w:val="0"/>
          <w:color w:val="auto"/>
          <w:sz w:val="21"/>
          <w:szCs w:val="21"/>
          <w:highlight w:val="none"/>
        </w:rPr>
        <w:t>“项目”系指磋商供应商按磋商文件规定向采购人提供的货物和服务。</w:t>
      </w:r>
    </w:p>
    <w:p>
      <w:pPr>
        <w:pStyle w:val="6"/>
        <w:numPr>
          <w:ilvl w:val="0"/>
          <w:numId w:val="0"/>
        </w:numPr>
        <w:tabs>
          <w:tab w:val="left" w:pos="838"/>
        </w:tabs>
        <w:spacing w:before="0" w:after="0" w:line="240" w:lineRule="auto"/>
        <w:ind w:left="517" w:leftChars="0" w:right="0" w:right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“书面形式”包括信函、传真、电报等</w:t>
      </w:r>
    </w:p>
    <w:p>
      <w:pPr>
        <w:pStyle w:val="6"/>
        <w:numPr>
          <w:ilvl w:val="0"/>
          <w:numId w:val="3"/>
        </w:numPr>
        <w:tabs>
          <w:tab w:val="left" w:pos="838"/>
        </w:tabs>
        <w:spacing w:before="0" w:after="0" w:line="240" w:lineRule="auto"/>
        <w:ind w:left="837" w:right="0" w:hanging="320"/>
        <w:jc w:val="left"/>
        <w:rPr>
          <w:rFonts w:hint="eastAsia" w:ascii="宋体" w:hAnsi="宋体" w:eastAsia="宋体" w:cs="宋体"/>
          <w:color w:val="auto"/>
          <w:sz w:val="21"/>
          <w:szCs w:val="21"/>
          <w:highlight w:val="none"/>
        </w:rPr>
      </w:pPr>
      <w:bookmarkStart w:id="53" w:name="3. 供应商资格"/>
      <w:bookmarkEnd w:id="53"/>
      <w:bookmarkStart w:id="54" w:name="_bookmark4"/>
      <w:bookmarkEnd w:id="54"/>
      <w:r>
        <w:rPr>
          <w:rFonts w:hint="eastAsia" w:ascii="宋体" w:hAnsi="宋体" w:eastAsia="宋体" w:cs="宋体"/>
          <w:color w:val="auto"/>
          <w:sz w:val="21"/>
          <w:szCs w:val="21"/>
          <w:highlight w:val="none"/>
        </w:rPr>
        <w:t>供应商资格</w:t>
      </w:r>
    </w:p>
    <w:p>
      <w:pPr>
        <w:pStyle w:val="19"/>
        <w:numPr>
          <w:ilvl w:val="1"/>
          <w:numId w:val="3"/>
        </w:numPr>
        <w:tabs>
          <w:tab w:val="left" w:pos="1395"/>
        </w:tabs>
        <w:spacing w:before="0" w:after="0" w:line="280"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凡参加磋商的供应商必须满足</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8"/>
          <w:sz w:val="21"/>
          <w:szCs w:val="21"/>
          <w:highlight w:val="none"/>
        </w:rPr>
        <w:t xml:space="preserve">前附表第 </w:t>
      </w:r>
      <w:r>
        <w:rPr>
          <w:rFonts w:hint="eastAsia" w:ascii="宋体" w:hAnsi="宋体" w:eastAsia="宋体" w:cs="宋体"/>
          <w:color w:val="auto"/>
          <w:sz w:val="21"/>
          <w:szCs w:val="21"/>
          <w:highlight w:val="none"/>
        </w:rPr>
        <w:t>3</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z w:val="21"/>
          <w:szCs w:val="21"/>
          <w:highlight w:val="none"/>
        </w:rPr>
        <w:t>项</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所规定的最低资质等级条件，并应具备以往类似项目经验和人员、技术等方面有能力执行上述项目。</w:t>
      </w:r>
    </w:p>
    <w:p>
      <w:pPr>
        <w:pStyle w:val="6"/>
        <w:numPr>
          <w:ilvl w:val="0"/>
          <w:numId w:val="3"/>
        </w:numPr>
        <w:tabs>
          <w:tab w:val="left" w:pos="838"/>
        </w:tabs>
        <w:spacing w:before="1" w:after="0" w:line="240" w:lineRule="auto"/>
        <w:ind w:left="837" w:right="0" w:hanging="320"/>
        <w:jc w:val="left"/>
        <w:rPr>
          <w:rFonts w:hint="eastAsia" w:ascii="宋体" w:hAnsi="宋体" w:eastAsia="宋体" w:cs="宋体"/>
          <w:color w:val="auto"/>
          <w:sz w:val="21"/>
          <w:szCs w:val="21"/>
          <w:highlight w:val="none"/>
        </w:rPr>
      </w:pPr>
      <w:bookmarkStart w:id="55" w:name="4. 磋商费用"/>
      <w:bookmarkEnd w:id="55"/>
      <w:bookmarkStart w:id="56" w:name="_bookmark5"/>
      <w:bookmarkEnd w:id="56"/>
      <w:r>
        <w:rPr>
          <w:rFonts w:hint="eastAsia" w:ascii="宋体" w:hAnsi="宋体" w:eastAsia="宋体" w:cs="宋体"/>
          <w:color w:val="auto"/>
          <w:sz w:val="21"/>
          <w:szCs w:val="21"/>
          <w:highlight w:val="none"/>
        </w:rPr>
        <w:t>磋商费用</w:t>
      </w:r>
    </w:p>
    <w:p>
      <w:pPr>
        <w:pStyle w:val="19"/>
        <w:numPr>
          <w:ilvl w:val="1"/>
          <w:numId w:val="3"/>
        </w:numPr>
        <w:tabs>
          <w:tab w:val="left" w:pos="1452"/>
        </w:tabs>
        <w:spacing w:before="0" w:after="0" w:line="280"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供应商应承担其响应文件编制与递交所涉及的一切费用。在任何情况下采购代</w:t>
      </w:r>
      <w:r>
        <w:rPr>
          <w:rFonts w:hint="eastAsia" w:ascii="宋体" w:hAnsi="宋体" w:eastAsia="宋体" w:cs="宋体"/>
          <w:color w:val="auto"/>
          <w:sz w:val="21"/>
          <w:szCs w:val="21"/>
          <w:highlight w:val="none"/>
        </w:rPr>
        <w:t>理机构及采购人对上述费用均不负任何责任。</w:t>
      </w:r>
    </w:p>
    <w:p>
      <w:pPr>
        <w:pStyle w:val="6"/>
        <w:numPr>
          <w:ilvl w:val="0"/>
          <w:numId w:val="3"/>
        </w:numPr>
        <w:tabs>
          <w:tab w:val="left" w:pos="838"/>
        </w:tabs>
        <w:spacing w:before="0" w:after="0" w:line="240" w:lineRule="auto"/>
        <w:ind w:left="837" w:right="0" w:hanging="320"/>
        <w:jc w:val="left"/>
        <w:rPr>
          <w:rFonts w:hint="eastAsia" w:ascii="宋体" w:hAnsi="宋体" w:eastAsia="宋体" w:cs="宋体"/>
          <w:color w:val="auto"/>
          <w:sz w:val="21"/>
          <w:szCs w:val="21"/>
          <w:highlight w:val="none"/>
        </w:rPr>
      </w:pPr>
      <w:bookmarkStart w:id="57" w:name="5. 现场考察"/>
      <w:bookmarkEnd w:id="57"/>
      <w:bookmarkStart w:id="58" w:name="_bookmark6"/>
      <w:bookmarkEnd w:id="58"/>
      <w:r>
        <w:rPr>
          <w:rFonts w:hint="eastAsia" w:ascii="宋体" w:hAnsi="宋体" w:eastAsia="宋体" w:cs="宋体"/>
          <w:color w:val="auto"/>
          <w:sz w:val="21"/>
          <w:szCs w:val="21"/>
          <w:highlight w:val="none"/>
        </w:rPr>
        <w:t>现场考察</w:t>
      </w:r>
    </w:p>
    <w:p>
      <w:pPr>
        <w:pStyle w:val="19"/>
        <w:numPr>
          <w:ilvl w:val="1"/>
          <w:numId w:val="3"/>
        </w:numPr>
        <w:tabs>
          <w:tab w:val="left" w:pos="1392"/>
        </w:tabs>
        <w:spacing w:before="0" w:after="0" w:line="280"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供应商自行对项目现场和周围环境进行考察，以获取有关编制响应文件和签署</w:t>
      </w:r>
      <w:r>
        <w:rPr>
          <w:rFonts w:hint="eastAsia" w:ascii="宋体" w:hAnsi="宋体" w:eastAsia="宋体" w:cs="宋体"/>
          <w:color w:val="auto"/>
          <w:spacing w:val="-4"/>
          <w:sz w:val="21"/>
          <w:szCs w:val="21"/>
          <w:highlight w:val="none"/>
        </w:rPr>
        <w:t>实施本项目合同所需的各种资料。供应商应承担现场考察的责任和风险。考察现场所发</w:t>
      </w:r>
      <w:r>
        <w:rPr>
          <w:rFonts w:hint="eastAsia" w:ascii="宋体" w:hAnsi="宋体" w:eastAsia="宋体" w:cs="宋体"/>
          <w:color w:val="auto"/>
          <w:sz w:val="21"/>
          <w:szCs w:val="21"/>
          <w:highlight w:val="none"/>
        </w:rPr>
        <w:t>生的一切费用均由供应商自行承担。</w:t>
      </w:r>
    </w:p>
    <w:p>
      <w:pPr>
        <w:pStyle w:val="19"/>
        <w:numPr>
          <w:ilvl w:val="0"/>
          <w:numId w:val="3"/>
        </w:numPr>
        <w:tabs>
          <w:tab w:val="left" w:pos="762"/>
        </w:tabs>
        <w:spacing w:before="32" w:after="0" w:line="240" w:lineRule="auto"/>
        <w:ind w:left="761" w:right="0" w:hanging="244"/>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联合体竞标：</w:t>
      </w:r>
    </w:p>
    <w:p>
      <w:pPr>
        <w:pStyle w:val="19"/>
        <w:numPr>
          <w:ilvl w:val="1"/>
          <w:numId w:val="3"/>
        </w:numPr>
        <w:tabs>
          <w:tab w:val="left" w:pos="1419"/>
        </w:tabs>
        <w:spacing w:before="93" w:after="0" w:line="240" w:lineRule="auto"/>
        <w:ind w:left="1418" w:right="0" w:hanging="42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本项目不接受联合体竞标。</w:t>
      </w:r>
    </w:p>
    <w:p>
      <w:pPr>
        <w:pStyle w:val="19"/>
        <w:numPr>
          <w:ilvl w:val="1"/>
          <w:numId w:val="3"/>
        </w:numPr>
        <w:tabs>
          <w:tab w:val="left" w:pos="1419"/>
        </w:tabs>
        <w:spacing w:before="93" w:after="0" w:line="312" w:lineRule="auto"/>
        <w:ind w:left="518" w:right="398"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根据《政府采购促进中小企业发展暂行办法》第六条规定，“鼓励大中型企业</w:t>
      </w:r>
      <w:r>
        <w:rPr>
          <w:rFonts w:hint="eastAsia" w:ascii="宋体" w:hAnsi="宋体" w:eastAsia="宋体" w:cs="宋体"/>
          <w:color w:val="auto"/>
          <w:spacing w:val="-6"/>
          <w:sz w:val="21"/>
          <w:szCs w:val="21"/>
          <w:highlight w:val="none"/>
        </w:rPr>
        <w:t>和其他自然人、法人或者其他组织与小型、微型企业组成联合体共同参加非专门面向中</w:t>
      </w:r>
      <w:r>
        <w:rPr>
          <w:rFonts w:hint="eastAsia" w:ascii="宋体" w:hAnsi="宋体" w:eastAsia="宋体" w:cs="宋体"/>
          <w:color w:val="auto"/>
          <w:spacing w:val="-10"/>
          <w:sz w:val="21"/>
          <w:szCs w:val="21"/>
          <w:highlight w:val="none"/>
        </w:rPr>
        <w:t>小企业的政府采购活动。联合协议中约定，小型、微型企业的协议合同金额占到联合体</w:t>
      </w:r>
      <w:r>
        <w:rPr>
          <w:rFonts w:hint="eastAsia" w:ascii="宋体" w:hAnsi="宋体" w:eastAsia="宋体" w:cs="宋体"/>
          <w:color w:val="auto"/>
          <w:spacing w:val="-17"/>
          <w:sz w:val="21"/>
          <w:szCs w:val="21"/>
          <w:highlight w:val="none"/>
        </w:rPr>
        <w:t xml:space="preserve">协议合同总金额 </w:t>
      </w:r>
      <w:r>
        <w:rPr>
          <w:rFonts w:hint="eastAsia" w:ascii="宋体" w:hAnsi="宋体" w:eastAsia="宋体" w:cs="宋体"/>
          <w:color w:val="auto"/>
          <w:sz w:val="21"/>
          <w:szCs w:val="21"/>
          <w:highlight w:val="none"/>
        </w:rPr>
        <w:t>30%</w:t>
      </w:r>
      <w:r>
        <w:rPr>
          <w:rFonts w:hint="eastAsia" w:ascii="宋体" w:hAnsi="宋体" w:eastAsia="宋体" w:cs="宋体"/>
          <w:color w:val="auto"/>
          <w:spacing w:val="-6"/>
          <w:sz w:val="21"/>
          <w:szCs w:val="21"/>
          <w:highlight w:val="none"/>
        </w:rPr>
        <w:t xml:space="preserve">以上的，可给予联合体 </w:t>
      </w:r>
      <w:r>
        <w:rPr>
          <w:rFonts w:hint="eastAsia" w:ascii="宋体" w:hAnsi="宋体" w:eastAsia="宋体" w:cs="宋体"/>
          <w:color w:val="auto"/>
          <w:sz w:val="21"/>
          <w:szCs w:val="21"/>
          <w:highlight w:val="none"/>
        </w:rPr>
        <w:t>2%-3%的价格扣除。联合体各方均为小型、</w:t>
      </w:r>
      <w:r>
        <w:rPr>
          <w:rFonts w:hint="eastAsia" w:ascii="宋体" w:hAnsi="宋体" w:eastAsia="宋体" w:cs="宋体"/>
          <w:color w:val="auto"/>
          <w:spacing w:val="-15"/>
          <w:sz w:val="21"/>
          <w:szCs w:val="21"/>
          <w:highlight w:val="none"/>
        </w:rPr>
        <w:t>微型企业的，联合体视同为小型、微型企业享受本办法第四条、第五条规定的扶持政策。</w:t>
      </w:r>
      <w:r>
        <w:rPr>
          <w:rFonts w:hint="eastAsia" w:ascii="宋体" w:hAnsi="宋体" w:eastAsia="宋体" w:cs="宋体"/>
          <w:color w:val="auto"/>
          <w:spacing w:val="-3"/>
          <w:sz w:val="21"/>
          <w:szCs w:val="21"/>
          <w:highlight w:val="none"/>
        </w:rPr>
        <w:t>组成联合体的大中型企业和其他自然人、法人或者其他组织，与小型、微型企业之间不得存在投资关系。”</w:t>
      </w:r>
    </w:p>
    <w:p>
      <w:pPr>
        <w:pStyle w:val="19"/>
        <w:numPr>
          <w:ilvl w:val="0"/>
          <w:numId w:val="3"/>
        </w:numPr>
        <w:tabs>
          <w:tab w:val="left" w:pos="762"/>
        </w:tabs>
        <w:spacing w:before="0" w:after="0" w:line="240" w:lineRule="auto"/>
        <w:ind w:left="761" w:right="0" w:hanging="244"/>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转包与分包</w:t>
      </w:r>
    </w:p>
    <w:p>
      <w:pPr>
        <w:pStyle w:val="19"/>
        <w:numPr>
          <w:ilvl w:val="1"/>
          <w:numId w:val="3"/>
        </w:numPr>
        <w:tabs>
          <w:tab w:val="left" w:pos="1359"/>
        </w:tabs>
        <w:spacing w:before="94" w:after="0" w:line="240" w:lineRule="auto"/>
        <w:ind w:left="1358" w:right="0" w:hanging="42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本项目不允许转包。</w:t>
      </w:r>
    </w:p>
    <w:p>
      <w:pPr>
        <w:pStyle w:val="19"/>
        <w:numPr>
          <w:ilvl w:val="1"/>
          <w:numId w:val="3"/>
        </w:numPr>
        <w:tabs>
          <w:tab w:val="left" w:pos="1359"/>
        </w:tabs>
        <w:spacing w:before="93" w:after="0" w:line="240" w:lineRule="auto"/>
        <w:ind w:left="1358" w:right="0" w:hanging="42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本项目不可以分包。</w:t>
      </w:r>
    </w:p>
    <w:p>
      <w:pPr>
        <w:spacing w:after="0" w:line="240" w:lineRule="auto"/>
        <w:jc w:val="left"/>
        <w:rPr>
          <w:rFonts w:hint="eastAsia" w:ascii="宋体" w:hAnsi="宋体" w:eastAsia="宋体" w:cs="宋体"/>
          <w:color w:val="auto"/>
          <w:sz w:val="21"/>
          <w:szCs w:val="21"/>
          <w:highlight w:val="none"/>
        </w:rPr>
        <w:sectPr>
          <w:footerReference r:id="rId6" w:type="default"/>
          <w:pgSz w:w="11910" w:h="16840"/>
          <w:pgMar w:top="1300" w:right="900" w:bottom="1180" w:left="900" w:header="1100" w:footer="993" w:gutter="0"/>
          <w:pgNumType w:start="10"/>
        </w:sectPr>
      </w:pPr>
    </w:p>
    <w:p>
      <w:pPr>
        <w:pStyle w:val="19"/>
        <w:numPr>
          <w:ilvl w:val="0"/>
          <w:numId w:val="3"/>
        </w:numPr>
        <w:tabs>
          <w:tab w:val="left" w:pos="762"/>
        </w:tabs>
        <w:spacing w:before="67" w:after="0" w:line="240" w:lineRule="auto"/>
        <w:ind w:left="761" w:right="0" w:hanging="244"/>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pPr>
        <w:pStyle w:val="19"/>
        <w:numPr>
          <w:ilvl w:val="1"/>
          <w:numId w:val="3"/>
        </w:numPr>
        <w:tabs>
          <w:tab w:val="left" w:pos="1424"/>
        </w:tabs>
        <w:spacing w:before="93" w:after="0" w:line="312" w:lineRule="auto"/>
        <w:ind w:left="520" w:right="363" w:firstLine="480"/>
        <w:jc w:val="left"/>
        <w:rPr>
          <w:rFonts w:hint="eastAsia" w:ascii="宋体" w:hAnsi="宋体" w:eastAsia="宋体" w:cs="宋体"/>
          <w:b/>
          <w:color w:val="auto"/>
          <w:sz w:val="21"/>
          <w:szCs w:val="21"/>
          <w:highlight w:val="none"/>
        </w:rPr>
      </w:pPr>
      <w:r>
        <w:rPr>
          <w:rFonts w:hint="eastAsia" w:ascii="宋体" w:hAnsi="宋体" w:eastAsia="宋体" w:cs="宋体"/>
          <w:b/>
          <w:color w:val="auto"/>
          <w:spacing w:val="-10"/>
          <w:sz w:val="21"/>
          <w:szCs w:val="21"/>
          <w:highlight w:val="none"/>
        </w:rPr>
        <w:t>供应商投标所使用的资格、信誉、荣誉、业绩与企业认证必须为本法人所拥有。</w:t>
      </w:r>
      <w:r>
        <w:rPr>
          <w:rFonts w:hint="eastAsia" w:ascii="宋体" w:hAnsi="宋体" w:eastAsia="宋体" w:cs="宋体"/>
          <w:b/>
          <w:color w:val="auto"/>
          <w:spacing w:val="-14"/>
          <w:sz w:val="21"/>
          <w:szCs w:val="21"/>
          <w:highlight w:val="none"/>
        </w:rPr>
        <w:t>供应商投标所使用的采购项目实施人员必须为本法人员工</w:t>
      </w:r>
      <w:r>
        <w:rPr>
          <w:rFonts w:hint="eastAsia" w:ascii="宋体" w:hAnsi="宋体" w:eastAsia="宋体" w:cs="宋体"/>
          <w:b/>
          <w:color w:val="auto"/>
          <w:sz w:val="21"/>
          <w:szCs w:val="21"/>
          <w:highlight w:val="none"/>
        </w:rPr>
        <w:t>（或必须为本法人或控股公司正式员工）。</w:t>
      </w:r>
    </w:p>
    <w:p>
      <w:pPr>
        <w:pStyle w:val="19"/>
        <w:numPr>
          <w:ilvl w:val="1"/>
          <w:numId w:val="3"/>
        </w:numPr>
        <w:tabs>
          <w:tab w:val="left" w:pos="1424"/>
        </w:tabs>
        <w:spacing w:before="1" w:after="0" w:line="312" w:lineRule="auto"/>
        <w:ind w:left="520" w:right="458" w:firstLine="48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供应商应仔细阅读采购文件的所有内容，按照采购文件的要求提交响应文件， 并对所提供的全部资料的真实性承担法律责任。</w:t>
      </w:r>
    </w:p>
    <w:p>
      <w:pPr>
        <w:pStyle w:val="19"/>
        <w:numPr>
          <w:ilvl w:val="1"/>
          <w:numId w:val="3"/>
        </w:numPr>
        <w:tabs>
          <w:tab w:val="left" w:pos="1426"/>
        </w:tabs>
        <w:spacing w:before="0" w:after="0" w:line="312" w:lineRule="auto"/>
        <w:ind w:left="520" w:right="481" w:firstLine="480"/>
        <w:jc w:val="both"/>
        <w:rPr>
          <w:rFonts w:hint="eastAsia" w:ascii="宋体" w:hAnsi="宋体" w:eastAsia="宋体" w:cs="宋体"/>
          <w:b/>
          <w:color w:val="auto"/>
          <w:sz w:val="21"/>
          <w:szCs w:val="21"/>
          <w:highlight w:val="none"/>
        </w:rPr>
      </w:pPr>
      <w:r>
        <w:rPr>
          <w:rFonts w:hint="eastAsia" w:ascii="宋体" w:hAnsi="宋体" w:eastAsia="宋体" w:cs="宋体"/>
          <w:b/>
          <w:color w:val="auto"/>
          <w:spacing w:val="3"/>
          <w:w w:val="95"/>
          <w:sz w:val="21"/>
          <w:szCs w:val="21"/>
          <w:highlight w:val="none"/>
        </w:rPr>
        <w:t xml:space="preserve">供应商在投标活动中提供任何虚假材料,其投标无效，并报监管部门查处；中  </w:t>
      </w:r>
      <w:r>
        <w:rPr>
          <w:rFonts w:hint="eastAsia" w:ascii="宋体" w:hAnsi="宋体" w:eastAsia="宋体" w:cs="宋体"/>
          <w:b/>
          <w:color w:val="auto"/>
          <w:sz w:val="21"/>
          <w:szCs w:val="21"/>
          <w:highlight w:val="none"/>
        </w:rPr>
        <w:t>标后发现的,成交人须依照《中华人民共和国消费者权益保护法》规定赔偿采购人，且民事赔偿并不免除违法供应商的行政与刑事责任。</w:t>
      </w:r>
    </w:p>
    <w:p>
      <w:pPr>
        <w:pStyle w:val="19"/>
        <w:numPr>
          <w:ilvl w:val="1"/>
          <w:numId w:val="3"/>
        </w:numPr>
        <w:tabs>
          <w:tab w:val="left" w:pos="1424"/>
        </w:tabs>
        <w:spacing w:before="0" w:after="0" w:line="312" w:lineRule="auto"/>
        <w:ind w:left="520" w:right="483" w:firstLine="480"/>
        <w:jc w:val="both"/>
        <w:rPr>
          <w:rFonts w:hint="eastAsia" w:ascii="宋体" w:hAnsi="宋体" w:eastAsia="宋体" w:cs="宋体"/>
          <w:b/>
          <w:color w:val="auto"/>
          <w:sz w:val="21"/>
          <w:szCs w:val="21"/>
          <w:highlight w:val="none"/>
        </w:rPr>
      </w:pPr>
      <w:r>
        <w:rPr>
          <w:rFonts w:hint="eastAsia" w:ascii="宋体" w:hAnsi="宋体" w:eastAsia="宋体" w:cs="宋体"/>
          <w:b/>
          <w:color w:val="auto"/>
          <w:spacing w:val="-3"/>
          <w:sz w:val="21"/>
          <w:szCs w:val="21"/>
          <w:highlight w:val="none"/>
        </w:rPr>
        <w:t>在政府采购活动中，采购人员及相关人员与供应商有下列利害关系之一的，应当回避：</w:t>
      </w:r>
    </w:p>
    <w:p>
      <w:pPr>
        <w:pStyle w:val="19"/>
        <w:numPr>
          <w:ilvl w:val="0"/>
          <w:numId w:val="4"/>
        </w:numPr>
        <w:tabs>
          <w:tab w:val="left" w:pos="1602"/>
        </w:tabs>
        <w:spacing w:before="0" w:after="0" w:line="307" w:lineRule="exact"/>
        <w:ind w:left="1601" w:right="0" w:hanging="602"/>
        <w:jc w:val="left"/>
        <w:rPr>
          <w:rFonts w:hint="eastAsia" w:ascii="宋体" w:hAnsi="宋体" w:eastAsia="宋体" w:cs="宋体"/>
          <w:b/>
          <w:color w:val="auto"/>
          <w:sz w:val="21"/>
          <w:szCs w:val="21"/>
          <w:highlight w:val="none"/>
        </w:rPr>
      </w:pPr>
      <w:r>
        <w:rPr>
          <w:rFonts w:hint="eastAsia" w:ascii="宋体" w:hAnsi="宋体" w:eastAsia="宋体" w:cs="宋体"/>
          <w:b/>
          <w:color w:val="auto"/>
          <w:spacing w:val="-8"/>
          <w:sz w:val="21"/>
          <w:szCs w:val="21"/>
          <w:highlight w:val="none"/>
        </w:rPr>
        <w:t xml:space="preserve">参加采购活动前 </w:t>
      </w:r>
      <w:r>
        <w:rPr>
          <w:rFonts w:hint="eastAsia" w:ascii="宋体" w:hAnsi="宋体" w:eastAsia="宋体" w:cs="宋体"/>
          <w:b/>
          <w:color w:val="auto"/>
          <w:sz w:val="21"/>
          <w:szCs w:val="21"/>
          <w:highlight w:val="none"/>
        </w:rPr>
        <w:t>3</w:t>
      </w:r>
      <w:r>
        <w:rPr>
          <w:rFonts w:hint="eastAsia" w:ascii="宋体" w:hAnsi="宋体" w:eastAsia="宋体" w:cs="宋体"/>
          <w:b/>
          <w:color w:val="auto"/>
          <w:spacing w:val="-8"/>
          <w:sz w:val="21"/>
          <w:szCs w:val="21"/>
          <w:highlight w:val="none"/>
        </w:rPr>
        <w:t xml:space="preserve"> 年内与供应商存在劳动关系；</w:t>
      </w:r>
    </w:p>
    <w:p>
      <w:pPr>
        <w:pStyle w:val="19"/>
        <w:numPr>
          <w:ilvl w:val="0"/>
          <w:numId w:val="4"/>
        </w:numPr>
        <w:tabs>
          <w:tab w:val="left" w:pos="1602"/>
        </w:tabs>
        <w:spacing w:before="93" w:after="0" w:line="240" w:lineRule="auto"/>
        <w:ind w:left="1601" w:right="0" w:hanging="602"/>
        <w:jc w:val="left"/>
        <w:rPr>
          <w:rFonts w:hint="eastAsia" w:ascii="宋体" w:hAnsi="宋体" w:eastAsia="宋体" w:cs="宋体"/>
          <w:b/>
          <w:color w:val="auto"/>
          <w:sz w:val="21"/>
          <w:szCs w:val="21"/>
          <w:highlight w:val="none"/>
        </w:rPr>
      </w:pPr>
      <w:r>
        <w:rPr>
          <w:rFonts w:hint="eastAsia" w:ascii="宋体" w:hAnsi="宋体" w:eastAsia="宋体" w:cs="宋体"/>
          <w:b/>
          <w:color w:val="auto"/>
          <w:spacing w:val="-8"/>
          <w:sz w:val="21"/>
          <w:szCs w:val="21"/>
          <w:highlight w:val="none"/>
        </w:rPr>
        <w:t xml:space="preserve">参加采购活动前 </w:t>
      </w:r>
      <w:r>
        <w:rPr>
          <w:rFonts w:hint="eastAsia" w:ascii="宋体" w:hAnsi="宋体" w:eastAsia="宋体" w:cs="宋体"/>
          <w:b/>
          <w:color w:val="auto"/>
          <w:sz w:val="21"/>
          <w:szCs w:val="21"/>
          <w:highlight w:val="none"/>
        </w:rPr>
        <w:t>3</w:t>
      </w:r>
      <w:r>
        <w:rPr>
          <w:rFonts w:hint="eastAsia" w:ascii="宋体" w:hAnsi="宋体" w:eastAsia="宋体" w:cs="宋体"/>
          <w:b/>
          <w:color w:val="auto"/>
          <w:spacing w:val="-8"/>
          <w:sz w:val="21"/>
          <w:szCs w:val="21"/>
          <w:highlight w:val="none"/>
        </w:rPr>
        <w:t xml:space="preserve"> 年内担任供应商的董事、监事；</w:t>
      </w:r>
    </w:p>
    <w:p>
      <w:pPr>
        <w:pStyle w:val="19"/>
        <w:numPr>
          <w:ilvl w:val="0"/>
          <w:numId w:val="4"/>
        </w:numPr>
        <w:tabs>
          <w:tab w:val="left" w:pos="1602"/>
        </w:tabs>
        <w:spacing w:before="94" w:after="0" w:line="240" w:lineRule="auto"/>
        <w:ind w:left="1601" w:right="0" w:hanging="602"/>
        <w:jc w:val="left"/>
        <w:rPr>
          <w:rFonts w:hint="eastAsia" w:ascii="宋体" w:hAnsi="宋体" w:eastAsia="宋体" w:cs="宋体"/>
          <w:b/>
          <w:color w:val="auto"/>
          <w:sz w:val="21"/>
          <w:szCs w:val="21"/>
          <w:highlight w:val="none"/>
        </w:rPr>
      </w:pPr>
      <w:r>
        <w:rPr>
          <w:rFonts w:hint="eastAsia" w:ascii="宋体" w:hAnsi="宋体" w:eastAsia="宋体" w:cs="宋体"/>
          <w:b/>
          <w:color w:val="auto"/>
          <w:spacing w:val="-8"/>
          <w:sz w:val="21"/>
          <w:szCs w:val="21"/>
          <w:highlight w:val="none"/>
        </w:rPr>
        <w:t xml:space="preserve">参加采购活动前 </w:t>
      </w:r>
      <w:r>
        <w:rPr>
          <w:rFonts w:hint="eastAsia" w:ascii="宋体" w:hAnsi="宋体" w:eastAsia="宋体" w:cs="宋体"/>
          <w:b/>
          <w:color w:val="auto"/>
          <w:sz w:val="21"/>
          <w:szCs w:val="21"/>
          <w:highlight w:val="none"/>
        </w:rPr>
        <w:t>3</w:t>
      </w:r>
      <w:r>
        <w:rPr>
          <w:rFonts w:hint="eastAsia" w:ascii="宋体" w:hAnsi="宋体" w:eastAsia="宋体" w:cs="宋体"/>
          <w:b/>
          <w:color w:val="auto"/>
          <w:spacing w:val="-8"/>
          <w:sz w:val="21"/>
          <w:szCs w:val="21"/>
          <w:highlight w:val="none"/>
        </w:rPr>
        <w:t xml:space="preserve"> 年内是供应商的控股股东或者实际控制人；</w:t>
      </w:r>
    </w:p>
    <w:p>
      <w:pPr>
        <w:pStyle w:val="19"/>
        <w:numPr>
          <w:ilvl w:val="0"/>
          <w:numId w:val="4"/>
        </w:numPr>
        <w:tabs>
          <w:tab w:val="left" w:pos="1608"/>
        </w:tabs>
        <w:spacing w:before="91" w:after="0" w:line="312" w:lineRule="auto"/>
        <w:ind w:left="520" w:right="483" w:firstLine="48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与供应商的法定代表人或者负责人有夫妻、直系血亲、三代以内旁系血亲或者近姻亲关系；</w:t>
      </w:r>
    </w:p>
    <w:p>
      <w:pPr>
        <w:pStyle w:val="19"/>
        <w:numPr>
          <w:ilvl w:val="0"/>
          <w:numId w:val="4"/>
        </w:numPr>
        <w:tabs>
          <w:tab w:val="left" w:pos="1602"/>
        </w:tabs>
        <w:spacing w:before="2" w:after="0" w:line="240" w:lineRule="auto"/>
        <w:ind w:left="1601" w:right="0" w:hanging="60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与供应商有其他可能影响政府采购活动公平、公正进行的关系。</w:t>
      </w:r>
    </w:p>
    <w:p>
      <w:pPr>
        <w:spacing w:before="91" w:line="312" w:lineRule="auto"/>
        <w:ind w:left="520" w:right="483" w:firstLine="480"/>
        <w:jc w:val="both"/>
        <w:rPr>
          <w:rFonts w:hint="eastAsia" w:ascii="宋体" w:hAnsi="宋体" w:eastAsia="宋体" w:cs="宋体"/>
          <w:b/>
          <w:color w:val="auto"/>
          <w:sz w:val="21"/>
          <w:szCs w:val="21"/>
          <w:highlight w:val="none"/>
        </w:rPr>
      </w:pPr>
      <w:r>
        <w:rPr>
          <w:rFonts w:hint="eastAsia" w:ascii="宋体" w:hAnsi="宋体" w:eastAsia="宋体" w:cs="宋体"/>
          <w:b/>
          <w:color w:val="auto"/>
          <w:spacing w:val="-4"/>
          <w:sz w:val="21"/>
          <w:szCs w:val="21"/>
          <w:highlight w:val="none"/>
        </w:rPr>
        <w:t>供应商认为采购人员及相关人员与其他供应商有利害关系的，可以向采购人或者采</w:t>
      </w:r>
      <w:r>
        <w:rPr>
          <w:rFonts w:hint="eastAsia" w:ascii="宋体" w:hAnsi="宋体" w:eastAsia="宋体" w:cs="宋体"/>
          <w:b/>
          <w:color w:val="auto"/>
          <w:spacing w:val="-9"/>
          <w:sz w:val="21"/>
          <w:szCs w:val="21"/>
          <w:highlight w:val="none"/>
        </w:rPr>
        <w:t>购代理机构书面提出回避申请，并说明理由。采购人或者采购代理机构应当及时询问被申请回避人员，有利害关系的被申请回避人员应当回避。</w:t>
      </w:r>
    </w:p>
    <w:p>
      <w:pPr>
        <w:pStyle w:val="19"/>
        <w:numPr>
          <w:ilvl w:val="1"/>
          <w:numId w:val="3"/>
        </w:numPr>
        <w:tabs>
          <w:tab w:val="left" w:pos="1397"/>
        </w:tabs>
        <w:spacing w:before="0" w:after="0" w:line="240" w:lineRule="auto"/>
        <w:ind w:left="1396" w:right="0" w:hanging="397"/>
        <w:jc w:val="both"/>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rPr>
        <w:t>关联供应商不得参加同一合同项下政府采购活动，否则响应文件将被视为无效：</w:t>
      </w:r>
    </w:p>
    <w:p>
      <w:pPr>
        <w:pStyle w:val="19"/>
        <w:numPr>
          <w:ilvl w:val="0"/>
          <w:numId w:val="5"/>
        </w:numPr>
        <w:tabs>
          <w:tab w:val="left" w:pos="1608"/>
        </w:tabs>
        <w:spacing w:before="94" w:after="0" w:line="312" w:lineRule="auto"/>
        <w:ind w:left="520" w:right="483" w:firstLine="48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单位负责人为同一人或者存在直接控股、管理关系的不同的供应商，不得参加同一合同项下的政府采购活动；</w:t>
      </w:r>
    </w:p>
    <w:p>
      <w:pPr>
        <w:pStyle w:val="19"/>
        <w:numPr>
          <w:ilvl w:val="0"/>
          <w:numId w:val="5"/>
        </w:numPr>
        <w:tabs>
          <w:tab w:val="left" w:pos="1608"/>
        </w:tabs>
        <w:spacing w:before="0" w:after="0" w:line="312" w:lineRule="auto"/>
        <w:ind w:left="520" w:right="483" w:firstLine="48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生产厂商授权给供应商后自己不得参加同一合同项下的政府采购活动；生产厂商对同一品牌同一型号的货物，仅能委托一个代理商参加投标。</w:t>
      </w:r>
    </w:p>
    <w:p>
      <w:pPr>
        <w:pStyle w:val="19"/>
        <w:numPr>
          <w:ilvl w:val="0"/>
          <w:numId w:val="3"/>
        </w:numPr>
        <w:tabs>
          <w:tab w:val="left" w:pos="762"/>
        </w:tabs>
        <w:spacing w:before="1" w:after="0" w:line="240" w:lineRule="auto"/>
        <w:ind w:left="761" w:right="0" w:hanging="244"/>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质疑和投诉</w:t>
      </w:r>
    </w:p>
    <w:p>
      <w:pPr>
        <w:pStyle w:val="19"/>
        <w:numPr>
          <w:ilvl w:val="1"/>
          <w:numId w:val="3"/>
        </w:numPr>
        <w:tabs>
          <w:tab w:val="left" w:pos="1419"/>
        </w:tabs>
        <w:spacing w:before="91" w:after="0" w:line="312" w:lineRule="auto"/>
        <w:ind w:left="518" w:right="483"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供应商认为采购文件、采购过程或成交结果使自己的合法权益受到损害的，应</w:t>
      </w:r>
      <w:r>
        <w:rPr>
          <w:rFonts w:hint="eastAsia" w:ascii="宋体" w:hAnsi="宋体" w:eastAsia="宋体" w:cs="宋体"/>
          <w:color w:val="auto"/>
          <w:spacing w:val="-2"/>
          <w:sz w:val="21"/>
          <w:szCs w:val="21"/>
          <w:highlight w:val="none"/>
        </w:rPr>
        <w:t>当在知道或者应知其权益受到损害之日起七个工作日内，以书面形式向采购人、采购代</w:t>
      </w:r>
      <w:r>
        <w:rPr>
          <w:rFonts w:hint="eastAsia" w:ascii="宋体" w:hAnsi="宋体" w:eastAsia="宋体" w:cs="宋体"/>
          <w:color w:val="auto"/>
          <w:spacing w:val="-7"/>
          <w:sz w:val="21"/>
          <w:szCs w:val="21"/>
          <w:highlight w:val="none"/>
        </w:rPr>
        <w:t>理机构提出质疑。提出质疑的供应商应当是参与所质疑项目采购活动的供应商，</w:t>
      </w:r>
      <w:r>
        <w:rPr>
          <w:rFonts w:hint="eastAsia" w:ascii="宋体" w:hAnsi="宋体" w:eastAsia="宋体" w:cs="宋体"/>
          <w:b/>
          <w:color w:val="auto"/>
          <w:sz w:val="21"/>
          <w:szCs w:val="21"/>
          <w:highlight w:val="none"/>
        </w:rPr>
        <w:t>其必须</w:t>
      </w:r>
      <w:r>
        <w:rPr>
          <w:rFonts w:hint="eastAsia" w:ascii="宋体" w:hAnsi="宋体" w:eastAsia="宋体" w:cs="宋体"/>
          <w:b/>
          <w:color w:val="auto"/>
          <w:spacing w:val="-4"/>
          <w:sz w:val="21"/>
          <w:szCs w:val="21"/>
          <w:highlight w:val="none"/>
        </w:rPr>
        <w:t>在法定质疑期内一次性提出针对同一采购程序环节的质疑。供应商对同一采购程序环节</w:t>
      </w:r>
      <w:r>
        <w:rPr>
          <w:rFonts w:hint="eastAsia" w:ascii="宋体" w:hAnsi="宋体" w:eastAsia="宋体" w:cs="宋体"/>
          <w:b/>
          <w:color w:val="auto"/>
          <w:spacing w:val="-8"/>
          <w:sz w:val="21"/>
          <w:szCs w:val="21"/>
          <w:highlight w:val="none"/>
        </w:rPr>
        <w:t>多次提出质疑的，采购代理机构将不予受理。</w:t>
      </w:r>
      <w:r>
        <w:rPr>
          <w:rFonts w:hint="eastAsia" w:ascii="宋体" w:hAnsi="宋体" w:eastAsia="宋体" w:cs="宋体"/>
          <w:color w:val="auto"/>
          <w:spacing w:val="-3"/>
          <w:sz w:val="21"/>
          <w:szCs w:val="21"/>
          <w:highlight w:val="none"/>
        </w:rPr>
        <w:t>且其质疑行为和质疑函内容应当符合《政府采购质疑和投诉办法》（</w:t>
      </w:r>
      <w:r>
        <w:rPr>
          <w:rFonts w:hint="eastAsia" w:ascii="宋体" w:hAnsi="宋体" w:eastAsia="宋体" w:cs="宋体"/>
          <w:color w:val="auto"/>
          <w:spacing w:val="-7"/>
          <w:sz w:val="21"/>
          <w:szCs w:val="21"/>
          <w:highlight w:val="none"/>
        </w:rPr>
        <w:t xml:space="preserve">中华人民共和国财政部令第 </w:t>
      </w:r>
      <w:r>
        <w:rPr>
          <w:rFonts w:hint="eastAsia" w:ascii="宋体" w:hAnsi="宋体" w:eastAsia="宋体" w:cs="宋体"/>
          <w:color w:val="auto"/>
          <w:sz w:val="21"/>
          <w:szCs w:val="21"/>
          <w:highlight w:val="none"/>
        </w:rPr>
        <w:t>94</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z w:val="21"/>
          <w:szCs w:val="21"/>
          <w:highlight w:val="none"/>
        </w:rPr>
        <w:t>号）规定。质疑具体计算时间节点如下：</w:t>
      </w:r>
    </w:p>
    <w:p>
      <w:pPr>
        <w:pStyle w:val="19"/>
        <w:numPr>
          <w:ilvl w:val="0"/>
          <w:numId w:val="6"/>
        </w:numPr>
        <w:tabs>
          <w:tab w:val="left" w:pos="1600"/>
        </w:tabs>
        <w:spacing w:before="3" w:after="0" w:line="240" w:lineRule="auto"/>
        <w:ind w:left="1599" w:right="0" w:hanging="60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对可以质疑的采购文件提出质疑的，为收到采购文件之日；</w:t>
      </w:r>
    </w:p>
    <w:p>
      <w:pPr>
        <w:pStyle w:val="19"/>
        <w:numPr>
          <w:ilvl w:val="0"/>
          <w:numId w:val="6"/>
        </w:numPr>
        <w:tabs>
          <w:tab w:val="left" w:pos="1600"/>
        </w:tabs>
        <w:spacing w:before="93" w:after="0" w:line="240" w:lineRule="auto"/>
        <w:ind w:left="1599" w:right="0" w:hanging="60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对采购过程提出质疑的，为各采购程序环节结束之日；</w:t>
      </w:r>
    </w:p>
    <w:p>
      <w:pPr>
        <w:spacing w:after="0" w:line="240" w:lineRule="auto"/>
        <w:jc w:val="left"/>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spacing w:before="4"/>
        <w:rPr>
          <w:rFonts w:hint="eastAsia" w:ascii="宋体" w:hAnsi="宋体" w:eastAsia="宋体" w:cs="宋体"/>
          <w:b/>
          <w:color w:val="auto"/>
          <w:sz w:val="21"/>
          <w:szCs w:val="21"/>
          <w:highlight w:val="none"/>
        </w:rPr>
      </w:pPr>
    </w:p>
    <w:p>
      <w:pPr>
        <w:pStyle w:val="19"/>
        <w:numPr>
          <w:ilvl w:val="0"/>
          <w:numId w:val="6"/>
        </w:numPr>
        <w:tabs>
          <w:tab w:val="left" w:pos="1600"/>
        </w:tabs>
        <w:spacing w:before="67" w:after="0" w:line="240" w:lineRule="auto"/>
        <w:ind w:left="1599" w:right="0" w:hanging="60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对成交结果提出质疑的，为成交结果公告期限届满之日。</w:t>
      </w:r>
    </w:p>
    <w:p>
      <w:pPr>
        <w:pStyle w:val="8"/>
        <w:spacing w:before="93" w:line="312"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供应商对采购人、采购代理机构的质疑答复不满意，或者采购人、采购代理机构未</w:t>
      </w:r>
      <w:r>
        <w:rPr>
          <w:rFonts w:hint="eastAsia" w:ascii="宋体" w:hAnsi="宋体" w:eastAsia="宋体" w:cs="宋体"/>
          <w:color w:val="auto"/>
          <w:spacing w:val="3"/>
          <w:sz w:val="21"/>
          <w:szCs w:val="21"/>
          <w:highlight w:val="none"/>
        </w:rPr>
        <w:t>在规定时间内作出答复的，可以在答复期满后十五个工作日内向同级财政部门提起投诉。</w:t>
      </w:r>
    </w:p>
    <w:p>
      <w:pPr>
        <w:pStyle w:val="19"/>
        <w:numPr>
          <w:ilvl w:val="1"/>
          <w:numId w:val="3"/>
        </w:numPr>
        <w:tabs>
          <w:tab w:val="left" w:pos="1419"/>
        </w:tabs>
        <w:spacing w:before="1" w:after="0" w:line="312" w:lineRule="auto"/>
        <w:ind w:left="518" w:right="518"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质疑、投诉应当采用书面形式，质疑书、投诉书均应明确阐述采购文件、采购</w:t>
      </w:r>
      <w:r>
        <w:rPr>
          <w:rFonts w:hint="eastAsia" w:ascii="宋体" w:hAnsi="宋体" w:eastAsia="宋体" w:cs="宋体"/>
          <w:color w:val="auto"/>
          <w:spacing w:val="-3"/>
          <w:sz w:val="21"/>
          <w:szCs w:val="21"/>
          <w:highlight w:val="none"/>
        </w:rPr>
        <w:t>过程或成交结果中使自己合法权益受到损害的实质性内容，提供相关事实、依据和证据</w:t>
      </w:r>
      <w:r>
        <w:rPr>
          <w:rFonts w:hint="eastAsia" w:ascii="宋体" w:hAnsi="宋体" w:eastAsia="宋体" w:cs="宋体"/>
          <w:color w:val="auto"/>
          <w:sz w:val="21"/>
          <w:szCs w:val="21"/>
          <w:highlight w:val="none"/>
        </w:rPr>
        <w:t>及其来源或线索，便于有关单位调查、答复和处理。</w:t>
      </w:r>
    </w:p>
    <w:p>
      <w:pPr>
        <w:pStyle w:val="19"/>
        <w:numPr>
          <w:ilvl w:val="1"/>
          <w:numId w:val="3"/>
        </w:numPr>
        <w:tabs>
          <w:tab w:val="left" w:pos="1419"/>
        </w:tabs>
        <w:spacing w:before="0" w:after="0" w:line="312" w:lineRule="auto"/>
        <w:ind w:left="518" w:right="398"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 xml:space="preserve">接收质疑函的方式：接收供应商或其委托代理人以书面形式递交的质疑函原件， </w:t>
      </w:r>
      <w:r>
        <w:rPr>
          <w:rFonts w:hint="eastAsia" w:ascii="宋体" w:hAnsi="宋体" w:eastAsia="宋体" w:cs="宋体"/>
          <w:color w:val="auto"/>
          <w:sz w:val="21"/>
          <w:szCs w:val="21"/>
          <w:highlight w:val="none"/>
        </w:rPr>
        <w:t>委托代理人提出质疑的，还应当提交供应商签署的授权委托书。</w:t>
      </w:r>
    </w:p>
    <w:p>
      <w:pPr>
        <w:pStyle w:val="8"/>
        <w:spacing w:line="312" w:lineRule="auto"/>
        <w:ind w:left="998" w:right="241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联系部门：</w:t>
      </w:r>
      <w:r>
        <w:rPr>
          <w:rFonts w:hint="eastAsia" w:ascii="宋体" w:hAnsi="宋体" w:eastAsia="宋体" w:cs="宋体"/>
          <w:color w:val="auto"/>
          <w:sz w:val="21"/>
          <w:szCs w:val="21"/>
          <w:highlight w:val="none"/>
          <w:lang w:eastAsia="zh-CN"/>
        </w:rPr>
        <w:t>广西建隆工程咨询有限公司</w:t>
      </w:r>
    </w:p>
    <w:p>
      <w:pPr>
        <w:pStyle w:val="8"/>
        <w:spacing w:line="312" w:lineRule="auto"/>
        <w:ind w:left="998" w:right="526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0771-7960670</w:t>
      </w:r>
    </w:p>
    <w:p>
      <w:pPr>
        <w:pStyle w:val="8"/>
        <w:spacing w:line="307" w:lineRule="exact"/>
        <w:ind w:left="99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通讯地址：广西</w:t>
      </w:r>
      <w:r>
        <w:rPr>
          <w:rFonts w:hint="eastAsia" w:ascii="宋体" w:hAnsi="宋体" w:eastAsia="宋体" w:cs="宋体"/>
          <w:color w:val="auto"/>
          <w:sz w:val="21"/>
          <w:szCs w:val="21"/>
          <w:highlight w:val="none"/>
          <w:lang w:eastAsia="zh-CN"/>
        </w:rPr>
        <w:t>崇左市花山路与城南八路交叉口万沣名车城4楼406室</w:t>
      </w:r>
    </w:p>
    <w:p>
      <w:pPr>
        <w:pStyle w:val="8"/>
        <w:rPr>
          <w:rFonts w:hint="eastAsia" w:ascii="宋体" w:hAnsi="宋体" w:eastAsia="宋体" w:cs="宋体"/>
          <w:color w:val="auto"/>
          <w:sz w:val="21"/>
          <w:szCs w:val="21"/>
          <w:highlight w:val="none"/>
        </w:rPr>
      </w:pPr>
    </w:p>
    <w:p>
      <w:pPr>
        <w:pStyle w:val="8"/>
        <w:spacing w:before="1"/>
        <w:rPr>
          <w:rFonts w:hint="eastAsia" w:ascii="宋体" w:hAnsi="宋体" w:eastAsia="宋体" w:cs="宋体"/>
          <w:color w:val="auto"/>
          <w:sz w:val="21"/>
          <w:szCs w:val="21"/>
          <w:highlight w:val="none"/>
        </w:rPr>
      </w:pPr>
    </w:p>
    <w:p>
      <w:pPr>
        <w:pStyle w:val="5"/>
        <w:spacing w:before="1"/>
        <w:ind w:left="636"/>
        <w:rPr>
          <w:rFonts w:hint="eastAsia" w:ascii="宋体" w:hAnsi="宋体" w:eastAsia="宋体" w:cs="宋体"/>
          <w:color w:val="auto"/>
          <w:sz w:val="32"/>
          <w:szCs w:val="32"/>
          <w:highlight w:val="none"/>
        </w:rPr>
      </w:pPr>
      <w:bookmarkStart w:id="59" w:name="_bookmark7"/>
      <w:bookmarkEnd w:id="59"/>
      <w:bookmarkStart w:id="60" w:name="二、磋商文件"/>
      <w:bookmarkEnd w:id="60"/>
      <w:r>
        <w:rPr>
          <w:rFonts w:hint="eastAsia" w:ascii="宋体" w:hAnsi="宋体" w:eastAsia="宋体" w:cs="宋体"/>
          <w:color w:val="auto"/>
          <w:sz w:val="32"/>
          <w:szCs w:val="32"/>
          <w:highlight w:val="none"/>
        </w:rPr>
        <w:t>二、磋商文件</w:t>
      </w:r>
    </w:p>
    <w:p>
      <w:pPr>
        <w:pStyle w:val="8"/>
        <w:spacing w:before="9"/>
        <w:rPr>
          <w:rFonts w:hint="eastAsia" w:ascii="宋体" w:hAnsi="宋体" w:eastAsia="宋体" w:cs="宋体"/>
          <w:b/>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61" w:name="_bookmark8"/>
      <w:bookmarkEnd w:id="61"/>
      <w:bookmarkStart w:id="62" w:name="10. 磋商文件的内容"/>
      <w:bookmarkEnd w:id="62"/>
      <w:r>
        <w:rPr>
          <w:rFonts w:hint="eastAsia" w:ascii="宋体" w:hAnsi="宋体" w:eastAsia="宋体" w:cs="宋体"/>
          <w:color w:val="auto"/>
          <w:sz w:val="21"/>
          <w:szCs w:val="21"/>
          <w:highlight w:val="none"/>
        </w:rPr>
        <w:t>磋商文件的内容</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84"/>
        </w:tabs>
        <w:spacing w:before="0" w:after="0" w:line="360" w:lineRule="auto"/>
        <w:ind w:left="998" w:right="188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本合同的磋商文件包括下列文件及本公司发出的“补充修改书</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磋商公告</w:t>
      </w:r>
    </w:p>
    <w:p>
      <w:pPr>
        <w:pStyle w:val="8"/>
        <w:numPr>
          <w:ilvl w:val="0"/>
          <w:numId w:val="7"/>
        </w:numPr>
        <w:tabs>
          <w:tab w:val="left" w:pos="2198"/>
        </w:tabs>
        <w:spacing w:line="360" w:lineRule="auto"/>
        <w:ind w:left="998" w:right="5986"/>
        <w:rPr>
          <w:rFonts w:hint="eastAsia" w:ascii="宋体" w:hAnsi="宋体" w:eastAsia="宋体" w:cs="宋体"/>
          <w:color w:val="auto"/>
          <w:spacing w:val="-17"/>
          <w:sz w:val="21"/>
          <w:szCs w:val="21"/>
          <w:highlight w:val="none"/>
        </w:rPr>
      </w:pPr>
      <w:r>
        <w:rPr>
          <w:rFonts w:hint="eastAsia" w:ascii="宋体" w:hAnsi="宋体" w:eastAsia="宋体" w:cs="宋体"/>
          <w:color w:val="auto"/>
          <w:sz w:val="21"/>
          <w:szCs w:val="21"/>
          <w:highlight w:val="none"/>
        </w:rPr>
        <w:t>磋商须知及前附</w:t>
      </w:r>
      <w:r>
        <w:rPr>
          <w:rFonts w:hint="eastAsia" w:ascii="宋体" w:hAnsi="宋体" w:eastAsia="宋体" w:cs="宋体"/>
          <w:color w:val="auto"/>
          <w:spacing w:val="-17"/>
          <w:sz w:val="21"/>
          <w:szCs w:val="21"/>
          <w:highlight w:val="none"/>
        </w:rPr>
        <w:t>表</w:t>
      </w:r>
    </w:p>
    <w:p>
      <w:pPr>
        <w:pStyle w:val="8"/>
        <w:numPr>
          <w:numId w:val="0"/>
        </w:numPr>
        <w:tabs>
          <w:tab w:val="left" w:pos="2198"/>
        </w:tabs>
        <w:spacing w:line="360" w:lineRule="auto"/>
        <w:ind w:right="5986" w:rightChars="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项目服务要求</w:t>
      </w:r>
    </w:p>
    <w:p>
      <w:pPr>
        <w:pStyle w:val="8"/>
        <w:tabs>
          <w:tab w:val="left" w:pos="2198"/>
        </w:tabs>
        <w:spacing w:line="357" w:lineRule="auto"/>
        <w:ind w:left="998" w:right="6226"/>
        <w:rPr>
          <w:rFonts w:hint="eastAsia" w:ascii="宋体" w:hAnsi="宋体" w:eastAsia="宋体" w:cs="宋体"/>
          <w:color w:val="auto"/>
          <w:spacing w:val="-17"/>
          <w:sz w:val="21"/>
          <w:szCs w:val="21"/>
          <w:highlight w:val="none"/>
        </w:rPr>
      </w:pPr>
      <w:r>
        <w:rPr>
          <w:rFonts w:hint="eastAsia" w:ascii="宋体" w:hAnsi="宋体" w:eastAsia="宋体" w:cs="宋体"/>
          <w:color w:val="auto"/>
          <w:sz w:val="21"/>
          <w:szCs w:val="21"/>
          <w:highlight w:val="none"/>
        </w:rPr>
        <w:t>第三章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合同条款及格</w:t>
      </w:r>
      <w:r>
        <w:rPr>
          <w:rFonts w:hint="eastAsia" w:ascii="宋体" w:hAnsi="宋体" w:eastAsia="宋体" w:cs="宋体"/>
          <w:color w:val="auto"/>
          <w:spacing w:val="-17"/>
          <w:sz w:val="21"/>
          <w:szCs w:val="21"/>
          <w:highlight w:val="none"/>
        </w:rPr>
        <w:t>式</w:t>
      </w:r>
    </w:p>
    <w:p>
      <w:pPr>
        <w:pStyle w:val="8"/>
        <w:tabs>
          <w:tab w:val="left" w:pos="2198"/>
        </w:tabs>
        <w:spacing w:line="357" w:lineRule="auto"/>
        <w:ind w:left="998" w:right="6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响应文件格式</w:t>
      </w:r>
    </w:p>
    <w:p>
      <w:pPr>
        <w:pStyle w:val="8"/>
        <w:tabs>
          <w:tab w:val="left" w:pos="2198"/>
        </w:tabs>
        <w:spacing w:line="357" w:lineRule="auto"/>
        <w:ind w:left="998" w:right="6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评定成交标准</w:t>
      </w:r>
    </w:p>
    <w:p>
      <w:pPr>
        <w:pStyle w:val="8"/>
        <w:spacing w:before="11"/>
        <w:rPr>
          <w:rFonts w:hint="eastAsia" w:ascii="宋体" w:hAnsi="宋体" w:eastAsia="宋体" w:cs="宋体"/>
          <w:color w:val="auto"/>
          <w:sz w:val="21"/>
          <w:szCs w:val="21"/>
          <w:highlight w:val="none"/>
        </w:rPr>
      </w:pPr>
    </w:p>
    <w:p>
      <w:pPr>
        <w:pStyle w:val="6"/>
        <w:numPr>
          <w:ilvl w:val="0"/>
          <w:numId w:val="3"/>
        </w:numPr>
        <w:tabs>
          <w:tab w:val="left" w:pos="958"/>
        </w:tabs>
        <w:spacing w:before="0" w:after="0" w:line="240" w:lineRule="auto"/>
        <w:ind w:left="957" w:right="0" w:hanging="440"/>
        <w:jc w:val="left"/>
        <w:rPr>
          <w:rFonts w:hint="eastAsia" w:ascii="宋体" w:hAnsi="宋体" w:eastAsia="宋体" w:cs="宋体"/>
          <w:color w:val="auto"/>
          <w:sz w:val="21"/>
          <w:szCs w:val="21"/>
          <w:highlight w:val="none"/>
        </w:rPr>
      </w:pPr>
      <w:bookmarkStart w:id="63" w:name="11. 磋商文件的澄清"/>
      <w:bookmarkEnd w:id="63"/>
      <w:bookmarkStart w:id="64" w:name="_bookmark9"/>
      <w:bookmarkEnd w:id="64"/>
      <w:r>
        <w:rPr>
          <w:rFonts w:hint="eastAsia" w:ascii="宋体" w:hAnsi="宋体" w:eastAsia="宋体" w:cs="宋体"/>
          <w:color w:val="auto"/>
          <w:w w:val="95"/>
          <w:sz w:val="21"/>
          <w:szCs w:val="21"/>
          <w:highlight w:val="none"/>
        </w:rPr>
        <w:t>磋商文件的澄清</w:t>
      </w:r>
    </w:p>
    <w:p>
      <w:pPr>
        <w:pStyle w:val="8"/>
        <w:spacing w:before="6"/>
        <w:rPr>
          <w:rFonts w:hint="eastAsia" w:ascii="宋体" w:hAnsi="宋体" w:eastAsia="宋体" w:cs="宋体"/>
          <w:b/>
          <w:color w:val="auto"/>
          <w:sz w:val="21"/>
          <w:szCs w:val="21"/>
          <w:highlight w:val="none"/>
        </w:rPr>
      </w:pPr>
    </w:p>
    <w:p>
      <w:pPr>
        <w:pStyle w:val="8"/>
        <w:spacing w:before="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要求澄清磋商文件的供应商应以书面</w:t>
      </w:r>
      <w:r>
        <w:rPr>
          <w:rFonts w:hint="eastAsia" w:ascii="宋体" w:hAnsi="宋体" w:eastAsia="宋体" w:cs="宋体"/>
          <w:color w:val="auto"/>
          <w:sz w:val="21"/>
          <w:szCs w:val="21"/>
          <w:highlight w:val="none"/>
        </w:rPr>
        <w:t>（“书面”</w:t>
      </w:r>
      <w:r>
        <w:rPr>
          <w:rFonts w:hint="eastAsia" w:ascii="宋体" w:hAnsi="宋体" w:eastAsia="宋体" w:cs="宋体"/>
          <w:color w:val="auto"/>
          <w:spacing w:val="-9"/>
          <w:sz w:val="21"/>
          <w:szCs w:val="21"/>
          <w:highlight w:val="none"/>
        </w:rPr>
        <w:t>包括打印、印刷，也包括电传和</w:t>
      </w:r>
      <w:r>
        <w:rPr>
          <w:rFonts w:hint="eastAsia" w:ascii="宋体" w:hAnsi="宋体" w:eastAsia="宋体" w:cs="宋体"/>
          <w:color w:val="auto"/>
          <w:spacing w:val="-4"/>
          <w:sz w:val="21"/>
          <w:szCs w:val="21"/>
          <w:highlight w:val="none"/>
        </w:rPr>
        <w:t>传真，文本文件下同</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2"/>
          <w:sz w:val="21"/>
          <w:szCs w:val="21"/>
          <w:highlight w:val="none"/>
        </w:rPr>
        <w:t>形式按磋商文件中的地址通知采购人。采购人将对其在响应文件</w:t>
      </w:r>
      <w:r>
        <w:rPr>
          <w:rFonts w:hint="eastAsia" w:ascii="宋体" w:hAnsi="宋体" w:eastAsia="宋体" w:cs="宋体"/>
          <w:color w:val="auto"/>
          <w:spacing w:val="-6"/>
          <w:sz w:val="21"/>
          <w:szCs w:val="21"/>
          <w:highlight w:val="none"/>
        </w:rPr>
        <w:t xml:space="preserve">递交截止时间 </w:t>
      </w:r>
      <w:r>
        <w:rPr>
          <w:rFonts w:hint="eastAsia" w:ascii="宋体" w:hAnsi="宋体" w:eastAsia="宋体" w:cs="宋体"/>
          <w:color w:val="auto"/>
          <w:sz w:val="21"/>
          <w:szCs w:val="21"/>
          <w:highlight w:val="none"/>
        </w:rPr>
        <w:t>5</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3"/>
          <w:sz w:val="21"/>
          <w:szCs w:val="21"/>
          <w:highlight w:val="none"/>
        </w:rPr>
        <w:t>个日前收到的要求澄清的问题予以答复并转发给所有购买磋商文件的供应商（包括对要求澄清问题的说明，但不指明问题的来源）。</w:t>
      </w:r>
    </w:p>
    <w:p>
      <w:pPr>
        <w:pStyle w:val="6"/>
        <w:numPr>
          <w:ilvl w:val="0"/>
          <w:numId w:val="3"/>
        </w:numPr>
        <w:tabs>
          <w:tab w:val="left" w:pos="972"/>
        </w:tabs>
        <w:spacing w:before="77" w:after="0" w:line="240" w:lineRule="auto"/>
        <w:ind w:left="972" w:right="0" w:hanging="454"/>
        <w:jc w:val="left"/>
        <w:rPr>
          <w:rFonts w:hint="eastAsia" w:ascii="宋体" w:hAnsi="宋体" w:eastAsia="宋体" w:cs="宋体"/>
          <w:color w:val="auto"/>
          <w:sz w:val="21"/>
          <w:szCs w:val="21"/>
          <w:highlight w:val="none"/>
        </w:rPr>
      </w:pPr>
      <w:bookmarkStart w:id="65" w:name="_bookmark10"/>
      <w:bookmarkEnd w:id="65"/>
      <w:bookmarkStart w:id="66" w:name="12. 磋商文件的修正"/>
      <w:bookmarkEnd w:id="66"/>
      <w:r>
        <w:rPr>
          <w:rFonts w:hint="eastAsia" w:ascii="宋体" w:hAnsi="宋体" w:eastAsia="宋体" w:cs="宋体"/>
          <w:color w:val="auto"/>
          <w:sz w:val="21"/>
          <w:szCs w:val="21"/>
          <w:highlight w:val="none"/>
        </w:rPr>
        <w:t>磋商文件的修正</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24"/>
        </w:tabs>
        <w:spacing w:before="0" w:after="0" w:line="357"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 xml:space="preserve">在首次响应文件递交截止时间 </w:t>
      </w:r>
      <w:r>
        <w:rPr>
          <w:rFonts w:hint="eastAsia" w:ascii="宋体" w:hAnsi="宋体" w:eastAsia="宋体" w:cs="宋体"/>
          <w:color w:val="auto"/>
          <w:sz w:val="21"/>
          <w:szCs w:val="21"/>
          <w:highlight w:val="none"/>
        </w:rPr>
        <w:t>5</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1"/>
          <w:sz w:val="21"/>
          <w:szCs w:val="21"/>
          <w:highlight w:val="none"/>
        </w:rPr>
        <w:t>日前，采购人根据本次采购的需要，可以用补</w:t>
      </w:r>
      <w:r>
        <w:rPr>
          <w:rFonts w:hint="eastAsia" w:ascii="宋体" w:hAnsi="宋体" w:eastAsia="宋体" w:cs="宋体"/>
          <w:color w:val="auto"/>
          <w:spacing w:val="-6"/>
          <w:sz w:val="21"/>
          <w:szCs w:val="21"/>
          <w:highlight w:val="none"/>
        </w:rPr>
        <w:t xml:space="preserve">充修改书的方式修改磋商文件，不足 </w:t>
      </w:r>
      <w:r>
        <w:rPr>
          <w:rFonts w:hint="eastAsia" w:ascii="宋体" w:hAnsi="宋体" w:eastAsia="宋体" w:cs="宋体"/>
          <w:color w:val="auto"/>
          <w:sz w:val="21"/>
          <w:szCs w:val="21"/>
          <w:highlight w:val="none"/>
        </w:rPr>
        <w:t>5</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8"/>
          <w:sz w:val="21"/>
          <w:szCs w:val="21"/>
          <w:highlight w:val="none"/>
        </w:rPr>
        <w:t>日的，采购人、采购代理机构应当顺延提交首次</w:t>
      </w:r>
      <w:r>
        <w:rPr>
          <w:rFonts w:hint="eastAsia" w:ascii="宋体" w:hAnsi="宋体" w:eastAsia="宋体" w:cs="宋体"/>
          <w:color w:val="auto"/>
          <w:sz w:val="21"/>
          <w:szCs w:val="21"/>
          <w:highlight w:val="none"/>
        </w:rPr>
        <w:t>响应文件递交截止时间。</w:t>
      </w:r>
    </w:p>
    <w:p>
      <w:pPr>
        <w:pStyle w:val="19"/>
        <w:numPr>
          <w:ilvl w:val="1"/>
          <w:numId w:val="3"/>
        </w:numPr>
        <w:tabs>
          <w:tab w:val="left" w:pos="1587"/>
        </w:tabs>
        <w:spacing w:before="6" w:after="0" w:line="357"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据此发出的补充修改书将构成磋商文件的一部分。该补充修改书将以书面方</w:t>
      </w:r>
      <w:r>
        <w:rPr>
          <w:rFonts w:hint="eastAsia" w:ascii="宋体" w:hAnsi="宋体" w:eastAsia="宋体" w:cs="宋体"/>
          <w:color w:val="auto"/>
          <w:spacing w:val="-5"/>
          <w:sz w:val="21"/>
          <w:szCs w:val="21"/>
          <w:highlight w:val="none"/>
        </w:rPr>
        <w:t>式发给所有购买磋商文件的供应商，供应商应以书面方式通知采购人确认收到每一份补</w:t>
      </w:r>
      <w:r>
        <w:rPr>
          <w:rFonts w:hint="eastAsia" w:ascii="宋体" w:hAnsi="宋体" w:eastAsia="宋体" w:cs="宋体"/>
          <w:color w:val="auto"/>
          <w:sz w:val="21"/>
          <w:szCs w:val="21"/>
          <w:highlight w:val="none"/>
        </w:rPr>
        <w:t>充修改书。</w:t>
      </w:r>
    </w:p>
    <w:p>
      <w:pPr>
        <w:pStyle w:val="19"/>
        <w:numPr>
          <w:ilvl w:val="1"/>
          <w:numId w:val="3"/>
        </w:numPr>
        <w:tabs>
          <w:tab w:val="left" w:pos="1524"/>
        </w:tabs>
        <w:spacing w:before="5" w:after="0" w:line="357"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为了给供应商合理的时间，使他们在编制响应文件时把补充修改书内容考虑进</w:t>
      </w:r>
      <w:r>
        <w:rPr>
          <w:rFonts w:hint="eastAsia" w:ascii="宋体" w:hAnsi="宋体" w:eastAsia="宋体" w:cs="宋体"/>
          <w:color w:val="auto"/>
          <w:spacing w:val="-5"/>
          <w:sz w:val="21"/>
          <w:szCs w:val="21"/>
          <w:highlight w:val="none"/>
        </w:rPr>
        <w:t xml:space="preserve">去，采购人可以按照本须知第 </w:t>
      </w:r>
      <w:r>
        <w:rPr>
          <w:rFonts w:hint="eastAsia" w:ascii="宋体" w:hAnsi="宋体" w:eastAsia="宋体" w:cs="宋体"/>
          <w:color w:val="auto"/>
          <w:sz w:val="21"/>
          <w:szCs w:val="21"/>
          <w:highlight w:val="none"/>
        </w:rPr>
        <w:t>22.1</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款的规定，酌情延长响应文件递交截止时间。</w:t>
      </w:r>
    </w:p>
    <w:p>
      <w:pPr>
        <w:pStyle w:val="5"/>
        <w:spacing w:before="163"/>
        <w:rPr>
          <w:rFonts w:hint="eastAsia" w:ascii="宋体" w:hAnsi="宋体" w:eastAsia="宋体" w:cs="宋体"/>
          <w:color w:val="auto"/>
          <w:sz w:val="21"/>
          <w:szCs w:val="21"/>
          <w:highlight w:val="none"/>
        </w:rPr>
      </w:pPr>
      <w:bookmarkStart w:id="67" w:name="_bookmark11"/>
      <w:bookmarkEnd w:id="67"/>
      <w:bookmarkStart w:id="68" w:name="三、响应文件的编制"/>
      <w:bookmarkEnd w:id="68"/>
      <w:r>
        <w:rPr>
          <w:rFonts w:hint="eastAsia" w:ascii="宋体" w:hAnsi="宋体" w:eastAsia="宋体" w:cs="宋体"/>
          <w:color w:val="auto"/>
          <w:sz w:val="32"/>
          <w:szCs w:val="32"/>
          <w:highlight w:val="none"/>
        </w:rPr>
        <w:t>三、响应文件的编制</w:t>
      </w:r>
    </w:p>
    <w:p>
      <w:pPr>
        <w:pStyle w:val="8"/>
        <w:spacing w:before="12"/>
        <w:rPr>
          <w:rFonts w:hint="eastAsia" w:ascii="宋体" w:hAnsi="宋体" w:eastAsia="宋体" w:cs="宋体"/>
          <w:b/>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69" w:name="_bookmark12"/>
      <w:bookmarkEnd w:id="69"/>
      <w:bookmarkStart w:id="70" w:name="13. 响应文件的语言"/>
      <w:bookmarkEnd w:id="70"/>
      <w:r>
        <w:rPr>
          <w:rFonts w:hint="eastAsia" w:ascii="宋体" w:hAnsi="宋体" w:eastAsia="宋体" w:cs="宋体"/>
          <w:color w:val="auto"/>
          <w:sz w:val="21"/>
          <w:szCs w:val="21"/>
          <w:highlight w:val="none"/>
        </w:rPr>
        <w:t>响应文件的语言</w:t>
      </w:r>
    </w:p>
    <w:p>
      <w:pPr>
        <w:pStyle w:val="8"/>
        <w:spacing w:before="6"/>
        <w:rPr>
          <w:rFonts w:hint="eastAsia" w:ascii="宋体" w:hAnsi="宋体" w:eastAsia="宋体" w:cs="宋体"/>
          <w:b/>
          <w:color w:val="auto"/>
          <w:sz w:val="21"/>
          <w:szCs w:val="21"/>
          <w:highlight w:val="none"/>
        </w:rPr>
      </w:pPr>
    </w:p>
    <w:p>
      <w:pPr>
        <w:pStyle w:val="19"/>
        <w:numPr>
          <w:ilvl w:val="1"/>
          <w:numId w:val="3"/>
        </w:numPr>
        <w:tabs>
          <w:tab w:val="left" w:pos="1524"/>
        </w:tabs>
        <w:spacing w:before="0" w:after="0" w:line="240" w:lineRule="auto"/>
        <w:ind w:left="1524" w:right="0" w:hanging="5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与响应文件有关的所有文件均应使用中文。</w:t>
      </w:r>
    </w:p>
    <w:p>
      <w:pPr>
        <w:pStyle w:val="8"/>
        <w:spacing w:before="9"/>
        <w:rPr>
          <w:rFonts w:hint="eastAsia" w:ascii="宋体" w:hAnsi="宋体" w:eastAsia="宋体" w:cs="宋体"/>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71" w:name="14. 响应文件的组成"/>
      <w:bookmarkEnd w:id="71"/>
      <w:bookmarkStart w:id="72" w:name="_bookmark13"/>
      <w:bookmarkEnd w:id="72"/>
      <w:r>
        <w:rPr>
          <w:rFonts w:hint="eastAsia" w:ascii="宋体" w:hAnsi="宋体" w:eastAsia="宋体" w:cs="宋体"/>
          <w:color w:val="auto"/>
          <w:sz w:val="21"/>
          <w:szCs w:val="21"/>
          <w:highlight w:val="none"/>
        </w:rPr>
        <w:t>响应文件的组成</w:t>
      </w:r>
    </w:p>
    <w:p>
      <w:pPr>
        <w:pStyle w:val="8"/>
        <w:spacing w:before="9"/>
        <w:rPr>
          <w:rFonts w:hint="eastAsia" w:ascii="宋体" w:hAnsi="宋体" w:eastAsia="宋体" w:cs="宋体"/>
          <w:b/>
          <w:color w:val="auto"/>
          <w:sz w:val="21"/>
          <w:szCs w:val="21"/>
          <w:highlight w:val="none"/>
        </w:rPr>
      </w:pPr>
    </w:p>
    <w:p>
      <w:pPr>
        <w:pStyle w:val="8"/>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（一）磋商报价函</w:t>
      </w:r>
    </w:p>
    <w:p>
      <w:pPr>
        <w:pStyle w:val="8"/>
        <w:spacing w:before="151"/>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（二）磋商报价表</w:t>
      </w:r>
    </w:p>
    <w:p>
      <w:pPr>
        <w:pStyle w:val="8"/>
        <w:spacing w:before="15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（三）投标声明书</w:t>
      </w:r>
    </w:p>
    <w:p>
      <w:pPr>
        <w:pStyle w:val="8"/>
        <w:spacing w:before="154"/>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（四）保密承诺书</w:t>
      </w:r>
    </w:p>
    <w:p>
      <w:pPr>
        <w:pStyle w:val="8"/>
        <w:spacing w:before="151"/>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（五）资格证明文件</w:t>
      </w:r>
    </w:p>
    <w:p>
      <w:pPr>
        <w:pStyle w:val="8"/>
        <w:spacing w:before="15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（六）拟投入本项目的人员配置情况表</w:t>
      </w:r>
    </w:p>
    <w:p>
      <w:pPr>
        <w:pStyle w:val="8"/>
        <w:spacing w:before="15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（七）项目实施方案、计划</w:t>
      </w:r>
    </w:p>
    <w:p>
      <w:pPr>
        <w:pStyle w:val="8"/>
        <w:spacing w:before="151"/>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（八）服务质量承诺书</w:t>
      </w:r>
    </w:p>
    <w:p>
      <w:pPr>
        <w:pStyle w:val="8"/>
        <w:spacing w:before="154"/>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（九）磋商保证金交纳证明</w:t>
      </w:r>
    </w:p>
    <w:p>
      <w:pPr>
        <w:pStyle w:val="8"/>
        <w:spacing w:before="15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年以来完成过类似业绩证明（如有，请提供）</w:t>
      </w:r>
    </w:p>
    <w:p>
      <w:pPr>
        <w:pStyle w:val="8"/>
        <w:spacing w:before="151"/>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（十一）供应商获得的相关信誉与荣誉证明材料（如有，请提供）</w:t>
      </w:r>
    </w:p>
    <w:p>
      <w:pPr>
        <w:pStyle w:val="8"/>
        <w:spacing w:before="15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（十二）供应商认为需要提供的材料（如有，请提供）</w:t>
      </w:r>
    </w:p>
    <w:p>
      <w:pPr>
        <w:pStyle w:val="8"/>
        <w:spacing w:before="153" w:line="357" w:lineRule="auto"/>
        <w:ind w:left="518" w:right="452"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供应商应按照采购人提供的响应文件格式和顺序，另行编制响应文件，但表格可以按同样格式扩展。</w:t>
      </w:r>
    </w:p>
    <w:p>
      <w:pPr>
        <w:spacing w:after="0" w:line="357" w:lineRule="auto"/>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spacing w:before="3"/>
        <w:rPr>
          <w:rFonts w:hint="eastAsia" w:ascii="宋体" w:hAnsi="宋体" w:eastAsia="宋体" w:cs="宋体"/>
          <w:color w:val="auto"/>
          <w:sz w:val="21"/>
          <w:szCs w:val="21"/>
          <w:highlight w:val="none"/>
        </w:rPr>
      </w:pPr>
    </w:p>
    <w:p>
      <w:pPr>
        <w:pStyle w:val="6"/>
        <w:numPr>
          <w:ilvl w:val="0"/>
          <w:numId w:val="3"/>
        </w:numPr>
        <w:tabs>
          <w:tab w:val="left" w:pos="972"/>
        </w:tabs>
        <w:spacing w:before="77" w:after="0" w:line="240" w:lineRule="auto"/>
        <w:ind w:left="972" w:right="0" w:hanging="454"/>
        <w:jc w:val="left"/>
        <w:rPr>
          <w:rFonts w:hint="eastAsia" w:ascii="宋体" w:hAnsi="宋体" w:eastAsia="宋体" w:cs="宋体"/>
          <w:color w:val="auto"/>
          <w:sz w:val="21"/>
          <w:szCs w:val="21"/>
          <w:highlight w:val="none"/>
        </w:rPr>
      </w:pPr>
      <w:bookmarkStart w:id="73" w:name="_bookmark14"/>
      <w:bookmarkEnd w:id="73"/>
      <w:bookmarkStart w:id="74" w:name="15. 磋商报价 "/>
      <w:bookmarkEnd w:id="74"/>
      <w:r>
        <w:rPr>
          <w:rFonts w:hint="eastAsia" w:ascii="宋体" w:hAnsi="宋体" w:eastAsia="宋体" w:cs="宋体"/>
          <w:color w:val="auto"/>
          <w:sz w:val="21"/>
          <w:szCs w:val="21"/>
          <w:highlight w:val="none"/>
        </w:rPr>
        <w:t>磋商报价</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84"/>
        </w:tabs>
        <w:spacing w:before="0" w:after="0" w:line="240" w:lineRule="auto"/>
        <w:ind w:left="1584" w:right="0" w:hanging="58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磋商报价见竞标须知前附表第5项所述。</w:t>
      </w:r>
    </w:p>
    <w:p>
      <w:pPr>
        <w:pStyle w:val="19"/>
        <w:numPr>
          <w:ilvl w:val="1"/>
          <w:numId w:val="3"/>
        </w:numPr>
        <w:tabs>
          <w:tab w:val="left" w:pos="1584"/>
        </w:tabs>
        <w:spacing w:before="151" w:after="0" w:line="240" w:lineRule="auto"/>
        <w:ind w:left="1584" w:right="0" w:hanging="58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供应商应在磋商报价表上标明总价。小写与大写不符的，以大写为准。</w:t>
      </w:r>
    </w:p>
    <w:p>
      <w:pPr>
        <w:pStyle w:val="8"/>
        <w:spacing w:before="9"/>
        <w:rPr>
          <w:rFonts w:hint="eastAsia" w:ascii="宋体" w:hAnsi="宋体" w:eastAsia="宋体" w:cs="宋体"/>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75" w:name="16. 磋商货币"/>
      <w:bookmarkEnd w:id="75"/>
      <w:bookmarkStart w:id="76" w:name="_bookmark15"/>
      <w:bookmarkEnd w:id="76"/>
      <w:r>
        <w:rPr>
          <w:rFonts w:hint="eastAsia" w:ascii="宋体" w:hAnsi="宋体" w:eastAsia="宋体" w:cs="宋体"/>
          <w:color w:val="auto"/>
          <w:sz w:val="21"/>
          <w:szCs w:val="21"/>
          <w:highlight w:val="none"/>
        </w:rPr>
        <w:t>磋商货币</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24"/>
        </w:tabs>
        <w:spacing w:before="0" w:after="0" w:line="240" w:lineRule="auto"/>
        <w:ind w:left="1524" w:right="0" w:hanging="5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应以人民币填报所有单价和价格，合同实施时亦以人民币支付。</w:t>
      </w:r>
    </w:p>
    <w:p>
      <w:pPr>
        <w:pStyle w:val="8"/>
        <w:spacing w:before="6"/>
        <w:rPr>
          <w:rFonts w:hint="eastAsia" w:ascii="宋体" w:hAnsi="宋体" w:eastAsia="宋体" w:cs="宋体"/>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77" w:name="17. 响应文件有效期"/>
      <w:bookmarkEnd w:id="77"/>
      <w:bookmarkStart w:id="78" w:name="_bookmark16"/>
      <w:bookmarkEnd w:id="78"/>
      <w:r>
        <w:rPr>
          <w:rFonts w:hint="eastAsia" w:ascii="宋体" w:hAnsi="宋体" w:eastAsia="宋体" w:cs="宋体"/>
          <w:color w:val="auto"/>
          <w:sz w:val="21"/>
          <w:szCs w:val="21"/>
          <w:highlight w:val="none"/>
        </w:rPr>
        <w:t>响应文件有效期</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24"/>
        </w:tabs>
        <w:spacing w:before="0" w:after="0" w:line="360"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响应文件应在本须知前附表第 </w:t>
      </w:r>
      <w:r>
        <w:rPr>
          <w:rFonts w:hint="eastAsia" w:ascii="宋体" w:hAnsi="宋体" w:eastAsia="宋体" w:cs="宋体"/>
          <w:color w:val="auto"/>
          <w:sz w:val="21"/>
          <w:szCs w:val="21"/>
          <w:highlight w:val="none"/>
        </w:rPr>
        <w:t>10</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
          <w:sz w:val="21"/>
          <w:szCs w:val="21"/>
          <w:highlight w:val="none"/>
        </w:rPr>
        <w:t>项所规定的响应文件递交截止期之后开始生</w:t>
      </w:r>
      <w:r>
        <w:rPr>
          <w:rFonts w:hint="eastAsia" w:ascii="宋体" w:hAnsi="宋体" w:eastAsia="宋体" w:cs="宋体"/>
          <w:color w:val="auto"/>
          <w:spacing w:val="-6"/>
          <w:sz w:val="21"/>
          <w:szCs w:val="21"/>
          <w:highlight w:val="none"/>
        </w:rPr>
        <w:t xml:space="preserve">效，在本须知前附表第 </w:t>
      </w:r>
      <w:r>
        <w:rPr>
          <w:rFonts w:hint="eastAsia" w:ascii="宋体" w:hAnsi="宋体" w:eastAsia="宋体" w:cs="宋体"/>
          <w:color w:val="auto"/>
          <w:sz w:val="21"/>
          <w:szCs w:val="21"/>
          <w:highlight w:val="none"/>
        </w:rPr>
        <w:t>6</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项所规定的日历天内保持有效。</w:t>
      </w:r>
    </w:p>
    <w:p>
      <w:pPr>
        <w:pStyle w:val="19"/>
        <w:numPr>
          <w:ilvl w:val="1"/>
          <w:numId w:val="3"/>
        </w:numPr>
        <w:tabs>
          <w:tab w:val="left" w:pos="1524"/>
        </w:tabs>
        <w:spacing w:before="0" w:after="0" w:line="360"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如果出现特殊情况，采购人可要求供应商将竞标有效期适当延长。这种要求和</w:t>
      </w:r>
      <w:r>
        <w:rPr>
          <w:rFonts w:hint="eastAsia" w:ascii="宋体" w:hAnsi="宋体" w:eastAsia="宋体" w:cs="宋体"/>
          <w:color w:val="auto"/>
          <w:spacing w:val="-4"/>
          <w:sz w:val="21"/>
          <w:szCs w:val="21"/>
          <w:highlight w:val="none"/>
        </w:rPr>
        <w:t>供应商的答复应以书面方式进行。供应商可以拒绝这种要求而不被没收磋商保证金。同</w:t>
      </w:r>
      <w:r>
        <w:rPr>
          <w:rFonts w:hint="eastAsia" w:ascii="宋体" w:hAnsi="宋体" w:eastAsia="宋体" w:cs="宋体"/>
          <w:color w:val="auto"/>
          <w:spacing w:val="-6"/>
          <w:sz w:val="21"/>
          <w:szCs w:val="21"/>
          <w:highlight w:val="none"/>
        </w:rPr>
        <w:t>意延期的供应商，不需要也不允许修改其响应文件，但需要将其磋商保证金延长相同的</w:t>
      </w:r>
      <w:r>
        <w:rPr>
          <w:rFonts w:hint="eastAsia" w:ascii="宋体" w:hAnsi="宋体" w:eastAsia="宋体" w:cs="宋体"/>
          <w:color w:val="auto"/>
          <w:sz w:val="21"/>
          <w:szCs w:val="21"/>
          <w:highlight w:val="none"/>
        </w:rPr>
        <w:t>时间。</w:t>
      </w:r>
    </w:p>
    <w:p>
      <w:pPr>
        <w:pStyle w:val="8"/>
        <w:spacing w:before="2"/>
        <w:rPr>
          <w:rFonts w:hint="eastAsia" w:ascii="宋体" w:hAnsi="宋体" w:eastAsia="宋体" w:cs="宋体"/>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79" w:name="18. 磋商保证金"/>
      <w:bookmarkEnd w:id="79"/>
      <w:bookmarkStart w:id="80" w:name="_bookmark17"/>
      <w:bookmarkEnd w:id="80"/>
      <w:r>
        <w:rPr>
          <w:rFonts w:hint="eastAsia" w:ascii="宋体" w:hAnsi="宋体" w:eastAsia="宋体" w:cs="宋体"/>
          <w:color w:val="auto"/>
          <w:sz w:val="21"/>
          <w:szCs w:val="21"/>
          <w:highlight w:val="none"/>
        </w:rPr>
        <w:t>磋商保证金</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24"/>
        </w:tabs>
        <w:spacing w:before="0" w:after="0" w:line="357"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供应商应提交不少于本须知前附表第 </w:t>
      </w:r>
      <w:r>
        <w:rPr>
          <w:rFonts w:hint="eastAsia" w:ascii="宋体" w:hAnsi="宋体" w:eastAsia="宋体" w:cs="宋体"/>
          <w:color w:val="auto"/>
          <w:sz w:val="21"/>
          <w:szCs w:val="21"/>
          <w:highlight w:val="none"/>
        </w:rPr>
        <w:t>7</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11"/>
          <w:sz w:val="21"/>
          <w:szCs w:val="21"/>
          <w:highlight w:val="none"/>
        </w:rPr>
        <w:t>项所述金额的磋商保证金，此保证金是</w:t>
      </w:r>
      <w:r>
        <w:rPr>
          <w:rFonts w:hint="eastAsia" w:ascii="宋体" w:hAnsi="宋体" w:eastAsia="宋体" w:cs="宋体"/>
          <w:color w:val="auto"/>
          <w:sz w:val="21"/>
          <w:szCs w:val="21"/>
          <w:highlight w:val="none"/>
        </w:rPr>
        <w:t>响应文件的一个组成部分。</w:t>
      </w:r>
    </w:p>
    <w:p>
      <w:pPr>
        <w:pStyle w:val="19"/>
        <w:numPr>
          <w:ilvl w:val="1"/>
          <w:numId w:val="3"/>
        </w:numPr>
        <w:tabs>
          <w:tab w:val="left" w:pos="1524"/>
        </w:tabs>
        <w:spacing w:before="3" w:after="0" w:line="357"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磋商保证金在响应文件递交截止日前递交，根据供应商的选择，磋商保证金可</w:t>
      </w:r>
      <w:r>
        <w:rPr>
          <w:rFonts w:hint="eastAsia" w:ascii="宋体" w:hAnsi="宋体" w:eastAsia="宋体" w:cs="宋体"/>
          <w:color w:val="auto"/>
          <w:spacing w:val="-8"/>
          <w:sz w:val="21"/>
          <w:szCs w:val="21"/>
          <w:highlight w:val="none"/>
        </w:rPr>
        <w:t>以是支票、汇票、本票或者金融机构、担保机构出具的保函等非现金形式交纳，按下面</w:t>
      </w:r>
      <w:r>
        <w:rPr>
          <w:rFonts w:hint="eastAsia" w:ascii="宋体" w:hAnsi="宋体" w:eastAsia="宋体" w:cs="宋体"/>
          <w:color w:val="auto"/>
          <w:sz w:val="21"/>
          <w:szCs w:val="21"/>
          <w:highlight w:val="none"/>
        </w:rPr>
        <w:t>开户名称、开户银行和账号转入。</w:t>
      </w:r>
    </w:p>
    <w:p>
      <w:pPr>
        <w:pStyle w:val="8"/>
        <w:spacing w:before="5"/>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广西建隆工程咨询有限公司</w:t>
      </w:r>
    </w:p>
    <w:p>
      <w:pPr>
        <w:pStyle w:val="8"/>
        <w:spacing w:before="154" w:line="240" w:lineRule="auto"/>
        <w:ind w:left="998" w:right="190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广西北部湾银行南宁市琅东支行</w:t>
      </w:r>
    </w:p>
    <w:p>
      <w:pPr>
        <w:pStyle w:val="8"/>
        <w:spacing w:before="154" w:line="240" w:lineRule="auto"/>
        <w:ind w:left="998" w:right="190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eastAsia="zh-CN"/>
        </w:rPr>
        <w:t>8000 7529 4800 010</w:t>
      </w:r>
    </w:p>
    <w:p>
      <w:pPr>
        <w:pStyle w:val="19"/>
        <w:numPr>
          <w:ilvl w:val="1"/>
          <w:numId w:val="3"/>
        </w:numPr>
        <w:tabs>
          <w:tab w:val="left" w:pos="1524"/>
        </w:tabs>
        <w:spacing w:before="3" w:after="0" w:line="360" w:lineRule="auto"/>
        <w:ind w:left="518" w:right="514"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对未按磋商文件要求交纳磋商保证金的磋商响应文件，采购代理机构将视其为</w:t>
      </w:r>
      <w:r>
        <w:rPr>
          <w:rFonts w:hint="eastAsia" w:ascii="宋体" w:hAnsi="宋体" w:eastAsia="宋体" w:cs="宋体"/>
          <w:color w:val="auto"/>
          <w:sz w:val="21"/>
          <w:szCs w:val="21"/>
          <w:highlight w:val="none"/>
        </w:rPr>
        <w:t>不响应采购条件而予以拒绝。</w:t>
      </w:r>
    </w:p>
    <w:p>
      <w:pPr>
        <w:pStyle w:val="19"/>
        <w:numPr>
          <w:ilvl w:val="1"/>
          <w:numId w:val="3"/>
        </w:numPr>
        <w:tabs>
          <w:tab w:val="left" w:pos="1529"/>
        </w:tabs>
        <w:spacing w:before="0" w:after="0" w:line="304" w:lineRule="exact"/>
        <w:ind w:left="1528" w:right="0" w:hanging="531"/>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采购代理机构将在成交通知书发出后 </w:t>
      </w:r>
      <w:r>
        <w:rPr>
          <w:rFonts w:hint="eastAsia" w:ascii="宋体" w:hAnsi="宋体" w:eastAsia="宋体" w:cs="宋体"/>
          <w:color w:val="auto"/>
          <w:sz w:val="21"/>
          <w:szCs w:val="21"/>
          <w:highlight w:val="none"/>
        </w:rPr>
        <w:t>5</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个工作日内退还未成交供应商的磋商</w:t>
      </w:r>
    </w:p>
    <w:p>
      <w:pPr>
        <w:pStyle w:val="8"/>
        <w:spacing w:before="153"/>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保证金，自政府采购合同签订之日起 5 个工作日内退还成交供应商的磋商保证金。</w:t>
      </w:r>
    </w:p>
    <w:p>
      <w:pPr>
        <w:pStyle w:val="8"/>
        <w:spacing w:before="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如有下列情况之一，将不予退还磋商保证金：</w:t>
      </w:r>
    </w:p>
    <w:p>
      <w:pPr>
        <w:pStyle w:val="8"/>
        <w:spacing w:line="20" w:lineRule="exact"/>
        <w:ind w:left="510"/>
        <w:rPr>
          <w:rFonts w:hint="eastAsia" w:ascii="宋体" w:hAnsi="宋体" w:eastAsia="宋体" w:cs="宋体"/>
          <w:color w:val="auto"/>
          <w:sz w:val="21"/>
          <w:szCs w:val="21"/>
          <w:highlight w:val="none"/>
        </w:rPr>
      </w:pPr>
    </w:p>
    <w:p>
      <w:pPr>
        <w:pStyle w:val="19"/>
        <w:numPr>
          <w:ilvl w:val="0"/>
          <w:numId w:val="8"/>
        </w:numPr>
        <w:tabs>
          <w:tab w:val="left" w:pos="1612"/>
        </w:tabs>
        <w:spacing w:before="102" w:after="0" w:line="240" w:lineRule="auto"/>
        <w:ind w:left="1611" w:right="0" w:hanging="614"/>
        <w:jc w:val="left"/>
        <w:rPr>
          <w:rFonts w:hint="eastAsia" w:ascii="宋体" w:hAnsi="宋体" w:eastAsia="宋体" w:cs="宋体"/>
          <w:color w:val="auto"/>
          <w:sz w:val="21"/>
          <w:szCs w:val="21"/>
          <w:highlight w:val="none"/>
        </w:rPr>
      </w:pPr>
      <w:bookmarkStart w:id="81" w:name="    （1）供应商在提交响应文件截止时间后撤回响应文件的；"/>
      <w:bookmarkEnd w:id="81"/>
      <w:r>
        <w:rPr>
          <w:rFonts w:hint="eastAsia" w:ascii="宋体" w:hAnsi="宋体" w:eastAsia="宋体" w:cs="宋体"/>
          <w:color w:val="auto"/>
          <w:sz w:val="21"/>
          <w:szCs w:val="21"/>
          <w:highlight w:val="none"/>
        </w:rPr>
        <w:t>供应商在提交响应文件截止时间后撤回响应文件的；</w:t>
      </w:r>
    </w:p>
    <w:p>
      <w:pPr>
        <w:pStyle w:val="8"/>
        <w:spacing w:before="1"/>
        <w:rPr>
          <w:rFonts w:hint="eastAsia" w:ascii="宋体" w:hAnsi="宋体" w:eastAsia="宋体" w:cs="宋体"/>
          <w:color w:val="auto"/>
          <w:sz w:val="21"/>
          <w:szCs w:val="21"/>
          <w:highlight w:val="none"/>
        </w:rPr>
      </w:pPr>
    </w:p>
    <w:p>
      <w:pPr>
        <w:pStyle w:val="19"/>
        <w:numPr>
          <w:ilvl w:val="0"/>
          <w:numId w:val="8"/>
        </w:numPr>
        <w:tabs>
          <w:tab w:val="left" w:pos="1612"/>
        </w:tabs>
        <w:spacing w:before="0" w:after="0" w:line="240" w:lineRule="auto"/>
        <w:ind w:left="1611" w:right="0" w:hanging="614"/>
        <w:jc w:val="left"/>
        <w:rPr>
          <w:rFonts w:hint="eastAsia" w:ascii="宋体" w:hAnsi="宋体" w:eastAsia="宋体" w:cs="宋体"/>
          <w:color w:val="auto"/>
          <w:sz w:val="21"/>
          <w:szCs w:val="21"/>
          <w:highlight w:val="none"/>
        </w:rPr>
      </w:pPr>
      <w:bookmarkStart w:id="82" w:name="　　（2）供应商在响应文件中提供虚假材料的；"/>
      <w:bookmarkEnd w:id="82"/>
      <w:r>
        <w:rPr>
          <w:rFonts w:hint="eastAsia" w:ascii="宋体" w:hAnsi="宋体" w:eastAsia="宋体" w:cs="宋体"/>
          <w:color w:val="auto"/>
          <w:sz w:val="21"/>
          <w:szCs w:val="21"/>
          <w:highlight w:val="none"/>
        </w:rPr>
        <w:t>供应商在响应文件中提供虚假材料的；</w:t>
      </w:r>
    </w:p>
    <w:p>
      <w:pPr>
        <w:pStyle w:val="8"/>
        <w:spacing w:before="12"/>
        <w:rPr>
          <w:rFonts w:hint="eastAsia" w:ascii="宋体" w:hAnsi="宋体" w:eastAsia="宋体" w:cs="宋体"/>
          <w:color w:val="auto"/>
          <w:sz w:val="21"/>
          <w:szCs w:val="21"/>
          <w:highlight w:val="none"/>
        </w:rPr>
      </w:pPr>
    </w:p>
    <w:p>
      <w:pPr>
        <w:pStyle w:val="19"/>
        <w:numPr>
          <w:ilvl w:val="0"/>
          <w:numId w:val="8"/>
        </w:numPr>
        <w:tabs>
          <w:tab w:val="left" w:pos="1612"/>
        </w:tabs>
        <w:spacing w:before="0" w:after="0" w:line="240" w:lineRule="auto"/>
        <w:ind w:left="1611" w:right="0" w:hanging="614"/>
        <w:jc w:val="left"/>
        <w:rPr>
          <w:rFonts w:hint="eastAsia" w:ascii="宋体" w:hAnsi="宋体" w:eastAsia="宋体" w:cs="宋体"/>
          <w:color w:val="auto"/>
          <w:sz w:val="21"/>
          <w:szCs w:val="21"/>
          <w:highlight w:val="none"/>
        </w:rPr>
      </w:pPr>
      <w:bookmarkStart w:id="83" w:name="　　（3）除因不可抗力外，成交供应商不与采购人签订合同的；"/>
      <w:bookmarkEnd w:id="83"/>
      <w:r>
        <w:rPr>
          <w:rFonts w:hint="eastAsia" w:ascii="宋体" w:hAnsi="宋体" w:eastAsia="宋体" w:cs="宋体"/>
          <w:color w:val="auto"/>
          <w:sz w:val="21"/>
          <w:szCs w:val="21"/>
          <w:highlight w:val="none"/>
        </w:rPr>
        <w:t>除因不可抗力外，成交供应商不与采购人签订合同的；</w:t>
      </w:r>
    </w:p>
    <w:p>
      <w:pPr>
        <w:pStyle w:val="8"/>
        <w:spacing w:before="1"/>
        <w:rPr>
          <w:rFonts w:hint="eastAsia" w:ascii="宋体" w:hAnsi="宋体" w:eastAsia="宋体" w:cs="宋体"/>
          <w:color w:val="auto"/>
          <w:sz w:val="21"/>
          <w:szCs w:val="21"/>
          <w:highlight w:val="none"/>
        </w:rPr>
      </w:pPr>
    </w:p>
    <w:p>
      <w:pPr>
        <w:pStyle w:val="19"/>
        <w:numPr>
          <w:ilvl w:val="0"/>
          <w:numId w:val="8"/>
        </w:numPr>
        <w:tabs>
          <w:tab w:val="left" w:pos="1614"/>
        </w:tabs>
        <w:spacing w:before="0" w:after="0" w:line="240" w:lineRule="auto"/>
        <w:ind w:left="1613" w:right="0" w:hanging="616"/>
        <w:jc w:val="left"/>
        <w:rPr>
          <w:rFonts w:hint="eastAsia" w:ascii="宋体" w:hAnsi="宋体" w:eastAsia="宋体" w:cs="宋体"/>
          <w:color w:val="auto"/>
          <w:sz w:val="21"/>
          <w:szCs w:val="21"/>
          <w:highlight w:val="none"/>
        </w:rPr>
      </w:pPr>
      <w:bookmarkStart w:id="84" w:name="（4）供应商与采购人、其他供应商或者采购代理机构恶意串通的；"/>
      <w:bookmarkEnd w:id="84"/>
      <w:r>
        <w:rPr>
          <w:rFonts w:hint="eastAsia" w:ascii="宋体" w:hAnsi="宋体" w:eastAsia="宋体" w:cs="宋体"/>
          <w:color w:val="auto"/>
          <w:sz w:val="21"/>
          <w:szCs w:val="21"/>
          <w:highlight w:val="none"/>
        </w:rPr>
        <w:t>供应商与采购人、其他供应商或者采购代理机构恶意串通的；</w:t>
      </w:r>
    </w:p>
    <w:p>
      <w:pPr>
        <w:pStyle w:val="8"/>
        <w:rPr>
          <w:rFonts w:hint="eastAsia" w:ascii="宋体" w:hAnsi="宋体" w:eastAsia="宋体" w:cs="宋体"/>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85" w:name="19. 磋商文件答疑"/>
      <w:bookmarkEnd w:id="85"/>
      <w:bookmarkStart w:id="86" w:name="_bookmark18"/>
      <w:bookmarkEnd w:id="86"/>
      <w:r>
        <w:rPr>
          <w:rFonts w:hint="eastAsia" w:ascii="宋体" w:hAnsi="宋体" w:eastAsia="宋体" w:cs="宋体"/>
          <w:color w:val="auto"/>
          <w:sz w:val="21"/>
          <w:szCs w:val="21"/>
          <w:highlight w:val="none"/>
        </w:rPr>
        <w:t>磋商文件答疑</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87"/>
        </w:tabs>
        <w:spacing w:before="0" w:after="0" w:line="357" w:lineRule="auto"/>
        <w:ind w:left="518" w:right="514"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采购人向供应商提供的有关资料和数据，是采购人现有的能使供应商利用的资料。采购人对供应商由此而作出的推论、理解和结论概不负责。</w:t>
      </w:r>
    </w:p>
    <w:p>
      <w:pPr>
        <w:pStyle w:val="19"/>
        <w:numPr>
          <w:ilvl w:val="1"/>
          <w:numId w:val="3"/>
        </w:numPr>
        <w:tabs>
          <w:tab w:val="left" w:pos="1587"/>
        </w:tabs>
        <w:spacing w:before="3" w:after="0" w:line="360" w:lineRule="auto"/>
        <w:ind w:left="518" w:right="514"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供应商提出的与竞标有关的任何问题须在前附表规定的时间前，以书面形式送达采购人，采购人将通过“补遗文件”的形式予以答复。</w:t>
      </w:r>
    </w:p>
    <w:p>
      <w:pPr>
        <w:pStyle w:val="19"/>
        <w:numPr>
          <w:ilvl w:val="1"/>
          <w:numId w:val="3"/>
        </w:numPr>
        <w:tabs>
          <w:tab w:val="left" w:pos="1587"/>
        </w:tabs>
        <w:spacing w:before="0" w:after="0" w:line="360" w:lineRule="auto"/>
        <w:ind w:left="518" w:right="514"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采购补遗文件包括所有问题和答复，将迅速提供给所有获得竞争性磋商磋商文件的供应商。</w:t>
      </w:r>
    </w:p>
    <w:p>
      <w:pPr>
        <w:pStyle w:val="8"/>
        <w:spacing w:before="5"/>
        <w:rPr>
          <w:rFonts w:hint="eastAsia" w:ascii="宋体" w:hAnsi="宋体" w:eastAsia="宋体" w:cs="宋体"/>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87" w:name="20. 响应文件的格式和签署"/>
      <w:bookmarkEnd w:id="87"/>
      <w:bookmarkStart w:id="88" w:name="_bookmark19"/>
      <w:bookmarkEnd w:id="88"/>
      <w:r>
        <w:rPr>
          <w:rFonts w:hint="eastAsia" w:ascii="宋体" w:hAnsi="宋体" w:eastAsia="宋体" w:cs="宋体"/>
          <w:color w:val="auto"/>
          <w:sz w:val="21"/>
          <w:szCs w:val="21"/>
          <w:highlight w:val="none"/>
        </w:rPr>
        <w:t>响应文件的格式和签署</w:t>
      </w:r>
    </w:p>
    <w:p>
      <w:pPr>
        <w:pStyle w:val="8"/>
        <w:spacing w:before="6"/>
        <w:rPr>
          <w:rFonts w:hint="eastAsia" w:ascii="宋体" w:hAnsi="宋体" w:eastAsia="宋体" w:cs="宋体"/>
          <w:b/>
          <w:color w:val="auto"/>
          <w:sz w:val="21"/>
          <w:szCs w:val="21"/>
          <w:highlight w:val="none"/>
        </w:rPr>
      </w:pPr>
    </w:p>
    <w:p>
      <w:pPr>
        <w:pStyle w:val="19"/>
        <w:numPr>
          <w:ilvl w:val="1"/>
          <w:numId w:val="3"/>
        </w:numPr>
        <w:tabs>
          <w:tab w:val="left" w:pos="1587"/>
        </w:tabs>
        <w:spacing w:before="0" w:after="0" w:line="360"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响应文件的份数：正本一份，副本</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份，共</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份。并在每份文件右上角注明“正本”、“副本”字样，一旦正本和副本不符，以正本为准。</w:t>
      </w:r>
    </w:p>
    <w:p>
      <w:pPr>
        <w:pStyle w:val="19"/>
        <w:numPr>
          <w:ilvl w:val="1"/>
          <w:numId w:val="3"/>
        </w:numPr>
        <w:tabs>
          <w:tab w:val="left" w:pos="1587"/>
        </w:tabs>
        <w:spacing w:before="0" w:after="0" w:line="357"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响应文件的正本和全部副本均应使用不能擦去的墨料或墨水打印或书写，由</w:t>
      </w:r>
      <w:r>
        <w:rPr>
          <w:rFonts w:hint="eastAsia" w:ascii="宋体" w:hAnsi="宋体" w:eastAsia="宋体" w:cs="宋体"/>
          <w:color w:val="auto"/>
          <w:spacing w:val="-4"/>
          <w:sz w:val="21"/>
          <w:szCs w:val="21"/>
          <w:highlight w:val="none"/>
        </w:rPr>
        <w:t>法定代表人或其授权的代理人签署并加盖单位公章。凡有增加或修正之处均应由法定代</w:t>
      </w:r>
      <w:r>
        <w:rPr>
          <w:rFonts w:hint="eastAsia" w:ascii="宋体" w:hAnsi="宋体" w:eastAsia="宋体" w:cs="宋体"/>
          <w:color w:val="auto"/>
          <w:sz w:val="21"/>
          <w:szCs w:val="21"/>
          <w:highlight w:val="none"/>
        </w:rPr>
        <w:t>表人或授权代理人签署并加盖单位公章。</w:t>
      </w:r>
    </w:p>
    <w:p>
      <w:pPr>
        <w:pStyle w:val="19"/>
        <w:numPr>
          <w:ilvl w:val="1"/>
          <w:numId w:val="3"/>
        </w:numPr>
        <w:tabs>
          <w:tab w:val="left" w:pos="1587"/>
        </w:tabs>
        <w:spacing w:before="5" w:after="0" w:line="357"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全套响应文件应无涂改和行间插字，除非这些改动是根据采购代理机构的指</w:t>
      </w:r>
      <w:r>
        <w:rPr>
          <w:rFonts w:hint="eastAsia" w:ascii="宋体" w:hAnsi="宋体" w:eastAsia="宋体" w:cs="宋体"/>
          <w:color w:val="auto"/>
          <w:spacing w:val="-7"/>
          <w:sz w:val="21"/>
          <w:szCs w:val="21"/>
          <w:highlight w:val="none"/>
        </w:rPr>
        <w:t>示进行的，或者是为改正供应商造成的必须修改的错误而进行的。有改动时，修改处应</w:t>
      </w:r>
      <w:r>
        <w:rPr>
          <w:rFonts w:hint="eastAsia" w:ascii="宋体" w:hAnsi="宋体" w:eastAsia="宋体" w:cs="宋体"/>
          <w:color w:val="auto"/>
          <w:sz w:val="21"/>
          <w:szCs w:val="21"/>
          <w:highlight w:val="none"/>
        </w:rPr>
        <w:t>由法定代表人或授权代理人签字证明。</w:t>
      </w:r>
    </w:p>
    <w:p>
      <w:pPr>
        <w:pStyle w:val="19"/>
        <w:numPr>
          <w:ilvl w:val="1"/>
          <w:numId w:val="3"/>
        </w:numPr>
        <w:tabs>
          <w:tab w:val="left" w:pos="1599"/>
        </w:tabs>
        <w:spacing w:before="0" w:after="0" w:line="275" w:lineRule="exact"/>
        <w:ind w:left="1598" w:right="0" w:hanging="601"/>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供应商公章：</w:t>
      </w:r>
      <w:r>
        <w:rPr>
          <w:rFonts w:hint="eastAsia" w:ascii="宋体" w:hAnsi="宋体" w:eastAsia="宋体" w:cs="宋体"/>
          <w:color w:val="auto"/>
          <w:sz w:val="21"/>
          <w:szCs w:val="21"/>
          <w:highlight w:val="none"/>
        </w:rPr>
        <w:t>本采购文件中描述供应商的“公章”是指根据我国对公章的管</w:t>
      </w:r>
    </w:p>
    <w:p>
      <w:pPr>
        <w:pStyle w:val="8"/>
        <w:spacing w:before="91" w:line="312" w:lineRule="auto"/>
        <w:ind w:left="518" w:right="518"/>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理规定，用供应商法定主体行为名称制作的印章，除本采购文件有特殊规定外，供应商</w:t>
      </w:r>
      <w:r>
        <w:rPr>
          <w:rFonts w:hint="eastAsia" w:ascii="宋体" w:hAnsi="宋体" w:eastAsia="宋体" w:cs="宋体"/>
          <w:color w:val="auto"/>
          <w:spacing w:val="-9"/>
          <w:sz w:val="21"/>
          <w:szCs w:val="21"/>
          <w:highlight w:val="none"/>
        </w:rPr>
        <w:t>的财务章、部门章、分公司章、工会章、合同章、投标专用章、密封章、业务专用章等</w:t>
      </w:r>
      <w:r>
        <w:rPr>
          <w:rFonts w:hint="eastAsia" w:ascii="宋体" w:hAnsi="宋体" w:eastAsia="宋体" w:cs="宋体"/>
          <w:color w:val="auto"/>
          <w:sz w:val="21"/>
          <w:szCs w:val="21"/>
          <w:highlight w:val="none"/>
        </w:rPr>
        <w:t>其它形式印章均不能代替公章。</w:t>
      </w:r>
    </w:p>
    <w:p>
      <w:pPr>
        <w:pStyle w:val="19"/>
        <w:numPr>
          <w:ilvl w:val="1"/>
          <w:numId w:val="3"/>
        </w:numPr>
        <w:tabs>
          <w:tab w:val="left" w:pos="1601"/>
        </w:tabs>
        <w:spacing w:before="73" w:after="0" w:line="388" w:lineRule="auto"/>
        <w:ind w:left="518" w:right="466" w:firstLine="48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供应商的签字：</w:t>
      </w:r>
      <w:r>
        <w:rPr>
          <w:rFonts w:hint="eastAsia" w:ascii="宋体" w:hAnsi="宋体" w:eastAsia="宋体" w:cs="宋体"/>
          <w:color w:val="auto"/>
          <w:sz w:val="21"/>
          <w:szCs w:val="21"/>
          <w:highlight w:val="none"/>
        </w:rPr>
        <w:t>本采购文件中描述供应商的“签字”是指供应商的法定代表</w:t>
      </w:r>
      <w:r>
        <w:rPr>
          <w:rFonts w:hint="eastAsia" w:ascii="宋体" w:hAnsi="宋体" w:eastAsia="宋体" w:cs="宋体"/>
          <w:color w:val="auto"/>
          <w:spacing w:val="-1"/>
          <w:sz w:val="21"/>
          <w:szCs w:val="21"/>
          <w:highlight w:val="none"/>
        </w:rPr>
        <w:t>人或被授权人亲自在采购文件规定签署处亲笔写上个人的名字的行为，私章、签字章、</w:t>
      </w:r>
      <w:r>
        <w:rPr>
          <w:rFonts w:hint="eastAsia" w:ascii="宋体" w:hAnsi="宋体" w:eastAsia="宋体" w:cs="宋体"/>
          <w:color w:val="auto"/>
          <w:sz w:val="21"/>
          <w:szCs w:val="21"/>
          <w:highlight w:val="none"/>
        </w:rPr>
        <w:t>印鉴、影印等其它形式均不能代替亲笔签字。</w:t>
      </w:r>
    </w:p>
    <w:p>
      <w:pPr>
        <w:spacing w:after="0" w:line="388" w:lineRule="auto"/>
        <w:jc w:val="both"/>
        <w:rPr>
          <w:rFonts w:hint="eastAsia" w:ascii="宋体" w:hAnsi="宋体" w:eastAsia="宋体" w:cs="宋体"/>
          <w:color w:val="auto"/>
          <w:sz w:val="21"/>
          <w:szCs w:val="21"/>
          <w:highlight w:val="none"/>
        </w:rPr>
        <w:sectPr>
          <w:headerReference r:id="rId7" w:type="default"/>
          <w:pgSz w:w="11910" w:h="16840"/>
          <w:pgMar w:top="1260" w:right="900" w:bottom="1180" w:left="900" w:header="1066" w:footer="993" w:gutter="0"/>
        </w:sectPr>
      </w:pPr>
    </w:p>
    <w:p>
      <w:pPr>
        <w:pStyle w:val="5"/>
        <w:rPr>
          <w:rFonts w:hint="eastAsia" w:ascii="宋体" w:hAnsi="宋体" w:eastAsia="宋体" w:cs="宋体"/>
          <w:color w:val="auto"/>
          <w:sz w:val="21"/>
          <w:szCs w:val="21"/>
          <w:highlight w:val="none"/>
        </w:rPr>
      </w:pPr>
      <w:bookmarkStart w:id="89" w:name="_bookmark20"/>
      <w:bookmarkEnd w:id="89"/>
      <w:bookmarkStart w:id="90" w:name="四、响应文件的提交"/>
      <w:bookmarkEnd w:id="90"/>
      <w:r>
        <w:rPr>
          <w:rFonts w:hint="eastAsia" w:ascii="宋体" w:hAnsi="宋体" w:eastAsia="宋体" w:cs="宋体"/>
          <w:color w:val="auto"/>
          <w:sz w:val="32"/>
          <w:szCs w:val="32"/>
          <w:highlight w:val="none"/>
        </w:rPr>
        <w:t>四、响应文件的提交</w:t>
      </w:r>
    </w:p>
    <w:p>
      <w:pPr>
        <w:pStyle w:val="8"/>
        <w:spacing w:before="9"/>
        <w:rPr>
          <w:rFonts w:hint="eastAsia" w:ascii="宋体" w:hAnsi="宋体" w:eastAsia="宋体" w:cs="宋体"/>
          <w:b/>
          <w:color w:val="auto"/>
          <w:sz w:val="21"/>
          <w:szCs w:val="21"/>
          <w:highlight w:val="none"/>
        </w:rPr>
      </w:pPr>
    </w:p>
    <w:p>
      <w:pPr>
        <w:pStyle w:val="6"/>
        <w:numPr>
          <w:ilvl w:val="0"/>
          <w:numId w:val="3"/>
        </w:numPr>
        <w:tabs>
          <w:tab w:val="left" w:pos="972"/>
        </w:tabs>
        <w:spacing w:before="80" w:after="0" w:line="240" w:lineRule="auto"/>
        <w:ind w:left="972" w:right="0" w:hanging="454"/>
        <w:jc w:val="left"/>
        <w:rPr>
          <w:rFonts w:hint="eastAsia" w:ascii="宋体" w:hAnsi="宋体" w:eastAsia="宋体" w:cs="宋体"/>
          <w:color w:val="auto"/>
          <w:sz w:val="21"/>
          <w:szCs w:val="21"/>
          <w:highlight w:val="none"/>
        </w:rPr>
      </w:pPr>
      <w:bookmarkStart w:id="91" w:name="_bookmark21"/>
      <w:bookmarkEnd w:id="91"/>
      <w:bookmarkStart w:id="92" w:name="21. 响应文件的密封与标志"/>
      <w:bookmarkEnd w:id="92"/>
      <w:r>
        <w:rPr>
          <w:rFonts w:hint="eastAsia" w:ascii="宋体" w:hAnsi="宋体" w:eastAsia="宋体" w:cs="宋体"/>
          <w:color w:val="auto"/>
          <w:sz w:val="21"/>
          <w:szCs w:val="21"/>
          <w:highlight w:val="none"/>
        </w:rPr>
        <w:t>响应文件的密封与标志</w:t>
      </w:r>
    </w:p>
    <w:p>
      <w:pPr>
        <w:pStyle w:val="8"/>
        <w:spacing w:before="6"/>
        <w:rPr>
          <w:rFonts w:hint="eastAsia" w:ascii="宋体" w:hAnsi="宋体" w:eastAsia="宋体" w:cs="宋体"/>
          <w:b/>
          <w:color w:val="auto"/>
          <w:sz w:val="21"/>
          <w:szCs w:val="21"/>
          <w:highlight w:val="none"/>
        </w:rPr>
      </w:pPr>
    </w:p>
    <w:p>
      <w:pPr>
        <w:pStyle w:val="19"/>
        <w:numPr>
          <w:ilvl w:val="1"/>
          <w:numId w:val="3"/>
        </w:numPr>
        <w:tabs>
          <w:tab w:val="left" w:pos="1527"/>
        </w:tabs>
        <w:spacing w:before="1" w:after="0" w:line="360"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供应商应将响应文件正、副本分别装订成册[按规定顺序自编目录及页码装订成册]，在每个文本封面上标明“正本”或“副本”以及项目名称、项目编号、供应商名称等内容。</w:t>
      </w:r>
    </w:p>
    <w:p>
      <w:pPr>
        <w:pStyle w:val="19"/>
        <w:numPr>
          <w:ilvl w:val="1"/>
          <w:numId w:val="3"/>
        </w:numPr>
        <w:tabs>
          <w:tab w:val="left" w:pos="1524"/>
        </w:tabs>
        <w:spacing w:before="0" w:after="0" w:line="360"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供应商应将响应文件正、副本一并装入响应文件袋中并再加以密封，并在封贴</w:t>
      </w:r>
      <w:r>
        <w:rPr>
          <w:rFonts w:hint="eastAsia" w:ascii="宋体" w:hAnsi="宋体" w:eastAsia="宋体" w:cs="宋体"/>
          <w:color w:val="auto"/>
          <w:sz w:val="21"/>
          <w:szCs w:val="21"/>
          <w:highlight w:val="none"/>
        </w:rPr>
        <w:t>处密封签章（公章、密封章、法定代表人或其委托代理人签名均可）。</w:t>
      </w:r>
    </w:p>
    <w:p>
      <w:pPr>
        <w:pStyle w:val="19"/>
        <w:numPr>
          <w:ilvl w:val="1"/>
          <w:numId w:val="3"/>
        </w:numPr>
        <w:tabs>
          <w:tab w:val="left" w:pos="1524"/>
        </w:tabs>
        <w:spacing w:before="0" w:after="0" w:line="307" w:lineRule="exact"/>
        <w:ind w:left="1524" w:right="0" w:hanging="52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响应文件袋上都应写明：</w:t>
      </w:r>
    </w:p>
    <w:p>
      <w:pPr>
        <w:pStyle w:val="19"/>
        <w:numPr>
          <w:ilvl w:val="0"/>
          <w:numId w:val="9"/>
        </w:numPr>
        <w:tabs>
          <w:tab w:val="left" w:pos="1612"/>
        </w:tabs>
        <w:spacing w:before="147"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pStyle w:val="19"/>
        <w:numPr>
          <w:ilvl w:val="0"/>
          <w:numId w:val="9"/>
        </w:numPr>
        <w:tabs>
          <w:tab w:val="left" w:pos="1612"/>
        </w:tabs>
        <w:spacing w:before="15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pStyle w:val="19"/>
        <w:numPr>
          <w:ilvl w:val="0"/>
          <w:numId w:val="9"/>
        </w:numPr>
        <w:tabs>
          <w:tab w:val="left" w:pos="1612"/>
        </w:tabs>
        <w:spacing w:before="15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磋商单位：</w:t>
      </w:r>
    </w:p>
    <w:p>
      <w:pPr>
        <w:pStyle w:val="19"/>
        <w:numPr>
          <w:ilvl w:val="0"/>
          <w:numId w:val="9"/>
        </w:numPr>
        <w:tabs>
          <w:tab w:val="left" w:pos="1612"/>
          <w:tab w:val="left" w:pos="4809"/>
          <w:tab w:val="left" w:pos="5649"/>
          <w:tab w:val="left" w:pos="6489"/>
          <w:tab w:val="left" w:pos="7329"/>
          <w:tab w:val="left" w:pos="8169"/>
        </w:tabs>
        <w:spacing w:before="151" w:after="0" w:line="360" w:lineRule="auto"/>
        <w:ind w:left="518" w:right="518"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w:t>
      </w:r>
      <w:r>
        <w:rPr>
          <w:rFonts w:hint="eastAsia" w:ascii="宋体" w:hAnsi="宋体" w:eastAsia="宋体" w:cs="宋体"/>
          <w:color w:val="auto"/>
          <w:spacing w:val="-20"/>
          <w:sz w:val="21"/>
          <w:szCs w:val="21"/>
          <w:highlight w:val="none"/>
        </w:rPr>
        <w:t>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分截标</w:t>
      </w:r>
      <w:r>
        <w:rPr>
          <w:rFonts w:hint="eastAsia" w:ascii="宋体" w:hAnsi="宋体" w:eastAsia="宋体" w:cs="宋体"/>
          <w:color w:val="auto"/>
          <w:spacing w:val="-22"/>
          <w:sz w:val="21"/>
          <w:szCs w:val="21"/>
          <w:highlight w:val="none"/>
        </w:rPr>
        <w:t>，</w:t>
      </w:r>
      <w:r>
        <w:rPr>
          <w:rFonts w:hint="eastAsia" w:ascii="宋体" w:hAnsi="宋体" w:eastAsia="宋体" w:cs="宋体"/>
          <w:color w:val="auto"/>
          <w:sz w:val="21"/>
          <w:szCs w:val="21"/>
          <w:highlight w:val="none"/>
        </w:rPr>
        <w:t>此</w:t>
      </w:r>
      <w:r>
        <w:rPr>
          <w:rFonts w:hint="eastAsia" w:ascii="宋体" w:hAnsi="宋体" w:eastAsia="宋体" w:cs="宋体"/>
          <w:color w:val="auto"/>
          <w:spacing w:val="-18"/>
          <w:sz w:val="21"/>
          <w:szCs w:val="21"/>
          <w:highlight w:val="none"/>
        </w:rPr>
        <w:t>时</w:t>
      </w:r>
      <w:r>
        <w:rPr>
          <w:rFonts w:hint="eastAsia" w:ascii="宋体" w:hAnsi="宋体" w:eastAsia="宋体" w:cs="宋体"/>
          <w:color w:val="auto"/>
          <w:sz w:val="21"/>
          <w:szCs w:val="21"/>
          <w:highlight w:val="none"/>
        </w:rPr>
        <w:t>间以前不得拆封”</w:t>
      </w:r>
    </w:p>
    <w:p>
      <w:pPr>
        <w:pStyle w:val="19"/>
        <w:numPr>
          <w:ilvl w:val="1"/>
          <w:numId w:val="3"/>
        </w:numPr>
        <w:tabs>
          <w:tab w:val="left" w:pos="1524"/>
        </w:tabs>
        <w:spacing w:before="0" w:after="0" w:line="357" w:lineRule="auto"/>
        <w:ind w:left="518" w:right="512"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供应商在递交响应文件时，未按本须知要求装订、密封、标记的，采购代理机</w:t>
      </w:r>
      <w:r>
        <w:rPr>
          <w:rFonts w:hint="eastAsia" w:ascii="宋体" w:hAnsi="宋体" w:eastAsia="宋体" w:cs="宋体"/>
          <w:color w:val="auto"/>
          <w:sz w:val="21"/>
          <w:szCs w:val="21"/>
          <w:highlight w:val="none"/>
        </w:rPr>
        <w:t>构有权拒收，由此所产生的后果由供应商自负。</w:t>
      </w:r>
    </w:p>
    <w:p>
      <w:pPr>
        <w:pStyle w:val="8"/>
        <w:spacing w:before="11"/>
        <w:rPr>
          <w:rFonts w:hint="eastAsia" w:ascii="宋体" w:hAnsi="宋体" w:eastAsia="宋体" w:cs="宋体"/>
          <w:color w:val="auto"/>
          <w:sz w:val="21"/>
          <w:szCs w:val="21"/>
          <w:highlight w:val="none"/>
        </w:rPr>
      </w:pPr>
    </w:p>
    <w:p>
      <w:pPr>
        <w:pStyle w:val="6"/>
        <w:numPr>
          <w:ilvl w:val="0"/>
          <w:numId w:val="3"/>
        </w:numPr>
        <w:tabs>
          <w:tab w:val="left" w:pos="972"/>
        </w:tabs>
        <w:spacing w:before="1" w:after="0" w:line="240" w:lineRule="auto"/>
        <w:ind w:left="972" w:right="0" w:hanging="454"/>
        <w:jc w:val="left"/>
        <w:rPr>
          <w:rFonts w:hint="eastAsia" w:ascii="宋体" w:hAnsi="宋体" w:eastAsia="宋体" w:cs="宋体"/>
          <w:color w:val="auto"/>
          <w:sz w:val="21"/>
          <w:szCs w:val="21"/>
          <w:highlight w:val="none"/>
        </w:rPr>
      </w:pPr>
      <w:bookmarkStart w:id="93" w:name="22. 响应文件递交地点及截止期"/>
      <w:bookmarkEnd w:id="93"/>
      <w:bookmarkStart w:id="94" w:name="_bookmark22"/>
      <w:bookmarkEnd w:id="94"/>
      <w:r>
        <w:rPr>
          <w:rFonts w:hint="eastAsia" w:ascii="宋体" w:hAnsi="宋体" w:eastAsia="宋体" w:cs="宋体"/>
          <w:color w:val="auto"/>
          <w:sz w:val="21"/>
          <w:szCs w:val="21"/>
          <w:highlight w:val="none"/>
        </w:rPr>
        <w:t>响应文件递交地点及截止期</w:t>
      </w:r>
    </w:p>
    <w:p>
      <w:pPr>
        <w:pStyle w:val="8"/>
        <w:spacing w:before="8"/>
        <w:rPr>
          <w:rFonts w:hint="eastAsia" w:ascii="宋体" w:hAnsi="宋体" w:eastAsia="宋体" w:cs="宋体"/>
          <w:b/>
          <w:color w:val="auto"/>
          <w:sz w:val="21"/>
          <w:szCs w:val="21"/>
          <w:highlight w:val="none"/>
        </w:rPr>
      </w:pPr>
    </w:p>
    <w:p>
      <w:pPr>
        <w:pStyle w:val="19"/>
        <w:numPr>
          <w:ilvl w:val="1"/>
          <w:numId w:val="3"/>
        </w:numPr>
        <w:tabs>
          <w:tab w:val="left" w:pos="1529"/>
        </w:tabs>
        <w:spacing w:before="1" w:after="0" w:line="357"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响应文件应在本须知前附表所规定的日期和时间前按规定的地址送达采购代理机构。</w:t>
      </w:r>
    </w:p>
    <w:p>
      <w:pPr>
        <w:pStyle w:val="19"/>
        <w:numPr>
          <w:ilvl w:val="1"/>
          <w:numId w:val="3"/>
        </w:numPr>
        <w:tabs>
          <w:tab w:val="left" w:pos="1587"/>
        </w:tabs>
        <w:spacing w:before="2" w:after="0" w:line="357"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采购人根据本须知的规定可以发出补充修改书，酌情适当延长递交响应文件</w:t>
      </w:r>
      <w:r>
        <w:rPr>
          <w:rFonts w:hint="eastAsia" w:ascii="宋体" w:hAnsi="宋体" w:eastAsia="宋体" w:cs="宋体"/>
          <w:color w:val="auto"/>
          <w:spacing w:val="-8"/>
          <w:sz w:val="21"/>
          <w:szCs w:val="21"/>
          <w:highlight w:val="none"/>
        </w:rPr>
        <w:t>的截止期限。在上述情况下，采购人与供应商在原响应文件递交截止期方面的全部权力</w:t>
      </w:r>
      <w:r>
        <w:rPr>
          <w:rFonts w:hint="eastAsia" w:ascii="宋体" w:hAnsi="宋体" w:eastAsia="宋体" w:cs="宋体"/>
          <w:color w:val="auto"/>
          <w:sz w:val="21"/>
          <w:szCs w:val="21"/>
          <w:highlight w:val="none"/>
        </w:rPr>
        <w:t>和义务，将适用于延长后新的响应文件递交截止期。</w:t>
      </w:r>
    </w:p>
    <w:p>
      <w:pPr>
        <w:pStyle w:val="8"/>
        <w:spacing w:before="2"/>
        <w:rPr>
          <w:rFonts w:hint="eastAsia" w:ascii="宋体" w:hAnsi="宋体" w:eastAsia="宋体" w:cs="宋体"/>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95" w:name="23. 迟到的响应文件"/>
      <w:bookmarkEnd w:id="95"/>
      <w:bookmarkStart w:id="96" w:name="_bookmark23"/>
      <w:bookmarkEnd w:id="96"/>
      <w:r>
        <w:rPr>
          <w:rFonts w:hint="eastAsia" w:ascii="宋体" w:hAnsi="宋体" w:eastAsia="宋体" w:cs="宋体"/>
          <w:color w:val="auto"/>
          <w:sz w:val="21"/>
          <w:szCs w:val="21"/>
          <w:highlight w:val="none"/>
        </w:rPr>
        <w:t>迟到的响应文件</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87"/>
        </w:tabs>
        <w:spacing w:before="0" w:after="0" w:line="357" w:lineRule="auto"/>
        <w:ind w:left="518" w:right="514"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采购人在本须知规定的响应文件递交截止期以后收到的响应文件，将原封退给供应商。</w:t>
      </w:r>
    </w:p>
    <w:p>
      <w:pPr>
        <w:spacing w:after="0" w:line="357" w:lineRule="auto"/>
        <w:jc w:val="left"/>
        <w:rPr>
          <w:rFonts w:hint="eastAsia" w:ascii="宋体" w:hAnsi="宋体" w:eastAsia="宋体" w:cs="宋体"/>
          <w:color w:val="auto"/>
          <w:sz w:val="21"/>
          <w:szCs w:val="21"/>
          <w:highlight w:val="none"/>
        </w:rPr>
        <w:sectPr>
          <w:headerReference r:id="rId8" w:type="default"/>
          <w:pgSz w:w="11910" w:h="16840"/>
          <w:pgMar w:top="1300" w:right="900" w:bottom="1180" w:left="900" w:header="1100" w:footer="993" w:gutter="0"/>
        </w:sectPr>
      </w:pPr>
    </w:p>
    <w:p>
      <w:pPr>
        <w:pStyle w:val="8"/>
        <w:spacing w:before="10"/>
        <w:rPr>
          <w:rFonts w:hint="eastAsia" w:ascii="宋体" w:hAnsi="宋体" w:eastAsia="宋体" w:cs="宋体"/>
          <w:color w:val="auto"/>
          <w:sz w:val="21"/>
          <w:szCs w:val="21"/>
          <w:highlight w:val="none"/>
        </w:rPr>
      </w:pPr>
    </w:p>
    <w:p>
      <w:pPr>
        <w:pStyle w:val="5"/>
        <w:rPr>
          <w:rFonts w:hint="eastAsia" w:ascii="宋体" w:hAnsi="宋体" w:eastAsia="宋体" w:cs="宋体"/>
          <w:color w:val="auto"/>
          <w:sz w:val="21"/>
          <w:szCs w:val="21"/>
          <w:highlight w:val="none"/>
        </w:rPr>
      </w:pPr>
      <w:bookmarkStart w:id="97" w:name="五、截标、磋商与评标"/>
      <w:bookmarkEnd w:id="97"/>
      <w:bookmarkStart w:id="98" w:name="_bookmark24"/>
      <w:bookmarkEnd w:id="98"/>
      <w:r>
        <w:rPr>
          <w:rFonts w:hint="eastAsia" w:ascii="宋体" w:hAnsi="宋体" w:eastAsia="宋体" w:cs="宋体"/>
          <w:color w:val="auto"/>
          <w:sz w:val="32"/>
          <w:szCs w:val="32"/>
          <w:highlight w:val="none"/>
        </w:rPr>
        <w:t>五、截标、磋商与评标</w:t>
      </w:r>
    </w:p>
    <w:p>
      <w:pPr>
        <w:pStyle w:val="8"/>
        <w:spacing w:before="9"/>
        <w:rPr>
          <w:rFonts w:hint="eastAsia" w:ascii="宋体" w:hAnsi="宋体" w:eastAsia="宋体" w:cs="宋体"/>
          <w:b/>
          <w:color w:val="auto"/>
          <w:sz w:val="21"/>
          <w:szCs w:val="21"/>
          <w:highlight w:val="none"/>
        </w:rPr>
      </w:pPr>
    </w:p>
    <w:p>
      <w:pPr>
        <w:pStyle w:val="6"/>
        <w:numPr>
          <w:ilvl w:val="0"/>
          <w:numId w:val="3"/>
        </w:numPr>
        <w:tabs>
          <w:tab w:val="left" w:pos="972"/>
        </w:tabs>
        <w:spacing w:before="80" w:after="0" w:line="240" w:lineRule="auto"/>
        <w:ind w:left="972" w:right="0" w:hanging="454"/>
        <w:jc w:val="left"/>
        <w:rPr>
          <w:rFonts w:hint="eastAsia" w:ascii="宋体" w:hAnsi="宋体" w:eastAsia="宋体" w:cs="宋体"/>
          <w:color w:val="auto"/>
          <w:sz w:val="21"/>
          <w:szCs w:val="21"/>
          <w:highlight w:val="none"/>
        </w:rPr>
      </w:pPr>
      <w:bookmarkStart w:id="99" w:name="24. 截标"/>
      <w:bookmarkEnd w:id="99"/>
      <w:bookmarkStart w:id="100" w:name="_bookmark25"/>
      <w:bookmarkEnd w:id="100"/>
      <w:r>
        <w:rPr>
          <w:rFonts w:hint="eastAsia" w:ascii="宋体" w:hAnsi="宋体" w:eastAsia="宋体" w:cs="宋体"/>
          <w:color w:val="auto"/>
          <w:sz w:val="21"/>
          <w:szCs w:val="21"/>
          <w:highlight w:val="none"/>
        </w:rPr>
        <w:t>截标</w:t>
      </w:r>
    </w:p>
    <w:p>
      <w:pPr>
        <w:pStyle w:val="8"/>
        <w:spacing w:before="6"/>
        <w:rPr>
          <w:rFonts w:hint="eastAsia" w:ascii="宋体" w:hAnsi="宋体" w:eastAsia="宋体" w:cs="宋体"/>
          <w:b/>
          <w:color w:val="auto"/>
          <w:sz w:val="21"/>
          <w:szCs w:val="21"/>
          <w:highlight w:val="none"/>
        </w:rPr>
      </w:pPr>
    </w:p>
    <w:p>
      <w:pPr>
        <w:pStyle w:val="19"/>
        <w:numPr>
          <w:ilvl w:val="1"/>
          <w:numId w:val="3"/>
        </w:numPr>
        <w:tabs>
          <w:tab w:val="left" w:pos="1524"/>
        </w:tabs>
        <w:spacing w:before="1" w:after="0" w:line="360"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采购代理机构将在供应商须知前附表规定的时间和地点组织磋商，供应商的法</w:t>
      </w:r>
      <w:r>
        <w:rPr>
          <w:rFonts w:hint="eastAsia" w:ascii="宋体" w:hAnsi="宋体" w:eastAsia="宋体" w:cs="宋体"/>
          <w:color w:val="auto"/>
          <w:spacing w:val="-3"/>
          <w:sz w:val="21"/>
          <w:szCs w:val="21"/>
          <w:highlight w:val="none"/>
        </w:rPr>
        <w:t>定代表人或其授权委托人必须持供应商须知前附表规定的证件依时到现场参加磋商，否</w:t>
      </w:r>
      <w:r>
        <w:rPr>
          <w:rFonts w:hint="eastAsia" w:ascii="宋体" w:hAnsi="宋体" w:eastAsia="宋体" w:cs="宋体"/>
          <w:color w:val="auto"/>
          <w:sz w:val="21"/>
          <w:szCs w:val="21"/>
          <w:highlight w:val="none"/>
        </w:rPr>
        <w:t>则作无效响应处理。</w:t>
      </w:r>
    </w:p>
    <w:p>
      <w:pPr>
        <w:pStyle w:val="19"/>
        <w:numPr>
          <w:ilvl w:val="1"/>
          <w:numId w:val="3"/>
        </w:numPr>
        <w:tabs>
          <w:tab w:val="left" w:pos="1524"/>
        </w:tabs>
        <w:spacing w:before="0" w:after="0" w:line="360"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到规定截标时间，如果供应商不足三家，经有关监督部门、采购单位代表及供</w:t>
      </w:r>
      <w:r>
        <w:rPr>
          <w:rFonts w:hint="eastAsia" w:ascii="宋体" w:hAnsi="宋体" w:eastAsia="宋体" w:cs="宋体"/>
          <w:color w:val="auto"/>
          <w:spacing w:val="-5"/>
          <w:sz w:val="21"/>
          <w:szCs w:val="21"/>
          <w:highlight w:val="none"/>
        </w:rPr>
        <w:t>应商代表签字确认后，采购代理机构宣布本次采购项目予以废标，并按原状退还磋商响</w:t>
      </w:r>
      <w:r>
        <w:rPr>
          <w:rFonts w:hint="eastAsia" w:ascii="宋体" w:hAnsi="宋体" w:eastAsia="宋体" w:cs="宋体"/>
          <w:color w:val="auto"/>
          <w:sz w:val="21"/>
          <w:szCs w:val="21"/>
          <w:highlight w:val="none"/>
        </w:rPr>
        <w:t>应文件。</w:t>
      </w:r>
    </w:p>
    <w:p>
      <w:pPr>
        <w:pStyle w:val="19"/>
        <w:numPr>
          <w:ilvl w:val="1"/>
          <w:numId w:val="3"/>
        </w:numPr>
        <w:tabs>
          <w:tab w:val="left" w:pos="1524"/>
        </w:tabs>
        <w:spacing w:before="0" w:after="0" w:line="360"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截标时，供应商代表检查磋商响应文件的密封情况，确认无误后在密封性检查</w:t>
      </w:r>
      <w:r>
        <w:rPr>
          <w:rFonts w:hint="eastAsia" w:ascii="宋体" w:hAnsi="宋体" w:eastAsia="宋体" w:cs="宋体"/>
          <w:color w:val="auto"/>
          <w:sz w:val="21"/>
          <w:szCs w:val="21"/>
          <w:highlight w:val="none"/>
        </w:rPr>
        <w:t>结果表上签字。提交了“撤销竞标”通知的磋商响应文件将不予拆封。</w:t>
      </w:r>
    </w:p>
    <w:p>
      <w:pPr>
        <w:pStyle w:val="19"/>
        <w:numPr>
          <w:ilvl w:val="1"/>
          <w:numId w:val="3"/>
        </w:numPr>
        <w:tabs>
          <w:tab w:val="left" w:pos="1524"/>
        </w:tabs>
        <w:spacing w:before="0" w:after="0" w:line="307" w:lineRule="exact"/>
        <w:ind w:left="1524" w:right="0" w:hanging="52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截标会结束后立即转入磋商阶段。</w:t>
      </w:r>
    </w:p>
    <w:p>
      <w:pPr>
        <w:pStyle w:val="8"/>
        <w:spacing w:before="11"/>
        <w:rPr>
          <w:rFonts w:hint="eastAsia" w:ascii="宋体" w:hAnsi="宋体" w:eastAsia="宋体" w:cs="宋体"/>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101" w:name="25. 磋商"/>
      <w:bookmarkEnd w:id="101"/>
      <w:bookmarkStart w:id="102" w:name="_bookmark26"/>
      <w:bookmarkEnd w:id="102"/>
      <w:r>
        <w:rPr>
          <w:rFonts w:hint="eastAsia" w:ascii="宋体" w:hAnsi="宋体" w:eastAsia="宋体" w:cs="宋体"/>
          <w:color w:val="auto"/>
          <w:sz w:val="21"/>
          <w:szCs w:val="21"/>
          <w:highlight w:val="none"/>
        </w:rPr>
        <w:t>磋商</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24"/>
        </w:tabs>
        <w:spacing w:before="0" w:after="0" w:line="360" w:lineRule="auto"/>
        <w:ind w:left="518" w:right="512"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磋商时间及地点：在供应商须知前附表第 </w:t>
      </w:r>
      <w:r>
        <w:rPr>
          <w:rFonts w:hint="eastAsia" w:ascii="宋体" w:hAnsi="宋体" w:eastAsia="宋体" w:cs="宋体"/>
          <w:color w:val="auto"/>
          <w:sz w:val="21"/>
          <w:szCs w:val="21"/>
          <w:highlight w:val="none"/>
        </w:rPr>
        <w:t>10</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
          <w:sz w:val="21"/>
          <w:szCs w:val="21"/>
          <w:highlight w:val="none"/>
        </w:rPr>
        <w:t>项规定的时间后为与供应商磋商</w:t>
      </w:r>
      <w:r>
        <w:rPr>
          <w:rFonts w:hint="eastAsia" w:ascii="宋体" w:hAnsi="宋体" w:eastAsia="宋体" w:cs="宋体"/>
          <w:color w:val="auto"/>
          <w:sz w:val="21"/>
          <w:szCs w:val="21"/>
          <w:highlight w:val="none"/>
        </w:rPr>
        <w:t>时间，具体时间由采购代理机构另行通知。</w:t>
      </w:r>
    </w:p>
    <w:p>
      <w:pPr>
        <w:pStyle w:val="8"/>
        <w:spacing w:before="154"/>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磋商地点：</w:t>
      </w:r>
      <w:r>
        <w:rPr>
          <w:rFonts w:hint="eastAsia" w:ascii="宋体" w:hAnsi="宋体" w:eastAsia="宋体" w:cs="宋体"/>
          <w:color w:val="auto"/>
          <w:sz w:val="21"/>
          <w:szCs w:val="21"/>
          <w:highlight w:val="none"/>
          <w:lang w:eastAsia="zh-CN"/>
        </w:rPr>
        <w:t>广西建隆工程咨询有限公司</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5"/>
          <w:sz w:val="21"/>
          <w:szCs w:val="21"/>
          <w:highlight w:val="none"/>
          <w:lang w:eastAsia="zh-CN"/>
        </w:rPr>
        <w:t>崇左市花山路与城南八路交叉口万沣名车城4楼406室</w:t>
      </w:r>
      <w:r>
        <w:rPr>
          <w:rFonts w:hint="eastAsia" w:ascii="宋体" w:hAnsi="宋体" w:eastAsia="宋体" w:cs="宋体"/>
          <w:color w:val="auto"/>
          <w:sz w:val="21"/>
          <w:szCs w:val="21"/>
          <w:highlight w:val="none"/>
        </w:rPr>
        <w:t>）。</w:t>
      </w:r>
    </w:p>
    <w:p>
      <w:pPr>
        <w:pStyle w:val="19"/>
        <w:numPr>
          <w:ilvl w:val="1"/>
          <w:numId w:val="3"/>
        </w:numPr>
        <w:tabs>
          <w:tab w:val="left" w:pos="1529"/>
        </w:tabs>
        <w:spacing w:before="153" w:after="0" w:line="360"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采购代理机构将在供应商须知前附表第 </w:t>
      </w:r>
      <w:r>
        <w:rPr>
          <w:rFonts w:hint="eastAsia" w:ascii="宋体" w:hAnsi="宋体" w:eastAsia="宋体" w:cs="宋体"/>
          <w:color w:val="auto"/>
          <w:sz w:val="21"/>
          <w:szCs w:val="21"/>
          <w:highlight w:val="none"/>
        </w:rPr>
        <w:t>10</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4"/>
          <w:sz w:val="21"/>
          <w:szCs w:val="21"/>
          <w:highlight w:val="none"/>
        </w:rPr>
        <w:t>项规定的时间和地点组织</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2"/>
          <w:sz w:val="21"/>
          <w:szCs w:val="21"/>
          <w:highlight w:val="none"/>
        </w:rPr>
        <w:t>磋商小组”</w:t>
      </w:r>
      <w:r>
        <w:rPr>
          <w:rFonts w:hint="eastAsia" w:ascii="宋体" w:hAnsi="宋体" w:eastAsia="宋体" w:cs="宋体"/>
          <w:color w:val="auto"/>
          <w:sz w:val="21"/>
          <w:szCs w:val="21"/>
          <w:highlight w:val="none"/>
        </w:rPr>
        <w:t>与各供应商分别进行磋商。供应商的法定代表人或其授权委托人必须持证件（身份</w:t>
      </w:r>
      <w:r>
        <w:rPr>
          <w:rFonts w:hint="eastAsia" w:ascii="宋体" w:hAnsi="宋体" w:eastAsia="宋体" w:cs="宋体"/>
          <w:color w:val="auto"/>
          <w:spacing w:val="-2"/>
          <w:sz w:val="21"/>
          <w:szCs w:val="21"/>
          <w:highlight w:val="none"/>
        </w:rPr>
        <w:t>证及磋商保证金收据或授权委托人持授权委托书、本人身份证及磋商保证金收据</w:t>
      </w:r>
      <w:r>
        <w:rPr>
          <w:rFonts w:hint="eastAsia" w:ascii="宋体" w:hAnsi="宋体" w:eastAsia="宋体" w:cs="宋体"/>
          <w:color w:val="auto"/>
          <w:spacing w:val="-27"/>
          <w:sz w:val="21"/>
          <w:szCs w:val="21"/>
          <w:highlight w:val="none"/>
        </w:rPr>
        <w:t>）</w:t>
      </w:r>
      <w:r>
        <w:rPr>
          <w:rFonts w:hint="eastAsia" w:ascii="宋体" w:hAnsi="宋体" w:eastAsia="宋体" w:cs="宋体"/>
          <w:color w:val="auto"/>
          <w:spacing w:val="-6"/>
          <w:sz w:val="21"/>
          <w:szCs w:val="21"/>
          <w:highlight w:val="none"/>
        </w:rPr>
        <w:t>依时</w:t>
      </w:r>
      <w:r>
        <w:rPr>
          <w:rFonts w:hint="eastAsia" w:ascii="宋体" w:hAnsi="宋体" w:eastAsia="宋体" w:cs="宋体"/>
          <w:color w:val="auto"/>
          <w:sz w:val="21"/>
          <w:szCs w:val="21"/>
          <w:highlight w:val="none"/>
        </w:rPr>
        <w:t>到达现场等候参加磋商，并自觉接受核验上述证件。</w:t>
      </w:r>
    </w:p>
    <w:p>
      <w:pPr>
        <w:pStyle w:val="19"/>
        <w:numPr>
          <w:ilvl w:val="1"/>
          <w:numId w:val="3"/>
        </w:numPr>
        <w:tabs>
          <w:tab w:val="left" w:pos="1524"/>
        </w:tabs>
        <w:spacing w:before="0" w:after="0" w:line="360"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 xml:space="preserve">供应商可由 </w:t>
      </w:r>
      <w:r>
        <w:rPr>
          <w:rFonts w:hint="eastAsia" w:ascii="宋体" w:hAnsi="宋体" w:eastAsia="宋体" w:cs="宋体"/>
          <w:color w:val="auto"/>
          <w:sz w:val="21"/>
          <w:szCs w:val="21"/>
          <w:highlight w:val="none"/>
        </w:rPr>
        <w:t>1～3</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2"/>
          <w:sz w:val="21"/>
          <w:szCs w:val="21"/>
          <w:highlight w:val="none"/>
        </w:rPr>
        <w:t>人组成参谈小组，磋商中供应商成员之间意见不一致时，以</w:t>
      </w:r>
      <w:r>
        <w:rPr>
          <w:rFonts w:hint="eastAsia" w:ascii="宋体" w:hAnsi="宋体" w:eastAsia="宋体" w:cs="宋体"/>
          <w:color w:val="auto"/>
          <w:sz w:val="21"/>
          <w:szCs w:val="21"/>
          <w:highlight w:val="none"/>
        </w:rPr>
        <w:t>供应商的法定代表人（或其委托代理人）的意见为准。</w:t>
      </w:r>
    </w:p>
    <w:p>
      <w:pPr>
        <w:pStyle w:val="19"/>
        <w:numPr>
          <w:ilvl w:val="1"/>
          <w:numId w:val="3"/>
        </w:numPr>
        <w:tabs>
          <w:tab w:val="left" w:pos="1510"/>
        </w:tabs>
        <w:spacing w:before="0" w:after="0" w:line="357" w:lineRule="auto"/>
        <w:ind w:left="518" w:right="392"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磋商的内容包括技术性条件、商务性条件以及</w:t>
      </w:r>
      <w:r>
        <w:rPr>
          <w:rFonts w:hint="eastAsia" w:ascii="宋体" w:hAnsi="宋体" w:eastAsia="宋体" w:cs="宋体"/>
          <w:color w:val="auto"/>
          <w:sz w:val="21"/>
          <w:szCs w:val="21"/>
          <w:highlight w:val="none"/>
        </w:rPr>
        <w:t>“磋商小组”</w:t>
      </w:r>
      <w:r>
        <w:rPr>
          <w:rFonts w:hint="eastAsia" w:ascii="宋体" w:hAnsi="宋体" w:eastAsia="宋体" w:cs="宋体"/>
          <w:color w:val="auto"/>
          <w:spacing w:val="-2"/>
          <w:sz w:val="21"/>
          <w:szCs w:val="21"/>
          <w:highlight w:val="none"/>
        </w:rPr>
        <w:t>认为需要磋商的内容。</w:t>
      </w:r>
      <w:r>
        <w:rPr>
          <w:rFonts w:hint="eastAsia" w:ascii="宋体" w:hAnsi="宋体" w:eastAsia="宋体" w:cs="宋体"/>
          <w:color w:val="auto"/>
          <w:sz w:val="21"/>
          <w:szCs w:val="21"/>
          <w:highlight w:val="none"/>
        </w:rPr>
        <w:t>当磋商文件有实质性变动的，“磋商小组”以书面形式通知所有参加磋商的供应商。其中涉及价格的内容不得要求供应商在磋商时作口头报价，而应以书面密封形式报价。</w:t>
      </w:r>
    </w:p>
    <w:p>
      <w:pPr>
        <w:pStyle w:val="19"/>
        <w:numPr>
          <w:ilvl w:val="1"/>
          <w:numId w:val="3"/>
        </w:numPr>
        <w:tabs>
          <w:tab w:val="left" w:pos="1524"/>
        </w:tabs>
        <w:spacing w:before="0" w:after="0" w:line="240" w:lineRule="auto"/>
        <w:ind w:left="1524" w:right="0" w:hanging="5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磋商内容应作记录，并由供应商及“磋商小组”</w:t>
      </w:r>
      <w:r>
        <w:rPr>
          <w:rFonts w:hint="eastAsia" w:ascii="宋体" w:hAnsi="宋体" w:eastAsia="宋体" w:cs="宋体"/>
          <w:color w:val="auto"/>
          <w:spacing w:val="-5"/>
          <w:sz w:val="21"/>
          <w:szCs w:val="21"/>
          <w:highlight w:val="none"/>
        </w:rPr>
        <w:t>成员签字确认。</w:t>
      </w:r>
    </w:p>
    <w:p>
      <w:pPr>
        <w:pStyle w:val="8"/>
        <w:spacing w:before="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磋商结束后，</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8"/>
          <w:sz w:val="21"/>
          <w:szCs w:val="21"/>
          <w:highlight w:val="none"/>
        </w:rPr>
        <w:t>磋商小组</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8"/>
          <w:sz w:val="21"/>
          <w:szCs w:val="21"/>
          <w:highlight w:val="none"/>
        </w:rPr>
        <w:t>应要求供应商在规定的时间、地点以书面密封形式递交</w:t>
      </w:r>
      <w:r>
        <w:rPr>
          <w:rFonts w:hint="eastAsia" w:ascii="宋体" w:hAnsi="宋体" w:eastAsia="宋体" w:cs="宋体"/>
          <w:color w:val="auto"/>
          <w:spacing w:val="-10"/>
          <w:sz w:val="21"/>
          <w:szCs w:val="21"/>
          <w:highlight w:val="none"/>
        </w:rPr>
        <w:t>磋商时要求其就商务和技术条件作出的包含补充、修改、承诺等内容的应答文件，应答文件必须由供应商的法定代表人或委托代理人签名或加盖单位公章，应答文件构成响应文件</w:t>
      </w:r>
      <w:r>
        <w:rPr>
          <w:rFonts w:hint="eastAsia" w:ascii="宋体" w:hAnsi="宋体" w:eastAsia="宋体" w:cs="宋体"/>
          <w:color w:val="auto"/>
          <w:spacing w:val="-8"/>
          <w:sz w:val="21"/>
          <w:szCs w:val="21"/>
          <w:highlight w:val="none"/>
        </w:rPr>
        <w:t>的一部分。</w:t>
      </w:r>
    </w:p>
    <w:p>
      <w:pPr>
        <w:pStyle w:val="19"/>
        <w:numPr>
          <w:ilvl w:val="1"/>
          <w:numId w:val="3"/>
        </w:numPr>
        <w:tabs>
          <w:tab w:val="left" w:pos="1441"/>
        </w:tabs>
        <w:spacing w:before="0" w:after="0" w:line="360" w:lineRule="auto"/>
        <w:ind w:left="518" w:right="476" w:firstLine="46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“磋商小组”对各供应商递交的应答文件统一开启，并进行评审后，认为有必要</w:t>
      </w:r>
      <w:r>
        <w:rPr>
          <w:rFonts w:hint="eastAsia" w:ascii="宋体" w:hAnsi="宋体" w:eastAsia="宋体" w:cs="宋体"/>
          <w:color w:val="auto"/>
          <w:spacing w:val="-5"/>
          <w:sz w:val="21"/>
          <w:szCs w:val="21"/>
          <w:highlight w:val="none"/>
        </w:rPr>
        <w:t xml:space="preserve">再次进行磋商的，可再次与供应商进行磋商，磋商程序和要求按本须知 </w:t>
      </w:r>
      <w:r>
        <w:rPr>
          <w:rFonts w:hint="eastAsia" w:ascii="宋体" w:hAnsi="宋体" w:eastAsia="宋体" w:cs="宋体"/>
          <w:color w:val="auto"/>
          <w:sz w:val="21"/>
          <w:szCs w:val="21"/>
          <w:highlight w:val="none"/>
        </w:rPr>
        <w:t>21.1</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30"/>
          <w:sz w:val="21"/>
          <w:szCs w:val="21"/>
          <w:highlight w:val="none"/>
        </w:rPr>
        <w:t xml:space="preserve">至 </w:t>
      </w:r>
      <w:r>
        <w:rPr>
          <w:rFonts w:hint="eastAsia" w:ascii="宋体" w:hAnsi="宋体" w:eastAsia="宋体" w:cs="宋体"/>
          <w:color w:val="auto"/>
          <w:sz w:val="21"/>
          <w:szCs w:val="21"/>
          <w:highlight w:val="none"/>
        </w:rPr>
        <w:t>21.6</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规</w:t>
      </w:r>
      <w:r>
        <w:rPr>
          <w:rFonts w:hint="eastAsia" w:ascii="宋体" w:hAnsi="宋体" w:eastAsia="宋体" w:cs="宋体"/>
          <w:color w:val="auto"/>
          <w:spacing w:val="-13"/>
          <w:sz w:val="21"/>
          <w:szCs w:val="21"/>
          <w:highlight w:val="none"/>
        </w:rPr>
        <w:t>定执行，直至</w:t>
      </w:r>
      <w:r>
        <w:rPr>
          <w:rFonts w:hint="eastAsia" w:ascii="宋体" w:hAnsi="宋体" w:eastAsia="宋体" w:cs="宋体"/>
          <w:color w:val="auto"/>
          <w:sz w:val="21"/>
          <w:szCs w:val="21"/>
          <w:highlight w:val="none"/>
        </w:rPr>
        <w:t>“磋商小组”</w:t>
      </w:r>
      <w:r>
        <w:rPr>
          <w:rFonts w:hint="eastAsia" w:ascii="宋体" w:hAnsi="宋体" w:eastAsia="宋体" w:cs="宋体"/>
          <w:color w:val="auto"/>
          <w:spacing w:val="-11"/>
          <w:sz w:val="21"/>
          <w:szCs w:val="21"/>
          <w:highlight w:val="none"/>
        </w:rPr>
        <w:t>认为没有必要再进行磋商，磋商方可结束。对最后一轮磋商，</w:t>
      </w:r>
      <w:r>
        <w:rPr>
          <w:rFonts w:hint="eastAsia" w:ascii="宋体" w:hAnsi="宋体" w:eastAsia="宋体" w:cs="宋体"/>
          <w:color w:val="auto"/>
          <w:spacing w:val="-36"/>
          <w:sz w:val="21"/>
          <w:szCs w:val="21"/>
          <w:highlight w:val="none"/>
        </w:rPr>
        <w:t>“</w:t>
      </w:r>
      <w:r>
        <w:rPr>
          <w:rFonts w:hint="eastAsia" w:ascii="宋体" w:hAnsi="宋体" w:eastAsia="宋体" w:cs="宋体"/>
          <w:color w:val="auto"/>
          <w:sz w:val="21"/>
          <w:szCs w:val="21"/>
          <w:highlight w:val="none"/>
        </w:rPr>
        <w:t>磋商小组”</w:t>
      </w:r>
      <w:r>
        <w:rPr>
          <w:rFonts w:hint="eastAsia" w:ascii="宋体" w:hAnsi="宋体" w:eastAsia="宋体" w:cs="宋体"/>
          <w:color w:val="auto"/>
          <w:spacing w:val="-10"/>
          <w:sz w:val="21"/>
          <w:szCs w:val="21"/>
          <w:highlight w:val="none"/>
        </w:rPr>
        <w:t>应明确告知供应商，并要求所有供应商在规定的时间、地点以书面密封形式递交</w:t>
      </w:r>
      <w:r>
        <w:rPr>
          <w:rFonts w:hint="eastAsia" w:ascii="宋体" w:hAnsi="宋体" w:eastAsia="宋体" w:cs="宋体"/>
          <w:color w:val="auto"/>
          <w:spacing w:val="-8"/>
          <w:sz w:val="21"/>
          <w:szCs w:val="21"/>
          <w:highlight w:val="none"/>
        </w:rPr>
        <w:t>最终的应答文件。</w:t>
      </w:r>
      <w:r>
        <w:rPr>
          <w:rFonts w:hint="eastAsia" w:ascii="宋体" w:hAnsi="宋体" w:eastAsia="宋体" w:cs="宋体"/>
          <w:b/>
          <w:color w:val="auto"/>
          <w:sz w:val="21"/>
          <w:szCs w:val="21"/>
          <w:highlight w:val="none"/>
        </w:rPr>
        <w:t xml:space="preserve">磋商文件能够详细列明采购标的的技术、服务要求的，磋商结束后， </w:t>
      </w:r>
      <w:r>
        <w:rPr>
          <w:rFonts w:hint="eastAsia" w:ascii="宋体" w:hAnsi="宋体" w:eastAsia="宋体" w:cs="宋体"/>
          <w:b/>
          <w:color w:val="auto"/>
          <w:spacing w:val="-3"/>
          <w:sz w:val="21"/>
          <w:szCs w:val="21"/>
          <w:highlight w:val="none"/>
        </w:rPr>
        <w:t>磋商小组应当要求所有继续参加磋商的供应商在规定时间内密封提交最后报价，提交最</w:t>
      </w:r>
      <w:r>
        <w:rPr>
          <w:rFonts w:hint="eastAsia" w:ascii="宋体" w:hAnsi="宋体" w:eastAsia="宋体" w:cs="宋体"/>
          <w:b/>
          <w:color w:val="auto"/>
          <w:spacing w:val="-8"/>
          <w:sz w:val="21"/>
          <w:szCs w:val="21"/>
          <w:highlight w:val="none"/>
        </w:rPr>
        <w:t xml:space="preserve">后报价的供应商不得小于 </w:t>
      </w:r>
      <w:r>
        <w:rPr>
          <w:rFonts w:hint="eastAsia" w:ascii="宋体" w:hAnsi="宋体" w:eastAsia="宋体" w:cs="宋体"/>
          <w:b/>
          <w:color w:val="auto"/>
          <w:sz w:val="21"/>
          <w:szCs w:val="21"/>
          <w:highlight w:val="none"/>
        </w:rPr>
        <w:t>3</w:t>
      </w:r>
      <w:r>
        <w:rPr>
          <w:rFonts w:hint="eastAsia" w:ascii="宋体" w:hAnsi="宋体" w:eastAsia="宋体" w:cs="宋体"/>
          <w:b/>
          <w:color w:val="auto"/>
          <w:spacing w:val="-22"/>
          <w:sz w:val="21"/>
          <w:szCs w:val="21"/>
          <w:highlight w:val="none"/>
        </w:rPr>
        <w:t xml:space="preserve"> 家，</w:t>
      </w:r>
      <w:r>
        <w:rPr>
          <w:rFonts w:hint="eastAsia" w:ascii="宋体" w:hAnsi="宋体" w:eastAsia="宋体" w:cs="宋体"/>
          <w:b/>
          <w:color w:val="auto"/>
          <w:spacing w:val="-4"/>
          <w:sz w:val="21"/>
          <w:szCs w:val="21"/>
          <w:highlight w:val="none"/>
        </w:rPr>
        <w:t>（</w:t>
      </w:r>
      <w:r>
        <w:rPr>
          <w:rFonts w:hint="eastAsia" w:ascii="宋体" w:hAnsi="宋体" w:eastAsia="宋体" w:cs="宋体"/>
          <w:b/>
          <w:color w:val="auto"/>
          <w:sz w:val="21"/>
          <w:szCs w:val="21"/>
          <w:highlight w:val="none"/>
        </w:rPr>
        <w:t>符合财库〔2014</w:t>
      </w:r>
      <w:r>
        <w:rPr>
          <w:rFonts w:hint="eastAsia" w:ascii="宋体" w:hAnsi="宋体" w:eastAsia="宋体" w:cs="宋体"/>
          <w:b/>
          <w:color w:val="auto"/>
          <w:spacing w:val="-3"/>
          <w:sz w:val="21"/>
          <w:szCs w:val="21"/>
          <w:highlight w:val="none"/>
        </w:rPr>
        <w:t>〕</w:t>
      </w:r>
      <w:r>
        <w:rPr>
          <w:rFonts w:hint="eastAsia" w:ascii="宋体" w:hAnsi="宋体" w:eastAsia="宋体" w:cs="宋体"/>
          <w:b/>
          <w:color w:val="auto"/>
          <w:sz w:val="21"/>
          <w:szCs w:val="21"/>
          <w:highlight w:val="none"/>
        </w:rPr>
        <w:t>214</w:t>
      </w:r>
      <w:r>
        <w:rPr>
          <w:rFonts w:hint="eastAsia" w:ascii="宋体" w:hAnsi="宋体" w:eastAsia="宋体" w:cs="宋体"/>
          <w:b/>
          <w:color w:val="auto"/>
          <w:spacing w:val="-8"/>
          <w:sz w:val="21"/>
          <w:szCs w:val="21"/>
          <w:highlight w:val="none"/>
        </w:rPr>
        <w:t xml:space="preserve"> 号《政府采购竞争性磋商采购</w:t>
      </w:r>
      <w:r>
        <w:rPr>
          <w:rFonts w:hint="eastAsia" w:ascii="宋体" w:hAnsi="宋体" w:eastAsia="宋体" w:cs="宋体"/>
          <w:b/>
          <w:color w:val="auto"/>
          <w:spacing w:val="-13"/>
          <w:sz w:val="21"/>
          <w:szCs w:val="21"/>
          <w:highlight w:val="none"/>
        </w:rPr>
        <w:t>方式管理暂行办法》第三条第四项、《财政部关于政府采购竞争性磋商采购方式管理暂行办法有关问题的补充通知》</w:t>
      </w:r>
      <w:r>
        <w:rPr>
          <w:rFonts w:hint="eastAsia" w:ascii="宋体" w:hAnsi="宋体" w:eastAsia="宋体" w:cs="宋体"/>
          <w:b/>
          <w:color w:val="auto"/>
          <w:sz w:val="21"/>
          <w:szCs w:val="21"/>
          <w:highlight w:val="none"/>
        </w:rPr>
        <w:t>（</w:t>
      </w:r>
      <w:r>
        <w:rPr>
          <w:rFonts w:hint="eastAsia" w:ascii="宋体" w:hAnsi="宋体" w:eastAsia="宋体" w:cs="宋体"/>
          <w:b/>
          <w:color w:val="auto"/>
          <w:spacing w:val="-2"/>
          <w:sz w:val="21"/>
          <w:szCs w:val="21"/>
          <w:highlight w:val="none"/>
        </w:rPr>
        <w:t>财库〔</w:t>
      </w:r>
      <w:r>
        <w:rPr>
          <w:rFonts w:hint="eastAsia" w:ascii="宋体" w:hAnsi="宋体" w:eastAsia="宋体" w:cs="宋体"/>
          <w:b/>
          <w:color w:val="auto"/>
          <w:sz w:val="21"/>
          <w:szCs w:val="21"/>
          <w:highlight w:val="none"/>
        </w:rPr>
        <w:t>2015〕124</w:t>
      </w:r>
      <w:r>
        <w:rPr>
          <w:rFonts w:hint="eastAsia" w:ascii="宋体" w:hAnsi="宋体" w:eastAsia="宋体" w:cs="宋体"/>
          <w:b/>
          <w:color w:val="auto"/>
          <w:spacing w:val="-28"/>
          <w:sz w:val="21"/>
          <w:szCs w:val="21"/>
          <w:highlight w:val="none"/>
        </w:rPr>
        <w:t xml:space="preserve"> 号</w:t>
      </w:r>
      <w:r>
        <w:rPr>
          <w:rFonts w:hint="eastAsia" w:ascii="宋体" w:hAnsi="宋体" w:eastAsia="宋体" w:cs="宋体"/>
          <w:b/>
          <w:color w:val="auto"/>
          <w:spacing w:val="-3"/>
          <w:sz w:val="21"/>
          <w:szCs w:val="21"/>
          <w:highlight w:val="none"/>
        </w:rPr>
        <w:t>）</w:t>
      </w:r>
      <w:r>
        <w:rPr>
          <w:rFonts w:hint="eastAsia" w:ascii="宋体" w:hAnsi="宋体" w:eastAsia="宋体" w:cs="宋体"/>
          <w:b/>
          <w:color w:val="auto"/>
          <w:spacing w:val="-1"/>
          <w:sz w:val="21"/>
          <w:szCs w:val="21"/>
          <w:highlight w:val="none"/>
        </w:rPr>
        <w:t>情形的，提交最后报价的供应商</w:t>
      </w:r>
      <w:r>
        <w:rPr>
          <w:rFonts w:hint="eastAsia" w:ascii="宋体" w:hAnsi="宋体" w:eastAsia="宋体" w:cs="宋体"/>
          <w:b/>
          <w:color w:val="auto"/>
          <w:spacing w:val="-16"/>
          <w:sz w:val="21"/>
          <w:szCs w:val="21"/>
          <w:highlight w:val="none"/>
        </w:rPr>
        <w:t xml:space="preserve">可以为 </w:t>
      </w:r>
      <w:r>
        <w:rPr>
          <w:rFonts w:hint="eastAsia" w:ascii="宋体" w:hAnsi="宋体" w:eastAsia="宋体" w:cs="宋体"/>
          <w:b/>
          <w:color w:val="auto"/>
          <w:sz w:val="21"/>
          <w:szCs w:val="21"/>
          <w:highlight w:val="none"/>
        </w:rPr>
        <w:t>2</w:t>
      </w:r>
      <w:r>
        <w:rPr>
          <w:rFonts w:hint="eastAsia" w:ascii="宋体" w:hAnsi="宋体" w:eastAsia="宋体" w:cs="宋体"/>
          <w:b/>
          <w:color w:val="auto"/>
          <w:spacing w:val="-30"/>
          <w:sz w:val="21"/>
          <w:szCs w:val="21"/>
          <w:highlight w:val="none"/>
        </w:rPr>
        <w:t xml:space="preserve"> 家</w:t>
      </w:r>
      <w:r>
        <w:rPr>
          <w:rFonts w:hint="eastAsia" w:ascii="宋体" w:hAnsi="宋体" w:eastAsia="宋体" w:cs="宋体"/>
          <w:b/>
          <w:color w:val="auto"/>
          <w:spacing w:val="-17"/>
          <w:sz w:val="21"/>
          <w:szCs w:val="21"/>
          <w:highlight w:val="none"/>
        </w:rPr>
        <w:t>）</w:t>
      </w:r>
      <w:r>
        <w:rPr>
          <w:rFonts w:hint="eastAsia" w:ascii="宋体" w:hAnsi="宋体" w:eastAsia="宋体" w:cs="宋体"/>
          <w:b/>
          <w:color w:val="auto"/>
          <w:spacing w:val="-20"/>
          <w:sz w:val="21"/>
          <w:szCs w:val="21"/>
          <w:highlight w:val="none"/>
        </w:rPr>
        <w:t>。</w:t>
      </w:r>
      <w:r>
        <w:rPr>
          <w:rFonts w:hint="eastAsia" w:ascii="宋体" w:hAnsi="宋体" w:eastAsia="宋体" w:cs="宋体"/>
          <w:color w:val="auto"/>
          <w:spacing w:val="-1"/>
          <w:sz w:val="21"/>
          <w:szCs w:val="21"/>
          <w:highlight w:val="none"/>
        </w:rPr>
        <w:t>最后报价是供应商竞争性磋商响应文件的有效组成部分。已提交响应文</w:t>
      </w:r>
      <w:r>
        <w:rPr>
          <w:rFonts w:hint="eastAsia" w:ascii="宋体" w:hAnsi="宋体" w:eastAsia="宋体" w:cs="宋体"/>
          <w:color w:val="auto"/>
          <w:spacing w:val="-6"/>
          <w:sz w:val="21"/>
          <w:szCs w:val="21"/>
          <w:highlight w:val="none"/>
        </w:rPr>
        <w:t>件的供应商，在提交最后报价之前，可以根据磋商情况退出磋商。采购人、采购代理机构将退还退出磋商的供应商的保证金。</w:t>
      </w:r>
    </w:p>
    <w:p>
      <w:pPr>
        <w:pStyle w:val="19"/>
        <w:numPr>
          <w:ilvl w:val="1"/>
          <w:numId w:val="3"/>
        </w:numPr>
        <w:tabs>
          <w:tab w:val="left" w:pos="1491"/>
        </w:tabs>
        <w:spacing w:before="0" w:after="0" w:line="293" w:lineRule="exact"/>
        <w:ind w:left="1490" w:right="0" w:hanging="510"/>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最终磋商结束后，</w:t>
      </w:r>
      <w:r>
        <w:rPr>
          <w:rFonts w:hint="eastAsia" w:ascii="宋体" w:hAnsi="宋体" w:eastAsia="宋体" w:cs="宋体"/>
          <w:color w:val="auto"/>
          <w:spacing w:val="-7"/>
          <w:sz w:val="21"/>
          <w:szCs w:val="21"/>
          <w:highlight w:val="none"/>
        </w:rPr>
        <w:t>“</w:t>
      </w:r>
      <w:r>
        <w:rPr>
          <w:rFonts w:hint="eastAsia" w:ascii="宋体" w:hAnsi="宋体" w:eastAsia="宋体" w:cs="宋体"/>
          <w:color w:val="auto"/>
          <w:sz w:val="21"/>
          <w:szCs w:val="21"/>
          <w:highlight w:val="none"/>
        </w:rPr>
        <w:t>磋商小组”不得再与供应商进行任何形式的商谈。</w:t>
      </w:r>
    </w:p>
    <w:p>
      <w:pPr>
        <w:pStyle w:val="19"/>
        <w:numPr>
          <w:ilvl w:val="1"/>
          <w:numId w:val="3"/>
        </w:numPr>
        <w:tabs>
          <w:tab w:val="left" w:pos="1659"/>
        </w:tabs>
        <w:spacing w:before="150" w:after="0" w:line="360"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磋商的任何一方不得透露与磋商有关的其他供应商的技术资料、价格和其他</w:t>
      </w:r>
      <w:r>
        <w:rPr>
          <w:rFonts w:hint="eastAsia" w:ascii="宋体" w:hAnsi="宋体" w:eastAsia="宋体" w:cs="宋体"/>
          <w:color w:val="auto"/>
          <w:sz w:val="21"/>
          <w:szCs w:val="21"/>
          <w:highlight w:val="none"/>
        </w:rPr>
        <w:t>信息。</w:t>
      </w:r>
    </w:p>
    <w:p>
      <w:pPr>
        <w:pStyle w:val="19"/>
        <w:numPr>
          <w:ilvl w:val="1"/>
          <w:numId w:val="3"/>
        </w:numPr>
        <w:tabs>
          <w:tab w:val="left" w:pos="1700"/>
        </w:tabs>
        <w:spacing w:before="0" w:after="0" w:line="304" w:lineRule="exact"/>
        <w:ind w:left="1699" w:right="0" w:hanging="70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磋商原则</w:t>
      </w:r>
    </w:p>
    <w:p>
      <w:pPr>
        <w:pStyle w:val="19"/>
        <w:numPr>
          <w:ilvl w:val="0"/>
          <w:numId w:val="10"/>
        </w:numPr>
        <w:tabs>
          <w:tab w:val="left" w:pos="1612"/>
        </w:tabs>
        <w:spacing w:before="154"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公平、公正、客观，不带任何倾向性和启发性；</w:t>
      </w:r>
    </w:p>
    <w:p>
      <w:pPr>
        <w:pStyle w:val="19"/>
        <w:numPr>
          <w:ilvl w:val="0"/>
          <w:numId w:val="10"/>
        </w:numPr>
        <w:tabs>
          <w:tab w:val="left" w:pos="1612"/>
        </w:tabs>
        <w:spacing w:before="15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磋商人员不得向外界透露任何与磋商有关的内容；</w:t>
      </w:r>
    </w:p>
    <w:p>
      <w:pPr>
        <w:pStyle w:val="19"/>
        <w:numPr>
          <w:ilvl w:val="0"/>
          <w:numId w:val="10"/>
        </w:numPr>
        <w:tabs>
          <w:tab w:val="left" w:pos="1612"/>
        </w:tabs>
        <w:spacing w:before="151"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任何单位和个人不得干扰、影响磋商的正常进行；</w:t>
      </w:r>
    </w:p>
    <w:p>
      <w:pPr>
        <w:pStyle w:val="19"/>
        <w:numPr>
          <w:ilvl w:val="0"/>
          <w:numId w:val="10"/>
        </w:numPr>
        <w:tabs>
          <w:tab w:val="left" w:pos="1612"/>
        </w:tabs>
        <w:spacing w:before="15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磋商人员不得私下与供应商接触。</w:t>
      </w:r>
    </w:p>
    <w:p>
      <w:pPr>
        <w:pStyle w:val="19"/>
        <w:numPr>
          <w:ilvl w:val="1"/>
          <w:numId w:val="3"/>
        </w:numPr>
        <w:tabs>
          <w:tab w:val="left" w:pos="1659"/>
        </w:tabs>
        <w:spacing w:before="153" w:after="0" w:line="240" w:lineRule="auto"/>
        <w:ind w:left="1658" w:right="0" w:hanging="66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响应文件有下列情况之一者将视为竞标无效：</w:t>
      </w:r>
    </w:p>
    <w:p>
      <w:pPr>
        <w:pStyle w:val="19"/>
        <w:numPr>
          <w:ilvl w:val="0"/>
          <w:numId w:val="11"/>
        </w:numPr>
        <w:tabs>
          <w:tab w:val="left" w:pos="1612"/>
        </w:tabs>
        <w:spacing w:before="151"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应交未交或未足额缴纳磋商保证金的；</w:t>
      </w:r>
    </w:p>
    <w:p>
      <w:pPr>
        <w:pStyle w:val="19"/>
        <w:numPr>
          <w:ilvl w:val="0"/>
          <w:numId w:val="11"/>
        </w:numPr>
        <w:tabs>
          <w:tab w:val="left" w:pos="1612"/>
        </w:tabs>
        <w:spacing w:before="154"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未按磋商文件规定要求密封、签署、盖章的；</w:t>
      </w:r>
    </w:p>
    <w:p>
      <w:pPr>
        <w:pStyle w:val="19"/>
        <w:numPr>
          <w:ilvl w:val="0"/>
          <w:numId w:val="11"/>
        </w:numPr>
        <w:tabs>
          <w:tab w:val="left" w:pos="1612"/>
        </w:tabs>
        <w:spacing w:before="15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不具备磋商文件中规定资格要求的；</w:t>
      </w:r>
    </w:p>
    <w:p>
      <w:pPr>
        <w:pStyle w:val="19"/>
        <w:numPr>
          <w:ilvl w:val="0"/>
          <w:numId w:val="11"/>
        </w:numPr>
        <w:tabs>
          <w:tab w:val="left" w:pos="1612"/>
        </w:tabs>
        <w:spacing w:before="151"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磋商后采购项目完成期限仍不能满足采购人规定期限的；</w:t>
      </w:r>
    </w:p>
    <w:p>
      <w:pPr>
        <w:pStyle w:val="19"/>
        <w:numPr>
          <w:ilvl w:val="0"/>
          <w:numId w:val="11"/>
        </w:numPr>
        <w:tabs>
          <w:tab w:val="left" w:pos="1612"/>
        </w:tabs>
        <w:spacing w:before="15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磋商后采购项目明显不符合技术规格、技术标准要求的；</w:t>
      </w:r>
    </w:p>
    <w:p>
      <w:pPr>
        <w:pStyle w:val="19"/>
        <w:numPr>
          <w:ilvl w:val="0"/>
          <w:numId w:val="11"/>
        </w:numPr>
        <w:tabs>
          <w:tab w:val="left" w:pos="1612"/>
        </w:tabs>
        <w:spacing w:before="15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磋商响应文件和磋商应答文件附有采购人不能接受的条件；</w:t>
      </w:r>
    </w:p>
    <w:p>
      <w:pPr>
        <w:pStyle w:val="19"/>
        <w:numPr>
          <w:ilvl w:val="0"/>
          <w:numId w:val="11"/>
        </w:numPr>
        <w:tabs>
          <w:tab w:val="left" w:pos="1612"/>
        </w:tabs>
        <w:spacing w:before="151"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不符合法律、法规和磋商文件中规定的其他实质性要求的。</w:t>
      </w:r>
    </w:p>
    <w:p>
      <w:pPr>
        <w:pStyle w:val="6"/>
        <w:numPr>
          <w:ilvl w:val="0"/>
          <w:numId w:val="3"/>
        </w:numPr>
        <w:tabs>
          <w:tab w:val="left" w:pos="972"/>
        </w:tabs>
        <w:spacing w:before="77" w:after="0" w:line="240" w:lineRule="auto"/>
        <w:ind w:left="972" w:right="0" w:hanging="454"/>
        <w:jc w:val="left"/>
        <w:rPr>
          <w:rFonts w:hint="eastAsia" w:ascii="宋体" w:hAnsi="宋体" w:eastAsia="宋体" w:cs="宋体"/>
          <w:color w:val="auto"/>
          <w:sz w:val="21"/>
          <w:szCs w:val="21"/>
          <w:highlight w:val="none"/>
        </w:rPr>
      </w:pPr>
      <w:bookmarkStart w:id="103" w:name="26. 评标内容的保密"/>
      <w:bookmarkEnd w:id="103"/>
      <w:bookmarkStart w:id="104" w:name="_bookmark27"/>
      <w:bookmarkEnd w:id="104"/>
      <w:r>
        <w:rPr>
          <w:rFonts w:hint="eastAsia" w:ascii="宋体" w:hAnsi="宋体" w:eastAsia="宋体" w:cs="宋体"/>
          <w:color w:val="auto"/>
          <w:sz w:val="21"/>
          <w:szCs w:val="21"/>
          <w:highlight w:val="none"/>
        </w:rPr>
        <w:t>评标内容的保密</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24"/>
        </w:tabs>
        <w:spacing w:before="0" w:after="0" w:line="357" w:lineRule="auto"/>
        <w:ind w:left="518" w:right="466"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截标后，直到宣布授予成交供应商合同为止，凡属于审查、澄清、评价和比较</w:t>
      </w:r>
      <w:r>
        <w:rPr>
          <w:rFonts w:hint="eastAsia" w:ascii="宋体" w:hAnsi="宋体" w:eastAsia="宋体" w:cs="宋体"/>
          <w:color w:val="auto"/>
          <w:spacing w:val="-9"/>
          <w:sz w:val="21"/>
          <w:szCs w:val="21"/>
          <w:highlight w:val="none"/>
        </w:rPr>
        <w:t>竞标的有关资料及有关授予合同的信息，都不应向供应商或与评标无关的其他人泄露。</w:t>
      </w:r>
    </w:p>
    <w:p>
      <w:pPr>
        <w:pStyle w:val="19"/>
        <w:numPr>
          <w:ilvl w:val="1"/>
          <w:numId w:val="3"/>
        </w:numPr>
        <w:tabs>
          <w:tab w:val="left" w:pos="1587"/>
        </w:tabs>
        <w:spacing w:before="3" w:after="0" w:line="360"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在响应文件的审查、澄清、评价和比较以及授予合同的过程中，供应商对采购人和磋商小组成员施加影响的任何行为，都将导致被取消竞标资格。</w:t>
      </w:r>
    </w:p>
    <w:p>
      <w:pPr>
        <w:pStyle w:val="8"/>
        <w:spacing w:before="6"/>
        <w:rPr>
          <w:rFonts w:hint="eastAsia" w:ascii="宋体" w:hAnsi="宋体" w:eastAsia="宋体" w:cs="宋体"/>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105" w:name="27. 响应文件的符合性鉴定"/>
      <w:bookmarkEnd w:id="105"/>
      <w:bookmarkStart w:id="106" w:name="_bookmark28"/>
      <w:bookmarkEnd w:id="106"/>
      <w:r>
        <w:rPr>
          <w:rFonts w:hint="eastAsia" w:ascii="宋体" w:hAnsi="宋体" w:eastAsia="宋体" w:cs="宋体"/>
          <w:color w:val="auto"/>
          <w:sz w:val="21"/>
          <w:szCs w:val="21"/>
          <w:highlight w:val="none"/>
        </w:rPr>
        <w:t>响应文件的符合性鉴定</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84"/>
        </w:tabs>
        <w:spacing w:before="0" w:after="0" w:line="360" w:lineRule="auto"/>
        <w:ind w:left="518" w:right="498"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在磋商之前，磋商小组将首先审定每份响应文件是否在实质上响应了竞争性磋商文</w:t>
      </w:r>
      <w:r>
        <w:rPr>
          <w:rFonts w:hint="eastAsia" w:ascii="宋体" w:hAnsi="宋体" w:eastAsia="宋体" w:cs="宋体"/>
          <w:color w:val="auto"/>
          <w:spacing w:val="-16"/>
          <w:sz w:val="21"/>
          <w:szCs w:val="21"/>
          <w:highlight w:val="none"/>
        </w:rPr>
        <w:t>件的要求。</w:t>
      </w:r>
    </w:p>
    <w:p>
      <w:pPr>
        <w:pStyle w:val="19"/>
        <w:numPr>
          <w:ilvl w:val="1"/>
          <w:numId w:val="3"/>
        </w:numPr>
        <w:tabs>
          <w:tab w:val="left" w:pos="1587"/>
        </w:tabs>
        <w:spacing w:before="0" w:after="0" w:line="360"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就本条款而言，实质上响应要求的响应文件，应该与竞争性磋商文件的所规</w:t>
      </w:r>
      <w:r>
        <w:rPr>
          <w:rFonts w:hint="eastAsia" w:ascii="宋体" w:hAnsi="宋体" w:eastAsia="宋体" w:cs="宋体"/>
          <w:color w:val="auto"/>
          <w:spacing w:val="-8"/>
          <w:sz w:val="21"/>
          <w:szCs w:val="21"/>
          <w:highlight w:val="none"/>
        </w:rPr>
        <w:t>定的范围、质量标准及运用不产生实质性影响；或者对合同中规定的采购人的权力及供</w:t>
      </w:r>
      <w:r>
        <w:rPr>
          <w:rFonts w:hint="eastAsia" w:ascii="宋体" w:hAnsi="宋体" w:eastAsia="宋体" w:cs="宋体"/>
          <w:color w:val="auto"/>
          <w:sz w:val="21"/>
          <w:szCs w:val="21"/>
          <w:highlight w:val="none"/>
        </w:rPr>
        <w:t>应商的责任不造成实质性限制。</w:t>
      </w:r>
    </w:p>
    <w:p>
      <w:pPr>
        <w:pStyle w:val="8"/>
        <w:spacing w:before="2"/>
        <w:rPr>
          <w:rFonts w:hint="eastAsia" w:ascii="宋体" w:hAnsi="宋体" w:eastAsia="宋体" w:cs="宋体"/>
          <w:color w:val="auto"/>
          <w:sz w:val="21"/>
          <w:szCs w:val="21"/>
          <w:highlight w:val="none"/>
        </w:rPr>
      </w:pPr>
    </w:p>
    <w:p>
      <w:pPr>
        <w:pStyle w:val="6"/>
        <w:numPr>
          <w:ilvl w:val="0"/>
          <w:numId w:val="3"/>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107" w:name="28. 响应文件的澄清"/>
      <w:bookmarkEnd w:id="107"/>
      <w:bookmarkStart w:id="108" w:name="_bookmark29"/>
      <w:bookmarkEnd w:id="108"/>
      <w:r>
        <w:rPr>
          <w:rFonts w:hint="eastAsia" w:ascii="宋体" w:hAnsi="宋体" w:eastAsia="宋体" w:cs="宋体"/>
          <w:color w:val="auto"/>
          <w:sz w:val="21"/>
          <w:szCs w:val="21"/>
          <w:highlight w:val="none"/>
        </w:rPr>
        <w:t>响应文件的澄清</w:t>
      </w:r>
    </w:p>
    <w:p>
      <w:pPr>
        <w:pStyle w:val="8"/>
        <w:spacing w:before="9"/>
        <w:rPr>
          <w:rFonts w:hint="eastAsia" w:ascii="宋体" w:hAnsi="宋体" w:eastAsia="宋体" w:cs="宋体"/>
          <w:b/>
          <w:color w:val="auto"/>
          <w:sz w:val="21"/>
          <w:szCs w:val="21"/>
          <w:highlight w:val="none"/>
        </w:rPr>
      </w:pPr>
    </w:p>
    <w:p>
      <w:pPr>
        <w:pStyle w:val="19"/>
        <w:numPr>
          <w:ilvl w:val="1"/>
          <w:numId w:val="3"/>
        </w:numPr>
        <w:tabs>
          <w:tab w:val="left" w:pos="1524"/>
        </w:tabs>
        <w:spacing w:before="0" w:after="0" w:line="360"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为了有助于响应文件的审查、评价和比较，磋商小组可以个别地要求供应商澄</w:t>
      </w:r>
      <w:r>
        <w:rPr>
          <w:rFonts w:hint="eastAsia" w:ascii="宋体" w:hAnsi="宋体" w:eastAsia="宋体" w:cs="宋体"/>
          <w:color w:val="auto"/>
          <w:sz w:val="21"/>
          <w:szCs w:val="21"/>
          <w:highlight w:val="none"/>
        </w:rPr>
        <w:t>清其响应文件。有关澄清的要求与答复，应以书面形式进行。</w:t>
      </w:r>
    </w:p>
    <w:p>
      <w:pPr>
        <w:pStyle w:val="8"/>
        <w:spacing w:before="6"/>
        <w:rPr>
          <w:rFonts w:hint="eastAsia" w:ascii="宋体" w:hAnsi="宋体" w:eastAsia="宋体" w:cs="宋体"/>
          <w:color w:val="auto"/>
          <w:sz w:val="21"/>
          <w:szCs w:val="21"/>
          <w:highlight w:val="none"/>
        </w:rPr>
      </w:pPr>
    </w:p>
    <w:p>
      <w:pPr>
        <w:pStyle w:val="6"/>
        <w:numPr>
          <w:ilvl w:val="0"/>
          <w:numId w:val="12"/>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109" w:name="_bookmark30"/>
      <w:bookmarkEnd w:id="109"/>
      <w:bookmarkStart w:id="110" w:name="28. 错误的修正"/>
      <w:bookmarkEnd w:id="110"/>
      <w:r>
        <w:rPr>
          <w:rFonts w:hint="eastAsia" w:ascii="宋体" w:hAnsi="宋体" w:eastAsia="宋体" w:cs="宋体"/>
          <w:color w:val="auto"/>
          <w:sz w:val="21"/>
          <w:szCs w:val="21"/>
          <w:highlight w:val="none"/>
        </w:rPr>
        <w:t>错误的修正</w:t>
      </w:r>
    </w:p>
    <w:p>
      <w:pPr>
        <w:pStyle w:val="8"/>
        <w:spacing w:before="9"/>
        <w:rPr>
          <w:rFonts w:hint="eastAsia" w:ascii="宋体" w:hAnsi="宋体" w:eastAsia="宋体" w:cs="宋体"/>
          <w:b/>
          <w:color w:val="auto"/>
          <w:sz w:val="21"/>
          <w:szCs w:val="21"/>
          <w:highlight w:val="none"/>
        </w:rPr>
      </w:pPr>
    </w:p>
    <w:p>
      <w:pPr>
        <w:pStyle w:val="19"/>
        <w:numPr>
          <w:ilvl w:val="1"/>
          <w:numId w:val="12"/>
        </w:numPr>
        <w:tabs>
          <w:tab w:val="left" w:pos="1529"/>
        </w:tabs>
        <w:spacing w:before="0" w:after="0" w:line="360"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磋商小组将对确定为实质上响应竞争性磋商磋商文件要求的响应文件进行校核，看其是否有计算上或累计上的算术错误，修正错误的原则如下：</w:t>
      </w:r>
    </w:p>
    <w:p>
      <w:pPr>
        <w:pStyle w:val="19"/>
        <w:numPr>
          <w:ilvl w:val="0"/>
          <w:numId w:val="0"/>
        </w:numPr>
        <w:tabs>
          <w:tab w:val="left" w:pos="1786"/>
        </w:tabs>
        <w:spacing w:before="0" w:after="0" w:line="360" w:lineRule="auto"/>
        <w:ind w:left="998" w:leftChars="0" w:right="512" w:rightChars="0"/>
        <w:jc w:val="both"/>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lang w:val="en-US" w:eastAsia="zh-CN"/>
        </w:rPr>
        <w:t>28.1.1</w:t>
      </w:r>
      <w:r>
        <w:rPr>
          <w:rFonts w:hint="eastAsia" w:ascii="宋体" w:hAnsi="宋体" w:eastAsia="宋体" w:cs="宋体"/>
          <w:color w:val="auto"/>
          <w:spacing w:val="-3"/>
          <w:sz w:val="21"/>
          <w:szCs w:val="21"/>
          <w:highlight w:val="none"/>
          <w:lang w:val="en-US" w:eastAsia="zh-CN"/>
        </w:rPr>
        <w:t xml:space="preserve"> </w:t>
      </w:r>
      <w:r>
        <w:rPr>
          <w:rFonts w:hint="eastAsia" w:ascii="宋体" w:hAnsi="宋体" w:eastAsia="宋体" w:cs="宋体"/>
          <w:color w:val="auto"/>
          <w:spacing w:val="-3"/>
          <w:sz w:val="21"/>
          <w:szCs w:val="21"/>
          <w:highlight w:val="none"/>
        </w:rPr>
        <w:t>如果用阿拉伯数字表示的数额与用汉语文字表示的数额</w:t>
      </w:r>
      <w:r>
        <w:rPr>
          <w:rFonts w:hint="eastAsia" w:ascii="宋体" w:hAnsi="宋体" w:eastAsia="宋体" w:cs="宋体"/>
          <w:color w:val="auto"/>
          <w:sz w:val="21"/>
          <w:szCs w:val="21"/>
          <w:highlight w:val="none"/>
        </w:rPr>
        <w:t>（人民币大写</w:t>
      </w:r>
      <w:r>
        <w:rPr>
          <w:rFonts w:hint="eastAsia" w:ascii="宋体" w:hAnsi="宋体" w:eastAsia="宋体" w:cs="宋体"/>
          <w:color w:val="auto"/>
          <w:spacing w:val="-58"/>
          <w:sz w:val="21"/>
          <w:szCs w:val="21"/>
          <w:highlight w:val="none"/>
        </w:rPr>
        <w:t>）</w:t>
      </w:r>
      <w:r>
        <w:rPr>
          <w:rFonts w:hint="eastAsia" w:ascii="宋体" w:hAnsi="宋体" w:eastAsia="宋体" w:cs="宋体"/>
          <w:color w:val="auto"/>
          <w:spacing w:val="-7"/>
          <w:sz w:val="21"/>
          <w:szCs w:val="21"/>
          <w:highlight w:val="none"/>
        </w:rPr>
        <w:t>不一</w:t>
      </w:r>
      <w:r>
        <w:rPr>
          <w:rFonts w:hint="eastAsia" w:ascii="宋体" w:hAnsi="宋体" w:eastAsia="宋体" w:cs="宋体"/>
          <w:color w:val="auto"/>
          <w:sz w:val="21"/>
          <w:szCs w:val="21"/>
          <w:highlight w:val="none"/>
        </w:rPr>
        <w:t>致时，以汉语文字数额（人民币大写）为准。</w:t>
      </w:r>
    </w:p>
    <w:p>
      <w:pPr>
        <w:pStyle w:val="19"/>
        <w:numPr>
          <w:ilvl w:val="0"/>
          <w:numId w:val="0"/>
        </w:numPr>
        <w:tabs>
          <w:tab w:val="left" w:pos="1786"/>
        </w:tabs>
        <w:spacing w:before="0" w:after="0" w:line="357" w:lineRule="auto"/>
        <w:ind w:left="998" w:leftChars="0" w:right="512" w:rightChars="0"/>
        <w:jc w:val="both"/>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lang w:val="en-US" w:eastAsia="zh-CN"/>
        </w:rPr>
        <w:t>28.1.2</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当单价累计之合与总价之间不一致时，以标出的单价为准。除非磋商小组认</w:t>
      </w:r>
      <w:r>
        <w:rPr>
          <w:rFonts w:hint="eastAsia" w:ascii="宋体" w:hAnsi="宋体" w:eastAsia="宋体" w:cs="宋体"/>
          <w:color w:val="auto"/>
          <w:sz w:val="21"/>
          <w:szCs w:val="21"/>
          <w:highlight w:val="none"/>
        </w:rPr>
        <w:t>为有明显的小数点错位，此时应以标出的总价为准，并修改单价。</w:t>
      </w:r>
    </w:p>
    <w:p>
      <w:pPr>
        <w:pStyle w:val="19"/>
        <w:numPr>
          <w:ilvl w:val="1"/>
          <w:numId w:val="12"/>
        </w:numPr>
        <w:tabs>
          <w:tab w:val="left" w:pos="1587"/>
        </w:tabs>
        <w:spacing w:before="0" w:after="0" w:line="357"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按上述修改错误的方法，调整竞标书中的磋商报价。经供应商确认同意后， </w:t>
      </w:r>
      <w:r>
        <w:rPr>
          <w:rFonts w:hint="eastAsia" w:ascii="宋体" w:hAnsi="宋体" w:eastAsia="宋体" w:cs="宋体"/>
          <w:color w:val="auto"/>
          <w:spacing w:val="-5"/>
          <w:sz w:val="21"/>
          <w:szCs w:val="21"/>
          <w:highlight w:val="none"/>
        </w:rPr>
        <w:t>调整后的报价对供应商起约束作用。如果供应商不接受修正后的磋商报价则其竞标将被</w:t>
      </w:r>
      <w:r>
        <w:rPr>
          <w:rFonts w:hint="eastAsia" w:ascii="宋体" w:hAnsi="宋体" w:eastAsia="宋体" w:cs="宋体"/>
          <w:color w:val="auto"/>
          <w:sz w:val="21"/>
          <w:szCs w:val="21"/>
          <w:highlight w:val="none"/>
        </w:rPr>
        <w:t>拒绝，视为无效竞标。</w:t>
      </w:r>
    </w:p>
    <w:p>
      <w:pPr>
        <w:pStyle w:val="19"/>
        <w:numPr>
          <w:ilvl w:val="0"/>
          <w:numId w:val="12"/>
        </w:numPr>
        <w:tabs>
          <w:tab w:val="left" w:pos="972"/>
        </w:tabs>
        <w:spacing w:before="4" w:after="0" w:line="240" w:lineRule="auto"/>
        <w:ind w:left="972" w:right="0" w:hanging="45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磋商过程的监控</w:t>
      </w:r>
    </w:p>
    <w:p>
      <w:pPr>
        <w:pStyle w:val="8"/>
        <w:spacing w:before="154"/>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本项目磋商过程实行全程录音、录像监控，供应商在磋商过程中所进行的试图影响</w:t>
      </w:r>
    </w:p>
    <w:p>
      <w:pPr>
        <w:pStyle w:val="8"/>
        <w:spacing w:before="66"/>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磋商结果的不公正活动，可能导致其磋商被拒绝。</w:t>
      </w:r>
    </w:p>
    <w:p>
      <w:pPr>
        <w:pStyle w:val="8"/>
        <w:spacing w:before="9"/>
        <w:rPr>
          <w:rFonts w:hint="eastAsia" w:ascii="宋体" w:hAnsi="宋体" w:eastAsia="宋体" w:cs="宋体"/>
          <w:color w:val="auto"/>
          <w:sz w:val="21"/>
          <w:szCs w:val="21"/>
          <w:highlight w:val="none"/>
        </w:rPr>
      </w:pPr>
    </w:p>
    <w:p>
      <w:pPr>
        <w:pStyle w:val="6"/>
        <w:numPr>
          <w:ilvl w:val="0"/>
          <w:numId w:val="12"/>
        </w:numPr>
        <w:tabs>
          <w:tab w:val="left" w:pos="972"/>
        </w:tabs>
        <w:spacing w:before="0" w:after="0" w:line="240" w:lineRule="auto"/>
        <w:ind w:left="972" w:right="0" w:hanging="454"/>
        <w:jc w:val="left"/>
        <w:rPr>
          <w:rFonts w:hint="eastAsia" w:ascii="宋体" w:hAnsi="宋体" w:eastAsia="宋体" w:cs="宋体"/>
          <w:color w:val="auto"/>
          <w:sz w:val="21"/>
          <w:szCs w:val="21"/>
          <w:highlight w:val="none"/>
        </w:rPr>
      </w:pPr>
      <w:bookmarkStart w:id="111" w:name="30. 评标办法"/>
      <w:bookmarkEnd w:id="111"/>
      <w:bookmarkStart w:id="112" w:name="_bookmark31"/>
      <w:bookmarkEnd w:id="112"/>
      <w:r>
        <w:rPr>
          <w:rFonts w:hint="eastAsia" w:ascii="宋体" w:hAnsi="宋体" w:eastAsia="宋体" w:cs="宋体"/>
          <w:color w:val="auto"/>
          <w:sz w:val="21"/>
          <w:szCs w:val="21"/>
          <w:highlight w:val="none"/>
        </w:rPr>
        <w:t>评标办法</w:t>
      </w:r>
    </w:p>
    <w:p>
      <w:pPr>
        <w:pStyle w:val="8"/>
        <w:spacing w:before="7"/>
        <w:rPr>
          <w:rFonts w:hint="eastAsia" w:ascii="宋体" w:hAnsi="宋体" w:eastAsia="宋体" w:cs="宋体"/>
          <w:b/>
          <w:color w:val="auto"/>
          <w:sz w:val="21"/>
          <w:szCs w:val="21"/>
          <w:highlight w:val="none"/>
        </w:rPr>
      </w:pPr>
    </w:p>
    <w:p>
      <w:pPr>
        <w:pStyle w:val="19"/>
        <w:numPr>
          <w:ilvl w:val="1"/>
          <w:numId w:val="12"/>
        </w:numPr>
        <w:tabs>
          <w:tab w:val="left" w:pos="1524"/>
        </w:tabs>
        <w:spacing w:before="0" w:after="0" w:line="240" w:lineRule="auto"/>
        <w:ind w:left="1524" w:right="0" w:hanging="5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本项目采用综合评分法。（详见第五章）</w:t>
      </w:r>
    </w:p>
    <w:p>
      <w:pPr>
        <w:pStyle w:val="8"/>
        <w:rPr>
          <w:rFonts w:hint="eastAsia" w:ascii="宋体" w:hAnsi="宋体" w:eastAsia="宋体" w:cs="宋体"/>
          <w:color w:val="auto"/>
          <w:sz w:val="21"/>
          <w:szCs w:val="21"/>
          <w:highlight w:val="none"/>
        </w:rPr>
      </w:pPr>
    </w:p>
    <w:p>
      <w:pPr>
        <w:pStyle w:val="5"/>
        <w:spacing w:before="201"/>
        <w:ind w:left="0"/>
        <w:rPr>
          <w:rFonts w:hint="eastAsia" w:ascii="宋体" w:hAnsi="宋体" w:eastAsia="宋体" w:cs="宋体"/>
          <w:color w:val="auto"/>
          <w:sz w:val="21"/>
          <w:szCs w:val="21"/>
          <w:highlight w:val="none"/>
        </w:rPr>
      </w:pPr>
      <w:bookmarkStart w:id="113" w:name="六、授予合同"/>
      <w:bookmarkEnd w:id="113"/>
      <w:bookmarkStart w:id="114" w:name="_bookmark32"/>
      <w:bookmarkEnd w:id="114"/>
      <w:r>
        <w:rPr>
          <w:rFonts w:hint="eastAsia" w:ascii="宋体" w:hAnsi="宋体" w:eastAsia="宋体" w:cs="宋体"/>
          <w:color w:val="auto"/>
          <w:sz w:val="21"/>
          <w:szCs w:val="21"/>
          <w:highlight w:val="none"/>
        </w:rPr>
        <w:t>六、授予合同</w:t>
      </w:r>
    </w:p>
    <w:p>
      <w:pPr>
        <w:pStyle w:val="8"/>
        <w:spacing w:before="6"/>
        <w:rPr>
          <w:rFonts w:hint="eastAsia" w:ascii="宋体" w:hAnsi="宋体" w:eastAsia="宋体" w:cs="宋体"/>
          <w:b/>
          <w:color w:val="auto"/>
          <w:sz w:val="21"/>
          <w:szCs w:val="21"/>
          <w:highlight w:val="none"/>
        </w:rPr>
      </w:pPr>
    </w:p>
    <w:p>
      <w:pPr>
        <w:pStyle w:val="19"/>
        <w:numPr>
          <w:ilvl w:val="0"/>
          <w:numId w:val="12"/>
        </w:numPr>
        <w:tabs>
          <w:tab w:val="left" w:pos="1335"/>
        </w:tabs>
        <w:spacing w:before="0" w:after="0" w:line="240" w:lineRule="auto"/>
        <w:ind w:left="1334" w:right="0" w:hanging="337"/>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采购代理机构在评标结束之日起 </w:t>
      </w:r>
      <w:r>
        <w:rPr>
          <w:rFonts w:hint="eastAsia" w:ascii="宋体" w:hAnsi="宋体" w:eastAsia="宋体" w:cs="宋体"/>
          <w:color w:val="auto"/>
          <w:sz w:val="21"/>
          <w:szCs w:val="21"/>
          <w:highlight w:val="none"/>
        </w:rPr>
        <w:t>2</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z w:val="21"/>
          <w:szCs w:val="21"/>
          <w:highlight w:val="none"/>
        </w:rPr>
        <w:t>个工作日内将磋商报告送采购人，采购人在</w:t>
      </w:r>
    </w:p>
    <w:p>
      <w:pPr>
        <w:pStyle w:val="8"/>
        <w:spacing w:before="158" w:line="364" w:lineRule="auto"/>
        <w:ind w:left="518" w:right="518"/>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收到磋商报告之日起 </w:t>
      </w:r>
      <w:r>
        <w:rPr>
          <w:rFonts w:hint="eastAsia" w:ascii="宋体" w:hAnsi="宋体" w:eastAsia="宋体" w:cs="宋体"/>
          <w:color w:val="auto"/>
          <w:sz w:val="21"/>
          <w:szCs w:val="21"/>
          <w:highlight w:val="none"/>
        </w:rPr>
        <w:t xml:space="preserve">5 </w:t>
      </w:r>
      <w:r>
        <w:rPr>
          <w:rFonts w:hint="eastAsia" w:ascii="宋体" w:hAnsi="宋体" w:eastAsia="宋体" w:cs="宋体"/>
          <w:color w:val="auto"/>
          <w:spacing w:val="-9"/>
          <w:sz w:val="21"/>
          <w:szCs w:val="21"/>
          <w:highlight w:val="none"/>
        </w:rPr>
        <w:t>个工作日内，在磋商报告确定的成交候选人名单中按顺序确定成</w:t>
      </w:r>
      <w:r>
        <w:rPr>
          <w:rFonts w:hint="eastAsia" w:ascii="宋体" w:hAnsi="宋体" w:eastAsia="宋体" w:cs="宋体"/>
          <w:color w:val="auto"/>
          <w:spacing w:val="-8"/>
          <w:sz w:val="21"/>
          <w:szCs w:val="21"/>
          <w:highlight w:val="none"/>
        </w:rPr>
        <w:t>交人。成交候选人并列的，由采购人或者采购人委托磋商小组采取随机抽取的方式确定</w:t>
      </w:r>
      <w:r>
        <w:rPr>
          <w:rFonts w:hint="eastAsia" w:ascii="宋体" w:hAnsi="宋体" w:eastAsia="宋体" w:cs="宋体"/>
          <w:color w:val="auto"/>
          <w:sz w:val="21"/>
          <w:szCs w:val="21"/>
          <w:highlight w:val="none"/>
        </w:rPr>
        <w:t>成交人。</w:t>
      </w:r>
    </w:p>
    <w:p>
      <w:pPr>
        <w:pStyle w:val="19"/>
        <w:numPr>
          <w:ilvl w:val="0"/>
          <w:numId w:val="12"/>
        </w:numPr>
        <w:tabs>
          <w:tab w:val="left" w:pos="1335"/>
        </w:tabs>
        <w:spacing w:before="0" w:after="0" w:line="364"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成交人确定后，中标结果将在招标公告发布媒体上公告，公告期限为一个工作</w:t>
      </w:r>
      <w:r>
        <w:rPr>
          <w:rFonts w:hint="eastAsia" w:ascii="宋体" w:hAnsi="宋体" w:eastAsia="宋体" w:cs="宋体"/>
          <w:color w:val="auto"/>
          <w:spacing w:val="-7"/>
          <w:sz w:val="21"/>
          <w:szCs w:val="21"/>
          <w:highlight w:val="none"/>
        </w:rPr>
        <w:t>日。采购人或采购代理发出成交通知书前，对成交人信用进行查询，对列入失信被执行</w:t>
      </w:r>
      <w:r>
        <w:rPr>
          <w:rFonts w:hint="eastAsia" w:ascii="宋体" w:hAnsi="宋体" w:eastAsia="宋体" w:cs="宋体"/>
          <w:color w:val="auto"/>
          <w:spacing w:val="-9"/>
          <w:sz w:val="21"/>
          <w:szCs w:val="21"/>
          <w:highlight w:val="none"/>
        </w:rPr>
        <w:t>人、重大税收违法案件当事人名单、政府采购严重违法失信行为记录名单及其他不符合</w:t>
      </w:r>
    </w:p>
    <w:p>
      <w:pPr>
        <w:pStyle w:val="8"/>
        <w:spacing w:line="362" w:lineRule="auto"/>
        <w:ind w:left="518" w:right="45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《中华人民共和国政府采购法》第二十二条规定条件的供应商，取消其中标资格，并确定排名第二的成交候选人为成交人。</w:t>
      </w:r>
    </w:p>
    <w:p>
      <w:pPr>
        <w:pStyle w:val="8"/>
        <w:spacing w:before="2" w:line="364" w:lineRule="auto"/>
        <w:ind w:left="518" w:right="455"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排名第二的成交候选人因前款规定的同样原因被取消中标资格的，采购人可以确定排名第三的成交候选人为成交人。</w:t>
      </w:r>
    </w:p>
    <w:p>
      <w:pPr>
        <w:pStyle w:val="8"/>
        <w:spacing w:before="1"/>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以上信息查询记录及相关证据与采购文件一并保存。</w:t>
      </w:r>
    </w:p>
    <w:p>
      <w:pPr>
        <w:pStyle w:val="19"/>
        <w:numPr>
          <w:ilvl w:val="0"/>
          <w:numId w:val="12"/>
        </w:numPr>
        <w:tabs>
          <w:tab w:val="left" w:pos="1335"/>
        </w:tabs>
        <w:spacing w:before="158" w:after="0" w:line="240" w:lineRule="auto"/>
        <w:ind w:left="1334" w:right="0" w:hanging="3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在公告中标结果的同时，采购代理机构向成交人发出成交通知书。</w:t>
      </w:r>
    </w:p>
    <w:p>
      <w:pPr>
        <w:pStyle w:val="19"/>
        <w:numPr>
          <w:ilvl w:val="0"/>
          <w:numId w:val="12"/>
        </w:numPr>
        <w:tabs>
          <w:tab w:val="left" w:pos="1335"/>
        </w:tabs>
        <w:spacing w:before="160" w:after="0" w:line="240" w:lineRule="auto"/>
        <w:ind w:left="1334" w:right="0" w:hanging="3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采购代理机构不退还响应文件。</w:t>
      </w:r>
    </w:p>
    <w:p>
      <w:pPr>
        <w:pStyle w:val="19"/>
        <w:numPr>
          <w:ilvl w:val="0"/>
          <w:numId w:val="12"/>
        </w:numPr>
        <w:tabs>
          <w:tab w:val="left" w:pos="1335"/>
        </w:tabs>
        <w:spacing w:before="159" w:after="0" w:line="240" w:lineRule="auto"/>
        <w:ind w:left="1334" w:right="0" w:hanging="3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合同授予标准</w:t>
      </w:r>
    </w:p>
    <w:p>
      <w:pPr>
        <w:pStyle w:val="8"/>
        <w:spacing w:before="160" w:line="362" w:lineRule="auto"/>
        <w:ind w:left="518" w:right="455"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合同将授予被确定实质上相应采购文件要求，具备履行合同能力，综合评分排名第一的供应商。</w:t>
      </w:r>
    </w:p>
    <w:p>
      <w:pPr>
        <w:pStyle w:val="19"/>
        <w:numPr>
          <w:ilvl w:val="0"/>
          <w:numId w:val="12"/>
        </w:numPr>
        <w:tabs>
          <w:tab w:val="left" w:pos="1335"/>
        </w:tabs>
        <w:spacing w:before="5" w:after="0" w:line="240" w:lineRule="auto"/>
        <w:ind w:left="1334" w:right="0" w:hanging="3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履约保证金：无</w:t>
      </w:r>
    </w:p>
    <w:p>
      <w:pPr>
        <w:pStyle w:val="19"/>
        <w:numPr>
          <w:ilvl w:val="0"/>
          <w:numId w:val="12"/>
        </w:numPr>
        <w:tabs>
          <w:tab w:val="left" w:pos="1335"/>
        </w:tabs>
        <w:spacing w:before="158" w:after="0" w:line="240" w:lineRule="auto"/>
        <w:ind w:left="1334" w:right="0" w:hanging="3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w:t>
      </w:r>
    </w:p>
    <w:p>
      <w:pPr>
        <w:pStyle w:val="19"/>
        <w:numPr>
          <w:ilvl w:val="1"/>
          <w:numId w:val="12"/>
        </w:numPr>
        <w:tabs>
          <w:tab w:val="left" w:pos="1524"/>
        </w:tabs>
        <w:spacing w:before="161" w:after="0" w:line="362" w:lineRule="auto"/>
        <w:ind w:left="518" w:right="512"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成交人接到成交通知书后，按须知前附表规定向采购人出示相关资格证件，经</w:t>
      </w:r>
      <w:r>
        <w:rPr>
          <w:rFonts w:hint="eastAsia" w:ascii="宋体" w:hAnsi="宋体" w:eastAsia="宋体" w:cs="宋体"/>
          <w:color w:val="auto"/>
          <w:sz w:val="21"/>
          <w:szCs w:val="21"/>
          <w:highlight w:val="none"/>
        </w:rPr>
        <w:t>采购人核验合格后方可签订合同。</w:t>
      </w:r>
    </w:p>
    <w:p>
      <w:pPr>
        <w:pStyle w:val="19"/>
        <w:numPr>
          <w:ilvl w:val="1"/>
          <w:numId w:val="12"/>
        </w:numPr>
        <w:tabs>
          <w:tab w:val="left" w:pos="1524"/>
        </w:tabs>
        <w:spacing w:before="5" w:after="0" w:line="240" w:lineRule="auto"/>
        <w:ind w:left="1524" w:right="0" w:hanging="5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签订合同时间、地点：按成交通知书规定的时间、地点与采购人签订合同。</w:t>
      </w:r>
    </w:p>
    <w:p>
      <w:pPr>
        <w:pStyle w:val="19"/>
        <w:numPr>
          <w:ilvl w:val="1"/>
          <w:numId w:val="12"/>
        </w:numPr>
        <w:tabs>
          <w:tab w:val="left" w:pos="1524"/>
        </w:tabs>
        <w:spacing w:before="160" w:after="0" w:line="240" w:lineRule="auto"/>
        <w:ind w:left="1524" w:right="0" w:hanging="526"/>
        <w:jc w:val="left"/>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如成交供应商不按成交通知书的规定签订合同，则按成交供应商违约处理，采</w:t>
      </w:r>
      <w:r>
        <w:rPr>
          <w:rFonts w:hint="eastAsia" w:ascii="宋体" w:hAnsi="宋体" w:eastAsia="宋体" w:cs="宋体"/>
          <w:color w:val="auto"/>
          <w:sz w:val="21"/>
          <w:szCs w:val="21"/>
          <w:highlight w:val="none"/>
        </w:rPr>
        <w:t>购代理机构将成交供应商投标的全部投标保证金不予退还并上缴同级财政国库。</w:t>
      </w:r>
    </w:p>
    <w:p>
      <w:pPr>
        <w:pStyle w:val="19"/>
        <w:numPr>
          <w:ilvl w:val="1"/>
          <w:numId w:val="12"/>
        </w:numPr>
        <w:tabs>
          <w:tab w:val="left" w:pos="1524"/>
        </w:tabs>
        <w:spacing w:before="158" w:after="0" w:line="364" w:lineRule="auto"/>
        <w:ind w:left="518" w:right="512"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成交供应商拒绝签订政府采购合同的，采购人可以按照磋商报告推荐的成交候</w:t>
      </w:r>
      <w:r>
        <w:rPr>
          <w:rFonts w:hint="eastAsia" w:ascii="宋体" w:hAnsi="宋体" w:eastAsia="宋体" w:cs="宋体"/>
          <w:color w:val="auto"/>
          <w:sz w:val="21"/>
          <w:szCs w:val="21"/>
          <w:highlight w:val="none"/>
        </w:rPr>
        <w:t>选人名单排序，确定下一候选人为成交人，也可以重新开展政府采购活动。</w:t>
      </w:r>
    </w:p>
    <w:p>
      <w:pPr>
        <w:pStyle w:val="19"/>
        <w:numPr>
          <w:ilvl w:val="0"/>
          <w:numId w:val="12"/>
        </w:numPr>
        <w:tabs>
          <w:tab w:val="left" w:pos="1335"/>
        </w:tabs>
        <w:spacing w:before="1" w:after="0" w:line="240" w:lineRule="auto"/>
        <w:ind w:left="1334" w:right="0" w:hanging="33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政府采购合同公告</w:t>
      </w:r>
    </w:p>
    <w:p>
      <w:pPr>
        <w:pStyle w:val="8"/>
        <w:spacing w:line="357"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 xml:space="preserve">根据《中华人民共和国政府采购法实施条例》第五十条规定，采购人应当自政府采购合同签订之日起 </w:t>
      </w:r>
      <w:r>
        <w:rPr>
          <w:rFonts w:hint="eastAsia" w:ascii="宋体" w:hAnsi="宋体" w:eastAsia="宋体" w:cs="宋体"/>
          <w:color w:val="auto"/>
          <w:sz w:val="21"/>
          <w:szCs w:val="21"/>
          <w:highlight w:val="none"/>
        </w:rPr>
        <w:t xml:space="preserve">2 </w:t>
      </w:r>
      <w:r>
        <w:rPr>
          <w:rFonts w:hint="eastAsia" w:ascii="宋体" w:hAnsi="宋体" w:eastAsia="宋体" w:cs="宋体"/>
          <w:color w:val="auto"/>
          <w:spacing w:val="-9"/>
          <w:sz w:val="21"/>
          <w:szCs w:val="21"/>
          <w:highlight w:val="none"/>
        </w:rPr>
        <w:t>个工作日内，将政府采购合同在省级以上人民政府财政部门指定的</w:t>
      </w:r>
      <w:r>
        <w:rPr>
          <w:rFonts w:hint="eastAsia" w:ascii="宋体" w:hAnsi="宋体" w:eastAsia="宋体" w:cs="宋体"/>
          <w:color w:val="auto"/>
          <w:sz w:val="21"/>
          <w:szCs w:val="21"/>
          <w:highlight w:val="none"/>
        </w:rPr>
        <w:t>媒体上公告，但政府采购合同中涉及国家秘密、商业秘密的内容除外。</w:t>
      </w:r>
    </w:p>
    <w:p>
      <w:pPr>
        <w:spacing w:before="206"/>
        <w:ind w:left="0" w:right="0" w:firstLine="0"/>
        <w:jc w:val="center"/>
        <w:rPr>
          <w:rFonts w:hint="eastAsia" w:ascii="宋体" w:hAnsi="宋体" w:eastAsia="宋体" w:cs="宋体"/>
          <w:b/>
          <w:color w:val="auto"/>
          <w:sz w:val="21"/>
          <w:szCs w:val="21"/>
          <w:highlight w:val="none"/>
        </w:rPr>
      </w:pPr>
      <w:bookmarkStart w:id="115" w:name="七、其他事项"/>
      <w:bookmarkEnd w:id="115"/>
      <w:bookmarkStart w:id="116" w:name="_bookmark33"/>
      <w:bookmarkEnd w:id="116"/>
      <w:r>
        <w:rPr>
          <w:rFonts w:hint="eastAsia" w:ascii="宋体" w:hAnsi="宋体" w:eastAsia="宋体" w:cs="宋体"/>
          <w:b/>
          <w:color w:val="auto"/>
          <w:sz w:val="32"/>
          <w:szCs w:val="32"/>
          <w:highlight w:val="none"/>
        </w:rPr>
        <w:t>七、其他事项</w:t>
      </w:r>
    </w:p>
    <w:p>
      <w:pPr>
        <w:pStyle w:val="19"/>
        <w:numPr>
          <w:ilvl w:val="0"/>
          <w:numId w:val="12"/>
        </w:numPr>
        <w:tabs>
          <w:tab w:val="left" w:pos="972"/>
        </w:tabs>
        <w:spacing w:before="0" w:after="0" w:line="240" w:lineRule="auto"/>
        <w:ind w:left="972" w:right="0" w:hanging="454"/>
        <w:jc w:val="left"/>
        <w:rPr>
          <w:rFonts w:hint="eastAsia" w:ascii="宋体" w:hAnsi="宋体" w:eastAsia="宋体" w:cs="宋体"/>
          <w:b/>
          <w:color w:val="auto"/>
          <w:sz w:val="21"/>
          <w:szCs w:val="21"/>
          <w:highlight w:val="none"/>
        </w:rPr>
      </w:pPr>
      <w:bookmarkStart w:id="117" w:name="_bookmark34"/>
      <w:bookmarkEnd w:id="117"/>
      <w:bookmarkStart w:id="118" w:name="39. 纪律和监督"/>
      <w:bookmarkEnd w:id="118"/>
      <w:r>
        <w:rPr>
          <w:rFonts w:hint="eastAsia" w:ascii="宋体" w:hAnsi="宋体" w:eastAsia="宋体" w:cs="宋体"/>
          <w:b/>
          <w:color w:val="auto"/>
          <w:sz w:val="21"/>
          <w:szCs w:val="21"/>
          <w:highlight w:val="none"/>
        </w:rPr>
        <w:t>纪律和监督</w:t>
      </w:r>
    </w:p>
    <w:p>
      <w:pPr>
        <w:pStyle w:val="19"/>
        <w:numPr>
          <w:ilvl w:val="1"/>
          <w:numId w:val="12"/>
        </w:numPr>
        <w:tabs>
          <w:tab w:val="left" w:pos="1584"/>
        </w:tabs>
        <w:spacing w:before="0" w:after="0" w:line="240" w:lineRule="auto"/>
        <w:ind w:left="1584" w:right="0" w:hanging="58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对采购人的纪律要求</w:t>
      </w:r>
    </w:p>
    <w:p>
      <w:pPr>
        <w:pStyle w:val="8"/>
        <w:spacing w:before="113" w:line="328"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采购人不得泄漏招标竞标活动中应当保密的情况和资料，不得与供应商串通损害国</w:t>
      </w:r>
      <w:r>
        <w:rPr>
          <w:rFonts w:hint="eastAsia" w:ascii="宋体" w:hAnsi="宋体" w:eastAsia="宋体" w:cs="宋体"/>
          <w:color w:val="auto"/>
          <w:spacing w:val="-7"/>
          <w:sz w:val="21"/>
          <w:szCs w:val="21"/>
          <w:highlight w:val="none"/>
        </w:rPr>
        <w:t>家利益、社会公共利益或者他人合法权益。有下列情形之一的，属于采购人与供应商串</w:t>
      </w:r>
      <w:r>
        <w:rPr>
          <w:rFonts w:hint="eastAsia" w:ascii="宋体" w:hAnsi="宋体" w:eastAsia="宋体" w:cs="宋体"/>
          <w:color w:val="auto"/>
          <w:sz w:val="21"/>
          <w:szCs w:val="21"/>
          <w:highlight w:val="none"/>
        </w:rPr>
        <w:t>通竞标：</w:t>
      </w:r>
    </w:p>
    <w:p>
      <w:pPr>
        <w:pStyle w:val="19"/>
        <w:numPr>
          <w:ilvl w:val="0"/>
          <w:numId w:val="13"/>
        </w:numPr>
        <w:tabs>
          <w:tab w:val="left" w:pos="1612"/>
        </w:tabs>
        <w:spacing w:before="0" w:after="0" w:line="304" w:lineRule="exact"/>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采购人在开标前开启响应文件并将有关信息泄露给其他供应商；</w:t>
      </w:r>
    </w:p>
    <w:p>
      <w:pPr>
        <w:pStyle w:val="19"/>
        <w:numPr>
          <w:ilvl w:val="0"/>
          <w:numId w:val="13"/>
        </w:numPr>
        <w:tabs>
          <w:tab w:val="left" w:pos="1612"/>
        </w:tabs>
        <w:spacing w:before="112"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采购人直接或者间接向供应商泄露标底、磋商小组成员等信息；</w:t>
      </w:r>
    </w:p>
    <w:p>
      <w:pPr>
        <w:pStyle w:val="19"/>
        <w:numPr>
          <w:ilvl w:val="0"/>
          <w:numId w:val="13"/>
        </w:numPr>
        <w:tabs>
          <w:tab w:val="left" w:pos="1612"/>
        </w:tabs>
        <w:spacing w:before="11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采购人明示或者暗示供应商压低或者抬高竞标报价；</w:t>
      </w:r>
    </w:p>
    <w:p>
      <w:pPr>
        <w:pStyle w:val="19"/>
        <w:numPr>
          <w:ilvl w:val="0"/>
          <w:numId w:val="13"/>
        </w:numPr>
        <w:tabs>
          <w:tab w:val="left" w:pos="1612"/>
        </w:tabs>
        <w:spacing w:before="112"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采购人授意供应商撤换、修改响应文件；</w:t>
      </w:r>
    </w:p>
    <w:p>
      <w:pPr>
        <w:pStyle w:val="19"/>
        <w:numPr>
          <w:ilvl w:val="0"/>
          <w:numId w:val="13"/>
        </w:numPr>
        <w:tabs>
          <w:tab w:val="left" w:pos="1612"/>
        </w:tabs>
        <w:spacing w:before="11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采购人明示或者暗示供应商为特定供应商中标提供方便；</w:t>
      </w:r>
    </w:p>
    <w:p>
      <w:pPr>
        <w:pStyle w:val="19"/>
        <w:numPr>
          <w:ilvl w:val="0"/>
          <w:numId w:val="13"/>
        </w:numPr>
        <w:tabs>
          <w:tab w:val="left" w:pos="1612"/>
        </w:tabs>
        <w:spacing w:before="112"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采购人与供应商为谋求特定供应商中标而采取的其他串通行为；</w:t>
      </w:r>
    </w:p>
    <w:p>
      <w:pPr>
        <w:pStyle w:val="19"/>
        <w:numPr>
          <w:ilvl w:val="1"/>
          <w:numId w:val="12"/>
        </w:numPr>
        <w:tabs>
          <w:tab w:val="left" w:pos="1584"/>
        </w:tabs>
        <w:spacing w:before="113" w:after="0" w:line="240" w:lineRule="auto"/>
        <w:ind w:left="1584" w:right="0" w:hanging="58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对供应商的纪律要求</w:t>
      </w:r>
    </w:p>
    <w:p>
      <w:pPr>
        <w:pStyle w:val="8"/>
        <w:spacing w:before="112" w:line="328" w:lineRule="auto"/>
        <w:ind w:left="518" w:right="518"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供应商不得相互串通竞标或者与采购人串通竞标，不得向采购人或者磋商小组成员</w:t>
      </w:r>
      <w:r>
        <w:rPr>
          <w:rFonts w:hint="eastAsia" w:ascii="宋体" w:hAnsi="宋体" w:eastAsia="宋体" w:cs="宋体"/>
          <w:color w:val="auto"/>
          <w:spacing w:val="-6"/>
          <w:sz w:val="21"/>
          <w:szCs w:val="21"/>
          <w:highlight w:val="none"/>
        </w:rPr>
        <w:t>行贿谋取中标，不得以他人名义竞标或者以其他方式弄虚作假骗取中标；供应商不得以</w:t>
      </w:r>
      <w:r>
        <w:rPr>
          <w:rFonts w:hint="eastAsia" w:ascii="宋体" w:hAnsi="宋体" w:eastAsia="宋体" w:cs="宋体"/>
          <w:color w:val="auto"/>
          <w:sz w:val="21"/>
          <w:szCs w:val="21"/>
          <w:highlight w:val="none"/>
        </w:rPr>
        <w:t>任何方式干扰、影响评标工作。有下列情形之一的，属于供应商相互串通竞标：</w:t>
      </w:r>
    </w:p>
    <w:p>
      <w:pPr>
        <w:pStyle w:val="19"/>
        <w:numPr>
          <w:ilvl w:val="0"/>
          <w:numId w:val="14"/>
        </w:numPr>
        <w:tabs>
          <w:tab w:val="left" w:pos="1612"/>
        </w:tabs>
        <w:spacing w:before="0" w:after="0" w:line="304" w:lineRule="exact"/>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不同供应商委托同一单位或者个人办理竞标事宜；</w:t>
      </w:r>
    </w:p>
    <w:p>
      <w:pPr>
        <w:pStyle w:val="19"/>
        <w:numPr>
          <w:ilvl w:val="0"/>
          <w:numId w:val="14"/>
        </w:numPr>
        <w:tabs>
          <w:tab w:val="left" w:pos="1612"/>
        </w:tabs>
        <w:spacing w:before="11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不同供应商的响应文件载明的项目管理成员为同一人；</w:t>
      </w:r>
    </w:p>
    <w:p>
      <w:pPr>
        <w:pStyle w:val="19"/>
        <w:numPr>
          <w:ilvl w:val="0"/>
          <w:numId w:val="14"/>
        </w:numPr>
        <w:tabs>
          <w:tab w:val="left" w:pos="1612"/>
        </w:tabs>
        <w:spacing w:before="112"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不同供应商的响应文件异常一致或者竞标报价呈规律性差异；</w:t>
      </w:r>
    </w:p>
    <w:p>
      <w:pPr>
        <w:pStyle w:val="19"/>
        <w:numPr>
          <w:ilvl w:val="0"/>
          <w:numId w:val="14"/>
        </w:numPr>
        <w:tabs>
          <w:tab w:val="left" w:pos="1612"/>
        </w:tabs>
        <w:spacing w:before="11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不同供应商的响应文件相互混装；</w:t>
      </w:r>
    </w:p>
    <w:p>
      <w:pPr>
        <w:pStyle w:val="19"/>
        <w:numPr>
          <w:ilvl w:val="0"/>
          <w:numId w:val="14"/>
        </w:numPr>
        <w:tabs>
          <w:tab w:val="left" w:pos="1612"/>
        </w:tabs>
        <w:spacing w:before="112"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不同供应商的磋商保证金从同一单位或者个人的账户转出。</w:t>
      </w:r>
    </w:p>
    <w:p>
      <w:pPr>
        <w:pStyle w:val="19"/>
        <w:numPr>
          <w:ilvl w:val="0"/>
          <w:numId w:val="14"/>
        </w:numPr>
        <w:tabs>
          <w:tab w:val="left" w:pos="1616"/>
        </w:tabs>
        <w:spacing w:before="113" w:after="0" w:line="328" w:lineRule="auto"/>
        <w:ind w:left="518" w:right="517"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供应商直接或者间接从采购人或者采购代理机构处获得其他供应商的相关信息并修改其响应文件或者响应文件;</w:t>
      </w:r>
    </w:p>
    <w:p>
      <w:pPr>
        <w:pStyle w:val="19"/>
        <w:numPr>
          <w:ilvl w:val="0"/>
          <w:numId w:val="14"/>
        </w:numPr>
        <w:tabs>
          <w:tab w:val="left" w:pos="1612"/>
        </w:tabs>
        <w:spacing w:before="80"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供应商按照采购人或者采购代理机构的授意撤换、修改响应文件或者响应文件</w:t>
      </w:r>
      <w:r>
        <w:rPr>
          <w:rFonts w:hint="eastAsia" w:ascii="宋体" w:hAnsi="宋体" w:eastAsia="宋体" w:cs="宋体"/>
          <w:color w:val="auto"/>
          <w:sz w:val="21"/>
          <w:szCs w:val="21"/>
          <w:highlight w:val="none"/>
        </w:rPr>
        <w:t>;</w:t>
      </w:r>
    </w:p>
    <w:p>
      <w:pPr>
        <w:pStyle w:val="19"/>
        <w:numPr>
          <w:ilvl w:val="0"/>
          <w:numId w:val="14"/>
        </w:numPr>
        <w:tabs>
          <w:tab w:val="left" w:pos="1612"/>
        </w:tabs>
        <w:spacing w:before="112"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供应商之间协商报价、技术方案等响应文件或者响应文件的实质性内容;</w:t>
      </w:r>
    </w:p>
    <w:p>
      <w:pPr>
        <w:pStyle w:val="19"/>
        <w:numPr>
          <w:ilvl w:val="0"/>
          <w:numId w:val="14"/>
        </w:numPr>
        <w:tabs>
          <w:tab w:val="left" w:pos="1616"/>
        </w:tabs>
        <w:spacing w:before="113" w:after="0" w:line="328" w:lineRule="auto"/>
        <w:ind w:left="518" w:right="517"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属于同一集团、协会、商会等组织成员的供应商按照该组织要求协同参加政府采购活动;</w:t>
      </w:r>
    </w:p>
    <w:p>
      <w:pPr>
        <w:pStyle w:val="19"/>
        <w:numPr>
          <w:ilvl w:val="0"/>
          <w:numId w:val="14"/>
        </w:numPr>
        <w:tabs>
          <w:tab w:val="left" w:pos="1746"/>
        </w:tabs>
        <w:spacing w:before="0" w:after="0" w:line="328" w:lineRule="auto"/>
        <w:ind w:left="518" w:right="512"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供应商之间事先约定一致抬高或者压低竞标报价</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或者在招标项目中事先约定轮流以高价位或者低价位中标</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或者事先约定由某一特定供应商中标</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然后再参加竞标</w:t>
      </w:r>
      <w:r>
        <w:rPr>
          <w:rFonts w:hint="eastAsia" w:ascii="宋体" w:hAnsi="宋体" w:eastAsia="宋体" w:cs="宋体"/>
          <w:color w:val="auto"/>
          <w:sz w:val="21"/>
          <w:szCs w:val="21"/>
          <w:highlight w:val="none"/>
        </w:rPr>
        <w:t>;</w:t>
      </w:r>
    </w:p>
    <w:p>
      <w:pPr>
        <w:pStyle w:val="19"/>
        <w:numPr>
          <w:ilvl w:val="0"/>
          <w:numId w:val="14"/>
        </w:numPr>
        <w:tabs>
          <w:tab w:val="left" w:pos="1729"/>
        </w:tabs>
        <w:spacing w:before="0" w:after="0" w:line="305" w:lineRule="exact"/>
        <w:ind w:left="1729" w:right="0" w:hanging="73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供应商之间商定部分供应商放弃参加政府采购活动或者放弃中标;</w:t>
      </w:r>
    </w:p>
    <w:p>
      <w:pPr>
        <w:pStyle w:val="19"/>
        <w:numPr>
          <w:ilvl w:val="0"/>
          <w:numId w:val="14"/>
        </w:numPr>
        <w:tabs>
          <w:tab w:val="left" w:pos="1746"/>
        </w:tabs>
        <w:spacing w:before="110" w:after="0" w:line="328" w:lineRule="auto"/>
        <w:ind w:left="518" w:right="514"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供应商与采购人或者采购代理机构之间、供应商相互之间，为谋求特定供</w:t>
      </w:r>
      <w:r>
        <w:rPr>
          <w:rFonts w:hint="eastAsia" w:ascii="宋体" w:hAnsi="宋体" w:eastAsia="宋体" w:cs="宋体"/>
          <w:color w:val="auto"/>
          <w:spacing w:val="-4"/>
          <w:sz w:val="21"/>
          <w:szCs w:val="21"/>
          <w:highlight w:val="none"/>
        </w:rPr>
        <w:t>应商中标或者排斥其他供应商的其他串通行为。</w:t>
      </w:r>
    </w:p>
    <w:p>
      <w:pPr>
        <w:pStyle w:val="19"/>
        <w:numPr>
          <w:ilvl w:val="1"/>
          <w:numId w:val="12"/>
        </w:numPr>
        <w:tabs>
          <w:tab w:val="left" w:pos="1584"/>
        </w:tabs>
        <w:spacing w:before="0" w:after="0" w:line="305" w:lineRule="exact"/>
        <w:ind w:left="1584" w:right="0" w:hanging="58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对磋商小组成员的纪律要求</w:t>
      </w:r>
    </w:p>
    <w:p>
      <w:pPr>
        <w:pStyle w:val="8"/>
        <w:spacing w:before="112" w:line="328"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磋商小组成员不得收受他人的财物或者其他好处，不得向他人透漏对竞标文件的评</w:t>
      </w:r>
      <w:r>
        <w:rPr>
          <w:rFonts w:hint="eastAsia" w:ascii="宋体" w:hAnsi="宋体" w:eastAsia="宋体" w:cs="宋体"/>
          <w:color w:val="auto"/>
          <w:spacing w:val="-7"/>
          <w:sz w:val="21"/>
          <w:szCs w:val="21"/>
          <w:highlight w:val="none"/>
        </w:rPr>
        <w:t>审和比较、成交候选人的推荐情况以及评审有关的其他情况。在评审活动中，磋商小组</w:t>
      </w:r>
      <w:r>
        <w:rPr>
          <w:rFonts w:hint="eastAsia" w:ascii="宋体" w:hAnsi="宋体" w:eastAsia="宋体" w:cs="宋体"/>
          <w:color w:val="auto"/>
          <w:sz w:val="21"/>
          <w:szCs w:val="21"/>
          <w:highlight w:val="none"/>
        </w:rPr>
        <w:t>成员不得擅离职守，影响评审程序正常进行，不得使用第七章“评标办法”</w:t>
      </w:r>
      <w:r>
        <w:rPr>
          <w:rFonts w:hint="eastAsia" w:ascii="宋体" w:hAnsi="宋体" w:eastAsia="宋体" w:cs="宋体"/>
          <w:color w:val="auto"/>
          <w:spacing w:val="-2"/>
          <w:sz w:val="21"/>
          <w:szCs w:val="21"/>
          <w:highlight w:val="none"/>
        </w:rPr>
        <w:t>没有规定的评</w:t>
      </w:r>
      <w:r>
        <w:rPr>
          <w:rFonts w:hint="eastAsia" w:ascii="宋体" w:hAnsi="宋体" w:eastAsia="宋体" w:cs="宋体"/>
          <w:color w:val="auto"/>
          <w:sz w:val="21"/>
          <w:szCs w:val="21"/>
          <w:highlight w:val="none"/>
        </w:rPr>
        <w:t>审因素和标准进行评审。</w:t>
      </w:r>
    </w:p>
    <w:p>
      <w:pPr>
        <w:pStyle w:val="19"/>
        <w:numPr>
          <w:ilvl w:val="1"/>
          <w:numId w:val="12"/>
        </w:numPr>
        <w:tabs>
          <w:tab w:val="left" w:pos="1584"/>
        </w:tabs>
        <w:spacing w:before="0" w:after="0" w:line="302" w:lineRule="exact"/>
        <w:ind w:left="1584" w:right="0" w:hanging="58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对监督人员与工作等人员的有关规定和纪律：</w:t>
      </w:r>
    </w:p>
    <w:p>
      <w:pPr>
        <w:pStyle w:val="19"/>
        <w:numPr>
          <w:ilvl w:val="0"/>
          <w:numId w:val="15"/>
        </w:numPr>
        <w:tabs>
          <w:tab w:val="left" w:pos="1372"/>
        </w:tabs>
        <w:spacing w:before="113" w:after="0" w:line="240" w:lineRule="auto"/>
        <w:ind w:left="1371" w:right="0" w:hanging="37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评标办法在已备案的磋商文件中已经载明，任何单位和个人不得更改。</w:t>
      </w:r>
    </w:p>
    <w:p>
      <w:pPr>
        <w:pStyle w:val="19"/>
        <w:numPr>
          <w:ilvl w:val="0"/>
          <w:numId w:val="15"/>
        </w:numPr>
        <w:tabs>
          <w:tab w:val="left" w:pos="1376"/>
        </w:tabs>
        <w:spacing w:before="112" w:after="0" w:line="328"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为了确保评审的保密性，评审过程对所有参加评审的评委、采购人、采购代理</w:t>
      </w:r>
      <w:r>
        <w:rPr>
          <w:rFonts w:hint="eastAsia" w:ascii="宋体" w:hAnsi="宋体" w:eastAsia="宋体" w:cs="宋体"/>
          <w:color w:val="auto"/>
          <w:spacing w:val="-8"/>
          <w:sz w:val="21"/>
          <w:szCs w:val="21"/>
          <w:highlight w:val="none"/>
        </w:rPr>
        <w:t>机构、招竞标站的人员实行全封闭管理。封闭期间，未经监督人员批准，评审现场人员</w:t>
      </w:r>
      <w:r>
        <w:rPr>
          <w:rFonts w:hint="eastAsia" w:ascii="宋体" w:hAnsi="宋体" w:eastAsia="宋体" w:cs="宋体"/>
          <w:color w:val="auto"/>
          <w:sz w:val="21"/>
          <w:szCs w:val="21"/>
          <w:highlight w:val="none"/>
        </w:rPr>
        <w:t>不准随意离开现场，评审结束确定成交候选人后方可解除封闭。</w:t>
      </w:r>
    </w:p>
    <w:p>
      <w:pPr>
        <w:pStyle w:val="19"/>
        <w:numPr>
          <w:ilvl w:val="0"/>
          <w:numId w:val="15"/>
        </w:numPr>
        <w:tabs>
          <w:tab w:val="left" w:pos="1372"/>
        </w:tabs>
        <w:spacing w:before="0" w:after="0" w:line="304" w:lineRule="exact"/>
        <w:ind w:left="1371" w:right="0" w:hanging="374"/>
        <w:jc w:val="left"/>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评审开始之前，所有进入评审现场人员的通讯工具集中交由监督人员统一保管。</w:t>
      </w:r>
    </w:p>
    <w:p>
      <w:pPr>
        <w:pStyle w:val="19"/>
        <w:numPr>
          <w:ilvl w:val="0"/>
          <w:numId w:val="15"/>
        </w:numPr>
        <w:tabs>
          <w:tab w:val="left" w:pos="1376"/>
        </w:tabs>
        <w:spacing w:before="113" w:after="0" w:line="328" w:lineRule="auto"/>
        <w:ind w:left="518" w:right="517"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在评审过程中，评委要对有效竞标文件进行客观、独立和公正地评审，所有在场的其他人员不得干预评审，也不得对评委提出导向性意见。</w:t>
      </w:r>
    </w:p>
    <w:p>
      <w:pPr>
        <w:pStyle w:val="19"/>
        <w:numPr>
          <w:ilvl w:val="0"/>
          <w:numId w:val="15"/>
        </w:numPr>
        <w:tabs>
          <w:tab w:val="left" w:pos="1376"/>
        </w:tabs>
        <w:spacing w:before="0" w:after="0" w:line="328" w:lineRule="auto"/>
        <w:ind w:left="518" w:right="517"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所有参加评审的评委、监督人员和工作人员必须严格保密，不得对外泄漏涉及评审工作的各项保密事项和资料。</w:t>
      </w:r>
    </w:p>
    <w:p>
      <w:pPr>
        <w:pStyle w:val="19"/>
        <w:numPr>
          <w:ilvl w:val="0"/>
          <w:numId w:val="15"/>
        </w:numPr>
        <w:tabs>
          <w:tab w:val="left" w:pos="1201"/>
        </w:tabs>
        <w:spacing w:before="0" w:after="0" w:line="328" w:lineRule="auto"/>
        <w:ind w:left="518" w:right="51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采购人、采购代理机构、磋商小组、供应商在政府采购活动中要依法相互监督和</w:t>
      </w:r>
      <w:r>
        <w:rPr>
          <w:rFonts w:hint="eastAsia" w:ascii="宋体" w:hAnsi="宋体" w:eastAsia="宋体" w:cs="宋体"/>
          <w:color w:val="auto"/>
          <w:spacing w:val="-7"/>
          <w:sz w:val="21"/>
          <w:szCs w:val="21"/>
          <w:highlight w:val="none"/>
        </w:rPr>
        <w:t>制约，并自觉接受各级财政部门的监督。发现存在串通竞标等违法违规行为，应当及时</w:t>
      </w:r>
      <w:r>
        <w:rPr>
          <w:rFonts w:hint="eastAsia" w:ascii="宋体" w:hAnsi="宋体" w:eastAsia="宋体" w:cs="宋体"/>
          <w:color w:val="auto"/>
          <w:sz w:val="21"/>
          <w:szCs w:val="21"/>
          <w:highlight w:val="none"/>
        </w:rPr>
        <w:t>向财政部门报告。</w:t>
      </w:r>
    </w:p>
    <w:p>
      <w:pPr>
        <w:pStyle w:val="19"/>
        <w:numPr>
          <w:ilvl w:val="1"/>
          <w:numId w:val="12"/>
        </w:numPr>
        <w:tabs>
          <w:tab w:val="left" w:pos="1584"/>
        </w:tabs>
        <w:spacing w:before="0" w:after="0" w:line="304" w:lineRule="exact"/>
        <w:ind w:left="1584" w:right="0" w:hanging="58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w:t>
      </w:r>
    </w:p>
    <w:p>
      <w:pPr>
        <w:pStyle w:val="8"/>
        <w:spacing w:before="107" w:line="328" w:lineRule="auto"/>
        <w:ind w:left="518" w:right="455"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供应商和其他利害关系人认为本次采购活动违反法律、法规和规章规定的，有权向有关行政监督部门投诉。</w:t>
      </w:r>
    </w:p>
    <w:p>
      <w:pPr>
        <w:pStyle w:val="19"/>
        <w:numPr>
          <w:ilvl w:val="0"/>
          <w:numId w:val="12"/>
        </w:numPr>
        <w:tabs>
          <w:tab w:val="left" w:pos="972"/>
        </w:tabs>
        <w:spacing w:before="0" w:after="0" w:line="240" w:lineRule="auto"/>
        <w:ind w:left="972" w:right="0" w:hanging="454"/>
        <w:jc w:val="left"/>
        <w:rPr>
          <w:rFonts w:hint="eastAsia" w:ascii="宋体" w:hAnsi="宋体" w:eastAsia="宋体" w:cs="宋体"/>
          <w:b/>
          <w:color w:val="auto"/>
          <w:sz w:val="21"/>
          <w:szCs w:val="21"/>
          <w:highlight w:val="none"/>
        </w:rPr>
      </w:pPr>
      <w:bookmarkStart w:id="119" w:name="_bookmark35"/>
      <w:bookmarkEnd w:id="119"/>
      <w:bookmarkStart w:id="120" w:name="40. 解释权"/>
      <w:bookmarkEnd w:id="120"/>
      <w:r>
        <w:rPr>
          <w:rFonts w:hint="eastAsia" w:ascii="宋体" w:hAnsi="宋体" w:eastAsia="宋体" w:cs="宋体"/>
          <w:b/>
          <w:color w:val="auto"/>
          <w:sz w:val="21"/>
          <w:szCs w:val="21"/>
          <w:highlight w:val="none"/>
        </w:rPr>
        <w:t>解释权</w:t>
      </w:r>
    </w:p>
    <w:p>
      <w:pPr>
        <w:pStyle w:val="8"/>
        <w:spacing w:before="66"/>
        <w:ind w:left="51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本磋商文件是根据国家有关法律、法规以及政府采购管理有关规定和参照国际</w:t>
      </w:r>
      <w:r>
        <w:rPr>
          <w:rFonts w:hint="eastAsia" w:ascii="宋体" w:hAnsi="宋体" w:eastAsia="宋体" w:cs="宋体"/>
          <w:color w:val="auto"/>
          <w:sz w:val="21"/>
          <w:szCs w:val="21"/>
          <w:highlight w:val="none"/>
        </w:rPr>
        <w:t>惯例编制，解释权属本采购代理机构。</w:t>
      </w:r>
    </w:p>
    <w:p>
      <w:pPr>
        <w:pStyle w:val="19"/>
        <w:numPr>
          <w:ilvl w:val="0"/>
          <w:numId w:val="12"/>
        </w:numPr>
        <w:tabs>
          <w:tab w:val="left" w:pos="972"/>
        </w:tabs>
        <w:spacing w:before="0" w:after="0" w:line="240" w:lineRule="auto"/>
        <w:ind w:left="972" w:right="0" w:hanging="454"/>
        <w:jc w:val="left"/>
        <w:rPr>
          <w:rFonts w:hint="eastAsia" w:ascii="宋体" w:hAnsi="宋体" w:eastAsia="宋体" w:cs="宋体"/>
          <w:b/>
          <w:color w:val="auto"/>
          <w:sz w:val="21"/>
          <w:szCs w:val="21"/>
          <w:highlight w:val="none"/>
        </w:rPr>
      </w:pPr>
      <w:bookmarkStart w:id="121" w:name="_bookmark36"/>
      <w:bookmarkEnd w:id="121"/>
      <w:bookmarkStart w:id="122" w:name="41. 有关事宜"/>
      <w:bookmarkEnd w:id="122"/>
      <w:r>
        <w:rPr>
          <w:rFonts w:hint="eastAsia" w:ascii="宋体" w:hAnsi="宋体" w:eastAsia="宋体" w:cs="宋体"/>
          <w:b/>
          <w:color w:val="auto"/>
          <w:sz w:val="21"/>
          <w:szCs w:val="21"/>
          <w:highlight w:val="none"/>
        </w:rPr>
        <w:t>有关事宜</w:t>
      </w:r>
    </w:p>
    <w:p>
      <w:pPr>
        <w:pStyle w:val="8"/>
        <w:ind w:left="99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广西建隆工程咨询有限公司</w:t>
      </w:r>
    </w:p>
    <w:p>
      <w:pPr>
        <w:pStyle w:val="8"/>
        <w:spacing w:before="153" w:line="240" w:lineRule="auto"/>
        <w:ind w:left="998" w:right="3519"/>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rPr>
        <w:t>通讯地址：</w:t>
      </w:r>
      <w:r>
        <w:rPr>
          <w:rFonts w:hint="eastAsia" w:ascii="宋体" w:hAnsi="宋体" w:eastAsia="宋体" w:cs="宋体"/>
          <w:color w:val="auto"/>
          <w:spacing w:val="-4"/>
          <w:sz w:val="21"/>
          <w:szCs w:val="21"/>
          <w:highlight w:val="none"/>
          <w:lang w:eastAsia="zh-CN"/>
        </w:rPr>
        <w:t>崇左市花山路与城南八路交叉口万沣名车城4楼406室</w:t>
      </w:r>
    </w:p>
    <w:p>
      <w:pPr>
        <w:pStyle w:val="8"/>
        <w:spacing w:line="240" w:lineRule="auto"/>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eastAsia="zh-CN"/>
        </w:rPr>
        <w:t>潘</w:t>
      </w:r>
      <w:r>
        <w:rPr>
          <w:rFonts w:hint="eastAsia" w:ascii="宋体" w:hAnsi="宋体" w:eastAsia="宋体" w:cs="宋体"/>
          <w:color w:val="auto"/>
          <w:sz w:val="21"/>
          <w:szCs w:val="21"/>
          <w:highlight w:val="none"/>
        </w:rPr>
        <w:t>工</w:t>
      </w:r>
    </w:p>
    <w:p>
      <w:pPr>
        <w:pStyle w:val="8"/>
        <w:tabs>
          <w:tab w:val="left" w:pos="1718"/>
        </w:tabs>
        <w:spacing w:before="153" w:line="240" w:lineRule="auto"/>
        <w:ind w:left="998"/>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话：0771-</w:t>
      </w:r>
      <w:r>
        <w:rPr>
          <w:rFonts w:hint="eastAsia" w:ascii="宋体" w:hAnsi="宋体" w:eastAsia="宋体" w:cs="宋体"/>
          <w:color w:val="auto"/>
          <w:sz w:val="21"/>
          <w:szCs w:val="21"/>
          <w:highlight w:val="none"/>
          <w:lang w:val="en-US" w:eastAsia="zh-CN"/>
        </w:rPr>
        <w:t>7960670</w:t>
      </w:r>
    </w:p>
    <w:p>
      <w:pPr>
        <w:pStyle w:val="8"/>
        <w:spacing w:before="154"/>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广西建隆工程咨询有限公司</w:t>
      </w:r>
    </w:p>
    <w:p>
      <w:pPr>
        <w:pStyle w:val="8"/>
        <w:spacing w:before="154" w:line="240" w:lineRule="auto"/>
        <w:ind w:left="998" w:right="190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广西北部湾银行南宁市琅东支行</w:t>
      </w:r>
    </w:p>
    <w:p>
      <w:pPr>
        <w:pStyle w:val="8"/>
        <w:spacing w:before="154" w:line="240" w:lineRule="auto"/>
        <w:ind w:left="998" w:right="190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eastAsia="zh-CN"/>
        </w:rPr>
        <w:t>8000 7529 4800 010</w:t>
      </w:r>
    </w:p>
    <w:p>
      <w:pPr>
        <w:spacing w:after="0" w:line="360" w:lineRule="auto"/>
        <w:rPr>
          <w:rFonts w:hint="eastAsia" w:ascii="宋体" w:hAnsi="宋体" w:eastAsia="宋体" w:cs="宋体"/>
          <w:color w:val="auto"/>
          <w:sz w:val="21"/>
          <w:szCs w:val="21"/>
          <w:highlight w:val="none"/>
        </w:rPr>
        <w:sectPr>
          <w:footerReference r:id="rId9" w:type="default"/>
          <w:pgSz w:w="11910" w:h="16840"/>
          <w:pgMar w:top="1300" w:right="900" w:bottom="1180" w:left="900" w:header="1100" w:footer="993" w:gutter="0"/>
        </w:sectPr>
      </w:pPr>
    </w:p>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spacing w:before="9"/>
        <w:rPr>
          <w:rFonts w:hint="eastAsia" w:ascii="宋体" w:hAnsi="宋体" w:eastAsia="宋体" w:cs="宋体"/>
          <w:color w:val="auto"/>
          <w:sz w:val="21"/>
          <w:szCs w:val="21"/>
          <w:highlight w:val="none"/>
        </w:rPr>
      </w:pPr>
    </w:p>
    <w:p>
      <w:pPr>
        <w:pStyle w:val="8"/>
        <w:spacing w:before="9"/>
        <w:rPr>
          <w:rFonts w:hint="eastAsia" w:ascii="宋体" w:hAnsi="宋体" w:eastAsia="宋体" w:cs="宋体"/>
          <w:color w:val="auto"/>
          <w:sz w:val="21"/>
          <w:szCs w:val="21"/>
          <w:highlight w:val="none"/>
        </w:rPr>
      </w:pPr>
    </w:p>
    <w:p>
      <w:pPr>
        <w:spacing w:before="0"/>
        <w:ind w:left="518" w:right="0" w:firstLine="0"/>
        <w:jc w:val="left"/>
        <w:rPr>
          <w:rFonts w:hint="eastAsia" w:ascii="宋体" w:hAnsi="宋体" w:eastAsia="宋体" w:cs="宋体"/>
          <w:b/>
          <w:color w:val="auto"/>
          <w:sz w:val="21"/>
          <w:szCs w:val="21"/>
          <w:highlight w:val="none"/>
        </w:rPr>
      </w:pPr>
      <w:bookmarkStart w:id="123" w:name="第三章  合同主要条款及格式"/>
      <w:bookmarkEnd w:id="123"/>
      <w:bookmarkStart w:id="124" w:name="_bookmark38"/>
      <w:bookmarkEnd w:id="124"/>
      <w:r>
        <w:rPr>
          <w:rFonts w:hint="eastAsia" w:ascii="宋体" w:hAnsi="宋体" w:eastAsia="宋体" w:cs="宋体"/>
          <w:b/>
          <w:color w:val="auto"/>
          <w:sz w:val="21"/>
          <w:szCs w:val="21"/>
          <w:highlight w:val="none"/>
        </w:rPr>
        <w:t>一、项目概况</w:t>
      </w:r>
    </w:p>
    <w:p>
      <w:pPr>
        <w:tabs>
          <w:tab w:val="left" w:pos="2284"/>
        </w:tabs>
        <w:spacing w:before="37"/>
        <w:ind w:left="518" w:right="0" w:firstLine="0"/>
        <w:jc w:val="left"/>
        <w:rPr>
          <w:rFonts w:hint="eastAsia" w:ascii="宋体" w:hAnsi="宋体" w:eastAsia="宋体" w:cs="宋体"/>
          <w:b/>
          <w:color w:val="auto"/>
          <w:sz w:val="32"/>
          <w:szCs w:val="32"/>
          <w:highlight w:val="none"/>
        </w:rPr>
      </w:pPr>
      <w:r>
        <w:rPr>
          <w:rFonts w:hint="eastAsia" w:ascii="宋体" w:hAnsi="宋体" w:eastAsia="宋体" w:cs="宋体"/>
          <w:color w:val="auto"/>
          <w:sz w:val="21"/>
          <w:szCs w:val="21"/>
          <w:highlight w:val="none"/>
        </w:rPr>
        <w:br w:type="column"/>
      </w:r>
      <w:bookmarkStart w:id="125" w:name="第二章  项目服务要求"/>
      <w:bookmarkEnd w:id="125"/>
      <w:bookmarkStart w:id="126" w:name="_bookmark37"/>
      <w:bookmarkEnd w:id="126"/>
      <w:r>
        <w:rPr>
          <w:rFonts w:hint="eastAsia" w:ascii="宋体" w:hAnsi="宋体" w:eastAsia="宋体" w:cs="宋体"/>
          <w:b/>
          <w:color w:val="auto"/>
          <w:sz w:val="32"/>
          <w:szCs w:val="32"/>
          <w:highlight w:val="none"/>
        </w:rPr>
        <w:t>第二章</w:t>
      </w:r>
      <w:r>
        <w:rPr>
          <w:rFonts w:hint="eastAsia" w:ascii="宋体" w:hAnsi="宋体" w:eastAsia="宋体" w:cs="宋体"/>
          <w:b/>
          <w:color w:val="auto"/>
          <w:sz w:val="32"/>
          <w:szCs w:val="32"/>
          <w:highlight w:val="none"/>
        </w:rPr>
        <w:tab/>
      </w:r>
      <w:r>
        <w:rPr>
          <w:rFonts w:hint="eastAsia" w:ascii="宋体" w:hAnsi="宋体" w:eastAsia="宋体" w:cs="宋体"/>
          <w:b/>
          <w:color w:val="auto"/>
          <w:sz w:val="32"/>
          <w:szCs w:val="32"/>
          <w:highlight w:val="none"/>
        </w:rPr>
        <w:t>项目服务要求</w:t>
      </w:r>
    </w:p>
    <w:p>
      <w:pPr>
        <w:spacing w:after="0"/>
        <w:jc w:val="left"/>
        <w:rPr>
          <w:rFonts w:hint="eastAsia" w:ascii="宋体" w:hAnsi="宋体" w:eastAsia="宋体" w:cs="宋体"/>
          <w:color w:val="auto"/>
          <w:sz w:val="32"/>
          <w:szCs w:val="32"/>
          <w:highlight w:val="none"/>
        </w:rPr>
        <w:sectPr>
          <w:type w:val="continuous"/>
          <w:pgSz w:w="11910" w:h="16840"/>
          <w:pgMar w:top="1600" w:right="900" w:bottom="280" w:left="900" w:header="720" w:footer="720" w:gutter="0"/>
          <w:cols w:equalWidth="0" w:num="2">
            <w:col w:w="2203" w:space="127"/>
            <w:col w:w="7780"/>
          </w:cols>
        </w:sectPr>
      </w:pPr>
    </w:p>
    <w:p>
      <w:pPr>
        <w:spacing w:before="4" w:line="360" w:lineRule="auto"/>
        <w:ind w:left="518" w:right="464" w:firstLine="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eastAsia="zh-CN"/>
        </w:rPr>
        <w:t>崇左市江州区农业农村局崇左市江州区高标准农田建设规划（2019-2025年）编制服务项目</w:t>
      </w:r>
    </w:p>
    <w:p>
      <w:pPr>
        <w:spacing w:before="0" w:line="360" w:lineRule="auto"/>
        <w:ind w:left="518" w:right="0" w:firstLine="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2、项目建设地点：崇左</w:t>
      </w:r>
      <w:r>
        <w:rPr>
          <w:rFonts w:hint="eastAsia" w:ascii="宋体" w:hAnsi="宋体" w:eastAsia="宋体" w:cs="宋体"/>
          <w:color w:val="auto"/>
          <w:sz w:val="21"/>
          <w:szCs w:val="21"/>
          <w:highlight w:val="none"/>
          <w:lang w:eastAsia="zh-CN"/>
        </w:rPr>
        <w:t>江州区</w:t>
      </w:r>
    </w:p>
    <w:p>
      <w:pPr>
        <w:spacing w:before="6" w:line="360" w:lineRule="auto"/>
        <w:ind w:left="518" w:right="0" w:firstLine="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项目编号：CZZC2020-C3-20015-GXJL</w:t>
      </w:r>
    </w:p>
    <w:p>
      <w:pPr>
        <w:spacing w:before="4" w:line="360" w:lineRule="auto"/>
        <w:ind w:left="518"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4、资金来源及比例：财政资金，比例：100%</w:t>
      </w:r>
    </w:p>
    <w:p>
      <w:pPr>
        <w:spacing w:before="4" w:line="360" w:lineRule="auto"/>
        <w:ind w:left="518" w:right="210" w:rightChars="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5：服务范围：</w:t>
      </w:r>
      <w:r>
        <w:rPr>
          <w:rFonts w:hint="eastAsia" w:ascii="宋体" w:hAnsi="宋体" w:eastAsia="宋体" w:cs="宋体"/>
          <w:color w:val="auto"/>
          <w:sz w:val="21"/>
          <w:szCs w:val="21"/>
          <w:highlight w:val="none"/>
          <w:lang w:eastAsia="zh-CN"/>
        </w:rPr>
        <w:t>崇左市江州区农业农村局崇左市江州区高标准农田建设规划（2019-2025年）编制服务项目</w:t>
      </w:r>
      <w:r>
        <w:rPr>
          <w:rFonts w:hint="eastAsia" w:ascii="宋体" w:hAnsi="宋体" w:eastAsia="宋体" w:cs="宋体"/>
          <w:color w:val="auto"/>
          <w:sz w:val="21"/>
          <w:szCs w:val="21"/>
          <w:highlight w:val="none"/>
        </w:rPr>
        <w:t>，包括项目资料收集、整理、分析，实地调研，内</w:t>
      </w:r>
      <w:r>
        <w:rPr>
          <w:rFonts w:hint="eastAsia" w:ascii="宋体" w:hAnsi="宋体" w:eastAsia="宋体" w:cs="宋体"/>
          <w:color w:val="auto"/>
          <w:sz w:val="21"/>
          <w:szCs w:val="21"/>
          <w:highlight w:val="none"/>
          <w:lang w:val="en-US" w:eastAsia="zh-CN"/>
        </w:rPr>
        <w:t>业</w:t>
      </w:r>
      <w:r>
        <w:rPr>
          <w:rFonts w:hint="eastAsia" w:ascii="宋体" w:hAnsi="宋体" w:eastAsia="宋体" w:cs="宋体"/>
          <w:color w:val="auto"/>
          <w:sz w:val="21"/>
          <w:szCs w:val="21"/>
          <w:highlight w:val="none"/>
        </w:rPr>
        <w:t>处理，编制《</w:t>
      </w:r>
      <w:r>
        <w:rPr>
          <w:rFonts w:hint="eastAsia" w:ascii="宋体" w:hAnsi="宋体" w:eastAsia="宋体" w:cs="宋体"/>
          <w:color w:val="auto"/>
          <w:sz w:val="21"/>
          <w:szCs w:val="21"/>
          <w:highlight w:val="none"/>
          <w:lang w:eastAsia="zh-CN"/>
        </w:rPr>
        <w:t>崇左市江州区高标准农田建设规划（2019-2025年）</w:t>
      </w:r>
      <w:r>
        <w:rPr>
          <w:rFonts w:hint="eastAsia" w:ascii="宋体" w:hAnsi="宋体" w:eastAsia="宋体" w:cs="宋体"/>
          <w:color w:val="auto"/>
          <w:sz w:val="21"/>
          <w:szCs w:val="21"/>
          <w:highlight w:val="none"/>
        </w:rPr>
        <w:t>》等。</w:t>
      </w:r>
    </w:p>
    <w:p>
      <w:pPr>
        <w:spacing w:before="4" w:line="360" w:lineRule="auto"/>
        <w:ind w:left="518" w:right="3005" w:firstLine="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b/>
          <w:color w:val="auto"/>
          <w:sz w:val="21"/>
          <w:szCs w:val="21"/>
          <w:highlight w:val="none"/>
        </w:rPr>
        <w:t>项目内容</w:t>
      </w:r>
    </w:p>
    <w:p>
      <w:pPr>
        <w:spacing w:before="3" w:line="360" w:lineRule="auto"/>
        <w:ind w:left="518" w:right="0" w:firstLine="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崇左市江州区农业农村局崇左市江州区高标准农田建设规划（2019-2025年）编制服务项目，包括项目资料收集、整理、分析，实地调研，内行处理，编制《崇左市江州区高标准农田建设规划（2019-2025年）》等。</w:t>
      </w:r>
    </w:p>
    <w:p>
      <w:pPr>
        <w:spacing w:before="3"/>
        <w:ind w:left="518" w:right="0"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三、服务要求</w:t>
      </w:r>
    </w:p>
    <w:p>
      <w:pPr>
        <w:spacing w:before="3" w:line="360" w:lineRule="auto"/>
        <w:ind w:left="518"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1、合同签订时间：自成交通知书发出之日起</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日内与采购人签订合同。</w:t>
      </w:r>
    </w:p>
    <w:p>
      <w:pPr>
        <w:spacing w:before="4" w:line="360" w:lineRule="auto"/>
        <w:ind w:left="518" w:right="469" w:firstLine="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2、设计服务期限：①合同签订之后1</w:t>
      </w:r>
      <w:r>
        <w:rPr>
          <w:rFonts w:hint="eastAsia" w:ascii="宋体" w:hAnsi="宋体" w:eastAsia="宋体" w:cs="宋体"/>
          <w:color w:val="auto"/>
          <w:sz w:val="21"/>
          <w:szCs w:val="21"/>
          <w:highlight w:val="none"/>
          <w:lang w:val="en-US" w:eastAsia="zh-CN"/>
        </w:rPr>
        <w:t>0日</w:t>
      </w:r>
      <w:r>
        <w:rPr>
          <w:rFonts w:hint="eastAsia" w:ascii="宋体" w:hAnsi="宋体" w:eastAsia="宋体" w:cs="宋体"/>
          <w:color w:val="auto"/>
          <w:sz w:val="21"/>
          <w:szCs w:val="21"/>
          <w:highlight w:val="none"/>
        </w:rPr>
        <w:t>内完成详勘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②自签订合同书之日起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天内向招标人提交</w:t>
      </w:r>
      <w:r>
        <w:rPr>
          <w:rFonts w:hint="eastAsia" w:ascii="宋体" w:hAnsi="宋体" w:eastAsia="宋体" w:cs="宋体"/>
          <w:color w:val="auto"/>
          <w:sz w:val="21"/>
          <w:szCs w:val="21"/>
          <w:highlight w:val="none"/>
          <w:lang w:eastAsia="zh-CN"/>
        </w:rPr>
        <w:t>初步设计成果</w:t>
      </w:r>
      <w:r>
        <w:rPr>
          <w:rFonts w:hint="eastAsia" w:ascii="宋体" w:hAnsi="宋体" w:eastAsia="宋体" w:cs="宋体"/>
          <w:color w:val="auto"/>
          <w:sz w:val="21"/>
          <w:szCs w:val="21"/>
          <w:highlight w:val="none"/>
        </w:rPr>
        <w:t>；③建设期配合服务：项目完工之日止</w:t>
      </w:r>
      <w:r>
        <w:rPr>
          <w:rFonts w:hint="eastAsia" w:ascii="宋体" w:hAnsi="宋体" w:eastAsia="宋体" w:cs="宋体"/>
          <w:color w:val="auto"/>
          <w:sz w:val="21"/>
          <w:szCs w:val="21"/>
          <w:highlight w:val="none"/>
          <w:lang w:eastAsia="zh-CN"/>
        </w:rPr>
        <w:t>。</w:t>
      </w:r>
    </w:p>
    <w:p>
      <w:pPr>
        <w:spacing w:before="3" w:line="360" w:lineRule="auto"/>
        <w:ind w:left="518" w:right="487"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3、质量要求：①符合有关法律、行政法规的规定；②符合建设</w:t>
      </w:r>
      <w:r>
        <w:rPr>
          <w:rFonts w:hint="eastAsia" w:ascii="宋体" w:hAnsi="宋体" w:eastAsia="宋体" w:cs="宋体"/>
          <w:color w:val="auto"/>
          <w:sz w:val="21"/>
          <w:szCs w:val="21"/>
          <w:highlight w:val="none"/>
          <w:lang w:eastAsia="zh-CN"/>
        </w:rPr>
        <w:t>规划建设</w:t>
      </w:r>
      <w:r>
        <w:rPr>
          <w:rFonts w:hint="eastAsia" w:ascii="宋体" w:hAnsi="宋体" w:eastAsia="宋体" w:cs="宋体"/>
          <w:color w:val="auto"/>
          <w:sz w:val="21"/>
          <w:szCs w:val="21"/>
          <w:highlight w:val="none"/>
        </w:rPr>
        <w:t>的技术规范③符合国家标准和行业标准；④符合</w:t>
      </w:r>
      <w:r>
        <w:rPr>
          <w:rFonts w:hint="eastAsia" w:ascii="宋体" w:hAnsi="宋体" w:eastAsia="宋体" w:cs="宋体"/>
          <w:color w:val="auto"/>
          <w:sz w:val="21"/>
          <w:szCs w:val="21"/>
          <w:highlight w:val="none"/>
          <w:lang w:eastAsia="zh-CN"/>
        </w:rPr>
        <w:t>高标准农田</w:t>
      </w:r>
      <w:r>
        <w:rPr>
          <w:rFonts w:hint="eastAsia" w:ascii="宋体" w:hAnsi="宋体" w:eastAsia="宋体" w:cs="宋体"/>
          <w:color w:val="auto"/>
          <w:sz w:val="21"/>
          <w:szCs w:val="21"/>
          <w:highlight w:val="none"/>
        </w:rPr>
        <w:t>基本建设设计文件编制办法和设计文件图表示例的要求。</w:t>
      </w:r>
    </w:p>
    <w:p>
      <w:pPr>
        <w:spacing w:before="2" w:line="360" w:lineRule="auto"/>
        <w:ind w:left="518"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4、服务地点：采购人指定地点</w:t>
      </w:r>
    </w:p>
    <w:p>
      <w:pPr>
        <w:spacing w:before="4" w:line="360" w:lineRule="auto"/>
        <w:ind w:left="518" w:right="627"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5、设计成果文件：设计成果文件纸质版一式6套、可编辑电子版一套、成果文件PDF扫描件一套。</w:t>
      </w:r>
    </w:p>
    <w:p>
      <w:pPr>
        <w:spacing w:before="0" w:line="360" w:lineRule="auto"/>
        <w:ind w:left="518" w:right="463"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6、付款条件：设计方提交所有成果文件并检验合格后30日内，采购人一次性支付设计费合同总价的100%</w:t>
      </w:r>
    </w:p>
    <w:p>
      <w:pPr>
        <w:spacing w:after="0" w:line="242" w:lineRule="auto"/>
        <w:jc w:val="left"/>
        <w:rPr>
          <w:rFonts w:hint="eastAsia" w:ascii="宋体" w:hAnsi="宋体" w:eastAsia="宋体" w:cs="宋体"/>
          <w:color w:val="auto"/>
          <w:sz w:val="21"/>
          <w:szCs w:val="21"/>
          <w:highlight w:val="none"/>
        </w:rPr>
        <w:sectPr>
          <w:type w:val="continuous"/>
          <w:pgSz w:w="11910" w:h="16840"/>
          <w:pgMar w:top="1600" w:right="900" w:bottom="280" w:left="900" w:header="720" w:footer="720" w:gutter="0"/>
        </w:sectPr>
      </w:pPr>
    </w:p>
    <w:p>
      <w:pPr>
        <w:pStyle w:val="8"/>
        <w:spacing w:before="5"/>
        <w:rPr>
          <w:rFonts w:hint="eastAsia" w:ascii="宋体" w:hAnsi="宋体" w:eastAsia="宋体" w:cs="宋体"/>
          <w:color w:val="auto"/>
          <w:sz w:val="21"/>
          <w:szCs w:val="21"/>
          <w:highlight w:val="none"/>
        </w:rPr>
      </w:pPr>
    </w:p>
    <w:p>
      <w:pPr>
        <w:pStyle w:val="8"/>
        <w:spacing w:line="20" w:lineRule="exact"/>
        <w:ind w:left="510"/>
        <w:rPr>
          <w:rFonts w:hint="eastAsia" w:ascii="宋体" w:hAnsi="宋体" w:eastAsia="宋体" w:cs="宋体"/>
          <w:color w:val="auto"/>
          <w:sz w:val="21"/>
          <w:szCs w:val="21"/>
          <w:highlight w:val="none"/>
        </w:rPr>
      </w:pPr>
    </w:p>
    <w:p>
      <w:pPr>
        <w:tabs>
          <w:tab w:val="left" w:pos="1279"/>
        </w:tabs>
        <w:spacing w:before="104"/>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b/>
          <w:color w:val="auto"/>
          <w:sz w:val="32"/>
          <w:szCs w:val="32"/>
          <w:highlight w:val="none"/>
        </w:rPr>
        <w:t>第三章</w:t>
      </w:r>
      <w:r>
        <w:rPr>
          <w:rFonts w:hint="eastAsia" w:ascii="宋体" w:hAnsi="宋体" w:eastAsia="宋体" w:cs="宋体"/>
          <w:b/>
          <w:color w:val="auto"/>
          <w:sz w:val="32"/>
          <w:szCs w:val="32"/>
          <w:highlight w:val="none"/>
        </w:rPr>
        <w:tab/>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合同主要条款及格式</w:t>
      </w:r>
    </w:p>
    <w:p>
      <w:pPr>
        <w:pStyle w:val="8"/>
        <w:spacing w:before="6"/>
        <w:rPr>
          <w:rFonts w:hint="eastAsia" w:ascii="宋体" w:hAnsi="宋体" w:eastAsia="宋体" w:cs="宋体"/>
          <w:color w:val="auto"/>
          <w:sz w:val="21"/>
          <w:szCs w:val="21"/>
          <w:highlight w:val="none"/>
        </w:rPr>
      </w:pPr>
    </w:p>
    <w:p>
      <w:pPr>
        <w:pStyle w:val="8"/>
        <w:ind w:right="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（此合同格式如有与项目实际情况不相符的，参照国家现行同类合同范本调整）</w:t>
      </w:r>
    </w:p>
    <w:p>
      <w:pPr>
        <w:spacing w:after="0"/>
        <w:jc w:val="center"/>
        <w:rPr>
          <w:rFonts w:hint="eastAsia" w:ascii="宋体" w:hAnsi="宋体" w:eastAsia="宋体" w:cs="宋体"/>
          <w:color w:val="auto"/>
          <w:sz w:val="21"/>
          <w:szCs w:val="21"/>
          <w:highlight w:val="none"/>
        </w:rPr>
        <w:sectPr>
          <w:headerReference r:id="rId10" w:type="default"/>
          <w:pgSz w:w="11910" w:h="16840"/>
          <w:pgMar w:top="1260" w:right="900" w:bottom="1180" w:left="900" w:header="1066" w:footer="993" w:gutter="0"/>
        </w:sectPr>
      </w:pPr>
    </w:p>
    <w:p>
      <w:pPr>
        <w:pStyle w:val="8"/>
        <w:rPr>
          <w:rFonts w:hint="eastAsia" w:ascii="宋体" w:hAnsi="宋体" w:eastAsia="宋体" w:cs="宋体"/>
          <w:color w:val="auto"/>
          <w:sz w:val="21"/>
          <w:szCs w:val="21"/>
          <w:highlight w:val="none"/>
        </w:rPr>
      </w:pPr>
    </w:p>
    <w:p>
      <w:pPr>
        <w:pStyle w:val="8"/>
        <w:spacing w:before="7"/>
        <w:rPr>
          <w:rFonts w:hint="eastAsia" w:ascii="宋体" w:hAnsi="宋体" w:eastAsia="宋体" w:cs="宋体"/>
          <w:color w:val="auto"/>
          <w:sz w:val="21"/>
          <w:szCs w:val="21"/>
          <w:highlight w:val="none"/>
        </w:rPr>
      </w:pPr>
    </w:p>
    <w:p>
      <w:pPr>
        <w:tabs>
          <w:tab w:val="left" w:pos="1564"/>
        </w:tabs>
        <w:spacing w:before="49"/>
        <w:ind w:left="481" w:right="0" w:firstLine="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w:t>
      </w:r>
      <w:r>
        <w:rPr>
          <w:rFonts w:hint="eastAsia" w:ascii="宋体" w:hAnsi="宋体" w:eastAsia="宋体" w:cs="宋体"/>
          <w:b/>
          <w:color w:val="auto"/>
          <w:sz w:val="44"/>
          <w:szCs w:val="44"/>
          <w:highlight w:val="none"/>
          <w:lang w:eastAsia="zh-CN"/>
        </w:rPr>
        <w:t>参</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lang w:eastAsia="zh-CN"/>
        </w:rPr>
        <w:t>考</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格</w:t>
      </w:r>
      <w:r>
        <w:rPr>
          <w:rFonts w:hint="eastAsia" w:ascii="宋体" w:hAnsi="宋体" w:eastAsia="宋体" w:cs="宋体"/>
          <w:b/>
          <w:color w:val="auto"/>
          <w:sz w:val="44"/>
          <w:szCs w:val="44"/>
          <w:highlight w:val="none"/>
        </w:rPr>
        <w:tab/>
      </w:r>
      <w:r>
        <w:rPr>
          <w:rFonts w:hint="eastAsia" w:ascii="宋体" w:hAnsi="宋体" w:eastAsia="宋体" w:cs="宋体"/>
          <w:b/>
          <w:color w:val="auto"/>
          <w:sz w:val="44"/>
          <w:szCs w:val="44"/>
          <w:highlight w:val="none"/>
        </w:rPr>
        <w:t>式）</w:t>
      </w:r>
    </w:p>
    <w:p>
      <w:pPr>
        <w:pStyle w:val="8"/>
        <w:rPr>
          <w:rFonts w:hint="eastAsia" w:ascii="宋体" w:hAnsi="宋体" w:eastAsia="宋体" w:cs="宋体"/>
          <w:b/>
          <w:color w:val="auto"/>
          <w:sz w:val="21"/>
          <w:szCs w:val="21"/>
          <w:highlight w:val="none"/>
        </w:rPr>
      </w:pPr>
    </w:p>
    <w:p>
      <w:pPr>
        <w:pStyle w:val="8"/>
        <w:spacing w:before="244"/>
        <w:ind w:right="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建设工程设计合同</w:t>
      </w:r>
    </w:p>
    <w:p>
      <w:pPr>
        <w:pStyle w:val="8"/>
        <w:spacing w:before="158"/>
        <w:ind w:right="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（专业建设工程设计合同）</w:t>
      </w:r>
    </w:p>
    <w:p>
      <w:pPr>
        <w:pStyle w:val="8"/>
        <w:rPr>
          <w:rFonts w:hint="eastAsia" w:ascii="宋体" w:hAnsi="宋体" w:eastAsia="宋体" w:cs="宋体"/>
          <w:color w:val="auto"/>
          <w:sz w:val="21"/>
          <w:szCs w:val="21"/>
          <w:highlight w:val="none"/>
        </w:rPr>
      </w:pPr>
    </w:p>
    <w:p>
      <w:pPr>
        <w:pStyle w:val="8"/>
        <w:spacing w:before="1"/>
        <w:rPr>
          <w:rFonts w:hint="eastAsia" w:ascii="宋体" w:hAnsi="宋体" w:eastAsia="宋体" w:cs="宋体"/>
          <w:color w:val="auto"/>
          <w:sz w:val="21"/>
          <w:szCs w:val="21"/>
          <w:highlight w:val="none"/>
        </w:rPr>
      </w:pPr>
    </w:p>
    <w:p>
      <w:pPr>
        <w:pStyle w:val="8"/>
        <w:tabs>
          <w:tab w:val="left" w:pos="8258"/>
        </w:tabs>
        <w:spacing w:line="364" w:lineRule="auto"/>
        <w:ind w:left="1478" w:right="184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  程  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  程  地  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  同  编 号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spacing w:line="304" w:lineRule="exact"/>
        <w:ind w:left="14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（由工程设计人编填）</w:t>
      </w:r>
    </w:p>
    <w:p>
      <w:pPr>
        <w:pStyle w:val="8"/>
        <w:tabs>
          <w:tab w:val="left" w:pos="8258"/>
        </w:tabs>
        <w:spacing w:before="161" w:line="364" w:lineRule="auto"/>
        <w:ind w:left="1478" w:right="184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 计 证书等级：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    包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设    计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  订  日 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8"/>
        <w:rPr>
          <w:rFonts w:hint="eastAsia" w:ascii="宋体" w:hAnsi="宋体" w:eastAsia="宋体" w:cs="宋体"/>
          <w:color w:val="auto"/>
          <w:sz w:val="21"/>
          <w:szCs w:val="21"/>
          <w:highlight w:val="none"/>
        </w:rPr>
      </w:pPr>
    </w:p>
    <w:p>
      <w:pPr>
        <w:pStyle w:val="8"/>
        <w:spacing w:before="67"/>
        <w:ind w:left="770" w:right="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中华人民共和国建设部</w:t>
      </w:r>
    </w:p>
    <w:p>
      <w:pPr>
        <w:pStyle w:val="8"/>
        <w:spacing w:before="160"/>
        <w:ind w:right="2626"/>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监制</w:t>
      </w:r>
    </w:p>
    <w:p>
      <w:pPr>
        <w:pStyle w:val="8"/>
        <w:spacing w:before="158"/>
        <w:ind w:left="674" w:right="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国家工商行政管理局</w:t>
      </w:r>
    </w:p>
    <w:p>
      <w:pPr>
        <w:pStyle w:val="8"/>
        <w:spacing w:before="158"/>
        <w:ind w:left="674" w:right="1"/>
        <w:jc w:val="center"/>
        <w:rPr>
          <w:rFonts w:hint="eastAsia" w:ascii="宋体" w:hAnsi="宋体" w:eastAsia="宋体" w:cs="宋体"/>
          <w:color w:val="auto"/>
          <w:sz w:val="21"/>
          <w:szCs w:val="21"/>
          <w:highlight w:val="none"/>
        </w:rPr>
      </w:pPr>
    </w:p>
    <w:p>
      <w:pPr>
        <w:pStyle w:val="8"/>
        <w:tabs>
          <w:tab w:val="left" w:pos="479"/>
        </w:tabs>
        <w:spacing w:before="67"/>
        <w:ind w:right="18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月</w:t>
      </w:r>
    </w:p>
    <w:p>
      <w:pPr>
        <w:pStyle w:val="8"/>
        <w:spacing w:before="158"/>
        <w:ind w:left="674" w:right="1"/>
        <w:jc w:val="center"/>
        <w:rPr>
          <w:rFonts w:hint="eastAsia" w:ascii="宋体" w:hAnsi="宋体" w:eastAsia="宋体" w:cs="宋体"/>
          <w:color w:val="auto"/>
          <w:sz w:val="21"/>
          <w:szCs w:val="21"/>
          <w:highlight w:val="none"/>
        </w:rPr>
        <w:sectPr>
          <w:headerReference r:id="rId11" w:type="default"/>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tabs>
          <w:tab w:val="left" w:pos="2498"/>
          <w:tab w:val="left" w:pos="2678"/>
        </w:tabs>
        <w:spacing w:before="74" w:line="585" w:lineRule="auto"/>
        <w:ind w:left="518" w:right="73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17"/>
          <w:sz w:val="21"/>
          <w:szCs w:val="21"/>
          <w:highlight w:val="none"/>
          <w:lang w:val="en-US" w:eastAsia="zh-CN"/>
        </w:rPr>
        <w:t xml:space="preserve"> </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设计人：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tabs>
          <w:tab w:val="left" w:pos="4837"/>
          <w:tab w:val="left" w:pos="7934"/>
        </w:tabs>
        <w:spacing w:line="376" w:lineRule="auto"/>
        <w:ind w:left="518" w:right="518"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发包人委托设计人承担</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工作</w:t>
      </w:r>
      <w:r>
        <w:rPr>
          <w:rFonts w:hint="eastAsia" w:ascii="宋体" w:hAnsi="宋体" w:eastAsia="宋体" w:cs="宋体"/>
          <w:color w:val="auto"/>
          <w:spacing w:val="-24"/>
          <w:sz w:val="21"/>
          <w:szCs w:val="21"/>
          <w:highlight w:val="none"/>
        </w:rPr>
        <w:t>，</w:t>
      </w:r>
      <w:r>
        <w:rPr>
          <w:rFonts w:hint="eastAsia" w:ascii="宋体" w:hAnsi="宋体" w:eastAsia="宋体" w:cs="宋体"/>
          <w:color w:val="auto"/>
          <w:sz w:val="21"/>
          <w:szCs w:val="21"/>
          <w:highlight w:val="none"/>
        </w:rPr>
        <w:t>工程地点为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27"/>
          <w:sz w:val="21"/>
          <w:szCs w:val="21"/>
          <w:highlight w:val="none"/>
        </w:rPr>
        <w:t>，</w:t>
      </w:r>
      <w:r>
        <w:rPr>
          <w:rFonts w:hint="eastAsia" w:ascii="宋体" w:hAnsi="宋体" w:eastAsia="宋体" w:cs="宋体"/>
          <w:color w:val="auto"/>
          <w:sz w:val="21"/>
          <w:szCs w:val="21"/>
          <w:highlight w:val="none"/>
        </w:rPr>
        <w:t>经双方协商</w:t>
      </w:r>
      <w:r>
        <w:rPr>
          <w:rFonts w:hint="eastAsia" w:ascii="宋体" w:hAnsi="宋体" w:eastAsia="宋体" w:cs="宋体"/>
          <w:color w:val="auto"/>
          <w:spacing w:val="-18"/>
          <w:sz w:val="21"/>
          <w:szCs w:val="21"/>
          <w:highlight w:val="none"/>
        </w:rPr>
        <w:t>一</w:t>
      </w:r>
      <w:r>
        <w:rPr>
          <w:rFonts w:hint="eastAsia" w:ascii="宋体" w:hAnsi="宋体" w:eastAsia="宋体" w:cs="宋体"/>
          <w:color w:val="auto"/>
          <w:sz w:val="21"/>
          <w:szCs w:val="21"/>
          <w:highlight w:val="none"/>
        </w:rPr>
        <w:t>致，签订本合同，共同执行。</w:t>
      </w:r>
    </w:p>
    <w:p>
      <w:pPr>
        <w:pStyle w:val="8"/>
        <w:spacing w:line="307" w:lineRule="exact"/>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本合同签订依据</w:t>
      </w:r>
    </w:p>
    <w:p>
      <w:pPr>
        <w:pStyle w:val="8"/>
        <w:spacing w:before="170" w:line="376" w:lineRule="auto"/>
        <w:ind w:left="518" w:right="514"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１．１《中华人民共和国合同法》、《中华人民共和国建筑法》和《建设工程勘察设计市场管理规定》。</w:t>
      </w:r>
    </w:p>
    <w:p>
      <w:pPr>
        <w:pStyle w:val="8"/>
        <w:spacing w:line="307" w:lineRule="exact"/>
        <w:ind w:left="1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１．２国家及地方有关建设工程勘察设计管理法规和规章。</w:t>
      </w:r>
    </w:p>
    <w:p>
      <w:pPr>
        <w:pStyle w:val="8"/>
        <w:spacing w:before="175" w:line="376" w:lineRule="auto"/>
        <w:ind w:left="1060" w:right="5986" w:firstLine="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１．３建设工程批准文件。第二条 设计依据</w:t>
      </w:r>
    </w:p>
    <w:p>
      <w:pPr>
        <w:pStyle w:val="8"/>
        <w:spacing w:line="307" w:lineRule="exact"/>
        <w:ind w:left="1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２．１发包人给设计人的委托书或设计中标文件</w:t>
      </w:r>
    </w:p>
    <w:p>
      <w:pPr>
        <w:pStyle w:val="8"/>
        <w:spacing w:before="174"/>
        <w:ind w:left="1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２．２发包人提交的基础资料</w:t>
      </w:r>
    </w:p>
    <w:p>
      <w:pPr>
        <w:pStyle w:val="8"/>
        <w:spacing w:before="175"/>
        <w:ind w:left="1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２．３设计人采用的主要技术标准是：</w:t>
      </w:r>
    </w:p>
    <w:p>
      <w:pPr>
        <w:pStyle w:val="8"/>
        <w:rPr>
          <w:rFonts w:hint="eastAsia" w:ascii="宋体" w:hAnsi="宋体" w:eastAsia="宋体" w:cs="宋体"/>
          <w:color w:val="auto"/>
          <w:sz w:val="21"/>
          <w:szCs w:val="21"/>
          <w:highlight w:val="none"/>
        </w:rPr>
      </w:pPr>
    </w:p>
    <w:p>
      <w:pPr>
        <w:pStyle w:val="8"/>
        <w:spacing w:before="4"/>
        <w:rPr>
          <w:rFonts w:hint="eastAsia" w:ascii="宋体" w:hAnsi="宋体" w:eastAsia="宋体" w:cs="宋体"/>
          <w:color w:val="auto"/>
          <w:sz w:val="21"/>
          <w:szCs w:val="21"/>
          <w:highlight w:val="none"/>
        </w:rPr>
      </w:pPr>
    </w:p>
    <w:p>
      <w:pPr>
        <w:pStyle w:val="8"/>
        <w:ind w:left="96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合同文件的优先次序</w:t>
      </w:r>
    </w:p>
    <w:p>
      <w:pPr>
        <w:pStyle w:val="8"/>
        <w:spacing w:before="175" w:line="376" w:lineRule="auto"/>
        <w:ind w:left="518" w:right="514" w:firstLine="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构成本合同的文件可视为是能互相说明的，如果合同文件存在歧义或不一致，则根据如下优先次序来判断：</w:t>
      </w:r>
    </w:p>
    <w:p>
      <w:pPr>
        <w:pStyle w:val="8"/>
        <w:spacing w:line="307" w:lineRule="exact"/>
        <w:ind w:left="1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３．１合同书</w:t>
      </w:r>
    </w:p>
    <w:p>
      <w:pPr>
        <w:pStyle w:val="8"/>
        <w:spacing w:before="175"/>
        <w:ind w:left="1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３．２中标函（文件）</w:t>
      </w:r>
    </w:p>
    <w:p>
      <w:pPr>
        <w:pStyle w:val="8"/>
        <w:spacing w:before="175"/>
        <w:ind w:left="1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３．３发包人要求及委托书</w:t>
      </w:r>
    </w:p>
    <w:p>
      <w:pPr>
        <w:pStyle w:val="8"/>
        <w:spacing w:before="175"/>
        <w:ind w:left="1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３．４投标函</w:t>
      </w:r>
    </w:p>
    <w:p>
      <w:pPr>
        <w:pStyle w:val="8"/>
        <w:spacing w:before="175"/>
        <w:ind w:left="1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本合同项目的名称、规模、阶段、投资及设计内容（或根据行业特点填写）</w:t>
      </w:r>
    </w:p>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ind w:left="111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第五条 发包人向设计人提交的有关资料、文件及时间：</w:t>
      </w:r>
      <w:r>
        <w:rPr>
          <w:rFonts w:hint="eastAsia" w:ascii="宋体" w:hAnsi="宋体" w:eastAsia="宋体" w:cs="宋体"/>
          <w:color w:val="auto"/>
          <w:spacing w:val="-3"/>
          <w:sz w:val="21"/>
          <w:szCs w:val="21"/>
          <w:highlight w:val="none"/>
          <w:u w:val="single"/>
        </w:rPr>
        <w:t>中标通知书、项目投资批</w:t>
      </w:r>
    </w:p>
    <w:p>
      <w:pPr>
        <w:pStyle w:val="8"/>
        <w:spacing w:before="6"/>
        <w:rPr>
          <w:rFonts w:hint="eastAsia" w:ascii="宋体" w:hAnsi="宋体" w:eastAsia="宋体" w:cs="宋体"/>
          <w:color w:val="auto"/>
          <w:sz w:val="21"/>
          <w:szCs w:val="21"/>
          <w:highlight w:val="none"/>
        </w:rPr>
      </w:pPr>
    </w:p>
    <w:p>
      <w:pPr>
        <w:pStyle w:val="8"/>
        <w:spacing w:before="67"/>
        <w:ind w:left="51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u w:val="single"/>
        </w:rPr>
        <w:t>文、有关规划用地批文、本项目工程批准文件</w:t>
      </w:r>
      <w:r>
        <w:rPr>
          <w:rFonts w:hint="eastAsia" w:ascii="宋体" w:hAnsi="宋体" w:eastAsia="宋体" w:cs="宋体"/>
          <w:color w:val="auto"/>
          <w:sz w:val="21"/>
          <w:szCs w:val="21"/>
          <w:highlight w:val="none"/>
          <w:u w:val="single"/>
        </w:rPr>
        <w:t>（复印件</w:t>
      </w:r>
      <w:r>
        <w:rPr>
          <w:rFonts w:hint="eastAsia" w:ascii="宋体" w:hAnsi="宋体" w:eastAsia="宋体" w:cs="宋体"/>
          <w:color w:val="auto"/>
          <w:spacing w:val="-9"/>
          <w:sz w:val="21"/>
          <w:szCs w:val="21"/>
          <w:highlight w:val="none"/>
          <w:u w:val="single"/>
        </w:rPr>
        <w:t>）</w:t>
      </w:r>
      <w:r>
        <w:rPr>
          <w:rFonts w:hint="eastAsia" w:ascii="宋体" w:hAnsi="宋体" w:eastAsia="宋体" w:cs="宋体"/>
          <w:color w:val="auto"/>
          <w:spacing w:val="-4"/>
          <w:sz w:val="21"/>
          <w:szCs w:val="21"/>
          <w:highlight w:val="none"/>
          <w:u w:val="single"/>
        </w:rPr>
        <w:t>；工程勘察、设计技术要求及</w:t>
      </w:r>
    </w:p>
    <w:p>
      <w:pPr>
        <w:pStyle w:val="8"/>
        <w:spacing w:before="6"/>
        <w:rPr>
          <w:rFonts w:hint="eastAsia" w:ascii="宋体" w:hAnsi="宋体" w:eastAsia="宋体" w:cs="宋体"/>
          <w:color w:val="auto"/>
          <w:sz w:val="21"/>
          <w:szCs w:val="21"/>
          <w:highlight w:val="none"/>
        </w:rPr>
      </w:pPr>
    </w:p>
    <w:p>
      <w:pPr>
        <w:pStyle w:val="8"/>
        <w:spacing w:before="66"/>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设计工作范围内已有的技术资料，但不免除设计人自行收集相关技术资料的责任。</w:t>
      </w:r>
    </w:p>
    <w:p>
      <w:pPr>
        <w:pStyle w:val="8"/>
        <w:spacing w:before="173" w:line="379" w:lineRule="auto"/>
        <w:ind w:left="518" w:right="518" w:firstLine="600"/>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第六条 设计人向发包人交付的设计文件、份数、地点及时间：设计成果文件纸质</w:t>
      </w:r>
      <w:r>
        <w:rPr>
          <w:rFonts w:hint="eastAsia" w:ascii="宋体" w:hAnsi="宋体" w:eastAsia="宋体" w:cs="宋体"/>
          <w:color w:val="auto"/>
          <w:spacing w:val="-15"/>
          <w:sz w:val="21"/>
          <w:szCs w:val="21"/>
          <w:highlight w:val="none"/>
        </w:rPr>
        <w:t xml:space="preserve">版一式 </w:t>
      </w:r>
      <w:r>
        <w:rPr>
          <w:rFonts w:hint="eastAsia" w:ascii="宋体" w:hAnsi="宋体" w:eastAsia="宋体" w:cs="宋体"/>
          <w:color w:val="auto"/>
          <w:sz w:val="21"/>
          <w:szCs w:val="21"/>
          <w:highlight w:val="none"/>
        </w:rPr>
        <w:t>6</w:t>
      </w:r>
      <w:r>
        <w:rPr>
          <w:rFonts w:hint="eastAsia" w:ascii="宋体" w:hAnsi="宋体" w:eastAsia="宋体" w:cs="宋体"/>
          <w:color w:val="auto"/>
          <w:spacing w:val="-12"/>
          <w:sz w:val="21"/>
          <w:szCs w:val="21"/>
          <w:highlight w:val="none"/>
        </w:rPr>
        <w:t xml:space="preserve"> 套、可编辑电子版一套、成果文件 </w:t>
      </w:r>
      <w:r>
        <w:rPr>
          <w:rFonts w:hint="eastAsia" w:ascii="宋体" w:hAnsi="宋体" w:eastAsia="宋体" w:cs="宋体"/>
          <w:color w:val="auto"/>
          <w:sz w:val="21"/>
          <w:szCs w:val="21"/>
          <w:highlight w:val="none"/>
        </w:rPr>
        <w:t>PDF</w:t>
      </w:r>
      <w:r>
        <w:rPr>
          <w:rFonts w:hint="eastAsia" w:ascii="宋体" w:hAnsi="宋体" w:eastAsia="宋体" w:cs="宋体"/>
          <w:color w:val="auto"/>
          <w:spacing w:val="-9"/>
          <w:sz w:val="21"/>
          <w:szCs w:val="21"/>
          <w:highlight w:val="none"/>
        </w:rPr>
        <w:t xml:space="preserve"> 扫描件一套。</w:t>
      </w:r>
    </w:p>
    <w:p>
      <w:pPr>
        <w:pStyle w:val="8"/>
        <w:spacing w:line="376" w:lineRule="auto"/>
        <w:ind w:left="518" w:right="514" w:firstLine="60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第七条 费用计算方法：采用费率报价法，设计费按现行国家发展计划委员会、建</w:t>
      </w:r>
      <w:r>
        <w:rPr>
          <w:rFonts w:hint="eastAsia" w:ascii="宋体" w:hAnsi="宋体" w:eastAsia="宋体" w:cs="宋体"/>
          <w:color w:val="auto"/>
          <w:sz w:val="21"/>
          <w:szCs w:val="21"/>
          <w:highlight w:val="none"/>
        </w:rPr>
        <w:t>设部计价格［2002］10</w:t>
      </w:r>
      <w:r>
        <w:rPr>
          <w:rFonts w:hint="eastAsia" w:ascii="宋体" w:hAnsi="宋体" w:eastAsia="宋体" w:cs="宋体"/>
          <w:color w:val="auto"/>
          <w:spacing w:val="-6"/>
          <w:sz w:val="21"/>
          <w:szCs w:val="21"/>
          <w:highlight w:val="none"/>
        </w:rPr>
        <w:t xml:space="preserve"> 号文，采用《工程勘察设计收费标准》</w:t>
      </w:r>
      <w:r>
        <w:rPr>
          <w:rFonts w:hint="eastAsia" w:ascii="宋体" w:hAnsi="宋体" w:eastAsia="宋体" w:cs="宋体"/>
          <w:color w:val="auto"/>
          <w:sz w:val="21"/>
          <w:szCs w:val="21"/>
          <w:highlight w:val="none"/>
        </w:rPr>
        <w:t>（2002</w:t>
      </w:r>
      <w:r>
        <w:rPr>
          <w:rFonts w:hint="eastAsia" w:ascii="宋体" w:hAnsi="宋体" w:eastAsia="宋体" w:cs="宋体"/>
          <w:color w:val="auto"/>
          <w:spacing w:val="-8"/>
          <w:sz w:val="21"/>
          <w:szCs w:val="21"/>
          <w:highlight w:val="none"/>
        </w:rPr>
        <w:t xml:space="preserve"> 年修订本</w:t>
      </w:r>
      <w:r>
        <w:rPr>
          <w:rFonts w:hint="eastAsia" w:ascii="宋体" w:hAnsi="宋体" w:eastAsia="宋体" w:cs="宋体"/>
          <w:color w:val="auto"/>
          <w:sz w:val="21"/>
          <w:szCs w:val="21"/>
          <w:highlight w:val="none"/>
        </w:rPr>
        <w:t>），房建工程设计收费标准计算。</w:t>
      </w:r>
    </w:p>
    <w:p>
      <w:pPr>
        <w:pStyle w:val="8"/>
        <w:tabs>
          <w:tab w:val="left" w:pos="5743"/>
        </w:tabs>
        <w:spacing w:line="376" w:lineRule="auto"/>
        <w:ind w:left="518" w:right="514" w:firstLine="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z w:val="21"/>
          <w:szCs w:val="21"/>
          <w:highlight w:val="none"/>
        </w:rPr>
        <w:t>双方商定，本合同的设计费暂定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万元，最终按初步设计概算批复进</w:t>
      </w:r>
      <w:r>
        <w:rPr>
          <w:rFonts w:hint="eastAsia" w:ascii="宋体" w:hAnsi="宋体" w:eastAsia="宋体" w:cs="宋体"/>
          <w:color w:val="auto"/>
          <w:spacing w:val="-14"/>
          <w:sz w:val="21"/>
          <w:szCs w:val="21"/>
          <w:highlight w:val="none"/>
        </w:rPr>
        <w:t>行</w:t>
      </w:r>
      <w:r>
        <w:rPr>
          <w:rFonts w:hint="eastAsia" w:ascii="宋体" w:hAnsi="宋体" w:eastAsia="宋体" w:cs="宋体"/>
          <w:color w:val="auto"/>
          <w:sz w:val="21"/>
          <w:szCs w:val="21"/>
          <w:highlight w:val="none"/>
        </w:rPr>
        <w:t>结算</w:t>
      </w:r>
      <w:r>
        <w:rPr>
          <w:rFonts w:hint="eastAsia" w:ascii="宋体" w:hAnsi="宋体" w:eastAsia="宋体" w:cs="宋体"/>
          <w:color w:val="auto"/>
          <w:spacing w:val="-17"/>
          <w:sz w:val="21"/>
          <w:szCs w:val="21"/>
          <w:highlight w:val="none"/>
        </w:rPr>
        <w:t>。</w:t>
      </w:r>
      <w:r>
        <w:rPr>
          <w:rFonts w:hint="eastAsia" w:ascii="宋体" w:hAnsi="宋体" w:eastAsia="宋体" w:cs="宋体"/>
          <w:color w:val="auto"/>
          <w:sz w:val="21"/>
          <w:szCs w:val="21"/>
          <w:highlight w:val="none"/>
        </w:rPr>
        <w:t>收费依据和计算方法按国家和地方有关规定执行</w:t>
      </w:r>
      <w:r>
        <w:rPr>
          <w:rFonts w:hint="eastAsia" w:ascii="宋体" w:hAnsi="宋体" w:eastAsia="宋体" w:cs="宋体"/>
          <w:color w:val="auto"/>
          <w:spacing w:val="-17"/>
          <w:sz w:val="21"/>
          <w:szCs w:val="21"/>
          <w:highlight w:val="none"/>
        </w:rPr>
        <w:t>，</w:t>
      </w:r>
      <w:r>
        <w:rPr>
          <w:rFonts w:hint="eastAsia" w:ascii="宋体" w:hAnsi="宋体" w:eastAsia="宋体" w:cs="宋体"/>
          <w:color w:val="auto"/>
          <w:sz w:val="21"/>
          <w:szCs w:val="21"/>
          <w:highlight w:val="none"/>
        </w:rPr>
        <w:t>国家和地方没有规定的</w:t>
      </w:r>
      <w:r>
        <w:rPr>
          <w:rFonts w:hint="eastAsia" w:ascii="宋体" w:hAnsi="宋体" w:eastAsia="宋体" w:cs="宋体"/>
          <w:color w:val="auto"/>
          <w:spacing w:val="-17"/>
          <w:sz w:val="21"/>
          <w:szCs w:val="21"/>
          <w:highlight w:val="none"/>
        </w:rPr>
        <w:t>，</w:t>
      </w:r>
      <w:r>
        <w:rPr>
          <w:rFonts w:hint="eastAsia" w:ascii="宋体" w:hAnsi="宋体" w:eastAsia="宋体" w:cs="宋体"/>
          <w:color w:val="auto"/>
          <w:sz w:val="21"/>
          <w:szCs w:val="21"/>
          <w:highlight w:val="none"/>
        </w:rPr>
        <w:t>由</w:t>
      </w:r>
      <w:r>
        <w:rPr>
          <w:rFonts w:hint="eastAsia" w:ascii="宋体" w:hAnsi="宋体" w:eastAsia="宋体" w:cs="宋体"/>
          <w:color w:val="auto"/>
          <w:spacing w:val="-16"/>
          <w:sz w:val="21"/>
          <w:szCs w:val="21"/>
          <w:highlight w:val="none"/>
        </w:rPr>
        <w:t>双</w:t>
      </w:r>
      <w:r>
        <w:rPr>
          <w:rFonts w:hint="eastAsia" w:ascii="宋体" w:hAnsi="宋体" w:eastAsia="宋体" w:cs="宋体"/>
          <w:color w:val="auto"/>
          <w:sz w:val="21"/>
          <w:szCs w:val="21"/>
          <w:highlight w:val="none"/>
        </w:rPr>
        <w:t>方商定。</w:t>
      </w:r>
    </w:p>
    <w:p>
      <w:pPr>
        <w:pStyle w:val="8"/>
        <w:spacing w:line="306" w:lineRule="exact"/>
        <w:ind w:left="96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支付方式</w:t>
      </w:r>
    </w:p>
    <w:p>
      <w:pPr>
        <w:pStyle w:val="8"/>
        <w:spacing w:before="169" w:line="376" w:lineRule="auto"/>
        <w:ind w:left="518" w:right="517" w:firstLine="6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r>
        <w:rPr>
          <w:rFonts w:hint="eastAsia" w:ascii="宋体" w:hAnsi="宋体" w:eastAsia="宋体" w:cs="宋体"/>
          <w:color w:val="auto"/>
          <w:spacing w:val="-11"/>
          <w:sz w:val="21"/>
          <w:szCs w:val="21"/>
          <w:highlight w:val="none"/>
        </w:rPr>
        <w:t xml:space="preserve"> 设计方提交所有成果文件并检验合格后 </w:t>
      </w:r>
      <w:r>
        <w:rPr>
          <w:rFonts w:hint="eastAsia" w:ascii="宋体" w:hAnsi="宋体" w:eastAsia="宋体" w:cs="宋体"/>
          <w:color w:val="auto"/>
          <w:sz w:val="21"/>
          <w:szCs w:val="21"/>
          <w:highlight w:val="none"/>
        </w:rPr>
        <w:t>30</w:t>
      </w:r>
      <w:r>
        <w:rPr>
          <w:rFonts w:hint="eastAsia" w:ascii="宋体" w:hAnsi="宋体" w:eastAsia="宋体" w:cs="宋体"/>
          <w:color w:val="auto"/>
          <w:spacing w:val="-9"/>
          <w:sz w:val="21"/>
          <w:szCs w:val="21"/>
          <w:highlight w:val="none"/>
        </w:rPr>
        <w:t xml:space="preserve"> 日内，采购人一次性支付设计费合</w:t>
      </w:r>
      <w:r>
        <w:rPr>
          <w:rFonts w:hint="eastAsia" w:ascii="宋体" w:hAnsi="宋体" w:eastAsia="宋体" w:cs="宋体"/>
          <w:color w:val="auto"/>
          <w:spacing w:val="-12"/>
          <w:sz w:val="21"/>
          <w:szCs w:val="21"/>
          <w:highlight w:val="none"/>
        </w:rPr>
        <w:t xml:space="preserve">同总价的 </w:t>
      </w:r>
      <w:r>
        <w:rPr>
          <w:rFonts w:hint="eastAsia" w:ascii="宋体" w:hAnsi="宋体" w:eastAsia="宋体" w:cs="宋体"/>
          <w:color w:val="auto"/>
          <w:sz w:val="21"/>
          <w:szCs w:val="21"/>
          <w:highlight w:val="none"/>
        </w:rPr>
        <w:t>100%。</w:t>
      </w:r>
    </w:p>
    <w:p>
      <w:pPr>
        <w:pStyle w:val="8"/>
        <w:spacing w:line="307" w:lineRule="exact"/>
        <w:ind w:left="96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双方责任</w:t>
      </w:r>
    </w:p>
    <w:p>
      <w:pPr>
        <w:pStyle w:val="19"/>
        <w:numPr>
          <w:ilvl w:val="1"/>
          <w:numId w:val="16"/>
        </w:numPr>
        <w:tabs>
          <w:tab w:val="left" w:pos="1539"/>
        </w:tabs>
        <w:spacing w:before="175" w:after="0" w:line="240" w:lineRule="auto"/>
        <w:ind w:left="1538" w:right="0" w:hanging="42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发包人责任</w:t>
      </w:r>
    </w:p>
    <w:p>
      <w:pPr>
        <w:pStyle w:val="19"/>
        <w:numPr>
          <w:ilvl w:val="2"/>
          <w:numId w:val="16"/>
        </w:numPr>
        <w:tabs>
          <w:tab w:val="left" w:pos="1779"/>
        </w:tabs>
        <w:spacing w:before="175" w:after="0" w:line="376" w:lineRule="auto"/>
        <w:ind w:left="518" w:right="514" w:firstLine="60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发包人按本合同第五条规定的内容，在规定的时间内向设计人提交基础资料及文件，并对其完整性、正确性及时限负责。发包人不得要求设计人违反国家有关标准</w:t>
      </w:r>
      <w:r>
        <w:rPr>
          <w:rFonts w:hint="eastAsia" w:ascii="宋体" w:hAnsi="宋体" w:eastAsia="宋体" w:cs="宋体"/>
          <w:color w:val="auto"/>
          <w:sz w:val="21"/>
          <w:szCs w:val="21"/>
          <w:highlight w:val="none"/>
        </w:rPr>
        <w:t>进行设计。</w:t>
      </w:r>
    </w:p>
    <w:p>
      <w:pPr>
        <w:pStyle w:val="19"/>
        <w:numPr>
          <w:ilvl w:val="2"/>
          <w:numId w:val="16"/>
        </w:numPr>
        <w:tabs>
          <w:tab w:val="left" w:pos="1659"/>
        </w:tabs>
        <w:spacing w:before="0" w:after="0" w:line="376" w:lineRule="auto"/>
        <w:ind w:left="518" w:right="394"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发包人变更委托设计项目、规模、条件或因提交的资料错误，或所提交资料</w:t>
      </w:r>
      <w:r>
        <w:rPr>
          <w:rFonts w:hint="eastAsia" w:ascii="宋体" w:hAnsi="宋体" w:eastAsia="宋体" w:cs="宋体"/>
          <w:color w:val="auto"/>
          <w:spacing w:val="-19"/>
          <w:sz w:val="21"/>
          <w:szCs w:val="21"/>
          <w:highlight w:val="none"/>
        </w:rPr>
        <w:t>作较大修改，以致造成设计人设计返工时，双方除另行协商签订补充协议</w:t>
      </w:r>
      <w:r>
        <w:rPr>
          <w:rFonts w:hint="eastAsia" w:ascii="宋体" w:hAnsi="宋体" w:eastAsia="宋体" w:cs="宋体"/>
          <w:color w:val="auto"/>
          <w:sz w:val="21"/>
          <w:szCs w:val="21"/>
          <w:highlight w:val="none"/>
        </w:rPr>
        <w:t>（或另订合同</w:t>
      </w:r>
      <w:r>
        <w:rPr>
          <w:rFonts w:hint="eastAsia" w:ascii="宋体" w:hAnsi="宋体" w:eastAsia="宋体" w:cs="宋体"/>
          <w:color w:val="auto"/>
          <w:spacing w:val="-120"/>
          <w:sz w:val="21"/>
          <w:szCs w:val="21"/>
          <w:highlight w:val="none"/>
        </w:rPr>
        <w:t>）</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rPr>
        <w:t>重新明确有关条款外，发包人应按设计人所耗工作量向设计人支付返工费。</w:t>
      </w:r>
    </w:p>
    <w:p>
      <w:pPr>
        <w:pStyle w:val="19"/>
        <w:numPr>
          <w:ilvl w:val="2"/>
          <w:numId w:val="16"/>
        </w:numPr>
        <w:tabs>
          <w:tab w:val="left" w:pos="1659"/>
        </w:tabs>
        <w:spacing w:before="0" w:after="0" w:line="376"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在合同履行期间，发包人要求终止或解除合同，设计人未开始设计工作的， </w:t>
      </w:r>
      <w:r>
        <w:rPr>
          <w:rFonts w:hint="eastAsia" w:ascii="宋体" w:hAnsi="宋体" w:eastAsia="宋体" w:cs="宋体"/>
          <w:color w:val="auto"/>
          <w:spacing w:val="-6"/>
          <w:sz w:val="21"/>
          <w:szCs w:val="21"/>
          <w:highlight w:val="none"/>
        </w:rPr>
        <w:t>不退还发包人已付的定金；已开始设计工作的，发包人应根据设计人已进行的实际工作</w:t>
      </w:r>
      <w:r>
        <w:rPr>
          <w:rFonts w:hint="eastAsia" w:ascii="宋体" w:hAnsi="宋体" w:eastAsia="宋体" w:cs="宋体"/>
          <w:color w:val="auto"/>
          <w:spacing w:val="-8"/>
          <w:sz w:val="21"/>
          <w:szCs w:val="21"/>
          <w:highlight w:val="none"/>
        </w:rPr>
        <w:t>量，不足一半时，按该阶段设计费的一半支付；超过一半时，按该阶段设计费的全部支</w:t>
      </w:r>
      <w:r>
        <w:rPr>
          <w:rFonts w:hint="eastAsia" w:ascii="宋体" w:hAnsi="宋体" w:eastAsia="宋体" w:cs="宋体"/>
          <w:color w:val="auto"/>
          <w:sz w:val="21"/>
          <w:szCs w:val="21"/>
          <w:highlight w:val="none"/>
        </w:rPr>
        <w:t>付。</w:t>
      </w:r>
    </w:p>
    <w:p>
      <w:pPr>
        <w:spacing w:after="0" w:line="376" w:lineRule="auto"/>
        <w:jc w:val="both"/>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19"/>
        <w:numPr>
          <w:ilvl w:val="2"/>
          <w:numId w:val="16"/>
        </w:numPr>
        <w:tabs>
          <w:tab w:val="left" w:pos="1659"/>
        </w:tabs>
        <w:spacing w:before="107" w:after="0" w:line="376" w:lineRule="auto"/>
        <w:ind w:left="518" w:right="517"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发包人必须按合同规定支付定金，收到定金作为设计人设计开工的标志。未</w:t>
      </w:r>
      <w:r>
        <w:rPr>
          <w:rFonts w:hint="eastAsia" w:ascii="宋体" w:hAnsi="宋体" w:eastAsia="宋体" w:cs="宋体"/>
          <w:color w:val="auto"/>
          <w:sz w:val="21"/>
          <w:szCs w:val="21"/>
          <w:highlight w:val="none"/>
        </w:rPr>
        <w:t>收到定金，设计人有权推迟设计工作的开工时间，且交付文件的时间顺延。</w:t>
      </w:r>
    </w:p>
    <w:p>
      <w:pPr>
        <w:pStyle w:val="19"/>
        <w:numPr>
          <w:ilvl w:val="2"/>
          <w:numId w:val="16"/>
        </w:numPr>
        <w:tabs>
          <w:tab w:val="left" w:pos="1659"/>
        </w:tabs>
        <w:spacing w:before="0" w:after="0" w:line="376" w:lineRule="auto"/>
        <w:ind w:left="518" w:right="398"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发包人应按本合同规定的金额和日期向设计人支付设计费，每逾期支付一天， </w:t>
      </w:r>
      <w:r>
        <w:rPr>
          <w:rFonts w:hint="eastAsia" w:ascii="宋体" w:hAnsi="宋体" w:eastAsia="宋体" w:cs="宋体"/>
          <w:color w:val="auto"/>
          <w:spacing w:val="-3"/>
          <w:sz w:val="21"/>
          <w:szCs w:val="21"/>
          <w:highlight w:val="none"/>
        </w:rPr>
        <w:t>应承担应支付金额千分之二的逾期违约金，且设计人提交设计文件的时间顺延。逾期超</w:t>
      </w:r>
      <w:r>
        <w:rPr>
          <w:rFonts w:hint="eastAsia" w:ascii="宋体" w:hAnsi="宋体" w:eastAsia="宋体" w:cs="宋体"/>
          <w:color w:val="auto"/>
          <w:spacing w:val="-25"/>
          <w:sz w:val="21"/>
          <w:szCs w:val="21"/>
          <w:highlight w:val="none"/>
        </w:rPr>
        <w:t xml:space="preserve">过 </w:t>
      </w:r>
      <w:r>
        <w:rPr>
          <w:rFonts w:hint="eastAsia" w:ascii="宋体" w:hAnsi="宋体" w:eastAsia="宋体" w:cs="宋体"/>
          <w:color w:val="auto"/>
          <w:sz w:val="21"/>
          <w:szCs w:val="21"/>
          <w:highlight w:val="none"/>
        </w:rPr>
        <w:t>30</w:t>
      </w:r>
      <w:r>
        <w:rPr>
          <w:rFonts w:hint="eastAsia" w:ascii="宋体" w:hAnsi="宋体" w:eastAsia="宋体" w:cs="宋体"/>
          <w:color w:val="auto"/>
          <w:spacing w:val="-7"/>
          <w:sz w:val="21"/>
          <w:szCs w:val="21"/>
          <w:highlight w:val="none"/>
        </w:rPr>
        <w:t xml:space="preserve"> 天以上时，设计人有权暂停履行下阶段工作，并书面通知发包人。非设计人或设</w:t>
      </w:r>
      <w:r>
        <w:rPr>
          <w:rFonts w:hint="eastAsia" w:ascii="宋体" w:hAnsi="宋体" w:eastAsia="宋体" w:cs="宋体"/>
          <w:color w:val="auto"/>
          <w:spacing w:val="3"/>
          <w:sz w:val="21"/>
          <w:szCs w:val="21"/>
          <w:highlight w:val="none"/>
        </w:rPr>
        <w:t>计文件本身原因，发包人的上级或设计审批部门对设计文件不审批或本合同项目停缓建，发包人应支付应付的设计费。</w:t>
      </w:r>
    </w:p>
    <w:p>
      <w:pPr>
        <w:pStyle w:val="19"/>
        <w:numPr>
          <w:ilvl w:val="2"/>
          <w:numId w:val="16"/>
        </w:numPr>
        <w:tabs>
          <w:tab w:val="left" w:pos="1659"/>
        </w:tabs>
        <w:spacing w:before="0" w:after="0" w:line="376" w:lineRule="auto"/>
        <w:ind w:left="518" w:right="398"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发包人要求设计人比合同规定时间提前交付设计文件时，须征得设计人同意， </w:t>
      </w:r>
      <w:r>
        <w:rPr>
          <w:rFonts w:hint="eastAsia" w:ascii="宋体" w:hAnsi="宋体" w:eastAsia="宋体" w:cs="宋体"/>
          <w:color w:val="auto"/>
          <w:sz w:val="21"/>
          <w:szCs w:val="21"/>
          <w:highlight w:val="none"/>
        </w:rPr>
        <w:t>不得严重背离合理设计周期，且发包人应支付赶工费。</w:t>
      </w:r>
    </w:p>
    <w:p>
      <w:pPr>
        <w:pStyle w:val="19"/>
        <w:numPr>
          <w:ilvl w:val="2"/>
          <w:numId w:val="16"/>
        </w:numPr>
        <w:tabs>
          <w:tab w:val="left" w:pos="1659"/>
        </w:tabs>
        <w:spacing w:before="0" w:after="0" w:line="376"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施工期间，设计人需派驻设计代表常驻施工现场，对施工过程中出现的设计</w:t>
      </w:r>
      <w:r>
        <w:rPr>
          <w:rFonts w:hint="eastAsia" w:ascii="宋体" w:hAnsi="宋体" w:eastAsia="宋体" w:cs="宋体"/>
          <w:color w:val="auto"/>
          <w:spacing w:val="-2"/>
          <w:sz w:val="21"/>
          <w:szCs w:val="21"/>
          <w:highlight w:val="none"/>
        </w:rPr>
        <w:t xml:space="preserve">问题，设计人负责及时处理，在接到发包人通知后 </w:t>
      </w:r>
      <w:r>
        <w:rPr>
          <w:rFonts w:hint="eastAsia" w:ascii="宋体" w:hAnsi="宋体" w:eastAsia="宋体" w:cs="宋体"/>
          <w:color w:val="auto"/>
          <w:sz w:val="21"/>
          <w:szCs w:val="21"/>
          <w:highlight w:val="none"/>
        </w:rPr>
        <w:t>24</w:t>
      </w:r>
      <w:r>
        <w:rPr>
          <w:rFonts w:hint="eastAsia" w:ascii="宋体" w:hAnsi="宋体" w:eastAsia="宋体" w:cs="宋体"/>
          <w:color w:val="auto"/>
          <w:spacing w:val="-6"/>
          <w:sz w:val="21"/>
          <w:szCs w:val="21"/>
          <w:highlight w:val="none"/>
        </w:rPr>
        <w:t xml:space="preserve"> 小时内做出明确的解释和提出处</w:t>
      </w:r>
      <w:r>
        <w:rPr>
          <w:rFonts w:hint="eastAsia" w:ascii="宋体" w:hAnsi="宋体" w:eastAsia="宋体" w:cs="宋体"/>
          <w:color w:val="auto"/>
          <w:spacing w:val="-9"/>
          <w:sz w:val="21"/>
          <w:szCs w:val="21"/>
          <w:highlight w:val="none"/>
        </w:rPr>
        <w:t>理意见。设计人派驻现场的工作人员提供工作、生活及交通等方面的便利条件及必要的</w:t>
      </w:r>
      <w:r>
        <w:rPr>
          <w:rFonts w:hint="eastAsia" w:ascii="宋体" w:hAnsi="宋体" w:eastAsia="宋体" w:cs="宋体"/>
          <w:color w:val="auto"/>
          <w:sz w:val="21"/>
          <w:szCs w:val="21"/>
          <w:highlight w:val="none"/>
        </w:rPr>
        <w:t>劳动保护装备等费用包含在设计费内，设计方自行解决。</w:t>
      </w:r>
    </w:p>
    <w:p>
      <w:pPr>
        <w:pStyle w:val="19"/>
        <w:numPr>
          <w:ilvl w:val="2"/>
          <w:numId w:val="16"/>
        </w:numPr>
        <w:tabs>
          <w:tab w:val="left" w:pos="1659"/>
        </w:tabs>
        <w:spacing w:before="0" w:after="0" w:line="306" w:lineRule="exact"/>
        <w:ind w:left="1658" w:right="0" w:hanging="66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设计文件中选用的国家标准图、部标准图及地方标准图由发包人负责解决。</w:t>
      </w:r>
    </w:p>
    <w:p>
      <w:pPr>
        <w:pStyle w:val="19"/>
        <w:numPr>
          <w:ilvl w:val="1"/>
          <w:numId w:val="16"/>
        </w:numPr>
        <w:tabs>
          <w:tab w:val="left" w:pos="1419"/>
        </w:tabs>
        <w:spacing w:before="171" w:after="0" w:line="240" w:lineRule="auto"/>
        <w:ind w:left="1418" w:right="0" w:hanging="42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设计人责任</w:t>
      </w:r>
    </w:p>
    <w:p>
      <w:pPr>
        <w:pStyle w:val="19"/>
        <w:numPr>
          <w:ilvl w:val="2"/>
          <w:numId w:val="16"/>
        </w:numPr>
        <w:tabs>
          <w:tab w:val="left" w:pos="1659"/>
        </w:tabs>
        <w:spacing w:before="175" w:after="0" w:line="376"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设计人应按国家规定和合同约定的技术规范、标准进行设计，按本合同第六</w:t>
      </w:r>
      <w:r>
        <w:rPr>
          <w:rFonts w:hint="eastAsia" w:ascii="宋体" w:hAnsi="宋体" w:eastAsia="宋体" w:cs="宋体"/>
          <w:color w:val="auto"/>
          <w:spacing w:val="-5"/>
          <w:sz w:val="21"/>
          <w:szCs w:val="21"/>
          <w:highlight w:val="none"/>
        </w:rPr>
        <w:t>条规定的内容、时间及份数向发包人交付设计文件</w:t>
      </w:r>
      <w:r>
        <w:rPr>
          <w:rFonts w:hint="eastAsia" w:ascii="宋体" w:hAnsi="宋体" w:eastAsia="宋体" w:cs="宋体"/>
          <w:color w:val="auto"/>
          <w:sz w:val="21"/>
          <w:szCs w:val="21"/>
          <w:highlight w:val="none"/>
        </w:rPr>
        <w:t>（</w:t>
      </w:r>
      <w:r>
        <w:rPr>
          <w:rFonts w:hint="eastAsia" w:ascii="宋体" w:hAnsi="宋体" w:eastAsia="宋体" w:cs="宋体"/>
          <w:color w:val="auto"/>
          <w:spacing w:val="-19"/>
          <w:sz w:val="21"/>
          <w:szCs w:val="21"/>
          <w:highlight w:val="none"/>
        </w:rPr>
        <w:t xml:space="preserve">出现 </w:t>
      </w:r>
      <w:r>
        <w:rPr>
          <w:rFonts w:hint="eastAsia" w:ascii="宋体" w:hAnsi="宋体" w:eastAsia="宋体" w:cs="宋体"/>
          <w:color w:val="auto"/>
          <w:sz w:val="21"/>
          <w:szCs w:val="21"/>
          <w:highlight w:val="none"/>
        </w:rPr>
        <w:t>9.1.1</w:t>
      </w:r>
      <w:r>
        <w:rPr>
          <w:rFonts w:hint="eastAsia" w:ascii="宋体" w:hAnsi="宋体" w:eastAsia="宋体" w:cs="宋体"/>
          <w:color w:val="auto"/>
          <w:spacing w:val="-22"/>
          <w:sz w:val="21"/>
          <w:szCs w:val="21"/>
          <w:highlight w:val="none"/>
        </w:rPr>
        <w:t>、</w:t>
      </w:r>
      <w:r>
        <w:rPr>
          <w:rFonts w:hint="eastAsia" w:ascii="宋体" w:hAnsi="宋体" w:eastAsia="宋体" w:cs="宋体"/>
          <w:color w:val="auto"/>
          <w:sz w:val="21"/>
          <w:szCs w:val="21"/>
          <w:highlight w:val="none"/>
        </w:rPr>
        <w:t>9.1.2</w:t>
      </w:r>
      <w:r>
        <w:rPr>
          <w:rFonts w:hint="eastAsia" w:ascii="宋体" w:hAnsi="宋体" w:eastAsia="宋体" w:cs="宋体"/>
          <w:color w:val="auto"/>
          <w:spacing w:val="-22"/>
          <w:sz w:val="21"/>
          <w:szCs w:val="21"/>
          <w:highlight w:val="none"/>
        </w:rPr>
        <w:t>、</w:t>
      </w:r>
      <w:r>
        <w:rPr>
          <w:rFonts w:hint="eastAsia" w:ascii="宋体" w:hAnsi="宋体" w:eastAsia="宋体" w:cs="宋体"/>
          <w:color w:val="auto"/>
          <w:sz w:val="21"/>
          <w:szCs w:val="21"/>
          <w:highlight w:val="none"/>
        </w:rPr>
        <w:t>9.1.4</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4"/>
          <w:sz w:val="21"/>
          <w:szCs w:val="21"/>
          <w:highlight w:val="none"/>
        </w:rPr>
        <w:t xml:space="preserve">9.1.5 </w:t>
      </w:r>
      <w:r>
        <w:rPr>
          <w:rFonts w:hint="eastAsia" w:ascii="宋体" w:hAnsi="宋体" w:eastAsia="宋体" w:cs="宋体"/>
          <w:color w:val="auto"/>
          <w:sz w:val="21"/>
          <w:szCs w:val="21"/>
          <w:highlight w:val="none"/>
        </w:rPr>
        <w:t>规定有关交付设计文件顺延的情况除外）。并对提交的设计文件的质量负责。</w:t>
      </w:r>
    </w:p>
    <w:p>
      <w:pPr>
        <w:pStyle w:val="19"/>
        <w:numPr>
          <w:ilvl w:val="2"/>
          <w:numId w:val="16"/>
        </w:numPr>
        <w:tabs>
          <w:tab w:val="left" w:pos="1659"/>
        </w:tabs>
        <w:spacing w:before="0" w:after="0" w:line="306" w:lineRule="exact"/>
        <w:ind w:left="1658" w:right="0" w:hanging="66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设计合理使用年限为</w:t>
      </w:r>
      <w:r>
        <w:rPr>
          <w:rFonts w:hint="eastAsia" w:ascii="宋体" w:hAnsi="宋体" w:eastAsia="宋体" w:cs="宋体"/>
          <w:color w:val="auto"/>
          <w:sz w:val="21"/>
          <w:szCs w:val="21"/>
          <w:highlight w:val="none"/>
          <w:u w:val="single"/>
        </w:rPr>
        <w:t xml:space="preserve"> 50</w:t>
      </w:r>
      <w:r>
        <w:rPr>
          <w:rFonts w:hint="eastAsia" w:ascii="宋体" w:hAnsi="宋体" w:eastAsia="宋体" w:cs="宋体"/>
          <w:color w:val="auto"/>
          <w:sz w:val="21"/>
          <w:szCs w:val="21"/>
          <w:highlight w:val="none"/>
        </w:rPr>
        <w:t xml:space="preserve"> 年。</w:t>
      </w:r>
    </w:p>
    <w:p>
      <w:pPr>
        <w:pStyle w:val="19"/>
        <w:numPr>
          <w:ilvl w:val="2"/>
          <w:numId w:val="16"/>
        </w:numPr>
        <w:tabs>
          <w:tab w:val="left" w:pos="1659"/>
        </w:tabs>
        <w:spacing w:before="175" w:after="0" w:line="240" w:lineRule="auto"/>
        <w:ind w:left="1658" w:right="0" w:hanging="66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负责对外商的设计资料进行审查，负责该合同项目的设计联络工作。</w:t>
      </w:r>
    </w:p>
    <w:p>
      <w:pPr>
        <w:pStyle w:val="19"/>
        <w:numPr>
          <w:ilvl w:val="2"/>
          <w:numId w:val="16"/>
        </w:numPr>
        <w:tabs>
          <w:tab w:val="left" w:pos="1659"/>
        </w:tabs>
        <w:spacing w:before="175" w:after="0" w:line="376" w:lineRule="auto"/>
        <w:ind w:left="518" w:right="466"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设计人对设计文件出现的遗漏或错误负责修改或补充。由于设计人设计错误</w:t>
      </w:r>
      <w:r>
        <w:rPr>
          <w:rFonts w:hint="eastAsia" w:ascii="宋体" w:hAnsi="宋体" w:eastAsia="宋体" w:cs="宋体"/>
          <w:color w:val="auto"/>
          <w:spacing w:val="-1"/>
          <w:sz w:val="21"/>
          <w:szCs w:val="21"/>
          <w:highlight w:val="none"/>
        </w:rPr>
        <w:t xml:space="preserve">造成工程质量事故损失，设计人除负责采取补救措施外，应免收受损失部分的设计费， </w:t>
      </w:r>
      <w:r>
        <w:rPr>
          <w:rFonts w:hint="eastAsia" w:ascii="宋体" w:hAnsi="宋体" w:eastAsia="宋体" w:cs="宋体"/>
          <w:color w:val="auto"/>
          <w:spacing w:val="-2"/>
          <w:sz w:val="21"/>
          <w:szCs w:val="21"/>
          <w:highlight w:val="none"/>
        </w:rPr>
        <w:t xml:space="preserve">并根据损失程度向发包人支付赔偿金，赔偿金数额由双方商定为实际损失的 </w:t>
      </w:r>
      <w:r>
        <w:rPr>
          <w:rFonts w:hint="eastAsia" w:ascii="宋体" w:hAnsi="宋体" w:eastAsia="宋体" w:cs="宋体"/>
          <w:color w:val="auto"/>
          <w:sz w:val="21"/>
          <w:szCs w:val="21"/>
          <w:highlight w:val="none"/>
          <w:u w:val="single"/>
        </w:rPr>
        <w:t>100％但不</w:t>
      </w:r>
    </w:p>
    <w:p>
      <w:pPr>
        <w:pStyle w:val="8"/>
        <w:spacing w:before="1" w:line="374" w:lineRule="auto"/>
        <w:ind w:left="518" w:right="51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超过设计费金额</w:t>
      </w:r>
      <w:r>
        <w:rPr>
          <w:rFonts w:hint="eastAsia" w:ascii="宋体" w:hAnsi="宋体" w:eastAsia="宋体" w:cs="宋体"/>
          <w:color w:val="auto"/>
          <w:spacing w:val="-8"/>
          <w:sz w:val="21"/>
          <w:szCs w:val="21"/>
          <w:highlight w:val="none"/>
        </w:rPr>
        <w:t>。同时，在工程的建设施工过程，由于设计人修改或补充设计需延长工期，导致发包人按施工合同赔偿施工方与工期延误相关经济损失的，设计人应承担发包</w:t>
      </w:r>
      <w:r>
        <w:rPr>
          <w:rFonts w:hint="eastAsia" w:ascii="宋体" w:hAnsi="宋体" w:eastAsia="宋体" w:cs="宋体"/>
          <w:color w:val="auto"/>
          <w:sz w:val="21"/>
          <w:szCs w:val="21"/>
          <w:highlight w:val="none"/>
        </w:rPr>
        <w:t>人该项损失。</w:t>
      </w:r>
    </w:p>
    <w:p>
      <w:pPr>
        <w:pStyle w:val="19"/>
        <w:numPr>
          <w:ilvl w:val="2"/>
          <w:numId w:val="16"/>
        </w:numPr>
        <w:tabs>
          <w:tab w:val="left" w:pos="1659"/>
        </w:tabs>
        <w:spacing w:before="6" w:after="0" w:line="376" w:lineRule="auto"/>
        <w:ind w:left="518" w:right="517"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由于设计人原因，延误了设计文件交付时间，每延误一天，应减收该项目应</w:t>
      </w:r>
      <w:r>
        <w:rPr>
          <w:rFonts w:hint="eastAsia" w:ascii="宋体" w:hAnsi="宋体" w:eastAsia="宋体" w:cs="宋体"/>
          <w:color w:val="auto"/>
          <w:sz w:val="21"/>
          <w:szCs w:val="21"/>
          <w:highlight w:val="none"/>
        </w:rPr>
        <w:t>收设计费的千分之十。</w:t>
      </w:r>
    </w:p>
    <w:p>
      <w:pPr>
        <w:pStyle w:val="19"/>
        <w:numPr>
          <w:ilvl w:val="2"/>
          <w:numId w:val="16"/>
        </w:numPr>
        <w:tabs>
          <w:tab w:val="left" w:pos="1659"/>
        </w:tabs>
        <w:spacing w:before="2" w:after="0" w:line="240" w:lineRule="auto"/>
        <w:ind w:left="1658" w:right="0" w:hanging="66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合同生效后，设计人要求终止或解除合同，设计人应双倍返还发包人已支付</w:t>
      </w:r>
    </w:p>
    <w:p>
      <w:pPr>
        <w:spacing w:after="0" w:line="240" w:lineRule="auto"/>
        <w:jc w:val="both"/>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spacing w:before="107"/>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的定金。</w:t>
      </w:r>
    </w:p>
    <w:p>
      <w:pPr>
        <w:pStyle w:val="19"/>
        <w:numPr>
          <w:ilvl w:val="2"/>
          <w:numId w:val="16"/>
        </w:numPr>
        <w:tabs>
          <w:tab w:val="left" w:pos="1659"/>
        </w:tabs>
        <w:spacing w:before="175" w:after="0" w:line="376"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设计人交付设计文件后，按规定参加有关上级的设计审查，并根据审查结论</w:t>
      </w:r>
      <w:r>
        <w:rPr>
          <w:rFonts w:hint="eastAsia" w:ascii="宋体" w:hAnsi="宋体" w:eastAsia="宋体" w:cs="宋体"/>
          <w:color w:val="auto"/>
          <w:spacing w:val="-4"/>
          <w:sz w:val="21"/>
          <w:szCs w:val="21"/>
          <w:highlight w:val="none"/>
        </w:rPr>
        <w:t>负责不超出原定范围的内容做必要调整补充。设计人按合同规定时限交付设计文件一年</w:t>
      </w:r>
      <w:r>
        <w:rPr>
          <w:rFonts w:hint="eastAsia" w:ascii="宋体" w:hAnsi="宋体" w:eastAsia="宋体" w:cs="宋体"/>
          <w:color w:val="auto"/>
          <w:spacing w:val="-6"/>
          <w:sz w:val="21"/>
          <w:szCs w:val="21"/>
          <w:highlight w:val="none"/>
        </w:rPr>
        <w:t>内项目开始施工，负责向发包人及施工单位进行设计交底、处理有关设计问题和参加竣</w:t>
      </w:r>
      <w:r>
        <w:rPr>
          <w:rFonts w:hint="eastAsia" w:ascii="宋体" w:hAnsi="宋体" w:eastAsia="宋体" w:cs="宋体"/>
          <w:color w:val="auto"/>
          <w:spacing w:val="-7"/>
          <w:sz w:val="21"/>
          <w:szCs w:val="21"/>
          <w:highlight w:val="none"/>
        </w:rPr>
        <w:t>工验收。在一年内项目尚未开始施工，设计人仍负责上述工作，可按所需工作量向发包</w:t>
      </w:r>
      <w:r>
        <w:rPr>
          <w:rFonts w:hint="eastAsia" w:ascii="宋体" w:hAnsi="宋体" w:eastAsia="宋体" w:cs="宋体"/>
          <w:color w:val="auto"/>
          <w:sz w:val="21"/>
          <w:szCs w:val="21"/>
          <w:highlight w:val="none"/>
        </w:rPr>
        <w:t>人适当收取咨询服务费，收费额由双方商定。</w:t>
      </w:r>
    </w:p>
    <w:p>
      <w:pPr>
        <w:pStyle w:val="8"/>
        <w:spacing w:line="306" w:lineRule="exact"/>
        <w:ind w:left="99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保密</w:t>
      </w:r>
    </w:p>
    <w:p>
      <w:pPr>
        <w:pStyle w:val="8"/>
        <w:spacing w:before="174" w:line="376"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双方均应保护对方的知识产权，未经对方同意，任何一方均不得对对方的资料及文</w:t>
      </w:r>
      <w:r>
        <w:rPr>
          <w:rFonts w:hint="eastAsia" w:ascii="宋体" w:hAnsi="宋体" w:eastAsia="宋体" w:cs="宋体"/>
          <w:color w:val="auto"/>
          <w:spacing w:val="-6"/>
          <w:sz w:val="21"/>
          <w:szCs w:val="21"/>
          <w:highlight w:val="none"/>
        </w:rPr>
        <w:t>件擅自修改、复制或向第三人转让或用于本合同项目外的项目。如发生以上情况，泄密</w:t>
      </w:r>
      <w:r>
        <w:rPr>
          <w:rFonts w:hint="eastAsia" w:ascii="宋体" w:hAnsi="宋体" w:eastAsia="宋体" w:cs="宋体"/>
          <w:color w:val="auto"/>
          <w:sz w:val="21"/>
          <w:szCs w:val="21"/>
          <w:highlight w:val="none"/>
        </w:rPr>
        <w:t>方承担一切由此引起的后果并承担赔偿责任。</w:t>
      </w:r>
    </w:p>
    <w:p>
      <w:pPr>
        <w:pStyle w:val="8"/>
        <w:spacing w:line="306" w:lineRule="exact"/>
        <w:ind w:left="998"/>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仲裁</w:t>
      </w:r>
    </w:p>
    <w:p>
      <w:pPr>
        <w:pStyle w:val="8"/>
        <w:spacing w:before="175"/>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本合同在履行过程中发生的争议，由双方当事人协议解决，协商不成的，按下列第</w:t>
      </w:r>
    </w:p>
    <w:p>
      <w:pPr>
        <w:pStyle w:val="8"/>
        <w:spacing w:before="12"/>
        <w:rPr>
          <w:rFonts w:hint="eastAsia" w:ascii="宋体" w:hAnsi="宋体" w:eastAsia="宋体" w:cs="宋体"/>
          <w:color w:val="auto"/>
          <w:sz w:val="21"/>
          <w:szCs w:val="21"/>
          <w:highlight w:val="none"/>
        </w:rPr>
      </w:pPr>
    </w:p>
    <w:p>
      <w:pPr>
        <w:pStyle w:val="8"/>
        <w:tabs>
          <w:tab w:val="left" w:pos="878"/>
        </w:tabs>
        <w:spacing w:before="74"/>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（一）</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z w:val="21"/>
          <w:szCs w:val="21"/>
          <w:highlight w:val="none"/>
        </w:rPr>
        <w:t>种方式解决。</w:t>
      </w:r>
    </w:p>
    <w:p>
      <w:pPr>
        <w:pStyle w:val="8"/>
        <w:spacing w:before="175"/>
        <w:ind w:left="8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（一）提交北海仲裁委员会仲裁；</w:t>
      </w:r>
    </w:p>
    <w:p>
      <w:pPr>
        <w:pStyle w:val="8"/>
        <w:spacing w:before="174"/>
        <w:ind w:left="8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（二）依法向人民法院起诉。</w:t>
      </w:r>
    </w:p>
    <w:p>
      <w:pPr>
        <w:pStyle w:val="8"/>
        <w:spacing w:before="175" w:line="376" w:lineRule="auto"/>
        <w:ind w:left="998" w:right="45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没有选择的，视为按第（一）种方式解决。第十二条 合同生效及其他</w:t>
      </w:r>
    </w:p>
    <w:p>
      <w:pPr>
        <w:pStyle w:val="19"/>
        <w:numPr>
          <w:ilvl w:val="1"/>
          <w:numId w:val="17"/>
        </w:numPr>
        <w:tabs>
          <w:tab w:val="left" w:pos="1539"/>
        </w:tabs>
        <w:spacing w:before="0" w:after="0" w:line="307" w:lineRule="exact"/>
        <w:ind w:left="1538" w:right="0" w:hanging="5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设计人为本合同项目的服务至项目整体竣工验收并完成决算审计为止。</w:t>
      </w:r>
    </w:p>
    <w:p>
      <w:pPr>
        <w:pStyle w:val="19"/>
        <w:numPr>
          <w:ilvl w:val="1"/>
          <w:numId w:val="17"/>
        </w:numPr>
        <w:tabs>
          <w:tab w:val="left" w:pos="1539"/>
        </w:tabs>
        <w:spacing w:before="175" w:after="0" w:line="376"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本工程项目中，设计人不得指定建筑材料、设备的生产厂或供货商。发包人需</w:t>
      </w:r>
      <w:r>
        <w:rPr>
          <w:rFonts w:hint="eastAsia" w:ascii="宋体" w:hAnsi="宋体" w:eastAsia="宋体" w:cs="宋体"/>
          <w:color w:val="auto"/>
          <w:sz w:val="21"/>
          <w:szCs w:val="21"/>
          <w:highlight w:val="none"/>
        </w:rPr>
        <w:t>要设计人配合建筑材料、设备的加工订货时，所需费用由发包人承担。</w:t>
      </w:r>
    </w:p>
    <w:p>
      <w:pPr>
        <w:pStyle w:val="19"/>
        <w:numPr>
          <w:ilvl w:val="1"/>
          <w:numId w:val="17"/>
        </w:numPr>
        <w:tabs>
          <w:tab w:val="left" w:pos="1539"/>
        </w:tabs>
        <w:spacing w:before="0" w:after="0" w:line="376" w:lineRule="auto"/>
        <w:ind w:left="518" w:right="466"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发包人委托设计人配合引进项目的设计任务，从询价、对外谈判、国内外技术</w:t>
      </w:r>
      <w:r>
        <w:rPr>
          <w:rFonts w:hint="eastAsia" w:ascii="宋体" w:hAnsi="宋体" w:eastAsia="宋体" w:cs="宋体"/>
          <w:color w:val="auto"/>
          <w:spacing w:val="-7"/>
          <w:sz w:val="21"/>
          <w:szCs w:val="21"/>
          <w:highlight w:val="none"/>
        </w:rPr>
        <w:t xml:space="preserve">考察直至建成投产的各个阶段，应吸收承担有关设计任务的设计人员参加。出国费用， </w:t>
      </w:r>
      <w:r>
        <w:rPr>
          <w:rFonts w:hint="eastAsia" w:ascii="宋体" w:hAnsi="宋体" w:eastAsia="宋体" w:cs="宋体"/>
          <w:color w:val="auto"/>
          <w:sz w:val="21"/>
          <w:szCs w:val="21"/>
          <w:highlight w:val="none"/>
        </w:rPr>
        <w:t>除制装费外，其他费用由发包人支付。</w:t>
      </w:r>
    </w:p>
    <w:p>
      <w:pPr>
        <w:pStyle w:val="19"/>
        <w:numPr>
          <w:ilvl w:val="1"/>
          <w:numId w:val="17"/>
        </w:numPr>
        <w:tabs>
          <w:tab w:val="left" w:pos="1541"/>
        </w:tabs>
        <w:spacing w:before="1" w:after="0" w:line="374" w:lineRule="auto"/>
        <w:ind w:left="518" w:right="517"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发包人委托设计人承担本合同内容以外的工作服务，另行签订协议并支付费用。</w:t>
      </w:r>
    </w:p>
    <w:p>
      <w:pPr>
        <w:pStyle w:val="19"/>
        <w:numPr>
          <w:ilvl w:val="1"/>
          <w:numId w:val="17"/>
        </w:numPr>
        <w:tabs>
          <w:tab w:val="left" w:pos="1539"/>
        </w:tabs>
        <w:spacing w:before="3" w:after="0" w:line="240" w:lineRule="auto"/>
        <w:ind w:left="1538" w:right="0" w:hanging="5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由于不可抗力因素致使合同无法履行时，双方应及时协商解决。</w:t>
      </w:r>
    </w:p>
    <w:p>
      <w:pPr>
        <w:pStyle w:val="19"/>
        <w:numPr>
          <w:ilvl w:val="1"/>
          <w:numId w:val="17"/>
        </w:numPr>
        <w:tabs>
          <w:tab w:val="left" w:pos="1539"/>
        </w:tabs>
        <w:spacing w:before="175" w:after="0" w:line="240" w:lineRule="auto"/>
        <w:ind w:left="1538" w:right="0" w:hanging="541"/>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本合同双方签字盖章即生效，一式</w:t>
      </w:r>
      <w:r>
        <w:rPr>
          <w:rFonts w:hint="eastAsia" w:ascii="宋体" w:hAnsi="宋体" w:eastAsia="宋体" w:cs="宋体"/>
          <w:color w:val="auto"/>
          <w:sz w:val="21"/>
          <w:szCs w:val="21"/>
          <w:highlight w:val="none"/>
        </w:rPr>
        <w:t>_</w:t>
      </w:r>
      <w:r>
        <w:rPr>
          <w:rFonts w:hint="eastAsia" w:ascii="宋体" w:hAnsi="宋体" w:eastAsia="宋体" w:cs="宋体"/>
          <w:color w:val="auto"/>
          <w:spacing w:val="-1"/>
          <w:sz w:val="21"/>
          <w:szCs w:val="21"/>
          <w:highlight w:val="none"/>
          <w:u w:val="single"/>
        </w:rPr>
        <w:t xml:space="preserve"> 捌</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z w:val="21"/>
          <w:szCs w:val="21"/>
          <w:highlight w:val="none"/>
        </w:rPr>
        <w:t>_</w:t>
      </w:r>
      <w:r>
        <w:rPr>
          <w:rFonts w:hint="eastAsia" w:ascii="宋体" w:hAnsi="宋体" w:eastAsia="宋体" w:cs="宋体"/>
          <w:color w:val="auto"/>
          <w:spacing w:val="-16"/>
          <w:sz w:val="21"/>
          <w:szCs w:val="21"/>
          <w:highlight w:val="none"/>
        </w:rPr>
        <w:t>份，发包人</w:t>
      </w:r>
      <w:r>
        <w:rPr>
          <w:rFonts w:hint="eastAsia" w:ascii="宋体" w:hAnsi="宋体" w:eastAsia="宋体" w:cs="宋体"/>
          <w:color w:val="auto"/>
          <w:sz w:val="21"/>
          <w:szCs w:val="21"/>
          <w:highlight w:val="none"/>
        </w:rPr>
        <w:t>_</w:t>
      </w:r>
      <w:r>
        <w:rPr>
          <w:rFonts w:hint="eastAsia" w:ascii="宋体" w:hAnsi="宋体" w:eastAsia="宋体" w:cs="宋体"/>
          <w:color w:val="auto"/>
          <w:sz w:val="21"/>
          <w:szCs w:val="21"/>
          <w:highlight w:val="none"/>
          <w:u w:val="single"/>
        </w:rPr>
        <w:t xml:space="preserve"> 陆</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z w:val="21"/>
          <w:szCs w:val="21"/>
          <w:highlight w:val="none"/>
        </w:rPr>
        <w:t>_</w:t>
      </w:r>
      <w:r>
        <w:rPr>
          <w:rFonts w:hint="eastAsia" w:ascii="宋体" w:hAnsi="宋体" w:eastAsia="宋体" w:cs="宋体"/>
          <w:color w:val="auto"/>
          <w:spacing w:val="-16"/>
          <w:sz w:val="21"/>
          <w:szCs w:val="21"/>
          <w:highlight w:val="none"/>
        </w:rPr>
        <w:t>份，设计人</w:t>
      </w:r>
      <w:r>
        <w:rPr>
          <w:rFonts w:hint="eastAsia" w:ascii="宋体" w:hAnsi="宋体" w:eastAsia="宋体" w:cs="宋体"/>
          <w:color w:val="auto"/>
          <w:sz w:val="21"/>
          <w:szCs w:val="21"/>
          <w:highlight w:val="none"/>
          <w:u w:val="single"/>
        </w:rPr>
        <w:t>贰</w:t>
      </w:r>
      <w:r>
        <w:rPr>
          <w:rFonts w:hint="eastAsia" w:ascii="宋体" w:hAnsi="宋体" w:eastAsia="宋体" w:cs="宋体"/>
          <w:color w:val="auto"/>
          <w:spacing w:val="39"/>
          <w:sz w:val="21"/>
          <w:szCs w:val="21"/>
          <w:highlight w:val="none"/>
        </w:rPr>
        <w:t xml:space="preserve"> 份。</w:t>
      </w:r>
    </w:p>
    <w:p>
      <w:pPr>
        <w:pStyle w:val="19"/>
        <w:numPr>
          <w:ilvl w:val="1"/>
          <w:numId w:val="17"/>
        </w:numPr>
        <w:tabs>
          <w:tab w:val="left" w:pos="1539"/>
        </w:tabs>
        <w:spacing w:before="175" w:after="0" w:line="379" w:lineRule="auto"/>
        <w:ind w:left="518" w:right="514"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本合同生效后，按规定应到项目所在地省级建设行政主管部门规定的审查部门</w:t>
      </w:r>
      <w:r>
        <w:rPr>
          <w:rFonts w:hint="eastAsia" w:ascii="宋体" w:hAnsi="宋体" w:eastAsia="宋体" w:cs="宋体"/>
          <w:color w:val="auto"/>
          <w:spacing w:val="-8"/>
          <w:sz w:val="21"/>
          <w:szCs w:val="21"/>
          <w:highlight w:val="none"/>
        </w:rPr>
        <w:t>备案；双方认为必要时，到工商行政管理部门鉴证。双方履行完合同规定的义务后，本</w:t>
      </w:r>
    </w:p>
    <w:p>
      <w:pPr>
        <w:spacing w:after="0" w:line="379" w:lineRule="auto"/>
        <w:jc w:val="both"/>
        <w:rPr>
          <w:rFonts w:hint="eastAsia" w:ascii="宋体" w:hAnsi="宋体" w:eastAsia="宋体" w:cs="宋体"/>
          <w:color w:val="auto"/>
          <w:sz w:val="21"/>
          <w:szCs w:val="21"/>
          <w:highlight w:val="none"/>
        </w:rPr>
        <w:sectPr>
          <w:footerReference r:id="rId12" w:type="default"/>
          <w:pgSz w:w="11910" w:h="16840"/>
          <w:pgMar w:top="1300" w:right="900" w:bottom="1180" w:left="900" w:header="1100" w:footer="993" w:gutter="0"/>
          <w:pgNumType w:start="30"/>
        </w:sectPr>
      </w:pPr>
    </w:p>
    <w:p>
      <w:pPr>
        <w:pStyle w:val="8"/>
        <w:spacing w:before="107"/>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合同即行终止。</w:t>
      </w:r>
    </w:p>
    <w:p>
      <w:pPr>
        <w:pStyle w:val="19"/>
        <w:numPr>
          <w:ilvl w:val="1"/>
          <w:numId w:val="17"/>
        </w:numPr>
        <w:tabs>
          <w:tab w:val="left" w:pos="1539"/>
        </w:tabs>
        <w:spacing w:before="175" w:after="0" w:line="376" w:lineRule="auto"/>
        <w:ind w:left="518" w:right="514"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双方认可的来往传真、电报、会议纪要等，均为合同的组成部分，与本合同具</w:t>
      </w:r>
      <w:r>
        <w:rPr>
          <w:rFonts w:hint="eastAsia" w:ascii="宋体" w:hAnsi="宋体" w:eastAsia="宋体" w:cs="宋体"/>
          <w:color w:val="auto"/>
          <w:sz w:val="21"/>
          <w:szCs w:val="21"/>
          <w:highlight w:val="none"/>
        </w:rPr>
        <w:t>有同等法律效力。</w:t>
      </w:r>
    </w:p>
    <w:p>
      <w:pPr>
        <w:pStyle w:val="19"/>
        <w:numPr>
          <w:ilvl w:val="1"/>
          <w:numId w:val="17"/>
        </w:numPr>
        <w:tabs>
          <w:tab w:val="left" w:pos="1539"/>
        </w:tabs>
        <w:spacing w:before="0" w:after="0" w:line="307" w:lineRule="exact"/>
        <w:ind w:left="1538" w:right="0" w:hanging="541"/>
        <w:jc w:val="left"/>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未尽事宜，经双方协商一致，签订补充协议，补充协议与本合同具有同等效力。</w:t>
      </w:r>
    </w:p>
    <w:p>
      <w:pPr>
        <w:pStyle w:val="8"/>
        <w:spacing w:before="8"/>
        <w:rPr>
          <w:rFonts w:hint="eastAsia" w:ascii="宋体" w:hAnsi="宋体" w:eastAsia="宋体" w:cs="宋体"/>
          <w:color w:val="auto"/>
          <w:sz w:val="21"/>
          <w:szCs w:val="21"/>
          <w:highlight w:val="none"/>
        </w:rPr>
      </w:pPr>
    </w:p>
    <w:p>
      <w:pPr>
        <w:pStyle w:val="8"/>
        <w:tabs>
          <w:tab w:val="left" w:pos="49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设计人名称：</w:t>
      </w:r>
    </w:p>
    <w:p>
      <w:pPr>
        <w:pStyle w:val="8"/>
        <w:spacing w:before="5"/>
        <w:rPr>
          <w:rFonts w:hint="eastAsia" w:ascii="宋体" w:hAnsi="宋体" w:eastAsia="宋体" w:cs="宋体"/>
          <w:color w:val="auto"/>
          <w:sz w:val="21"/>
          <w:szCs w:val="21"/>
          <w:highlight w:val="none"/>
        </w:rPr>
      </w:pPr>
    </w:p>
    <w:p>
      <w:pPr>
        <w:pStyle w:val="8"/>
        <w:tabs>
          <w:tab w:val="left" w:pos="49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（盖章）</w:t>
      </w:r>
    </w:p>
    <w:p>
      <w:pPr>
        <w:pStyle w:val="8"/>
        <w:spacing w:before="2"/>
        <w:rPr>
          <w:rFonts w:hint="eastAsia" w:ascii="宋体" w:hAnsi="宋体" w:eastAsia="宋体" w:cs="宋体"/>
          <w:color w:val="auto"/>
          <w:sz w:val="21"/>
          <w:szCs w:val="21"/>
          <w:highlight w:val="none"/>
        </w:rPr>
      </w:pPr>
    </w:p>
    <w:p>
      <w:pPr>
        <w:pStyle w:val="8"/>
        <w:tabs>
          <w:tab w:val="left" w:pos="49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法定代表人：（签字）</w:t>
      </w:r>
    </w:p>
    <w:p>
      <w:pPr>
        <w:pStyle w:val="8"/>
        <w:spacing w:before="3"/>
        <w:rPr>
          <w:rFonts w:hint="eastAsia" w:ascii="宋体" w:hAnsi="宋体" w:eastAsia="宋体" w:cs="宋体"/>
          <w:color w:val="auto"/>
          <w:sz w:val="21"/>
          <w:szCs w:val="21"/>
          <w:highlight w:val="none"/>
        </w:rPr>
      </w:pPr>
    </w:p>
    <w:p>
      <w:pPr>
        <w:pStyle w:val="8"/>
        <w:tabs>
          <w:tab w:val="left" w:pos="49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委托代理人：（签字）</w:t>
      </w:r>
    </w:p>
    <w:p>
      <w:pPr>
        <w:pStyle w:val="8"/>
        <w:spacing w:before="5"/>
        <w:rPr>
          <w:rFonts w:hint="eastAsia" w:ascii="宋体" w:hAnsi="宋体" w:eastAsia="宋体" w:cs="宋体"/>
          <w:color w:val="auto"/>
          <w:sz w:val="21"/>
          <w:szCs w:val="21"/>
          <w:highlight w:val="none"/>
        </w:rPr>
      </w:pPr>
    </w:p>
    <w:p>
      <w:pPr>
        <w:pStyle w:val="8"/>
        <w:tabs>
          <w:tab w:val="left" w:pos="49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项目负责人：（签字）</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项目负责人：（签字）</w:t>
      </w:r>
    </w:p>
    <w:p>
      <w:pPr>
        <w:pStyle w:val="8"/>
        <w:spacing w:before="3"/>
        <w:rPr>
          <w:rFonts w:hint="eastAsia" w:ascii="宋体" w:hAnsi="宋体" w:eastAsia="宋体" w:cs="宋体"/>
          <w:color w:val="auto"/>
          <w:sz w:val="21"/>
          <w:szCs w:val="21"/>
          <w:highlight w:val="none"/>
        </w:rPr>
      </w:pPr>
    </w:p>
    <w:p>
      <w:pPr>
        <w:pStyle w:val="8"/>
        <w:tabs>
          <w:tab w:val="left" w:pos="49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 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住 所：</w:t>
      </w:r>
    </w:p>
    <w:p>
      <w:pPr>
        <w:pStyle w:val="8"/>
        <w:spacing w:before="5"/>
        <w:rPr>
          <w:rFonts w:hint="eastAsia" w:ascii="宋体" w:hAnsi="宋体" w:eastAsia="宋体" w:cs="宋体"/>
          <w:color w:val="auto"/>
          <w:sz w:val="21"/>
          <w:szCs w:val="21"/>
          <w:highlight w:val="none"/>
        </w:rPr>
      </w:pPr>
    </w:p>
    <w:p>
      <w:pPr>
        <w:pStyle w:val="8"/>
        <w:tabs>
          <w:tab w:val="left" w:pos="49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邮政编码：</w:t>
      </w:r>
    </w:p>
    <w:p>
      <w:pPr>
        <w:pStyle w:val="8"/>
        <w:spacing w:before="3"/>
        <w:rPr>
          <w:rFonts w:hint="eastAsia" w:ascii="宋体" w:hAnsi="宋体" w:eastAsia="宋体" w:cs="宋体"/>
          <w:color w:val="auto"/>
          <w:sz w:val="21"/>
          <w:szCs w:val="21"/>
          <w:highlight w:val="none"/>
        </w:rPr>
      </w:pPr>
    </w:p>
    <w:p>
      <w:pPr>
        <w:pStyle w:val="8"/>
        <w:tabs>
          <w:tab w:val="left" w:pos="49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电 话：</w:t>
      </w:r>
    </w:p>
    <w:p>
      <w:pPr>
        <w:pStyle w:val="8"/>
        <w:spacing w:before="5"/>
        <w:rPr>
          <w:rFonts w:hint="eastAsia" w:ascii="宋体" w:hAnsi="宋体" w:eastAsia="宋体" w:cs="宋体"/>
          <w:color w:val="auto"/>
          <w:sz w:val="21"/>
          <w:szCs w:val="21"/>
          <w:highlight w:val="none"/>
        </w:rPr>
      </w:pPr>
    </w:p>
    <w:p>
      <w:pPr>
        <w:pStyle w:val="8"/>
        <w:tabs>
          <w:tab w:val="left" w:pos="49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传 真：</w:t>
      </w:r>
    </w:p>
    <w:p>
      <w:pPr>
        <w:pStyle w:val="8"/>
        <w:spacing w:before="2"/>
        <w:rPr>
          <w:rFonts w:hint="eastAsia" w:ascii="宋体" w:hAnsi="宋体" w:eastAsia="宋体" w:cs="宋体"/>
          <w:color w:val="auto"/>
          <w:sz w:val="21"/>
          <w:szCs w:val="21"/>
          <w:highlight w:val="none"/>
        </w:rPr>
      </w:pPr>
    </w:p>
    <w:p>
      <w:pPr>
        <w:pStyle w:val="8"/>
        <w:tabs>
          <w:tab w:val="left" w:pos="49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开户银行：</w:t>
      </w:r>
    </w:p>
    <w:p>
      <w:pPr>
        <w:pStyle w:val="8"/>
        <w:spacing w:before="3"/>
        <w:rPr>
          <w:rFonts w:hint="eastAsia" w:ascii="宋体" w:hAnsi="宋体" w:eastAsia="宋体" w:cs="宋体"/>
          <w:color w:val="auto"/>
          <w:sz w:val="21"/>
          <w:szCs w:val="21"/>
          <w:highlight w:val="none"/>
        </w:rPr>
      </w:pPr>
    </w:p>
    <w:p>
      <w:pPr>
        <w:pStyle w:val="8"/>
        <w:tabs>
          <w:tab w:val="left" w:pos="49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银行帐号：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银行帐号：</w:t>
      </w:r>
    </w:p>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p>
      <w:pPr>
        <w:spacing w:before="107"/>
        <w:ind w:left="518" w:right="0"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pPr>
        <w:pStyle w:val="8"/>
        <w:spacing w:before="11"/>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column"/>
      </w:r>
    </w:p>
    <w:p>
      <w:pPr>
        <w:spacing w:before="0"/>
        <w:ind w:left="240" w:right="0"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广西壮族自治区政府采购项目合同验收书（格式）</w:t>
      </w:r>
    </w:p>
    <w:p>
      <w:pPr>
        <w:spacing w:after="0"/>
        <w:jc w:val="left"/>
        <w:rPr>
          <w:rFonts w:hint="eastAsia" w:ascii="宋体" w:hAnsi="宋体" w:eastAsia="宋体" w:cs="宋体"/>
          <w:color w:val="auto"/>
          <w:sz w:val="21"/>
          <w:szCs w:val="21"/>
          <w:highlight w:val="none"/>
        </w:rPr>
        <w:sectPr>
          <w:pgSz w:w="11910" w:h="16840"/>
          <w:pgMar w:top="1300" w:right="900" w:bottom="1180" w:left="900" w:header="1100" w:footer="993" w:gutter="0"/>
          <w:cols w:equalWidth="0" w:num="2">
            <w:col w:w="1241" w:space="40"/>
            <w:col w:w="8829"/>
          </w:cols>
        </w:sectPr>
      </w:pPr>
    </w:p>
    <w:p>
      <w:pPr>
        <w:pStyle w:val="8"/>
        <w:spacing w:before="13" w:line="249" w:lineRule="auto"/>
        <w:ind w:left="518" w:right="518"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根据政府采购项目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采购合同编号：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3"/>
          <w:sz w:val="21"/>
          <w:szCs w:val="21"/>
          <w:highlight w:val="none"/>
        </w:rPr>
        <w:t>的约定，我单位对</w:t>
      </w: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u w:val="single"/>
        </w:rPr>
        <w:t xml:space="preserve"> 项目名称 </w:t>
      </w:r>
      <w:r>
        <w:rPr>
          <w:rFonts w:hint="eastAsia" w:ascii="宋体" w:hAnsi="宋体" w:eastAsia="宋体" w:cs="宋体"/>
          <w:color w:val="auto"/>
          <w:sz w:val="21"/>
          <w:szCs w:val="21"/>
          <w:highlight w:val="none"/>
        </w:rPr>
        <w:t>）</w:t>
      </w:r>
      <w:r>
        <w:rPr>
          <w:rFonts w:hint="eastAsia" w:ascii="宋体" w:hAnsi="宋体" w:eastAsia="宋体" w:cs="宋体"/>
          <w:color w:val="auto"/>
          <w:spacing w:val="-7"/>
          <w:sz w:val="21"/>
          <w:szCs w:val="21"/>
          <w:highlight w:val="none"/>
        </w:rPr>
        <w:t xml:space="preserve"> 政府采</w:t>
      </w:r>
      <w:r>
        <w:rPr>
          <w:rFonts w:hint="eastAsia" w:ascii="宋体" w:hAnsi="宋体" w:eastAsia="宋体" w:cs="宋体"/>
          <w:color w:val="auto"/>
          <w:sz w:val="21"/>
          <w:szCs w:val="21"/>
          <w:highlight w:val="none"/>
        </w:rPr>
        <w:t>购项目中标（或成交）供应商（</w:t>
      </w:r>
      <w:r>
        <w:rPr>
          <w:rFonts w:hint="eastAsia" w:ascii="宋体" w:hAnsi="宋体" w:eastAsia="宋体" w:cs="宋体"/>
          <w:color w:val="auto"/>
          <w:spacing w:val="-1"/>
          <w:sz w:val="21"/>
          <w:szCs w:val="21"/>
          <w:highlight w:val="none"/>
          <w:u w:val="single"/>
        </w:rPr>
        <w:t xml:space="preserve"> 公司名称 </w:t>
      </w:r>
      <w:r>
        <w:rPr>
          <w:rFonts w:hint="eastAsia" w:ascii="宋体" w:hAnsi="宋体" w:eastAsia="宋体" w:cs="宋体"/>
          <w:color w:val="auto"/>
          <w:sz w:val="21"/>
          <w:szCs w:val="21"/>
          <w:highlight w:val="none"/>
        </w:rPr>
        <w:t>） 提供的货物（或工程、服务）进行了验收，验收情况如下：</w:t>
      </w:r>
    </w:p>
    <w:tbl>
      <w:tblPr>
        <w:tblStyle w:val="16"/>
        <w:tblW w:w="8445" w:type="dxa"/>
        <w:tblInd w:w="84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14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trPr>
        <w:tc>
          <w:tcPr>
            <w:tcW w:w="3252" w:type="dxa"/>
            <w:gridSpan w:val="2"/>
          </w:tcPr>
          <w:p>
            <w:pPr>
              <w:pStyle w:val="20"/>
              <w:spacing w:before="89"/>
              <w:ind w:left="10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w:t>
            </w:r>
          </w:p>
        </w:tc>
        <w:tc>
          <w:tcPr>
            <w:tcW w:w="5193" w:type="dxa"/>
            <w:gridSpan w:val="6"/>
          </w:tcPr>
          <w:p>
            <w:pPr>
              <w:pStyle w:val="20"/>
              <w:spacing w:before="88"/>
              <w:ind w:left="16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□自行验收 □委托验收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331" w:type="dxa"/>
          </w:tcPr>
          <w:p>
            <w:pPr>
              <w:pStyle w:val="20"/>
              <w:spacing w:before="160"/>
              <w:ind w:left="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21" w:type="dxa"/>
          </w:tcPr>
          <w:p>
            <w:pPr>
              <w:pStyle w:val="20"/>
              <w:spacing w:before="160"/>
              <w:ind w:left="640" w:right="62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2902" w:type="dxa"/>
            <w:gridSpan w:val="3"/>
          </w:tcPr>
          <w:p>
            <w:pPr>
              <w:pStyle w:val="20"/>
              <w:spacing w:line="307" w:lineRule="exact"/>
              <w:ind w:left="10" w:righ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货物型号规格、标准及配置</w:t>
            </w:r>
          </w:p>
          <w:p>
            <w:pPr>
              <w:pStyle w:val="20"/>
              <w:spacing w:before="14" w:line="299" w:lineRule="exact"/>
              <w:ind w:left="1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等（或服务内容、标准）</w:t>
            </w:r>
          </w:p>
        </w:tc>
        <w:tc>
          <w:tcPr>
            <w:tcW w:w="863" w:type="dxa"/>
            <w:gridSpan w:val="2"/>
          </w:tcPr>
          <w:p>
            <w:pPr>
              <w:pStyle w:val="20"/>
              <w:spacing w:before="160"/>
              <w:ind w:left="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428" w:type="dxa"/>
          </w:tcPr>
          <w:p>
            <w:pPr>
              <w:pStyle w:val="20"/>
              <w:spacing w:before="160"/>
              <w:ind w:left="4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331" w:type="dxa"/>
          </w:tcPr>
          <w:p>
            <w:pPr>
              <w:pStyle w:val="20"/>
              <w:rPr>
                <w:rFonts w:hint="eastAsia" w:ascii="宋体" w:hAnsi="宋体" w:eastAsia="宋体" w:cs="宋体"/>
                <w:color w:val="auto"/>
                <w:sz w:val="21"/>
                <w:szCs w:val="21"/>
                <w:highlight w:val="none"/>
              </w:rPr>
            </w:pPr>
          </w:p>
        </w:tc>
        <w:tc>
          <w:tcPr>
            <w:tcW w:w="1921" w:type="dxa"/>
          </w:tcPr>
          <w:p>
            <w:pPr>
              <w:pStyle w:val="20"/>
              <w:rPr>
                <w:rFonts w:hint="eastAsia" w:ascii="宋体" w:hAnsi="宋体" w:eastAsia="宋体" w:cs="宋体"/>
                <w:color w:val="auto"/>
                <w:sz w:val="21"/>
                <w:szCs w:val="21"/>
                <w:highlight w:val="none"/>
              </w:rPr>
            </w:pPr>
          </w:p>
        </w:tc>
        <w:tc>
          <w:tcPr>
            <w:tcW w:w="2902" w:type="dxa"/>
            <w:gridSpan w:val="3"/>
          </w:tcPr>
          <w:p>
            <w:pPr>
              <w:pStyle w:val="20"/>
              <w:rPr>
                <w:rFonts w:hint="eastAsia" w:ascii="宋体" w:hAnsi="宋体" w:eastAsia="宋体" w:cs="宋体"/>
                <w:color w:val="auto"/>
                <w:sz w:val="21"/>
                <w:szCs w:val="21"/>
                <w:highlight w:val="none"/>
              </w:rPr>
            </w:pPr>
          </w:p>
        </w:tc>
        <w:tc>
          <w:tcPr>
            <w:tcW w:w="863" w:type="dxa"/>
            <w:gridSpan w:val="2"/>
          </w:tcPr>
          <w:p>
            <w:pPr>
              <w:pStyle w:val="20"/>
              <w:rPr>
                <w:rFonts w:hint="eastAsia" w:ascii="宋体" w:hAnsi="宋体" w:eastAsia="宋体" w:cs="宋体"/>
                <w:color w:val="auto"/>
                <w:sz w:val="21"/>
                <w:szCs w:val="21"/>
                <w:highlight w:val="none"/>
              </w:rPr>
            </w:pPr>
          </w:p>
        </w:tc>
        <w:tc>
          <w:tcPr>
            <w:tcW w:w="1428" w:type="dxa"/>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1331" w:type="dxa"/>
          </w:tcPr>
          <w:p>
            <w:pPr>
              <w:pStyle w:val="20"/>
              <w:rPr>
                <w:rFonts w:hint="eastAsia" w:ascii="宋体" w:hAnsi="宋体" w:eastAsia="宋体" w:cs="宋体"/>
                <w:color w:val="auto"/>
                <w:sz w:val="21"/>
                <w:szCs w:val="21"/>
                <w:highlight w:val="none"/>
              </w:rPr>
            </w:pPr>
          </w:p>
        </w:tc>
        <w:tc>
          <w:tcPr>
            <w:tcW w:w="1921" w:type="dxa"/>
          </w:tcPr>
          <w:p>
            <w:pPr>
              <w:pStyle w:val="20"/>
              <w:rPr>
                <w:rFonts w:hint="eastAsia" w:ascii="宋体" w:hAnsi="宋体" w:eastAsia="宋体" w:cs="宋体"/>
                <w:color w:val="auto"/>
                <w:sz w:val="21"/>
                <w:szCs w:val="21"/>
                <w:highlight w:val="none"/>
              </w:rPr>
            </w:pPr>
          </w:p>
        </w:tc>
        <w:tc>
          <w:tcPr>
            <w:tcW w:w="2902" w:type="dxa"/>
            <w:gridSpan w:val="3"/>
          </w:tcPr>
          <w:p>
            <w:pPr>
              <w:pStyle w:val="20"/>
              <w:rPr>
                <w:rFonts w:hint="eastAsia" w:ascii="宋体" w:hAnsi="宋体" w:eastAsia="宋体" w:cs="宋体"/>
                <w:color w:val="auto"/>
                <w:sz w:val="21"/>
                <w:szCs w:val="21"/>
                <w:highlight w:val="none"/>
              </w:rPr>
            </w:pPr>
          </w:p>
        </w:tc>
        <w:tc>
          <w:tcPr>
            <w:tcW w:w="863" w:type="dxa"/>
            <w:gridSpan w:val="2"/>
          </w:tcPr>
          <w:p>
            <w:pPr>
              <w:pStyle w:val="20"/>
              <w:rPr>
                <w:rFonts w:hint="eastAsia" w:ascii="宋体" w:hAnsi="宋体" w:eastAsia="宋体" w:cs="宋体"/>
                <w:color w:val="auto"/>
                <w:sz w:val="21"/>
                <w:szCs w:val="21"/>
                <w:highlight w:val="none"/>
              </w:rPr>
            </w:pPr>
          </w:p>
        </w:tc>
        <w:tc>
          <w:tcPr>
            <w:tcW w:w="1428" w:type="dxa"/>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1331" w:type="dxa"/>
          </w:tcPr>
          <w:p>
            <w:pPr>
              <w:pStyle w:val="20"/>
              <w:rPr>
                <w:rFonts w:hint="eastAsia" w:ascii="宋体" w:hAnsi="宋体" w:eastAsia="宋体" w:cs="宋体"/>
                <w:color w:val="auto"/>
                <w:sz w:val="21"/>
                <w:szCs w:val="21"/>
                <w:highlight w:val="none"/>
              </w:rPr>
            </w:pPr>
          </w:p>
        </w:tc>
        <w:tc>
          <w:tcPr>
            <w:tcW w:w="1921" w:type="dxa"/>
          </w:tcPr>
          <w:p>
            <w:pPr>
              <w:pStyle w:val="20"/>
              <w:rPr>
                <w:rFonts w:hint="eastAsia" w:ascii="宋体" w:hAnsi="宋体" w:eastAsia="宋体" w:cs="宋体"/>
                <w:color w:val="auto"/>
                <w:sz w:val="21"/>
                <w:szCs w:val="21"/>
                <w:highlight w:val="none"/>
              </w:rPr>
            </w:pPr>
          </w:p>
        </w:tc>
        <w:tc>
          <w:tcPr>
            <w:tcW w:w="2902" w:type="dxa"/>
            <w:gridSpan w:val="3"/>
          </w:tcPr>
          <w:p>
            <w:pPr>
              <w:pStyle w:val="20"/>
              <w:rPr>
                <w:rFonts w:hint="eastAsia" w:ascii="宋体" w:hAnsi="宋体" w:eastAsia="宋体" w:cs="宋体"/>
                <w:color w:val="auto"/>
                <w:sz w:val="21"/>
                <w:szCs w:val="21"/>
                <w:highlight w:val="none"/>
              </w:rPr>
            </w:pPr>
          </w:p>
        </w:tc>
        <w:tc>
          <w:tcPr>
            <w:tcW w:w="863" w:type="dxa"/>
            <w:gridSpan w:val="2"/>
          </w:tcPr>
          <w:p>
            <w:pPr>
              <w:pStyle w:val="20"/>
              <w:rPr>
                <w:rFonts w:hint="eastAsia" w:ascii="宋体" w:hAnsi="宋体" w:eastAsia="宋体" w:cs="宋体"/>
                <w:color w:val="auto"/>
                <w:sz w:val="21"/>
                <w:szCs w:val="21"/>
                <w:highlight w:val="none"/>
              </w:rPr>
            </w:pPr>
          </w:p>
        </w:tc>
        <w:tc>
          <w:tcPr>
            <w:tcW w:w="1428" w:type="dxa"/>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6154" w:type="dxa"/>
            <w:gridSpan w:val="5"/>
          </w:tcPr>
          <w:p>
            <w:pPr>
              <w:pStyle w:val="20"/>
              <w:spacing w:before="84"/>
              <w:ind w:left="2758" w:right="273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863" w:type="dxa"/>
            <w:gridSpan w:val="2"/>
          </w:tcPr>
          <w:p>
            <w:pPr>
              <w:pStyle w:val="20"/>
              <w:rPr>
                <w:rFonts w:hint="eastAsia" w:ascii="宋体" w:hAnsi="宋体" w:eastAsia="宋体" w:cs="宋体"/>
                <w:color w:val="auto"/>
                <w:sz w:val="21"/>
                <w:szCs w:val="21"/>
                <w:highlight w:val="none"/>
              </w:rPr>
            </w:pPr>
          </w:p>
        </w:tc>
        <w:tc>
          <w:tcPr>
            <w:tcW w:w="1428" w:type="dxa"/>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8445" w:type="dxa"/>
            <w:gridSpan w:val="8"/>
          </w:tcPr>
          <w:p>
            <w:pPr>
              <w:pStyle w:val="20"/>
              <w:spacing w:before="160"/>
              <w:ind w:lef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合计大写金额： 仟 佰 拾 万 仟 佰 拾 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331" w:type="dxa"/>
          </w:tcPr>
          <w:p>
            <w:pPr>
              <w:pStyle w:val="20"/>
              <w:spacing w:before="1"/>
              <w:ind w:left="46" w:righ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实际供货日</w:t>
            </w:r>
          </w:p>
          <w:p>
            <w:pPr>
              <w:pStyle w:val="20"/>
              <w:spacing w:before="12" w:line="301" w:lineRule="exact"/>
              <w:ind w:left="1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期</w:t>
            </w:r>
          </w:p>
        </w:tc>
        <w:tc>
          <w:tcPr>
            <w:tcW w:w="2719" w:type="dxa"/>
            <w:gridSpan w:val="2"/>
          </w:tcPr>
          <w:p>
            <w:pPr>
              <w:pStyle w:val="20"/>
              <w:rPr>
                <w:rFonts w:hint="eastAsia" w:ascii="宋体" w:hAnsi="宋体" w:eastAsia="宋体" w:cs="宋体"/>
                <w:color w:val="auto"/>
                <w:sz w:val="21"/>
                <w:szCs w:val="21"/>
                <w:highlight w:val="none"/>
              </w:rPr>
            </w:pPr>
          </w:p>
        </w:tc>
        <w:tc>
          <w:tcPr>
            <w:tcW w:w="2282" w:type="dxa"/>
            <w:gridSpan w:val="3"/>
          </w:tcPr>
          <w:p>
            <w:pPr>
              <w:pStyle w:val="20"/>
              <w:spacing w:before="159"/>
              <w:ind w:left="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合同交货验收日期</w:t>
            </w:r>
          </w:p>
        </w:tc>
        <w:tc>
          <w:tcPr>
            <w:tcW w:w="2113" w:type="dxa"/>
            <w:gridSpan w:val="2"/>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1331" w:type="dxa"/>
          </w:tcPr>
          <w:p>
            <w:pPr>
              <w:pStyle w:val="20"/>
              <w:rPr>
                <w:rFonts w:hint="eastAsia" w:ascii="宋体" w:hAnsi="宋体" w:eastAsia="宋体" w:cs="宋体"/>
                <w:color w:val="auto"/>
                <w:sz w:val="21"/>
                <w:szCs w:val="21"/>
                <w:highlight w:val="none"/>
              </w:rPr>
            </w:pPr>
          </w:p>
        </w:tc>
        <w:tc>
          <w:tcPr>
            <w:tcW w:w="2719" w:type="dxa"/>
            <w:gridSpan w:val="2"/>
          </w:tcPr>
          <w:p>
            <w:pPr>
              <w:pStyle w:val="20"/>
              <w:rPr>
                <w:rFonts w:hint="eastAsia" w:ascii="宋体" w:hAnsi="宋体" w:eastAsia="宋体" w:cs="宋体"/>
                <w:color w:val="auto"/>
                <w:sz w:val="21"/>
                <w:szCs w:val="21"/>
                <w:highlight w:val="none"/>
              </w:rPr>
            </w:pPr>
          </w:p>
        </w:tc>
        <w:tc>
          <w:tcPr>
            <w:tcW w:w="2282" w:type="dxa"/>
            <w:gridSpan w:val="3"/>
          </w:tcPr>
          <w:p>
            <w:pPr>
              <w:pStyle w:val="20"/>
              <w:rPr>
                <w:rFonts w:hint="eastAsia" w:ascii="宋体" w:hAnsi="宋体" w:eastAsia="宋体" w:cs="宋体"/>
                <w:color w:val="auto"/>
                <w:sz w:val="21"/>
                <w:szCs w:val="21"/>
                <w:highlight w:val="none"/>
              </w:rPr>
            </w:pPr>
          </w:p>
        </w:tc>
        <w:tc>
          <w:tcPr>
            <w:tcW w:w="2113" w:type="dxa"/>
            <w:gridSpan w:val="2"/>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0" w:hRule="atLeast"/>
        </w:trPr>
        <w:tc>
          <w:tcPr>
            <w:tcW w:w="1331" w:type="dxa"/>
          </w:tcPr>
          <w:p>
            <w:pPr>
              <w:pStyle w:val="20"/>
              <w:rPr>
                <w:rFonts w:hint="eastAsia" w:ascii="宋体" w:hAnsi="宋体" w:eastAsia="宋体" w:cs="宋体"/>
                <w:color w:val="auto"/>
                <w:sz w:val="21"/>
                <w:szCs w:val="21"/>
                <w:highlight w:val="none"/>
              </w:rPr>
            </w:pPr>
          </w:p>
          <w:p>
            <w:pPr>
              <w:pStyle w:val="20"/>
              <w:spacing w:line="249" w:lineRule="auto"/>
              <w:ind w:left="107" w:right="2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验收具体内容</w:t>
            </w:r>
          </w:p>
        </w:tc>
        <w:tc>
          <w:tcPr>
            <w:tcW w:w="7114" w:type="dxa"/>
            <w:gridSpan w:val="7"/>
          </w:tcPr>
          <w:p>
            <w:pPr>
              <w:pStyle w:val="20"/>
              <w:spacing w:before="1" w:line="249" w:lineRule="auto"/>
              <w:ind w:left="108" w:right="-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pacing w:val="-14"/>
                <w:sz w:val="21"/>
                <w:szCs w:val="21"/>
                <w:highlight w:val="none"/>
              </w:rPr>
              <w:t xml:space="preserve">应按采购合同、采购文件、投标响应文件及验收方案等进行验收； 并核对中标或者成交供应商在安装调试等方面是否违反合同约定 </w:t>
            </w:r>
            <w:r>
              <w:rPr>
                <w:rFonts w:hint="eastAsia" w:ascii="宋体" w:hAnsi="宋体" w:eastAsia="宋体" w:cs="宋体"/>
                <w:color w:val="auto"/>
                <w:spacing w:val="-13"/>
                <w:sz w:val="21"/>
                <w:szCs w:val="21"/>
                <w:highlight w:val="none"/>
              </w:rPr>
              <w:t>或服务规范要求、提供的质量保证证明材料是否齐全、应有的配件</w:t>
            </w:r>
          </w:p>
          <w:p>
            <w:pPr>
              <w:pStyle w:val="20"/>
              <w:spacing w:line="299" w:lineRule="exact"/>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及附件是否达到合同约定等。可附件)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0" w:hRule="atLeast"/>
        </w:trPr>
        <w:tc>
          <w:tcPr>
            <w:tcW w:w="1331" w:type="dxa"/>
            <w:vMerge w:val="restart"/>
          </w:tcPr>
          <w:p>
            <w:pPr>
              <w:pStyle w:val="20"/>
              <w:rPr>
                <w:rFonts w:hint="eastAsia" w:ascii="宋体" w:hAnsi="宋体" w:eastAsia="宋体" w:cs="宋体"/>
                <w:color w:val="auto"/>
                <w:sz w:val="21"/>
                <w:szCs w:val="21"/>
                <w:highlight w:val="none"/>
              </w:rPr>
            </w:pPr>
          </w:p>
          <w:p>
            <w:pPr>
              <w:pStyle w:val="20"/>
              <w:rPr>
                <w:rFonts w:hint="eastAsia" w:ascii="宋体" w:hAnsi="宋体" w:eastAsia="宋体" w:cs="宋体"/>
                <w:color w:val="auto"/>
                <w:sz w:val="21"/>
                <w:szCs w:val="21"/>
                <w:highlight w:val="none"/>
              </w:rPr>
            </w:pPr>
          </w:p>
          <w:p>
            <w:pPr>
              <w:pStyle w:val="20"/>
              <w:spacing w:before="174" w:line="251" w:lineRule="auto"/>
              <w:ind w:left="107" w:right="2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验收小组意见</w:t>
            </w:r>
          </w:p>
        </w:tc>
        <w:tc>
          <w:tcPr>
            <w:tcW w:w="7114" w:type="dxa"/>
            <w:gridSpan w:val="7"/>
          </w:tcPr>
          <w:p>
            <w:pPr>
              <w:pStyle w:val="20"/>
              <w:rPr>
                <w:rFonts w:hint="eastAsia" w:ascii="宋体" w:hAnsi="宋体" w:eastAsia="宋体" w:cs="宋体"/>
                <w:color w:val="auto"/>
                <w:sz w:val="21"/>
                <w:szCs w:val="21"/>
                <w:highlight w:val="none"/>
              </w:rPr>
            </w:pPr>
          </w:p>
          <w:p>
            <w:pPr>
              <w:pStyle w:val="20"/>
              <w:spacing w:before="172"/>
              <w:ind w:left="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验收结论性意见：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1331" w:type="dxa"/>
            <w:vMerge w:val="continue"/>
            <w:tcBorders>
              <w:top w:val="nil"/>
            </w:tcBorders>
          </w:tcPr>
          <w:p>
            <w:pPr>
              <w:rPr>
                <w:rFonts w:hint="eastAsia" w:ascii="宋体" w:hAnsi="宋体" w:eastAsia="宋体" w:cs="宋体"/>
                <w:color w:val="auto"/>
                <w:sz w:val="21"/>
                <w:szCs w:val="21"/>
                <w:highlight w:val="none"/>
              </w:rPr>
            </w:pPr>
          </w:p>
        </w:tc>
        <w:tc>
          <w:tcPr>
            <w:tcW w:w="7114" w:type="dxa"/>
            <w:gridSpan w:val="7"/>
          </w:tcPr>
          <w:p>
            <w:pPr>
              <w:pStyle w:val="20"/>
              <w:spacing w:line="307" w:lineRule="exact"/>
              <w:ind w:left="1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有异议的意见和说明理由：</w:t>
            </w:r>
          </w:p>
          <w:p>
            <w:pPr>
              <w:pStyle w:val="20"/>
              <w:spacing w:before="10"/>
              <w:rPr>
                <w:rFonts w:hint="eastAsia" w:ascii="宋体" w:hAnsi="宋体" w:eastAsia="宋体" w:cs="宋体"/>
                <w:color w:val="auto"/>
                <w:sz w:val="21"/>
                <w:szCs w:val="21"/>
                <w:highlight w:val="none"/>
              </w:rPr>
            </w:pPr>
          </w:p>
          <w:p>
            <w:pPr>
              <w:pStyle w:val="20"/>
              <w:spacing w:line="300" w:lineRule="exact"/>
              <w:ind w:left="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7" w:hRule="atLeast"/>
        </w:trPr>
        <w:tc>
          <w:tcPr>
            <w:tcW w:w="8445" w:type="dxa"/>
            <w:gridSpan w:val="8"/>
          </w:tcPr>
          <w:p>
            <w:pPr>
              <w:pStyle w:val="20"/>
              <w:spacing w:before="94"/>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验收小组成员签字：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8445" w:type="dxa"/>
            <w:gridSpan w:val="8"/>
            <w:tcBorders>
              <w:bottom w:val="single" w:color="000000" w:sz="4" w:space="0"/>
            </w:tcBorders>
          </w:tcPr>
          <w:p>
            <w:pPr>
              <w:pStyle w:val="20"/>
              <w:spacing w:before="1"/>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监督人员或其他相关人员签字：</w:t>
            </w:r>
          </w:p>
          <w:p>
            <w:pPr>
              <w:pStyle w:val="20"/>
              <w:spacing w:before="10"/>
              <w:rPr>
                <w:rFonts w:hint="eastAsia" w:ascii="宋体" w:hAnsi="宋体" w:eastAsia="宋体" w:cs="宋体"/>
                <w:color w:val="auto"/>
                <w:sz w:val="21"/>
                <w:szCs w:val="21"/>
                <w:highlight w:val="none"/>
              </w:rPr>
            </w:pPr>
          </w:p>
          <w:p>
            <w:pPr>
              <w:pStyle w:val="20"/>
              <w:spacing w:before="1" w:line="299" w:lineRule="exact"/>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或受邀机构的意见（盖章）：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0" w:hRule="atLeast"/>
        </w:trPr>
        <w:tc>
          <w:tcPr>
            <w:tcW w:w="4152" w:type="dxa"/>
            <w:gridSpan w:val="4"/>
            <w:tcBorders>
              <w:top w:val="single" w:color="000000" w:sz="4" w:space="0"/>
              <w:left w:val="single" w:color="000000" w:sz="4" w:space="0"/>
              <w:bottom w:val="single" w:color="000000" w:sz="4" w:space="0"/>
              <w:right w:val="single" w:color="000000" w:sz="4" w:space="0"/>
            </w:tcBorders>
          </w:tcPr>
          <w:p>
            <w:pPr>
              <w:pStyle w:val="20"/>
              <w:spacing w:line="249" w:lineRule="auto"/>
              <w:ind w:left="112" w:right="113" w:firstLine="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中标或者成交供应商负责人签字或盖章：</w:t>
            </w:r>
          </w:p>
          <w:p>
            <w:pPr>
              <w:pStyle w:val="20"/>
              <w:spacing w:before="10"/>
              <w:rPr>
                <w:rFonts w:hint="eastAsia" w:ascii="宋体" w:hAnsi="宋体" w:eastAsia="宋体" w:cs="宋体"/>
                <w:color w:val="auto"/>
                <w:sz w:val="21"/>
                <w:szCs w:val="21"/>
                <w:highlight w:val="none"/>
              </w:rPr>
            </w:pPr>
          </w:p>
          <w:p>
            <w:pPr>
              <w:pStyle w:val="20"/>
              <w:spacing w:line="301" w:lineRule="exact"/>
              <w:ind w:left="1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年 月 日</w:t>
            </w:r>
          </w:p>
        </w:tc>
        <w:tc>
          <w:tcPr>
            <w:tcW w:w="4293" w:type="dxa"/>
            <w:gridSpan w:val="4"/>
            <w:tcBorders>
              <w:top w:val="single" w:color="000000" w:sz="4" w:space="0"/>
              <w:left w:val="single" w:color="000000" w:sz="4" w:space="0"/>
              <w:bottom w:val="single" w:color="000000" w:sz="4" w:space="0"/>
              <w:right w:val="single" w:color="000000" w:sz="4" w:space="0"/>
            </w:tcBorders>
          </w:tcPr>
          <w:p>
            <w:pPr>
              <w:pStyle w:val="20"/>
              <w:spacing w:before="160"/>
              <w:ind w:left="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采购人或受托机构的意见（盖章）：</w:t>
            </w:r>
          </w:p>
          <w:p>
            <w:pPr>
              <w:pStyle w:val="20"/>
              <w:spacing w:before="11"/>
              <w:rPr>
                <w:rFonts w:hint="eastAsia" w:ascii="宋体" w:hAnsi="宋体" w:eastAsia="宋体" w:cs="宋体"/>
                <w:color w:val="auto"/>
                <w:sz w:val="21"/>
                <w:szCs w:val="21"/>
                <w:highlight w:val="none"/>
              </w:rPr>
            </w:pPr>
          </w:p>
          <w:p>
            <w:pPr>
              <w:pStyle w:val="20"/>
              <w:ind w:left="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年 月 日</w:t>
            </w:r>
          </w:p>
        </w:tc>
      </w:tr>
    </w:tbl>
    <w:p>
      <w:pPr>
        <w:spacing w:after="0"/>
        <w:rPr>
          <w:rFonts w:hint="eastAsia" w:ascii="宋体" w:hAnsi="宋体" w:eastAsia="宋体" w:cs="宋体"/>
          <w:color w:val="auto"/>
          <w:sz w:val="21"/>
          <w:szCs w:val="21"/>
          <w:highlight w:val="none"/>
        </w:rPr>
        <w:sectPr>
          <w:type w:val="continuous"/>
          <w:pgSz w:w="11910" w:h="16840"/>
          <w:pgMar w:top="1600" w:right="900" w:bottom="280" w:left="900" w:header="720" w:footer="720" w:gutter="0"/>
        </w:sect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12"/>
        <w:rPr>
          <w:rFonts w:hint="eastAsia" w:ascii="宋体" w:hAnsi="宋体" w:eastAsia="宋体" w:cs="宋体"/>
          <w:color w:val="auto"/>
          <w:sz w:val="21"/>
          <w:szCs w:val="21"/>
          <w:highlight w:val="none"/>
        </w:rPr>
      </w:pPr>
    </w:p>
    <w:p>
      <w:pPr>
        <w:tabs>
          <w:tab w:val="left" w:pos="1759"/>
        </w:tabs>
        <w:spacing w:before="38"/>
        <w:ind w:left="0" w:right="0" w:firstLine="0"/>
        <w:jc w:val="center"/>
        <w:rPr>
          <w:rFonts w:hint="eastAsia" w:ascii="宋体" w:hAnsi="宋体" w:eastAsia="宋体" w:cs="宋体"/>
          <w:color w:val="auto"/>
          <w:sz w:val="44"/>
          <w:szCs w:val="44"/>
          <w:highlight w:val="none"/>
        </w:rPr>
      </w:pPr>
      <w:bookmarkStart w:id="127" w:name="_bookmark39"/>
      <w:bookmarkEnd w:id="127"/>
      <w:bookmarkStart w:id="128" w:name="第四章  响应文件格式"/>
      <w:bookmarkEnd w:id="128"/>
      <w:r>
        <w:rPr>
          <w:rFonts w:hint="eastAsia" w:ascii="宋体" w:hAnsi="宋体" w:eastAsia="宋体" w:cs="宋体"/>
          <w:color w:val="auto"/>
          <w:sz w:val="44"/>
          <w:szCs w:val="44"/>
          <w:highlight w:val="none"/>
        </w:rPr>
        <w:t>第四章</w:t>
      </w:r>
      <w:r>
        <w:rPr>
          <w:rFonts w:hint="eastAsia" w:ascii="宋体" w:hAnsi="宋体" w:eastAsia="宋体" w:cs="宋体"/>
          <w:color w:val="auto"/>
          <w:sz w:val="44"/>
          <w:szCs w:val="44"/>
          <w:highlight w:val="none"/>
        </w:rPr>
        <w:tab/>
      </w:r>
      <w:r>
        <w:rPr>
          <w:rFonts w:hint="eastAsia" w:ascii="宋体" w:hAnsi="宋体" w:eastAsia="宋体" w:cs="宋体"/>
          <w:color w:val="auto"/>
          <w:sz w:val="44"/>
          <w:szCs w:val="44"/>
          <w:highlight w:val="none"/>
        </w:rPr>
        <w:t>响应文件格式</w:t>
      </w:r>
    </w:p>
    <w:p>
      <w:pPr>
        <w:spacing w:after="0"/>
        <w:jc w:val="center"/>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12"/>
        <w:rPr>
          <w:rFonts w:hint="eastAsia" w:ascii="宋体" w:hAnsi="宋体" w:eastAsia="宋体" w:cs="宋体"/>
          <w:color w:val="auto"/>
          <w:sz w:val="21"/>
          <w:szCs w:val="21"/>
          <w:highlight w:val="none"/>
        </w:rPr>
      </w:pPr>
    </w:p>
    <w:p>
      <w:pPr>
        <w:spacing w:before="62"/>
        <w:ind w:left="127" w:right="1" w:firstLine="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封面格式</w:t>
      </w: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spacing w:before="7"/>
        <w:rPr>
          <w:rFonts w:hint="eastAsia" w:ascii="宋体" w:hAnsi="宋体" w:eastAsia="宋体" w:cs="宋体"/>
          <w:b/>
          <w:color w:val="auto"/>
          <w:sz w:val="21"/>
          <w:szCs w:val="21"/>
          <w:highlight w:val="none"/>
        </w:rPr>
      </w:pPr>
    </w:p>
    <w:p>
      <w:pPr>
        <w:spacing w:before="0"/>
        <w:ind w:left="168"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32"/>
          <w:szCs w:val="32"/>
          <w:highlight w:val="none"/>
        </w:rPr>
        <w:t>响 应 文 件</w:t>
      </w:r>
    </w:p>
    <w:p>
      <w:pPr>
        <w:pStyle w:val="8"/>
        <w:spacing w:before="4"/>
        <w:rPr>
          <w:rFonts w:hint="eastAsia" w:ascii="宋体" w:hAnsi="宋体" w:eastAsia="宋体" w:cs="宋体"/>
          <w:b/>
          <w:color w:val="auto"/>
          <w:sz w:val="21"/>
          <w:szCs w:val="21"/>
          <w:highlight w:val="none"/>
        </w:rPr>
      </w:pPr>
    </w:p>
    <w:p>
      <w:pPr>
        <w:spacing w:before="0"/>
        <w:ind w:left="170" w:right="1"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（正/副本）</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spacing w:before="194" w:line="336" w:lineRule="auto"/>
        <w:ind w:left="2476" w:right="6226"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spacing w:before="194" w:line="336" w:lineRule="auto"/>
        <w:ind w:left="2476" w:right="6226" w:firstLine="0"/>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 xml:space="preserve"> 项目编号：</w:t>
      </w:r>
    </w:p>
    <w:p>
      <w:pPr>
        <w:pStyle w:val="8"/>
        <w:rPr>
          <w:rFonts w:hint="eastAsia" w:ascii="宋体" w:hAnsi="宋体" w:eastAsia="宋体" w:cs="宋体"/>
          <w:color w:val="auto"/>
          <w:sz w:val="21"/>
          <w:szCs w:val="21"/>
          <w:highlight w:val="yellow"/>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2"/>
        <w:rPr>
          <w:rFonts w:hint="eastAsia" w:ascii="宋体" w:hAnsi="宋体" w:eastAsia="宋体" w:cs="宋体"/>
          <w:color w:val="auto"/>
          <w:sz w:val="21"/>
          <w:szCs w:val="21"/>
          <w:highlight w:val="none"/>
        </w:rPr>
      </w:pPr>
    </w:p>
    <w:p>
      <w:pPr>
        <w:tabs>
          <w:tab w:val="left" w:pos="6676"/>
        </w:tabs>
        <w:spacing w:before="0"/>
        <w:ind w:left="1356"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w:t>
      </w:r>
      <w:r>
        <w:rPr>
          <w:rFonts w:hint="eastAsia" w:ascii="宋体" w:hAnsi="宋体" w:eastAsia="宋体" w:cs="宋体"/>
          <w:color w:val="auto"/>
          <w:spacing w:val="-3"/>
          <w:sz w:val="21"/>
          <w:szCs w:val="21"/>
          <w:highlight w:val="none"/>
        </w:rPr>
        <w:t>应</w:t>
      </w:r>
      <w:r>
        <w:rPr>
          <w:rFonts w:hint="eastAsia" w:ascii="宋体" w:hAnsi="宋体" w:eastAsia="宋体" w:cs="宋体"/>
          <w:color w:val="auto"/>
          <w:sz w:val="21"/>
          <w:szCs w:val="21"/>
          <w:highlight w:val="none"/>
        </w:rPr>
        <w:t>商：</w:t>
      </w:r>
      <w:r>
        <w:rPr>
          <w:rFonts w:hint="eastAsia" w:ascii="宋体" w:hAnsi="宋体" w:eastAsia="宋体" w:cs="宋体"/>
          <w:color w:val="auto"/>
          <w:sz w:val="21"/>
          <w:szCs w:val="21"/>
          <w:highlight w:val="none"/>
          <w:u w:val="thick"/>
        </w:rPr>
        <w:t xml:space="preserve"> </w:t>
      </w:r>
      <w:r>
        <w:rPr>
          <w:rFonts w:hint="eastAsia" w:ascii="宋体" w:hAnsi="宋体" w:eastAsia="宋体" w:cs="宋体"/>
          <w:color w:val="auto"/>
          <w:sz w:val="21"/>
          <w:szCs w:val="21"/>
          <w:highlight w:val="none"/>
          <w:u w:val="thick"/>
        </w:rPr>
        <w:tab/>
      </w:r>
      <w:r>
        <w:rPr>
          <w:rFonts w:hint="eastAsia" w:ascii="宋体" w:hAnsi="宋体" w:eastAsia="宋体" w:cs="宋体"/>
          <w:color w:val="auto"/>
          <w:sz w:val="21"/>
          <w:szCs w:val="21"/>
          <w:highlight w:val="none"/>
          <w:u w:val="thick"/>
        </w:rPr>
        <w:t>（</w:t>
      </w:r>
      <w:r>
        <w:rPr>
          <w:rFonts w:hint="eastAsia" w:ascii="宋体" w:hAnsi="宋体" w:eastAsia="宋体" w:cs="宋体"/>
          <w:color w:val="auto"/>
          <w:spacing w:val="-3"/>
          <w:sz w:val="21"/>
          <w:szCs w:val="21"/>
          <w:highlight w:val="none"/>
          <w:u w:val="thick"/>
        </w:rPr>
        <w:t>盖</w:t>
      </w:r>
      <w:r>
        <w:rPr>
          <w:rFonts w:hint="eastAsia" w:ascii="宋体" w:hAnsi="宋体" w:eastAsia="宋体" w:cs="宋体"/>
          <w:color w:val="auto"/>
          <w:sz w:val="21"/>
          <w:szCs w:val="21"/>
          <w:highlight w:val="none"/>
          <w:u w:val="thick"/>
        </w:rPr>
        <w:t>章）</w:t>
      </w:r>
    </w:p>
    <w:p>
      <w:pPr>
        <w:pStyle w:val="8"/>
        <w:spacing w:before="1"/>
        <w:rPr>
          <w:rFonts w:hint="eastAsia" w:ascii="宋体" w:hAnsi="宋体" w:eastAsia="宋体" w:cs="宋体"/>
          <w:color w:val="auto"/>
          <w:sz w:val="21"/>
          <w:szCs w:val="21"/>
          <w:highlight w:val="none"/>
        </w:rPr>
      </w:pPr>
    </w:p>
    <w:p>
      <w:pPr>
        <w:tabs>
          <w:tab w:val="left" w:pos="5181"/>
        </w:tabs>
        <w:spacing w:before="70"/>
        <w:ind w:left="0" w:right="25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w:t>
      </w:r>
      <w:r>
        <w:rPr>
          <w:rFonts w:hint="eastAsia" w:ascii="宋体" w:hAnsi="宋体" w:eastAsia="宋体" w:cs="宋体"/>
          <w:color w:val="auto"/>
          <w:spacing w:val="-3"/>
          <w:sz w:val="21"/>
          <w:szCs w:val="21"/>
          <w:highlight w:val="none"/>
        </w:rPr>
        <w:t>定</w:t>
      </w:r>
      <w:r>
        <w:rPr>
          <w:rFonts w:hint="eastAsia" w:ascii="宋体" w:hAnsi="宋体" w:eastAsia="宋体" w:cs="宋体"/>
          <w:color w:val="auto"/>
          <w:sz w:val="21"/>
          <w:szCs w:val="21"/>
          <w:highlight w:val="none"/>
        </w:rPr>
        <w:t>代表</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或其</w:t>
      </w:r>
      <w:r>
        <w:rPr>
          <w:rFonts w:hint="eastAsia" w:ascii="宋体" w:hAnsi="宋体" w:eastAsia="宋体" w:cs="宋体"/>
          <w:color w:val="auto"/>
          <w:spacing w:val="-3"/>
          <w:sz w:val="21"/>
          <w:szCs w:val="21"/>
          <w:highlight w:val="none"/>
        </w:rPr>
        <w:t>委</w:t>
      </w:r>
      <w:r>
        <w:rPr>
          <w:rFonts w:hint="eastAsia" w:ascii="宋体" w:hAnsi="宋体" w:eastAsia="宋体" w:cs="宋体"/>
          <w:color w:val="auto"/>
          <w:sz w:val="21"/>
          <w:szCs w:val="21"/>
          <w:highlight w:val="none"/>
        </w:rPr>
        <w:t>托代</w:t>
      </w:r>
      <w:r>
        <w:rPr>
          <w:rFonts w:hint="eastAsia" w:ascii="宋体" w:hAnsi="宋体" w:eastAsia="宋体" w:cs="宋体"/>
          <w:color w:val="auto"/>
          <w:spacing w:val="-3"/>
          <w:sz w:val="21"/>
          <w:szCs w:val="21"/>
          <w:highlight w:val="none"/>
        </w:rPr>
        <w:t>理</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u w:val="thick"/>
        </w:rPr>
        <w:t xml:space="preserve"> </w:t>
      </w:r>
      <w:r>
        <w:rPr>
          <w:rFonts w:hint="eastAsia" w:ascii="宋体" w:hAnsi="宋体" w:eastAsia="宋体" w:cs="宋体"/>
          <w:color w:val="auto"/>
          <w:sz w:val="21"/>
          <w:szCs w:val="21"/>
          <w:highlight w:val="none"/>
          <w:u w:val="thick"/>
        </w:rPr>
        <w:tab/>
      </w:r>
      <w:r>
        <w:rPr>
          <w:rFonts w:hint="eastAsia" w:ascii="宋体" w:hAnsi="宋体" w:eastAsia="宋体" w:cs="宋体"/>
          <w:color w:val="auto"/>
          <w:sz w:val="21"/>
          <w:szCs w:val="21"/>
          <w:highlight w:val="none"/>
          <w:u w:val="thick"/>
        </w:rPr>
        <w:t>（</w:t>
      </w:r>
      <w:r>
        <w:rPr>
          <w:rFonts w:hint="eastAsia" w:ascii="宋体" w:hAnsi="宋体" w:eastAsia="宋体" w:cs="宋体"/>
          <w:color w:val="auto"/>
          <w:spacing w:val="-3"/>
          <w:sz w:val="21"/>
          <w:szCs w:val="21"/>
          <w:highlight w:val="none"/>
          <w:u w:val="thick"/>
        </w:rPr>
        <w:t>签</w:t>
      </w:r>
      <w:r>
        <w:rPr>
          <w:rFonts w:hint="eastAsia" w:ascii="宋体" w:hAnsi="宋体" w:eastAsia="宋体" w:cs="宋体"/>
          <w:color w:val="auto"/>
          <w:sz w:val="21"/>
          <w:szCs w:val="21"/>
          <w:highlight w:val="none"/>
          <w:u w:val="thick"/>
        </w:rPr>
        <w:t>字或</w:t>
      </w:r>
      <w:r>
        <w:rPr>
          <w:rFonts w:hint="eastAsia" w:ascii="宋体" w:hAnsi="宋体" w:eastAsia="宋体" w:cs="宋体"/>
          <w:color w:val="auto"/>
          <w:spacing w:val="-3"/>
          <w:sz w:val="21"/>
          <w:szCs w:val="21"/>
          <w:highlight w:val="none"/>
          <w:u w:val="thick"/>
        </w:rPr>
        <w:t>盖</w:t>
      </w:r>
      <w:r>
        <w:rPr>
          <w:rFonts w:hint="eastAsia" w:ascii="宋体" w:hAnsi="宋体" w:eastAsia="宋体" w:cs="宋体"/>
          <w:color w:val="auto"/>
          <w:sz w:val="21"/>
          <w:szCs w:val="21"/>
          <w:highlight w:val="none"/>
          <w:u w:val="thick"/>
        </w:rPr>
        <w:t>章）</w:t>
      </w:r>
    </w:p>
    <w:p>
      <w:pPr>
        <w:pStyle w:val="8"/>
        <w:rPr>
          <w:rFonts w:hint="eastAsia" w:ascii="宋体" w:hAnsi="宋体" w:eastAsia="宋体" w:cs="宋体"/>
          <w:color w:val="auto"/>
          <w:sz w:val="21"/>
          <w:szCs w:val="21"/>
          <w:highlight w:val="none"/>
        </w:rPr>
      </w:pPr>
    </w:p>
    <w:p>
      <w:pPr>
        <w:tabs>
          <w:tab w:val="left" w:pos="1819"/>
          <w:tab w:val="left" w:pos="2939"/>
          <w:tab w:val="left" w:pos="3919"/>
        </w:tabs>
        <w:spacing w:before="62"/>
        <w:ind w:left="0" w:right="144"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w:t>
      </w:r>
      <w:r>
        <w:rPr>
          <w:rFonts w:hint="eastAsia" w:ascii="宋体" w:hAnsi="宋体" w:eastAsia="宋体" w:cs="宋体"/>
          <w:color w:val="auto"/>
          <w:spacing w:val="-3"/>
          <w:sz w:val="21"/>
          <w:szCs w:val="21"/>
          <w:highlight w:val="none"/>
        </w:rPr>
        <w:t>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thick"/>
        </w:rPr>
        <w:t xml:space="preserve"> </w:t>
      </w:r>
      <w:r>
        <w:rPr>
          <w:rFonts w:hint="eastAsia" w:ascii="宋体" w:hAnsi="宋体" w:eastAsia="宋体" w:cs="宋体"/>
          <w:color w:val="auto"/>
          <w:sz w:val="21"/>
          <w:szCs w:val="21"/>
          <w:highlight w:val="none"/>
          <w:u w:val="thick"/>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thick"/>
        </w:rPr>
        <w:t xml:space="preserve"> </w:t>
      </w:r>
      <w:r>
        <w:rPr>
          <w:rFonts w:hint="eastAsia" w:ascii="宋体" w:hAnsi="宋体" w:eastAsia="宋体" w:cs="宋体"/>
          <w:color w:val="auto"/>
          <w:sz w:val="21"/>
          <w:szCs w:val="21"/>
          <w:highlight w:val="none"/>
          <w:u w:val="thick"/>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thick"/>
        </w:rPr>
        <w:t xml:space="preserve"> </w:t>
      </w:r>
      <w:r>
        <w:rPr>
          <w:rFonts w:hint="eastAsia" w:ascii="宋体" w:hAnsi="宋体" w:eastAsia="宋体" w:cs="宋体"/>
          <w:color w:val="auto"/>
          <w:sz w:val="21"/>
          <w:szCs w:val="21"/>
          <w:highlight w:val="none"/>
          <w:u w:val="thick"/>
        </w:rPr>
        <w:tab/>
      </w:r>
      <w:r>
        <w:rPr>
          <w:rFonts w:hint="eastAsia" w:ascii="宋体" w:hAnsi="宋体" w:eastAsia="宋体" w:cs="宋体"/>
          <w:color w:val="auto"/>
          <w:sz w:val="21"/>
          <w:szCs w:val="21"/>
          <w:highlight w:val="none"/>
        </w:rPr>
        <w:t>日</w:t>
      </w:r>
    </w:p>
    <w:p>
      <w:pPr>
        <w:spacing w:after="0"/>
        <w:jc w:val="center"/>
        <w:rPr>
          <w:rFonts w:hint="eastAsia" w:ascii="宋体" w:hAnsi="宋体" w:eastAsia="宋体" w:cs="宋体"/>
          <w:color w:val="auto"/>
          <w:sz w:val="21"/>
          <w:szCs w:val="21"/>
          <w:highlight w:val="none"/>
        </w:rPr>
        <w:sectPr>
          <w:headerReference r:id="rId13" w:type="default"/>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10"/>
        <w:rPr>
          <w:rFonts w:hint="eastAsia" w:ascii="宋体" w:hAnsi="宋体" w:eastAsia="宋体" w:cs="宋体"/>
          <w:color w:val="auto"/>
          <w:sz w:val="21"/>
          <w:szCs w:val="21"/>
          <w:highlight w:val="none"/>
        </w:rPr>
      </w:pPr>
    </w:p>
    <w:p>
      <w:pPr>
        <w:tabs>
          <w:tab w:val="left" w:pos="805"/>
        </w:tabs>
        <w:spacing w:before="54"/>
        <w:ind w:left="164" w:right="0"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目</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录</w:t>
      </w:r>
    </w:p>
    <w:p>
      <w:pPr>
        <w:pStyle w:val="8"/>
        <w:rPr>
          <w:rFonts w:hint="eastAsia" w:ascii="宋体" w:hAnsi="宋体" w:eastAsia="宋体" w:cs="宋体"/>
          <w:b/>
          <w:color w:val="auto"/>
          <w:sz w:val="21"/>
          <w:szCs w:val="21"/>
          <w:highlight w:val="none"/>
        </w:rPr>
      </w:pPr>
    </w:p>
    <w:p>
      <w:pPr>
        <w:pStyle w:val="8"/>
        <w:spacing w:before="8"/>
        <w:rPr>
          <w:rFonts w:hint="eastAsia" w:ascii="宋体" w:hAnsi="宋体" w:eastAsia="宋体" w:cs="宋体"/>
          <w:b/>
          <w:color w:val="auto"/>
          <w:sz w:val="21"/>
          <w:szCs w:val="21"/>
          <w:highlight w:val="none"/>
        </w:rPr>
      </w:pPr>
    </w:p>
    <w:p>
      <w:pPr>
        <w:pStyle w:val="8"/>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（一）磋商报价函</w:t>
      </w:r>
    </w:p>
    <w:p>
      <w:pPr>
        <w:pStyle w:val="8"/>
        <w:spacing w:before="15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（二）磋商报价表</w:t>
      </w:r>
    </w:p>
    <w:p>
      <w:pPr>
        <w:pStyle w:val="8"/>
        <w:spacing w:before="151"/>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（三）投标声明书</w:t>
      </w:r>
    </w:p>
    <w:p>
      <w:pPr>
        <w:pStyle w:val="8"/>
        <w:spacing w:before="15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（四）保密承诺书</w:t>
      </w:r>
    </w:p>
    <w:p>
      <w:pPr>
        <w:pStyle w:val="8"/>
        <w:spacing w:before="154"/>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（五）资格证明文件</w:t>
      </w:r>
    </w:p>
    <w:p>
      <w:pPr>
        <w:pStyle w:val="8"/>
        <w:spacing w:before="151"/>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（六）拟投入本项目的人员配置情况表</w:t>
      </w:r>
    </w:p>
    <w:p>
      <w:pPr>
        <w:pStyle w:val="8"/>
        <w:spacing w:before="15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（七）项目实施方案、计划</w:t>
      </w:r>
    </w:p>
    <w:p>
      <w:pPr>
        <w:pStyle w:val="8"/>
        <w:spacing w:before="15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（八）服务质量承诺书</w:t>
      </w:r>
    </w:p>
    <w:p>
      <w:pPr>
        <w:pStyle w:val="8"/>
        <w:spacing w:before="151"/>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（九）磋商保证金交纳证明</w:t>
      </w:r>
    </w:p>
    <w:p>
      <w:pPr>
        <w:pStyle w:val="8"/>
        <w:spacing w:before="15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年以来完成过类似业绩证明（如有，请提供）</w:t>
      </w:r>
    </w:p>
    <w:p>
      <w:pPr>
        <w:pStyle w:val="8"/>
        <w:spacing w:before="154"/>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（十一）供应商获得的相关信誉与荣誉证明材料（如有，请提供）</w:t>
      </w:r>
    </w:p>
    <w:p>
      <w:pPr>
        <w:pStyle w:val="8"/>
        <w:spacing w:before="151" w:line="720" w:lineRule="auto"/>
        <w:ind w:left="998" w:right="33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（十二）供应商认为需要提供的材料（如有，请提供） </w:t>
      </w:r>
    </w:p>
    <w:p>
      <w:pPr>
        <w:pStyle w:val="8"/>
        <w:spacing w:before="151" w:line="720" w:lineRule="auto"/>
        <w:ind w:left="998" w:right="33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备注：上述资料需装订成册。</w:t>
      </w:r>
    </w:p>
    <w:p>
      <w:pPr>
        <w:spacing w:after="0" w:line="720" w:lineRule="auto"/>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spacing w:before="4"/>
        <w:rPr>
          <w:rFonts w:hint="eastAsia" w:ascii="宋体" w:hAnsi="宋体" w:eastAsia="宋体" w:cs="宋体"/>
          <w:color w:val="auto"/>
          <w:sz w:val="21"/>
          <w:szCs w:val="21"/>
          <w:highlight w:val="none"/>
        </w:rPr>
      </w:pPr>
    </w:p>
    <w:p>
      <w:pPr>
        <w:spacing w:before="54"/>
        <w:ind w:left="168"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一、磋 商 报 价 函</w:t>
      </w:r>
    </w:p>
    <w:p>
      <w:pPr>
        <w:pStyle w:val="8"/>
        <w:rPr>
          <w:rFonts w:hint="eastAsia" w:ascii="宋体" w:hAnsi="宋体" w:eastAsia="宋体" w:cs="宋体"/>
          <w:b/>
          <w:color w:val="auto"/>
          <w:sz w:val="21"/>
          <w:szCs w:val="21"/>
          <w:highlight w:val="none"/>
        </w:rPr>
      </w:pPr>
    </w:p>
    <w:p>
      <w:pPr>
        <w:pStyle w:val="8"/>
        <w:spacing w:before="2"/>
        <w:rPr>
          <w:rFonts w:hint="eastAsia" w:ascii="宋体" w:hAnsi="宋体" w:eastAsia="宋体" w:cs="宋体"/>
          <w:b/>
          <w:color w:val="auto"/>
          <w:sz w:val="21"/>
          <w:szCs w:val="21"/>
          <w:highlight w:val="none"/>
        </w:rPr>
      </w:pPr>
    </w:p>
    <w:p>
      <w:pPr>
        <w:tabs>
          <w:tab w:val="left" w:pos="1358"/>
        </w:tabs>
        <w:spacing w:before="0"/>
        <w:ind w:left="518" w:right="0" w:firstLine="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b/>
          <w:color w:val="auto"/>
          <w:sz w:val="21"/>
          <w:szCs w:val="21"/>
          <w:highlight w:val="none"/>
          <w:u w:val="single"/>
        </w:rPr>
        <w:t>（采购人）</w:t>
      </w:r>
    </w:p>
    <w:p>
      <w:pPr>
        <w:pStyle w:val="8"/>
        <w:tabs>
          <w:tab w:val="left" w:pos="3158"/>
          <w:tab w:val="left" w:pos="7036"/>
          <w:tab w:val="left" w:pos="7478"/>
          <w:tab w:val="left" w:pos="8918"/>
        </w:tabs>
        <w:spacing w:before="113" w:line="328" w:lineRule="auto"/>
        <w:ind w:left="518" w:right="226"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项目磋商文件</w:t>
      </w:r>
      <w:r>
        <w:rPr>
          <w:rFonts w:hint="eastAsia" w:ascii="宋体" w:hAnsi="宋体" w:eastAsia="宋体" w:cs="宋体"/>
          <w:color w:val="auto"/>
          <w:spacing w:val="-82"/>
          <w:sz w:val="21"/>
          <w:szCs w:val="21"/>
          <w:highlight w:val="none"/>
        </w:rPr>
        <w:t>，</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80"/>
          <w:sz w:val="21"/>
          <w:szCs w:val="21"/>
          <w:highlight w:val="none"/>
        </w:rPr>
        <w:t>，</w:t>
      </w:r>
      <w:r>
        <w:rPr>
          <w:rFonts w:hint="eastAsia" w:ascii="宋体" w:hAnsi="宋体" w:eastAsia="宋体" w:cs="宋体"/>
          <w:color w:val="auto"/>
          <w:sz w:val="21"/>
          <w:szCs w:val="21"/>
          <w:highlight w:val="none"/>
        </w:rPr>
        <w:t>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姓名</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经正式授权并代表供应商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供应商单位名称</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提交响应文件正本一份，副本</w:t>
      </w:r>
      <w:r>
        <w:rPr>
          <w:rFonts w:hint="eastAsia" w:cs="宋体"/>
          <w:color w:val="auto"/>
          <w:sz w:val="21"/>
          <w:szCs w:val="21"/>
          <w:highlight w:val="none"/>
          <w:lang w:eastAsia="zh-CN"/>
        </w:rPr>
        <w:t>四</w:t>
      </w:r>
      <w:r>
        <w:rPr>
          <w:rFonts w:hint="eastAsia" w:ascii="宋体" w:hAnsi="宋体" w:eastAsia="宋体" w:cs="宋体"/>
          <w:color w:val="auto"/>
          <w:sz w:val="21"/>
          <w:szCs w:val="21"/>
          <w:highlight w:val="none"/>
        </w:rPr>
        <w:t>份。</w:t>
      </w:r>
    </w:p>
    <w:p>
      <w:pPr>
        <w:pStyle w:val="8"/>
        <w:spacing w:line="304" w:lineRule="exact"/>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据此函，签字代表宣布同意如下：</w:t>
      </w:r>
    </w:p>
    <w:p>
      <w:pPr>
        <w:pStyle w:val="19"/>
        <w:numPr>
          <w:ilvl w:val="0"/>
          <w:numId w:val="18"/>
        </w:numPr>
        <w:tabs>
          <w:tab w:val="left" w:pos="1612"/>
        </w:tabs>
        <w:spacing w:before="112"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按竞争性磋商磋商文件和磋商报价表，磋商报价为：</w:t>
      </w:r>
    </w:p>
    <w:p>
      <w:pPr>
        <w:pStyle w:val="8"/>
        <w:tabs>
          <w:tab w:val="left" w:pos="3638"/>
          <w:tab w:val="left" w:pos="5558"/>
          <w:tab w:val="left" w:pos="9638"/>
        </w:tabs>
        <w:spacing w:before="11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），服务期：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pPr>
        <w:pStyle w:val="19"/>
        <w:numPr>
          <w:ilvl w:val="0"/>
          <w:numId w:val="18"/>
        </w:numPr>
        <w:tabs>
          <w:tab w:val="left" w:pos="1612"/>
        </w:tabs>
        <w:spacing w:before="112" w:after="0" w:line="328" w:lineRule="auto"/>
        <w:ind w:left="518" w:right="346"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一旦我方成交，我方保证按采购人要求完成本服务采购范围内所有内容，且通</w:t>
      </w:r>
      <w:r>
        <w:rPr>
          <w:rFonts w:hint="eastAsia" w:ascii="宋体" w:hAnsi="宋体" w:eastAsia="宋体" w:cs="宋体"/>
          <w:color w:val="auto"/>
          <w:sz w:val="21"/>
          <w:szCs w:val="21"/>
          <w:highlight w:val="none"/>
        </w:rPr>
        <w:t>过相关部门审批，并在合同协议条款中规定的预计竣工日期完成和交付全部成果。</w:t>
      </w:r>
    </w:p>
    <w:p>
      <w:pPr>
        <w:pStyle w:val="19"/>
        <w:numPr>
          <w:ilvl w:val="0"/>
          <w:numId w:val="18"/>
        </w:numPr>
        <w:tabs>
          <w:tab w:val="left" w:pos="1612"/>
        </w:tabs>
        <w:spacing w:before="0" w:after="0" w:line="328" w:lineRule="auto"/>
        <w:ind w:left="518" w:right="346"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我们已详细审查全部磋商文件，包括修改文件</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如有</w:t>
      </w:r>
      <w:r>
        <w:rPr>
          <w:rFonts w:hint="eastAsia" w:ascii="宋体" w:hAnsi="宋体" w:eastAsia="宋体" w:cs="宋体"/>
          <w:color w:val="auto"/>
          <w:spacing w:val="-3"/>
          <w:sz w:val="21"/>
          <w:szCs w:val="21"/>
          <w:highlight w:val="none"/>
        </w:rPr>
        <w:t>）和有关附件，将自行承</w:t>
      </w:r>
      <w:r>
        <w:rPr>
          <w:rFonts w:hint="eastAsia" w:ascii="宋体" w:hAnsi="宋体" w:eastAsia="宋体" w:cs="宋体"/>
          <w:color w:val="auto"/>
          <w:sz w:val="21"/>
          <w:szCs w:val="21"/>
          <w:highlight w:val="none"/>
        </w:rPr>
        <w:t>担因对全部磋商文件理解不正确或误解而产生的相应后果。</w:t>
      </w:r>
    </w:p>
    <w:p>
      <w:pPr>
        <w:pStyle w:val="19"/>
        <w:numPr>
          <w:ilvl w:val="0"/>
          <w:numId w:val="18"/>
        </w:numPr>
        <w:tabs>
          <w:tab w:val="left" w:pos="1612"/>
        </w:tabs>
        <w:spacing w:before="0" w:after="0" w:line="305" w:lineRule="exact"/>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我们同意在供应商须知规定的截标日期起遵循本响应文件，并在供应商须知第</w:t>
      </w:r>
    </w:p>
    <w:p>
      <w:pPr>
        <w:pStyle w:val="8"/>
        <w:spacing w:before="110"/>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条规定的竞标有效期满之前均具有约束力，并有可能成交。</w:t>
      </w:r>
    </w:p>
    <w:p>
      <w:pPr>
        <w:pStyle w:val="19"/>
        <w:numPr>
          <w:ilvl w:val="0"/>
          <w:numId w:val="18"/>
        </w:numPr>
        <w:tabs>
          <w:tab w:val="left" w:pos="1612"/>
        </w:tabs>
        <w:spacing w:before="113" w:after="0" w:line="240" w:lineRule="auto"/>
        <w:ind w:left="1611" w:right="0" w:hanging="614"/>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如果在截标后规定的竞标有效期内撤回竞标，我们的磋商保证金可被贵方没收。</w:t>
      </w:r>
    </w:p>
    <w:p>
      <w:pPr>
        <w:pStyle w:val="19"/>
        <w:numPr>
          <w:ilvl w:val="0"/>
          <w:numId w:val="18"/>
        </w:numPr>
        <w:tabs>
          <w:tab w:val="left" w:pos="1612"/>
        </w:tabs>
        <w:spacing w:before="112" w:after="0" w:line="328" w:lineRule="auto"/>
        <w:ind w:left="518" w:right="346"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我们同意提供按照贵方可能要求的与本竞标有关的一切数据或资料，完全理解</w:t>
      </w:r>
      <w:r>
        <w:rPr>
          <w:rFonts w:hint="eastAsia" w:ascii="宋体" w:hAnsi="宋体" w:eastAsia="宋体" w:cs="宋体"/>
          <w:color w:val="auto"/>
          <w:sz w:val="21"/>
          <w:szCs w:val="21"/>
          <w:highlight w:val="none"/>
        </w:rPr>
        <w:t>贵方不一定要接受最低的报价或收到的任何竞标。</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2"/>
        <w:rPr>
          <w:rFonts w:hint="eastAsia" w:ascii="宋体" w:hAnsi="宋体" w:eastAsia="宋体" w:cs="宋体"/>
          <w:color w:val="auto"/>
          <w:sz w:val="21"/>
          <w:szCs w:val="21"/>
          <w:highlight w:val="none"/>
        </w:rPr>
      </w:pPr>
    </w:p>
    <w:p>
      <w:pPr>
        <w:pStyle w:val="8"/>
        <w:spacing w:line="328" w:lineRule="auto"/>
        <w:ind w:left="938" w:right="53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与本次采购有关的正式通讯地址为： 供应商名称：</w:t>
      </w:r>
    </w:p>
    <w:p>
      <w:pPr>
        <w:pStyle w:val="8"/>
        <w:spacing w:line="305" w:lineRule="exact"/>
        <w:ind w:left="9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p>
      <w:pPr>
        <w:pStyle w:val="8"/>
        <w:tabs>
          <w:tab w:val="left" w:pos="4538"/>
        </w:tabs>
        <w:spacing w:before="112" w:line="328" w:lineRule="auto"/>
        <w:ind w:left="938" w:right="46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（签字</w:t>
      </w:r>
      <w:r>
        <w:rPr>
          <w:rFonts w:hint="eastAsia" w:ascii="宋体" w:hAnsi="宋体" w:eastAsia="宋体" w:cs="宋体"/>
          <w:color w:val="auto"/>
          <w:spacing w:val="-17"/>
          <w:sz w:val="21"/>
          <w:szCs w:val="21"/>
          <w:highlight w:val="none"/>
          <w:u w:val="single"/>
        </w:rPr>
        <w:t xml:space="preserve">） </w:t>
      </w:r>
      <w:r>
        <w:rPr>
          <w:rFonts w:hint="eastAsia" w:ascii="宋体" w:hAnsi="宋体" w:eastAsia="宋体" w:cs="宋体"/>
          <w:color w:val="auto"/>
          <w:sz w:val="21"/>
          <w:szCs w:val="21"/>
          <w:highlight w:val="none"/>
        </w:rPr>
        <w:t>邮政编码：</w:t>
      </w:r>
    </w:p>
    <w:p>
      <w:pPr>
        <w:pStyle w:val="8"/>
        <w:tabs>
          <w:tab w:val="left" w:pos="1658"/>
        </w:tabs>
        <w:spacing w:line="305" w:lineRule="exact"/>
        <w:ind w:left="9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话：</w:t>
      </w:r>
    </w:p>
    <w:p>
      <w:pPr>
        <w:pStyle w:val="8"/>
        <w:tabs>
          <w:tab w:val="left" w:pos="1658"/>
        </w:tabs>
        <w:spacing w:before="113"/>
        <w:ind w:left="9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p>
      <w:pPr>
        <w:pStyle w:val="8"/>
        <w:tabs>
          <w:tab w:val="left" w:pos="1658"/>
        </w:tabs>
        <w:spacing w:before="112"/>
        <w:ind w:left="9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期：</w:t>
      </w:r>
    </w:p>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spacing w:before="219"/>
        <w:ind w:left="165"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二、磋商报价表</w:t>
      </w: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spacing w:before="11"/>
        <w:rPr>
          <w:rFonts w:hint="eastAsia" w:ascii="宋体" w:hAnsi="宋体" w:eastAsia="宋体" w:cs="宋体"/>
          <w:b/>
          <w:color w:val="auto"/>
          <w:sz w:val="21"/>
          <w:szCs w:val="21"/>
          <w:highlight w:val="none"/>
        </w:rPr>
      </w:pPr>
    </w:p>
    <w:tbl>
      <w:tblPr>
        <w:tblStyle w:val="16"/>
        <w:tblW w:w="9134" w:type="dxa"/>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774"/>
        <w:gridCol w:w="907"/>
        <w:gridCol w:w="2835"/>
        <w:gridCol w:w="1561"/>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821" w:type="dxa"/>
          </w:tcPr>
          <w:p>
            <w:pPr>
              <w:pStyle w:val="20"/>
              <w:spacing w:before="11"/>
              <w:rPr>
                <w:rFonts w:hint="eastAsia" w:ascii="宋体" w:hAnsi="宋体" w:eastAsia="宋体" w:cs="宋体"/>
                <w:b/>
                <w:color w:val="auto"/>
                <w:sz w:val="21"/>
                <w:szCs w:val="21"/>
                <w:highlight w:val="none"/>
              </w:rPr>
            </w:pPr>
          </w:p>
          <w:p>
            <w:pPr>
              <w:pStyle w:val="20"/>
              <w:ind w:left="178" w:right="17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74" w:type="dxa"/>
          </w:tcPr>
          <w:p>
            <w:pPr>
              <w:pStyle w:val="20"/>
              <w:spacing w:before="11"/>
              <w:rPr>
                <w:rFonts w:hint="eastAsia" w:ascii="宋体" w:hAnsi="宋体" w:eastAsia="宋体" w:cs="宋体"/>
                <w:b/>
                <w:color w:val="auto"/>
                <w:sz w:val="21"/>
                <w:szCs w:val="21"/>
                <w:highlight w:val="none"/>
              </w:rPr>
            </w:pPr>
          </w:p>
          <w:p>
            <w:pPr>
              <w:pStyle w:val="20"/>
              <w:ind w:left="46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907" w:type="dxa"/>
          </w:tcPr>
          <w:p>
            <w:pPr>
              <w:pStyle w:val="20"/>
              <w:spacing w:before="11"/>
              <w:rPr>
                <w:rFonts w:hint="eastAsia" w:ascii="宋体" w:hAnsi="宋体" w:eastAsia="宋体" w:cs="宋体"/>
                <w:b/>
                <w:color w:val="auto"/>
                <w:sz w:val="21"/>
                <w:szCs w:val="21"/>
                <w:highlight w:val="none"/>
              </w:rPr>
            </w:pPr>
          </w:p>
          <w:p>
            <w:pPr>
              <w:pStyle w:val="20"/>
              <w:spacing w:line="242" w:lineRule="auto"/>
              <w:ind w:left="239" w:right="-1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单位及数量</w:t>
            </w:r>
          </w:p>
        </w:tc>
        <w:tc>
          <w:tcPr>
            <w:tcW w:w="2835" w:type="dxa"/>
          </w:tcPr>
          <w:p>
            <w:pPr>
              <w:pStyle w:val="20"/>
              <w:spacing w:before="11"/>
              <w:rPr>
                <w:rFonts w:hint="eastAsia" w:ascii="宋体" w:hAnsi="宋体" w:eastAsia="宋体" w:cs="宋体"/>
                <w:b/>
                <w:color w:val="auto"/>
                <w:sz w:val="21"/>
                <w:szCs w:val="21"/>
                <w:highlight w:val="none"/>
              </w:rPr>
            </w:pPr>
          </w:p>
          <w:p>
            <w:pPr>
              <w:pStyle w:val="20"/>
              <w:spacing w:before="1" w:line="242" w:lineRule="auto"/>
              <w:ind w:left="405" w:right="1054" w:hanging="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w:t>
            </w:r>
          </w:p>
        </w:tc>
        <w:tc>
          <w:tcPr>
            <w:tcW w:w="1561" w:type="dxa"/>
          </w:tcPr>
          <w:p>
            <w:pPr>
              <w:pStyle w:val="20"/>
              <w:spacing w:before="11"/>
              <w:rPr>
                <w:rFonts w:hint="eastAsia" w:ascii="宋体" w:hAnsi="宋体" w:eastAsia="宋体" w:cs="宋体"/>
                <w:b/>
                <w:color w:val="auto"/>
                <w:sz w:val="21"/>
                <w:szCs w:val="21"/>
                <w:highlight w:val="none"/>
              </w:rPr>
            </w:pPr>
          </w:p>
          <w:p>
            <w:pPr>
              <w:pStyle w:val="20"/>
              <w:ind w:left="10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磋商报价（</w:t>
            </w:r>
            <w:r>
              <w:rPr>
                <w:rFonts w:hint="eastAsia" w:ascii="宋体" w:hAnsi="宋体" w:eastAsia="宋体" w:cs="宋体"/>
                <w:color w:val="auto"/>
                <w:spacing w:val="-5"/>
                <w:sz w:val="21"/>
                <w:szCs w:val="21"/>
                <w:highlight w:val="none"/>
              </w:rPr>
              <w:t>元</w:t>
            </w:r>
            <w:r>
              <w:rPr>
                <w:rFonts w:hint="eastAsia" w:ascii="宋体" w:hAnsi="宋体" w:eastAsia="宋体" w:cs="宋体"/>
                <w:color w:val="auto"/>
                <w:sz w:val="21"/>
                <w:szCs w:val="21"/>
                <w:highlight w:val="none"/>
              </w:rPr>
              <w:t>）</w:t>
            </w:r>
          </w:p>
        </w:tc>
        <w:tc>
          <w:tcPr>
            <w:tcW w:w="1236" w:type="dxa"/>
          </w:tcPr>
          <w:p>
            <w:pPr>
              <w:pStyle w:val="20"/>
              <w:spacing w:before="11"/>
              <w:rPr>
                <w:rFonts w:hint="eastAsia" w:ascii="宋体" w:hAnsi="宋体" w:eastAsia="宋体" w:cs="宋体"/>
                <w:b/>
                <w:color w:val="auto"/>
                <w:sz w:val="21"/>
                <w:szCs w:val="21"/>
                <w:highlight w:val="none"/>
              </w:rPr>
            </w:pPr>
          </w:p>
          <w:p>
            <w:pPr>
              <w:pStyle w:val="20"/>
              <w:ind w:left="4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821" w:type="dxa"/>
          </w:tcPr>
          <w:p>
            <w:pPr>
              <w:pStyle w:val="20"/>
              <w:spacing w:before="75"/>
              <w:ind w:left="8"/>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1</w:t>
            </w:r>
          </w:p>
        </w:tc>
        <w:tc>
          <w:tcPr>
            <w:tcW w:w="1774" w:type="dxa"/>
          </w:tcPr>
          <w:p>
            <w:pPr>
              <w:pStyle w:val="20"/>
              <w:rPr>
                <w:rFonts w:hint="eastAsia" w:ascii="宋体" w:hAnsi="宋体" w:eastAsia="宋体" w:cs="宋体"/>
                <w:color w:val="auto"/>
                <w:sz w:val="21"/>
                <w:szCs w:val="21"/>
                <w:highlight w:val="none"/>
              </w:rPr>
            </w:pPr>
          </w:p>
        </w:tc>
        <w:tc>
          <w:tcPr>
            <w:tcW w:w="907" w:type="dxa"/>
          </w:tcPr>
          <w:p>
            <w:pPr>
              <w:pStyle w:val="20"/>
              <w:rPr>
                <w:rFonts w:hint="eastAsia" w:ascii="宋体" w:hAnsi="宋体" w:eastAsia="宋体" w:cs="宋体"/>
                <w:color w:val="auto"/>
                <w:sz w:val="21"/>
                <w:szCs w:val="21"/>
                <w:highlight w:val="none"/>
              </w:rPr>
            </w:pPr>
          </w:p>
        </w:tc>
        <w:tc>
          <w:tcPr>
            <w:tcW w:w="2835" w:type="dxa"/>
          </w:tcPr>
          <w:p>
            <w:pPr>
              <w:pStyle w:val="20"/>
              <w:rPr>
                <w:rFonts w:hint="eastAsia" w:ascii="宋体" w:hAnsi="宋体" w:eastAsia="宋体" w:cs="宋体"/>
                <w:color w:val="auto"/>
                <w:sz w:val="21"/>
                <w:szCs w:val="21"/>
                <w:highlight w:val="none"/>
              </w:rPr>
            </w:pPr>
          </w:p>
        </w:tc>
        <w:tc>
          <w:tcPr>
            <w:tcW w:w="1561" w:type="dxa"/>
          </w:tcPr>
          <w:p>
            <w:pPr>
              <w:pStyle w:val="20"/>
              <w:rPr>
                <w:rFonts w:hint="eastAsia" w:ascii="宋体" w:hAnsi="宋体" w:eastAsia="宋体" w:cs="宋体"/>
                <w:color w:val="auto"/>
                <w:sz w:val="21"/>
                <w:szCs w:val="21"/>
                <w:highlight w:val="none"/>
              </w:rPr>
            </w:pPr>
          </w:p>
        </w:tc>
        <w:tc>
          <w:tcPr>
            <w:tcW w:w="1236" w:type="dxa"/>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821" w:type="dxa"/>
          </w:tcPr>
          <w:p>
            <w:pPr>
              <w:pStyle w:val="20"/>
              <w:spacing w:before="90"/>
              <w:ind w:left="8"/>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2</w:t>
            </w:r>
          </w:p>
        </w:tc>
        <w:tc>
          <w:tcPr>
            <w:tcW w:w="1774" w:type="dxa"/>
          </w:tcPr>
          <w:p>
            <w:pPr>
              <w:pStyle w:val="20"/>
              <w:rPr>
                <w:rFonts w:hint="eastAsia" w:ascii="宋体" w:hAnsi="宋体" w:eastAsia="宋体" w:cs="宋体"/>
                <w:color w:val="auto"/>
                <w:sz w:val="21"/>
                <w:szCs w:val="21"/>
                <w:highlight w:val="none"/>
              </w:rPr>
            </w:pPr>
          </w:p>
        </w:tc>
        <w:tc>
          <w:tcPr>
            <w:tcW w:w="907" w:type="dxa"/>
          </w:tcPr>
          <w:p>
            <w:pPr>
              <w:pStyle w:val="20"/>
              <w:rPr>
                <w:rFonts w:hint="eastAsia" w:ascii="宋体" w:hAnsi="宋体" w:eastAsia="宋体" w:cs="宋体"/>
                <w:color w:val="auto"/>
                <w:sz w:val="21"/>
                <w:szCs w:val="21"/>
                <w:highlight w:val="none"/>
              </w:rPr>
            </w:pPr>
          </w:p>
        </w:tc>
        <w:tc>
          <w:tcPr>
            <w:tcW w:w="2835" w:type="dxa"/>
          </w:tcPr>
          <w:p>
            <w:pPr>
              <w:pStyle w:val="20"/>
              <w:rPr>
                <w:rFonts w:hint="eastAsia" w:ascii="宋体" w:hAnsi="宋体" w:eastAsia="宋体" w:cs="宋体"/>
                <w:color w:val="auto"/>
                <w:sz w:val="21"/>
                <w:szCs w:val="21"/>
                <w:highlight w:val="none"/>
              </w:rPr>
            </w:pPr>
          </w:p>
        </w:tc>
        <w:tc>
          <w:tcPr>
            <w:tcW w:w="1561" w:type="dxa"/>
          </w:tcPr>
          <w:p>
            <w:pPr>
              <w:pStyle w:val="20"/>
              <w:rPr>
                <w:rFonts w:hint="eastAsia" w:ascii="宋体" w:hAnsi="宋体" w:eastAsia="宋体" w:cs="宋体"/>
                <w:color w:val="auto"/>
                <w:sz w:val="21"/>
                <w:szCs w:val="21"/>
                <w:highlight w:val="none"/>
              </w:rPr>
            </w:pPr>
          </w:p>
        </w:tc>
        <w:tc>
          <w:tcPr>
            <w:tcW w:w="1236" w:type="dxa"/>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821" w:type="dxa"/>
          </w:tcPr>
          <w:p>
            <w:pPr>
              <w:pStyle w:val="20"/>
              <w:spacing w:before="85"/>
              <w:ind w:left="7"/>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p>
        </w:tc>
        <w:tc>
          <w:tcPr>
            <w:tcW w:w="1774" w:type="dxa"/>
          </w:tcPr>
          <w:p>
            <w:pPr>
              <w:pStyle w:val="20"/>
              <w:rPr>
                <w:rFonts w:hint="eastAsia" w:ascii="宋体" w:hAnsi="宋体" w:eastAsia="宋体" w:cs="宋体"/>
                <w:color w:val="auto"/>
                <w:sz w:val="21"/>
                <w:szCs w:val="21"/>
                <w:highlight w:val="none"/>
              </w:rPr>
            </w:pPr>
          </w:p>
        </w:tc>
        <w:tc>
          <w:tcPr>
            <w:tcW w:w="907" w:type="dxa"/>
          </w:tcPr>
          <w:p>
            <w:pPr>
              <w:pStyle w:val="20"/>
              <w:rPr>
                <w:rFonts w:hint="eastAsia" w:ascii="宋体" w:hAnsi="宋体" w:eastAsia="宋体" w:cs="宋体"/>
                <w:color w:val="auto"/>
                <w:sz w:val="21"/>
                <w:szCs w:val="21"/>
                <w:highlight w:val="none"/>
              </w:rPr>
            </w:pPr>
          </w:p>
        </w:tc>
        <w:tc>
          <w:tcPr>
            <w:tcW w:w="2835" w:type="dxa"/>
          </w:tcPr>
          <w:p>
            <w:pPr>
              <w:pStyle w:val="20"/>
              <w:rPr>
                <w:rFonts w:hint="eastAsia" w:ascii="宋体" w:hAnsi="宋体" w:eastAsia="宋体" w:cs="宋体"/>
                <w:color w:val="auto"/>
                <w:sz w:val="21"/>
                <w:szCs w:val="21"/>
                <w:highlight w:val="none"/>
              </w:rPr>
            </w:pPr>
          </w:p>
        </w:tc>
        <w:tc>
          <w:tcPr>
            <w:tcW w:w="1561" w:type="dxa"/>
          </w:tcPr>
          <w:p>
            <w:pPr>
              <w:pStyle w:val="20"/>
              <w:rPr>
                <w:rFonts w:hint="eastAsia" w:ascii="宋体" w:hAnsi="宋体" w:eastAsia="宋体" w:cs="宋体"/>
                <w:color w:val="auto"/>
                <w:sz w:val="21"/>
                <w:szCs w:val="21"/>
                <w:highlight w:val="none"/>
              </w:rPr>
            </w:pPr>
          </w:p>
        </w:tc>
        <w:tc>
          <w:tcPr>
            <w:tcW w:w="1236" w:type="dxa"/>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134" w:type="dxa"/>
            <w:gridSpan w:val="6"/>
          </w:tcPr>
          <w:p>
            <w:pPr>
              <w:pStyle w:val="20"/>
              <w:spacing w:before="2"/>
              <w:rPr>
                <w:rFonts w:hint="eastAsia" w:ascii="宋体" w:hAnsi="宋体" w:eastAsia="宋体" w:cs="宋体"/>
                <w:b/>
                <w:color w:val="auto"/>
                <w:sz w:val="21"/>
                <w:szCs w:val="21"/>
                <w:highlight w:val="none"/>
              </w:rPr>
            </w:pPr>
          </w:p>
          <w:p>
            <w:pPr>
              <w:pStyle w:val="20"/>
              <w:tabs>
                <w:tab w:val="left" w:pos="5781"/>
                <w:tab w:val="left" w:pos="8224"/>
              </w:tabs>
              <w:spacing w:before="1"/>
              <w:ind w:left="105"/>
              <w:rPr>
                <w:rFonts w:hint="eastAsia" w:ascii="宋体" w:hAnsi="宋体" w:eastAsia="宋体" w:cs="宋体"/>
                <w:color w:val="auto"/>
                <w:sz w:val="21"/>
                <w:szCs w:val="21"/>
                <w:highlight w:val="none"/>
              </w:rPr>
            </w:pPr>
            <w:r>
              <w:rPr>
                <w:rFonts w:hint="eastAsia" w:ascii="宋体" w:hAnsi="宋体" w:eastAsia="宋体" w:cs="宋体"/>
                <w:color w:val="auto"/>
                <w:spacing w:val="-25"/>
                <w:sz w:val="21"/>
                <w:szCs w:val="21"/>
                <w:highlight w:val="none"/>
              </w:rPr>
              <w:t>总</w:t>
            </w:r>
            <w:r>
              <w:rPr>
                <w:rFonts w:hint="eastAsia" w:ascii="宋体" w:hAnsi="宋体" w:eastAsia="宋体" w:cs="宋体"/>
                <w:color w:val="auto"/>
                <w:spacing w:val="-22"/>
                <w:sz w:val="21"/>
                <w:szCs w:val="21"/>
                <w:highlight w:val="none"/>
              </w:rPr>
              <w:t>报</w:t>
            </w:r>
            <w:r>
              <w:rPr>
                <w:rFonts w:hint="eastAsia" w:ascii="宋体" w:hAnsi="宋体" w:eastAsia="宋体" w:cs="宋体"/>
                <w:color w:val="auto"/>
                <w:spacing w:val="-25"/>
                <w:sz w:val="21"/>
                <w:szCs w:val="21"/>
                <w:highlight w:val="none"/>
              </w:rPr>
              <w:t>价</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25"/>
                <w:sz w:val="21"/>
                <w:szCs w:val="21"/>
                <w:highlight w:val="none"/>
              </w:rPr>
              <w:t>人</w:t>
            </w:r>
            <w:r>
              <w:rPr>
                <w:rFonts w:hint="eastAsia" w:ascii="宋体" w:hAnsi="宋体" w:eastAsia="宋体" w:cs="宋体"/>
                <w:color w:val="auto"/>
                <w:spacing w:val="-22"/>
                <w:sz w:val="21"/>
                <w:szCs w:val="21"/>
                <w:highlight w:val="none"/>
              </w:rPr>
              <w:t>民</w:t>
            </w:r>
            <w:r>
              <w:rPr>
                <w:rFonts w:hint="eastAsia" w:ascii="宋体" w:hAnsi="宋体" w:eastAsia="宋体" w:cs="宋体"/>
                <w:color w:val="auto"/>
                <w:spacing w:val="-25"/>
                <w:sz w:val="21"/>
                <w:szCs w:val="21"/>
                <w:highlight w:val="none"/>
              </w:rPr>
              <w:t>币</w:t>
            </w:r>
            <w:r>
              <w:rPr>
                <w:rFonts w:hint="eastAsia" w:ascii="宋体" w:hAnsi="宋体" w:eastAsia="宋体" w:cs="宋体"/>
                <w:color w:val="auto"/>
                <w:spacing w:val="-22"/>
                <w:sz w:val="21"/>
                <w:szCs w:val="21"/>
                <w:highlight w:val="none"/>
              </w:rPr>
              <w:t>大</w:t>
            </w:r>
            <w:r>
              <w:rPr>
                <w:rFonts w:hint="eastAsia" w:ascii="宋体" w:hAnsi="宋体" w:eastAsia="宋体" w:cs="宋体"/>
                <w:color w:val="auto"/>
                <w:spacing w:val="-25"/>
                <w:sz w:val="21"/>
                <w:szCs w:val="21"/>
                <w:highlight w:val="none"/>
              </w:rPr>
              <w:t>写</w:t>
            </w: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24"/>
                <w:sz w:val="21"/>
                <w:szCs w:val="21"/>
                <w:highlight w:val="none"/>
                <w:u w:val="single"/>
              </w:rPr>
              <w:t xml:space="preserve"> </w:t>
            </w:r>
            <w:r>
              <w:rPr>
                <w:rFonts w:hint="eastAsia" w:ascii="宋体" w:hAnsi="宋体" w:eastAsia="宋体" w:cs="宋体"/>
                <w:color w:val="auto"/>
                <w:spacing w:val="-24"/>
                <w:sz w:val="21"/>
                <w:szCs w:val="21"/>
                <w:highlight w:val="none"/>
                <w:u w:val="single"/>
              </w:rPr>
              <w:tab/>
            </w:r>
            <w:r>
              <w:rPr>
                <w:rFonts w:hint="eastAsia" w:ascii="宋体" w:hAnsi="宋体" w:eastAsia="宋体" w:cs="宋体"/>
                <w:color w:val="auto"/>
                <w:spacing w:val="-28"/>
                <w:sz w:val="21"/>
                <w:szCs w:val="21"/>
                <w:highlight w:val="none"/>
              </w:rPr>
              <w:t>（￥</w:t>
            </w:r>
            <w:r>
              <w:rPr>
                <w:rFonts w:hint="eastAsia" w:ascii="宋体" w:hAnsi="宋体" w:eastAsia="宋体" w:cs="宋体"/>
                <w:color w:val="auto"/>
                <w:spacing w:val="-28"/>
                <w:sz w:val="21"/>
                <w:szCs w:val="21"/>
                <w:highlight w:val="none"/>
                <w:u w:val="single"/>
              </w:rPr>
              <w:t xml:space="preserve"> </w:t>
            </w:r>
            <w:r>
              <w:rPr>
                <w:rFonts w:hint="eastAsia" w:ascii="宋体" w:hAnsi="宋体" w:eastAsia="宋体" w:cs="宋体"/>
                <w:color w:val="auto"/>
                <w:spacing w:val="-28"/>
                <w:sz w:val="21"/>
                <w:szCs w:val="21"/>
                <w:highlight w:val="none"/>
                <w:u w:val="single"/>
              </w:rPr>
              <w:tab/>
            </w:r>
            <w:r>
              <w:rPr>
                <w:rFonts w:hint="eastAsia" w:ascii="宋体" w:hAnsi="宋体" w:eastAsia="宋体" w:cs="宋体"/>
                <w:color w:val="auto"/>
                <w:spacing w:val="-29"/>
                <w:sz w:val="21"/>
                <w:szCs w:val="21"/>
                <w:highlight w:val="none"/>
              </w:rPr>
              <w:t>元</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134" w:type="dxa"/>
            <w:gridSpan w:val="6"/>
          </w:tcPr>
          <w:p>
            <w:pPr>
              <w:pStyle w:val="20"/>
              <w:tabs>
                <w:tab w:val="left" w:pos="3941"/>
              </w:tabs>
              <w:spacing w:before="149"/>
              <w:ind w:left="105"/>
              <w:rPr>
                <w:rFonts w:hint="eastAsia" w:ascii="宋体" w:hAnsi="宋体" w:eastAsia="宋体" w:cs="宋体"/>
                <w:color w:val="auto"/>
                <w:sz w:val="21"/>
                <w:szCs w:val="21"/>
                <w:highlight w:val="none"/>
              </w:rPr>
            </w:pPr>
            <w:r>
              <w:rPr>
                <w:rFonts w:hint="eastAsia" w:ascii="宋体" w:hAnsi="宋体" w:eastAsia="宋体" w:cs="宋体"/>
                <w:color w:val="auto"/>
                <w:spacing w:val="-29"/>
                <w:w w:val="95"/>
                <w:sz w:val="21"/>
                <w:szCs w:val="21"/>
                <w:highlight w:val="none"/>
              </w:rPr>
              <w:t>成果交付期</w:t>
            </w:r>
            <w:r>
              <w:rPr>
                <w:rFonts w:hint="eastAsia" w:ascii="宋体" w:hAnsi="宋体" w:eastAsia="宋体" w:cs="宋体"/>
                <w:color w:val="auto"/>
                <w:spacing w:val="-30"/>
                <w:w w:val="95"/>
                <w:sz w:val="21"/>
                <w:szCs w:val="21"/>
                <w:highlight w:val="none"/>
              </w:rPr>
              <w:t>：</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9134" w:type="dxa"/>
            <w:gridSpan w:val="6"/>
          </w:tcPr>
          <w:p>
            <w:pPr>
              <w:pStyle w:val="20"/>
              <w:spacing w:line="290" w:lineRule="auto"/>
              <w:ind w:left="105" w:right="-15" w:firstLine="41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投标报价包括本次采购范围内的服务价款、服务所用耗材、人工费、差旅费</w:t>
            </w:r>
            <w:r>
              <w:rPr>
                <w:rFonts w:hint="eastAsia" w:ascii="宋体" w:hAnsi="宋体" w:eastAsia="宋体" w:cs="宋体"/>
                <w:color w:val="auto"/>
                <w:sz w:val="21"/>
                <w:szCs w:val="21"/>
                <w:highlight w:val="none"/>
              </w:rPr>
              <w:t>（</w:t>
            </w:r>
            <w:r>
              <w:rPr>
                <w:rFonts w:hint="eastAsia" w:ascii="宋体" w:hAnsi="宋体" w:eastAsia="宋体" w:cs="宋体"/>
                <w:color w:val="auto"/>
                <w:spacing w:val="-7"/>
                <w:sz w:val="21"/>
                <w:szCs w:val="21"/>
                <w:highlight w:val="none"/>
              </w:rPr>
              <w:t>含出差补助、 交</w:t>
            </w:r>
            <w:r>
              <w:rPr>
                <w:rFonts w:hint="eastAsia" w:ascii="宋体" w:hAnsi="宋体" w:eastAsia="宋体" w:cs="宋体"/>
                <w:color w:val="auto"/>
                <w:spacing w:val="-5"/>
                <w:sz w:val="21"/>
                <w:szCs w:val="21"/>
                <w:highlight w:val="none"/>
              </w:rPr>
              <w:t>通费、食宿费等</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1"/>
                <w:sz w:val="21"/>
                <w:szCs w:val="21"/>
                <w:highlight w:val="none"/>
              </w:rPr>
              <w:t>、管理费用、保险、报送、验收、维护、资料收集及数据处理费、实地调查 费、</w:t>
            </w:r>
            <w:r>
              <w:rPr>
                <w:rFonts w:hint="eastAsia" w:ascii="宋体" w:hAnsi="宋体" w:eastAsia="宋体" w:cs="宋体"/>
                <w:color w:val="auto"/>
                <w:spacing w:val="-10"/>
                <w:sz w:val="21"/>
                <w:szCs w:val="21"/>
                <w:highlight w:val="none"/>
              </w:rPr>
              <w:t>资料打印及装订费、税费、合同实施过程中的应预见和不可预见费用等完成合同规定责任和 义务的一切费用及企业利润</w:t>
            </w: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rPr>
              <w:t>供应商中标总价为签订合同价格。在合同有效期内，合同价不受市 场价</w:t>
            </w:r>
          </w:p>
          <w:p>
            <w:pPr>
              <w:pStyle w:val="20"/>
              <w:spacing w:before="5"/>
              <w:ind w:left="1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格变化的影响）等全部费用供应商综合考虑在报价中。</w:t>
            </w:r>
          </w:p>
        </w:tc>
      </w:tr>
    </w:tbl>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spacing w:before="11"/>
        <w:rPr>
          <w:rFonts w:hint="eastAsia" w:ascii="宋体" w:hAnsi="宋体" w:eastAsia="宋体" w:cs="宋体"/>
          <w:b/>
          <w:color w:val="auto"/>
          <w:sz w:val="21"/>
          <w:szCs w:val="21"/>
          <w:highlight w:val="none"/>
        </w:rPr>
      </w:pPr>
    </w:p>
    <w:p>
      <w:pPr>
        <w:pStyle w:val="8"/>
        <w:spacing w:before="67"/>
        <w:ind w:left="3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w:t>
      </w:r>
    </w:p>
    <w:p>
      <w:pPr>
        <w:pStyle w:val="8"/>
        <w:spacing w:before="160"/>
        <w:ind w:left="3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法定代表人或委托代理人（签字）：</w:t>
      </w:r>
    </w:p>
    <w:p>
      <w:pPr>
        <w:pStyle w:val="8"/>
        <w:tabs>
          <w:tab w:val="left" w:pos="5378"/>
          <w:tab w:val="left" w:pos="6698"/>
          <w:tab w:val="left" w:pos="7418"/>
          <w:tab w:val="left" w:pos="8138"/>
        </w:tabs>
        <w:spacing w:before="158"/>
        <w:ind w:left="44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spacing w:before="212"/>
        <w:ind w:left="165"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三、投标声明书</w:t>
      </w:r>
    </w:p>
    <w:p>
      <w:pPr>
        <w:pStyle w:val="8"/>
        <w:spacing w:before="263"/>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w:t>
      </w:r>
      <w:r>
        <w:rPr>
          <w:rFonts w:hint="eastAsia" w:ascii="宋体" w:hAnsi="宋体" w:eastAsia="宋体" w:cs="宋体"/>
          <w:color w:val="auto"/>
          <w:sz w:val="21"/>
          <w:szCs w:val="21"/>
          <w:highlight w:val="none"/>
          <w:u w:val="single"/>
          <w:lang w:eastAsia="zh-CN"/>
        </w:rPr>
        <w:t>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pStyle w:val="8"/>
        <w:tabs>
          <w:tab w:val="left" w:pos="3158"/>
          <w:tab w:val="left" w:pos="4478"/>
        </w:tabs>
        <w:spacing w:before="158" w:line="364" w:lineRule="auto"/>
        <w:ind w:left="518" w:right="346" w:firstLine="47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50"/>
          <w:sz w:val="21"/>
          <w:szCs w:val="21"/>
          <w:highlight w:val="none"/>
        </w:rPr>
        <w:t>供</w:t>
      </w:r>
      <w:r>
        <w:rPr>
          <w:rFonts w:hint="eastAsia" w:ascii="宋体" w:hAnsi="宋体" w:eastAsia="宋体" w:cs="宋体"/>
          <w:color w:val="auto"/>
          <w:spacing w:val="48"/>
          <w:sz w:val="21"/>
          <w:szCs w:val="21"/>
          <w:highlight w:val="none"/>
        </w:rPr>
        <w:t>应</w:t>
      </w:r>
      <w:r>
        <w:rPr>
          <w:rFonts w:hint="eastAsia" w:ascii="宋体" w:hAnsi="宋体" w:eastAsia="宋体" w:cs="宋体"/>
          <w:color w:val="auto"/>
          <w:spacing w:val="50"/>
          <w:sz w:val="21"/>
          <w:szCs w:val="21"/>
          <w:highlight w:val="none"/>
        </w:rPr>
        <w:t>商</w:t>
      </w:r>
      <w:r>
        <w:rPr>
          <w:rFonts w:hint="eastAsia" w:ascii="宋体" w:hAnsi="宋体" w:eastAsia="宋体" w:cs="宋体"/>
          <w:color w:val="auto"/>
          <w:spacing w:val="48"/>
          <w:sz w:val="21"/>
          <w:szCs w:val="21"/>
          <w:highlight w:val="none"/>
        </w:rPr>
        <w:t>名</w:t>
      </w:r>
      <w:r>
        <w:rPr>
          <w:rFonts w:hint="eastAsia" w:ascii="宋体" w:hAnsi="宋体" w:eastAsia="宋体" w:cs="宋体"/>
          <w:color w:val="auto"/>
          <w:spacing w:val="50"/>
          <w:sz w:val="21"/>
          <w:szCs w:val="21"/>
          <w:highlight w:val="none"/>
        </w:rPr>
        <w:t>称</w:t>
      </w:r>
      <w:r>
        <w:rPr>
          <w:rFonts w:hint="eastAsia" w:ascii="宋体" w:hAnsi="宋体" w:eastAsia="宋体" w:cs="宋体"/>
          <w:color w:val="auto"/>
          <w:sz w:val="21"/>
          <w:szCs w:val="21"/>
          <w:highlight w:val="none"/>
        </w:rPr>
        <w:t>）</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50"/>
          <w:sz w:val="21"/>
          <w:szCs w:val="21"/>
          <w:highlight w:val="none"/>
        </w:rPr>
        <w:t>系</w:t>
      </w:r>
      <w:r>
        <w:rPr>
          <w:rFonts w:hint="eastAsia" w:ascii="宋体" w:hAnsi="宋体" w:eastAsia="宋体" w:cs="宋体"/>
          <w:color w:val="auto"/>
          <w:spacing w:val="48"/>
          <w:sz w:val="21"/>
          <w:szCs w:val="21"/>
          <w:highlight w:val="none"/>
        </w:rPr>
        <w:t>中</w:t>
      </w:r>
      <w:r>
        <w:rPr>
          <w:rFonts w:hint="eastAsia" w:ascii="宋体" w:hAnsi="宋体" w:eastAsia="宋体" w:cs="宋体"/>
          <w:color w:val="auto"/>
          <w:spacing w:val="50"/>
          <w:sz w:val="21"/>
          <w:szCs w:val="21"/>
          <w:highlight w:val="none"/>
        </w:rPr>
        <w:t>华</w:t>
      </w:r>
      <w:r>
        <w:rPr>
          <w:rFonts w:hint="eastAsia" w:ascii="宋体" w:hAnsi="宋体" w:eastAsia="宋体" w:cs="宋体"/>
          <w:color w:val="auto"/>
          <w:spacing w:val="48"/>
          <w:sz w:val="21"/>
          <w:szCs w:val="21"/>
          <w:highlight w:val="none"/>
        </w:rPr>
        <w:t>人民</w:t>
      </w:r>
      <w:r>
        <w:rPr>
          <w:rFonts w:hint="eastAsia" w:ascii="宋体" w:hAnsi="宋体" w:eastAsia="宋体" w:cs="宋体"/>
          <w:color w:val="auto"/>
          <w:spacing w:val="50"/>
          <w:sz w:val="21"/>
          <w:szCs w:val="21"/>
          <w:highlight w:val="none"/>
        </w:rPr>
        <w:t>共</w:t>
      </w:r>
      <w:r>
        <w:rPr>
          <w:rFonts w:hint="eastAsia" w:ascii="宋体" w:hAnsi="宋体" w:eastAsia="宋体" w:cs="宋体"/>
          <w:color w:val="auto"/>
          <w:spacing w:val="48"/>
          <w:sz w:val="21"/>
          <w:szCs w:val="21"/>
          <w:highlight w:val="none"/>
        </w:rPr>
        <w:t>和</w:t>
      </w:r>
      <w:r>
        <w:rPr>
          <w:rFonts w:hint="eastAsia" w:ascii="宋体" w:hAnsi="宋体" w:eastAsia="宋体" w:cs="宋体"/>
          <w:color w:val="auto"/>
          <w:spacing w:val="50"/>
          <w:sz w:val="21"/>
          <w:szCs w:val="21"/>
          <w:highlight w:val="none"/>
        </w:rPr>
        <w:t>国</w:t>
      </w:r>
      <w:r>
        <w:rPr>
          <w:rFonts w:hint="eastAsia" w:ascii="宋体" w:hAnsi="宋体" w:eastAsia="宋体" w:cs="宋体"/>
          <w:color w:val="auto"/>
          <w:spacing w:val="48"/>
          <w:sz w:val="21"/>
          <w:szCs w:val="21"/>
          <w:highlight w:val="none"/>
        </w:rPr>
        <w:t>合</w:t>
      </w:r>
      <w:r>
        <w:rPr>
          <w:rFonts w:hint="eastAsia" w:ascii="宋体" w:hAnsi="宋体" w:eastAsia="宋体" w:cs="宋体"/>
          <w:color w:val="auto"/>
          <w:spacing w:val="50"/>
          <w:sz w:val="21"/>
          <w:szCs w:val="21"/>
          <w:highlight w:val="none"/>
        </w:rPr>
        <w:t>法</w:t>
      </w:r>
      <w:r>
        <w:rPr>
          <w:rFonts w:hint="eastAsia" w:ascii="宋体" w:hAnsi="宋体" w:eastAsia="宋体" w:cs="宋体"/>
          <w:color w:val="auto"/>
          <w:spacing w:val="48"/>
          <w:sz w:val="21"/>
          <w:szCs w:val="21"/>
          <w:highlight w:val="none"/>
        </w:rPr>
        <w:t>企</w:t>
      </w:r>
      <w:r>
        <w:rPr>
          <w:rFonts w:hint="eastAsia" w:ascii="宋体" w:hAnsi="宋体" w:eastAsia="宋体" w:cs="宋体"/>
          <w:color w:val="auto"/>
          <w:spacing w:val="50"/>
          <w:sz w:val="21"/>
          <w:szCs w:val="21"/>
          <w:highlight w:val="none"/>
        </w:rPr>
        <w:t>业</w:t>
      </w:r>
      <w:r>
        <w:rPr>
          <w:rFonts w:hint="eastAsia" w:ascii="宋体" w:hAnsi="宋体" w:eastAsia="宋体" w:cs="宋体"/>
          <w:color w:val="auto"/>
          <w:spacing w:val="50"/>
          <w:sz w:val="21"/>
          <w:szCs w:val="21"/>
          <w:highlight w:val="none"/>
          <w:lang w:val="en-US" w:eastAsia="zh-CN"/>
        </w:rPr>
        <w:t>/单位</w:t>
      </w:r>
      <w:r>
        <w:rPr>
          <w:rFonts w:hint="eastAsia" w:ascii="宋体" w:hAnsi="宋体" w:eastAsia="宋体" w:cs="宋体"/>
          <w:color w:val="auto"/>
          <w:sz w:val="21"/>
          <w:szCs w:val="21"/>
          <w:highlight w:val="none"/>
        </w:rPr>
        <w:t>，</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50"/>
          <w:sz w:val="21"/>
          <w:szCs w:val="21"/>
          <w:highlight w:val="none"/>
        </w:rPr>
        <w:t>经</w:t>
      </w:r>
      <w:r>
        <w:rPr>
          <w:rFonts w:hint="eastAsia" w:ascii="宋体" w:hAnsi="宋体" w:eastAsia="宋体" w:cs="宋体"/>
          <w:color w:val="auto"/>
          <w:spacing w:val="48"/>
          <w:sz w:val="21"/>
          <w:szCs w:val="21"/>
          <w:highlight w:val="none"/>
        </w:rPr>
        <w:t>营</w:t>
      </w:r>
      <w:r>
        <w:rPr>
          <w:rFonts w:hint="eastAsia" w:ascii="宋体" w:hAnsi="宋体" w:eastAsia="宋体" w:cs="宋体"/>
          <w:color w:val="auto"/>
          <w:spacing w:val="-13"/>
          <w:sz w:val="21"/>
          <w:szCs w:val="21"/>
          <w:highlight w:val="none"/>
        </w:rPr>
        <w:t>地</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pPr>
        <w:pStyle w:val="8"/>
        <w:tabs>
          <w:tab w:val="left" w:pos="2798"/>
          <w:tab w:val="left" w:pos="3254"/>
          <w:tab w:val="left" w:pos="5047"/>
          <w:tab w:val="left" w:pos="5246"/>
        </w:tabs>
        <w:spacing w:line="364" w:lineRule="auto"/>
        <w:ind w:left="518" w:right="346"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（姓名</w:t>
      </w:r>
      <w:r>
        <w:rPr>
          <w:rFonts w:hint="eastAsia" w:ascii="宋体" w:hAnsi="宋体" w:eastAsia="宋体" w:cs="宋体"/>
          <w:color w:val="auto"/>
          <w:spacing w:val="-24"/>
          <w:sz w:val="21"/>
          <w:szCs w:val="21"/>
          <w:highlight w:val="none"/>
        </w:rPr>
        <w:t>）</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（供应商名称</w:t>
      </w:r>
      <w:r>
        <w:rPr>
          <w:rFonts w:hint="eastAsia" w:ascii="宋体" w:hAnsi="宋体" w:eastAsia="宋体" w:cs="宋体"/>
          <w:color w:val="auto"/>
          <w:spacing w:val="-24"/>
          <w:sz w:val="21"/>
          <w:szCs w:val="21"/>
          <w:highlight w:val="none"/>
        </w:rPr>
        <w:t>）</w:t>
      </w:r>
      <w:r>
        <w:rPr>
          <w:rFonts w:hint="eastAsia" w:ascii="宋体" w:hAnsi="宋体" w:eastAsia="宋体" w:cs="宋体"/>
          <w:color w:val="auto"/>
          <w:sz w:val="21"/>
          <w:szCs w:val="21"/>
          <w:highlight w:val="none"/>
        </w:rPr>
        <w:t>的法定代表人</w:t>
      </w:r>
      <w:r>
        <w:rPr>
          <w:rFonts w:hint="eastAsia" w:ascii="宋体" w:hAnsi="宋体" w:eastAsia="宋体" w:cs="宋体"/>
          <w:color w:val="auto"/>
          <w:spacing w:val="-25"/>
          <w:sz w:val="21"/>
          <w:szCs w:val="21"/>
          <w:highlight w:val="none"/>
        </w:rPr>
        <w:t>，</w:t>
      </w:r>
      <w:r>
        <w:rPr>
          <w:rFonts w:hint="eastAsia" w:ascii="宋体" w:hAnsi="宋体" w:eastAsia="宋体" w:cs="宋体"/>
          <w:color w:val="auto"/>
          <w:sz w:val="21"/>
          <w:szCs w:val="21"/>
          <w:highlight w:val="none"/>
        </w:rPr>
        <w:t>我方愿意</w:t>
      </w:r>
      <w:r>
        <w:rPr>
          <w:rFonts w:hint="eastAsia" w:ascii="宋体" w:hAnsi="宋体" w:eastAsia="宋体" w:cs="宋体"/>
          <w:color w:val="auto"/>
          <w:spacing w:val="-16"/>
          <w:sz w:val="21"/>
          <w:szCs w:val="21"/>
          <w:highlight w:val="none"/>
        </w:rPr>
        <w:t>参</w:t>
      </w:r>
      <w:r>
        <w:rPr>
          <w:rFonts w:hint="eastAsia" w:ascii="宋体" w:hAnsi="宋体" w:eastAsia="宋体" w:cs="宋体"/>
          <w:color w:val="auto"/>
          <w:sz w:val="21"/>
          <w:szCs w:val="21"/>
          <w:highlight w:val="none"/>
        </w:rPr>
        <w:t>加贵方组织的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（项目编号</w:t>
      </w:r>
      <w:r>
        <w:rPr>
          <w:rFonts w:hint="eastAsia" w:ascii="宋体" w:hAnsi="宋体" w:eastAsia="宋体" w:cs="宋体"/>
          <w:color w:val="auto"/>
          <w:spacing w:val="-30"/>
          <w:sz w:val="21"/>
          <w:szCs w:val="21"/>
          <w:highlight w:val="none"/>
        </w:rPr>
        <w:t>：</w:t>
      </w:r>
      <w:r>
        <w:rPr>
          <w:rFonts w:hint="eastAsia" w:ascii="宋体" w:hAnsi="宋体" w:eastAsia="宋体" w:cs="宋体"/>
          <w:color w:val="auto"/>
          <w:spacing w:val="-30"/>
          <w:sz w:val="21"/>
          <w:szCs w:val="21"/>
          <w:highlight w:val="none"/>
          <w:u w:val="single"/>
        </w:rPr>
        <w:t xml:space="preserve">    </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32"/>
          <w:sz w:val="21"/>
          <w:szCs w:val="21"/>
          <w:highlight w:val="none"/>
        </w:rPr>
        <w:t>）</w:t>
      </w:r>
      <w:r>
        <w:rPr>
          <w:rFonts w:hint="eastAsia" w:ascii="宋体" w:hAnsi="宋体" w:eastAsia="宋体" w:cs="宋体"/>
          <w:color w:val="auto"/>
          <w:sz w:val="21"/>
          <w:szCs w:val="21"/>
          <w:highlight w:val="none"/>
        </w:rPr>
        <w:t>的投标</w:t>
      </w:r>
      <w:r>
        <w:rPr>
          <w:rFonts w:hint="eastAsia" w:ascii="宋体" w:hAnsi="宋体" w:eastAsia="宋体" w:cs="宋体"/>
          <w:color w:val="auto"/>
          <w:spacing w:val="-29"/>
          <w:sz w:val="21"/>
          <w:szCs w:val="21"/>
          <w:highlight w:val="none"/>
        </w:rPr>
        <w:t>，</w:t>
      </w:r>
      <w:r>
        <w:rPr>
          <w:rFonts w:hint="eastAsia" w:ascii="宋体" w:hAnsi="宋体" w:eastAsia="宋体" w:cs="宋体"/>
          <w:color w:val="auto"/>
          <w:sz w:val="21"/>
          <w:szCs w:val="21"/>
          <w:highlight w:val="none"/>
        </w:rPr>
        <w:t>为便于贵方</w:t>
      </w:r>
      <w:r>
        <w:rPr>
          <w:rFonts w:hint="eastAsia" w:ascii="宋体" w:hAnsi="宋体" w:eastAsia="宋体" w:cs="宋体"/>
          <w:color w:val="auto"/>
          <w:spacing w:val="-14"/>
          <w:sz w:val="21"/>
          <w:szCs w:val="21"/>
          <w:highlight w:val="none"/>
        </w:rPr>
        <w:t>公</w:t>
      </w:r>
      <w:r>
        <w:rPr>
          <w:rFonts w:hint="eastAsia" w:ascii="宋体" w:hAnsi="宋体" w:eastAsia="宋体" w:cs="宋体"/>
          <w:color w:val="auto"/>
          <w:sz w:val="21"/>
          <w:szCs w:val="21"/>
          <w:highlight w:val="none"/>
        </w:rPr>
        <w:t>正、择优地确定成交人及其投标产品和服务，我方就本次投标有关事项郑重声明如下：</w:t>
      </w:r>
    </w:p>
    <w:p>
      <w:pPr>
        <w:pStyle w:val="19"/>
        <w:numPr>
          <w:ilvl w:val="0"/>
          <w:numId w:val="19"/>
        </w:numPr>
        <w:tabs>
          <w:tab w:val="left" w:pos="1240"/>
        </w:tabs>
        <w:spacing w:before="0" w:after="0" w:line="307" w:lineRule="exact"/>
        <w:ind w:left="1239" w:right="0" w:hanging="24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我方向贵方提交的所有响应文件、资料都是准确的和真实的。</w:t>
      </w:r>
    </w:p>
    <w:p>
      <w:pPr>
        <w:pStyle w:val="19"/>
        <w:numPr>
          <w:ilvl w:val="0"/>
          <w:numId w:val="19"/>
        </w:numPr>
        <w:tabs>
          <w:tab w:val="left" w:pos="1240"/>
        </w:tabs>
        <w:spacing w:before="159" w:after="0" w:line="362" w:lineRule="auto"/>
        <w:ind w:left="518" w:right="346"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我方不是采购人的附属机构；在获知本项目采购信息后，与采购人聘请的为此项目</w:t>
      </w:r>
      <w:r>
        <w:rPr>
          <w:rFonts w:hint="eastAsia" w:ascii="宋体" w:hAnsi="宋体" w:eastAsia="宋体" w:cs="宋体"/>
          <w:color w:val="auto"/>
          <w:sz w:val="21"/>
          <w:szCs w:val="21"/>
          <w:highlight w:val="none"/>
        </w:rPr>
        <w:t>提供咨询服务的公司及其附属机构没有任何联系。</w:t>
      </w:r>
    </w:p>
    <w:p>
      <w:pPr>
        <w:pStyle w:val="19"/>
        <w:numPr>
          <w:ilvl w:val="0"/>
          <w:numId w:val="20"/>
        </w:numPr>
        <w:tabs>
          <w:tab w:val="left" w:pos="1359"/>
        </w:tabs>
        <w:spacing w:before="3" w:after="0" w:line="364" w:lineRule="auto"/>
        <w:ind w:left="518" w:right="346"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以上事项如有虚假或隐瞒，我方愿意承担一切后果，并不再寻求任何旨在减轻或</w:t>
      </w:r>
      <w:r>
        <w:rPr>
          <w:rFonts w:hint="eastAsia" w:ascii="宋体" w:hAnsi="宋体" w:eastAsia="宋体" w:cs="宋体"/>
          <w:color w:val="auto"/>
          <w:sz w:val="21"/>
          <w:szCs w:val="21"/>
          <w:highlight w:val="none"/>
        </w:rPr>
        <w:t>免除法律责任的辩解。</w:t>
      </w:r>
    </w:p>
    <w:p>
      <w:pPr>
        <w:pStyle w:val="19"/>
        <w:numPr>
          <w:ilvl w:val="0"/>
          <w:numId w:val="20"/>
        </w:numPr>
        <w:tabs>
          <w:tab w:val="left" w:pos="1359"/>
        </w:tabs>
        <w:spacing w:before="1" w:after="0" w:line="364" w:lineRule="auto"/>
        <w:ind w:left="518" w:right="346"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根据《中华人民共和国政府采购法实施条例》第五十条要求对政府采购合同进行</w:t>
      </w:r>
      <w:r>
        <w:rPr>
          <w:rFonts w:hint="eastAsia" w:ascii="宋体" w:hAnsi="宋体" w:eastAsia="宋体" w:cs="宋体"/>
          <w:color w:val="auto"/>
          <w:spacing w:val="-12"/>
          <w:sz w:val="21"/>
          <w:szCs w:val="21"/>
          <w:highlight w:val="none"/>
        </w:rPr>
        <w:t>公告，但政府采购合同中涉及国家秘密、商业秘密的内容除外。我方就对本次响应文件进</w:t>
      </w:r>
      <w:r>
        <w:rPr>
          <w:rFonts w:hint="eastAsia" w:ascii="宋体" w:hAnsi="宋体" w:eastAsia="宋体" w:cs="宋体"/>
          <w:color w:val="auto"/>
          <w:sz w:val="21"/>
          <w:szCs w:val="21"/>
          <w:highlight w:val="none"/>
        </w:rPr>
        <w:t>行注明如下：（两项内容中必须选择一项）</w:t>
      </w:r>
    </w:p>
    <w:p>
      <w:pPr>
        <w:pStyle w:val="8"/>
        <w:spacing w:line="305" w:lineRule="exact"/>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□我方本次响应文件内容中未涉及商业秘密；</w:t>
      </w:r>
    </w:p>
    <w:p>
      <w:pPr>
        <w:pStyle w:val="8"/>
        <w:tabs>
          <w:tab w:val="left" w:pos="8798"/>
        </w:tabs>
        <w:spacing w:before="161"/>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□我方本次响应文件涉及商业秘密的内容有：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pPr>
        <w:pStyle w:val="19"/>
        <w:numPr>
          <w:ilvl w:val="0"/>
          <w:numId w:val="20"/>
        </w:numPr>
        <w:tabs>
          <w:tab w:val="left" w:pos="1359"/>
        </w:tabs>
        <w:spacing w:before="158" w:after="0" w:line="364" w:lineRule="auto"/>
        <w:ind w:left="518" w:right="346"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我方在此声明，我方及由本人担任法定代表人的其他机构在参加本项目的政府采</w:t>
      </w:r>
      <w:r>
        <w:rPr>
          <w:rFonts w:hint="eastAsia" w:ascii="宋体" w:hAnsi="宋体" w:eastAsia="宋体" w:cs="宋体"/>
          <w:color w:val="auto"/>
          <w:spacing w:val="-11"/>
          <w:sz w:val="21"/>
          <w:szCs w:val="21"/>
          <w:highlight w:val="none"/>
        </w:rPr>
        <w:t>购活动前三年内，在经营活动中没有重大违法记录</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重大违法记录是指供应商因违法经营</w:t>
      </w:r>
      <w:r>
        <w:rPr>
          <w:rFonts w:hint="eastAsia" w:ascii="宋体" w:hAnsi="宋体" w:eastAsia="宋体" w:cs="宋体"/>
          <w:color w:val="auto"/>
          <w:spacing w:val="-5"/>
          <w:sz w:val="21"/>
          <w:szCs w:val="21"/>
          <w:highlight w:val="none"/>
        </w:rPr>
        <w:t>受到刑事处罚或者责令停产停业、吊销许可证或者执照、较大数额罚款等行政处罚</w:t>
      </w:r>
      <w:r>
        <w:rPr>
          <w:rFonts w:hint="eastAsia" w:ascii="宋体" w:hAnsi="宋体" w:eastAsia="宋体" w:cs="宋体"/>
          <w:color w:val="auto"/>
          <w:spacing w:val="-31"/>
          <w:sz w:val="21"/>
          <w:szCs w:val="21"/>
          <w:highlight w:val="none"/>
        </w:rPr>
        <w:t>）</w:t>
      </w:r>
      <w:r>
        <w:rPr>
          <w:rFonts w:hint="eastAsia" w:ascii="宋体" w:hAnsi="宋体" w:eastAsia="宋体" w:cs="宋体"/>
          <w:color w:val="auto"/>
          <w:spacing w:val="-23"/>
          <w:sz w:val="21"/>
          <w:szCs w:val="21"/>
          <w:highlight w:val="none"/>
        </w:rPr>
        <w:t>，未</w:t>
      </w:r>
      <w:r>
        <w:rPr>
          <w:rFonts w:hint="eastAsia" w:ascii="宋体" w:hAnsi="宋体" w:eastAsia="宋体" w:cs="宋体"/>
          <w:color w:val="auto"/>
          <w:spacing w:val="-10"/>
          <w:sz w:val="21"/>
          <w:szCs w:val="21"/>
          <w:highlight w:val="none"/>
        </w:rPr>
        <w:t>被列入失信被执行人、重大税收违法案件当事人名单、政府采购严重违法失信行为记录名</w:t>
      </w:r>
      <w:r>
        <w:rPr>
          <w:rFonts w:hint="eastAsia" w:ascii="宋体" w:hAnsi="宋体" w:eastAsia="宋体" w:cs="宋体"/>
          <w:color w:val="auto"/>
          <w:spacing w:val="-13"/>
          <w:sz w:val="21"/>
          <w:szCs w:val="21"/>
          <w:highlight w:val="none"/>
        </w:rPr>
        <w:t>单，完全符合《中华人民共和国政府采购法》第二十二条规定的供应商资格条件，我方对</w:t>
      </w:r>
      <w:r>
        <w:rPr>
          <w:rFonts w:hint="eastAsia" w:ascii="宋体" w:hAnsi="宋体" w:eastAsia="宋体" w:cs="宋体"/>
          <w:color w:val="auto"/>
          <w:sz w:val="21"/>
          <w:szCs w:val="21"/>
          <w:highlight w:val="none"/>
        </w:rPr>
        <w:t>此声明负全部法律责任。</w:t>
      </w:r>
    </w:p>
    <w:p>
      <w:pPr>
        <w:pStyle w:val="8"/>
        <w:spacing w:before="44" w:line="280" w:lineRule="auto"/>
        <w:ind w:left="6038" w:right="1469" w:hanging="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法定代表人签字或盖章： </w:t>
      </w:r>
    </w:p>
    <w:p>
      <w:pPr>
        <w:pStyle w:val="8"/>
        <w:spacing w:before="44" w:line="280" w:lineRule="auto"/>
        <w:ind w:left="6038" w:right="1469" w:hanging="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w:t>
      </w:r>
    </w:p>
    <w:p>
      <w:pPr>
        <w:pStyle w:val="8"/>
        <w:tabs>
          <w:tab w:val="left" w:pos="7538"/>
          <w:tab w:val="left" w:pos="8258"/>
        </w:tabs>
        <w:ind w:left="68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日</w:t>
      </w:r>
    </w:p>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spacing w:before="216"/>
        <w:ind w:left="4137" w:right="0"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四、保密承诺书</w:t>
      </w:r>
    </w:p>
    <w:p>
      <w:pPr>
        <w:pStyle w:val="8"/>
        <w:spacing w:before="1"/>
        <w:rPr>
          <w:rFonts w:hint="eastAsia" w:ascii="宋体" w:hAnsi="宋体" w:eastAsia="宋体" w:cs="宋体"/>
          <w:b/>
          <w:color w:val="auto"/>
          <w:sz w:val="21"/>
          <w:szCs w:val="21"/>
          <w:highlight w:val="none"/>
        </w:rPr>
      </w:pPr>
    </w:p>
    <w:p>
      <w:pPr>
        <w:pStyle w:val="8"/>
        <w:tabs>
          <w:tab w:val="left" w:pos="1358"/>
        </w:tabs>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（采购人）</w:t>
      </w:r>
    </w:p>
    <w:p>
      <w:pPr>
        <w:pStyle w:val="8"/>
        <w:tabs>
          <w:tab w:val="left" w:pos="2318"/>
          <w:tab w:val="left" w:pos="3997"/>
          <w:tab w:val="left" w:pos="5438"/>
          <w:tab w:val="left" w:pos="7597"/>
        </w:tabs>
        <w:spacing w:before="158" w:line="364" w:lineRule="auto"/>
        <w:ind w:left="518" w:right="34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（供应商）</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拟参加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竞标，现就有关保</w:t>
      </w:r>
      <w:r>
        <w:rPr>
          <w:rFonts w:hint="eastAsia" w:ascii="宋体" w:hAnsi="宋体" w:eastAsia="宋体" w:cs="宋体"/>
          <w:color w:val="auto"/>
          <w:spacing w:val="-16"/>
          <w:sz w:val="21"/>
          <w:szCs w:val="21"/>
          <w:highlight w:val="none"/>
        </w:rPr>
        <w:t>密</w:t>
      </w:r>
      <w:r>
        <w:rPr>
          <w:rFonts w:hint="eastAsia" w:ascii="宋体" w:hAnsi="宋体" w:eastAsia="宋体" w:cs="宋体"/>
          <w:color w:val="auto"/>
          <w:sz w:val="21"/>
          <w:szCs w:val="21"/>
          <w:highlight w:val="none"/>
        </w:rPr>
        <w:t>事宜承诺如下：</w:t>
      </w:r>
    </w:p>
    <w:p>
      <w:pPr>
        <w:pStyle w:val="19"/>
        <w:numPr>
          <w:ilvl w:val="0"/>
          <w:numId w:val="21"/>
        </w:numPr>
        <w:tabs>
          <w:tab w:val="left" w:pos="1372"/>
        </w:tabs>
        <w:spacing w:before="0" w:after="0" w:line="364" w:lineRule="auto"/>
        <w:ind w:left="518" w:right="226"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我方在竞标活动过程中将严格遵守《中华人民共和国保密法》及其它相关法律法</w:t>
      </w:r>
      <w:r>
        <w:rPr>
          <w:rFonts w:hint="eastAsia" w:ascii="宋体" w:hAnsi="宋体" w:eastAsia="宋体" w:cs="宋体"/>
          <w:color w:val="auto"/>
          <w:spacing w:val="-17"/>
          <w:sz w:val="21"/>
          <w:szCs w:val="21"/>
          <w:highlight w:val="none"/>
        </w:rPr>
        <w:t>规，如违反了《中华人民共和国保密法》及其它相关法律法规，自行承担相应的法律责任。</w:t>
      </w:r>
    </w:p>
    <w:p>
      <w:pPr>
        <w:pStyle w:val="19"/>
        <w:numPr>
          <w:ilvl w:val="0"/>
          <w:numId w:val="21"/>
        </w:numPr>
        <w:tabs>
          <w:tab w:val="left" w:pos="1372"/>
        </w:tabs>
        <w:spacing w:before="0" w:after="0" w:line="240" w:lineRule="auto"/>
        <w:ind w:left="1371" w:right="0" w:hanging="374"/>
        <w:jc w:val="left"/>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如中标，我方将与发包人签订保密协议，认真履行保密协议义务，承但保密责任。</w:t>
      </w:r>
    </w:p>
    <w:p>
      <w:pPr>
        <w:pStyle w:val="19"/>
        <w:numPr>
          <w:ilvl w:val="0"/>
          <w:numId w:val="21"/>
        </w:numPr>
        <w:tabs>
          <w:tab w:val="left" w:pos="1372"/>
        </w:tabs>
        <w:spacing w:before="158" w:after="0" w:line="364" w:lineRule="auto"/>
        <w:ind w:left="518" w:right="332"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我方在中标签订合同、执行合同过程中均将严格遵守《中华人民共和国保密法》</w:t>
      </w:r>
      <w:r>
        <w:rPr>
          <w:rFonts w:hint="eastAsia" w:ascii="宋体" w:hAnsi="宋体" w:eastAsia="宋体" w:cs="宋体"/>
          <w:color w:val="auto"/>
          <w:spacing w:val="-8"/>
          <w:sz w:val="21"/>
          <w:szCs w:val="21"/>
          <w:highlight w:val="none"/>
        </w:rPr>
        <w:t>及其它相关法律法规，如违反了《中华人民共和国保密法》及其它相关法律法规，自行承担相应的法律责任。</w:t>
      </w:r>
    </w:p>
    <w:p>
      <w:pPr>
        <w:pStyle w:val="19"/>
        <w:numPr>
          <w:ilvl w:val="0"/>
          <w:numId w:val="21"/>
        </w:numPr>
        <w:tabs>
          <w:tab w:val="left" w:pos="1372"/>
        </w:tabs>
        <w:spacing w:before="0" w:after="0" w:line="307" w:lineRule="exact"/>
        <w:ind w:left="1371" w:right="0" w:hanging="37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我方认真履行合同中审核人的保密义务。</w:t>
      </w:r>
    </w:p>
    <w:p>
      <w:pPr>
        <w:pStyle w:val="19"/>
        <w:numPr>
          <w:ilvl w:val="0"/>
          <w:numId w:val="21"/>
        </w:numPr>
        <w:tabs>
          <w:tab w:val="left" w:pos="1372"/>
        </w:tabs>
        <w:spacing w:before="158" w:after="0" w:line="364" w:lineRule="auto"/>
        <w:ind w:left="518" w:right="344"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我方将爱善保存好本项目与中华人民共和国国家秘密有关的各种图纸、数据、资</w:t>
      </w:r>
      <w:r>
        <w:rPr>
          <w:rFonts w:hint="eastAsia" w:ascii="宋体" w:hAnsi="宋体" w:eastAsia="宋体" w:cs="宋体"/>
          <w:color w:val="auto"/>
          <w:sz w:val="21"/>
          <w:szCs w:val="21"/>
          <w:highlight w:val="none"/>
        </w:rPr>
        <w:t>料，不得以任何形式泄露到中华人民共和国境外地区和国家。</w:t>
      </w:r>
    </w:p>
    <w:p>
      <w:pPr>
        <w:pStyle w:val="19"/>
        <w:numPr>
          <w:ilvl w:val="0"/>
          <w:numId w:val="21"/>
        </w:numPr>
        <w:tabs>
          <w:tab w:val="left" w:pos="1372"/>
        </w:tabs>
        <w:spacing w:before="0" w:after="0" w:line="306" w:lineRule="exact"/>
        <w:ind w:left="1371" w:right="0" w:hanging="37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本承诺书自签署后生效。</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tabs>
          <w:tab w:val="left" w:pos="8421"/>
        </w:tabs>
        <w:spacing w:before="227"/>
        <w:ind w:left="42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(盖章)</w:t>
      </w:r>
    </w:p>
    <w:p>
      <w:pPr>
        <w:pStyle w:val="8"/>
        <w:spacing w:before="12"/>
        <w:rPr>
          <w:rFonts w:hint="eastAsia" w:ascii="宋体" w:hAnsi="宋体" w:eastAsia="宋体" w:cs="宋体"/>
          <w:color w:val="auto"/>
          <w:sz w:val="21"/>
          <w:szCs w:val="21"/>
          <w:highlight w:val="none"/>
        </w:rPr>
      </w:pPr>
    </w:p>
    <w:p>
      <w:pPr>
        <w:pStyle w:val="8"/>
        <w:tabs>
          <w:tab w:val="left" w:pos="8524"/>
        </w:tabs>
        <w:spacing w:before="74"/>
        <w:ind w:left="43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(签字)</w:t>
      </w:r>
    </w:p>
    <w:p>
      <w:pPr>
        <w:pStyle w:val="8"/>
        <w:spacing w:before="5"/>
        <w:rPr>
          <w:rFonts w:hint="eastAsia" w:ascii="宋体" w:hAnsi="宋体" w:eastAsia="宋体" w:cs="宋体"/>
          <w:color w:val="auto"/>
          <w:sz w:val="21"/>
          <w:szCs w:val="21"/>
          <w:highlight w:val="none"/>
        </w:rPr>
      </w:pPr>
    </w:p>
    <w:p>
      <w:pPr>
        <w:pStyle w:val="8"/>
        <w:tabs>
          <w:tab w:val="left" w:pos="4718"/>
          <w:tab w:val="left" w:pos="5798"/>
          <w:tab w:val="left" w:pos="6518"/>
          <w:tab w:val="left" w:pos="7238"/>
        </w:tabs>
        <w:spacing w:before="66"/>
        <w:ind w:left="4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spacing w:before="4"/>
        <w:rPr>
          <w:rFonts w:hint="eastAsia" w:ascii="宋体" w:hAnsi="宋体" w:eastAsia="宋体" w:cs="宋体"/>
          <w:color w:val="auto"/>
          <w:sz w:val="21"/>
          <w:szCs w:val="21"/>
          <w:highlight w:val="none"/>
        </w:rPr>
      </w:pPr>
    </w:p>
    <w:p>
      <w:pPr>
        <w:spacing w:before="54"/>
        <w:ind w:left="170"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五、资格证明文件</w:t>
      </w:r>
    </w:p>
    <w:p>
      <w:pPr>
        <w:pStyle w:val="19"/>
        <w:numPr>
          <w:ilvl w:val="0"/>
          <w:numId w:val="22"/>
        </w:numPr>
        <w:tabs>
          <w:tab w:val="left" w:pos="1600"/>
        </w:tabs>
        <w:spacing w:before="246" w:after="0" w:line="362" w:lineRule="auto"/>
        <w:ind w:left="518" w:right="346"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企业营业执照或事业单位（社会团体）</w:t>
      </w:r>
      <w:r>
        <w:rPr>
          <w:rFonts w:hint="eastAsia" w:ascii="宋体" w:hAnsi="宋体" w:eastAsia="宋体" w:cs="宋体"/>
          <w:color w:val="auto"/>
          <w:spacing w:val="-1"/>
          <w:sz w:val="21"/>
          <w:szCs w:val="21"/>
          <w:highlight w:val="none"/>
        </w:rPr>
        <w:t>法人登记证书副本复印件，要求清晰反</w:t>
      </w:r>
      <w:r>
        <w:rPr>
          <w:rFonts w:hint="eastAsia" w:ascii="宋体" w:hAnsi="宋体" w:eastAsia="宋体" w:cs="宋体"/>
          <w:color w:val="auto"/>
          <w:sz w:val="21"/>
          <w:szCs w:val="21"/>
          <w:highlight w:val="none"/>
        </w:rPr>
        <w:t>映企业法人营业执照有效期和经营范围</w:t>
      </w:r>
      <w:r>
        <w:rPr>
          <w:rFonts w:hint="eastAsia" w:ascii="宋体" w:hAnsi="宋体" w:eastAsia="宋体" w:cs="宋体"/>
          <w:b/>
          <w:color w:val="auto"/>
          <w:sz w:val="21"/>
          <w:szCs w:val="21"/>
          <w:highlight w:val="none"/>
        </w:rPr>
        <w:t>（必须提供加盖单位公章，否则其竞标无效）</w:t>
      </w:r>
      <w:r>
        <w:rPr>
          <w:rFonts w:hint="eastAsia" w:ascii="宋体" w:hAnsi="宋体" w:eastAsia="宋体" w:cs="宋体"/>
          <w:color w:val="auto"/>
          <w:sz w:val="21"/>
          <w:szCs w:val="21"/>
          <w:highlight w:val="none"/>
        </w:rPr>
        <w:t>；</w:t>
      </w:r>
    </w:p>
    <w:p>
      <w:pPr>
        <w:pStyle w:val="19"/>
        <w:numPr>
          <w:ilvl w:val="0"/>
          <w:numId w:val="22"/>
        </w:numPr>
        <w:tabs>
          <w:tab w:val="left" w:pos="1600"/>
        </w:tabs>
        <w:spacing w:before="5" w:after="0" w:line="364" w:lineRule="auto"/>
        <w:ind w:left="518" w:right="346" w:firstLine="48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投标截止之日前三个月内任意一个月的依法缴纳税费或依法免缴税费（</w:t>
      </w:r>
      <w:r>
        <w:rPr>
          <w:rFonts w:hint="eastAsia" w:ascii="宋体" w:hAnsi="宋体" w:eastAsia="宋体" w:cs="宋体"/>
          <w:color w:val="auto"/>
          <w:spacing w:val="-6"/>
          <w:sz w:val="21"/>
          <w:szCs w:val="21"/>
          <w:highlight w:val="none"/>
        </w:rPr>
        <w:t>包括无</w:t>
      </w:r>
      <w:r>
        <w:rPr>
          <w:rFonts w:hint="eastAsia" w:ascii="宋体" w:hAnsi="宋体" w:eastAsia="宋体" w:cs="宋体"/>
          <w:color w:val="auto"/>
          <w:sz w:val="21"/>
          <w:szCs w:val="21"/>
          <w:highlight w:val="none"/>
        </w:rPr>
        <w:t>纳税记录或零报税</w:t>
      </w:r>
      <w:r>
        <w:rPr>
          <w:rFonts w:hint="eastAsia" w:ascii="宋体" w:hAnsi="宋体" w:eastAsia="宋体" w:cs="宋体"/>
          <w:color w:val="auto"/>
          <w:spacing w:val="-32"/>
          <w:sz w:val="21"/>
          <w:szCs w:val="21"/>
          <w:highlight w:val="none"/>
        </w:rPr>
        <w:t>）</w:t>
      </w:r>
      <w:r>
        <w:rPr>
          <w:rFonts w:hint="eastAsia" w:ascii="宋体" w:hAnsi="宋体" w:eastAsia="宋体" w:cs="宋体"/>
          <w:color w:val="auto"/>
          <w:spacing w:val="-10"/>
          <w:sz w:val="21"/>
          <w:szCs w:val="21"/>
          <w:highlight w:val="none"/>
        </w:rPr>
        <w:t>的证明</w:t>
      </w:r>
      <w:r>
        <w:rPr>
          <w:rFonts w:hint="eastAsia" w:ascii="宋体" w:hAnsi="宋体" w:eastAsia="宋体" w:cs="宋体"/>
          <w:color w:val="auto"/>
          <w:sz w:val="21"/>
          <w:szCs w:val="21"/>
          <w:highlight w:val="none"/>
        </w:rPr>
        <w:t>（新成立的且不足一个月的企业按实际提供</w:t>
      </w:r>
      <w:r>
        <w:rPr>
          <w:rFonts w:hint="eastAsia" w:ascii="宋体" w:hAnsi="宋体" w:eastAsia="宋体" w:cs="宋体"/>
          <w:color w:val="auto"/>
          <w:spacing w:val="-31"/>
          <w:sz w:val="21"/>
          <w:szCs w:val="21"/>
          <w:highlight w:val="none"/>
        </w:rPr>
        <w:t>）</w:t>
      </w:r>
      <w:r>
        <w:rPr>
          <w:rFonts w:hint="eastAsia" w:ascii="宋体" w:hAnsi="宋体" w:eastAsia="宋体" w:cs="宋体"/>
          <w:color w:val="auto"/>
          <w:spacing w:val="-8"/>
          <w:sz w:val="21"/>
          <w:szCs w:val="21"/>
          <w:highlight w:val="none"/>
        </w:rPr>
        <w:t>，证明材料可以</w:t>
      </w:r>
      <w:r>
        <w:rPr>
          <w:rFonts w:hint="eastAsia" w:ascii="宋体" w:hAnsi="宋体" w:eastAsia="宋体" w:cs="宋体"/>
          <w:color w:val="auto"/>
          <w:spacing w:val="-11"/>
          <w:sz w:val="21"/>
          <w:szCs w:val="21"/>
          <w:highlight w:val="none"/>
        </w:rPr>
        <w:t>是：银行已缴纳税费凭证复印件或第三方有效的相关业务托缴凭证或其他有效证明，或供</w:t>
      </w:r>
      <w:r>
        <w:rPr>
          <w:rFonts w:hint="eastAsia" w:ascii="宋体" w:hAnsi="宋体" w:eastAsia="宋体" w:cs="宋体"/>
          <w:color w:val="auto"/>
          <w:sz w:val="21"/>
          <w:szCs w:val="21"/>
          <w:highlight w:val="none"/>
        </w:rPr>
        <w:t>应商所在地税务部门出具的有效证明（复印件）；</w:t>
      </w:r>
      <w:r>
        <w:rPr>
          <w:rFonts w:hint="eastAsia" w:ascii="宋体" w:hAnsi="宋体" w:eastAsia="宋体" w:cs="宋体"/>
          <w:b/>
          <w:color w:val="auto"/>
          <w:sz w:val="21"/>
          <w:szCs w:val="21"/>
          <w:highlight w:val="none"/>
        </w:rPr>
        <w:t>（必须提供）</w:t>
      </w:r>
    </w:p>
    <w:p>
      <w:pPr>
        <w:pStyle w:val="19"/>
        <w:numPr>
          <w:ilvl w:val="0"/>
          <w:numId w:val="22"/>
        </w:numPr>
        <w:tabs>
          <w:tab w:val="left" w:pos="1600"/>
        </w:tabs>
        <w:spacing w:before="0" w:after="0" w:line="364" w:lineRule="auto"/>
        <w:ind w:left="518" w:right="344" w:firstLine="480"/>
        <w:jc w:val="both"/>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rPr>
        <w:t>投标截止之日前三个月内任意一个月的依法缴纳社会保险费或依法免缴社保费</w:t>
      </w:r>
      <w:r>
        <w:rPr>
          <w:rFonts w:hint="eastAsia" w:ascii="宋体" w:hAnsi="宋体" w:eastAsia="宋体" w:cs="宋体"/>
          <w:color w:val="auto"/>
          <w:spacing w:val="-7"/>
          <w:sz w:val="21"/>
          <w:szCs w:val="21"/>
          <w:highlight w:val="none"/>
        </w:rPr>
        <w:t>的相关证明</w:t>
      </w:r>
      <w:r>
        <w:rPr>
          <w:rFonts w:hint="eastAsia" w:ascii="宋体" w:hAnsi="宋体" w:eastAsia="宋体" w:cs="宋体"/>
          <w:color w:val="auto"/>
          <w:sz w:val="21"/>
          <w:szCs w:val="21"/>
          <w:highlight w:val="none"/>
        </w:rPr>
        <w:t>（新成立的且不足一个月的企业按实际提供</w:t>
      </w:r>
      <w:r>
        <w:rPr>
          <w:rFonts w:hint="eastAsia" w:ascii="宋体" w:hAnsi="宋体" w:eastAsia="宋体" w:cs="宋体"/>
          <w:color w:val="auto"/>
          <w:spacing w:val="-31"/>
          <w:sz w:val="21"/>
          <w:szCs w:val="21"/>
          <w:highlight w:val="none"/>
        </w:rPr>
        <w:t>）</w:t>
      </w:r>
      <w:r>
        <w:rPr>
          <w:rFonts w:hint="eastAsia" w:ascii="宋体" w:hAnsi="宋体" w:eastAsia="宋体" w:cs="宋体"/>
          <w:color w:val="auto"/>
          <w:spacing w:val="-10"/>
          <w:sz w:val="21"/>
          <w:szCs w:val="21"/>
          <w:highlight w:val="none"/>
        </w:rPr>
        <w:t>，证明材料可以是：银行已缴纳</w:t>
      </w:r>
      <w:r>
        <w:rPr>
          <w:rFonts w:hint="eastAsia" w:ascii="宋体" w:hAnsi="宋体" w:eastAsia="宋体" w:cs="宋体"/>
          <w:color w:val="auto"/>
          <w:spacing w:val="-5"/>
          <w:sz w:val="21"/>
          <w:szCs w:val="21"/>
          <w:highlight w:val="none"/>
        </w:rPr>
        <w:t>税费凭证复印件或第三方有效的相关业务托缴凭证或其他有效证明</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11"/>
          <w:sz w:val="21"/>
          <w:szCs w:val="21"/>
          <w:highlight w:val="none"/>
        </w:rPr>
        <w:t>或供</w:t>
      </w:r>
      <w:r>
        <w:rPr>
          <w:rFonts w:hint="eastAsia" w:ascii="宋体" w:hAnsi="宋体" w:eastAsia="宋体" w:cs="宋体"/>
          <w:color w:val="auto"/>
          <w:sz w:val="21"/>
          <w:szCs w:val="21"/>
          <w:highlight w:val="none"/>
        </w:rPr>
        <w:t>应商所在地</w:t>
      </w:r>
      <w:r>
        <w:rPr>
          <w:rFonts w:hint="eastAsia" w:ascii="宋体" w:hAnsi="宋体" w:eastAsia="宋体" w:cs="宋体"/>
          <w:color w:val="auto"/>
          <w:sz w:val="21"/>
          <w:szCs w:val="21"/>
          <w:highlight w:val="none"/>
          <w:lang w:eastAsia="zh-CN"/>
        </w:rPr>
        <w:t>社保</w:t>
      </w:r>
      <w:r>
        <w:rPr>
          <w:rFonts w:hint="eastAsia" w:ascii="宋体" w:hAnsi="宋体" w:eastAsia="宋体" w:cs="宋体"/>
          <w:color w:val="auto"/>
          <w:sz w:val="21"/>
          <w:szCs w:val="21"/>
          <w:highlight w:val="none"/>
        </w:rPr>
        <w:t>部门出具的有效证明（复印件）</w:t>
      </w:r>
      <w:r>
        <w:rPr>
          <w:rFonts w:hint="eastAsia" w:ascii="宋体" w:hAnsi="宋体" w:eastAsia="宋体" w:cs="宋体"/>
          <w:color w:val="auto"/>
          <w:spacing w:val="-5"/>
          <w:sz w:val="21"/>
          <w:szCs w:val="21"/>
          <w:highlight w:val="none"/>
        </w:rPr>
        <w:t>；不需要缴纳社会保险</w:t>
      </w:r>
      <w:r>
        <w:rPr>
          <w:rFonts w:hint="eastAsia" w:ascii="宋体" w:hAnsi="宋体" w:eastAsia="宋体" w:cs="宋体"/>
          <w:color w:val="auto"/>
          <w:sz w:val="21"/>
          <w:szCs w:val="21"/>
          <w:highlight w:val="none"/>
        </w:rPr>
        <w:t>金的应提供供应商所在地有关行政主管部门出具相应的文件证明（</w:t>
      </w:r>
      <w:r>
        <w:rPr>
          <w:rFonts w:hint="eastAsia" w:ascii="宋体" w:hAnsi="宋体" w:eastAsia="宋体" w:cs="宋体"/>
          <w:color w:val="auto"/>
          <w:spacing w:val="1"/>
          <w:sz w:val="21"/>
          <w:szCs w:val="21"/>
          <w:highlight w:val="none"/>
        </w:rPr>
        <w:t>复印件</w:t>
      </w:r>
      <w:r>
        <w:rPr>
          <w:rFonts w:hint="eastAsia" w:ascii="宋体" w:hAnsi="宋体" w:eastAsia="宋体" w:cs="宋体"/>
          <w:color w:val="auto"/>
          <w:spacing w:val="3"/>
          <w:sz w:val="21"/>
          <w:szCs w:val="21"/>
          <w:highlight w:val="none"/>
        </w:rPr>
        <w:t>）；</w:t>
      </w:r>
      <w:r>
        <w:rPr>
          <w:rFonts w:hint="eastAsia" w:ascii="宋体" w:hAnsi="宋体" w:eastAsia="宋体" w:cs="宋体"/>
          <w:b/>
          <w:color w:val="auto"/>
          <w:spacing w:val="3"/>
          <w:sz w:val="21"/>
          <w:szCs w:val="21"/>
          <w:highlight w:val="none"/>
        </w:rPr>
        <w:t>（</w:t>
      </w:r>
      <w:r>
        <w:rPr>
          <w:rFonts w:hint="eastAsia" w:ascii="宋体" w:hAnsi="宋体" w:eastAsia="宋体" w:cs="宋体"/>
          <w:b/>
          <w:color w:val="auto"/>
          <w:spacing w:val="1"/>
          <w:sz w:val="21"/>
          <w:szCs w:val="21"/>
          <w:highlight w:val="none"/>
        </w:rPr>
        <w:t>必须提供）</w:t>
      </w:r>
    </w:p>
    <w:p>
      <w:pPr>
        <w:pStyle w:val="19"/>
        <w:numPr>
          <w:ilvl w:val="0"/>
          <w:numId w:val="22"/>
        </w:numPr>
        <w:tabs>
          <w:tab w:val="left" w:pos="1600"/>
        </w:tabs>
        <w:spacing w:before="0" w:after="0" w:line="306" w:lineRule="exact"/>
        <w:ind w:left="1599" w:right="0" w:hanging="602"/>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水利行业</w:t>
      </w:r>
      <w:r>
        <w:rPr>
          <w:rFonts w:hint="eastAsia" w:ascii="宋体" w:hAnsi="宋体" w:eastAsia="宋体" w:cs="宋体"/>
          <w:color w:val="auto"/>
          <w:sz w:val="21"/>
          <w:szCs w:val="21"/>
          <w:highlight w:val="none"/>
          <w:lang w:eastAsia="zh-CN"/>
        </w:rPr>
        <w:t>丙</w:t>
      </w:r>
      <w:r>
        <w:rPr>
          <w:rFonts w:hint="eastAsia" w:ascii="宋体" w:hAnsi="宋体" w:eastAsia="宋体" w:cs="宋体"/>
          <w:color w:val="auto"/>
          <w:sz w:val="21"/>
          <w:szCs w:val="21"/>
          <w:highlight w:val="none"/>
        </w:rPr>
        <w:t>级（含</w:t>
      </w:r>
      <w:r>
        <w:rPr>
          <w:rFonts w:hint="eastAsia" w:ascii="宋体" w:hAnsi="宋体" w:eastAsia="宋体" w:cs="宋体"/>
          <w:color w:val="auto"/>
          <w:sz w:val="21"/>
          <w:szCs w:val="21"/>
          <w:highlight w:val="none"/>
          <w:lang w:eastAsia="zh-CN"/>
        </w:rPr>
        <w:t>丙</w:t>
      </w:r>
      <w:r>
        <w:rPr>
          <w:rFonts w:hint="eastAsia" w:ascii="宋体" w:hAnsi="宋体" w:eastAsia="宋体" w:cs="宋体"/>
          <w:color w:val="auto"/>
          <w:sz w:val="21"/>
          <w:szCs w:val="21"/>
          <w:highlight w:val="none"/>
        </w:rPr>
        <w:t>级）以上设计资质</w:t>
      </w:r>
      <w:r>
        <w:rPr>
          <w:rFonts w:hint="eastAsia" w:cs="宋体"/>
          <w:color w:val="auto"/>
          <w:sz w:val="21"/>
          <w:szCs w:val="21"/>
          <w:highlight w:val="none"/>
          <w:lang w:eastAsia="zh-CN"/>
        </w:rPr>
        <w:t>和</w:t>
      </w:r>
      <w:r>
        <w:rPr>
          <w:rFonts w:hint="eastAsia" w:ascii="宋体" w:hAnsi="宋体" w:eastAsia="宋体" w:cs="宋体"/>
          <w:color w:val="auto"/>
          <w:sz w:val="21"/>
          <w:szCs w:val="21"/>
          <w:highlight w:val="none"/>
          <w:lang w:eastAsia="zh-CN"/>
        </w:rPr>
        <w:t>工程勘探专业类丙</w:t>
      </w:r>
      <w:r>
        <w:rPr>
          <w:rFonts w:hint="eastAsia" w:ascii="宋体" w:hAnsi="宋体" w:eastAsia="宋体" w:cs="宋体"/>
          <w:color w:val="auto"/>
          <w:sz w:val="21"/>
          <w:szCs w:val="21"/>
          <w:highlight w:val="none"/>
        </w:rPr>
        <w:t>级（含</w:t>
      </w:r>
      <w:r>
        <w:rPr>
          <w:rFonts w:hint="eastAsia" w:ascii="宋体" w:hAnsi="宋体" w:eastAsia="宋体" w:cs="宋体"/>
          <w:color w:val="auto"/>
          <w:sz w:val="21"/>
          <w:szCs w:val="21"/>
          <w:highlight w:val="none"/>
          <w:lang w:eastAsia="zh-CN"/>
        </w:rPr>
        <w:t>丙</w:t>
      </w:r>
      <w:r>
        <w:rPr>
          <w:rFonts w:hint="eastAsia" w:ascii="宋体" w:hAnsi="宋体" w:eastAsia="宋体" w:cs="宋体"/>
          <w:color w:val="auto"/>
          <w:sz w:val="21"/>
          <w:szCs w:val="21"/>
          <w:highlight w:val="none"/>
        </w:rPr>
        <w:t>级）以上</w:t>
      </w:r>
      <w:r>
        <w:rPr>
          <w:rFonts w:hint="eastAsia" w:ascii="宋体" w:hAnsi="宋体" w:eastAsia="宋体" w:cs="宋体"/>
          <w:b/>
          <w:color w:val="auto"/>
          <w:sz w:val="21"/>
          <w:szCs w:val="21"/>
          <w:highlight w:val="none"/>
        </w:rPr>
        <w:t>资质复印件；（必须提供）</w:t>
      </w:r>
    </w:p>
    <w:p>
      <w:pPr>
        <w:pStyle w:val="19"/>
        <w:numPr>
          <w:ilvl w:val="0"/>
          <w:numId w:val="22"/>
        </w:numPr>
        <w:tabs>
          <w:tab w:val="left" w:pos="1600"/>
        </w:tabs>
        <w:spacing w:before="156" w:after="0" w:line="240" w:lineRule="auto"/>
        <w:ind w:left="1599" w:right="0" w:hanging="60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项目负责人中级或以上职称证书；（必须提供）</w:t>
      </w:r>
    </w:p>
    <w:p>
      <w:pPr>
        <w:pStyle w:val="19"/>
        <w:numPr>
          <w:ilvl w:val="0"/>
          <w:numId w:val="22"/>
        </w:numPr>
        <w:tabs>
          <w:tab w:val="left" w:pos="1719"/>
        </w:tabs>
        <w:spacing w:before="158" w:after="0" w:line="364" w:lineRule="auto"/>
        <w:ind w:left="518" w:right="226"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 xml:space="preserve">供应商 </w:t>
      </w:r>
      <w:r>
        <w:rPr>
          <w:rFonts w:hint="eastAsia" w:ascii="宋体" w:hAnsi="宋体" w:eastAsia="宋体" w:cs="宋体"/>
          <w:color w:val="auto"/>
          <w:spacing w:val="-8"/>
          <w:sz w:val="21"/>
          <w:szCs w:val="21"/>
          <w:highlight w:val="none"/>
          <w:lang w:val="en-US" w:eastAsia="zh-CN"/>
        </w:rPr>
        <w:t>201</w:t>
      </w:r>
      <w:r>
        <w:rPr>
          <w:rFonts w:hint="eastAsia" w:cs="宋体"/>
          <w:color w:val="auto"/>
          <w:spacing w:val="-8"/>
          <w:sz w:val="21"/>
          <w:szCs w:val="21"/>
          <w:highlight w:val="none"/>
          <w:lang w:val="en-US" w:eastAsia="zh-CN"/>
        </w:rPr>
        <w:t>9</w:t>
      </w:r>
      <w:r>
        <w:rPr>
          <w:rFonts w:hint="eastAsia" w:ascii="宋体" w:hAnsi="宋体" w:eastAsia="宋体" w:cs="宋体"/>
          <w:color w:val="auto"/>
          <w:spacing w:val="-8"/>
          <w:sz w:val="21"/>
          <w:szCs w:val="21"/>
          <w:highlight w:val="none"/>
        </w:rPr>
        <w:t>年财务报表，或银行出具的资信</w:t>
      </w:r>
      <w:r>
        <w:rPr>
          <w:rFonts w:hint="eastAsia" w:ascii="宋体" w:hAnsi="宋体" w:eastAsia="宋体" w:cs="宋体"/>
          <w:color w:val="auto"/>
          <w:spacing w:val="-20"/>
          <w:sz w:val="21"/>
          <w:szCs w:val="21"/>
          <w:highlight w:val="none"/>
        </w:rPr>
        <w:t>证明</w:t>
      </w:r>
      <w:r>
        <w:rPr>
          <w:rFonts w:hint="eastAsia" w:ascii="宋体" w:hAnsi="宋体" w:eastAsia="宋体" w:cs="宋体"/>
          <w:color w:val="auto"/>
          <w:sz w:val="21"/>
          <w:szCs w:val="21"/>
          <w:highlight w:val="none"/>
        </w:rPr>
        <w:t>（复印件</w:t>
      </w:r>
      <w:r>
        <w:rPr>
          <w:rFonts w:hint="eastAsia" w:ascii="宋体" w:hAnsi="宋体" w:eastAsia="宋体" w:cs="宋体"/>
          <w:color w:val="auto"/>
          <w:spacing w:val="-31"/>
          <w:sz w:val="21"/>
          <w:szCs w:val="21"/>
          <w:highlight w:val="none"/>
        </w:rPr>
        <w:t>）</w:t>
      </w:r>
      <w:r>
        <w:rPr>
          <w:rFonts w:hint="eastAsia" w:ascii="宋体" w:hAnsi="宋体" w:eastAsia="宋体" w:cs="宋体"/>
          <w:color w:val="auto"/>
          <w:spacing w:val="-8"/>
          <w:sz w:val="21"/>
          <w:szCs w:val="21"/>
          <w:highlight w:val="none"/>
        </w:rPr>
        <w:t>；如响应供应商为新成立的，提供成立至今的月或季度财务状况报告或财</w:t>
      </w:r>
      <w:r>
        <w:rPr>
          <w:rFonts w:hint="eastAsia" w:ascii="宋体" w:hAnsi="宋体" w:eastAsia="宋体" w:cs="宋体"/>
          <w:color w:val="auto"/>
          <w:spacing w:val="-19"/>
          <w:sz w:val="21"/>
          <w:szCs w:val="21"/>
          <w:highlight w:val="none"/>
        </w:rPr>
        <w:t>务报表，或银行出具的资信证明；其他组织，提供银行出具的资信证明或</w:t>
      </w:r>
      <w:r>
        <w:rPr>
          <w:rFonts w:hint="eastAsia" w:ascii="宋体" w:hAnsi="宋体" w:eastAsia="宋体" w:cs="宋体"/>
          <w:color w:val="auto"/>
          <w:spacing w:val="-19"/>
          <w:sz w:val="21"/>
          <w:szCs w:val="21"/>
          <w:highlight w:val="none"/>
          <w:lang w:val="en-US" w:eastAsia="zh-CN"/>
        </w:rPr>
        <w:t>201</w:t>
      </w:r>
      <w:r>
        <w:rPr>
          <w:rFonts w:hint="eastAsia" w:cs="宋体"/>
          <w:color w:val="auto"/>
          <w:spacing w:val="-19"/>
          <w:sz w:val="21"/>
          <w:szCs w:val="21"/>
          <w:highlight w:val="none"/>
          <w:lang w:val="en-US" w:eastAsia="zh-CN"/>
        </w:rPr>
        <w:t>9</w:t>
      </w:r>
      <w:r>
        <w:rPr>
          <w:rFonts w:hint="eastAsia" w:ascii="宋体" w:hAnsi="宋体" w:eastAsia="宋体" w:cs="宋体"/>
          <w:color w:val="auto"/>
          <w:spacing w:val="-19"/>
          <w:sz w:val="21"/>
          <w:szCs w:val="21"/>
          <w:highlight w:val="none"/>
        </w:rPr>
        <w:t xml:space="preserve">年财务报表； </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pPr>
        <w:pStyle w:val="19"/>
        <w:numPr>
          <w:ilvl w:val="0"/>
          <w:numId w:val="22"/>
        </w:numPr>
        <w:tabs>
          <w:tab w:val="left" w:pos="1600"/>
        </w:tabs>
        <w:spacing w:before="0" w:after="0" w:line="240" w:lineRule="auto"/>
        <w:ind w:left="1599" w:right="0" w:hanging="602"/>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法定代表人资格证明书及身份证复印件；</w:t>
      </w:r>
      <w:r>
        <w:rPr>
          <w:rFonts w:hint="eastAsia" w:ascii="宋体" w:hAnsi="宋体" w:eastAsia="宋体" w:cs="宋体"/>
          <w:b/>
          <w:color w:val="auto"/>
          <w:sz w:val="21"/>
          <w:szCs w:val="21"/>
          <w:highlight w:val="none"/>
        </w:rPr>
        <w:t>（必须提供）</w:t>
      </w:r>
    </w:p>
    <w:p>
      <w:pPr>
        <w:pStyle w:val="19"/>
        <w:numPr>
          <w:ilvl w:val="0"/>
          <w:numId w:val="22"/>
        </w:numPr>
        <w:tabs>
          <w:tab w:val="left" w:pos="1600"/>
        </w:tabs>
        <w:spacing w:before="158" w:after="0" w:line="240" w:lineRule="auto"/>
        <w:ind w:left="1599" w:right="0" w:hanging="602"/>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法定代表人授权委托书及被委托人身份证；</w:t>
      </w:r>
      <w:r>
        <w:rPr>
          <w:rFonts w:hint="eastAsia" w:ascii="宋体" w:hAnsi="宋体" w:eastAsia="宋体" w:cs="宋体"/>
          <w:b/>
          <w:color w:val="auto"/>
          <w:sz w:val="21"/>
          <w:szCs w:val="21"/>
          <w:highlight w:val="none"/>
        </w:rPr>
        <w:t>（委托代理时必须提供）</w:t>
      </w:r>
    </w:p>
    <w:p>
      <w:pPr>
        <w:pStyle w:val="19"/>
        <w:numPr>
          <w:ilvl w:val="0"/>
          <w:numId w:val="22"/>
        </w:numPr>
        <w:tabs>
          <w:tab w:val="left" w:pos="1600"/>
        </w:tabs>
        <w:spacing w:before="160" w:after="0" w:line="362" w:lineRule="auto"/>
        <w:ind w:left="518" w:right="346" w:firstLine="480"/>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参加政府采购活动前三年内在经营活动中没有重大违法记录和不良信用记录的</w:t>
      </w:r>
      <w:r>
        <w:rPr>
          <w:rFonts w:hint="eastAsia" w:ascii="宋体" w:hAnsi="宋体" w:eastAsia="宋体" w:cs="宋体"/>
          <w:color w:val="auto"/>
          <w:sz w:val="21"/>
          <w:szCs w:val="21"/>
          <w:highlight w:val="none"/>
        </w:rPr>
        <w:t>书面声明；</w:t>
      </w:r>
      <w:r>
        <w:rPr>
          <w:rFonts w:hint="eastAsia" w:ascii="宋体" w:hAnsi="宋体" w:eastAsia="宋体" w:cs="宋体"/>
          <w:b/>
          <w:color w:val="auto"/>
          <w:sz w:val="21"/>
          <w:szCs w:val="21"/>
          <w:highlight w:val="none"/>
        </w:rPr>
        <w:t>（格式见附件，必须提供）</w:t>
      </w:r>
      <w:r>
        <w:rPr>
          <w:rFonts w:hint="eastAsia" w:ascii="宋体" w:hAnsi="宋体" w:eastAsia="宋体" w:cs="宋体"/>
          <w:color w:val="auto"/>
          <w:sz w:val="21"/>
          <w:szCs w:val="21"/>
          <w:highlight w:val="none"/>
        </w:rPr>
        <w:t>；</w:t>
      </w:r>
    </w:p>
    <w:p>
      <w:pPr>
        <w:pStyle w:val="19"/>
        <w:numPr>
          <w:ilvl w:val="0"/>
          <w:numId w:val="22"/>
        </w:numPr>
        <w:tabs>
          <w:tab w:val="left" w:pos="1746"/>
        </w:tabs>
        <w:spacing w:before="5" w:after="0" w:line="240" w:lineRule="auto"/>
        <w:ind w:left="1745" w:right="0" w:hanging="748"/>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供应商控股及管理关系情况申报表；</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如有，请</w:t>
      </w:r>
      <w:r>
        <w:rPr>
          <w:rFonts w:hint="eastAsia" w:ascii="宋体" w:hAnsi="宋体" w:eastAsia="宋体" w:cs="宋体"/>
          <w:b/>
          <w:color w:val="auto"/>
          <w:sz w:val="21"/>
          <w:szCs w:val="21"/>
          <w:highlight w:val="none"/>
        </w:rPr>
        <w:t>提供）</w:t>
      </w:r>
    </w:p>
    <w:p>
      <w:pPr>
        <w:pStyle w:val="19"/>
        <w:numPr>
          <w:ilvl w:val="0"/>
          <w:numId w:val="22"/>
        </w:numPr>
        <w:tabs>
          <w:tab w:val="left" w:pos="1720"/>
        </w:tabs>
        <w:spacing w:before="159" w:after="0" w:line="240" w:lineRule="auto"/>
        <w:ind w:left="1719" w:right="0" w:hanging="72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供应商认为有必要提供的证明其满足本项目竞标资格的声明及文件资料。</w:t>
      </w:r>
    </w:p>
    <w:p>
      <w:pPr>
        <w:spacing w:before="160" w:line="242" w:lineRule="auto"/>
        <w:ind w:left="518" w:right="313" w:firstLine="470"/>
        <w:jc w:val="left"/>
        <w:rPr>
          <w:rFonts w:hint="eastAsia" w:ascii="宋体" w:hAnsi="宋体" w:eastAsia="宋体" w:cs="宋体"/>
          <w:b/>
          <w:color w:val="auto"/>
          <w:sz w:val="21"/>
          <w:szCs w:val="21"/>
          <w:highlight w:val="none"/>
        </w:rPr>
      </w:pPr>
      <w:r>
        <w:rPr>
          <w:rFonts w:hint="eastAsia" w:ascii="宋体" w:hAnsi="宋体" w:eastAsia="宋体" w:cs="宋体"/>
          <w:b/>
          <w:color w:val="auto"/>
          <w:w w:val="95"/>
          <w:sz w:val="21"/>
          <w:szCs w:val="21"/>
          <w:highlight w:val="none"/>
        </w:rPr>
        <w:t xml:space="preserve">（以上材料属复印件的复印后必须加盖单位公章，标注有“必须提供”的材料必须  </w:t>
      </w:r>
      <w:r>
        <w:rPr>
          <w:rFonts w:hint="eastAsia" w:ascii="宋体" w:hAnsi="宋体" w:eastAsia="宋体" w:cs="宋体"/>
          <w:b/>
          <w:color w:val="auto"/>
          <w:sz w:val="21"/>
          <w:szCs w:val="21"/>
          <w:highlight w:val="none"/>
        </w:rPr>
        <w:t>提供，否则磋商响应无效）</w:t>
      </w:r>
    </w:p>
    <w:p>
      <w:pPr>
        <w:spacing w:after="0" w:line="242" w:lineRule="auto"/>
        <w:jc w:val="left"/>
        <w:rPr>
          <w:rFonts w:hint="eastAsia" w:ascii="宋体" w:hAnsi="宋体" w:eastAsia="宋体" w:cs="宋体"/>
          <w:color w:val="auto"/>
          <w:sz w:val="21"/>
          <w:szCs w:val="21"/>
          <w:highlight w:val="none"/>
        </w:rPr>
        <w:sectPr>
          <w:footerReference r:id="rId14" w:type="default"/>
          <w:pgSz w:w="11910" w:h="16840"/>
          <w:pgMar w:top="1300" w:right="900" w:bottom="1180" w:left="900" w:header="1100" w:footer="993" w:gutter="0"/>
          <w:pgNumType w:start="40"/>
        </w:sect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spacing w:before="8"/>
        <w:rPr>
          <w:rFonts w:hint="eastAsia" w:ascii="宋体" w:hAnsi="宋体" w:eastAsia="宋体" w:cs="宋体"/>
          <w:b/>
          <w:color w:val="auto"/>
          <w:sz w:val="21"/>
          <w:szCs w:val="21"/>
          <w:highlight w:val="none"/>
        </w:rPr>
      </w:pPr>
    </w:p>
    <w:p>
      <w:pPr>
        <w:spacing w:before="58"/>
        <w:ind w:left="588"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法定代表人资格证明书（格式）</w:t>
      </w:r>
    </w:p>
    <w:p>
      <w:pPr>
        <w:pStyle w:val="8"/>
        <w:rPr>
          <w:rFonts w:hint="eastAsia" w:ascii="宋体" w:hAnsi="宋体" w:eastAsia="宋体" w:cs="宋体"/>
          <w:b/>
          <w:color w:val="auto"/>
          <w:sz w:val="21"/>
          <w:szCs w:val="21"/>
          <w:highlight w:val="none"/>
        </w:rPr>
      </w:pPr>
    </w:p>
    <w:p>
      <w:pPr>
        <w:pStyle w:val="8"/>
        <w:tabs>
          <w:tab w:val="left" w:pos="1516"/>
        </w:tabs>
        <w:spacing w:before="204" w:line="388" w:lineRule="auto"/>
        <w:ind w:left="796" w:right="8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址</w:t>
      </w:r>
      <w:r>
        <w:rPr>
          <w:rFonts w:hint="eastAsia" w:ascii="宋体" w:hAnsi="宋体" w:eastAsia="宋体" w:cs="宋体"/>
          <w:color w:val="auto"/>
          <w:spacing w:val="-17"/>
          <w:sz w:val="21"/>
          <w:szCs w:val="21"/>
          <w:highlight w:val="none"/>
        </w:rPr>
        <w:t>：</w:t>
      </w:r>
    </w:p>
    <w:p>
      <w:pPr>
        <w:pStyle w:val="8"/>
        <w:tabs>
          <w:tab w:val="left" w:pos="3076"/>
          <w:tab w:val="left" w:pos="3916"/>
          <w:tab w:val="left" w:pos="4756"/>
        </w:tabs>
        <w:spacing w:before="5" w:line="388" w:lineRule="auto"/>
        <w:ind w:left="796" w:right="5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17"/>
          <w:sz w:val="21"/>
          <w:szCs w:val="21"/>
          <w:highlight w:val="none"/>
        </w:rPr>
        <w:t>日</w:t>
      </w:r>
      <w:r>
        <w:rPr>
          <w:rFonts w:hint="eastAsia" w:ascii="宋体" w:hAnsi="宋体" w:eastAsia="宋体" w:cs="宋体"/>
          <w:color w:val="auto"/>
          <w:sz w:val="21"/>
          <w:szCs w:val="21"/>
          <w:highlight w:val="none"/>
        </w:rPr>
        <w:t>经营期限：</w:t>
      </w:r>
    </w:p>
    <w:p>
      <w:pPr>
        <w:pStyle w:val="8"/>
        <w:tabs>
          <w:tab w:val="left" w:pos="2356"/>
          <w:tab w:val="left" w:pos="3676"/>
          <w:tab w:val="left" w:pos="4996"/>
        </w:tabs>
        <w:spacing w:before="2"/>
        <w:ind w:left="7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w:t>
      </w:r>
    </w:p>
    <w:p>
      <w:pPr>
        <w:pStyle w:val="8"/>
        <w:tabs>
          <w:tab w:val="left" w:pos="5116"/>
        </w:tabs>
        <w:spacing w:before="194" w:line="388" w:lineRule="auto"/>
        <w:ind w:left="796" w:right="33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的法定代表人</w:t>
      </w:r>
      <w:r>
        <w:rPr>
          <w:rFonts w:hint="eastAsia" w:ascii="宋体" w:hAnsi="宋体" w:eastAsia="宋体" w:cs="宋体"/>
          <w:color w:val="auto"/>
          <w:spacing w:val="-17"/>
          <w:sz w:val="21"/>
          <w:szCs w:val="21"/>
          <w:highlight w:val="none"/>
        </w:rPr>
        <w:t>。</w:t>
      </w:r>
      <w:r>
        <w:rPr>
          <w:rFonts w:hint="eastAsia" w:ascii="宋体" w:hAnsi="宋体" w:eastAsia="宋体" w:cs="宋体"/>
          <w:color w:val="auto"/>
          <w:sz w:val="21"/>
          <w:szCs w:val="21"/>
          <w:highlight w:val="none"/>
        </w:rPr>
        <w:t>特此证明。</w:t>
      </w:r>
    </w:p>
    <w:p>
      <w:pPr>
        <w:pStyle w:val="8"/>
        <w:rPr>
          <w:rFonts w:hint="eastAsia" w:ascii="宋体" w:hAnsi="宋体" w:eastAsia="宋体" w:cs="宋体"/>
          <w:color w:val="auto"/>
          <w:sz w:val="21"/>
          <w:szCs w:val="21"/>
          <w:highlight w:val="none"/>
        </w:rPr>
      </w:pPr>
    </w:p>
    <w:p>
      <w:pPr>
        <w:pStyle w:val="8"/>
        <w:tabs>
          <w:tab w:val="left" w:pos="6038"/>
          <w:tab w:val="left" w:pos="6998"/>
          <w:tab w:val="left" w:pos="7598"/>
          <w:tab w:val="left" w:pos="8018"/>
          <w:tab w:val="left" w:pos="8198"/>
        </w:tabs>
        <w:spacing w:before="196" w:line="388" w:lineRule="auto"/>
        <w:ind w:left="5078" w:right="406" w:hanging="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1024" behindDoc="0" locked="0" layoutInCell="1" allowOverlap="1">
                <wp:simplePos x="0" y="0"/>
                <wp:positionH relativeFrom="page">
                  <wp:posOffset>900430</wp:posOffset>
                </wp:positionH>
                <wp:positionV relativeFrom="paragraph">
                  <wp:posOffset>884555</wp:posOffset>
                </wp:positionV>
                <wp:extent cx="6134100" cy="0"/>
                <wp:effectExtent l="0" t="0" r="0" b="0"/>
                <wp:wrapNone/>
                <wp:docPr id="1028" name="直线 34"/>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34" o:spid="_x0000_s1026" o:spt="20" style="position:absolute;left:0pt;margin-left:70.9pt;margin-top:69.65pt;height:0pt;width:483pt;mso-position-horizontal-relative:page;z-index:1024;mso-width-relative:page;mso-height-relative:page;" filled="f" stroked="t" coordsize="21600,21600" o:gfxdata="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yrVH21gAAAAwBAAAPAAAAAAAAAAEAIAAAACIAAABkcnMv&#10;ZG93bnJldi54bWxQSwECFAAUAAAACACHTuJAckPOnMwBAACPAwAADgAAAAAAAAABACAAAAAlAQAA&#10;ZHJzL2Uyb0RvYy54bWxQSwUGAAAAAAYABgBZAQAAYw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（签字或盖章</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pStyle w:val="8"/>
        <w:rPr>
          <w:rFonts w:hint="eastAsia" w:ascii="宋体" w:hAnsi="宋体" w:eastAsia="宋体" w:cs="宋体"/>
          <w:color w:val="auto"/>
          <w:sz w:val="21"/>
          <w:szCs w:val="21"/>
          <w:highlight w:val="none"/>
        </w:rPr>
      </w:pPr>
    </w:p>
    <w:p>
      <w:pPr>
        <w:pStyle w:val="8"/>
        <w:spacing w:before="10"/>
        <w:rPr>
          <w:rFonts w:hint="eastAsia" w:ascii="宋体" w:hAnsi="宋体" w:eastAsia="宋体" w:cs="宋体"/>
          <w:color w:val="auto"/>
          <w:sz w:val="21"/>
          <w:szCs w:val="21"/>
          <w:highlight w:val="none"/>
        </w:rPr>
      </w:pPr>
    </w:p>
    <w:p>
      <w:pPr>
        <w:spacing w:before="0"/>
        <w:ind w:left="518" w:right="0"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附：法定代表人身份证复印件</w:t>
      </w: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spacing w:before="202"/>
        <w:ind w:left="518"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before="66"/>
        <w:ind w:left="938"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内容填写要明确，响应文件正本必须为原件，文字要工整清楚，涂改无效。</w:t>
      </w:r>
    </w:p>
    <w:p>
      <w:pPr>
        <w:spacing w:before="62"/>
        <w:ind w:left="938"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不得转借、转让。</w:t>
      </w:r>
    </w:p>
    <w:p>
      <w:pPr>
        <w:spacing w:after="0"/>
        <w:jc w:val="left"/>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spacing w:before="12"/>
        <w:rPr>
          <w:rFonts w:hint="eastAsia" w:ascii="宋体" w:hAnsi="宋体" w:eastAsia="宋体" w:cs="宋体"/>
          <w:color w:val="auto"/>
          <w:sz w:val="21"/>
          <w:szCs w:val="21"/>
          <w:highlight w:val="none"/>
        </w:rPr>
      </w:pPr>
    </w:p>
    <w:p>
      <w:pPr>
        <w:spacing w:before="54"/>
        <w:ind w:left="170" w:right="1" w:firstLine="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法定代表人授权委托书</w:t>
      </w:r>
      <w:r>
        <w:rPr>
          <w:rFonts w:hint="eastAsia" w:ascii="宋体" w:hAnsi="宋体" w:eastAsia="宋体" w:cs="宋体"/>
          <w:color w:val="auto"/>
          <w:sz w:val="21"/>
          <w:szCs w:val="21"/>
          <w:highlight w:val="none"/>
        </w:rPr>
        <w:t>（格式）</w:t>
      </w:r>
    </w:p>
    <w:p>
      <w:pPr>
        <w:pStyle w:val="8"/>
        <w:spacing w:before="12"/>
        <w:rPr>
          <w:rFonts w:hint="eastAsia" w:ascii="宋体" w:hAnsi="宋体" w:eastAsia="宋体" w:cs="宋体"/>
          <w:color w:val="auto"/>
          <w:sz w:val="21"/>
          <w:szCs w:val="21"/>
          <w:highlight w:val="none"/>
        </w:rPr>
      </w:pPr>
    </w:p>
    <w:p>
      <w:pPr>
        <w:pStyle w:val="8"/>
        <w:tabs>
          <w:tab w:val="left" w:pos="3098"/>
          <w:tab w:val="left" w:pos="8783"/>
        </w:tabs>
        <w:ind w:left="1238"/>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兹授权</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rPr>
        <w:tab/>
      </w:r>
      <w:r>
        <w:rPr>
          <w:rFonts w:hint="eastAsia" w:ascii="宋体" w:hAnsi="宋体" w:eastAsia="宋体" w:cs="宋体"/>
          <w:color w:val="auto"/>
          <w:spacing w:val="4"/>
          <w:sz w:val="21"/>
          <w:szCs w:val="21"/>
          <w:highlight w:val="none"/>
        </w:rPr>
        <w:t>同志为我方参加贵单位组织</w:t>
      </w:r>
      <w:r>
        <w:rPr>
          <w:rFonts w:hint="eastAsia" w:ascii="宋体" w:hAnsi="宋体" w:eastAsia="宋体" w:cs="宋体"/>
          <w:color w:val="auto"/>
          <w:spacing w:val="7"/>
          <w:sz w:val="21"/>
          <w:szCs w:val="21"/>
          <w:highlight w:val="none"/>
        </w:rPr>
        <w:t>的</w:t>
      </w:r>
      <w:r>
        <w:rPr>
          <w:rFonts w:hint="eastAsia" w:ascii="宋体" w:hAnsi="宋体" w:eastAsia="宋体" w:cs="宋体"/>
          <w:color w:val="auto"/>
          <w:spacing w:val="7"/>
          <w:sz w:val="21"/>
          <w:szCs w:val="21"/>
          <w:highlight w:val="none"/>
          <w:u w:val="single"/>
        </w:rPr>
        <w:t xml:space="preserve"> </w:t>
      </w:r>
      <w:r>
        <w:rPr>
          <w:rFonts w:hint="eastAsia" w:ascii="宋体" w:hAnsi="宋体" w:eastAsia="宋体" w:cs="宋体"/>
          <w:color w:val="auto"/>
          <w:spacing w:val="7"/>
          <w:sz w:val="21"/>
          <w:szCs w:val="21"/>
          <w:highlight w:val="none"/>
          <w:u w:val="single"/>
        </w:rPr>
        <w:tab/>
      </w:r>
      <w:r>
        <w:rPr>
          <w:rFonts w:hint="eastAsia" w:ascii="宋体" w:hAnsi="宋体" w:eastAsia="宋体" w:cs="宋体"/>
          <w:color w:val="auto"/>
          <w:spacing w:val="4"/>
          <w:sz w:val="21"/>
          <w:szCs w:val="21"/>
          <w:highlight w:val="none"/>
        </w:rPr>
        <w:t>采购项</w:t>
      </w:r>
      <w:r>
        <w:rPr>
          <w:rFonts w:hint="eastAsia" w:ascii="宋体" w:hAnsi="宋体" w:eastAsia="宋体" w:cs="宋体"/>
          <w:color w:val="auto"/>
          <w:sz w:val="21"/>
          <w:szCs w:val="21"/>
          <w:highlight w:val="none"/>
        </w:rPr>
        <w:t>目</w:t>
      </w:r>
    </w:p>
    <w:p>
      <w:pPr>
        <w:pStyle w:val="8"/>
        <w:tabs>
          <w:tab w:val="left" w:pos="3518"/>
        </w:tabs>
        <w:spacing w:before="173" w:line="374" w:lineRule="auto"/>
        <w:ind w:left="518" w:right="3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）竞标代理人，全权代表我公司处理在该项目活动中的一</w:t>
      </w:r>
      <w:r>
        <w:rPr>
          <w:rFonts w:hint="eastAsia" w:ascii="宋体" w:hAnsi="宋体" w:eastAsia="宋体" w:cs="宋体"/>
          <w:color w:val="auto"/>
          <w:spacing w:val="-17"/>
          <w:sz w:val="21"/>
          <w:szCs w:val="21"/>
          <w:highlight w:val="none"/>
        </w:rPr>
        <w:t>切</w:t>
      </w:r>
      <w:r>
        <w:rPr>
          <w:rFonts w:hint="eastAsia" w:ascii="宋体" w:hAnsi="宋体" w:eastAsia="宋体" w:cs="宋体"/>
          <w:color w:val="auto"/>
          <w:sz w:val="21"/>
          <w:szCs w:val="21"/>
          <w:highlight w:val="none"/>
        </w:rPr>
        <w:t>事宜。</w:t>
      </w:r>
    </w:p>
    <w:p>
      <w:pPr>
        <w:pStyle w:val="8"/>
        <w:rPr>
          <w:rFonts w:hint="eastAsia" w:ascii="宋体" w:hAnsi="宋体" w:eastAsia="宋体" w:cs="宋体"/>
          <w:color w:val="auto"/>
          <w:sz w:val="21"/>
          <w:szCs w:val="21"/>
          <w:highlight w:val="none"/>
        </w:rPr>
      </w:pPr>
    </w:p>
    <w:p>
      <w:pPr>
        <w:pStyle w:val="8"/>
        <w:spacing w:before="173"/>
        <w:ind w:left="9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代理期限：</w:t>
      </w:r>
    </w:p>
    <w:p>
      <w:pPr>
        <w:pStyle w:val="8"/>
        <w:rPr>
          <w:rFonts w:hint="eastAsia" w:ascii="宋体" w:hAnsi="宋体" w:eastAsia="宋体" w:cs="宋体"/>
          <w:color w:val="auto"/>
          <w:sz w:val="21"/>
          <w:szCs w:val="21"/>
          <w:highlight w:val="none"/>
        </w:rPr>
      </w:pPr>
    </w:p>
    <w:p>
      <w:pPr>
        <w:pStyle w:val="8"/>
        <w:spacing w:before="12"/>
        <w:rPr>
          <w:rFonts w:hint="eastAsia" w:ascii="宋体" w:hAnsi="宋体" w:eastAsia="宋体" w:cs="宋体"/>
          <w:color w:val="auto"/>
          <w:sz w:val="21"/>
          <w:szCs w:val="21"/>
          <w:highlight w:val="none"/>
        </w:rPr>
      </w:pPr>
    </w:p>
    <w:p>
      <w:pPr>
        <w:pStyle w:val="8"/>
        <w:tabs>
          <w:tab w:val="left" w:pos="3914"/>
          <w:tab w:val="left" w:pos="5342"/>
          <w:tab w:val="left" w:pos="8198"/>
        </w:tabs>
        <w:ind w:left="9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委托单位</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3"/>
          <w:sz w:val="21"/>
          <w:szCs w:val="21"/>
          <w:highlight w:val="none"/>
          <w:u w:val="single"/>
        </w:rPr>
        <w:t xml:space="preserve"> </w:t>
      </w:r>
      <w:r>
        <w:rPr>
          <w:rFonts w:hint="eastAsia" w:ascii="宋体" w:hAnsi="宋体" w:eastAsia="宋体" w:cs="宋体"/>
          <w:color w:val="auto"/>
          <w:spacing w:val="-13"/>
          <w:sz w:val="21"/>
          <w:szCs w:val="21"/>
          <w:highlight w:val="none"/>
          <w:u w:val="single"/>
        </w:rPr>
        <w:tab/>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法定代表人</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3"/>
          <w:sz w:val="21"/>
          <w:szCs w:val="21"/>
          <w:highlight w:val="none"/>
          <w:u w:val="single"/>
        </w:rPr>
        <w:t xml:space="preserve"> </w:t>
      </w:r>
      <w:r>
        <w:rPr>
          <w:rFonts w:hint="eastAsia" w:ascii="宋体" w:hAnsi="宋体" w:eastAsia="宋体" w:cs="宋体"/>
          <w:color w:val="auto"/>
          <w:spacing w:val="-13"/>
          <w:sz w:val="21"/>
          <w:szCs w:val="21"/>
          <w:highlight w:val="none"/>
          <w:u w:val="single"/>
        </w:rPr>
        <w:tab/>
      </w:r>
      <w:r>
        <w:rPr>
          <w:rFonts w:hint="eastAsia" w:ascii="宋体" w:hAnsi="宋体" w:eastAsia="宋体" w:cs="宋体"/>
          <w:color w:val="auto"/>
          <w:sz w:val="21"/>
          <w:szCs w:val="21"/>
          <w:highlight w:val="none"/>
        </w:rPr>
        <w:t>（签字或盖章）</w:t>
      </w:r>
    </w:p>
    <w:p>
      <w:pPr>
        <w:pStyle w:val="8"/>
        <w:rPr>
          <w:rFonts w:hint="eastAsia" w:ascii="宋体" w:hAnsi="宋体" w:eastAsia="宋体" w:cs="宋体"/>
          <w:color w:val="auto"/>
          <w:sz w:val="21"/>
          <w:szCs w:val="21"/>
          <w:highlight w:val="none"/>
        </w:rPr>
      </w:pPr>
    </w:p>
    <w:p>
      <w:pPr>
        <w:pStyle w:val="8"/>
        <w:spacing w:before="11"/>
        <w:rPr>
          <w:rFonts w:hint="eastAsia" w:ascii="宋体" w:hAnsi="宋体" w:eastAsia="宋体" w:cs="宋体"/>
          <w:color w:val="auto"/>
          <w:sz w:val="21"/>
          <w:szCs w:val="21"/>
          <w:highlight w:val="none"/>
        </w:rPr>
      </w:pPr>
    </w:p>
    <w:p>
      <w:pPr>
        <w:pStyle w:val="8"/>
        <w:tabs>
          <w:tab w:val="left" w:pos="3218"/>
          <w:tab w:val="left" w:pos="4058"/>
          <w:tab w:val="left" w:pos="4898"/>
        </w:tabs>
        <w:spacing w:before="1"/>
        <w:ind w:left="9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1024" behindDoc="0" locked="0" layoutInCell="1" allowOverlap="1">
                <wp:simplePos x="0" y="0"/>
                <wp:positionH relativeFrom="page">
                  <wp:posOffset>900430</wp:posOffset>
                </wp:positionH>
                <wp:positionV relativeFrom="paragraph">
                  <wp:posOffset>517525</wp:posOffset>
                </wp:positionV>
                <wp:extent cx="6134100" cy="0"/>
                <wp:effectExtent l="0" t="0" r="0" b="0"/>
                <wp:wrapNone/>
                <wp:docPr id="1029" name="直线 35"/>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35" o:spid="_x0000_s1026" o:spt="20" style="position:absolute;left:0pt;margin-left:70.9pt;margin-top:40.75pt;height:0pt;width:483pt;mso-position-horizontal-relative:page;z-index:1024;mso-width-relative:page;mso-height-relative:page;" filled="f" stroked="t" coordsize="21600,21600" o:gfxdata="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sev21QAAAAoBAAAPAAAAAAAAAAEAIAAAACIAAABkcnMv&#10;ZG93bnJldi54bWxQSwECFAAUAAAACACHTuJAZHX5Vs0BAACPAwAADgAAAAAAAAABACAAAAAkAQAA&#10;ZHJzL2Uyb0RvYy54bWxQSwUGAAAAAAYABgBZAQAAYw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1"/>
        <w:rPr>
          <w:rFonts w:hint="eastAsia" w:ascii="宋体" w:hAnsi="宋体" w:eastAsia="宋体" w:cs="宋体"/>
          <w:color w:val="auto"/>
          <w:sz w:val="21"/>
          <w:szCs w:val="21"/>
          <w:highlight w:val="none"/>
        </w:rPr>
      </w:pPr>
    </w:p>
    <w:p>
      <w:pPr>
        <w:pStyle w:val="8"/>
        <w:tabs>
          <w:tab w:val="left" w:pos="6637"/>
          <w:tab w:val="left" w:pos="8149"/>
          <w:tab w:val="left" w:pos="8197"/>
        </w:tabs>
        <w:spacing w:line="374" w:lineRule="auto"/>
        <w:ind w:left="2138" w:right="1006" w:hanging="114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代理人</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u w:val="single"/>
          <w:lang w:val="en-US" w:eastAsia="zh-CN"/>
        </w:rPr>
        <w:t xml:space="preserve">           </w:t>
      </w:r>
    </w:p>
    <w:p>
      <w:pPr>
        <w:spacing w:before="1"/>
        <w:ind w:left="878" w:right="0"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附：代理人身份证复印件。</w:t>
      </w: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spacing w:before="1"/>
        <w:rPr>
          <w:rFonts w:hint="eastAsia" w:ascii="宋体" w:hAnsi="宋体" w:eastAsia="宋体" w:cs="宋体"/>
          <w:b/>
          <w:color w:val="auto"/>
          <w:sz w:val="21"/>
          <w:szCs w:val="21"/>
          <w:highlight w:val="none"/>
        </w:rPr>
      </w:pPr>
    </w:p>
    <w:p>
      <w:pPr>
        <w:spacing w:before="0"/>
        <w:ind w:left="518" w:right="0" w:firstLine="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说明</w:t>
      </w:r>
      <w:r>
        <w:rPr>
          <w:rFonts w:hint="eastAsia" w:ascii="宋体" w:hAnsi="宋体" w:eastAsia="宋体" w:cs="宋体"/>
          <w:color w:val="auto"/>
          <w:sz w:val="21"/>
          <w:szCs w:val="21"/>
          <w:highlight w:val="none"/>
        </w:rPr>
        <w:t>：</w:t>
      </w:r>
    </w:p>
    <w:p>
      <w:pPr>
        <w:spacing w:before="133"/>
        <w:ind w:left="916"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法定代表人授权委托书所签发的代理期限必须涵盖代理人所有签字为有效的时间</w:t>
      </w:r>
      <w:r>
        <w:rPr>
          <w:rFonts w:hint="eastAsia" w:ascii="宋体" w:hAnsi="宋体" w:eastAsia="宋体" w:cs="宋体"/>
          <w:color w:val="auto"/>
          <w:sz w:val="21"/>
          <w:szCs w:val="21"/>
          <w:highlight w:val="none"/>
        </w:rPr>
        <w:t>。</w:t>
      </w:r>
    </w:p>
    <w:p>
      <w:pPr>
        <w:spacing w:before="135"/>
        <w:ind w:left="916"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2、委托书内容填写要明确，文字要工整清楚，涂改无效。</w:t>
      </w:r>
    </w:p>
    <w:p>
      <w:pPr>
        <w:spacing w:before="132"/>
        <w:ind w:left="916"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3、委托书不得转借、转让，不得买卖。</w:t>
      </w:r>
    </w:p>
    <w:p>
      <w:pPr>
        <w:spacing w:before="133"/>
        <w:ind w:left="916"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4、代理人根据授权范围，以委托单位的名义签订合同，并将此委托书提交给对方作为合同附件。</w:t>
      </w:r>
    </w:p>
    <w:p>
      <w:pPr>
        <w:spacing w:after="0"/>
        <w:jc w:val="left"/>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12"/>
        <w:rPr>
          <w:rFonts w:hint="eastAsia" w:ascii="宋体" w:hAnsi="宋体" w:eastAsia="宋体" w:cs="宋体"/>
          <w:color w:val="auto"/>
          <w:sz w:val="21"/>
          <w:szCs w:val="21"/>
          <w:highlight w:val="none"/>
        </w:rPr>
      </w:pPr>
    </w:p>
    <w:p>
      <w:pPr>
        <w:spacing w:before="54"/>
        <w:ind w:left="170" w:right="1" w:firstLine="0"/>
        <w:jc w:val="center"/>
        <w:rPr>
          <w:rFonts w:hint="eastAsia" w:ascii="宋体" w:hAnsi="宋体" w:eastAsia="宋体" w:cs="宋体"/>
          <w:b/>
          <w:color w:val="auto"/>
          <w:sz w:val="21"/>
          <w:szCs w:val="21"/>
          <w:highlight w:val="none"/>
        </w:rPr>
      </w:pPr>
      <w:bookmarkStart w:id="129" w:name="无重大违法记录声明书 （格式）"/>
      <w:bookmarkEnd w:id="129"/>
      <w:r>
        <w:rPr>
          <w:rFonts w:hint="eastAsia" w:ascii="宋体" w:hAnsi="宋体" w:eastAsia="宋体" w:cs="宋体"/>
          <w:b/>
          <w:color w:val="auto"/>
          <w:sz w:val="21"/>
          <w:szCs w:val="21"/>
          <w:highlight w:val="none"/>
        </w:rPr>
        <w:t>无重大违法记录声明书 （格式）</w:t>
      </w: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spacing w:before="6"/>
        <w:rPr>
          <w:rFonts w:hint="eastAsia" w:ascii="宋体" w:hAnsi="宋体" w:eastAsia="宋体" w:cs="宋体"/>
          <w:b/>
          <w:color w:val="auto"/>
          <w:sz w:val="21"/>
          <w:szCs w:val="21"/>
          <w:highlight w:val="none"/>
        </w:rPr>
      </w:pPr>
    </w:p>
    <w:p>
      <w:pPr>
        <w:pStyle w:val="8"/>
        <w:spacing w:before="67"/>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w:t>
      </w:r>
    </w:p>
    <w:p>
      <w:pPr>
        <w:pStyle w:val="8"/>
        <w:spacing w:before="9"/>
        <w:rPr>
          <w:rFonts w:hint="eastAsia" w:ascii="宋体" w:hAnsi="宋体" w:eastAsia="宋体" w:cs="宋体"/>
          <w:color w:val="auto"/>
          <w:sz w:val="21"/>
          <w:szCs w:val="21"/>
          <w:highlight w:val="none"/>
        </w:rPr>
      </w:pPr>
    </w:p>
    <w:p>
      <w:pPr>
        <w:pStyle w:val="8"/>
        <w:tabs>
          <w:tab w:val="left" w:pos="4821"/>
          <w:tab w:val="left" w:pos="6591"/>
        </w:tabs>
        <w:spacing w:before="74" w:line="484" w:lineRule="auto"/>
        <w:ind w:left="518" w:right="226" w:firstLine="54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我公司参加贵单位组</w:t>
      </w:r>
      <w:r>
        <w:rPr>
          <w:rFonts w:hint="eastAsia" w:ascii="宋体" w:hAnsi="宋体" w:eastAsia="宋体" w:cs="宋体"/>
          <w:color w:val="auto"/>
          <w:sz w:val="21"/>
          <w:szCs w:val="21"/>
          <w:highlight w:val="none"/>
        </w:rPr>
        <w:t>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12"/>
          <w:sz w:val="21"/>
          <w:szCs w:val="21"/>
          <w:highlight w:val="none"/>
          <w:u w:val="single"/>
        </w:rPr>
        <w:t>（项目名称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12"/>
          <w:sz w:val="21"/>
          <w:szCs w:val="21"/>
          <w:highlight w:val="none"/>
        </w:rPr>
        <w:t>项目的竞标活动</w:t>
      </w:r>
      <w:r>
        <w:rPr>
          <w:rFonts w:hint="eastAsia" w:ascii="宋体" w:hAnsi="宋体" w:eastAsia="宋体" w:cs="宋体"/>
          <w:color w:val="auto"/>
          <w:spacing w:val="-39"/>
          <w:sz w:val="21"/>
          <w:szCs w:val="21"/>
          <w:highlight w:val="none"/>
        </w:rPr>
        <w:t>。</w:t>
      </w:r>
      <w:r>
        <w:rPr>
          <w:rFonts w:hint="eastAsia" w:ascii="宋体" w:hAnsi="宋体" w:eastAsia="宋体" w:cs="宋体"/>
          <w:color w:val="auto"/>
          <w:spacing w:val="-12"/>
          <w:sz w:val="21"/>
          <w:szCs w:val="21"/>
          <w:highlight w:val="none"/>
        </w:rPr>
        <w:t>我公司在此</w:t>
      </w:r>
      <w:r>
        <w:rPr>
          <w:rFonts w:hint="eastAsia" w:ascii="宋体" w:hAnsi="宋体" w:eastAsia="宋体" w:cs="宋体"/>
          <w:color w:val="auto"/>
          <w:sz w:val="21"/>
          <w:szCs w:val="21"/>
          <w:highlight w:val="none"/>
        </w:rPr>
        <w:t>郑</w:t>
      </w:r>
      <w:r>
        <w:rPr>
          <w:rFonts w:hint="eastAsia" w:ascii="宋体" w:hAnsi="宋体" w:eastAsia="宋体" w:cs="宋体"/>
          <w:color w:val="auto"/>
          <w:spacing w:val="-12"/>
          <w:sz w:val="21"/>
          <w:szCs w:val="21"/>
          <w:highlight w:val="none"/>
        </w:rPr>
        <w:t>重声明</w:t>
      </w:r>
      <w:r>
        <w:rPr>
          <w:rFonts w:hint="eastAsia" w:ascii="宋体" w:hAnsi="宋体" w:eastAsia="宋体" w:cs="宋体"/>
          <w:color w:val="auto"/>
          <w:spacing w:val="-125"/>
          <w:sz w:val="21"/>
          <w:szCs w:val="21"/>
          <w:highlight w:val="none"/>
        </w:rPr>
        <w:t>，</w:t>
      </w:r>
      <w:r>
        <w:rPr>
          <w:rFonts w:hint="eastAsia" w:ascii="宋体" w:hAnsi="宋体" w:eastAsia="宋体" w:cs="宋体"/>
          <w:color w:val="auto"/>
          <w:spacing w:val="-12"/>
          <w:sz w:val="21"/>
          <w:szCs w:val="21"/>
          <w:highlight w:val="none"/>
        </w:rPr>
        <w:t>我公司参加本项目的政府采购活动前三年内在经营活动中没有重大违法记录</w:t>
      </w:r>
      <w:r>
        <w:rPr>
          <w:rFonts w:hint="eastAsia" w:ascii="宋体" w:hAnsi="宋体" w:eastAsia="宋体" w:cs="宋体"/>
          <w:color w:val="auto"/>
          <w:spacing w:val="-125"/>
          <w:sz w:val="21"/>
          <w:szCs w:val="21"/>
          <w:highlight w:val="none"/>
        </w:rPr>
        <w:t>，</w:t>
      </w:r>
      <w:r>
        <w:rPr>
          <w:rFonts w:hint="eastAsia" w:ascii="宋体" w:hAnsi="宋体" w:eastAsia="宋体" w:cs="宋体"/>
          <w:color w:val="auto"/>
          <w:spacing w:val="-12"/>
          <w:sz w:val="21"/>
          <w:szCs w:val="21"/>
          <w:highlight w:val="none"/>
        </w:rPr>
        <w:t>符</w:t>
      </w:r>
      <w:r>
        <w:rPr>
          <w:rFonts w:hint="eastAsia" w:ascii="宋体" w:hAnsi="宋体" w:eastAsia="宋体" w:cs="宋体"/>
          <w:color w:val="auto"/>
          <w:spacing w:val="-123"/>
          <w:sz w:val="21"/>
          <w:szCs w:val="21"/>
          <w:highlight w:val="none"/>
        </w:rPr>
        <w:t>合</w:t>
      </w:r>
      <w:r>
        <w:rPr>
          <w:rFonts w:hint="eastAsia" w:ascii="宋体" w:hAnsi="宋体" w:eastAsia="宋体" w:cs="宋体"/>
          <w:color w:val="auto"/>
          <w:spacing w:val="-13"/>
          <w:sz w:val="21"/>
          <w:szCs w:val="21"/>
          <w:highlight w:val="none"/>
        </w:rPr>
        <w:t>《</w:t>
      </w:r>
      <w:r>
        <w:rPr>
          <w:rFonts w:hint="eastAsia" w:ascii="宋体" w:hAnsi="宋体" w:eastAsia="宋体" w:cs="宋体"/>
          <w:color w:val="auto"/>
          <w:sz w:val="21"/>
          <w:szCs w:val="21"/>
          <w:highlight w:val="none"/>
        </w:rPr>
        <w:t>中</w:t>
      </w:r>
      <w:r>
        <w:rPr>
          <w:rFonts w:hint="eastAsia" w:ascii="宋体" w:hAnsi="宋体" w:eastAsia="宋体" w:cs="宋体"/>
          <w:color w:val="auto"/>
          <w:spacing w:val="-12"/>
          <w:sz w:val="21"/>
          <w:szCs w:val="21"/>
          <w:highlight w:val="none"/>
        </w:rPr>
        <w:t>华人民共和国政府采购法》及《中华人民共和国政府采购实施条例》规定的谈判供应商条</w:t>
      </w:r>
      <w:r>
        <w:rPr>
          <w:rFonts w:hint="eastAsia" w:ascii="宋体" w:hAnsi="宋体" w:eastAsia="宋体" w:cs="宋体"/>
          <w:color w:val="auto"/>
          <w:spacing w:val="-13"/>
          <w:sz w:val="21"/>
          <w:szCs w:val="21"/>
          <w:highlight w:val="none"/>
        </w:rPr>
        <w:t>件</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2"/>
          <w:sz w:val="21"/>
          <w:szCs w:val="21"/>
          <w:highlight w:val="none"/>
        </w:rPr>
        <w:t>我公司对此声明负全部法律责任</w:t>
      </w:r>
      <w:r>
        <w:rPr>
          <w:rFonts w:hint="eastAsia" w:ascii="宋体" w:hAnsi="宋体" w:eastAsia="宋体" w:cs="宋体"/>
          <w:color w:val="auto"/>
          <w:sz w:val="21"/>
          <w:szCs w:val="21"/>
          <w:highlight w:val="none"/>
        </w:rPr>
        <w:t>。</w:t>
      </w:r>
    </w:p>
    <w:p>
      <w:pPr>
        <w:pStyle w:val="8"/>
        <w:spacing w:before="7"/>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7"/>
        <w:rPr>
          <w:rFonts w:hint="eastAsia" w:ascii="宋体" w:hAnsi="宋体" w:eastAsia="宋体" w:cs="宋体"/>
          <w:color w:val="auto"/>
          <w:sz w:val="21"/>
          <w:szCs w:val="21"/>
          <w:highlight w:val="none"/>
        </w:rPr>
      </w:pPr>
    </w:p>
    <w:p>
      <w:pPr>
        <w:pStyle w:val="8"/>
        <w:ind w:left="4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pStyle w:val="8"/>
        <w:spacing w:before="12"/>
        <w:rPr>
          <w:rFonts w:hint="eastAsia" w:ascii="宋体" w:hAnsi="宋体" w:eastAsia="宋体" w:cs="宋体"/>
          <w:color w:val="auto"/>
          <w:sz w:val="21"/>
          <w:szCs w:val="21"/>
          <w:highlight w:val="none"/>
        </w:rPr>
      </w:pPr>
    </w:p>
    <w:p>
      <w:pPr>
        <w:pStyle w:val="8"/>
        <w:tabs>
          <w:tab w:val="left" w:pos="4718"/>
        </w:tabs>
        <w:spacing w:line="458" w:lineRule="auto"/>
        <w:ind w:left="4238" w:right="13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法定代表人或委托代理人（签字或盖章</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期：</w:t>
      </w:r>
    </w:p>
    <w:p>
      <w:pPr>
        <w:spacing w:after="0" w:line="458" w:lineRule="auto"/>
        <w:rPr>
          <w:rFonts w:hint="eastAsia" w:ascii="宋体" w:hAnsi="宋体" w:eastAsia="宋体" w:cs="宋体"/>
          <w:color w:val="auto"/>
          <w:sz w:val="21"/>
          <w:szCs w:val="21"/>
          <w:highlight w:val="none"/>
        </w:rPr>
        <w:sectPr>
          <w:pgSz w:w="11910" w:h="16840"/>
          <w:pgMar w:top="1300" w:right="900" w:bottom="1180" w:left="900" w:header="1100" w:footer="993" w:gutter="0"/>
        </w:sectPr>
      </w:pPr>
    </w:p>
    <w:p>
      <w:pPr>
        <w:spacing w:before="109"/>
        <w:ind w:left="170"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供应商控股及管理关系情况申报表</w:t>
      </w:r>
    </w:p>
    <w:p>
      <w:pPr>
        <w:pStyle w:val="8"/>
        <w:tabs>
          <w:tab w:val="left" w:pos="2917"/>
        </w:tabs>
        <w:spacing w:before="115"/>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pPr>
        <w:pStyle w:val="8"/>
        <w:tabs>
          <w:tab w:val="left" w:pos="2277"/>
          <w:tab w:val="left" w:pos="4395"/>
        </w:tabs>
        <w:spacing w:before="132" w:line="343" w:lineRule="auto"/>
        <w:ind w:left="518" w:right="22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1024" behindDoc="0" locked="0" layoutInCell="1" allowOverlap="1">
                <wp:simplePos x="0" y="0"/>
                <wp:positionH relativeFrom="page">
                  <wp:posOffset>1174750</wp:posOffset>
                </wp:positionH>
                <wp:positionV relativeFrom="paragraph">
                  <wp:posOffset>570230</wp:posOffset>
                </wp:positionV>
                <wp:extent cx="5321935" cy="4186555"/>
                <wp:effectExtent l="0" t="0" r="0" b="0"/>
                <wp:wrapNone/>
                <wp:docPr id="1030" name="文本框 36"/>
                <wp:cNvGraphicFramePr/>
                <a:graphic xmlns:a="http://schemas.openxmlformats.org/drawingml/2006/main">
                  <a:graphicData uri="http://schemas.microsoft.com/office/word/2010/wordprocessingShape">
                    <wps:wsp>
                      <wps:cNvSpPr/>
                      <wps:spPr>
                        <a:xfrm>
                          <a:off x="0" y="0"/>
                          <a:ext cx="5321935" cy="4186555"/>
                        </a:xfrm>
                        <a:prstGeom prst="rect">
                          <a:avLst/>
                        </a:prstGeom>
                        <a:ln>
                          <a:noFill/>
                        </a:ln>
                      </wps:spPr>
                      <wps:txbx>
                        <w:txbxContent>
                          <w:tbl>
                            <w:tblPr>
                              <w:tblStyle w:val="16"/>
                              <w:tblW w:w="83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259"/>
                              <w:gridCol w:w="3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449" w:type="dxa"/>
                                </w:tcPr>
                                <w:p>
                                  <w:pPr>
                                    <w:pStyle w:val="20"/>
                                    <w:spacing w:before="176"/>
                                    <w:ind w:left="107"/>
                                    <w:rPr>
                                      <w:sz w:val="24"/>
                                    </w:rPr>
                                  </w:pPr>
                                  <w:r>
                                    <w:rPr>
                                      <w:sz w:val="24"/>
                                    </w:rPr>
                                    <w:t>申报人名称</w:t>
                                  </w:r>
                                </w:p>
                              </w:tc>
                              <w:tc>
                                <w:tcPr>
                                  <w:tcW w:w="5917" w:type="dxa"/>
                                  <w:gridSpan w:val="2"/>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449" w:type="dxa"/>
                                  <w:vMerge w:val="restart"/>
                                </w:tcPr>
                                <w:p>
                                  <w:pPr>
                                    <w:pStyle w:val="20"/>
                                    <w:spacing w:before="112" w:line="440" w:lineRule="atLeast"/>
                                    <w:ind w:left="107" w:right="97"/>
                                    <w:rPr>
                                      <w:sz w:val="24"/>
                                    </w:rPr>
                                  </w:pPr>
                                  <w:r>
                                    <w:rPr>
                                      <w:sz w:val="24"/>
                                    </w:rPr>
                                    <w:t>法定代表人/ 单位负责人</w:t>
                                  </w:r>
                                </w:p>
                              </w:tc>
                              <w:tc>
                                <w:tcPr>
                                  <w:tcW w:w="2259" w:type="dxa"/>
                                </w:tcPr>
                                <w:p>
                                  <w:pPr>
                                    <w:pStyle w:val="20"/>
                                    <w:tabs>
                                      <w:tab w:val="left" w:pos="826"/>
                                    </w:tabs>
                                    <w:spacing w:before="180"/>
                                    <w:ind w:left="106"/>
                                    <w:rPr>
                                      <w:sz w:val="24"/>
                                    </w:rPr>
                                  </w:pPr>
                                  <w:r>
                                    <w:rPr>
                                      <w:sz w:val="24"/>
                                    </w:rPr>
                                    <w:t>姓</w:t>
                                  </w:r>
                                  <w:r>
                                    <w:rPr>
                                      <w:sz w:val="24"/>
                                    </w:rPr>
                                    <w:tab/>
                                  </w:r>
                                  <w:r>
                                    <w:rPr>
                                      <w:sz w:val="24"/>
                                    </w:rPr>
                                    <w:t>名</w:t>
                                  </w:r>
                                </w:p>
                              </w:tc>
                              <w:tc>
                                <w:tcPr>
                                  <w:tcW w:w="3658"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49" w:type="dxa"/>
                                  <w:vMerge w:val="continue"/>
                                  <w:tcBorders>
                                    <w:top w:val="nil"/>
                                  </w:tcBorders>
                                </w:tcPr>
                                <w:p>
                                  <w:pPr>
                                    <w:rPr>
                                      <w:sz w:val="2"/>
                                      <w:szCs w:val="2"/>
                                    </w:rPr>
                                  </w:pPr>
                                </w:p>
                              </w:tc>
                              <w:tc>
                                <w:tcPr>
                                  <w:tcW w:w="2259" w:type="dxa"/>
                                </w:tcPr>
                                <w:p>
                                  <w:pPr>
                                    <w:pStyle w:val="20"/>
                                    <w:spacing w:before="171"/>
                                    <w:ind w:left="106"/>
                                    <w:rPr>
                                      <w:sz w:val="24"/>
                                    </w:rPr>
                                  </w:pPr>
                                  <w:r>
                                    <w:rPr>
                                      <w:sz w:val="24"/>
                                    </w:rPr>
                                    <w:t>身份证号</w:t>
                                  </w:r>
                                </w:p>
                              </w:tc>
                              <w:tc>
                                <w:tcPr>
                                  <w:tcW w:w="3658"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449" w:type="dxa"/>
                                </w:tcPr>
                                <w:p>
                                  <w:pPr>
                                    <w:pStyle w:val="20"/>
                                    <w:spacing w:before="113" w:line="343" w:lineRule="auto"/>
                                    <w:ind w:left="107" w:right="97"/>
                                    <w:rPr>
                                      <w:sz w:val="24"/>
                                    </w:rPr>
                                  </w:pPr>
                                  <w:r>
                                    <w:rPr>
                                      <w:sz w:val="24"/>
                                    </w:rPr>
                                    <w:t>控股股东/ 投资人名称</w:t>
                                  </w:r>
                                </w:p>
                                <w:p>
                                  <w:pPr>
                                    <w:pStyle w:val="20"/>
                                    <w:spacing w:line="306" w:lineRule="exact"/>
                                    <w:ind w:left="107"/>
                                    <w:rPr>
                                      <w:sz w:val="24"/>
                                    </w:rPr>
                                  </w:pPr>
                                  <w:r>
                                    <w:rPr>
                                      <w:sz w:val="24"/>
                                    </w:rPr>
                                    <w:t>及出资比例</w:t>
                                  </w:r>
                                </w:p>
                              </w:tc>
                              <w:tc>
                                <w:tcPr>
                                  <w:tcW w:w="5917" w:type="dxa"/>
                                  <w:gridSpan w:val="2"/>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449" w:type="dxa"/>
                                </w:tcPr>
                                <w:p>
                                  <w:pPr>
                                    <w:pStyle w:val="20"/>
                                    <w:spacing w:before="113" w:line="343" w:lineRule="auto"/>
                                    <w:ind w:left="107" w:right="97"/>
                                    <w:rPr>
                                      <w:sz w:val="24"/>
                                    </w:rPr>
                                  </w:pPr>
                                  <w:r>
                                    <w:rPr>
                                      <w:sz w:val="24"/>
                                    </w:rPr>
                                    <w:t>非控股股东/ 投资人名称</w:t>
                                  </w:r>
                                </w:p>
                                <w:p>
                                  <w:pPr>
                                    <w:pStyle w:val="20"/>
                                    <w:spacing w:before="1" w:line="306" w:lineRule="exact"/>
                                    <w:ind w:left="107"/>
                                    <w:rPr>
                                      <w:sz w:val="24"/>
                                    </w:rPr>
                                  </w:pPr>
                                  <w:r>
                                    <w:rPr>
                                      <w:sz w:val="24"/>
                                    </w:rPr>
                                    <w:t>及出资比例</w:t>
                                  </w:r>
                                </w:p>
                              </w:tc>
                              <w:tc>
                                <w:tcPr>
                                  <w:tcW w:w="5917" w:type="dxa"/>
                                  <w:gridSpan w:val="2"/>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2449" w:type="dxa"/>
                                  <w:vMerge w:val="restart"/>
                                </w:tcPr>
                                <w:p>
                                  <w:pPr>
                                    <w:pStyle w:val="20"/>
                                    <w:rPr>
                                      <w:sz w:val="24"/>
                                    </w:rPr>
                                  </w:pPr>
                                </w:p>
                                <w:p>
                                  <w:pPr>
                                    <w:pStyle w:val="20"/>
                                    <w:spacing w:before="3"/>
                                    <w:rPr>
                                      <w:sz w:val="25"/>
                                    </w:rPr>
                                  </w:pPr>
                                </w:p>
                                <w:p>
                                  <w:pPr>
                                    <w:pStyle w:val="20"/>
                                    <w:ind w:left="107"/>
                                    <w:rPr>
                                      <w:sz w:val="24"/>
                                    </w:rPr>
                                  </w:pPr>
                                  <w:r>
                                    <w:rPr>
                                      <w:sz w:val="24"/>
                                    </w:rPr>
                                    <w:t>管理关系单位名称</w:t>
                                  </w:r>
                                </w:p>
                              </w:tc>
                              <w:tc>
                                <w:tcPr>
                                  <w:tcW w:w="2259" w:type="dxa"/>
                                </w:tcPr>
                                <w:p>
                                  <w:pPr>
                                    <w:pStyle w:val="20"/>
                                    <w:spacing w:before="187"/>
                                    <w:ind w:left="106"/>
                                    <w:rPr>
                                      <w:sz w:val="24"/>
                                    </w:rPr>
                                  </w:pPr>
                                  <w:r>
                                    <w:rPr>
                                      <w:sz w:val="24"/>
                                    </w:rPr>
                                    <w:t>管理关系单位名称</w:t>
                                  </w:r>
                                </w:p>
                              </w:tc>
                              <w:tc>
                                <w:tcPr>
                                  <w:tcW w:w="3658"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449" w:type="dxa"/>
                                  <w:vMerge w:val="continue"/>
                                  <w:tcBorders>
                                    <w:top w:val="nil"/>
                                  </w:tcBorders>
                                </w:tcPr>
                                <w:p>
                                  <w:pPr>
                                    <w:rPr>
                                      <w:sz w:val="2"/>
                                      <w:szCs w:val="2"/>
                                    </w:rPr>
                                  </w:pPr>
                                </w:p>
                              </w:tc>
                              <w:tc>
                                <w:tcPr>
                                  <w:tcW w:w="2259" w:type="dxa"/>
                                </w:tcPr>
                                <w:p>
                                  <w:pPr>
                                    <w:pStyle w:val="20"/>
                                    <w:spacing w:before="2" w:line="440" w:lineRule="exact"/>
                                    <w:ind w:left="106" w:right="97"/>
                                    <w:rPr>
                                      <w:sz w:val="24"/>
                                    </w:rPr>
                                  </w:pPr>
                                  <w:r>
                                    <w:rPr>
                                      <w:sz w:val="24"/>
                                    </w:rPr>
                                    <w:t>被管理关系单位名称</w:t>
                                  </w:r>
                                </w:p>
                              </w:tc>
                              <w:tc>
                                <w:tcPr>
                                  <w:tcW w:w="3658"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366" w:type="dxa"/>
                                  <w:gridSpan w:val="3"/>
                                </w:tcPr>
                                <w:p>
                                  <w:pPr>
                                    <w:pStyle w:val="20"/>
                                    <w:spacing w:before="6"/>
                                    <w:rPr>
                                      <w:sz w:val="18"/>
                                    </w:rPr>
                                  </w:pPr>
                                </w:p>
                                <w:p>
                                  <w:pPr>
                                    <w:pStyle w:val="20"/>
                                    <w:ind w:left="107"/>
                                    <w:rPr>
                                      <w:sz w:val="24"/>
                                    </w:rPr>
                                  </w:pPr>
                                  <w:r>
                                    <w:rPr>
                                      <w:sz w:val="24"/>
                                    </w:rPr>
                                    <w:t>备注：</w:t>
                                  </w:r>
                                </w:p>
                              </w:tc>
                            </w:tr>
                          </w:tbl>
                          <w:p>
                            <w:pPr>
                              <w:pStyle w:val="8"/>
                            </w:pPr>
                          </w:p>
                        </w:txbxContent>
                      </wps:txbx>
                      <wps:bodyPr lIns="0" tIns="0" rIns="0" bIns="0" upright="1"/>
                    </wps:wsp>
                  </a:graphicData>
                </a:graphic>
              </wp:anchor>
            </w:drawing>
          </mc:Choice>
          <mc:Fallback>
            <w:pict>
              <v:rect id="文本框 36" o:spid="_x0000_s1026" o:spt="1" style="position:absolute;left:0pt;margin-left:92.5pt;margin-top:44.9pt;height:329.65pt;width:419.05pt;mso-position-horizontal-relative:page;z-index:1024;mso-width-relative:page;mso-height-relative:page;" filled="f" stroked="f" coordsize="21600,21600" o:gfxdata="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dXZ5k2wAAAAsBAAAPAAAAAAAAAAEA&#10;IAAAACIAAABkcnMvZG93bnJldi54bWxQSwECFAAUAAAACACHTuJAkxn/f5oBAAAUAwAADgAAAAAA&#10;AAABACAAAAAqAQAAZHJzL2Uyb0RvYy54bWxQSwUGAAAAAAYABgBZAQAANgUAAAAA&#10;">
                <v:fill on="f" focussize="0,0"/>
                <v:stroke on="f"/>
                <v:imagedata o:title=""/>
                <o:lock v:ext="edit" aspectratio="f"/>
                <v:textbox inset="0mm,0mm,0mm,0mm">
                  <w:txbxContent>
                    <w:tbl>
                      <w:tblPr>
                        <w:tblStyle w:val="16"/>
                        <w:tblW w:w="83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259"/>
                        <w:gridCol w:w="3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449" w:type="dxa"/>
                          </w:tcPr>
                          <w:p>
                            <w:pPr>
                              <w:pStyle w:val="20"/>
                              <w:spacing w:before="176"/>
                              <w:ind w:left="107"/>
                              <w:rPr>
                                <w:sz w:val="24"/>
                              </w:rPr>
                            </w:pPr>
                            <w:r>
                              <w:rPr>
                                <w:sz w:val="24"/>
                              </w:rPr>
                              <w:t>申报人名称</w:t>
                            </w:r>
                          </w:p>
                        </w:tc>
                        <w:tc>
                          <w:tcPr>
                            <w:tcW w:w="5917" w:type="dxa"/>
                            <w:gridSpan w:val="2"/>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449" w:type="dxa"/>
                            <w:vMerge w:val="restart"/>
                          </w:tcPr>
                          <w:p>
                            <w:pPr>
                              <w:pStyle w:val="20"/>
                              <w:spacing w:before="112" w:line="440" w:lineRule="atLeast"/>
                              <w:ind w:left="107" w:right="97"/>
                              <w:rPr>
                                <w:sz w:val="24"/>
                              </w:rPr>
                            </w:pPr>
                            <w:r>
                              <w:rPr>
                                <w:sz w:val="24"/>
                              </w:rPr>
                              <w:t>法定代表人/ 单位负责人</w:t>
                            </w:r>
                          </w:p>
                        </w:tc>
                        <w:tc>
                          <w:tcPr>
                            <w:tcW w:w="2259" w:type="dxa"/>
                          </w:tcPr>
                          <w:p>
                            <w:pPr>
                              <w:pStyle w:val="20"/>
                              <w:tabs>
                                <w:tab w:val="left" w:pos="826"/>
                              </w:tabs>
                              <w:spacing w:before="180"/>
                              <w:ind w:left="106"/>
                              <w:rPr>
                                <w:sz w:val="24"/>
                              </w:rPr>
                            </w:pPr>
                            <w:r>
                              <w:rPr>
                                <w:sz w:val="24"/>
                              </w:rPr>
                              <w:t>姓</w:t>
                            </w:r>
                            <w:r>
                              <w:rPr>
                                <w:sz w:val="24"/>
                              </w:rPr>
                              <w:tab/>
                            </w:r>
                            <w:r>
                              <w:rPr>
                                <w:sz w:val="24"/>
                              </w:rPr>
                              <w:t>名</w:t>
                            </w:r>
                          </w:p>
                        </w:tc>
                        <w:tc>
                          <w:tcPr>
                            <w:tcW w:w="3658"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449" w:type="dxa"/>
                            <w:vMerge w:val="continue"/>
                            <w:tcBorders>
                              <w:top w:val="nil"/>
                            </w:tcBorders>
                          </w:tcPr>
                          <w:p>
                            <w:pPr>
                              <w:rPr>
                                <w:sz w:val="2"/>
                                <w:szCs w:val="2"/>
                              </w:rPr>
                            </w:pPr>
                          </w:p>
                        </w:tc>
                        <w:tc>
                          <w:tcPr>
                            <w:tcW w:w="2259" w:type="dxa"/>
                          </w:tcPr>
                          <w:p>
                            <w:pPr>
                              <w:pStyle w:val="20"/>
                              <w:spacing w:before="171"/>
                              <w:ind w:left="106"/>
                              <w:rPr>
                                <w:sz w:val="24"/>
                              </w:rPr>
                            </w:pPr>
                            <w:r>
                              <w:rPr>
                                <w:sz w:val="24"/>
                              </w:rPr>
                              <w:t>身份证号</w:t>
                            </w:r>
                          </w:p>
                        </w:tc>
                        <w:tc>
                          <w:tcPr>
                            <w:tcW w:w="3658"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449" w:type="dxa"/>
                          </w:tcPr>
                          <w:p>
                            <w:pPr>
                              <w:pStyle w:val="20"/>
                              <w:spacing w:before="113" w:line="343" w:lineRule="auto"/>
                              <w:ind w:left="107" w:right="97"/>
                              <w:rPr>
                                <w:sz w:val="24"/>
                              </w:rPr>
                            </w:pPr>
                            <w:r>
                              <w:rPr>
                                <w:sz w:val="24"/>
                              </w:rPr>
                              <w:t>控股股东/ 投资人名称</w:t>
                            </w:r>
                          </w:p>
                          <w:p>
                            <w:pPr>
                              <w:pStyle w:val="20"/>
                              <w:spacing w:line="306" w:lineRule="exact"/>
                              <w:ind w:left="107"/>
                              <w:rPr>
                                <w:sz w:val="24"/>
                              </w:rPr>
                            </w:pPr>
                            <w:r>
                              <w:rPr>
                                <w:sz w:val="24"/>
                              </w:rPr>
                              <w:t>及出资比例</w:t>
                            </w:r>
                          </w:p>
                        </w:tc>
                        <w:tc>
                          <w:tcPr>
                            <w:tcW w:w="5917" w:type="dxa"/>
                            <w:gridSpan w:val="2"/>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449" w:type="dxa"/>
                          </w:tcPr>
                          <w:p>
                            <w:pPr>
                              <w:pStyle w:val="20"/>
                              <w:spacing w:before="113" w:line="343" w:lineRule="auto"/>
                              <w:ind w:left="107" w:right="97"/>
                              <w:rPr>
                                <w:sz w:val="24"/>
                              </w:rPr>
                            </w:pPr>
                            <w:r>
                              <w:rPr>
                                <w:sz w:val="24"/>
                              </w:rPr>
                              <w:t>非控股股东/ 投资人名称</w:t>
                            </w:r>
                          </w:p>
                          <w:p>
                            <w:pPr>
                              <w:pStyle w:val="20"/>
                              <w:spacing w:before="1" w:line="306" w:lineRule="exact"/>
                              <w:ind w:left="107"/>
                              <w:rPr>
                                <w:sz w:val="24"/>
                              </w:rPr>
                            </w:pPr>
                            <w:r>
                              <w:rPr>
                                <w:sz w:val="24"/>
                              </w:rPr>
                              <w:t>及出资比例</w:t>
                            </w:r>
                          </w:p>
                        </w:tc>
                        <w:tc>
                          <w:tcPr>
                            <w:tcW w:w="5917" w:type="dxa"/>
                            <w:gridSpan w:val="2"/>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2449" w:type="dxa"/>
                            <w:vMerge w:val="restart"/>
                          </w:tcPr>
                          <w:p>
                            <w:pPr>
                              <w:pStyle w:val="20"/>
                              <w:rPr>
                                <w:sz w:val="24"/>
                              </w:rPr>
                            </w:pPr>
                          </w:p>
                          <w:p>
                            <w:pPr>
                              <w:pStyle w:val="20"/>
                              <w:spacing w:before="3"/>
                              <w:rPr>
                                <w:sz w:val="25"/>
                              </w:rPr>
                            </w:pPr>
                          </w:p>
                          <w:p>
                            <w:pPr>
                              <w:pStyle w:val="20"/>
                              <w:ind w:left="107"/>
                              <w:rPr>
                                <w:sz w:val="24"/>
                              </w:rPr>
                            </w:pPr>
                            <w:r>
                              <w:rPr>
                                <w:sz w:val="24"/>
                              </w:rPr>
                              <w:t>管理关系单位名称</w:t>
                            </w:r>
                          </w:p>
                        </w:tc>
                        <w:tc>
                          <w:tcPr>
                            <w:tcW w:w="2259" w:type="dxa"/>
                          </w:tcPr>
                          <w:p>
                            <w:pPr>
                              <w:pStyle w:val="20"/>
                              <w:spacing w:before="187"/>
                              <w:ind w:left="106"/>
                              <w:rPr>
                                <w:sz w:val="24"/>
                              </w:rPr>
                            </w:pPr>
                            <w:r>
                              <w:rPr>
                                <w:sz w:val="24"/>
                              </w:rPr>
                              <w:t>管理关系单位名称</w:t>
                            </w:r>
                          </w:p>
                        </w:tc>
                        <w:tc>
                          <w:tcPr>
                            <w:tcW w:w="3658"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449" w:type="dxa"/>
                            <w:vMerge w:val="continue"/>
                            <w:tcBorders>
                              <w:top w:val="nil"/>
                            </w:tcBorders>
                          </w:tcPr>
                          <w:p>
                            <w:pPr>
                              <w:rPr>
                                <w:sz w:val="2"/>
                                <w:szCs w:val="2"/>
                              </w:rPr>
                            </w:pPr>
                          </w:p>
                        </w:tc>
                        <w:tc>
                          <w:tcPr>
                            <w:tcW w:w="2259" w:type="dxa"/>
                          </w:tcPr>
                          <w:p>
                            <w:pPr>
                              <w:pStyle w:val="20"/>
                              <w:spacing w:before="2" w:line="440" w:lineRule="exact"/>
                              <w:ind w:left="106" w:right="97"/>
                              <w:rPr>
                                <w:sz w:val="24"/>
                              </w:rPr>
                            </w:pPr>
                            <w:r>
                              <w:rPr>
                                <w:sz w:val="24"/>
                              </w:rPr>
                              <w:t>被管理关系单位名称</w:t>
                            </w:r>
                          </w:p>
                        </w:tc>
                        <w:tc>
                          <w:tcPr>
                            <w:tcW w:w="3658"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366" w:type="dxa"/>
                            <w:gridSpan w:val="3"/>
                          </w:tcPr>
                          <w:p>
                            <w:pPr>
                              <w:pStyle w:val="20"/>
                              <w:spacing w:before="6"/>
                              <w:rPr>
                                <w:sz w:val="18"/>
                              </w:rPr>
                            </w:pPr>
                          </w:p>
                          <w:p>
                            <w:pPr>
                              <w:pStyle w:val="20"/>
                              <w:ind w:left="107"/>
                              <w:rPr>
                                <w:sz w:val="24"/>
                              </w:rPr>
                            </w:pPr>
                            <w:r>
                              <w:rPr>
                                <w:sz w:val="24"/>
                              </w:rPr>
                              <w:t>备注：</w:t>
                            </w:r>
                          </w:p>
                        </w:tc>
                      </w:tr>
                    </w:tbl>
                    <w:p>
                      <w:pPr>
                        <w:pStyle w:val="8"/>
                      </w:pPr>
                    </w:p>
                  </w:txbxContent>
                </v:textbox>
              </v:rect>
            </w:pict>
          </mc:Fallback>
        </mc:AlternateContent>
      </w:r>
      <w:r>
        <w:rPr>
          <w:rFonts w:hint="eastAsia" w:ascii="宋体" w:hAnsi="宋体" w:eastAsia="宋体" w:cs="宋体"/>
          <w:color w:val="auto"/>
          <w:sz w:val="21"/>
          <w:szCs w:val="21"/>
          <w:highlight w:val="none"/>
        </w:rPr>
        <w:t>我司参加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的竞标</w:t>
      </w:r>
      <w:r>
        <w:rPr>
          <w:rFonts w:hint="eastAsia" w:ascii="宋体" w:hAnsi="宋体" w:eastAsia="宋体" w:cs="宋体"/>
          <w:color w:val="auto"/>
          <w:spacing w:val="-39"/>
          <w:sz w:val="21"/>
          <w:szCs w:val="21"/>
          <w:highlight w:val="none"/>
        </w:rPr>
        <w:t>，</w:t>
      </w:r>
      <w:r>
        <w:rPr>
          <w:rFonts w:hint="eastAsia" w:ascii="宋体" w:hAnsi="宋体" w:eastAsia="宋体" w:cs="宋体"/>
          <w:color w:val="auto"/>
          <w:sz w:val="21"/>
          <w:szCs w:val="21"/>
          <w:highlight w:val="none"/>
        </w:rPr>
        <w:t>根据法律法规维护投标公正性的相关规定</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特就本单位控股及管理关系情况申报如下，并承担申报不实的责任。</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8"/>
        <w:rPr>
          <w:rFonts w:hint="eastAsia" w:ascii="宋体" w:hAnsi="宋体" w:eastAsia="宋体" w:cs="宋体"/>
          <w:color w:val="auto"/>
          <w:sz w:val="21"/>
          <w:szCs w:val="21"/>
          <w:highlight w:val="none"/>
        </w:rPr>
      </w:pPr>
    </w:p>
    <w:p>
      <w:pPr>
        <w:pStyle w:val="8"/>
        <w:ind w:left="518"/>
        <w:rPr>
          <w:rFonts w:hint="eastAsia" w:ascii="宋体" w:hAnsi="宋体" w:eastAsia="宋体" w:cs="宋体"/>
          <w:color w:val="auto"/>
          <w:sz w:val="21"/>
          <w:szCs w:val="21"/>
          <w:highlight w:val="none"/>
        </w:rPr>
      </w:pPr>
    </w:p>
    <w:p>
      <w:pPr>
        <w:pStyle w:val="8"/>
        <w:ind w:left="518"/>
        <w:rPr>
          <w:rFonts w:hint="eastAsia" w:ascii="宋体" w:hAnsi="宋体" w:eastAsia="宋体" w:cs="宋体"/>
          <w:color w:val="auto"/>
          <w:sz w:val="21"/>
          <w:szCs w:val="21"/>
          <w:highlight w:val="none"/>
        </w:rPr>
      </w:pPr>
    </w:p>
    <w:p>
      <w:pPr>
        <w:pStyle w:val="8"/>
        <w:ind w:left="518"/>
        <w:rPr>
          <w:rFonts w:hint="eastAsia" w:ascii="宋体" w:hAnsi="宋体" w:eastAsia="宋体" w:cs="宋体"/>
          <w:color w:val="auto"/>
          <w:sz w:val="21"/>
          <w:szCs w:val="21"/>
          <w:highlight w:val="none"/>
        </w:rPr>
      </w:pPr>
    </w:p>
    <w:p>
      <w:pPr>
        <w:pStyle w:val="8"/>
        <w:ind w:left="518"/>
        <w:rPr>
          <w:rFonts w:hint="eastAsia" w:ascii="宋体" w:hAnsi="宋体" w:eastAsia="宋体" w:cs="宋体"/>
          <w:color w:val="auto"/>
          <w:sz w:val="21"/>
          <w:szCs w:val="21"/>
          <w:highlight w:val="none"/>
        </w:rPr>
      </w:pPr>
    </w:p>
    <w:p>
      <w:pPr>
        <w:pStyle w:val="8"/>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19"/>
        <w:numPr>
          <w:ilvl w:val="0"/>
          <w:numId w:val="23"/>
        </w:numPr>
        <w:tabs>
          <w:tab w:val="left" w:pos="939"/>
        </w:tabs>
        <w:spacing w:before="132" w:after="0" w:line="343" w:lineRule="auto"/>
        <w:ind w:left="518" w:right="346"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控股股东/</w:t>
      </w:r>
      <w:r>
        <w:rPr>
          <w:rFonts w:hint="eastAsia" w:ascii="宋体" w:hAnsi="宋体" w:eastAsia="宋体" w:cs="宋体"/>
          <w:color w:val="auto"/>
          <w:spacing w:val="-6"/>
          <w:sz w:val="21"/>
          <w:szCs w:val="21"/>
          <w:highlight w:val="none"/>
        </w:rPr>
        <w:t xml:space="preserve">投资人是指出资比例在 </w:t>
      </w:r>
      <w:r>
        <w:rPr>
          <w:rFonts w:hint="eastAsia" w:ascii="宋体" w:hAnsi="宋体" w:eastAsia="宋体" w:cs="宋体"/>
          <w:color w:val="auto"/>
          <w:sz w:val="21"/>
          <w:szCs w:val="21"/>
          <w:highlight w:val="none"/>
        </w:rPr>
        <w:t>50%</w:t>
      </w:r>
      <w:r>
        <w:rPr>
          <w:rFonts w:hint="eastAsia" w:ascii="宋体" w:hAnsi="宋体" w:eastAsia="宋体" w:cs="宋体"/>
          <w:color w:val="auto"/>
          <w:spacing w:val="-11"/>
          <w:sz w:val="21"/>
          <w:szCs w:val="21"/>
          <w:highlight w:val="none"/>
        </w:rPr>
        <w:t xml:space="preserve">以上，或者出资比例不足 </w:t>
      </w:r>
      <w:r>
        <w:rPr>
          <w:rFonts w:hint="eastAsia" w:ascii="宋体" w:hAnsi="宋体" w:eastAsia="宋体" w:cs="宋体"/>
          <w:color w:val="auto"/>
          <w:spacing w:val="-8"/>
          <w:sz w:val="21"/>
          <w:szCs w:val="21"/>
          <w:highlight w:val="none"/>
        </w:rPr>
        <w:t>50%</w:t>
      </w:r>
      <w:r>
        <w:rPr>
          <w:rFonts w:hint="eastAsia" w:ascii="宋体" w:hAnsi="宋体" w:eastAsia="宋体" w:cs="宋体"/>
          <w:color w:val="auto"/>
          <w:spacing w:val="-5"/>
          <w:sz w:val="21"/>
          <w:szCs w:val="21"/>
          <w:highlight w:val="none"/>
        </w:rPr>
        <w:t>，但享有公司股东</w:t>
      </w:r>
      <w:r>
        <w:rPr>
          <w:rFonts w:hint="eastAsia" w:ascii="宋体" w:hAnsi="宋体" w:eastAsia="宋体" w:cs="宋体"/>
          <w:color w:val="auto"/>
          <w:sz w:val="21"/>
          <w:szCs w:val="21"/>
          <w:highlight w:val="none"/>
        </w:rPr>
        <w:t>会/董事会控制权的投资方（含单位或者个人）；</w:t>
      </w:r>
    </w:p>
    <w:p>
      <w:pPr>
        <w:pStyle w:val="19"/>
        <w:numPr>
          <w:ilvl w:val="0"/>
          <w:numId w:val="23"/>
        </w:numPr>
        <w:tabs>
          <w:tab w:val="left" w:pos="939"/>
        </w:tabs>
        <w:spacing w:before="1" w:after="0" w:line="343" w:lineRule="auto"/>
        <w:ind w:left="518" w:right="346" w:firstLine="0"/>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管理关系单位是指与不具有出资持股关系的其他单位之间存在管理与被管理关系的单位；</w:t>
      </w:r>
    </w:p>
    <w:p>
      <w:pPr>
        <w:pStyle w:val="19"/>
        <w:numPr>
          <w:ilvl w:val="0"/>
          <w:numId w:val="23"/>
        </w:numPr>
        <w:tabs>
          <w:tab w:val="left" w:pos="939"/>
        </w:tabs>
        <w:spacing w:before="0" w:after="0" w:line="306" w:lineRule="exact"/>
        <w:ind w:left="938" w:right="0" w:hanging="42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如未有相关情况，请在相应栏填写“无”。</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199"/>
        <w:ind w:left="3597"/>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供应商名称( 公章)：</w:t>
      </w:r>
    </w:p>
    <w:p>
      <w:pPr>
        <w:pStyle w:val="8"/>
        <w:tabs>
          <w:tab w:val="left" w:pos="4197"/>
          <w:tab w:val="left" w:pos="5397"/>
          <w:tab w:val="left" w:pos="6158"/>
          <w:tab w:val="left" w:pos="6916"/>
        </w:tabs>
        <w:spacing w:before="189" w:line="422" w:lineRule="auto"/>
        <w:ind w:left="3597" w:right="2948" w:firstLine="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pacing w:val="40"/>
          <w:sz w:val="21"/>
          <w:szCs w:val="21"/>
          <w:highlight w:val="none"/>
        </w:rPr>
        <w:t>签</w:t>
      </w:r>
      <w:r>
        <w:rPr>
          <w:rFonts w:hint="eastAsia" w:ascii="宋体" w:hAnsi="宋体" w:eastAsia="宋体" w:cs="宋体"/>
          <w:color w:val="auto"/>
          <w:spacing w:val="38"/>
          <w:sz w:val="21"/>
          <w:szCs w:val="21"/>
          <w:highlight w:val="none"/>
        </w:rPr>
        <w:t>字</w:t>
      </w:r>
      <w:r>
        <w:rPr>
          <w:rFonts w:hint="eastAsia" w:ascii="宋体" w:hAnsi="宋体" w:eastAsia="宋体" w:cs="宋体"/>
          <w:color w:val="auto"/>
          <w:sz w:val="21"/>
          <w:szCs w:val="21"/>
          <w:highlight w:val="none"/>
        </w:rPr>
        <w:t>： 日</w:t>
      </w:r>
      <w:r>
        <w:rPr>
          <w:rFonts w:hint="eastAsia" w:ascii="宋体" w:hAnsi="宋体" w:eastAsia="宋体" w:cs="宋体"/>
          <w:color w:val="auto"/>
          <w:sz w:val="21"/>
          <w:szCs w:val="21"/>
          <w:highlight w:val="none"/>
        </w:rPr>
        <w:tab/>
      </w:r>
      <w:r>
        <w:rPr>
          <w:rFonts w:hint="eastAsia" w:ascii="宋体" w:hAnsi="宋体" w:eastAsia="宋体" w:cs="宋体"/>
          <w:color w:val="auto"/>
          <w:spacing w:val="40"/>
          <w:sz w:val="21"/>
          <w:szCs w:val="21"/>
          <w:highlight w:val="none"/>
        </w:rPr>
        <w:t>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pacing w:val="-17"/>
          <w:sz w:val="21"/>
          <w:szCs w:val="21"/>
          <w:highlight w:val="none"/>
          <w:u w:val="single"/>
        </w:rPr>
        <w:t>日</w:t>
      </w:r>
    </w:p>
    <w:p>
      <w:pPr>
        <w:spacing w:after="0" w:line="422" w:lineRule="auto"/>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11"/>
        <w:rPr>
          <w:rFonts w:hint="eastAsia" w:ascii="宋体" w:hAnsi="宋体" w:eastAsia="宋体" w:cs="宋体"/>
          <w:color w:val="auto"/>
          <w:sz w:val="21"/>
          <w:szCs w:val="21"/>
          <w:highlight w:val="none"/>
        </w:rPr>
      </w:pPr>
    </w:p>
    <w:p>
      <w:pPr>
        <w:spacing w:before="54"/>
        <w:ind w:left="172"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六、投入本项目人员配备情况表</w:t>
      </w:r>
    </w:p>
    <w:p>
      <w:pPr>
        <w:pStyle w:val="8"/>
        <w:spacing w:before="9"/>
        <w:rPr>
          <w:rFonts w:hint="eastAsia" w:ascii="宋体" w:hAnsi="宋体" w:eastAsia="宋体" w:cs="宋体"/>
          <w:b/>
          <w:color w:val="auto"/>
          <w:sz w:val="21"/>
          <w:szCs w:val="21"/>
          <w:highlight w:val="none"/>
        </w:rPr>
      </w:pPr>
    </w:p>
    <w:p>
      <w:pPr>
        <w:spacing w:before="0"/>
        <w:ind w:left="180" w:right="1" w:firstLine="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投入本项目人员配备情况表</w:t>
      </w:r>
      <w:r>
        <w:rPr>
          <w:rFonts w:hint="eastAsia" w:ascii="宋体" w:hAnsi="宋体" w:eastAsia="宋体" w:cs="宋体"/>
          <w:color w:val="auto"/>
          <w:sz w:val="21"/>
          <w:szCs w:val="21"/>
          <w:highlight w:val="none"/>
        </w:rPr>
        <w:t>（按下表填写，并提供相关证明材料）</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3"/>
        <w:rPr>
          <w:rFonts w:hint="eastAsia" w:ascii="宋体" w:hAnsi="宋体" w:eastAsia="宋体" w:cs="宋体"/>
          <w:color w:val="auto"/>
          <w:sz w:val="21"/>
          <w:szCs w:val="21"/>
          <w:highlight w:val="none"/>
        </w:rPr>
      </w:pPr>
    </w:p>
    <w:p>
      <w:pPr>
        <w:spacing w:before="0"/>
        <w:ind w:left="168"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项目负责人简历表</w:t>
      </w:r>
    </w:p>
    <w:tbl>
      <w:tblPr>
        <w:tblStyle w:val="16"/>
        <w:tblW w:w="9254" w:type="dxa"/>
        <w:tblInd w:w="5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848"/>
        <w:gridCol w:w="849"/>
        <w:gridCol w:w="849"/>
        <w:gridCol w:w="849"/>
        <w:gridCol w:w="849"/>
        <w:gridCol w:w="849"/>
        <w:gridCol w:w="851"/>
        <w:gridCol w:w="850"/>
        <w:gridCol w:w="1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254" w:type="dxa"/>
            <w:gridSpan w:val="10"/>
          </w:tcPr>
          <w:p>
            <w:pPr>
              <w:pStyle w:val="20"/>
              <w:spacing w:before="230"/>
              <w:ind w:left="3938" w:right="393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04" w:type="dxa"/>
          </w:tcPr>
          <w:p>
            <w:pPr>
              <w:pStyle w:val="20"/>
              <w:rPr>
                <w:rFonts w:hint="eastAsia" w:ascii="宋体" w:hAnsi="宋体" w:eastAsia="宋体" w:cs="宋体"/>
                <w:b/>
                <w:color w:val="auto"/>
                <w:sz w:val="21"/>
                <w:szCs w:val="21"/>
                <w:highlight w:val="none"/>
              </w:rPr>
            </w:pPr>
          </w:p>
          <w:p>
            <w:pPr>
              <w:pStyle w:val="20"/>
              <w:ind w:left="241" w:right="2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48" w:type="dxa"/>
          </w:tcPr>
          <w:p>
            <w:pPr>
              <w:pStyle w:val="20"/>
              <w:rPr>
                <w:rFonts w:hint="eastAsia" w:ascii="宋体" w:hAnsi="宋体" w:eastAsia="宋体" w:cs="宋体"/>
                <w:color w:val="auto"/>
                <w:sz w:val="21"/>
                <w:szCs w:val="21"/>
                <w:highlight w:val="none"/>
              </w:rPr>
            </w:pPr>
          </w:p>
        </w:tc>
        <w:tc>
          <w:tcPr>
            <w:tcW w:w="849" w:type="dxa"/>
          </w:tcPr>
          <w:p>
            <w:pPr>
              <w:pStyle w:val="20"/>
              <w:rPr>
                <w:rFonts w:hint="eastAsia" w:ascii="宋体" w:hAnsi="宋体" w:eastAsia="宋体" w:cs="宋体"/>
                <w:b/>
                <w:color w:val="auto"/>
                <w:sz w:val="21"/>
                <w:szCs w:val="21"/>
                <w:highlight w:val="none"/>
              </w:rPr>
            </w:pPr>
          </w:p>
          <w:p>
            <w:pPr>
              <w:pStyle w:val="20"/>
              <w:ind w:left="1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849" w:type="dxa"/>
          </w:tcPr>
          <w:p>
            <w:pPr>
              <w:pStyle w:val="20"/>
              <w:rPr>
                <w:rFonts w:hint="eastAsia" w:ascii="宋体" w:hAnsi="宋体" w:eastAsia="宋体" w:cs="宋体"/>
                <w:color w:val="auto"/>
                <w:sz w:val="21"/>
                <w:szCs w:val="21"/>
                <w:highlight w:val="none"/>
              </w:rPr>
            </w:pPr>
          </w:p>
        </w:tc>
        <w:tc>
          <w:tcPr>
            <w:tcW w:w="849" w:type="dxa"/>
          </w:tcPr>
          <w:p>
            <w:pPr>
              <w:pStyle w:val="20"/>
              <w:rPr>
                <w:rFonts w:hint="eastAsia" w:ascii="宋体" w:hAnsi="宋体" w:eastAsia="宋体" w:cs="宋体"/>
                <w:b/>
                <w:color w:val="auto"/>
                <w:sz w:val="21"/>
                <w:szCs w:val="21"/>
                <w:highlight w:val="none"/>
              </w:rPr>
            </w:pPr>
          </w:p>
          <w:p>
            <w:pPr>
              <w:pStyle w:val="20"/>
              <w:ind w:left="1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849" w:type="dxa"/>
          </w:tcPr>
          <w:p>
            <w:pPr>
              <w:pStyle w:val="20"/>
              <w:rPr>
                <w:rFonts w:hint="eastAsia" w:ascii="宋体" w:hAnsi="宋体" w:eastAsia="宋体" w:cs="宋体"/>
                <w:color w:val="auto"/>
                <w:sz w:val="21"/>
                <w:szCs w:val="21"/>
                <w:highlight w:val="none"/>
              </w:rPr>
            </w:pPr>
          </w:p>
        </w:tc>
        <w:tc>
          <w:tcPr>
            <w:tcW w:w="849" w:type="dxa"/>
          </w:tcPr>
          <w:p>
            <w:pPr>
              <w:pStyle w:val="20"/>
              <w:rPr>
                <w:rFonts w:hint="eastAsia" w:ascii="宋体" w:hAnsi="宋体" w:eastAsia="宋体" w:cs="宋体"/>
                <w:b/>
                <w:color w:val="auto"/>
                <w:sz w:val="21"/>
                <w:szCs w:val="21"/>
                <w:highlight w:val="none"/>
              </w:rPr>
            </w:pPr>
          </w:p>
          <w:p>
            <w:pPr>
              <w:pStyle w:val="20"/>
              <w:ind w:left="1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学位</w:t>
            </w:r>
          </w:p>
        </w:tc>
        <w:tc>
          <w:tcPr>
            <w:tcW w:w="851" w:type="dxa"/>
          </w:tcPr>
          <w:p>
            <w:pPr>
              <w:pStyle w:val="20"/>
              <w:rPr>
                <w:rFonts w:hint="eastAsia" w:ascii="宋体" w:hAnsi="宋体" w:eastAsia="宋体" w:cs="宋体"/>
                <w:color w:val="auto"/>
                <w:sz w:val="21"/>
                <w:szCs w:val="21"/>
                <w:highlight w:val="none"/>
              </w:rPr>
            </w:pPr>
          </w:p>
        </w:tc>
        <w:tc>
          <w:tcPr>
            <w:tcW w:w="850" w:type="dxa"/>
          </w:tcPr>
          <w:p>
            <w:pPr>
              <w:pStyle w:val="20"/>
              <w:rPr>
                <w:rFonts w:hint="eastAsia" w:ascii="宋体" w:hAnsi="宋体" w:eastAsia="宋体" w:cs="宋体"/>
                <w:b/>
                <w:color w:val="auto"/>
                <w:sz w:val="21"/>
                <w:szCs w:val="21"/>
                <w:highlight w:val="none"/>
              </w:rPr>
            </w:pPr>
          </w:p>
          <w:p>
            <w:pPr>
              <w:pStyle w:val="20"/>
              <w:ind w:left="18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456" w:type="dxa"/>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04" w:type="dxa"/>
          </w:tcPr>
          <w:p>
            <w:pPr>
              <w:pStyle w:val="20"/>
              <w:spacing w:before="76" w:line="242" w:lineRule="auto"/>
              <w:ind w:left="261" w:right="130"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4244" w:type="dxa"/>
            <w:gridSpan w:val="5"/>
          </w:tcPr>
          <w:p>
            <w:pPr>
              <w:pStyle w:val="20"/>
              <w:rPr>
                <w:rFonts w:hint="eastAsia" w:ascii="宋体" w:hAnsi="宋体" w:eastAsia="宋体" w:cs="宋体"/>
                <w:color w:val="auto"/>
                <w:sz w:val="21"/>
                <w:szCs w:val="21"/>
                <w:highlight w:val="none"/>
              </w:rPr>
            </w:pPr>
          </w:p>
        </w:tc>
        <w:tc>
          <w:tcPr>
            <w:tcW w:w="1700" w:type="dxa"/>
            <w:gridSpan w:val="2"/>
          </w:tcPr>
          <w:p>
            <w:pPr>
              <w:pStyle w:val="20"/>
              <w:spacing w:before="76" w:line="242" w:lineRule="auto"/>
              <w:ind w:left="610" w:right="117" w:hanging="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中拟任职</w:t>
            </w:r>
          </w:p>
        </w:tc>
        <w:tc>
          <w:tcPr>
            <w:tcW w:w="2306" w:type="dxa"/>
            <w:gridSpan w:val="2"/>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04" w:type="dxa"/>
          </w:tcPr>
          <w:p>
            <w:pPr>
              <w:pStyle w:val="20"/>
              <w:rPr>
                <w:rFonts w:hint="eastAsia" w:ascii="宋体" w:hAnsi="宋体" w:eastAsia="宋体" w:cs="宋体"/>
                <w:b/>
                <w:color w:val="auto"/>
                <w:sz w:val="21"/>
                <w:szCs w:val="21"/>
                <w:highlight w:val="none"/>
              </w:rPr>
            </w:pPr>
          </w:p>
          <w:p>
            <w:pPr>
              <w:pStyle w:val="20"/>
              <w:ind w:left="241" w:right="2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8250" w:type="dxa"/>
            <w:gridSpan w:val="9"/>
          </w:tcPr>
          <w:p>
            <w:pPr>
              <w:pStyle w:val="20"/>
              <w:rPr>
                <w:rFonts w:hint="eastAsia" w:ascii="宋体" w:hAnsi="宋体" w:eastAsia="宋体" w:cs="宋体"/>
                <w:b/>
                <w:color w:val="auto"/>
                <w:sz w:val="21"/>
                <w:szCs w:val="21"/>
                <w:highlight w:val="none"/>
              </w:rPr>
            </w:pPr>
          </w:p>
          <w:p>
            <w:pPr>
              <w:pStyle w:val="20"/>
              <w:tabs>
                <w:tab w:val="left" w:pos="1929"/>
                <w:tab w:val="left" w:pos="3729"/>
              </w:tabs>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（学校）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254" w:type="dxa"/>
            <w:gridSpan w:val="10"/>
          </w:tcPr>
          <w:p>
            <w:pPr>
              <w:pStyle w:val="20"/>
              <w:spacing w:before="229"/>
              <w:ind w:left="3938" w:right="393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04" w:type="dxa"/>
          </w:tcPr>
          <w:p>
            <w:pPr>
              <w:pStyle w:val="20"/>
              <w:spacing w:before="12"/>
              <w:rPr>
                <w:rFonts w:hint="eastAsia" w:ascii="宋体" w:hAnsi="宋体" w:eastAsia="宋体" w:cs="宋体"/>
                <w:b/>
                <w:color w:val="auto"/>
                <w:sz w:val="21"/>
                <w:szCs w:val="21"/>
                <w:highlight w:val="none"/>
              </w:rPr>
            </w:pPr>
          </w:p>
          <w:p>
            <w:pPr>
              <w:pStyle w:val="20"/>
              <w:ind w:left="241" w:right="23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4244" w:type="dxa"/>
            <w:gridSpan w:val="5"/>
          </w:tcPr>
          <w:p>
            <w:pPr>
              <w:pStyle w:val="20"/>
              <w:spacing w:before="74"/>
              <w:ind w:left="11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负责过的主要过程</w:t>
            </w:r>
          </w:p>
          <w:p>
            <w:pPr>
              <w:pStyle w:val="20"/>
              <w:spacing w:before="5"/>
              <w:ind w:left="10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（项目名称、规模）</w:t>
            </w:r>
          </w:p>
        </w:tc>
        <w:tc>
          <w:tcPr>
            <w:tcW w:w="1700" w:type="dxa"/>
            <w:gridSpan w:val="2"/>
          </w:tcPr>
          <w:p>
            <w:pPr>
              <w:pStyle w:val="20"/>
              <w:spacing w:before="74" w:line="242" w:lineRule="auto"/>
              <w:ind w:left="610" w:right="237"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该项目中的任职</w:t>
            </w:r>
          </w:p>
        </w:tc>
        <w:tc>
          <w:tcPr>
            <w:tcW w:w="2306" w:type="dxa"/>
            <w:gridSpan w:val="2"/>
          </w:tcPr>
          <w:p>
            <w:pPr>
              <w:pStyle w:val="20"/>
              <w:spacing w:before="12"/>
              <w:rPr>
                <w:rFonts w:hint="eastAsia" w:ascii="宋体" w:hAnsi="宋体" w:eastAsia="宋体" w:cs="宋体"/>
                <w:b/>
                <w:color w:val="auto"/>
                <w:sz w:val="21"/>
                <w:szCs w:val="21"/>
                <w:highlight w:val="none"/>
              </w:rPr>
            </w:pPr>
          </w:p>
          <w:p>
            <w:pPr>
              <w:pStyle w:val="20"/>
              <w:ind w:left="891" w:right="88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004" w:type="dxa"/>
          </w:tcPr>
          <w:p>
            <w:pPr>
              <w:pStyle w:val="20"/>
              <w:rPr>
                <w:rFonts w:hint="eastAsia" w:ascii="宋体" w:hAnsi="宋体" w:eastAsia="宋体" w:cs="宋体"/>
                <w:color w:val="auto"/>
                <w:sz w:val="21"/>
                <w:szCs w:val="21"/>
                <w:highlight w:val="none"/>
              </w:rPr>
            </w:pPr>
          </w:p>
        </w:tc>
        <w:tc>
          <w:tcPr>
            <w:tcW w:w="4244" w:type="dxa"/>
            <w:gridSpan w:val="5"/>
          </w:tcPr>
          <w:p>
            <w:pPr>
              <w:pStyle w:val="20"/>
              <w:rPr>
                <w:rFonts w:hint="eastAsia" w:ascii="宋体" w:hAnsi="宋体" w:eastAsia="宋体" w:cs="宋体"/>
                <w:color w:val="auto"/>
                <w:sz w:val="21"/>
                <w:szCs w:val="21"/>
                <w:highlight w:val="none"/>
              </w:rPr>
            </w:pPr>
          </w:p>
        </w:tc>
        <w:tc>
          <w:tcPr>
            <w:tcW w:w="1700" w:type="dxa"/>
            <w:gridSpan w:val="2"/>
          </w:tcPr>
          <w:p>
            <w:pPr>
              <w:pStyle w:val="20"/>
              <w:rPr>
                <w:rFonts w:hint="eastAsia" w:ascii="宋体" w:hAnsi="宋体" w:eastAsia="宋体" w:cs="宋体"/>
                <w:color w:val="auto"/>
                <w:sz w:val="21"/>
                <w:szCs w:val="21"/>
                <w:highlight w:val="none"/>
              </w:rPr>
            </w:pPr>
          </w:p>
        </w:tc>
        <w:tc>
          <w:tcPr>
            <w:tcW w:w="2306" w:type="dxa"/>
            <w:gridSpan w:val="2"/>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9254" w:type="dxa"/>
            <w:gridSpan w:val="10"/>
          </w:tcPr>
          <w:p>
            <w:pPr>
              <w:pStyle w:val="20"/>
              <w:spacing w:before="230"/>
              <w:ind w:left="3938" w:right="393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9254" w:type="dxa"/>
            <w:gridSpan w:val="10"/>
          </w:tcPr>
          <w:p>
            <w:pPr>
              <w:pStyle w:val="20"/>
              <w:rPr>
                <w:rFonts w:hint="eastAsia" w:ascii="宋体" w:hAnsi="宋体" w:eastAsia="宋体" w:cs="宋体"/>
                <w:color w:val="auto"/>
                <w:sz w:val="21"/>
                <w:szCs w:val="21"/>
                <w:highlight w:val="none"/>
              </w:rPr>
            </w:pPr>
          </w:p>
        </w:tc>
      </w:tr>
    </w:tbl>
    <w:p>
      <w:pPr>
        <w:spacing w:before="0"/>
        <w:ind w:left="727"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附：学历证、相关职称证书复印件</w:t>
      </w:r>
    </w:p>
    <w:p>
      <w:pPr>
        <w:spacing w:after="0"/>
        <w:jc w:val="left"/>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2"/>
        <w:rPr>
          <w:rFonts w:hint="eastAsia" w:ascii="宋体" w:hAnsi="宋体" w:eastAsia="宋体" w:cs="宋体"/>
          <w:color w:val="auto"/>
          <w:sz w:val="21"/>
          <w:szCs w:val="21"/>
          <w:highlight w:val="none"/>
        </w:rPr>
      </w:pPr>
    </w:p>
    <w:p>
      <w:pPr>
        <w:spacing w:before="62"/>
        <w:ind w:left="314"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投入本项目主要人员配备</w:t>
      </w:r>
    </w:p>
    <w:p>
      <w:pPr>
        <w:pStyle w:val="8"/>
        <w:spacing w:before="4"/>
        <w:rPr>
          <w:rFonts w:hint="eastAsia" w:ascii="宋体" w:hAnsi="宋体" w:eastAsia="宋体" w:cs="宋体"/>
          <w:b/>
          <w:color w:val="auto"/>
          <w:sz w:val="21"/>
          <w:szCs w:val="21"/>
          <w:highlight w:val="none"/>
        </w:rPr>
      </w:pPr>
    </w:p>
    <w:tbl>
      <w:tblPr>
        <w:tblStyle w:val="16"/>
        <w:tblW w:w="9000" w:type="dxa"/>
        <w:tblInd w:w="6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20"/>
        <w:gridCol w:w="1800"/>
        <w:gridCol w:w="1844"/>
        <w:gridCol w:w="2836"/>
        <w:gridCol w:w="9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1620" w:type="dxa"/>
            <w:tcBorders>
              <w:left w:val="single" w:color="000000" w:sz="4" w:space="0"/>
              <w:bottom w:val="single" w:color="000000" w:sz="4" w:space="0"/>
              <w:right w:val="single" w:color="000000" w:sz="4" w:space="0"/>
            </w:tcBorders>
          </w:tcPr>
          <w:p>
            <w:pPr>
              <w:pStyle w:val="20"/>
              <w:spacing w:before="155"/>
              <w:ind w:left="548" w:right="5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800" w:type="dxa"/>
            <w:tcBorders>
              <w:left w:val="single" w:color="000000" w:sz="4" w:space="0"/>
              <w:bottom w:val="single" w:color="000000" w:sz="4" w:space="0"/>
              <w:right w:val="single" w:color="000000" w:sz="4" w:space="0"/>
            </w:tcBorders>
          </w:tcPr>
          <w:p>
            <w:pPr>
              <w:pStyle w:val="20"/>
              <w:spacing w:before="155"/>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职务/职称</w:t>
            </w:r>
          </w:p>
        </w:tc>
        <w:tc>
          <w:tcPr>
            <w:tcW w:w="1844" w:type="dxa"/>
            <w:tcBorders>
              <w:left w:val="single" w:color="000000" w:sz="4" w:space="0"/>
              <w:bottom w:val="single" w:color="000000" w:sz="4" w:space="0"/>
            </w:tcBorders>
          </w:tcPr>
          <w:p>
            <w:pPr>
              <w:pStyle w:val="20"/>
              <w:spacing w:before="155"/>
              <w:ind w:left="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本项目拟任职务</w:t>
            </w:r>
          </w:p>
        </w:tc>
        <w:tc>
          <w:tcPr>
            <w:tcW w:w="2836" w:type="dxa"/>
            <w:tcBorders>
              <w:bottom w:val="single" w:color="000000" w:sz="4" w:space="0"/>
            </w:tcBorders>
          </w:tcPr>
          <w:p>
            <w:pPr>
              <w:pStyle w:val="20"/>
              <w:spacing w:before="2"/>
              <w:ind w:left="192" w:right="18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主要经验及承担过的项</w:t>
            </w:r>
          </w:p>
          <w:p>
            <w:pPr>
              <w:pStyle w:val="20"/>
              <w:spacing w:before="2" w:line="291" w:lineRule="exact"/>
              <w:ind w:left="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tc>
        <w:tc>
          <w:tcPr>
            <w:tcW w:w="900" w:type="dxa"/>
            <w:tcBorders>
              <w:top w:val="single" w:color="000000" w:sz="4" w:space="0"/>
              <w:bottom w:val="single" w:color="000000" w:sz="4" w:space="0"/>
              <w:right w:val="single" w:color="000000" w:sz="4" w:space="0"/>
            </w:tcBorders>
          </w:tcPr>
          <w:p>
            <w:pPr>
              <w:pStyle w:val="20"/>
              <w:spacing w:before="155"/>
              <w:ind w:left="2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62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1844"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2836"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tcPr>
          <w:p>
            <w:pPr>
              <w:pStyle w:val="20"/>
              <w:rPr>
                <w:rFonts w:hint="eastAsia" w:ascii="宋体" w:hAnsi="宋体" w:eastAsia="宋体" w:cs="宋体"/>
                <w:color w:val="auto"/>
                <w:sz w:val="21"/>
                <w:szCs w:val="21"/>
                <w:highlight w:val="none"/>
              </w:rPr>
            </w:pPr>
          </w:p>
        </w:tc>
      </w:tr>
    </w:tbl>
    <w:p>
      <w:pPr>
        <w:pStyle w:val="8"/>
        <w:spacing w:before="9"/>
        <w:rPr>
          <w:rFonts w:hint="eastAsia" w:ascii="宋体" w:hAnsi="宋体" w:eastAsia="宋体" w:cs="宋体"/>
          <w:b/>
          <w:color w:val="auto"/>
          <w:sz w:val="21"/>
          <w:szCs w:val="21"/>
          <w:highlight w:val="none"/>
        </w:rPr>
      </w:pPr>
    </w:p>
    <w:p>
      <w:pPr>
        <w:spacing w:before="72"/>
        <w:ind w:left="916"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注：表后须附：相关人员的职称证书复印件</w:t>
      </w:r>
    </w:p>
    <w:p>
      <w:pPr>
        <w:spacing w:after="0"/>
        <w:jc w:val="left"/>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spacing w:before="7"/>
        <w:rPr>
          <w:rFonts w:hint="eastAsia" w:ascii="宋体" w:hAnsi="宋体" w:eastAsia="宋体" w:cs="宋体"/>
          <w:color w:val="auto"/>
          <w:sz w:val="21"/>
          <w:szCs w:val="21"/>
          <w:highlight w:val="none"/>
        </w:rPr>
      </w:pPr>
    </w:p>
    <w:p>
      <w:pPr>
        <w:spacing w:before="54"/>
        <w:ind w:left="170"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七、项目实施方案、计划</w:t>
      </w:r>
    </w:p>
    <w:p>
      <w:pPr>
        <w:pStyle w:val="8"/>
        <w:spacing w:before="4"/>
        <w:ind w:left="170" w:right="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（供应商自行编写）</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4"/>
        <w:rPr>
          <w:rFonts w:hint="eastAsia" w:ascii="宋体" w:hAnsi="宋体" w:eastAsia="宋体" w:cs="宋体"/>
          <w:color w:val="auto"/>
          <w:sz w:val="21"/>
          <w:szCs w:val="21"/>
          <w:highlight w:val="none"/>
        </w:rPr>
      </w:pPr>
    </w:p>
    <w:p>
      <w:pPr>
        <w:spacing w:before="0"/>
        <w:ind w:left="168"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八、服务质量承诺书</w:t>
      </w:r>
    </w:p>
    <w:p>
      <w:pPr>
        <w:pStyle w:val="8"/>
        <w:spacing w:before="210"/>
        <w:ind w:left="170" w:right="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（由供应商针对本项目情况自行编写，格式自拟）</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4"/>
        <w:rPr>
          <w:rFonts w:hint="eastAsia" w:ascii="宋体" w:hAnsi="宋体" w:eastAsia="宋体" w:cs="宋体"/>
          <w:color w:val="auto"/>
          <w:sz w:val="21"/>
          <w:szCs w:val="21"/>
          <w:highlight w:val="none"/>
        </w:rPr>
      </w:pPr>
    </w:p>
    <w:p>
      <w:pPr>
        <w:pStyle w:val="8"/>
        <w:tabs>
          <w:tab w:val="left" w:pos="8421"/>
        </w:tabs>
        <w:ind w:left="42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(盖章)</w:t>
      </w:r>
    </w:p>
    <w:p>
      <w:pPr>
        <w:pStyle w:val="8"/>
        <w:spacing w:before="10"/>
        <w:rPr>
          <w:rFonts w:hint="eastAsia" w:ascii="宋体" w:hAnsi="宋体" w:eastAsia="宋体" w:cs="宋体"/>
          <w:color w:val="auto"/>
          <w:sz w:val="21"/>
          <w:szCs w:val="21"/>
          <w:highlight w:val="none"/>
        </w:rPr>
      </w:pPr>
    </w:p>
    <w:p>
      <w:pPr>
        <w:pStyle w:val="8"/>
        <w:tabs>
          <w:tab w:val="left" w:pos="8390"/>
        </w:tabs>
        <w:spacing w:before="74"/>
        <w:ind w:left="4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(签字)</w:t>
      </w:r>
    </w:p>
    <w:p>
      <w:pPr>
        <w:pStyle w:val="8"/>
        <w:spacing w:before="4"/>
        <w:rPr>
          <w:rFonts w:hint="eastAsia" w:ascii="宋体" w:hAnsi="宋体" w:eastAsia="宋体" w:cs="宋体"/>
          <w:color w:val="auto"/>
          <w:sz w:val="21"/>
          <w:szCs w:val="21"/>
          <w:highlight w:val="none"/>
        </w:rPr>
      </w:pPr>
    </w:p>
    <w:p>
      <w:pPr>
        <w:pStyle w:val="8"/>
        <w:tabs>
          <w:tab w:val="left" w:pos="4718"/>
          <w:tab w:val="left" w:pos="5798"/>
          <w:tab w:val="left" w:pos="6518"/>
          <w:tab w:val="left" w:pos="7238"/>
        </w:tabs>
        <w:spacing w:before="66"/>
        <w:ind w:left="4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spacing w:before="187"/>
        <w:ind w:left="168"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九、磋商保证金交纳证明</w:t>
      </w:r>
    </w:p>
    <w:p>
      <w:pPr>
        <w:pStyle w:val="8"/>
        <w:spacing w:before="4"/>
        <w:ind w:left="170" w:right="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（磋商保证金收据复印件或转账底单复印件）</w:t>
      </w:r>
    </w:p>
    <w:p>
      <w:pPr>
        <w:spacing w:after="0"/>
        <w:jc w:val="center"/>
        <w:rPr>
          <w:rFonts w:hint="eastAsia" w:ascii="宋体" w:hAnsi="宋体" w:eastAsia="宋体" w:cs="宋体"/>
          <w:color w:val="auto"/>
          <w:sz w:val="21"/>
          <w:szCs w:val="21"/>
          <w:highlight w:val="none"/>
        </w:rPr>
        <w:sectPr>
          <w:pgSz w:w="11910" w:h="16840"/>
          <w:pgMar w:top="1300" w:right="900" w:bottom="1180" w:left="900" w:header="1100" w:footer="993" w:gutter="0"/>
        </w:sectPr>
      </w:pPr>
    </w:p>
    <w:p>
      <w:pPr>
        <w:spacing w:before="109"/>
        <w:ind w:left="175"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十、同类业绩一览表（如有，请提供）</w:t>
      </w: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spacing w:before="9"/>
        <w:rPr>
          <w:rFonts w:hint="eastAsia" w:ascii="宋体" w:hAnsi="宋体" w:eastAsia="宋体" w:cs="宋体"/>
          <w:b/>
          <w:color w:val="auto"/>
          <w:sz w:val="21"/>
          <w:szCs w:val="21"/>
          <w:highlight w:val="none"/>
        </w:rPr>
      </w:pPr>
    </w:p>
    <w:tbl>
      <w:tblPr>
        <w:tblStyle w:val="16"/>
        <w:tblW w:w="8454" w:type="dxa"/>
        <w:tblInd w:w="4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703"/>
        <w:gridCol w:w="1740"/>
        <w:gridCol w:w="1400"/>
        <w:gridCol w:w="2050"/>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73" w:type="dxa"/>
          </w:tcPr>
          <w:p>
            <w:pPr>
              <w:pStyle w:val="20"/>
              <w:spacing w:before="176"/>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03" w:type="dxa"/>
          </w:tcPr>
          <w:p>
            <w:pPr>
              <w:pStyle w:val="20"/>
              <w:spacing w:before="176"/>
              <w:ind w:left="5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740" w:type="dxa"/>
          </w:tcPr>
          <w:p>
            <w:pPr>
              <w:pStyle w:val="20"/>
              <w:spacing w:before="176"/>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合同总额（元）</w:t>
            </w:r>
          </w:p>
        </w:tc>
        <w:tc>
          <w:tcPr>
            <w:tcW w:w="1400" w:type="dxa"/>
          </w:tcPr>
          <w:p>
            <w:pPr>
              <w:pStyle w:val="20"/>
              <w:spacing w:before="176"/>
              <w:ind w:left="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p>
        </w:tc>
        <w:tc>
          <w:tcPr>
            <w:tcW w:w="2050" w:type="dxa"/>
          </w:tcPr>
          <w:p>
            <w:pPr>
              <w:pStyle w:val="20"/>
              <w:spacing w:before="176"/>
              <w:ind w:left="5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业主单位</w:t>
            </w:r>
          </w:p>
        </w:tc>
        <w:tc>
          <w:tcPr>
            <w:tcW w:w="888" w:type="dxa"/>
          </w:tcPr>
          <w:p>
            <w:pPr>
              <w:pStyle w:val="20"/>
              <w:spacing w:before="176"/>
              <w:ind w:left="24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73" w:type="dxa"/>
          </w:tcPr>
          <w:p>
            <w:pPr>
              <w:pStyle w:val="20"/>
              <w:rPr>
                <w:rFonts w:hint="eastAsia" w:ascii="宋体" w:hAnsi="宋体" w:eastAsia="宋体" w:cs="宋体"/>
                <w:color w:val="auto"/>
                <w:sz w:val="21"/>
                <w:szCs w:val="21"/>
                <w:highlight w:val="none"/>
              </w:rPr>
            </w:pPr>
          </w:p>
        </w:tc>
        <w:tc>
          <w:tcPr>
            <w:tcW w:w="1703" w:type="dxa"/>
          </w:tcPr>
          <w:p>
            <w:pPr>
              <w:pStyle w:val="20"/>
              <w:rPr>
                <w:rFonts w:hint="eastAsia" w:ascii="宋体" w:hAnsi="宋体" w:eastAsia="宋体" w:cs="宋体"/>
                <w:color w:val="auto"/>
                <w:sz w:val="21"/>
                <w:szCs w:val="21"/>
                <w:highlight w:val="none"/>
              </w:rPr>
            </w:pPr>
          </w:p>
        </w:tc>
        <w:tc>
          <w:tcPr>
            <w:tcW w:w="1740" w:type="dxa"/>
          </w:tcPr>
          <w:p>
            <w:pPr>
              <w:pStyle w:val="20"/>
              <w:rPr>
                <w:rFonts w:hint="eastAsia" w:ascii="宋体" w:hAnsi="宋体" w:eastAsia="宋体" w:cs="宋体"/>
                <w:color w:val="auto"/>
                <w:sz w:val="21"/>
                <w:szCs w:val="21"/>
                <w:highlight w:val="none"/>
              </w:rPr>
            </w:pPr>
          </w:p>
        </w:tc>
        <w:tc>
          <w:tcPr>
            <w:tcW w:w="1400" w:type="dxa"/>
          </w:tcPr>
          <w:p>
            <w:pPr>
              <w:pStyle w:val="20"/>
              <w:rPr>
                <w:rFonts w:hint="eastAsia" w:ascii="宋体" w:hAnsi="宋体" w:eastAsia="宋体" w:cs="宋体"/>
                <w:color w:val="auto"/>
                <w:sz w:val="21"/>
                <w:szCs w:val="21"/>
                <w:highlight w:val="none"/>
              </w:rPr>
            </w:pPr>
          </w:p>
        </w:tc>
        <w:tc>
          <w:tcPr>
            <w:tcW w:w="2050" w:type="dxa"/>
          </w:tcPr>
          <w:p>
            <w:pPr>
              <w:pStyle w:val="20"/>
              <w:rPr>
                <w:rFonts w:hint="eastAsia" w:ascii="宋体" w:hAnsi="宋体" w:eastAsia="宋体" w:cs="宋体"/>
                <w:color w:val="auto"/>
                <w:sz w:val="21"/>
                <w:szCs w:val="21"/>
                <w:highlight w:val="none"/>
              </w:rPr>
            </w:pPr>
          </w:p>
        </w:tc>
        <w:tc>
          <w:tcPr>
            <w:tcW w:w="888" w:type="dxa"/>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73" w:type="dxa"/>
          </w:tcPr>
          <w:p>
            <w:pPr>
              <w:pStyle w:val="20"/>
              <w:rPr>
                <w:rFonts w:hint="eastAsia" w:ascii="宋体" w:hAnsi="宋体" w:eastAsia="宋体" w:cs="宋体"/>
                <w:color w:val="auto"/>
                <w:sz w:val="21"/>
                <w:szCs w:val="21"/>
                <w:highlight w:val="none"/>
              </w:rPr>
            </w:pPr>
          </w:p>
        </w:tc>
        <w:tc>
          <w:tcPr>
            <w:tcW w:w="1703" w:type="dxa"/>
          </w:tcPr>
          <w:p>
            <w:pPr>
              <w:pStyle w:val="20"/>
              <w:rPr>
                <w:rFonts w:hint="eastAsia" w:ascii="宋体" w:hAnsi="宋体" w:eastAsia="宋体" w:cs="宋体"/>
                <w:color w:val="auto"/>
                <w:sz w:val="21"/>
                <w:szCs w:val="21"/>
                <w:highlight w:val="none"/>
              </w:rPr>
            </w:pPr>
          </w:p>
        </w:tc>
        <w:tc>
          <w:tcPr>
            <w:tcW w:w="1740" w:type="dxa"/>
          </w:tcPr>
          <w:p>
            <w:pPr>
              <w:pStyle w:val="20"/>
              <w:rPr>
                <w:rFonts w:hint="eastAsia" w:ascii="宋体" w:hAnsi="宋体" w:eastAsia="宋体" w:cs="宋体"/>
                <w:color w:val="auto"/>
                <w:sz w:val="21"/>
                <w:szCs w:val="21"/>
                <w:highlight w:val="none"/>
              </w:rPr>
            </w:pPr>
          </w:p>
        </w:tc>
        <w:tc>
          <w:tcPr>
            <w:tcW w:w="1400" w:type="dxa"/>
          </w:tcPr>
          <w:p>
            <w:pPr>
              <w:pStyle w:val="20"/>
              <w:rPr>
                <w:rFonts w:hint="eastAsia" w:ascii="宋体" w:hAnsi="宋体" w:eastAsia="宋体" w:cs="宋体"/>
                <w:color w:val="auto"/>
                <w:sz w:val="21"/>
                <w:szCs w:val="21"/>
                <w:highlight w:val="none"/>
              </w:rPr>
            </w:pPr>
          </w:p>
        </w:tc>
        <w:tc>
          <w:tcPr>
            <w:tcW w:w="2050" w:type="dxa"/>
          </w:tcPr>
          <w:p>
            <w:pPr>
              <w:pStyle w:val="20"/>
              <w:rPr>
                <w:rFonts w:hint="eastAsia" w:ascii="宋体" w:hAnsi="宋体" w:eastAsia="宋体" w:cs="宋体"/>
                <w:color w:val="auto"/>
                <w:sz w:val="21"/>
                <w:szCs w:val="21"/>
                <w:highlight w:val="none"/>
              </w:rPr>
            </w:pPr>
          </w:p>
        </w:tc>
        <w:tc>
          <w:tcPr>
            <w:tcW w:w="888" w:type="dxa"/>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73" w:type="dxa"/>
          </w:tcPr>
          <w:p>
            <w:pPr>
              <w:pStyle w:val="20"/>
              <w:rPr>
                <w:rFonts w:hint="eastAsia" w:ascii="宋体" w:hAnsi="宋体" w:eastAsia="宋体" w:cs="宋体"/>
                <w:color w:val="auto"/>
                <w:sz w:val="21"/>
                <w:szCs w:val="21"/>
                <w:highlight w:val="none"/>
              </w:rPr>
            </w:pPr>
          </w:p>
        </w:tc>
        <w:tc>
          <w:tcPr>
            <w:tcW w:w="1703" w:type="dxa"/>
          </w:tcPr>
          <w:p>
            <w:pPr>
              <w:pStyle w:val="20"/>
              <w:rPr>
                <w:rFonts w:hint="eastAsia" w:ascii="宋体" w:hAnsi="宋体" w:eastAsia="宋体" w:cs="宋体"/>
                <w:color w:val="auto"/>
                <w:sz w:val="21"/>
                <w:szCs w:val="21"/>
                <w:highlight w:val="none"/>
              </w:rPr>
            </w:pPr>
          </w:p>
        </w:tc>
        <w:tc>
          <w:tcPr>
            <w:tcW w:w="1740" w:type="dxa"/>
          </w:tcPr>
          <w:p>
            <w:pPr>
              <w:pStyle w:val="20"/>
              <w:rPr>
                <w:rFonts w:hint="eastAsia" w:ascii="宋体" w:hAnsi="宋体" w:eastAsia="宋体" w:cs="宋体"/>
                <w:color w:val="auto"/>
                <w:sz w:val="21"/>
                <w:szCs w:val="21"/>
                <w:highlight w:val="none"/>
              </w:rPr>
            </w:pPr>
          </w:p>
        </w:tc>
        <w:tc>
          <w:tcPr>
            <w:tcW w:w="1400" w:type="dxa"/>
          </w:tcPr>
          <w:p>
            <w:pPr>
              <w:pStyle w:val="20"/>
              <w:rPr>
                <w:rFonts w:hint="eastAsia" w:ascii="宋体" w:hAnsi="宋体" w:eastAsia="宋体" w:cs="宋体"/>
                <w:color w:val="auto"/>
                <w:sz w:val="21"/>
                <w:szCs w:val="21"/>
                <w:highlight w:val="none"/>
              </w:rPr>
            </w:pPr>
          </w:p>
        </w:tc>
        <w:tc>
          <w:tcPr>
            <w:tcW w:w="2050" w:type="dxa"/>
          </w:tcPr>
          <w:p>
            <w:pPr>
              <w:pStyle w:val="20"/>
              <w:rPr>
                <w:rFonts w:hint="eastAsia" w:ascii="宋体" w:hAnsi="宋体" w:eastAsia="宋体" w:cs="宋体"/>
                <w:color w:val="auto"/>
                <w:sz w:val="21"/>
                <w:szCs w:val="21"/>
                <w:highlight w:val="none"/>
              </w:rPr>
            </w:pPr>
          </w:p>
        </w:tc>
        <w:tc>
          <w:tcPr>
            <w:tcW w:w="888" w:type="dxa"/>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73" w:type="dxa"/>
          </w:tcPr>
          <w:p>
            <w:pPr>
              <w:pStyle w:val="20"/>
              <w:rPr>
                <w:rFonts w:hint="eastAsia" w:ascii="宋体" w:hAnsi="宋体" w:eastAsia="宋体" w:cs="宋体"/>
                <w:color w:val="auto"/>
                <w:sz w:val="21"/>
                <w:szCs w:val="21"/>
                <w:highlight w:val="none"/>
              </w:rPr>
            </w:pPr>
          </w:p>
        </w:tc>
        <w:tc>
          <w:tcPr>
            <w:tcW w:w="1703" w:type="dxa"/>
          </w:tcPr>
          <w:p>
            <w:pPr>
              <w:pStyle w:val="20"/>
              <w:rPr>
                <w:rFonts w:hint="eastAsia" w:ascii="宋体" w:hAnsi="宋体" w:eastAsia="宋体" w:cs="宋体"/>
                <w:color w:val="auto"/>
                <w:sz w:val="21"/>
                <w:szCs w:val="21"/>
                <w:highlight w:val="none"/>
              </w:rPr>
            </w:pPr>
          </w:p>
        </w:tc>
        <w:tc>
          <w:tcPr>
            <w:tcW w:w="1740" w:type="dxa"/>
          </w:tcPr>
          <w:p>
            <w:pPr>
              <w:pStyle w:val="20"/>
              <w:rPr>
                <w:rFonts w:hint="eastAsia" w:ascii="宋体" w:hAnsi="宋体" w:eastAsia="宋体" w:cs="宋体"/>
                <w:color w:val="auto"/>
                <w:sz w:val="21"/>
                <w:szCs w:val="21"/>
                <w:highlight w:val="none"/>
              </w:rPr>
            </w:pPr>
          </w:p>
        </w:tc>
        <w:tc>
          <w:tcPr>
            <w:tcW w:w="1400" w:type="dxa"/>
          </w:tcPr>
          <w:p>
            <w:pPr>
              <w:pStyle w:val="20"/>
              <w:rPr>
                <w:rFonts w:hint="eastAsia" w:ascii="宋体" w:hAnsi="宋体" w:eastAsia="宋体" w:cs="宋体"/>
                <w:color w:val="auto"/>
                <w:sz w:val="21"/>
                <w:szCs w:val="21"/>
                <w:highlight w:val="none"/>
              </w:rPr>
            </w:pPr>
          </w:p>
        </w:tc>
        <w:tc>
          <w:tcPr>
            <w:tcW w:w="2050" w:type="dxa"/>
          </w:tcPr>
          <w:p>
            <w:pPr>
              <w:pStyle w:val="20"/>
              <w:rPr>
                <w:rFonts w:hint="eastAsia" w:ascii="宋体" w:hAnsi="宋体" w:eastAsia="宋体" w:cs="宋体"/>
                <w:color w:val="auto"/>
                <w:sz w:val="21"/>
                <w:szCs w:val="21"/>
                <w:highlight w:val="none"/>
              </w:rPr>
            </w:pPr>
          </w:p>
        </w:tc>
        <w:tc>
          <w:tcPr>
            <w:tcW w:w="888" w:type="dxa"/>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73" w:type="dxa"/>
          </w:tcPr>
          <w:p>
            <w:pPr>
              <w:pStyle w:val="20"/>
              <w:rPr>
                <w:rFonts w:hint="eastAsia" w:ascii="宋体" w:hAnsi="宋体" w:eastAsia="宋体" w:cs="宋体"/>
                <w:color w:val="auto"/>
                <w:sz w:val="21"/>
                <w:szCs w:val="21"/>
                <w:highlight w:val="none"/>
              </w:rPr>
            </w:pPr>
          </w:p>
        </w:tc>
        <w:tc>
          <w:tcPr>
            <w:tcW w:w="1703" w:type="dxa"/>
          </w:tcPr>
          <w:p>
            <w:pPr>
              <w:pStyle w:val="20"/>
              <w:rPr>
                <w:rFonts w:hint="eastAsia" w:ascii="宋体" w:hAnsi="宋体" w:eastAsia="宋体" w:cs="宋体"/>
                <w:color w:val="auto"/>
                <w:sz w:val="21"/>
                <w:szCs w:val="21"/>
                <w:highlight w:val="none"/>
              </w:rPr>
            </w:pPr>
          </w:p>
        </w:tc>
        <w:tc>
          <w:tcPr>
            <w:tcW w:w="1740" w:type="dxa"/>
          </w:tcPr>
          <w:p>
            <w:pPr>
              <w:pStyle w:val="20"/>
              <w:rPr>
                <w:rFonts w:hint="eastAsia" w:ascii="宋体" w:hAnsi="宋体" w:eastAsia="宋体" w:cs="宋体"/>
                <w:color w:val="auto"/>
                <w:sz w:val="21"/>
                <w:szCs w:val="21"/>
                <w:highlight w:val="none"/>
              </w:rPr>
            </w:pPr>
          </w:p>
        </w:tc>
        <w:tc>
          <w:tcPr>
            <w:tcW w:w="1400" w:type="dxa"/>
          </w:tcPr>
          <w:p>
            <w:pPr>
              <w:pStyle w:val="20"/>
              <w:rPr>
                <w:rFonts w:hint="eastAsia" w:ascii="宋体" w:hAnsi="宋体" w:eastAsia="宋体" w:cs="宋体"/>
                <w:color w:val="auto"/>
                <w:sz w:val="21"/>
                <w:szCs w:val="21"/>
                <w:highlight w:val="none"/>
              </w:rPr>
            </w:pPr>
          </w:p>
        </w:tc>
        <w:tc>
          <w:tcPr>
            <w:tcW w:w="2050" w:type="dxa"/>
          </w:tcPr>
          <w:p>
            <w:pPr>
              <w:pStyle w:val="20"/>
              <w:rPr>
                <w:rFonts w:hint="eastAsia" w:ascii="宋体" w:hAnsi="宋体" w:eastAsia="宋体" w:cs="宋体"/>
                <w:color w:val="auto"/>
                <w:sz w:val="21"/>
                <w:szCs w:val="21"/>
                <w:highlight w:val="none"/>
              </w:rPr>
            </w:pPr>
          </w:p>
        </w:tc>
        <w:tc>
          <w:tcPr>
            <w:tcW w:w="888" w:type="dxa"/>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73" w:type="dxa"/>
          </w:tcPr>
          <w:p>
            <w:pPr>
              <w:pStyle w:val="20"/>
              <w:rPr>
                <w:rFonts w:hint="eastAsia" w:ascii="宋体" w:hAnsi="宋体" w:eastAsia="宋体" w:cs="宋体"/>
                <w:color w:val="auto"/>
                <w:sz w:val="21"/>
                <w:szCs w:val="21"/>
                <w:highlight w:val="none"/>
              </w:rPr>
            </w:pPr>
          </w:p>
        </w:tc>
        <w:tc>
          <w:tcPr>
            <w:tcW w:w="1703" w:type="dxa"/>
          </w:tcPr>
          <w:p>
            <w:pPr>
              <w:pStyle w:val="20"/>
              <w:rPr>
                <w:rFonts w:hint="eastAsia" w:ascii="宋体" w:hAnsi="宋体" w:eastAsia="宋体" w:cs="宋体"/>
                <w:color w:val="auto"/>
                <w:sz w:val="21"/>
                <w:szCs w:val="21"/>
                <w:highlight w:val="none"/>
              </w:rPr>
            </w:pPr>
          </w:p>
        </w:tc>
        <w:tc>
          <w:tcPr>
            <w:tcW w:w="1740" w:type="dxa"/>
          </w:tcPr>
          <w:p>
            <w:pPr>
              <w:pStyle w:val="20"/>
              <w:rPr>
                <w:rFonts w:hint="eastAsia" w:ascii="宋体" w:hAnsi="宋体" w:eastAsia="宋体" w:cs="宋体"/>
                <w:color w:val="auto"/>
                <w:sz w:val="21"/>
                <w:szCs w:val="21"/>
                <w:highlight w:val="none"/>
              </w:rPr>
            </w:pPr>
          </w:p>
        </w:tc>
        <w:tc>
          <w:tcPr>
            <w:tcW w:w="1400" w:type="dxa"/>
          </w:tcPr>
          <w:p>
            <w:pPr>
              <w:pStyle w:val="20"/>
              <w:rPr>
                <w:rFonts w:hint="eastAsia" w:ascii="宋体" w:hAnsi="宋体" w:eastAsia="宋体" w:cs="宋体"/>
                <w:color w:val="auto"/>
                <w:sz w:val="21"/>
                <w:szCs w:val="21"/>
                <w:highlight w:val="none"/>
              </w:rPr>
            </w:pPr>
          </w:p>
        </w:tc>
        <w:tc>
          <w:tcPr>
            <w:tcW w:w="2050" w:type="dxa"/>
          </w:tcPr>
          <w:p>
            <w:pPr>
              <w:pStyle w:val="20"/>
              <w:rPr>
                <w:rFonts w:hint="eastAsia" w:ascii="宋体" w:hAnsi="宋体" w:eastAsia="宋体" w:cs="宋体"/>
                <w:color w:val="auto"/>
                <w:sz w:val="21"/>
                <w:szCs w:val="21"/>
                <w:highlight w:val="none"/>
              </w:rPr>
            </w:pPr>
          </w:p>
        </w:tc>
        <w:tc>
          <w:tcPr>
            <w:tcW w:w="888" w:type="dxa"/>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673" w:type="dxa"/>
          </w:tcPr>
          <w:p>
            <w:pPr>
              <w:pStyle w:val="20"/>
              <w:rPr>
                <w:rFonts w:hint="eastAsia" w:ascii="宋体" w:hAnsi="宋体" w:eastAsia="宋体" w:cs="宋体"/>
                <w:color w:val="auto"/>
                <w:sz w:val="21"/>
                <w:szCs w:val="21"/>
                <w:highlight w:val="none"/>
              </w:rPr>
            </w:pPr>
          </w:p>
        </w:tc>
        <w:tc>
          <w:tcPr>
            <w:tcW w:w="1703" w:type="dxa"/>
          </w:tcPr>
          <w:p>
            <w:pPr>
              <w:pStyle w:val="20"/>
              <w:rPr>
                <w:rFonts w:hint="eastAsia" w:ascii="宋体" w:hAnsi="宋体" w:eastAsia="宋体" w:cs="宋体"/>
                <w:color w:val="auto"/>
                <w:sz w:val="21"/>
                <w:szCs w:val="21"/>
                <w:highlight w:val="none"/>
              </w:rPr>
            </w:pPr>
          </w:p>
        </w:tc>
        <w:tc>
          <w:tcPr>
            <w:tcW w:w="1740" w:type="dxa"/>
          </w:tcPr>
          <w:p>
            <w:pPr>
              <w:pStyle w:val="20"/>
              <w:rPr>
                <w:rFonts w:hint="eastAsia" w:ascii="宋体" w:hAnsi="宋体" w:eastAsia="宋体" w:cs="宋体"/>
                <w:color w:val="auto"/>
                <w:sz w:val="21"/>
                <w:szCs w:val="21"/>
                <w:highlight w:val="none"/>
              </w:rPr>
            </w:pPr>
          </w:p>
        </w:tc>
        <w:tc>
          <w:tcPr>
            <w:tcW w:w="1400" w:type="dxa"/>
          </w:tcPr>
          <w:p>
            <w:pPr>
              <w:pStyle w:val="20"/>
              <w:rPr>
                <w:rFonts w:hint="eastAsia" w:ascii="宋体" w:hAnsi="宋体" w:eastAsia="宋体" w:cs="宋体"/>
                <w:color w:val="auto"/>
                <w:sz w:val="21"/>
                <w:szCs w:val="21"/>
                <w:highlight w:val="none"/>
              </w:rPr>
            </w:pPr>
          </w:p>
        </w:tc>
        <w:tc>
          <w:tcPr>
            <w:tcW w:w="2050" w:type="dxa"/>
          </w:tcPr>
          <w:p>
            <w:pPr>
              <w:pStyle w:val="20"/>
              <w:rPr>
                <w:rFonts w:hint="eastAsia" w:ascii="宋体" w:hAnsi="宋体" w:eastAsia="宋体" w:cs="宋体"/>
                <w:color w:val="auto"/>
                <w:sz w:val="21"/>
                <w:szCs w:val="21"/>
                <w:highlight w:val="none"/>
              </w:rPr>
            </w:pPr>
          </w:p>
        </w:tc>
        <w:tc>
          <w:tcPr>
            <w:tcW w:w="888" w:type="dxa"/>
          </w:tcPr>
          <w:p>
            <w:pPr>
              <w:pStyle w:val="2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73" w:type="dxa"/>
          </w:tcPr>
          <w:p>
            <w:pPr>
              <w:pStyle w:val="20"/>
              <w:rPr>
                <w:rFonts w:hint="eastAsia" w:ascii="宋体" w:hAnsi="宋体" w:eastAsia="宋体" w:cs="宋体"/>
                <w:color w:val="auto"/>
                <w:sz w:val="21"/>
                <w:szCs w:val="21"/>
                <w:highlight w:val="none"/>
              </w:rPr>
            </w:pPr>
          </w:p>
        </w:tc>
        <w:tc>
          <w:tcPr>
            <w:tcW w:w="1703" w:type="dxa"/>
          </w:tcPr>
          <w:p>
            <w:pPr>
              <w:pStyle w:val="20"/>
              <w:rPr>
                <w:rFonts w:hint="eastAsia" w:ascii="宋体" w:hAnsi="宋体" w:eastAsia="宋体" w:cs="宋体"/>
                <w:color w:val="auto"/>
                <w:sz w:val="21"/>
                <w:szCs w:val="21"/>
                <w:highlight w:val="none"/>
              </w:rPr>
            </w:pPr>
          </w:p>
        </w:tc>
        <w:tc>
          <w:tcPr>
            <w:tcW w:w="1740" w:type="dxa"/>
          </w:tcPr>
          <w:p>
            <w:pPr>
              <w:pStyle w:val="20"/>
              <w:rPr>
                <w:rFonts w:hint="eastAsia" w:ascii="宋体" w:hAnsi="宋体" w:eastAsia="宋体" w:cs="宋体"/>
                <w:color w:val="auto"/>
                <w:sz w:val="21"/>
                <w:szCs w:val="21"/>
                <w:highlight w:val="none"/>
              </w:rPr>
            </w:pPr>
          </w:p>
        </w:tc>
        <w:tc>
          <w:tcPr>
            <w:tcW w:w="1400" w:type="dxa"/>
          </w:tcPr>
          <w:p>
            <w:pPr>
              <w:pStyle w:val="20"/>
              <w:rPr>
                <w:rFonts w:hint="eastAsia" w:ascii="宋体" w:hAnsi="宋体" w:eastAsia="宋体" w:cs="宋体"/>
                <w:color w:val="auto"/>
                <w:sz w:val="21"/>
                <w:szCs w:val="21"/>
                <w:highlight w:val="none"/>
              </w:rPr>
            </w:pPr>
          </w:p>
        </w:tc>
        <w:tc>
          <w:tcPr>
            <w:tcW w:w="2050" w:type="dxa"/>
          </w:tcPr>
          <w:p>
            <w:pPr>
              <w:pStyle w:val="20"/>
              <w:rPr>
                <w:rFonts w:hint="eastAsia" w:ascii="宋体" w:hAnsi="宋体" w:eastAsia="宋体" w:cs="宋体"/>
                <w:color w:val="auto"/>
                <w:sz w:val="21"/>
                <w:szCs w:val="21"/>
                <w:highlight w:val="none"/>
              </w:rPr>
            </w:pPr>
          </w:p>
        </w:tc>
        <w:tc>
          <w:tcPr>
            <w:tcW w:w="888" w:type="dxa"/>
          </w:tcPr>
          <w:p>
            <w:pPr>
              <w:pStyle w:val="20"/>
              <w:rPr>
                <w:rFonts w:hint="eastAsia" w:ascii="宋体" w:hAnsi="宋体" w:eastAsia="宋体" w:cs="宋体"/>
                <w:color w:val="auto"/>
                <w:sz w:val="21"/>
                <w:szCs w:val="21"/>
                <w:highlight w:val="none"/>
              </w:rPr>
            </w:pPr>
          </w:p>
        </w:tc>
      </w:tr>
    </w:tbl>
    <w:p>
      <w:pPr>
        <w:spacing w:before="2"/>
        <w:ind w:left="518"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注：1、如本表格式内容不能满足需要，供应商可自行划表填写，但必须体现以上内容。</w:t>
      </w:r>
    </w:p>
    <w:p>
      <w:pPr>
        <w:numPr>
          <w:ilvl w:val="0"/>
          <w:numId w:val="24"/>
        </w:numPr>
        <w:spacing w:before="132"/>
        <w:ind w:left="938"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至少应提供上述项目包括</w:t>
      </w:r>
      <w:r>
        <w:rPr>
          <w:rFonts w:hint="eastAsia" w:ascii="宋体" w:hAnsi="宋体" w:eastAsia="宋体" w:cs="宋体"/>
          <w:b/>
          <w:color w:val="auto"/>
          <w:sz w:val="21"/>
          <w:szCs w:val="21"/>
          <w:highlight w:val="none"/>
          <w:u w:val="thick"/>
        </w:rPr>
        <w:t>以中标、成交通知书或签订合同为准（加盖公章）</w:t>
      </w:r>
      <w:r>
        <w:rPr>
          <w:rFonts w:hint="eastAsia" w:ascii="宋体" w:hAnsi="宋体" w:eastAsia="宋体" w:cs="宋体"/>
          <w:color w:val="auto"/>
          <w:sz w:val="21"/>
          <w:szCs w:val="21"/>
          <w:highlight w:val="none"/>
        </w:rPr>
        <w:t>。</w:t>
      </w:r>
    </w:p>
    <w:p>
      <w:pPr>
        <w:pStyle w:val="2"/>
        <w:numPr>
          <w:ilvl w:val="0"/>
          <w:numId w:val="24"/>
        </w:numPr>
        <w:rPr>
          <w:rFonts w:hint="eastAsia"/>
        </w:rPr>
      </w:pPr>
      <w:r>
        <w:rPr>
          <w:rFonts w:hint="eastAsia"/>
          <w:lang w:eastAsia="zh-CN"/>
        </w:rPr>
        <w:t>同类项目包括高标准农田建设项目、高标准农田建设项目规划。</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7"/>
        <w:rPr>
          <w:rFonts w:hint="eastAsia" w:ascii="宋体" w:hAnsi="宋体" w:eastAsia="宋体" w:cs="宋体"/>
          <w:color w:val="auto"/>
          <w:sz w:val="21"/>
          <w:szCs w:val="21"/>
          <w:highlight w:val="none"/>
        </w:rPr>
      </w:pPr>
    </w:p>
    <w:p>
      <w:pPr>
        <w:pStyle w:val="8"/>
        <w:spacing w:before="1"/>
        <w:ind w:left="47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p>
    <w:p>
      <w:pPr>
        <w:pStyle w:val="8"/>
        <w:spacing w:before="189"/>
        <w:ind w:left="45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法定代表人或被授权人签字：</w:t>
      </w:r>
    </w:p>
    <w:p>
      <w:pPr>
        <w:pStyle w:val="8"/>
        <w:tabs>
          <w:tab w:val="left" w:pos="5618"/>
          <w:tab w:val="left" w:pos="6818"/>
          <w:tab w:val="left" w:pos="7576"/>
          <w:tab w:val="left" w:pos="8337"/>
        </w:tabs>
        <w:spacing w:before="55"/>
        <w:ind w:left="50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pacing w:val="40"/>
          <w:sz w:val="21"/>
          <w:szCs w:val="21"/>
          <w:highlight w:val="none"/>
        </w:rPr>
        <w:t>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日</w:t>
      </w:r>
    </w:p>
    <w:p>
      <w:pPr>
        <w:spacing w:after="0"/>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spacing w:before="4"/>
        <w:rPr>
          <w:rFonts w:hint="eastAsia" w:ascii="宋体" w:hAnsi="宋体" w:eastAsia="宋体" w:cs="宋体"/>
          <w:color w:val="auto"/>
          <w:sz w:val="21"/>
          <w:szCs w:val="21"/>
          <w:highlight w:val="none"/>
        </w:rPr>
      </w:pPr>
    </w:p>
    <w:p>
      <w:pPr>
        <w:spacing w:before="58"/>
        <w:ind w:left="173"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十一、供应商获得的相关信誉与荣誉证明材料（如有，请提供）</w:t>
      </w: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spacing w:before="5"/>
        <w:rPr>
          <w:rFonts w:hint="eastAsia" w:ascii="宋体" w:hAnsi="宋体" w:eastAsia="宋体" w:cs="宋体"/>
          <w:b/>
          <w:color w:val="auto"/>
          <w:sz w:val="21"/>
          <w:szCs w:val="21"/>
          <w:highlight w:val="none"/>
        </w:rPr>
      </w:pPr>
    </w:p>
    <w:p>
      <w:pPr>
        <w:spacing w:before="0"/>
        <w:ind w:left="170"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十二、供应商认为需要提供的材料（如有，请提供）</w:t>
      </w:r>
    </w:p>
    <w:p>
      <w:pPr>
        <w:pStyle w:val="8"/>
        <w:spacing w:before="9"/>
        <w:rPr>
          <w:rFonts w:hint="eastAsia" w:ascii="宋体" w:hAnsi="宋体" w:eastAsia="宋体" w:cs="宋体"/>
          <w:b/>
          <w:color w:val="auto"/>
          <w:sz w:val="21"/>
          <w:szCs w:val="21"/>
          <w:highlight w:val="none"/>
        </w:rPr>
      </w:pPr>
    </w:p>
    <w:p>
      <w:pPr>
        <w:pStyle w:val="8"/>
        <w:ind w:left="170" w:right="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（本项无固定格式，由供应商自拟）</w:t>
      </w:r>
    </w:p>
    <w:p>
      <w:pPr>
        <w:spacing w:after="0"/>
        <w:jc w:val="center"/>
        <w:rPr>
          <w:rFonts w:hint="eastAsia" w:ascii="宋体" w:hAnsi="宋体" w:eastAsia="宋体" w:cs="宋体"/>
          <w:color w:val="auto"/>
          <w:sz w:val="21"/>
          <w:szCs w:val="21"/>
          <w:highlight w:val="none"/>
        </w:rPr>
        <w:sectPr>
          <w:footerReference r:id="rId15" w:type="default"/>
          <w:pgSz w:w="11910" w:h="16840"/>
          <w:pgMar w:top="1300" w:right="900" w:bottom="1180" w:left="900" w:header="1100" w:footer="993" w:gutter="0"/>
          <w:pgNumType w:start="50"/>
        </w:sect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9"/>
        <w:rPr>
          <w:rFonts w:hint="eastAsia" w:ascii="宋体" w:hAnsi="宋体" w:eastAsia="宋体" w:cs="宋体"/>
          <w:color w:val="auto"/>
          <w:sz w:val="21"/>
          <w:szCs w:val="21"/>
          <w:highlight w:val="none"/>
        </w:rPr>
      </w:pPr>
    </w:p>
    <w:p>
      <w:pPr>
        <w:pStyle w:val="5"/>
        <w:tabs>
          <w:tab w:val="left" w:pos="1455"/>
        </w:tabs>
        <w:ind w:left="171" w:right="0"/>
        <w:rPr>
          <w:rFonts w:hint="eastAsia" w:ascii="宋体" w:hAnsi="宋体" w:eastAsia="宋体" w:cs="宋体"/>
          <w:color w:val="auto"/>
          <w:sz w:val="21"/>
          <w:szCs w:val="21"/>
          <w:highlight w:val="none"/>
        </w:rPr>
      </w:pPr>
      <w:bookmarkStart w:id="130" w:name="第五章  评标方法和评标标准"/>
      <w:bookmarkEnd w:id="130"/>
      <w:bookmarkStart w:id="131" w:name="_bookmark40"/>
      <w:bookmarkEnd w:id="131"/>
      <w:r>
        <w:rPr>
          <w:rFonts w:hint="eastAsia" w:ascii="宋体" w:hAnsi="宋体" w:eastAsia="宋体" w:cs="宋体"/>
          <w:color w:val="auto"/>
          <w:sz w:val="21"/>
          <w:szCs w:val="21"/>
          <w:highlight w:val="none"/>
        </w:rPr>
        <w:t>第五章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评标方法和评标标准</w:t>
      </w:r>
    </w:p>
    <w:p>
      <w:pPr>
        <w:pStyle w:val="8"/>
        <w:spacing w:before="5"/>
        <w:rPr>
          <w:rFonts w:hint="eastAsia" w:ascii="宋体" w:hAnsi="宋体" w:eastAsia="宋体" w:cs="宋体"/>
          <w:b/>
          <w:color w:val="auto"/>
          <w:sz w:val="21"/>
          <w:szCs w:val="21"/>
          <w:highlight w:val="none"/>
        </w:rPr>
      </w:pPr>
    </w:p>
    <w:p>
      <w:pPr>
        <w:pStyle w:val="8"/>
        <w:ind w:left="10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一、评标原则</w:t>
      </w:r>
    </w:p>
    <w:p>
      <w:pPr>
        <w:pStyle w:val="8"/>
        <w:spacing w:before="132" w:line="343" w:lineRule="auto"/>
        <w:ind w:left="518" w:right="346"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pacing w:val="-60"/>
          <w:sz w:val="21"/>
          <w:szCs w:val="21"/>
          <w:highlight w:val="none"/>
        </w:rPr>
        <w:t>）</w:t>
      </w:r>
      <w:r>
        <w:rPr>
          <w:rFonts w:hint="eastAsia" w:ascii="宋体" w:hAnsi="宋体" w:eastAsia="宋体" w:cs="宋体"/>
          <w:color w:val="auto"/>
          <w:spacing w:val="-9"/>
          <w:sz w:val="21"/>
          <w:szCs w:val="21"/>
          <w:highlight w:val="none"/>
        </w:rPr>
        <w:t>磋商小组成：本采购项目的磋商小组由采购人在监督人员监督下在财政部门设</w:t>
      </w:r>
      <w:r>
        <w:rPr>
          <w:rFonts w:hint="eastAsia" w:ascii="宋体" w:hAnsi="宋体" w:eastAsia="宋体" w:cs="宋体"/>
          <w:color w:val="auto"/>
          <w:spacing w:val="-7"/>
          <w:sz w:val="21"/>
          <w:szCs w:val="21"/>
          <w:highlight w:val="none"/>
        </w:rPr>
        <w:t>立的专家题库随机抽取构成。磋商小组成员人数</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评审专家</w:t>
      </w:r>
      <w:r>
        <w:rPr>
          <w:rFonts w:hint="eastAsia" w:ascii="宋体" w:hAnsi="宋体" w:eastAsia="宋体" w:cs="宋体"/>
          <w:color w:val="auto"/>
          <w:spacing w:val="-7"/>
          <w:sz w:val="21"/>
          <w:szCs w:val="21"/>
          <w:highlight w:val="none"/>
          <w:lang w:val="en-US" w:eastAsia="zh-CN"/>
        </w:rPr>
        <w:t>2人</w:t>
      </w:r>
      <w:r>
        <w:rPr>
          <w:rFonts w:hint="eastAsia" w:ascii="宋体" w:hAnsi="宋体" w:eastAsia="宋体" w:cs="宋体"/>
          <w:color w:val="auto"/>
          <w:spacing w:val="-7"/>
          <w:sz w:val="21"/>
          <w:szCs w:val="21"/>
          <w:highlight w:val="none"/>
        </w:rPr>
        <w:t>、采购人代表</w:t>
      </w:r>
      <w:r>
        <w:rPr>
          <w:rFonts w:hint="eastAsia" w:ascii="宋体" w:hAnsi="宋体" w:eastAsia="宋体" w:cs="宋体"/>
          <w:color w:val="auto"/>
          <w:spacing w:val="-7"/>
          <w:sz w:val="21"/>
          <w:szCs w:val="21"/>
          <w:highlight w:val="none"/>
          <w:lang w:val="en-US" w:eastAsia="zh-CN"/>
        </w:rPr>
        <w:t>1人共计</w:t>
      </w:r>
      <w:r>
        <w:rPr>
          <w:rFonts w:hint="eastAsia" w:ascii="宋体" w:hAnsi="宋体" w:eastAsia="宋体" w:cs="宋体"/>
          <w:color w:val="auto"/>
          <w:spacing w:val="-7"/>
          <w:sz w:val="21"/>
          <w:szCs w:val="21"/>
          <w:highlight w:val="none"/>
        </w:rPr>
        <w:t>三人</w:t>
      </w:r>
      <w:r>
        <w:rPr>
          <w:rFonts w:hint="eastAsia" w:ascii="宋体" w:hAnsi="宋体" w:eastAsia="宋体" w:cs="宋体"/>
          <w:color w:val="auto"/>
          <w:sz w:val="21"/>
          <w:szCs w:val="21"/>
          <w:highlight w:val="none"/>
        </w:rPr>
        <w:t>组成，其中评审专家人数不得少于磋商小组成员总数的三分之二。</w:t>
      </w:r>
    </w:p>
    <w:p>
      <w:pPr>
        <w:pStyle w:val="8"/>
        <w:spacing w:before="1" w:line="345" w:lineRule="auto"/>
        <w:ind w:left="518" w:right="34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pacing w:val="-41"/>
          <w:sz w:val="21"/>
          <w:szCs w:val="21"/>
          <w:highlight w:val="none"/>
        </w:rPr>
        <w:t>）</w:t>
      </w:r>
      <w:r>
        <w:rPr>
          <w:rFonts w:hint="eastAsia" w:ascii="宋体" w:hAnsi="宋体" w:eastAsia="宋体" w:cs="宋体"/>
          <w:color w:val="auto"/>
          <w:spacing w:val="-10"/>
          <w:sz w:val="21"/>
          <w:szCs w:val="21"/>
          <w:highlight w:val="none"/>
        </w:rPr>
        <w:t>评审依据：磋商小组将以竞争性磋商文件和响应文件为评标依据，对磋商供应</w:t>
      </w:r>
      <w:r>
        <w:rPr>
          <w:rFonts w:hint="eastAsia" w:ascii="宋体" w:hAnsi="宋体" w:eastAsia="宋体" w:cs="宋体"/>
          <w:color w:val="auto"/>
          <w:sz w:val="21"/>
          <w:szCs w:val="21"/>
          <w:highlight w:val="none"/>
        </w:rPr>
        <w:t>商的磋商报价、项目服务方案、综合实力方面内容按百分制打分。</w:t>
      </w:r>
    </w:p>
    <w:p>
      <w:pPr>
        <w:pStyle w:val="8"/>
        <w:spacing w:line="343" w:lineRule="auto"/>
        <w:ind w:left="988" w:right="5266" w:firstLine="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（三）评标方式：以封闭方式进行。</w:t>
      </w:r>
      <w:bookmarkStart w:id="132" w:name="二、评定方法"/>
      <w:bookmarkEnd w:id="132"/>
    </w:p>
    <w:p>
      <w:pPr>
        <w:pStyle w:val="8"/>
        <w:spacing w:line="343" w:lineRule="auto"/>
        <w:ind w:left="988" w:right="5266" w:firstLine="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二、评定方法</w:t>
      </w:r>
    </w:p>
    <w:p>
      <w:pPr>
        <w:pStyle w:val="8"/>
        <w:ind w:left="998"/>
        <w:rPr>
          <w:rFonts w:hint="eastAsia" w:ascii="宋体" w:hAnsi="宋体" w:eastAsia="宋体" w:cs="宋体"/>
          <w:color w:val="auto"/>
          <w:sz w:val="21"/>
          <w:szCs w:val="21"/>
          <w:highlight w:val="none"/>
        </w:rPr>
      </w:pPr>
      <w:bookmarkStart w:id="133" w:name="（一）对进入详评的，采用百分制综合评分法。"/>
      <w:bookmarkEnd w:id="133"/>
      <w:r>
        <w:rPr>
          <w:rFonts w:hint="eastAsia" w:ascii="宋体" w:hAnsi="宋体" w:eastAsia="宋体" w:cs="宋体"/>
          <w:color w:val="auto"/>
          <w:sz w:val="21"/>
          <w:szCs w:val="21"/>
          <w:highlight w:val="none"/>
        </w:rPr>
        <w:t>（一）对进入详评的，采用百分制综合评分法。</w:t>
      </w:r>
    </w:p>
    <w:p>
      <w:pPr>
        <w:pStyle w:val="8"/>
        <w:spacing w:before="128"/>
        <w:ind w:left="988"/>
        <w:rPr>
          <w:rFonts w:hint="eastAsia" w:ascii="宋体" w:hAnsi="宋体" w:eastAsia="宋体" w:cs="宋体"/>
          <w:color w:val="auto"/>
          <w:sz w:val="21"/>
          <w:szCs w:val="21"/>
          <w:highlight w:val="none"/>
        </w:rPr>
      </w:pPr>
      <w:bookmarkStart w:id="134" w:name="（二）计分办法（按四舍五入取至百分位）。"/>
      <w:bookmarkEnd w:id="134"/>
      <w:r>
        <w:rPr>
          <w:rFonts w:hint="eastAsia" w:ascii="宋体" w:hAnsi="宋体" w:eastAsia="宋体" w:cs="宋体"/>
          <w:color w:val="auto"/>
          <w:sz w:val="21"/>
          <w:szCs w:val="21"/>
          <w:highlight w:val="none"/>
        </w:rPr>
        <w:t>（二）计分办法（按四舍五入取至百分位）。</w:t>
      </w:r>
    </w:p>
    <w:p>
      <w:pPr>
        <w:pStyle w:val="6"/>
        <w:tabs>
          <w:tab w:val="left" w:leader="dot" w:pos="9189"/>
        </w:tabs>
        <w:spacing w:before="132"/>
        <w:ind w:left="1118"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z w:val="21"/>
          <w:szCs w:val="21"/>
          <w:highlight w:val="none"/>
        </w:rPr>
        <w:t>分</w:t>
      </w:r>
    </w:p>
    <w:p>
      <w:pPr>
        <w:pStyle w:val="19"/>
        <w:numPr>
          <w:ilvl w:val="1"/>
          <w:numId w:val="23"/>
        </w:numPr>
        <w:tabs>
          <w:tab w:val="left" w:pos="1480"/>
        </w:tabs>
        <w:spacing w:before="134" w:after="0" w:line="343" w:lineRule="auto"/>
        <w:ind w:left="518" w:right="346" w:firstLine="360"/>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评标价为供应商的投标报价进行政策性扣除后的价格，评标价只是作为评标时</w:t>
      </w:r>
      <w:r>
        <w:rPr>
          <w:rFonts w:hint="eastAsia" w:ascii="宋体" w:hAnsi="宋体" w:eastAsia="宋体" w:cs="宋体"/>
          <w:color w:val="auto"/>
          <w:spacing w:val="-4"/>
          <w:sz w:val="21"/>
          <w:szCs w:val="21"/>
          <w:highlight w:val="none"/>
        </w:rPr>
        <w:t>使用。最终成交人的中标金额</w:t>
      </w:r>
      <w:r>
        <w:rPr>
          <w:rFonts w:hint="eastAsia" w:ascii="宋体" w:hAnsi="宋体" w:eastAsia="宋体" w:cs="宋体"/>
          <w:color w:val="auto"/>
          <w:sz w:val="21"/>
          <w:szCs w:val="21"/>
          <w:highlight w:val="none"/>
        </w:rPr>
        <w:t>＝投标报价。</w:t>
      </w:r>
    </w:p>
    <w:p>
      <w:pPr>
        <w:pStyle w:val="19"/>
        <w:numPr>
          <w:ilvl w:val="1"/>
          <w:numId w:val="23"/>
        </w:numPr>
        <w:tabs>
          <w:tab w:val="left" w:pos="1480"/>
        </w:tabs>
        <w:spacing w:before="0" w:after="0" w:line="343" w:lineRule="auto"/>
        <w:ind w:left="518" w:right="346" w:firstLine="360"/>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政策性扣除计算方法。 供应商符合小型、微型企业或监狱企业条件的，其投标</w:t>
      </w:r>
      <w:r>
        <w:rPr>
          <w:rFonts w:hint="eastAsia" w:ascii="宋体" w:hAnsi="宋体" w:eastAsia="宋体" w:cs="宋体"/>
          <w:color w:val="auto"/>
          <w:spacing w:val="-3"/>
          <w:sz w:val="21"/>
          <w:szCs w:val="21"/>
          <w:highlight w:val="none"/>
        </w:rPr>
        <w:t>报价将按相应比例进行扣除，用扣除后的价格参与评审</w:t>
      </w:r>
      <w:r>
        <w:rPr>
          <w:rFonts w:hint="eastAsia" w:ascii="宋体" w:hAnsi="宋体" w:eastAsia="宋体" w:cs="宋体"/>
          <w:color w:val="auto"/>
          <w:sz w:val="21"/>
          <w:szCs w:val="21"/>
          <w:highlight w:val="none"/>
        </w:rPr>
        <w:t>（计算价格分</w:t>
      </w: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10"/>
          <w:sz w:val="21"/>
          <w:szCs w:val="21"/>
          <w:highlight w:val="none"/>
        </w:rPr>
        <w:t>。小型、微型企业</w:t>
      </w:r>
      <w:r>
        <w:rPr>
          <w:rFonts w:hint="eastAsia" w:ascii="宋体" w:hAnsi="宋体" w:eastAsia="宋体" w:cs="宋体"/>
          <w:color w:val="auto"/>
          <w:sz w:val="21"/>
          <w:szCs w:val="21"/>
          <w:highlight w:val="none"/>
        </w:rPr>
        <w:t>组成联合体参加投标的，联合体视同为小型、微型企业享受扶持政策。</w:t>
      </w:r>
    </w:p>
    <w:p>
      <w:pPr>
        <w:pStyle w:val="19"/>
        <w:numPr>
          <w:ilvl w:val="1"/>
          <w:numId w:val="23"/>
        </w:numPr>
        <w:tabs>
          <w:tab w:val="left" w:pos="1480"/>
        </w:tabs>
        <w:spacing w:before="0" w:after="0" w:line="240" w:lineRule="auto"/>
        <w:ind w:left="1479" w:right="0" w:hanging="602"/>
        <w:jc w:val="left"/>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按照《财政部、司法部关于政府采购支持监狱企业发展有关问题的通知》</w:t>
      </w:r>
      <w:r>
        <w:rPr>
          <w:rFonts w:hint="eastAsia" w:ascii="宋体" w:hAnsi="宋体" w:eastAsia="宋体" w:cs="宋体"/>
          <w:color w:val="auto"/>
          <w:sz w:val="21"/>
          <w:szCs w:val="21"/>
          <w:highlight w:val="none"/>
        </w:rPr>
        <w:t>（财库</w:t>
      </w:r>
    </w:p>
    <w:p>
      <w:pPr>
        <w:pStyle w:val="8"/>
        <w:spacing w:before="134"/>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〔2014〕68 号）之规定，监狱企业视同小型、微型企业。</w:t>
      </w:r>
    </w:p>
    <w:p>
      <w:pPr>
        <w:pStyle w:val="19"/>
        <w:numPr>
          <w:ilvl w:val="1"/>
          <w:numId w:val="23"/>
        </w:numPr>
        <w:tabs>
          <w:tab w:val="left" w:pos="1480"/>
        </w:tabs>
        <w:spacing w:before="131" w:after="0" w:line="343" w:lineRule="auto"/>
        <w:ind w:left="518" w:right="346" w:firstLine="36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按《关于促进残疾人就业政府采购政策的通知》(财库〔</w:t>
      </w:r>
      <w:r>
        <w:rPr>
          <w:rFonts w:hint="eastAsia" w:ascii="宋体" w:hAnsi="宋体" w:eastAsia="宋体" w:cs="宋体"/>
          <w:color w:val="auto"/>
          <w:sz w:val="21"/>
          <w:szCs w:val="21"/>
          <w:highlight w:val="none"/>
        </w:rPr>
        <w:t>2017</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141</w:t>
      </w:r>
      <w:r>
        <w:rPr>
          <w:rFonts w:hint="eastAsia" w:ascii="宋体" w:hAnsi="宋体" w:eastAsia="宋体" w:cs="宋体"/>
          <w:color w:val="auto"/>
          <w:spacing w:val="-13"/>
          <w:sz w:val="21"/>
          <w:szCs w:val="21"/>
          <w:highlight w:val="none"/>
        </w:rPr>
        <w:t xml:space="preserve"> 号)规定，在</w:t>
      </w:r>
      <w:r>
        <w:rPr>
          <w:rFonts w:hint="eastAsia" w:ascii="宋体" w:hAnsi="宋体" w:eastAsia="宋体" w:cs="宋体"/>
          <w:color w:val="auto"/>
          <w:spacing w:val="-9"/>
          <w:sz w:val="21"/>
          <w:szCs w:val="21"/>
          <w:highlight w:val="none"/>
        </w:rPr>
        <w:t>政府采购活动中，残疾人福利性单位视同小型、微型企业，享受预留份额、评审中价格扣</w:t>
      </w:r>
      <w:r>
        <w:rPr>
          <w:rFonts w:hint="eastAsia" w:ascii="宋体" w:hAnsi="宋体" w:eastAsia="宋体" w:cs="宋体"/>
          <w:color w:val="auto"/>
          <w:spacing w:val="-7"/>
          <w:sz w:val="21"/>
          <w:szCs w:val="21"/>
          <w:highlight w:val="none"/>
        </w:rPr>
        <w:t>除等促进中小企业发展的政府采购政策。向残疾人福利性单位采购的金额，计入面向中小</w:t>
      </w:r>
      <w:r>
        <w:rPr>
          <w:rFonts w:hint="eastAsia" w:ascii="宋体" w:hAnsi="宋体" w:eastAsia="宋体" w:cs="宋体"/>
          <w:color w:val="auto"/>
          <w:sz w:val="21"/>
          <w:szCs w:val="21"/>
          <w:highlight w:val="none"/>
        </w:rPr>
        <w:t>企业采购的统计数据。残疾人福利性单位属于小型、微型企业的，不重复享受政策。</w:t>
      </w:r>
    </w:p>
    <w:p>
      <w:pPr>
        <w:pStyle w:val="8"/>
        <w:spacing w:before="66"/>
        <w:ind w:left="51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按照《政府采购促进中小企业发展暂行办法》</w:t>
      </w:r>
      <w:r>
        <w:rPr>
          <w:rFonts w:hint="eastAsia" w:ascii="宋体" w:hAnsi="宋体" w:eastAsia="宋体" w:cs="宋体"/>
          <w:color w:val="auto"/>
          <w:sz w:val="21"/>
          <w:szCs w:val="21"/>
          <w:highlight w:val="none"/>
        </w:rPr>
        <w:t>（财库[2011]181 号</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4"/>
          <w:sz w:val="21"/>
          <w:szCs w:val="21"/>
          <w:highlight w:val="none"/>
        </w:rPr>
        <w:t>之规定，投</w:t>
      </w:r>
      <w:r>
        <w:rPr>
          <w:rFonts w:hint="eastAsia" w:ascii="宋体" w:hAnsi="宋体" w:eastAsia="宋体" w:cs="宋体"/>
          <w:color w:val="auto"/>
          <w:spacing w:val="-8"/>
          <w:sz w:val="21"/>
          <w:szCs w:val="21"/>
          <w:highlight w:val="none"/>
        </w:rPr>
        <w:t>标产品被认定 为小型和微型企业产品</w:t>
      </w:r>
      <w:r>
        <w:rPr>
          <w:rFonts w:hint="eastAsia" w:ascii="宋体" w:hAnsi="宋体" w:eastAsia="宋体" w:cs="宋体"/>
          <w:color w:val="auto"/>
          <w:sz w:val="21"/>
          <w:szCs w:val="21"/>
          <w:highlight w:val="none"/>
        </w:rPr>
        <w:t>（以具有认定职能的部门出具的证明材料为准</w:t>
      </w:r>
      <w:r>
        <w:rPr>
          <w:rFonts w:hint="eastAsia" w:ascii="宋体" w:hAnsi="宋体" w:eastAsia="宋体" w:cs="宋体"/>
          <w:color w:val="auto"/>
          <w:spacing w:val="-60"/>
          <w:sz w:val="21"/>
          <w:szCs w:val="21"/>
          <w:highlight w:val="none"/>
        </w:rPr>
        <w:t>）</w:t>
      </w:r>
      <w:r>
        <w:rPr>
          <w:rFonts w:hint="eastAsia" w:ascii="宋体" w:hAnsi="宋体" w:eastAsia="宋体" w:cs="宋体"/>
          <w:color w:val="auto"/>
          <w:spacing w:val="-8"/>
          <w:sz w:val="21"/>
          <w:szCs w:val="21"/>
          <w:highlight w:val="none"/>
        </w:rPr>
        <w:t xml:space="preserve">的， </w:t>
      </w:r>
      <w:r>
        <w:rPr>
          <w:rFonts w:hint="eastAsia" w:ascii="宋体" w:hAnsi="宋体" w:eastAsia="宋体" w:cs="宋体"/>
          <w:color w:val="auto"/>
          <w:spacing w:val="-1"/>
          <w:sz w:val="21"/>
          <w:szCs w:val="21"/>
          <w:highlight w:val="none"/>
        </w:rPr>
        <w:t xml:space="preserve">对小型和微型企业产品的价 格给予 </w:t>
      </w:r>
      <w:r>
        <w:rPr>
          <w:rFonts w:hint="eastAsia" w:ascii="宋体" w:hAnsi="宋体" w:eastAsia="宋体" w:cs="宋体"/>
          <w:color w:val="auto"/>
          <w:sz w:val="21"/>
          <w:szCs w:val="21"/>
          <w:highlight w:val="none"/>
        </w:rPr>
        <w:t>6%的扣除，扣除后的价格为评标报价，即评标报价= 投标价×（1-6%）；大中型企业和其他自然 人、法人或者其他组织与小型、微型企业组</w:t>
      </w:r>
      <w:r>
        <w:rPr>
          <w:rFonts w:hint="eastAsia" w:ascii="宋体" w:hAnsi="宋体" w:eastAsia="宋体" w:cs="宋体"/>
          <w:color w:val="auto"/>
          <w:spacing w:val="-1"/>
          <w:sz w:val="21"/>
          <w:szCs w:val="21"/>
          <w:highlight w:val="none"/>
        </w:rPr>
        <w:t>成联合体投标，联合体协议中约定小型、微型企业的协议合 同金额占到联合体协议合同总金额 30%</w:t>
      </w:r>
      <w:r>
        <w:rPr>
          <w:rFonts w:hint="eastAsia" w:ascii="宋体" w:hAnsi="宋体" w:eastAsia="宋体" w:cs="宋体"/>
          <w:color w:val="auto"/>
          <w:spacing w:val="-7"/>
          <w:sz w:val="21"/>
          <w:szCs w:val="21"/>
          <w:highlight w:val="none"/>
        </w:rPr>
        <w:t xml:space="preserve">以上的，联合体投标价给予 </w:t>
      </w:r>
      <w:r>
        <w:rPr>
          <w:rFonts w:hint="eastAsia" w:ascii="宋体" w:hAnsi="宋体" w:eastAsia="宋体" w:cs="宋体"/>
          <w:color w:val="auto"/>
          <w:sz w:val="21"/>
          <w:szCs w:val="21"/>
          <w:highlight w:val="none"/>
        </w:rPr>
        <w:t>2%</w:t>
      </w:r>
      <w:r>
        <w:rPr>
          <w:rFonts w:hint="eastAsia" w:ascii="宋体" w:hAnsi="宋体" w:eastAsia="宋体" w:cs="宋体"/>
          <w:color w:val="auto"/>
          <w:spacing w:val="-9"/>
          <w:sz w:val="21"/>
          <w:szCs w:val="21"/>
          <w:highlight w:val="none"/>
        </w:rPr>
        <w:t>的扣除，扣除后的价格为评标价， 即评标报价</w:t>
      </w:r>
      <w:r>
        <w:rPr>
          <w:rFonts w:hint="eastAsia" w:ascii="宋体" w:hAnsi="宋体" w:eastAsia="宋体" w:cs="宋体"/>
          <w:color w:val="auto"/>
          <w:sz w:val="21"/>
          <w:szCs w:val="21"/>
          <w:highlight w:val="none"/>
        </w:rPr>
        <w:t>=投标价×（1-2%）；除上述情况外，评标报价=投标价。</w:t>
      </w:r>
    </w:p>
    <w:p>
      <w:pPr>
        <w:pStyle w:val="19"/>
        <w:numPr>
          <w:ilvl w:val="1"/>
          <w:numId w:val="23"/>
        </w:numPr>
        <w:tabs>
          <w:tab w:val="left" w:pos="1480"/>
        </w:tabs>
        <w:spacing w:before="134" w:after="0" w:line="240" w:lineRule="auto"/>
        <w:ind w:left="1479" w:right="0" w:hanging="602"/>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以进入综合评分环节的最低的评标报价为基准价，基准价报价得分为</w:t>
      </w: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z w:val="21"/>
          <w:szCs w:val="21"/>
          <w:highlight w:val="none"/>
        </w:rPr>
        <w:t>0 分。</w:t>
      </w:r>
    </w:p>
    <w:p>
      <w:pPr>
        <w:pStyle w:val="19"/>
        <w:numPr>
          <w:ilvl w:val="1"/>
          <w:numId w:val="23"/>
        </w:numPr>
        <w:tabs>
          <w:tab w:val="left" w:pos="1480"/>
        </w:tabs>
        <w:spacing w:before="132" w:after="0" w:line="240" w:lineRule="auto"/>
        <w:ind w:left="1479" w:right="0" w:hanging="6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价格分计算公式：</w:t>
      </w:r>
    </w:p>
    <w:p>
      <w:pPr>
        <w:pStyle w:val="8"/>
        <w:spacing w:before="132"/>
        <w:ind w:left="54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磋商基准价</w:t>
      </w:r>
    </w:p>
    <w:p>
      <w:pPr>
        <w:tabs>
          <w:tab w:val="left" w:pos="4975"/>
        </w:tabs>
        <w:spacing w:before="134"/>
        <w:ind w:left="1855" w:righ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某有效磋商供应商价格分 =</w:t>
      </w:r>
      <w:r>
        <w:rPr>
          <w:rFonts w:hint="eastAsia" w:ascii="宋体" w:hAnsi="宋体" w:eastAsia="宋体" w:cs="宋体"/>
          <w:color w:val="auto"/>
          <w:sz w:val="21"/>
          <w:szCs w:val="21"/>
          <w:highlight w:val="none"/>
        </w:rPr>
        <w:tab/>
      </w: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z w:val="21"/>
          <w:szCs w:val="21"/>
          <w:highlight w:val="none"/>
        </w:rPr>
        <w:t>分</w:t>
      </w:r>
    </w:p>
    <w:p>
      <w:pPr>
        <w:pStyle w:val="8"/>
        <w:spacing w:before="131"/>
        <w:ind w:left="50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某有效磋商供应商评审报价</w:t>
      </w:r>
    </w:p>
    <w:p>
      <w:pPr>
        <w:tabs>
          <w:tab w:val="left" w:pos="9165"/>
        </w:tabs>
        <w:spacing w:before="22"/>
        <w:ind w:left="998" w:right="0" w:firstLine="0"/>
        <w:jc w:val="left"/>
        <w:rPr>
          <w:rFonts w:hint="eastAsia" w:ascii="宋体" w:hAnsi="宋体" w:eastAsia="宋体" w:cs="宋体"/>
          <w:b/>
          <w:bCs/>
          <w:color w:val="auto"/>
          <w:sz w:val="21"/>
          <w:szCs w:val="21"/>
          <w:highlight w:val="none"/>
        </w:rPr>
      </w:pPr>
    </w:p>
    <w:p>
      <w:pPr>
        <w:tabs>
          <w:tab w:val="left" w:pos="9165"/>
        </w:tabs>
        <w:spacing w:before="22"/>
        <w:ind w:left="998" w:right="0" w:firstLine="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2、项目人员</w:t>
      </w:r>
      <w:r>
        <w:rPr>
          <w:rFonts w:hint="eastAsia" w:ascii="宋体" w:hAnsi="宋体" w:eastAsia="宋体" w:cs="宋体"/>
          <w:b/>
          <w:color w:val="auto"/>
          <w:sz w:val="21"/>
          <w:szCs w:val="21"/>
          <w:highlight w:val="none"/>
        </w:rPr>
        <w:t>配备情况</w:t>
      </w: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pStyle w:val="8"/>
        <w:spacing w:before="5" w:line="362" w:lineRule="auto"/>
        <w:ind w:left="518" w:right="346" w:firstLine="36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由评委根据各供应商针对本项目根据人员架构设置合理性、技术人员数量配备、 素质等方面评定。</w:t>
      </w:r>
    </w:p>
    <w:p>
      <w:pPr>
        <w:pStyle w:val="8"/>
        <w:spacing w:before="5" w:line="362" w:lineRule="auto"/>
        <w:ind w:left="518" w:right="346" w:firstLine="360"/>
        <w:rPr>
          <w:rFonts w:hint="eastAsia" w:ascii="宋体" w:hAnsi="宋体" w:eastAsia="宋体" w:cs="宋体"/>
          <w:color w:val="auto"/>
          <w:spacing w:val="-1"/>
          <w:sz w:val="21"/>
          <w:szCs w:val="21"/>
          <w:highlight w:val="none"/>
        </w:rPr>
      </w:pPr>
      <w:r>
        <w:rPr>
          <w:rFonts w:hint="default" w:ascii="Calibri" w:hAnsi="Calibri" w:eastAsia="宋体" w:cs="Calibri"/>
          <w:color w:val="auto"/>
          <w:spacing w:val="-1"/>
          <w:sz w:val="21"/>
          <w:szCs w:val="21"/>
          <w:highlight w:val="none"/>
        </w:rPr>
        <w:t>①</w:t>
      </w:r>
      <w:r>
        <w:rPr>
          <w:rFonts w:hint="eastAsia" w:ascii="宋体" w:hAnsi="宋体" w:eastAsia="宋体" w:cs="宋体"/>
          <w:color w:val="auto"/>
          <w:spacing w:val="-1"/>
          <w:sz w:val="21"/>
          <w:szCs w:val="21"/>
          <w:highlight w:val="none"/>
        </w:rPr>
        <w:t>为本项目配备人员 2～4 人，具有中级以上职称 1 人得 2 分；</w:t>
      </w:r>
    </w:p>
    <w:p>
      <w:pPr>
        <w:pStyle w:val="8"/>
        <w:spacing w:before="5" w:line="362" w:lineRule="auto"/>
        <w:ind w:left="518" w:right="346" w:firstLine="360"/>
        <w:rPr>
          <w:rFonts w:hint="eastAsia" w:ascii="宋体" w:hAnsi="宋体" w:eastAsia="宋体" w:cs="宋体"/>
          <w:color w:val="auto"/>
          <w:spacing w:val="-1"/>
          <w:sz w:val="21"/>
          <w:szCs w:val="21"/>
          <w:highlight w:val="none"/>
        </w:rPr>
      </w:pPr>
      <w:r>
        <w:rPr>
          <w:rFonts w:hint="default" w:ascii="Calibri" w:hAnsi="Calibri" w:eastAsia="宋体" w:cs="Calibri"/>
          <w:color w:val="auto"/>
          <w:spacing w:val="-1"/>
          <w:sz w:val="21"/>
          <w:szCs w:val="21"/>
          <w:highlight w:val="none"/>
        </w:rPr>
        <w:t>②</w:t>
      </w:r>
      <w:r>
        <w:rPr>
          <w:rFonts w:hint="eastAsia" w:ascii="宋体" w:hAnsi="宋体" w:eastAsia="宋体" w:cs="宋体"/>
          <w:color w:val="auto"/>
          <w:spacing w:val="-1"/>
          <w:sz w:val="21"/>
          <w:szCs w:val="21"/>
          <w:highlight w:val="none"/>
        </w:rPr>
        <w:t xml:space="preserve">为本项目配备人员 </w:t>
      </w: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w:t>
      </w:r>
      <w:r>
        <w:rPr>
          <w:rFonts w:hint="eastAsia" w:cs="宋体"/>
          <w:color w:val="auto"/>
          <w:spacing w:val="-1"/>
          <w:sz w:val="21"/>
          <w:szCs w:val="21"/>
          <w:highlight w:val="none"/>
          <w:lang w:val="en-US" w:eastAsia="zh-CN"/>
        </w:rPr>
        <w:t>7</w:t>
      </w:r>
      <w:r>
        <w:rPr>
          <w:rFonts w:hint="eastAsia" w:ascii="宋体" w:hAnsi="宋体" w:eastAsia="宋体" w:cs="宋体"/>
          <w:color w:val="auto"/>
          <w:spacing w:val="-1"/>
          <w:sz w:val="21"/>
          <w:szCs w:val="21"/>
          <w:highlight w:val="none"/>
        </w:rPr>
        <w:t xml:space="preserve"> 人，具有中级以上职称 2 人得 6 分；</w:t>
      </w:r>
    </w:p>
    <w:p>
      <w:pPr>
        <w:pStyle w:val="8"/>
        <w:spacing w:before="5" w:line="362" w:lineRule="auto"/>
        <w:ind w:left="518" w:right="346" w:firstLine="360"/>
        <w:rPr>
          <w:rFonts w:hint="eastAsia" w:ascii="宋体" w:hAnsi="宋体" w:eastAsia="宋体" w:cs="宋体"/>
          <w:color w:val="auto"/>
          <w:spacing w:val="-1"/>
          <w:sz w:val="21"/>
          <w:szCs w:val="21"/>
          <w:highlight w:val="none"/>
        </w:rPr>
      </w:pPr>
      <w:r>
        <w:rPr>
          <w:rFonts w:hint="default" w:ascii="Calibri" w:hAnsi="Calibri" w:eastAsia="宋体" w:cs="Calibri"/>
          <w:color w:val="auto"/>
          <w:spacing w:val="-1"/>
          <w:sz w:val="21"/>
          <w:szCs w:val="21"/>
          <w:highlight w:val="none"/>
        </w:rPr>
        <w:t>③</w:t>
      </w:r>
      <w:r>
        <w:rPr>
          <w:rFonts w:hint="eastAsia" w:ascii="宋体" w:hAnsi="宋体" w:eastAsia="宋体" w:cs="宋体"/>
          <w:color w:val="auto"/>
          <w:spacing w:val="-1"/>
          <w:sz w:val="21"/>
          <w:szCs w:val="21"/>
          <w:highlight w:val="none"/>
        </w:rPr>
        <w:t xml:space="preserve">为本项目配备人员 </w:t>
      </w:r>
      <w:r>
        <w:rPr>
          <w:rFonts w:hint="eastAsia" w:cs="宋体"/>
          <w:color w:val="auto"/>
          <w:spacing w:val="-1"/>
          <w:sz w:val="21"/>
          <w:szCs w:val="21"/>
          <w:highlight w:val="none"/>
          <w:lang w:val="en-US" w:eastAsia="zh-CN"/>
        </w:rPr>
        <w:t>8</w:t>
      </w:r>
      <w:r>
        <w:rPr>
          <w:rFonts w:hint="eastAsia" w:ascii="宋体" w:hAnsi="宋体" w:eastAsia="宋体" w:cs="宋体"/>
          <w:color w:val="auto"/>
          <w:spacing w:val="-1"/>
          <w:sz w:val="21"/>
          <w:szCs w:val="21"/>
          <w:highlight w:val="none"/>
        </w:rPr>
        <w:t xml:space="preserve"> 人以上，具有中级以上职称 3 人</w:t>
      </w:r>
      <w:r>
        <w:rPr>
          <w:rFonts w:hint="eastAsia" w:cs="宋体"/>
          <w:color w:val="auto"/>
          <w:spacing w:val="-1"/>
          <w:sz w:val="21"/>
          <w:szCs w:val="21"/>
          <w:highlight w:val="none"/>
          <w:lang w:eastAsia="zh-CN"/>
        </w:rPr>
        <w:t>（含</w:t>
      </w:r>
      <w:r>
        <w:rPr>
          <w:rFonts w:hint="eastAsia" w:cs="宋体"/>
          <w:color w:val="auto"/>
          <w:spacing w:val="-1"/>
          <w:sz w:val="21"/>
          <w:szCs w:val="21"/>
          <w:highlight w:val="none"/>
          <w:lang w:val="en-US" w:eastAsia="zh-CN"/>
        </w:rPr>
        <w:t>3人以上</w:t>
      </w:r>
      <w:r>
        <w:rPr>
          <w:rFonts w:hint="eastAsia"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得 10 分；</w:t>
      </w:r>
    </w:p>
    <w:p>
      <w:pPr>
        <w:pStyle w:val="8"/>
        <w:spacing w:before="5" w:line="362" w:lineRule="auto"/>
        <w:ind w:left="518" w:right="346" w:firstLine="36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注：以上所有投入人员必须是投标人本单位人员(须提供投标人为拟投入人员缴纳的截标时间前半年内连续三个月社保金缴纳证明复印件；)，必须提供职称证书复印件。以上所有资料需提交证书复印件并加盖单位公章，未提供不得分。</w:t>
      </w:r>
    </w:p>
    <w:p>
      <w:pPr>
        <w:pStyle w:val="8"/>
        <w:tabs>
          <w:tab w:val="left" w:leader="dot" w:pos="8920"/>
        </w:tabs>
        <w:spacing w:before="5"/>
        <w:ind w:left="99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3、服务方案</w:t>
      </w:r>
      <w:r>
        <w:rPr>
          <w:rFonts w:hint="eastAsia" w:ascii="宋体" w:hAnsi="宋体" w:eastAsia="宋体" w:cs="宋体"/>
          <w:b/>
          <w:color w:val="auto"/>
          <w:spacing w:val="-3"/>
          <w:sz w:val="21"/>
          <w:szCs w:val="21"/>
          <w:highlight w:val="none"/>
        </w:rPr>
        <w:t>分</w:t>
      </w:r>
      <w:r>
        <w:rPr>
          <w:rFonts w:hint="eastAsia" w:ascii="宋体" w:hAnsi="宋体" w:eastAsia="宋体" w:cs="宋体"/>
          <w:color w:val="auto"/>
          <w:sz w:val="21"/>
          <w:szCs w:val="21"/>
          <w:highlight w:val="none"/>
        </w:rPr>
        <w:t>(由磋商小组各成员根据服务方案独立打分后取平均值)</w:t>
      </w: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分</w:t>
      </w:r>
    </w:p>
    <w:p>
      <w:pPr>
        <w:pStyle w:val="19"/>
        <w:numPr>
          <w:ilvl w:val="2"/>
          <w:numId w:val="23"/>
        </w:numPr>
        <w:tabs>
          <w:tab w:val="left" w:pos="1600"/>
          <w:tab w:val="left" w:pos="8918"/>
          <w:tab w:val="left" w:pos="9638"/>
        </w:tabs>
        <w:spacing w:before="158" w:after="0" w:line="240" w:lineRule="auto"/>
        <w:ind w:left="1599" w:right="0" w:hanging="602"/>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项目理解</w:t>
      </w:r>
      <w:r>
        <w:rPr>
          <w:rFonts w:hint="eastAsia" w:ascii="宋体" w:hAnsi="宋体" w:eastAsia="宋体" w:cs="宋体"/>
          <w:b/>
          <w:color w:val="auto"/>
          <w:sz w:val="21"/>
          <w:szCs w:val="21"/>
          <w:highlight w:val="none"/>
          <w:lang w:eastAsia="zh-CN"/>
        </w:rPr>
        <w:t>分</w:t>
      </w: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rPr>
        <w:tab/>
      </w:r>
    </w:p>
    <w:p>
      <w:pPr>
        <w:pStyle w:val="8"/>
        <w:spacing w:before="161"/>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对项目的设计背景、工作目的及目标等信息掌握程度。</w:t>
      </w:r>
    </w:p>
    <w:p>
      <w:pPr>
        <w:pStyle w:val="8"/>
        <w:spacing w:before="158"/>
        <w:ind w:left="7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分)基本满足采购文件要求，服务方案中对项目前期信息掌握及描述简单。</w:t>
      </w:r>
    </w:p>
    <w:p>
      <w:pPr>
        <w:pStyle w:val="8"/>
        <w:spacing w:before="160" w:line="362" w:lineRule="auto"/>
        <w:ind w:left="518" w:right="346"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分)基本满足采购文件要求，服务方案中对项目前期信息掌握及描述清晰，针对现状条件有相应地分析。</w:t>
      </w:r>
    </w:p>
    <w:p>
      <w:pPr>
        <w:pStyle w:val="8"/>
        <w:spacing w:before="5" w:line="364" w:lineRule="auto"/>
        <w:ind w:left="518" w:right="226"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pacing w:val="-16"/>
          <w:sz w:val="21"/>
          <w:szCs w:val="21"/>
          <w:highlight w:val="none"/>
        </w:rPr>
        <w:t>分)完全满足采购要求，服务方案中对项目前期信息掌握及描述清晰、科学合理、</w:t>
      </w:r>
      <w:r>
        <w:rPr>
          <w:rFonts w:hint="eastAsia" w:ascii="宋体" w:hAnsi="宋体" w:eastAsia="宋体" w:cs="宋体"/>
          <w:color w:val="auto"/>
          <w:spacing w:val="-11"/>
          <w:sz w:val="21"/>
          <w:szCs w:val="21"/>
          <w:highlight w:val="none"/>
        </w:rPr>
        <w:t>完整先进，能充分地针对项目上位设计、现状基础条件、资源条件等现状多项条件进行合理分析。</w:t>
      </w:r>
    </w:p>
    <w:p>
      <w:pPr>
        <w:pStyle w:val="8"/>
        <w:spacing w:line="364" w:lineRule="auto"/>
        <w:ind w:left="518" w:right="346" w:firstLine="2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pacing w:val="-12"/>
          <w:sz w:val="21"/>
          <w:szCs w:val="21"/>
          <w:highlight w:val="none"/>
        </w:rPr>
        <w:t>分)完全满足采购要求，服务方案中对项目的理解和所在地区建设条件的认识准确合面透彻、前期信息掌据及描述清晰、科学合理、完略先进，能充分地针对项目上位设</w:t>
      </w:r>
      <w:r>
        <w:rPr>
          <w:rFonts w:hint="eastAsia" w:ascii="宋体" w:hAnsi="宋体" w:eastAsia="宋体" w:cs="宋体"/>
          <w:color w:val="auto"/>
          <w:spacing w:val="-13"/>
          <w:sz w:val="21"/>
          <w:szCs w:val="21"/>
          <w:highlight w:val="none"/>
        </w:rPr>
        <w:t>计、现状基础条件、资源条件等现状多血条性证行合理分析，总体设计思路和设计理念企</w:t>
      </w:r>
      <w:r>
        <w:rPr>
          <w:rFonts w:hint="eastAsia" w:ascii="宋体" w:hAnsi="宋体" w:eastAsia="宋体" w:cs="宋体"/>
          <w:color w:val="auto"/>
          <w:sz w:val="21"/>
          <w:szCs w:val="21"/>
          <w:highlight w:val="none"/>
        </w:rPr>
        <w:t>理优秀</w:t>
      </w:r>
    </w:p>
    <w:p>
      <w:pPr>
        <w:pStyle w:val="19"/>
        <w:numPr>
          <w:ilvl w:val="2"/>
          <w:numId w:val="23"/>
        </w:numPr>
        <w:tabs>
          <w:tab w:val="left" w:pos="1600"/>
          <w:tab w:val="left" w:leader="dot" w:pos="9278"/>
        </w:tabs>
        <w:spacing w:before="0" w:after="0" w:line="305" w:lineRule="exact"/>
        <w:ind w:left="1599" w:right="0" w:hanging="602"/>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技术方案分</w:t>
      </w: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pStyle w:val="8"/>
        <w:spacing w:before="158"/>
        <w:ind w:left="1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由评委根据各供应商编写的技术方案进行评价，各自独立打分。</w:t>
      </w:r>
    </w:p>
    <w:p>
      <w:pPr>
        <w:pStyle w:val="8"/>
        <w:spacing w:before="160" w:line="362" w:lineRule="auto"/>
        <w:ind w:left="518" w:right="3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pacing w:val="-7"/>
          <w:sz w:val="21"/>
          <w:szCs w:val="21"/>
          <w:highlight w:val="none"/>
        </w:rPr>
        <w:t>分):对采购项目需求理解程度一般，提供的技术方案较简单，可行性较差，组织机</w:t>
      </w:r>
      <w:r>
        <w:rPr>
          <w:rFonts w:hint="eastAsia" w:ascii="宋体" w:hAnsi="宋体" w:eastAsia="宋体" w:cs="宋体"/>
          <w:color w:val="auto"/>
          <w:sz w:val="21"/>
          <w:szCs w:val="21"/>
          <w:highlight w:val="none"/>
        </w:rPr>
        <w:t>构基本齐全，人员配备基本合理;</w:t>
      </w:r>
    </w:p>
    <w:p>
      <w:pPr>
        <w:pStyle w:val="8"/>
        <w:spacing w:before="107" w:line="364" w:lineRule="auto"/>
        <w:ind w:left="480" w:leftChars="218" w:right="346"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pacing w:val="-7"/>
          <w:sz w:val="21"/>
          <w:szCs w:val="21"/>
          <w:highlight w:val="none"/>
        </w:rPr>
        <w:t>分):对采购项目需求理解程度-般，提供的技术方案较简单，可行性较差，组织机</w:t>
      </w:r>
      <w:r>
        <w:rPr>
          <w:rFonts w:hint="eastAsia" w:ascii="宋体" w:hAnsi="宋体" w:eastAsia="宋体" w:cs="宋体"/>
          <w:color w:val="auto"/>
          <w:spacing w:val="-12"/>
          <w:sz w:val="21"/>
          <w:szCs w:val="21"/>
          <w:highlight w:val="none"/>
        </w:rPr>
        <w:t>构基本齐全，人员配备基本合理，设计说明内容基本完整，基本满足设计方案编制深度要</w:t>
      </w:r>
      <w:r>
        <w:rPr>
          <w:rFonts w:hint="eastAsia" w:ascii="宋体" w:hAnsi="宋体" w:eastAsia="宋体" w:cs="宋体"/>
          <w:color w:val="auto"/>
          <w:sz w:val="21"/>
          <w:szCs w:val="21"/>
          <w:highlight w:val="none"/>
        </w:rPr>
        <w:t>求，保障措施及进度基本满足项目要求:</w:t>
      </w:r>
    </w:p>
    <w:p>
      <w:pPr>
        <w:pStyle w:val="8"/>
        <w:spacing w:line="364" w:lineRule="auto"/>
        <w:ind w:left="518" w:right="34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pacing w:val="-1"/>
          <w:sz w:val="21"/>
          <w:szCs w:val="21"/>
          <w:highlight w:val="none"/>
        </w:rPr>
        <w:t>分):对采购项目需求理解程度比较透彻，提供的实施技术方案架构比较合理、切</w:t>
      </w:r>
      <w:r>
        <w:rPr>
          <w:rFonts w:hint="eastAsia" w:ascii="宋体" w:hAnsi="宋体" w:eastAsia="宋体" w:cs="宋体"/>
          <w:color w:val="auto"/>
          <w:spacing w:val="-11"/>
          <w:sz w:val="21"/>
          <w:szCs w:val="21"/>
          <w:highlight w:val="none"/>
        </w:rPr>
        <w:t>实可行，内容比较详细，设计实施思路和技术路线较先进、可行，组织机构齐全，人员配</w:t>
      </w:r>
      <w:r>
        <w:rPr>
          <w:rFonts w:hint="eastAsia" w:ascii="宋体" w:hAnsi="宋体" w:eastAsia="宋体" w:cs="宋体"/>
          <w:color w:val="auto"/>
          <w:spacing w:val="-12"/>
          <w:sz w:val="21"/>
          <w:szCs w:val="21"/>
          <w:highlight w:val="none"/>
        </w:rPr>
        <w:t>备较合理，设计说明内容完整，涵盖专业全面，满足设计方案编制深度要求，保障措施及</w:t>
      </w:r>
      <w:r>
        <w:rPr>
          <w:rFonts w:hint="eastAsia" w:ascii="宋体" w:hAnsi="宋体" w:eastAsia="宋体" w:cs="宋体"/>
          <w:color w:val="auto"/>
          <w:sz w:val="21"/>
          <w:szCs w:val="21"/>
          <w:highlight w:val="none"/>
        </w:rPr>
        <w:t>进度能满项目要求:</w:t>
      </w:r>
    </w:p>
    <w:p>
      <w:pPr>
        <w:pStyle w:val="8"/>
        <w:spacing w:line="364" w:lineRule="auto"/>
        <w:ind w:left="518" w:right="226"/>
        <w:rPr>
          <w:rFonts w:hint="eastAsia" w:ascii="宋体" w:hAnsi="宋体" w:eastAsia="宋体" w:cs="宋体"/>
          <w:color w:val="auto"/>
          <w:spacing w:val="-12"/>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pacing w:val="-8"/>
          <w:sz w:val="21"/>
          <w:szCs w:val="21"/>
          <w:highlight w:val="none"/>
        </w:rPr>
        <w:t>分):对采购项目需求理解程度透彻，提供的技术方案架构合理、先进、切实可行， 内容详细详实，设计实施思路和技术路线先进、可行，组织机构齐全，人员配备合理、完</w:t>
      </w:r>
      <w:r>
        <w:rPr>
          <w:rFonts w:hint="eastAsia" w:ascii="宋体" w:hAnsi="宋体" w:eastAsia="宋体" w:cs="宋体"/>
          <w:color w:val="auto"/>
          <w:spacing w:val="-12"/>
          <w:sz w:val="21"/>
          <w:szCs w:val="21"/>
          <w:highlight w:val="none"/>
        </w:rPr>
        <w:t xml:space="preserve">善，设计说明涵盖所有专业范围，能切合项目情况详细分析论述，保障措施及进度能完全满足项目要求:设计方案说明应主要涵盖了设计依据、设计要求及主要技术经济指标。 </w:t>
      </w:r>
    </w:p>
    <w:p>
      <w:pPr>
        <w:pStyle w:val="8"/>
        <w:spacing w:line="364" w:lineRule="auto"/>
        <w:ind w:left="518" w:right="226"/>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 xml:space="preserve"> 五档(</w:t>
      </w: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color w:val="auto"/>
          <w:spacing w:val="-12"/>
          <w:sz w:val="21"/>
          <w:szCs w:val="21"/>
          <w:highlight w:val="none"/>
        </w:rPr>
        <w:t>分):对采购项目需求理解程度透彻，提供的技术方案架构合理、科学先进、切实可行，内容详细详实，设计技术路线和实施思路清晰、符合实际、实施计划科学合理，组</w:t>
      </w:r>
      <w:r>
        <w:rPr>
          <w:rFonts w:hint="eastAsia" w:ascii="宋体" w:hAnsi="宋体" w:eastAsia="宋体" w:cs="宋体"/>
          <w:color w:val="auto"/>
          <w:spacing w:val="-15"/>
          <w:sz w:val="21"/>
          <w:szCs w:val="21"/>
          <w:highlight w:val="none"/>
        </w:rPr>
        <w:t>织机构齐全，人员配备合理、完善，设计说明涵盖所有专业范围，能切合项目情况详细分</w:t>
      </w:r>
      <w:r>
        <w:rPr>
          <w:rFonts w:hint="eastAsia" w:ascii="宋体" w:hAnsi="宋体" w:eastAsia="宋体" w:cs="宋体"/>
          <w:color w:val="auto"/>
          <w:spacing w:val="-13"/>
          <w:sz w:val="21"/>
          <w:szCs w:val="21"/>
          <w:highlight w:val="none"/>
        </w:rPr>
        <w:t>析论述，保障措施及进度等方面先进、可行能完全满足项目要求。设计方案说明应主要涵</w:t>
      </w:r>
      <w:r>
        <w:rPr>
          <w:rFonts w:hint="eastAsia" w:ascii="宋体" w:hAnsi="宋体" w:eastAsia="宋体" w:cs="宋体"/>
          <w:color w:val="auto"/>
          <w:spacing w:val="-14"/>
          <w:sz w:val="21"/>
          <w:szCs w:val="21"/>
          <w:highlight w:val="none"/>
        </w:rPr>
        <w:t>盖了设计依据、设计要求及主要技术经济指标、总平面设计说明、道路设计说明、给水排水设计说明等。</w:t>
      </w:r>
    </w:p>
    <w:p>
      <w:pPr>
        <w:pStyle w:val="19"/>
        <w:numPr>
          <w:ilvl w:val="2"/>
          <w:numId w:val="23"/>
        </w:numPr>
        <w:tabs>
          <w:tab w:val="left" w:pos="1540"/>
          <w:tab w:val="left" w:pos="8769"/>
        </w:tabs>
        <w:spacing w:before="0" w:after="0" w:line="301" w:lineRule="exact"/>
        <w:ind w:left="1539" w:right="0" w:hanging="60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服务方案分</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分</w:t>
      </w:r>
    </w:p>
    <w:p>
      <w:pPr>
        <w:pStyle w:val="8"/>
        <w:spacing w:before="155"/>
        <w:ind w:left="9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分）：服务质量及时间承诺基本符合项目要求，基本可行；</w:t>
      </w:r>
    </w:p>
    <w:p>
      <w:pPr>
        <w:pStyle w:val="8"/>
        <w:spacing w:before="160" w:line="364" w:lineRule="auto"/>
        <w:ind w:left="938" w:right="28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分）：服务质量及时间承诺完全符合项目要求，可行性较高，有服务保障；</w:t>
      </w:r>
    </w:p>
    <w:p>
      <w:pPr>
        <w:pStyle w:val="8"/>
        <w:spacing w:before="160" w:line="364" w:lineRule="auto"/>
        <w:ind w:left="938" w:right="286"/>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 xml:space="preserve"> 三档（</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 分）：服务质量及时间承诺完全符合项目要求，可行性较高，有合理的服务保障，且有优于采购文件要求的承诺或措施，可行性高；</w:t>
      </w:r>
    </w:p>
    <w:p>
      <w:pPr>
        <w:pStyle w:val="8"/>
        <w:spacing w:line="364" w:lineRule="auto"/>
        <w:ind w:left="938" w:right="34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分）：服务质量及时间承诺完全符合项目要求，且有优于采购文件要求的</w:t>
      </w:r>
      <w:r>
        <w:rPr>
          <w:rFonts w:hint="eastAsia" w:ascii="宋体" w:hAnsi="宋体" w:eastAsia="宋体" w:cs="宋体"/>
          <w:color w:val="auto"/>
          <w:spacing w:val="-8"/>
          <w:sz w:val="21"/>
          <w:szCs w:val="21"/>
          <w:highlight w:val="none"/>
        </w:rPr>
        <w:t>承诺或措施，可行性高，能够提供</w:t>
      </w:r>
      <w:r>
        <w:rPr>
          <w:rFonts w:hint="eastAsia" w:ascii="宋体" w:hAnsi="宋体" w:eastAsia="宋体" w:cs="宋体"/>
          <w:color w:val="auto"/>
          <w:spacing w:val="-8"/>
          <w:sz w:val="21"/>
          <w:szCs w:val="21"/>
          <w:highlight w:val="none"/>
          <w:lang w:eastAsia="zh-CN"/>
        </w:rPr>
        <w:t>优</w:t>
      </w:r>
      <w:r>
        <w:rPr>
          <w:rFonts w:hint="eastAsia" w:ascii="宋体" w:hAnsi="宋体" w:eastAsia="宋体" w:cs="宋体"/>
          <w:color w:val="auto"/>
          <w:spacing w:val="-8"/>
          <w:sz w:val="21"/>
          <w:szCs w:val="21"/>
          <w:highlight w:val="none"/>
        </w:rPr>
        <w:t>化服务，积极响应业主需求，有优质的服务保</w:t>
      </w:r>
      <w:r>
        <w:rPr>
          <w:rFonts w:hint="eastAsia" w:ascii="宋体" w:hAnsi="宋体" w:eastAsia="宋体" w:cs="宋体"/>
          <w:color w:val="auto"/>
          <w:sz w:val="21"/>
          <w:szCs w:val="21"/>
          <w:highlight w:val="none"/>
        </w:rPr>
        <w:t>障</w:t>
      </w:r>
    </w:p>
    <w:p>
      <w:pPr>
        <w:pStyle w:val="8"/>
        <w:tabs>
          <w:tab w:val="left" w:leader="dot" w:pos="9038"/>
        </w:tabs>
        <w:spacing w:line="305" w:lineRule="exact"/>
        <w:ind w:left="99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eastAsia="zh-CN" w:bidi="zh-CN"/>
        </w:rPr>
        <w:t>4、信誉、业绩分</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val="en-US" w:eastAsia="zh-CN" w:bidi="zh-CN"/>
        </w:rPr>
        <w:t>15</w:t>
      </w:r>
      <w:r>
        <w:rPr>
          <w:rFonts w:hint="eastAsia" w:ascii="宋体" w:hAnsi="宋体" w:eastAsia="宋体" w:cs="宋体"/>
          <w:b/>
          <w:color w:val="auto"/>
          <w:sz w:val="21"/>
          <w:szCs w:val="21"/>
          <w:highlight w:val="none"/>
          <w:lang w:val="zh-CN" w:eastAsia="zh-CN" w:bidi="zh-CN"/>
        </w:rPr>
        <w:t>分</w:t>
      </w:r>
    </w:p>
    <w:p>
      <w:pPr>
        <w:pStyle w:val="8"/>
        <w:spacing w:before="160"/>
        <w:ind w:left="836" w:leftChars="380" w:firstLine="0" w:firstLineChars="0"/>
        <w:rPr>
          <w:rFonts w:hint="eastAsia" w:ascii="宋体" w:hAnsi="宋体" w:eastAsia="宋体" w:cs="宋体"/>
          <w:color w:val="auto"/>
          <w:sz w:val="21"/>
          <w:szCs w:val="21"/>
          <w:highlight w:val="none"/>
        </w:rPr>
      </w:pPr>
      <w:r>
        <w:rPr>
          <w:rFonts w:hint="default" w:ascii="Calibri" w:hAnsi="Calibri" w:eastAsia="宋体" w:cs="Calibri"/>
          <w:color w:val="auto"/>
          <w:sz w:val="21"/>
          <w:szCs w:val="21"/>
          <w:highlight w:val="none"/>
        </w:rPr>
        <w:t>①</w:t>
      </w:r>
      <w:r>
        <w:rPr>
          <w:rFonts w:hint="eastAsia" w:ascii="宋体" w:hAnsi="宋体" w:eastAsia="宋体" w:cs="宋体"/>
          <w:color w:val="auto"/>
          <w:sz w:val="21"/>
          <w:szCs w:val="21"/>
          <w:highlight w:val="none"/>
        </w:rPr>
        <w:t>投标人 2017 年以来完成相关项目工作业绩(以合同复印件为准)，完成一项工作得 5 分，满分 10 分。未提供有效证明的不得分。（相关项目工作业绩是指：</w:t>
      </w:r>
      <w:r>
        <w:rPr>
          <w:rFonts w:hint="eastAsia" w:cs="宋体"/>
          <w:color w:val="auto"/>
          <w:sz w:val="21"/>
          <w:szCs w:val="21"/>
          <w:highlight w:val="none"/>
          <w:lang w:eastAsia="zh-CN"/>
        </w:rPr>
        <w:t>高标准农田建设项目、高标准农田建设规划项目</w:t>
      </w:r>
      <w:r>
        <w:rPr>
          <w:rFonts w:hint="eastAsia" w:ascii="宋体" w:hAnsi="宋体" w:eastAsia="宋体" w:cs="宋体"/>
          <w:color w:val="auto"/>
          <w:sz w:val="21"/>
          <w:szCs w:val="21"/>
          <w:highlight w:val="none"/>
        </w:rPr>
        <w:t>）</w:t>
      </w:r>
    </w:p>
    <w:p>
      <w:pPr>
        <w:pStyle w:val="8"/>
        <w:spacing w:before="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8"/>
        <w:spacing w:before="6"/>
        <w:ind w:left="840" w:hanging="840" w:hanging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default" w:ascii="Calibri" w:hAnsi="Calibri" w:eastAsia="宋体" w:cs="Calibri"/>
          <w:color w:val="auto"/>
          <w:sz w:val="21"/>
          <w:szCs w:val="21"/>
          <w:highlight w:val="none"/>
          <w:lang w:val="en-US" w:eastAsia="zh-CN"/>
        </w:rPr>
        <w:t>②</w:t>
      </w:r>
      <w:r>
        <w:rPr>
          <w:rFonts w:hint="eastAsia" w:ascii="宋体" w:hAnsi="宋体" w:eastAsia="宋体" w:cs="宋体"/>
          <w:color w:val="auto"/>
          <w:sz w:val="21"/>
          <w:szCs w:val="21"/>
          <w:highlight w:val="none"/>
        </w:rPr>
        <w:t>拟投入的项目负责人具有</w:t>
      </w:r>
      <w:r>
        <w:rPr>
          <w:rFonts w:hint="eastAsia" w:ascii="宋体" w:hAnsi="宋体" w:eastAsia="宋体" w:cs="宋体"/>
          <w:color w:val="auto"/>
          <w:sz w:val="21"/>
          <w:szCs w:val="21"/>
          <w:highlight w:val="none"/>
          <w:lang w:val="en-US" w:eastAsia="zh-CN"/>
        </w:rPr>
        <w:t>水利类</w:t>
      </w:r>
      <w:r>
        <w:rPr>
          <w:rFonts w:hint="eastAsia" w:ascii="宋体" w:hAnsi="宋体" w:eastAsia="宋体" w:cs="宋体"/>
          <w:color w:val="auto"/>
          <w:sz w:val="21"/>
          <w:szCs w:val="21"/>
          <w:highlight w:val="none"/>
          <w:lang w:eastAsia="zh-CN"/>
        </w:rPr>
        <w:t>相关专业</w:t>
      </w:r>
      <w:r>
        <w:rPr>
          <w:rFonts w:hint="eastAsia" w:ascii="宋体" w:hAnsi="宋体" w:eastAsia="宋体" w:cs="宋体"/>
          <w:color w:val="auto"/>
          <w:sz w:val="21"/>
          <w:szCs w:val="21"/>
          <w:highlight w:val="none"/>
        </w:rPr>
        <w:t>中级（含中级）以上技术职称</w:t>
      </w:r>
      <w:r>
        <w:rPr>
          <w:rFonts w:hint="eastAsia" w:cs="宋体"/>
          <w:color w:val="auto"/>
          <w:sz w:val="21"/>
          <w:szCs w:val="21"/>
          <w:highlight w:val="none"/>
          <w:lang w:eastAsia="zh-CN"/>
        </w:rPr>
        <w:t>得</w:t>
      </w:r>
      <w:r>
        <w:rPr>
          <w:rFonts w:hint="eastAsia" w:cs="宋体"/>
          <w:color w:val="auto"/>
          <w:sz w:val="21"/>
          <w:szCs w:val="21"/>
          <w:highlight w:val="none"/>
          <w:lang w:val="en-US" w:eastAsia="zh-CN"/>
        </w:rPr>
        <w:t>5分，满分5分。（</w:t>
      </w:r>
      <w:r>
        <w:rPr>
          <w:rFonts w:hint="eastAsia" w:ascii="宋体" w:hAnsi="宋体" w:eastAsia="宋体" w:cs="宋体"/>
          <w:color w:val="auto"/>
          <w:spacing w:val="-1"/>
          <w:sz w:val="21"/>
          <w:szCs w:val="21"/>
          <w:highlight w:val="none"/>
        </w:rPr>
        <w:t>投入人员必须是投标人本单位人员(须提供投标人为拟投入人员缴纳的截标时间前半年内连续三个月社保金缴纳证明复印件；)，必须提供职称证书复印件。以上所有资料需提交证书复印件并加盖单位公章，未提供不得分。</w:t>
      </w:r>
      <w:r>
        <w:rPr>
          <w:rFonts w:hint="eastAsia" w:cs="宋体"/>
          <w:color w:val="auto"/>
          <w:spacing w:val="-1"/>
          <w:sz w:val="21"/>
          <w:szCs w:val="21"/>
          <w:highlight w:val="none"/>
          <w:lang w:eastAsia="zh-CN"/>
        </w:rPr>
        <w:t>）</w:t>
      </w:r>
    </w:p>
    <w:p>
      <w:pPr>
        <w:numPr>
          <w:ilvl w:val="0"/>
          <w:numId w:val="25"/>
        </w:numPr>
        <w:spacing w:before="0" w:line="345" w:lineRule="auto"/>
        <w:ind w:left="998" w:right="6934"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总得分 =1+2+3+4 </w:t>
      </w:r>
    </w:p>
    <w:p>
      <w:pPr>
        <w:numPr>
          <w:ilvl w:val="0"/>
          <w:numId w:val="0"/>
        </w:numPr>
        <w:spacing w:before="0" w:line="345" w:lineRule="auto"/>
        <w:ind w:right="6934" w:righ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三、成交人的确定</w:t>
      </w:r>
    </w:p>
    <w:p>
      <w:pPr>
        <w:spacing w:after="0" w:line="345" w:lineRule="auto"/>
        <w:jc w:val="left"/>
        <w:rPr>
          <w:rFonts w:hint="eastAsia" w:ascii="宋体" w:hAnsi="宋体" w:eastAsia="宋体" w:cs="宋体"/>
          <w:color w:val="auto"/>
          <w:sz w:val="21"/>
          <w:szCs w:val="21"/>
          <w:highlight w:val="none"/>
        </w:rPr>
      </w:pPr>
    </w:p>
    <w:p>
      <w:pPr>
        <w:pStyle w:val="8"/>
        <w:spacing w:before="66" w:line="343" w:lineRule="auto"/>
        <w:ind w:left="518" w:right="346" w:firstLine="42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磋商小组应当根据综合评分情况，按照评审总得分由高到低顺序推荐 </w:t>
      </w:r>
      <w:r>
        <w:rPr>
          <w:rFonts w:hint="eastAsia" w:ascii="宋体" w:hAnsi="宋体" w:eastAsia="宋体" w:cs="宋体"/>
          <w:color w:val="auto"/>
          <w:sz w:val="21"/>
          <w:szCs w:val="21"/>
          <w:highlight w:val="none"/>
        </w:rPr>
        <w:t>3</w:t>
      </w:r>
      <w:r>
        <w:rPr>
          <w:rFonts w:hint="eastAsia" w:ascii="宋体" w:hAnsi="宋体" w:eastAsia="宋体" w:cs="宋体"/>
          <w:color w:val="auto"/>
          <w:spacing w:val="-11"/>
          <w:sz w:val="21"/>
          <w:szCs w:val="21"/>
          <w:highlight w:val="none"/>
        </w:rPr>
        <w:t xml:space="preserve"> 名以上成交候</w:t>
      </w:r>
      <w:r>
        <w:rPr>
          <w:rFonts w:hint="eastAsia" w:ascii="宋体" w:hAnsi="宋体" w:eastAsia="宋体" w:cs="宋体"/>
          <w:color w:val="auto"/>
          <w:spacing w:val="-7"/>
          <w:sz w:val="21"/>
          <w:szCs w:val="21"/>
          <w:highlight w:val="none"/>
        </w:rPr>
        <w:t>选供应商，并编写评审报告。符合财库</w:t>
      </w:r>
      <w:r>
        <w:rPr>
          <w:rFonts w:hint="eastAsia" w:ascii="宋体" w:hAnsi="宋体" w:eastAsia="宋体" w:cs="宋体"/>
          <w:color w:val="auto"/>
          <w:sz w:val="21"/>
          <w:szCs w:val="21"/>
          <w:highlight w:val="none"/>
        </w:rPr>
        <w:t>﹝2014﹞214</w:t>
      </w:r>
      <w:r>
        <w:rPr>
          <w:rFonts w:hint="eastAsia" w:ascii="宋体" w:hAnsi="宋体" w:eastAsia="宋体" w:cs="宋体"/>
          <w:color w:val="auto"/>
          <w:spacing w:val="-11"/>
          <w:sz w:val="21"/>
          <w:szCs w:val="21"/>
          <w:highlight w:val="none"/>
        </w:rPr>
        <w:t xml:space="preserve"> 号《政府采购竞争性磋商采购方式管理暂行办法》第二十一条第三款情形的，可以推荐 </w:t>
      </w:r>
      <w:r>
        <w:rPr>
          <w:rFonts w:hint="eastAsia" w:ascii="宋体" w:hAnsi="宋体" w:eastAsia="宋体" w:cs="宋体"/>
          <w:color w:val="auto"/>
          <w:sz w:val="21"/>
          <w:szCs w:val="21"/>
          <w:highlight w:val="none"/>
        </w:rPr>
        <w:t>2</w:t>
      </w:r>
      <w:r>
        <w:rPr>
          <w:rFonts w:hint="eastAsia" w:ascii="宋体" w:hAnsi="宋体" w:eastAsia="宋体" w:cs="宋体"/>
          <w:color w:val="auto"/>
          <w:spacing w:val="-12"/>
          <w:sz w:val="21"/>
          <w:szCs w:val="21"/>
          <w:highlight w:val="none"/>
        </w:rPr>
        <w:t xml:space="preserve"> 家成交候选供应商。评审总得分相同</w:t>
      </w:r>
      <w:r>
        <w:rPr>
          <w:rFonts w:hint="eastAsia" w:ascii="宋体" w:hAnsi="宋体" w:eastAsia="宋体" w:cs="宋体"/>
          <w:color w:val="auto"/>
          <w:spacing w:val="-11"/>
          <w:sz w:val="21"/>
          <w:szCs w:val="21"/>
          <w:highlight w:val="none"/>
        </w:rPr>
        <w:t>的，按照最后报价由低到高的顺序推荐。评审总得分且最后报价相同的，按照技术指标优</w:t>
      </w:r>
      <w:r>
        <w:rPr>
          <w:rFonts w:hint="eastAsia" w:ascii="宋体" w:hAnsi="宋体" w:eastAsia="宋体" w:cs="宋体"/>
          <w:color w:val="auto"/>
          <w:sz w:val="21"/>
          <w:szCs w:val="21"/>
          <w:highlight w:val="none"/>
        </w:rPr>
        <w:t>劣顺序推荐。</w:t>
      </w:r>
    </w:p>
    <w:p>
      <w:pPr>
        <w:pStyle w:val="8"/>
        <w:spacing w:before="2" w:line="343" w:lineRule="auto"/>
        <w:ind w:left="518" w:right="346" w:firstLine="420"/>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磋商小组将根据综合评分总得分由高到低排列次序</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评审总得分相同的，按照最后报</w:t>
      </w:r>
      <w:r>
        <w:rPr>
          <w:rFonts w:hint="eastAsia" w:ascii="宋体" w:hAnsi="宋体" w:eastAsia="宋体" w:cs="宋体"/>
          <w:color w:val="auto"/>
          <w:spacing w:val="-6"/>
          <w:sz w:val="21"/>
          <w:szCs w:val="21"/>
          <w:highlight w:val="none"/>
        </w:rPr>
        <w:t>价由低到高的顺序推荐。评审得分且最后报价相同的，按照服务方案分优劣顺序推荐</w:t>
      </w:r>
      <w:r>
        <w:rPr>
          <w:rFonts w:hint="eastAsia" w:ascii="宋体" w:hAnsi="宋体" w:eastAsia="宋体" w:cs="宋体"/>
          <w:color w:val="auto"/>
          <w:spacing w:val="-39"/>
          <w:sz w:val="21"/>
          <w:szCs w:val="21"/>
          <w:highlight w:val="none"/>
        </w:rPr>
        <w:t>）</w:t>
      </w:r>
      <w:r>
        <w:rPr>
          <w:rFonts w:hint="eastAsia" w:ascii="宋体" w:hAnsi="宋体" w:eastAsia="宋体" w:cs="宋体"/>
          <w:color w:val="auto"/>
          <w:spacing w:val="-16"/>
          <w:sz w:val="21"/>
          <w:szCs w:val="21"/>
          <w:highlight w:val="none"/>
        </w:rPr>
        <w:t>并</w:t>
      </w:r>
      <w:r>
        <w:rPr>
          <w:rFonts w:hint="eastAsia" w:ascii="宋体" w:hAnsi="宋体" w:eastAsia="宋体" w:cs="宋体"/>
          <w:color w:val="auto"/>
          <w:spacing w:val="-9"/>
          <w:sz w:val="21"/>
          <w:szCs w:val="21"/>
          <w:highlight w:val="none"/>
        </w:rPr>
        <w:t>推荐成交候选供应商；排名第一的成交候选人为成交人。排名第一的成交人放弃中标、因</w:t>
      </w:r>
      <w:r>
        <w:rPr>
          <w:rFonts w:hint="eastAsia" w:ascii="宋体" w:hAnsi="宋体" w:eastAsia="宋体" w:cs="宋体"/>
          <w:color w:val="auto"/>
          <w:spacing w:val="-12"/>
          <w:sz w:val="21"/>
          <w:szCs w:val="21"/>
          <w:highlight w:val="none"/>
        </w:rPr>
        <w:t>不可抗力不能履行合同，或者采购文件规定应当提交履约保证金而在规定的期限内未能提</w:t>
      </w:r>
      <w:r>
        <w:rPr>
          <w:rFonts w:hint="eastAsia" w:ascii="宋体" w:hAnsi="宋体" w:eastAsia="宋体" w:cs="宋体"/>
          <w:color w:val="auto"/>
          <w:spacing w:val="-11"/>
          <w:sz w:val="21"/>
          <w:szCs w:val="21"/>
          <w:highlight w:val="none"/>
        </w:rPr>
        <w:t>交的，采购单位可以确定排名第二的成交候选人为成交人。排名第二的成交候选人因前款</w:t>
      </w:r>
      <w:r>
        <w:rPr>
          <w:rFonts w:hint="eastAsia" w:ascii="宋体" w:hAnsi="宋体" w:eastAsia="宋体" w:cs="宋体"/>
          <w:color w:val="auto"/>
          <w:sz w:val="21"/>
          <w:szCs w:val="21"/>
          <w:highlight w:val="none"/>
        </w:rPr>
        <w:t>规定的同样原因不能签订合同的，采购单位可以确定排名第三的成交候选人为成交人。</w:t>
      </w:r>
    </w:p>
    <w:p>
      <w:pPr>
        <w:spacing w:after="0" w:line="343" w:lineRule="auto"/>
        <w:jc w:val="both"/>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spacing w:before="8"/>
        <w:rPr>
          <w:rFonts w:hint="eastAsia" w:ascii="宋体" w:hAnsi="宋体" w:eastAsia="宋体" w:cs="宋体"/>
          <w:color w:val="auto"/>
          <w:sz w:val="21"/>
          <w:szCs w:val="21"/>
          <w:highlight w:val="none"/>
        </w:rPr>
      </w:pPr>
    </w:p>
    <w:p>
      <w:pPr>
        <w:spacing w:before="66"/>
        <w:ind w:left="758" w:right="0"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pPr>
        <w:pStyle w:val="8"/>
        <w:spacing w:before="9"/>
        <w:rPr>
          <w:rFonts w:hint="eastAsia" w:ascii="宋体" w:hAnsi="宋体" w:eastAsia="宋体" w:cs="宋体"/>
          <w:b/>
          <w:color w:val="auto"/>
          <w:sz w:val="21"/>
          <w:szCs w:val="21"/>
          <w:highlight w:val="none"/>
        </w:rPr>
      </w:pPr>
    </w:p>
    <w:p>
      <w:pPr>
        <w:spacing w:before="54"/>
        <w:ind w:left="156"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w:t>
      </w:r>
    </w:p>
    <w:p>
      <w:pPr>
        <w:pStyle w:val="8"/>
        <w:rPr>
          <w:rFonts w:hint="eastAsia" w:ascii="宋体" w:hAnsi="宋体" w:eastAsia="宋体" w:cs="宋体"/>
          <w:b/>
          <w:color w:val="auto"/>
          <w:sz w:val="21"/>
          <w:szCs w:val="21"/>
          <w:highlight w:val="none"/>
        </w:rPr>
      </w:pPr>
    </w:p>
    <w:p>
      <w:pPr>
        <w:pStyle w:val="8"/>
        <w:spacing w:before="7"/>
        <w:rPr>
          <w:rFonts w:hint="eastAsia" w:ascii="宋体" w:hAnsi="宋体" w:eastAsia="宋体" w:cs="宋体"/>
          <w:b/>
          <w:color w:val="auto"/>
          <w:sz w:val="21"/>
          <w:szCs w:val="21"/>
          <w:highlight w:val="none"/>
        </w:rPr>
      </w:pPr>
    </w:p>
    <w:p>
      <w:pPr>
        <w:pStyle w:val="8"/>
        <w:tabs>
          <w:tab w:val="left" w:leader="underscore" w:pos="3904"/>
        </w:tabs>
        <w:spacing w:line="328" w:lineRule="auto"/>
        <w:ind w:left="518" w:right="347" w:firstLine="504"/>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本公司郑重声明</w:t>
      </w:r>
      <w:r>
        <w:rPr>
          <w:rFonts w:hint="eastAsia" w:ascii="宋体" w:hAnsi="宋体" w:eastAsia="宋体" w:cs="宋体"/>
          <w:color w:val="auto"/>
          <w:spacing w:val="-34"/>
          <w:sz w:val="21"/>
          <w:szCs w:val="21"/>
          <w:highlight w:val="none"/>
        </w:rPr>
        <w:t>，</w:t>
      </w:r>
      <w:r>
        <w:rPr>
          <w:rFonts w:hint="eastAsia" w:ascii="宋体" w:hAnsi="宋体" w:eastAsia="宋体" w:cs="宋体"/>
          <w:color w:val="auto"/>
          <w:spacing w:val="12"/>
          <w:sz w:val="21"/>
          <w:szCs w:val="21"/>
          <w:highlight w:val="none"/>
        </w:rPr>
        <w:t>根</w:t>
      </w:r>
      <w:r>
        <w:rPr>
          <w:rFonts w:hint="eastAsia" w:ascii="宋体" w:hAnsi="宋体" w:eastAsia="宋体" w:cs="宋体"/>
          <w:color w:val="auto"/>
          <w:spacing w:val="-32"/>
          <w:sz w:val="21"/>
          <w:szCs w:val="21"/>
          <w:highlight w:val="none"/>
        </w:rPr>
        <w:t>据</w:t>
      </w:r>
      <w:r>
        <w:rPr>
          <w:rFonts w:hint="eastAsia" w:ascii="宋体" w:hAnsi="宋体" w:eastAsia="宋体" w:cs="宋体"/>
          <w:color w:val="auto"/>
          <w:spacing w:val="12"/>
          <w:sz w:val="21"/>
          <w:szCs w:val="21"/>
          <w:highlight w:val="none"/>
        </w:rPr>
        <w:t>《政府采购促进中</w:t>
      </w:r>
      <w:r>
        <w:rPr>
          <w:rFonts w:hint="eastAsia" w:ascii="宋体" w:hAnsi="宋体" w:eastAsia="宋体" w:cs="宋体"/>
          <w:color w:val="auto"/>
          <w:spacing w:val="14"/>
          <w:sz w:val="21"/>
          <w:szCs w:val="21"/>
          <w:highlight w:val="none"/>
        </w:rPr>
        <w:t>小</w:t>
      </w:r>
      <w:r>
        <w:rPr>
          <w:rFonts w:hint="eastAsia" w:ascii="宋体" w:hAnsi="宋体" w:eastAsia="宋体" w:cs="宋体"/>
          <w:color w:val="auto"/>
          <w:spacing w:val="12"/>
          <w:sz w:val="21"/>
          <w:szCs w:val="21"/>
          <w:highlight w:val="none"/>
        </w:rPr>
        <w:t>企业发展暂行办法</w:t>
      </w:r>
      <w:r>
        <w:rPr>
          <w:rFonts w:hint="eastAsia" w:ascii="宋体" w:hAnsi="宋体" w:eastAsia="宋体" w:cs="宋体"/>
          <w:color w:val="auto"/>
          <w:spacing w:val="-77"/>
          <w:sz w:val="21"/>
          <w:szCs w:val="21"/>
          <w:highlight w:val="none"/>
        </w:rPr>
        <w:t>》</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12"/>
          <w:sz w:val="21"/>
          <w:szCs w:val="21"/>
          <w:highlight w:val="none"/>
        </w:rPr>
        <w:t>财</w:t>
      </w:r>
      <w:r>
        <w:rPr>
          <w:rFonts w:hint="eastAsia" w:ascii="宋体" w:hAnsi="宋体" w:eastAsia="宋体" w:cs="宋体"/>
          <w:color w:val="auto"/>
          <w:spacing w:val="14"/>
          <w:sz w:val="21"/>
          <w:szCs w:val="21"/>
          <w:highlight w:val="none"/>
        </w:rPr>
        <w:t>库</w:t>
      </w:r>
      <w:r>
        <w:rPr>
          <w:rFonts w:hint="eastAsia" w:ascii="宋体" w:hAnsi="宋体" w:eastAsia="宋体" w:cs="宋体"/>
          <w:color w:val="auto"/>
          <w:spacing w:val="2"/>
          <w:sz w:val="21"/>
          <w:szCs w:val="21"/>
          <w:highlight w:val="none"/>
        </w:rPr>
        <w:t xml:space="preserve">[2011]181 </w:t>
      </w:r>
      <w:r>
        <w:rPr>
          <w:rFonts w:hint="eastAsia" w:ascii="宋体" w:hAnsi="宋体" w:eastAsia="宋体" w:cs="宋体"/>
          <w:color w:val="auto"/>
          <w:spacing w:val="14"/>
          <w:sz w:val="21"/>
          <w:szCs w:val="21"/>
          <w:highlight w:val="none"/>
        </w:rPr>
        <w:t>号）的</w:t>
      </w:r>
      <w:r>
        <w:rPr>
          <w:rFonts w:hint="eastAsia" w:ascii="宋体" w:hAnsi="宋体" w:eastAsia="宋体" w:cs="宋体"/>
          <w:color w:val="auto"/>
          <w:spacing w:val="16"/>
          <w:sz w:val="21"/>
          <w:szCs w:val="21"/>
          <w:highlight w:val="none"/>
        </w:rPr>
        <w:t>规</w:t>
      </w:r>
      <w:r>
        <w:rPr>
          <w:rFonts w:hint="eastAsia" w:ascii="宋体" w:hAnsi="宋体" w:eastAsia="宋体" w:cs="宋体"/>
          <w:color w:val="auto"/>
          <w:spacing w:val="14"/>
          <w:sz w:val="21"/>
          <w:szCs w:val="21"/>
          <w:highlight w:val="none"/>
        </w:rPr>
        <w:t>定，本公司</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rPr>
        <w:tab/>
      </w:r>
      <w:r>
        <w:rPr>
          <w:rFonts w:hint="eastAsia" w:ascii="宋体" w:hAnsi="宋体" w:eastAsia="宋体" w:cs="宋体"/>
          <w:color w:val="auto"/>
          <w:spacing w:val="14"/>
          <w:sz w:val="21"/>
          <w:szCs w:val="21"/>
          <w:highlight w:val="none"/>
        </w:rPr>
        <w:t>（请填</w:t>
      </w:r>
      <w:r>
        <w:rPr>
          <w:rFonts w:hint="eastAsia" w:ascii="宋体" w:hAnsi="宋体" w:eastAsia="宋体" w:cs="宋体"/>
          <w:color w:val="auto"/>
          <w:spacing w:val="16"/>
          <w:sz w:val="21"/>
          <w:szCs w:val="21"/>
          <w:highlight w:val="none"/>
        </w:rPr>
        <w:t>写</w:t>
      </w:r>
      <w:r>
        <w:rPr>
          <w:rFonts w:hint="eastAsia" w:ascii="宋体" w:hAnsi="宋体" w:eastAsia="宋体" w:cs="宋体"/>
          <w:color w:val="auto"/>
          <w:spacing w:val="14"/>
          <w:sz w:val="21"/>
          <w:szCs w:val="21"/>
          <w:highlight w:val="none"/>
        </w:rPr>
        <w:t>：中型、小型、</w:t>
      </w:r>
      <w:r>
        <w:rPr>
          <w:rFonts w:hint="eastAsia" w:ascii="宋体" w:hAnsi="宋体" w:eastAsia="宋体" w:cs="宋体"/>
          <w:color w:val="auto"/>
          <w:spacing w:val="16"/>
          <w:sz w:val="21"/>
          <w:szCs w:val="21"/>
          <w:highlight w:val="none"/>
        </w:rPr>
        <w:t>微</w:t>
      </w:r>
      <w:r>
        <w:rPr>
          <w:rFonts w:hint="eastAsia" w:ascii="宋体" w:hAnsi="宋体" w:eastAsia="宋体" w:cs="宋体"/>
          <w:color w:val="auto"/>
          <w:spacing w:val="14"/>
          <w:sz w:val="21"/>
          <w:szCs w:val="21"/>
          <w:highlight w:val="none"/>
        </w:rPr>
        <w:t>型）企业。即</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4"/>
          <w:sz w:val="21"/>
          <w:szCs w:val="21"/>
          <w:highlight w:val="none"/>
        </w:rPr>
        <w:t>本公司</w:t>
      </w:r>
      <w:r>
        <w:rPr>
          <w:rFonts w:hint="eastAsia" w:ascii="宋体" w:hAnsi="宋体" w:eastAsia="宋体" w:cs="宋体"/>
          <w:color w:val="auto"/>
          <w:sz w:val="21"/>
          <w:szCs w:val="21"/>
          <w:highlight w:val="none"/>
        </w:rPr>
        <w:t>同</w:t>
      </w:r>
    </w:p>
    <w:p>
      <w:pPr>
        <w:pStyle w:val="8"/>
        <w:spacing w:line="305" w:lineRule="exact"/>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时满足以下条件：</w:t>
      </w:r>
    </w:p>
    <w:p>
      <w:pPr>
        <w:pStyle w:val="19"/>
        <w:numPr>
          <w:ilvl w:val="3"/>
          <w:numId w:val="23"/>
        </w:numPr>
        <w:tabs>
          <w:tab w:val="left" w:pos="1234"/>
          <w:tab w:val="left" w:leader="underscore" w:pos="2361"/>
        </w:tabs>
        <w:spacing w:before="112" w:after="0" w:line="328" w:lineRule="auto"/>
        <w:ind w:left="518" w:right="353" w:firstLine="504"/>
        <w:jc w:val="both"/>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根</w:t>
      </w:r>
      <w:r>
        <w:rPr>
          <w:rFonts w:hint="eastAsia" w:ascii="宋体" w:hAnsi="宋体" w:eastAsia="宋体" w:cs="宋体"/>
          <w:color w:val="auto"/>
          <w:sz w:val="21"/>
          <w:szCs w:val="21"/>
          <w:highlight w:val="none"/>
        </w:rPr>
        <w:t>据</w:t>
      </w:r>
      <w:r>
        <w:rPr>
          <w:rFonts w:hint="eastAsia" w:ascii="宋体" w:hAnsi="宋体" w:eastAsia="宋体" w:cs="宋体"/>
          <w:color w:val="auto"/>
          <w:spacing w:val="12"/>
          <w:sz w:val="21"/>
          <w:szCs w:val="21"/>
          <w:highlight w:val="none"/>
        </w:rPr>
        <w:t>《工业和信息化部</w:t>
      </w:r>
      <w:r>
        <w:rPr>
          <w:rFonts w:hint="eastAsia" w:ascii="宋体" w:hAnsi="宋体" w:eastAsia="宋体" w:cs="宋体"/>
          <w:color w:val="auto"/>
          <w:sz w:val="21"/>
          <w:szCs w:val="21"/>
          <w:highlight w:val="none"/>
        </w:rPr>
        <w:t>、</w:t>
      </w:r>
      <w:r>
        <w:rPr>
          <w:rFonts w:hint="eastAsia" w:ascii="宋体" w:hAnsi="宋体" w:eastAsia="宋体" w:cs="宋体"/>
          <w:color w:val="auto"/>
          <w:spacing w:val="12"/>
          <w:sz w:val="21"/>
          <w:szCs w:val="21"/>
          <w:highlight w:val="none"/>
        </w:rPr>
        <w:t>国家统计</w:t>
      </w:r>
      <w:r>
        <w:rPr>
          <w:rFonts w:hint="eastAsia" w:ascii="宋体" w:hAnsi="宋体" w:eastAsia="宋体" w:cs="宋体"/>
          <w:color w:val="auto"/>
          <w:spacing w:val="14"/>
          <w:sz w:val="21"/>
          <w:szCs w:val="21"/>
          <w:highlight w:val="none"/>
        </w:rPr>
        <w:t>局</w:t>
      </w:r>
      <w:r>
        <w:rPr>
          <w:rFonts w:hint="eastAsia" w:ascii="宋体" w:hAnsi="宋体" w:eastAsia="宋体" w:cs="宋体"/>
          <w:color w:val="auto"/>
          <w:sz w:val="21"/>
          <w:szCs w:val="21"/>
          <w:highlight w:val="none"/>
        </w:rPr>
        <w:t>、</w:t>
      </w:r>
      <w:r>
        <w:rPr>
          <w:rFonts w:hint="eastAsia" w:ascii="宋体" w:hAnsi="宋体" w:eastAsia="宋体" w:cs="宋体"/>
          <w:color w:val="auto"/>
          <w:spacing w:val="12"/>
          <w:sz w:val="21"/>
          <w:szCs w:val="21"/>
          <w:highlight w:val="none"/>
        </w:rPr>
        <w:t>国家发展和改革委</w:t>
      </w:r>
      <w:r>
        <w:rPr>
          <w:rFonts w:hint="eastAsia" w:ascii="宋体" w:hAnsi="宋体" w:eastAsia="宋体" w:cs="宋体"/>
          <w:color w:val="auto"/>
          <w:spacing w:val="14"/>
          <w:sz w:val="21"/>
          <w:szCs w:val="21"/>
          <w:highlight w:val="none"/>
        </w:rPr>
        <w:t>员</w:t>
      </w:r>
      <w:r>
        <w:rPr>
          <w:rFonts w:hint="eastAsia" w:ascii="宋体" w:hAnsi="宋体" w:eastAsia="宋体" w:cs="宋体"/>
          <w:color w:val="auto"/>
          <w:spacing w:val="12"/>
          <w:sz w:val="21"/>
          <w:szCs w:val="21"/>
          <w:highlight w:val="none"/>
        </w:rPr>
        <w:t>会</w:t>
      </w:r>
      <w:r>
        <w:rPr>
          <w:rFonts w:hint="eastAsia" w:ascii="宋体" w:hAnsi="宋体" w:eastAsia="宋体" w:cs="宋体"/>
          <w:color w:val="auto"/>
          <w:sz w:val="21"/>
          <w:szCs w:val="21"/>
          <w:highlight w:val="none"/>
        </w:rPr>
        <w:t>、</w:t>
      </w:r>
      <w:r>
        <w:rPr>
          <w:rFonts w:hint="eastAsia" w:ascii="宋体" w:hAnsi="宋体" w:eastAsia="宋体" w:cs="宋体"/>
          <w:color w:val="auto"/>
          <w:spacing w:val="12"/>
          <w:sz w:val="21"/>
          <w:szCs w:val="21"/>
          <w:highlight w:val="none"/>
        </w:rPr>
        <w:t>财政部关于</w:t>
      </w:r>
      <w:r>
        <w:rPr>
          <w:rFonts w:hint="eastAsia" w:ascii="宋体" w:hAnsi="宋体" w:eastAsia="宋体" w:cs="宋体"/>
          <w:color w:val="auto"/>
          <w:spacing w:val="-13"/>
          <w:sz w:val="21"/>
          <w:szCs w:val="21"/>
          <w:highlight w:val="none"/>
        </w:rPr>
        <w:t>印</w:t>
      </w:r>
      <w:r>
        <w:rPr>
          <w:rFonts w:hint="eastAsia" w:ascii="宋体" w:hAnsi="宋体" w:eastAsia="宋体" w:cs="宋体"/>
          <w:color w:val="auto"/>
          <w:spacing w:val="12"/>
          <w:sz w:val="21"/>
          <w:szCs w:val="21"/>
          <w:highlight w:val="none"/>
        </w:rPr>
        <w:t>发中</w:t>
      </w:r>
      <w:r>
        <w:rPr>
          <w:rFonts w:hint="eastAsia" w:ascii="宋体" w:hAnsi="宋体" w:eastAsia="宋体" w:cs="宋体"/>
          <w:color w:val="auto"/>
          <w:spacing w:val="14"/>
          <w:sz w:val="21"/>
          <w:szCs w:val="21"/>
          <w:highlight w:val="none"/>
        </w:rPr>
        <w:t>小</w:t>
      </w:r>
      <w:r>
        <w:rPr>
          <w:rFonts w:hint="eastAsia" w:ascii="宋体" w:hAnsi="宋体" w:eastAsia="宋体" w:cs="宋体"/>
          <w:color w:val="auto"/>
          <w:spacing w:val="12"/>
          <w:sz w:val="21"/>
          <w:szCs w:val="21"/>
          <w:highlight w:val="none"/>
        </w:rPr>
        <w:t>企业划型标</w:t>
      </w:r>
      <w:r>
        <w:rPr>
          <w:rFonts w:hint="eastAsia" w:ascii="宋体" w:hAnsi="宋体" w:eastAsia="宋体" w:cs="宋体"/>
          <w:color w:val="auto"/>
          <w:spacing w:val="14"/>
          <w:sz w:val="21"/>
          <w:szCs w:val="21"/>
          <w:highlight w:val="none"/>
        </w:rPr>
        <w:t>准</w:t>
      </w:r>
      <w:r>
        <w:rPr>
          <w:rFonts w:hint="eastAsia" w:ascii="宋体" w:hAnsi="宋体" w:eastAsia="宋体" w:cs="宋体"/>
          <w:color w:val="auto"/>
          <w:spacing w:val="12"/>
          <w:sz w:val="21"/>
          <w:szCs w:val="21"/>
          <w:highlight w:val="none"/>
        </w:rPr>
        <w:t>规定的通</w:t>
      </w:r>
      <w:r>
        <w:rPr>
          <w:rFonts w:hint="eastAsia" w:ascii="宋体" w:hAnsi="宋体" w:eastAsia="宋体" w:cs="宋体"/>
          <w:color w:val="auto"/>
          <w:spacing w:val="14"/>
          <w:sz w:val="21"/>
          <w:szCs w:val="21"/>
          <w:highlight w:val="none"/>
        </w:rPr>
        <w:t>知</w:t>
      </w:r>
      <w:r>
        <w:rPr>
          <w:rFonts w:hint="eastAsia" w:ascii="宋体" w:hAnsi="宋体" w:eastAsia="宋体" w:cs="宋体"/>
          <w:color w:val="auto"/>
          <w:spacing w:val="12"/>
          <w:sz w:val="21"/>
          <w:szCs w:val="21"/>
          <w:highlight w:val="none"/>
        </w:rPr>
        <w:t>》（工信部</w:t>
      </w:r>
      <w:r>
        <w:rPr>
          <w:rFonts w:hint="eastAsia" w:ascii="宋体" w:hAnsi="宋体" w:eastAsia="宋体" w:cs="宋体"/>
          <w:color w:val="auto"/>
          <w:spacing w:val="14"/>
          <w:sz w:val="21"/>
          <w:szCs w:val="21"/>
          <w:highlight w:val="none"/>
        </w:rPr>
        <w:t>联</w:t>
      </w:r>
      <w:r>
        <w:rPr>
          <w:rFonts w:hint="eastAsia" w:ascii="宋体" w:hAnsi="宋体" w:eastAsia="宋体" w:cs="宋体"/>
          <w:color w:val="auto"/>
          <w:spacing w:val="12"/>
          <w:sz w:val="21"/>
          <w:szCs w:val="21"/>
          <w:highlight w:val="none"/>
        </w:rPr>
        <w:t>企业</w:t>
      </w:r>
      <w:r>
        <w:rPr>
          <w:rFonts w:hint="eastAsia" w:ascii="宋体" w:hAnsi="宋体" w:eastAsia="宋体" w:cs="宋体"/>
          <w:color w:val="auto"/>
          <w:spacing w:val="2"/>
          <w:sz w:val="21"/>
          <w:szCs w:val="21"/>
          <w:highlight w:val="none"/>
        </w:rPr>
        <w:t>[2011]300</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2"/>
          <w:sz w:val="21"/>
          <w:szCs w:val="21"/>
          <w:highlight w:val="none"/>
        </w:rPr>
        <w:t>号）</w:t>
      </w:r>
      <w:r>
        <w:rPr>
          <w:rFonts w:hint="eastAsia" w:ascii="宋体" w:hAnsi="宋体" w:eastAsia="宋体" w:cs="宋体"/>
          <w:color w:val="auto"/>
          <w:spacing w:val="14"/>
          <w:sz w:val="21"/>
          <w:szCs w:val="21"/>
          <w:highlight w:val="none"/>
        </w:rPr>
        <w:t>规</w:t>
      </w:r>
      <w:r>
        <w:rPr>
          <w:rFonts w:hint="eastAsia" w:ascii="宋体" w:hAnsi="宋体" w:eastAsia="宋体" w:cs="宋体"/>
          <w:color w:val="auto"/>
          <w:spacing w:val="12"/>
          <w:sz w:val="21"/>
          <w:szCs w:val="21"/>
          <w:highlight w:val="none"/>
        </w:rPr>
        <w:t>定的划分标</w:t>
      </w:r>
      <w:r>
        <w:rPr>
          <w:rFonts w:hint="eastAsia" w:ascii="宋体" w:hAnsi="宋体" w:eastAsia="宋体" w:cs="宋体"/>
          <w:color w:val="auto"/>
          <w:spacing w:val="14"/>
          <w:sz w:val="21"/>
          <w:szCs w:val="21"/>
          <w:highlight w:val="none"/>
        </w:rPr>
        <w:t>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本公司</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rPr>
        <w:tab/>
      </w:r>
      <w:r>
        <w:rPr>
          <w:rFonts w:hint="eastAsia" w:ascii="宋体" w:hAnsi="宋体" w:eastAsia="宋体" w:cs="宋体"/>
          <w:color w:val="auto"/>
          <w:spacing w:val="12"/>
          <w:sz w:val="21"/>
          <w:szCs w:val="21"/>
          <w:highlight w:val="none"/>
        </w:rPr>
        <w:t>（请填写：中型、小型、微型）企业</w:t>
      </w:r>
      <w:r>
        <w:rPr>
          <w:rFonts w:hint="eastAsia" w:ascii="宋体" w:hAnsi="宋体" w:eastAsia="宋体" w:cs="宋体"/>
          <w:color w:val="auto"/>
          <w:sz w:val="21"/>
          <w:szCs w:val="21"/>
          <w:highlight w:val="none"/>
        </w:rPr>
        <w:t>。</w:t>
      </w:r>
    </w:p>
    <w:p>
      <w:pPr>
        <w:pStyle w:val="19"/>
        <w:numPr>
          <w:ilvl w:val="3"/>
          <w:numId w:val="23"/>
        </w:numPr>
        <w:tabs>
          <w:tab w:val="left" w:pos="1236"/>
          <w:tab w:val="left" w:leader="underscore" w:pos="4943"/>
        </w:tabs>
        <w:spacing w:before="0" w:after="0" w:line="304" w:lineRule="exact"/>
        <w:ind w:left="1236" w:right="0" w:hanging="214"/>
        <w:jc w:val="left"/>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本公</w:t>
      </w:r>
      <w:r>
        <w:rPr>
          <w:rFonts w:hint="eastAsia" w:ascii="宋体" w:hAnsi="宋体" w:eastAsia="宋体" w:cs="宋体"/>
          <w:color w:val="auto"/>
          <w:spacing w:val="12"/>
          <w:sz w:val="21"/>
          <w:szCs w:val="21"/>
          <w:highlight w:val="none"/>
        </w:rPr>
        <w:t>司</w:t>
      </w:r>
      <w:r>
        <w:rPr>
          <w:rFonts w:hint="eastAsia" w:ascii="宋体" w:hAnsi="宋体" w:eastAsia="宋体" w:cs="宋体"/>
          <w:color w:val="auto"/>
          <w:spacing w:val="14"/>
          <w:sz w:val="21"/>
          <w:szCs w:val="21"/>
          <w:highlight w:val="none"/>
        </w:rPr>
        <w:t>参加</w:t>
      </w:r>
      <w:r>
        <w:rPr>
          <w:rFonts w:hint="eastAsia" w:ascii="宋体" w:hAnsi="宋体" w:eastAsia="宋体" w:cs="宋体"/>
          <w:color w:val="auto"/>
          <w:spacing w:val="5"/>
          <w:sz w:val="21"/>
          <w:szCs w:val="21"/>
          <w:highlight w:val="none"/>
        </w:rPr>
        <w:t>______</w:t>
      </w:r>
      <w:r>
        <w:rPr>
          <w:rFonts w:hint="eastAsia" w:ascii="宋体" w:hAnsi="宋体" w:eastAsia="宋体" w:cs="宋体"/>
          <w:color w:val="auto"/>
          <w:spacing w:val="14"/>
          <w:sz w:val="21"/>
          <w:szCs w:val="21"/>
          <w:highlight w:val="none"/>
        </w:rPr>
        <w:t>单位</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rPr>
        <w:tab/>
      </w:r>
      <w:r>
        <w:rPr>
          <w:rFonts w:hint="eastAsia" w:ascii="宋体" w:hAnsi="宋体" w:eastAsia="宋体" w:cs="宋体"/>
          <w:color w:val="auto"/>
          <w:spacing w:val="14"/>
          <w:sz w:val="21"/>
          <w:szCs w:val="21"/>
          <w:highlight w:val="none"/>
        </w:rPr>
        <w:t>项目</w:t>
      </w:r>
      <w:r>
        <w:rPr>
          <w:rFonts w:hint="eastAsia" w:ascii="宋体" w:hAnsi="宋体" w:eastAsia="宋体" w:cs="宋体"/>
          <w:color w:val="auto"/>
          <w:spacing w:val="12"/>
          <w:sz w:val="21"/>
          <w:szCs w:val="21"/>
          <w:highlight w:val="none"/>
        </w:rPr>
        <w:t>采</w:t>
      </w:r>
      <w:r>
        <w:rPr>
          <w:rFonts w:hint="eastAsia" w:ascii="宋体" w:hAnsi="宋体" w:eastAsia="宋体" w:cs="宋体"/>
          <w:color w:val="auto"/>
          <w:spacing w:val="14"/>
          <w:sz w:val="21"/>
          <w:szCs w:val="21"/>
          <w:highlight w:val="none"/>
        </w:rPr>
        <w:t>购活动</w:t>
      </w:r>
      <w:r>
        <w:rPr>
          <w:rFonts w:hint="eastAsia" w:ascii="宋体" w:hAnsi="宋体" w:eastAsia="宋体" w:cs="宋体"/>
          <w:color w:val="auto"/>
          <w:spacing w:val="12"/>
          <w:sz w:val="21"/>
          <w:szCs w:val="21"/>
          <w:highlight w:val="none"/>
        </w:rPr>
        <w:t>提</w:t>
      </w:r>
      <w:r>
        <w:rPr>
          <w:rFonts w:hint="eastAsia" w:ascii="宋体" w:hAnsi="宋体" w:eastAsia="宋体" w:cs="宋体"/>
          <w:color w:val="auto"/>
          <w:spacing w:val="14"/>
          <w:sz w:val="21"/>
          <w:szCs w:val="21"/>
          <w:highlight w:val="none"/>
        </w:rPr>
        <w:t>供本企</w:t>
      </w:r>
      <w:r>
        <w:rPr>
          <w:rFonts w:hint="eastAsia" w:ascii="宋体" w:hAnsi="宋体" w:eastAsia="宋体" w:cs="宋体"/>
          <w:color w:val="auto"/>
          <w:spacing w:val="12"/>
          <w:sz w:val="21"/>
          <w:szCs w:val="21"/>
          <w:highlight w:val="none"/>
        </w:rPr>
        <w:t>业</w:t>
      </w:r>
      <w:r>
        <w:rPr>
          <w:rFonts w:hint="eastAsia" w:ascii="宋体" w:hAnsi="宋体" w:eastAsia="宋体" w:cs="宋体"/>
          <w:color w:val="auto"/>
          <w:spacing w:val="14"/>
          <w:sz w:val="21"/>
          <w:szCs w:val="21"/>
          <w:highlight w:val="none"/>
        </w:rPr>
        <w:t>制造的</w:t>
      </w:r>
      <w:r>
        <w:rPr>
          <w:rFonts w:hint="eastAsia" w:ascii="宋体" w:hAnsi="宋体" w:eastAsia="宋体" w:cs="宋体"/>
          <w:color w:val="auto"/>
          <w:spacing w:val="12"/>
          <w:sz w:val="21"/>
          <w:szCs w:val="21"/>
          <w:highlight w:val="none"/>
        </w:rPr>
        <w:t>货</w:t>
      </w:r>
      <w:r>
        <w:rPr>
          <w:rFonts w:hint="eastAsia" w:ascii="宋体" w:hAnsi="宋体" w:eastAsia="宋体" w:cs="宋体"/>
          <w:color w:val="auto"/>
          <w:spacing w:val="14"/>
          <w:sz w:val="21"/>
          <w:szCs w:val="21"/>
          <w:highlight w:val="none"/>
        </w:rPr>
        <w:t>物，由</w:t>
      </w:r>
      <w:r>
        <w:rPr>
          <w:rFonts w:hint="eastAsia" w:ascii="宋体" w:hAnsi="宋体" w:eastAsia="宋体" w:cs="宋体"/>
          <w:color w:val="auto"/>
          <w:sz w:val="21"/>
          <w:szCs w:val="21"/>
          <w:highlight w:val="none"/>
        </w:rPr>
        <w:t>本</w:t>
      </w:r>
    </w:p>
    <w:p>
      <w:pPr>
        <w:pStyle w:val="8"/>
        <w:tabs>
          <w:tab w:val="left" w:leader="underscore" w:pos="5942"/>
        </w:tabs>
        <w:spacing w:before="113"/>
        <w:ind w:left="518"/>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企业承</w:t>
      </w:r>
      <w:r>
        <w:rPr>
          <w:rFonts w:hint="eastAsia" w:ascii="宋体" w:hAnsi="宋体" w:eastAsia="宋体" w:cs="宋体"/>
          <w:color w:val="auto"/>
          <w:spacing w:val="16"/>
          <w:sz w:val="21"/>
          <w:szCs w:val="21"/>
          <w:highlight w:val="none"/>
        </w:rPr>
        <w:t>担</w:t>
      </w:r>
      <w:r>
        <w:rPr>
          <w:rFonts w:hint="eastAsia" w:ascii="宋体" w:hAnsi="宋体" w:eastAsia="宋体" w:cs="宋体"/>
          <w:color w:val="auto"/>
          <w:spacing w:val="14"/>
          <w:sz w:val="21"/>
          <w:szCs w:val="21"/>
          <w:highlight w:val="none"/>
        </w:rPr>
        <w:t>工程、提供服务</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4"/>
          <w:sz w:val="21"/>
          <w:szCs w:val="21"/>
          <w:highlight w:val="none"/>
        </w:rPr>
        <w:t>或者提供其</w:t>
      </w:r>
      <w:r>
        <w:rPr>
          <w:rFonts w:hint="eastAsia" w:ascii="宋体" w:hAnsi="宋体" w:eastAsia="宋体" w:cs="宋体"/>
          <w:color w:val="auto"/>
          <w:sz w:val="21"/>
          <w:szCs w:val="21"/>
          <w:highlight w:val="none"/>
        </w:rPr>
        <w:t>他</w:t>
      </w:r>
      <w:r>
        <w:rPr>
          <w:rFonts w:hint="eastAsia" w:ascii="宋体" w:hAnsi="宋体" w:eastAsia="宋体" w:cs="宋体"/>
          <w:color w:val="auto"/>
          <w:sz w:val="21"/>
          <w:szCs w:val="21"/>
          <w:highlight w:val="none"/>
        </w:rPr>
        <w:tab/>
      </w:r>
      <w:r>
        <w:rPr>
          <w:rFonts w:hint="eastAsia" w:ascii="宋体" w:hAnsi="宋体" w:eastAsia="宋体" w:cs="宋体"/>
          <w:color w:val="auto"/>
          <w:spacing w:val="14"/>
          <w:sz w:val="21"/>
          <w:szCs w:val="21"/>
          <w:highlight w:val="none"/>
        </w:rPr>
        <w:t>（请填</w:t>
      </w:r>
      <w:r>
        <w:rPr>
          <w:rFonts w:hint="eastAsia" w:ascii="宋体" w:hAnsi="宋体" w:eastAsia="宋体" w:cs="宋体"/>
          <w:color w:val="auto"/>
          <w:spacing w:val="16"/>
          <w:sz w:val="21"/>
          <w:szCs w:val="21"/>
          <w:highlight w:val="none"/>
        </w:rPr>
        <w:t>写</w:t>
      </w:r>
      <w:r>
        <w:rPr>
          <w:rFonts w:hint="eastAsia" w:ascii="宋体" w:hAnsi="宋体" w:eastAsia="宋体" w:cs="宋体"/>
          <w:color w:val="auto"/>
          <w:spacing w:val="14"/>
          <w:sz w:val="21"/>
          <w:szCs w:val="21"/>
          <w:highlight w:val="none"/>
        </w:rPr>
        <w:t>：中型、小型、</w:t>
      </w:r>
      <w:r>
        <w:rPr>
          <w:rFonts w:hint="eastAsia" w:ascii="宋体" w:hAnsi="宋体" w:eastAsia="宋体" w:cs="宋体"/>
          <w:color w:val="auto"/>
          <w:spacing w:val="16"/>
          <w:sz w:val="21"/>
          <w:szCs w:val="21"/>
          <w:highlight w:val="none"/>
        </w:rPr>
        <w:t>微</w:t>
      </w:r>
      <w:r>
        <w:rPr>
          <w:rFonts w:hint="eastAsia" w:ascii="宋体" w:hAnsi="宋体" w:eastAsia="宋体" w:cs="宋体"/>
          <w:color w:val="auto"/>
          <w:spacing w:val="14"/>
          <w:sz w:val="21"/>
          <w:szCs w:val="21"/>
          <w:highlight w:val="none"/>
        </w:rPr>
        <w:t>型）</w:t>
      </w:r>
      <w:r>
        <w:rPr>
          <w:rFonts w:hint="eastAsia" w:ascii="宋体" w:hAnsi="宋体" w:eastAsia="宋体" w:cs="宋体"/>
          <w:color w:val="auto"/>
          <w:sz w:val="21"/>
          <w:szCs w:val="21"/>
          <w:highlight w:val="none"/>
        </w:rPr>
        <w:t>企</w:t>
      </w:r>
    </w:p>
    <w:p>
      <w:pPr>
        <w:pStyle w:val="8"/>
        <w:spacing w:before="112"/>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业制造的货物。本条所称货物不包括使用大型企业注册商标的货物。</w:t>
      </w:r>
    </w:p>
    <w:p>
      <w:pPr>
        <w:pStyle w:val="8"/>
        <w:spacing w:before="113"/>
        <w:ind w:left="10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本公司对上述声明的真实性负责。如有虚假，将依法承担相应责任。</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8"/>
        <w:rPr>
          <w:rFonts w:hint="eastAsia" w:ascii="宋体" w:hAnsi="宋体" w:eastAsia="宋体" w:cs="宋体"/>
          <w:color w:val="auto"/>
          <w:sz w:val="21"/>
          <w:szCs w:val="21"/>
          <w:highlight w:val="none"/>
        </w:rPr>
      </w:pPr>
    </w:p>
    <w:p>
      <w:pPr>
        <w:pStyle w:val="8"/>
        <w:spacing w:before="1"/>
        <w:ind w:left="1082" w:right="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pStyle w:val="8"/>
        <w:tabs>
          <w:tab w:val="left" w:pos="2485"/>
        </w:tabs>
        <w:spacing w:before="112"/>
        <w:ind w:left="196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pacing w:val="12"/>
          <w:sz w:val="21"/>
          <w:szCs w:val="21"/>
          <w:highlight w:val="none"/>
        </w:rPr>
        <w:t>期</w:t>
      </w:r>
      <w:r>
        <w:rPr>
          <w:rFonts w:hint="eastAsia" w:ascii="宋体" w:hAnsi="宋体" w:eastAsia="宋体" w:cs="宋体"/>
          <w:color w:val="auto"/>
          <w:sz w:val="21"/>
          <w:szCs w:val="21"/>
          <w:highlight w:val="none"/>
        </w:rPr>
        <w:t>：</w:t>
      </w:r>
    </w:p>
    <w:p>
      <w:pPr>
        <w:spacing w:after="0"/>
        <w:jc w:val="center"/>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1"/>
        <w:rPr>
          <w:rFonts w:hint="eastAsia" w:ascii="宋体" w:hAnsi="宋体" w:eastAsia="宋体" w:cs="宋体"/>
          <w:color w:val="auto"/>
          <w:sz w:val="21"/>
          <w:szCs w:val="21"/>
          <w:highlight w:val="none"/>
        </w:rPr>
      </w:pPr>
    </w:p>
    <w:p>
      <w:pPr>
        <w:spacing w:before="66"/>
        <w:ind w:left="518" w:right="0"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pPr>
        <w:pStyle w:val="8"/>
        <w:rPr>
          <w:rFonts w:hint="eastAsia" w:ascii="宋体" w:hAnsi="宋体" w:eastAsia="宋体" w:cs="宋体"/>
          <w:b/>
          <w:color w:val="auto"/>
          <w:sz w:val="21"/>
          <w:szCs w:val="21"/>
          <w:highlight w:val="none"/>
        </w:rPr>
      </w:pPr>
    </w:p>
    <w:p>
      <w:pPr>
        <w:pStyle w:val="8"/>
        <w:spacing w:before="10"/>
        <w:rPr>
          <w:rFonts w:hint="eastAsia" w:ascii="宋体" w:hAnsi="宋体" w:eastAsia="宋体" w:cs="宋体"/>
          <w:b/>
          <w:color w:val="auto"/>
          <w:sz w:val="21"/>
          <w:szCs w:val="21"/>
          <w:highlight w:val="none"/>
        </w:rPr>
      </w:pPr>
    </w:p>
    <w:p>
      <w:pPr>
        <w:spacing w:before="54"/>
        <w:ind w:left="242" w:right="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残疾人福利性单位声明函</w:t>
      </w: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tabs>
          <w:tab w:val="left" w:pos="3338"/>
          <w:tab w:val="left" w:pos="4778"/>
        </w:tabs>
        <w:spacing w:before="221" w:line="487" w:lineRule="auto"/>
        <w:ind w:left="518" w:right="346" w:firstLine="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w:t>
      </w:r>
      <w:r>
        <w:rPr>
          <w:rFonts w:hint="eastAsia" w:ascii="宋体" w:hAnsi="宋体" w:eastAsia="宋体" w:cs="宋体"/>
          <w:color w:val="auto"/>
          <w:spacing w:val="-60"/>
          <w:sz w:val="21"/>
          <w:szCs w:val="21"/>
          <w:highlight w:val="none"/>
        </w:rPr>
        <w:t>，</w:t>
      </w:r>
      <w:r>
        <w:rPr>
          <w:rFonts w:hint="eastAsia" w:ascii="宋体" w:hAnsi="宋体" w:eastAsia="宋体" w:cs="宋体"/>
          <w:color w:val="auto"/>
          <w:sz w:val="21"/>
          <w:szCs w:val="21"/>
          <w:highlight w:val="none"/>
        </w:rPr>
        <w:t>根</w:t>
      </w:r>
      <w:r>
        <w:rPr>
          <w:rFonts w:hint="eastAsia" w:ascii="宋体" w:hAnsi="宋体" w:eastAsia="宋体" w:cs="宋体"/>
          <w:color w:val="auto"/>
          <w:spacing w:val="-60"/>
          <w:sz w:val="21"/>
          <w:szCs w:val="21"/>
          <w:highlight w:val="none"/>
        </w:rPr>
        <w:t>据</w:t>
      </w:r>
      <w:r>
        <w:rPr>
          <w:rFonts w:hint="eastAsia" w:ascii="宋体" w:hAnsi="宋体" w:eastAsia="宋体" w:cs="宋体"/>
          <w:color w:val="auto"/>
          <w:sz w:val="21"/>
          <w:szCs w:val="21"/>
          <w:highlight w:val="none"/>
        </w:rPr>
        <w:t>《财政部 民政部  中国残疾人联合会关于促进残疾人就业</w:t>
      </w:r>
      <w:r>
        <w:rPr>
          <w:rFonts w:hint="eastAsia" w:ascii="宋体" w:hAnsi="宋体" w:eastAsia="宋体" w:cs="宋体"/>
          <w:color w:val="auto"/>
          <w:spacing w:val="-17"/>
          <w:sz w:val="21"/>
          <w:szCs w:val="21"/>
          <w:highlight w:val="none"/>
        </w:rPr>
        <w:t>政</w:t>
      </w:r>
      <w:r>
        <w:rPr>
          <w:rFonts w:hint="eastAsia" w:ascii="宋体" w:hAnsi="宋体" w:eastAsia="宋体" w:cs="宋体"/>
          <w:color w:val="auto"/>
          <w:sz w:val="21"/>
          <w:szCs w:val="21"/>
          <w:highlight w:val="none"/>
        </w:rPr>
        <w:t>府采购政策的通知</w:t>
      </w:r>
      <w:r>
        <w:rPr>
          <w:rFonts w:hint="eastAsia" w:ascii="宋体" w:hAnsi="宋体" w:eastAsia="宋体" w:cs="宋体"/>
          <w:color w:val="auto"/>
          <w:spacing w:val="-22"/>
          <w:sz w:val="21"/>
          <w:szCs w:val="21"/>
          <w:highlight w:val="none"/>
        </w:rPr>
        <w:t>》</w:t>
      </w:r>
      <w:r>
        <w:rPr>
          <w:rFonts w:hint="eastAsia" w:ascii="宋体" w:hAnsi="宋体" w:eastAsia="宋体" w:cs="宋体"/>
          <w:color w:val="auto"/>
          <w:sz w:val="21"/>
          <w:szCs w:val="21"/>
          <w:highlight w:val="none"/>
        </w:rPr>
        <w:t>（财</w:t>
      </w:r>
      <w:r>
        <w:rPr>
          <w:rFonts w:hint="eastAsia" w:ascii="宋体" w:hAnsi="宋体" w:eastAsia="宋体" w:cs="宋体"/>
          <w:color w:val="auto"/>
          <w:spacing w:val="-10"/>
          <w:sz w:val="21"/>
          <w:szCs w:val="21"/>
          <w:highlight w:val="none"/>
        </w:rPr>
        <w:t>库</w:t>
      </w:r>
      <w:r>
        <w:rPr>
          <w:rFonts w:hint="eastAsia" w:ascii="宋体" w:hAnsi="宋体" w:eastAsia="宋体" w:cs="宋体"/>
          <w:color w:val="auto"/>
          <w:sz w:val="21"/>
          <w:szCs w:val="21"/>
          <w:highlight w:val="none"/>
        </w:rPr>
        <w:t>〔2017</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141</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z w:val="21"/>
          <w:szCs w:val="21"/>
          <w:highlight w:val="none"/>
        </w:rPr>
        <w:t>号</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的规定</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本单位为符合条件的残疾人福利</w:t>
      </w:r>
      <w:r>
        <w:rPr>
          <w:rFonts w:hint="eastAsia" w:ascii="宋体" w:hAnsi="宋体" w:eastAsia="宋体" w:cs="宋体"/>
          <w:color w:val="auto"/>
          <w:spacing w:val="-15"/>
          <w:sz w:val="21"/>
          <w:szCs w:val="21"/>
          <w:highlight w:val="none"/>
        </w:rPr>
        <w:t>性</w:t>
      </w:r>
      <w:r>
        <w:rPr>
          <w:rFonts w:hint="eastAsia" w:ascii="宋体" w:hAnsi="宋体" w:eastAsia="宋体" w:cs="宋体"/>
          <w:color w:val="auto"/>
          <w:sz w:val="21"/>
          <w:szCs w:val="21"/>
          <w:highlight w:val="none"/>
        </w:rPr>
        <w:t>单位</w:t>
      </w:r>
      <w:r>
        <w:rPr>
          <w:rFonts w:hint="eastAsia" w:ascii="宋体" w:hAnsi="宋体" w:eastAsia="宋体" w:cs="宋体"/>
          <w:color w:val="auto"/>
          <w:spacing w:val="-60"/>
          <w:sz w:val="21"/>
          <w:szCs w:val="21"/>
          <w:highlight w:val="none"/>
        </w:rPr>
        <w:t>，</w:t>
      </w:r>
      <w:r>
        <w:rPr>
          <w:rFonts w:hint="eastAsia" w:ascii="宋体" w:hAnsi="宋体" w:eastAsia="宋体" w:cs="宋体"/>
          <w:color w:val="auto"/>
          <w:sz w:val="21"/>
          <w:szCs w:val="21"/>
          <w:highlight w:val="none"/>
        </w:rPr>
        <w:t>且本单位参加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项目采购活动提供本单位制造的货</w:t>
      </w:r>
      <w:r>
        <w:rPr>
          <w:rFonts w:hint="eastAsia" w:ascii="宋体" w:hAnsi="宋体" w:eastAsia="宋体" w:cs="宋体"/>
          <w:color w:val="auto"/>
          <w:spacing w:val="-61"/>
          <w:sz w:val="21"/>
          <w:szCs w:val="21"/>
          <w:highlight w:val="none"/>
        </w:rPr>
        <w:t>物</w:t>
      </w:r>
      <w:r>
        <w:rPr>
          <w:rFonts w:hint="eastAsia" w:ascii="宋体" w:hAnsi="宋体" w:eastAsia="宋体" w:cs="宋体"/>
          <w:color w:val="auto"/>
          <w:sz w:val="21"/>
          <w:szCs w:val="21"/>
          <w:highlight w:val="none"/>
        </w:rPr>
        <w:t>（由本单</w:t>
      </w:r>
      <w:r>
        <w:rPr>
          <w:rFonts w:hint="eastAsia" w:ascii="宋体" w:hAnsi="宋体" w:eastAsia="宋体" w:cs="宋体"/>
          <w:color w:val="auto"/>
          <w:spacing w:val="-16"/>
          <w:sz w:val="21"/>
          <w:szCs w:val="21"/>
          <w:highlight w:val="none"/>
        </w:rPr>
        <w:t>位</w:t>
      </w:r>
      <w:r>
        <w:rPr>
          <w:rFonts w:hint="eastAsia" w:ascii="宋体" w:hAnsi="宋体" w:eastAsia="宋体" w:cs="宋体"/>
          <w:color w:val="auto"/>
          <w:sz w:val="21"/>
          <w:szCs w:val="21"/>
          <w:highlight w:val="none"/>
        </w:rPr>
        <w:t>承担工程/提供服务），或者提供其他残疾人福利性单位制造的货物（不包括使用非残</w:t>
      </w:r>
      <w:r>
        <w:rPr>
          <w:rFonts w:hint="eastAsia" w:ascii="宋体" w:hAnsi="宋体" w:eastAsia="宋体" w:cs="宋体"/>
          <w:color w:val="auto"/>
          <w:spacing w:val="-17"/>
          <w:sz w:val="21"/>
          <w:szCs w:val="21"/>
          <w:highlight w:val="none"/>
        </w:rPr>
        <w:t>疾</w:t>
      </w:r>
      <w:r>
        <w:rPr>
          <w:rFonts w:hint="eastAsia" w:ascii="宋体" w:hAnsi="宋体" w:eastAsia="宋体" w:cs="宋体"/>
          <w:color w:val="auto"/>
          <w:sz w:val="21"/>
          <w:szCs w:val="21"/>
          <w:highlight w:val="none"/>
        </w:rPr>
        <w:t>人福利性单位注册商标的货物）。</w:t>
      </w:r>
    </w:p>
    <w:p>
      <w:pPr>
        <w:pStyle w:val="8"/>
        <w:spacing w:line="299" w:lineRule="exact"/>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9"/>
        <w:rPr>
          <w:rFonts w:hint="eastAsia" w:ascii="宋体" w:hAnsi="宋体" w:eastAsia="宋体" w:cs="宋体"/>
          <w:color w:val="auto"/>
          <w:sz w:val="21"/>
          <w:szCs w:val="21"/>
          <w:highlight w:val="none"/>
        </w:rPr>
      </w:pPr>
    </w:p>
    <w:p>
      <w:pPr>
        <w:pStyle w:val="8"/>
        <w:ind w:right="3826"/>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pPr>
        <w:pStyle w:val="8"/>
        <w:spacing w:before="9"/>
        <w:rPr>
          <w:rFonts w:hint="eastAsia" w:ascii="宋体" w:hAnsi="宋体" w:eastAsia="宋体" w:cs="宋体"/>
          <w:color w:val="auto"/>
          <w:sz w:val="21"/>
          <w:szCs w:val="21"/>
          <w:highlight w:val="none"/>
        </w:rPr>
      </w:pPr>
    </w:p>
    <w:p>
      <w:pPr>
        <w:pStyle w:val="8"/>
        <w:tabs>
          <w:tab w:val="left" w:pos="719"/>
        </w:tabs>
        <w:ind w:right="3826"/>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期：</w:t>
      </w:r>
    </w:p>
    <w:p>
      <w:pPr>
        <w:spacing w:after="0"/>
        <w:jc w:val="right"/>
        <w:rPr>
          <w:rFonts w:hint="eastAsia" w:ascii="宋体" w:hAnsi="宋体" w:eastAsia="宋体" w:cs="宋体"/>
          <w:color w:val="auto"/>
          <w:sz w:val="21"/>
          <w:szCs w:val="21"/>
          <w:highlight w:val="none"/>
        </w:rPr>
        <w:sectPr>
          <w:pgSz w:w="11910" w:h="16840"/>
          <w:pgMar w:top="1300" w:right="900" w:bottom="1180" w:left="900" w:header="1100" w:footer="993" w:gutter="0"/>
        </w:sectPr>
      </w:pPr>
    </w:p>
    <w:p>
      <w:pPr>
        <w:pStyle w:val="8"/>
        <w:rPr>
          <w:rFonts w:hint="eastAsia" w:ascii="宋体" w:hAnsi="宋体" w:eastAsia="宋体" w:cs="宋体"/>
          <w:color w:val="auto"/>
          <w:sz w:val="21"/>
          <w:szCs w:val="21"/>
          <w:highlight w:val="none"/>
        </w:rPr>
      </w:pPr>
    </w:p>
    <w:p>
      <w:pPr>
        <w:pStyle w:val="8"/>
        <w:spacing w:before="5"/>
        <w:rPr>
          <w:rFonts w:hint="eastAsia" w:ascii="宋体" w:hAnsi="宋体" w:eastAsia="宋体" w:cs="宋体"/>
          <w:color w:val="auto"/>
          <w:sz w:val="21"/>
          <w:szCs w:val="21"/>
          <w:highlight w:val="none"/>
        </w:rPr>
      </w:pPr>
    </w:p>
    <w:p>
      <w:pPr>
        <w:spacing w:before="66"/>
        <w:ind w:left="518" w:right="0"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退保证金时请附带：</w:t>
      </w:r>
    </w:p>
    <w:p>
      <w:pPr>
        <w:pStyle w:val="8"/>
        <w:spacing w:before="11"/>
        <w:rPr>
          <w:rFonts w:hint="eastAsia" w:ascii="宋体" w:hAnsi="宋体" w:eastAsia="宋体" w:cs="宋体"/>
          <w:b/>
          <w:color w:val="auto"/>
          <w:sz w:val="21"/>
          <w:szCs w:val="21"/>
          <w:highlight w:val="none"/>
        </w:rPr>
      </w:pPr>
    </w:p>
    <w:p>
      <w:pPr>
        <w:spacing w:before="50"/>
        <w:ind w:left="3873" w:right="0"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法人授权委托书</w:t>
      </w:r>
    </w:p>
    <w:p>
      <w:pPr>
        <w:pStyle w:val="8"/>
        <w:spacing w:before="1"/>
        <w:rPr>
          <w:rFonts w:hint="eastAsia" w:ascii="宋体" w:hAnsi="宋体" w:eastAsia="宋体" w:cs="宋体"/>
          <w:b/>
          <w:color w:val="auto"/>
          <w:sz w:val="21"/>
          <w:szCs w:val="21"/>
          <w:highlight w:val="none"/>
        </w:rPr>
      </w:pPr>
    </w:p>
    <w:p>
      <w:pPr>
        <w:pStyle w:val="8"/>
        <w:tabs>
          <w:tab w:val="left" w:pos="2798"/>
          <w:tab w:val="left" w:pos="4238"/>
          <w:tab w:val="left" w:pos="4943"/>
          <w:tab w:val="left" w:pos="6638"/>
          <w:tab w:val="left" w:pos="9230"/>
          <w:tab w:val="left" w:pos="9638"/>
        </w:tabs>
        <w:spacing w:line="422" w:lineRule="auto"/>
        <w:ind w:left="518" w:right="226"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同志为我公司办理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w:t>
      </w:r>
      <w:r>
        <w:rPr>
          <w:rFonts w:hint="eastAsia" w:ascii="宋体" w:hAnsi="宋体" w:eastAsia="宋体" w:cs="宋体"/>
          <w:color w:val="auto"/>
          <w:spacing w:val="-60"/>
          <w:sz w:val="21"/>
          <w:szCs w:val="21"/>
          <w:highlight w:val="none"/>
        </w:rPr>
        <w:t>目</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保</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证</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金</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退</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款</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委</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托</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办</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理</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保</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证</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金</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退</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款</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事</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宜</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保</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证</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金</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退</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款</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至</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开</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户</w:t>
      </w:r>
      <w:r>
        <w:rPr>
          <w:rFonts w:hint="eastAsia" w:ascii="宋体" w:hAnsi="宋体" w:eastAsia="宋体" w:cs="宋体"/>
          <w:color w:val="auto"/>
          <w:spacing w:val="48"/>
          <w:sz w:val="21"/>
          <w:szCs w:val="21"/>
          <w:highlight w:val="none"/>
        </w:rPr>
        <w:t>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48"/>
          <w:sz w:val="21"/>
          <w:szCs w:val="21"/>
          <w:highlight w:val="none"/>
        </w:rPr>
        <w:t>账</w:t>
      </w:r>
      <w:r>
        <w:rPr>
          <w:rFonts w:hint="eastAsia" w:ascii="宋体" w:hAnsi="宋体" w:eastAsia="宋体" w:cs="宋体"/>
          <w:color w:val="auto"/>
          <w:spacing w:val="45"/>
          <w:sz w:val="21"/>
          <w:szCs w:val="21"/>
          <w:highlight w:val="none"/>
        </w:rPr>
        <w:t>户</w:t>
      </w:r>
      <w:r>
        <w:rPr>
          <w:rFonts w:hint="eastAsia" w:ascii="宋体" w:hAnsi="宋体" w:eastAsia="宋体" w:cs="宋体"/>
          <w:color w:val="auto"/>
          <w:spacing w:val="48"/>
          <w:sz w:val="21"/>
          <w:szCs w:val="21"/>
          <w:highlight w:val="none"/>
        </w:rPr>
        <w:t>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pPr>
        <w:pStyle w:val="8"/>
        <w:rPr>
          <w:rFonts w:hint="eastAsia" w:ascii="宋体" w:hAnsi="宋体" w:eastAsia="宋体" w:cs="宋体"/>
          <w:color w:val="auto"/>
          <w:sz w:val="21"/>
          <w:szCs w:val="21"/>
          <w:highlight w:val="none"/>
        </w:rPr>
      </w:pPr>
    </w:p>
    <w:p>
      <w:pPr>
        <w:pStyle w:val="8"/>
        <w:tabs>
          <w:tab w:val="left" w:pos="3518"/>
        </w:tabs>
        <w:spacing w:before="202"/>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，联系电话：</w:t>
      </w:r>
    </w:p>
    <w:p>
      <w:pPr>
        <w:pStyle w:val="8"/>
        <w:tabs>
          <w:tab w:val="left" w:pos="2918"/>
          <w:tab w:val="left" w:pos="3638"/>
          <w:tab w:val="left" w:pos="4358"/>
          <w:tab w:val="left" w:pos="5558"/>
          <w:tab w:val="left" w:pos="6278"/>
          <w:tab w:val="left" w:pos="6998"/>
        </w:tabs>
        <w:spacing w:before="233"/>
        <w:ind w:left="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代理期限从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日止</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tabs>
          <w:tab w:val="left" w:pos="7238"/>
        </w:tabs>
        <w:spacing w:before="187"/>
        <w:ind w:left="39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（公章）</w:t>
      </w:r>
    </w:p>
    <w:p>
      <w:pPr>
        <w:pStyle w:val="8"/>
        <w:tabs>
          <w:tab w:val="left" w:pos="5798"/>
          <w:tab w:val="left" w:pos="6518"/>
          <w:tab w:val="left" w:pos="7118"/>
          <w:tab w:val="left" w:pos="7478"/>
        </w:tabs>
        <w:spacing w:before="232" w:line="422" w:lineRule="auto"/>
        <w:ind w:left="3998" w:right="9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（签字或盖章</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签发日期：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spacing w:before="9"/>
        <w:rPr>
          <w:rFonts w:hint="eastAsia" w:ascii="宋体" w:hAnsi="宋体" w:eastAsia="宋体" w:cs="宋体"/>
          <w:color w:val="auto"/>
          <w:sz w:val="21"/>
          <w:szCs w:val="21"/>
          <w:highlight w:val="none"/>
        </w:rPr>
      </w:pPr>
    </w:p>
    <w:p>
      <w:pPr>
        <w:pStyle w:val="8"/>
        <w:ind w:left="5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（附授权委托人身份证、转账底单、开户许可证复印件）</w:t>
      </w:r>
    </w:p>
    <w:sectPr>
      <w:pgSz w:w="11910" w:h="16840"/>
      <w:pgMar w:top="1300" w:right="900" w:bottom="1180" w:left="900" w:header="110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0" distR="0" simplePos="0" relativeHeight="1024" behindDoc="1" locked="0" layoutInCell="1" allowOverlap="1">
              <wp:simplePos x="0" y="0"/>
              <wp:positionH relativeFrom="page">
                <wp:posOffset>3723640</wp:posOffset>
              </wp:positionH>
              <wp:positionV relativeFrom="page">
                <wp:posOffset>9922510</wp:posOffset>
              </wp:positionV>
              <wp:extent cx="114935" cy="153670"/>
              <wp:effectExtent l="0" t="0" r="0" b="0"/>
              <wp:wrapNone/>
              <wp:docPr id="4097" name="文本框 3"/>
              <wp:cNvGraphicFramePr/>
              <a:graphic xmlns:a="http://schemas.openxmlformats.org/drawingml/2006/main">
                <a:graphicData uri="http://schemas.microsoft.com/office/word/2010/wordprocessingShape">
                  <wps:wsp>
                    <wps:cNvSpPr/>
                    <wps:spPr>
                      <a:xfrm>
                        <a:off x="0" y="0"/>
                        <a:ext cx="114934" cy="153669"/>
                      </a:xfrm>
                      <a:prstGeom prst="rect">
                        <a:avLst/>
                      </a:prstGeom>
                      <a:ln>
                        <a:noFill/>
                      </a:ln>
                    </wps:spPr>
                    <wps:txbx>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rect id="文本框 3" o:spid="_x0000_s1026" o:spt="1" style="position:absolute;left:0pt;margin-left:293.2pt;margin-top:781.3pt;height:12.1pt;width:9.05pt;mso-position-horizontal-relative:page;mso-position-vertical-relative:page;z-index:-503315456;mso-width-relative:page;mso-height-relative:page;" filled="f" stroked="f" coordsize="21600,21600" o:gfxdata="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zNpN3cAAAADQEAAA8AAAAAAAAAAQAg&#10;AAAAIgAAAGRycy9kb3ducmV2LnhtbFBLAQIUABQAAAAIAIdO4kA5CTsImAEAABEDAAAOAAAAAAAA&#10;AAEAIAAAACsBAABkcnMvZTJvRG9jLnhtbFBLBQYAAAAABgAGAFkBAAA1BQAAAAA=&#10;">
              <v:fill on="f" focussize="0,0"/>
              <v:stroke on="f"/>
              <v:imagedata o:title=""/>
              <o:lock v:ext="edit" aspectratio="f"/>
              <v:textbox inset="0mm,0mm,0mm,0mm">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0" distR="0" simplePos="0" relativeHeight="1024" behindDoc="1" locked="0" layoutInCell="1" allowOverlap="1">
              <wp:simplePos x="0" y="0"/>
              <wp:positionH relativeFrom="page">
                <wp:posOffset>3691255</wp:posOffset>
              </wp:positionH>
              <wp:positionV relativeFrom="page">
                <wp:posOffset>9922510</wp:posOffset>
              </wp:positionV>
              <wp:extent cx="178435" cy="153670"/>
              <wp:effectExtent l="0" t="0" r="0" b="0"/>
              <wp:wrapNone/>
              <wp:docPr id="4098" name="文本框 7"/>
              <wp:cNvGraphicFramePr/>
              <a:graphic xmlns:a="http://schemas.openxmlformats.org/drawingml/2006/main">
                <a:graphicData uri="http://schemas.microsoft.com/office/word/2010/wordprocessingShape">
                  <wps:wsp>
                    <wps:cNvSpPr/>
                    <wps:spPr>
                      <a:xfrm>
                        <a:off x="0" y="0"/>
                        <a:ext cx="178434" cy="153669"/>
                      </a:xfrm>
                      <a:prstGeom prst="rect">
                        <a:avLst/>
                      </a:prstGeom>
                      <a:ln>
                        <a:noFill/>
                      </a:ln>
                    </wps:spPr>
                    <wps:txbx>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rect id="文本框 7" o:spid="_x0000_s1026" o:spt="1" style="position:absolute;left:0pt;margin-left:290.65pt;margin-top:781.3pt;height:12.1pt;width:14.05pt;mso-position-horizontal-relative:page;mso-position-vertical-relative:page;z-index:-503315456;mso-width-relative:page;mso-height-relative:page;" filled="f" stroked="f" coordsize="21600,21600" o:gfxdata="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Iknh3AAAAA0BAAAPAAAAAAAAAAEA&#10;IAAAACIAAABkcnMvZG93bnJldi54bWxQSwECFAAUAAAACACHTuJAwfN2HJkBAAARAwAADgAAAAAA&#10;AAABACAAAAArAQAAZHJzL2Uyb0RvYy54bWxQSwUGAAAAAAYABgBZAQAANgUAAAAA&#10;">
              <v:fill on="f" focussize="0,0"/>
              <v:stroke on="f"/>
              <v:imagedata o:title=""/>
              <o:lock v:ext="edit" aspectratio="f"/>
              <v:textbox inset="0mm,0mm,0mm,0mm">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10</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0" distR="0" simplePos="0" relativeHeight="1024" behindDoc="1" locked="0" layoutInCell="1" allowOverlap="1">
              <wp:simplePos x="0" y="0"/>
              <wp:positionH relativeFrom="page">
                <wp:posOffset>3691255</wp:posOffset>
              </wp:positionH>
              <wp:positionV relativeFrom="page">
                <wp:posOffset>9922510</wp:posOffset>
              </wp:positionV>
              <wp:extent cx="178435" cy="153670"/>
              <wp:effectExtent l="0" t="0" r="0" b="0"/>
              <wp:wrapNone/>
              <wp:docPr id="4099" name="文本框 13"/>
              <wp:cNvGraphicFramePr/>
              <a:graphic xmlns:a="http://schemas.openxmlformats.org/drawingml/2006/main">
                <a:graphicData uri="http://schemas.microsoft.com/office/word/2010/wordprocessingShape">
                  <wps:wsp>
                    <wps:cNvSpPr/>
                    <wps:spPr>
                      <a:xfrm>
                        <a:off x="0" y="0"/>
                        <a:ext cx="178434" cy="153669"/>
                      </a:xfrm>
                      <a:prstGeom prst="rect">
                        <a:avLst/>
                      </a:prstGeom>
                      <a:ln>
                        <a:noFill/>
                      </a:ln>
                    </wps:spPr>
                    <wps:txbx>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rect id="文本框 13" o:spid="_x0000_s1026" o:spt="1" style="position:absolute;left:0pt;margin-left:290.65pt;margin-top:781.3pt;height:12.1pt;width:14.05pt;mso-position-horizontal-relative:page;mso-position-vertical-relative:page;z-index:-503315456;mso-width-relative:page;mso-height-relative:page;" filled="f" stroked="f" coordsize="21600,21600" o:gfxdata="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Iknh3AAAAA0BAAAPAAAAAAAAAAEA&#10;IAAAACIAAABkcnMvZG93bnJldi54bWxQSwECFAAUAAAACACHTuJALhDxQZkBAAASAwAADgAAAAAA&#10;AAABACAAAAArAQAAZHJzL2Uyb0RvYy54bWxQSwUGAAAAAAYABgBZAQAANgUAAAAA&#10;">
              <v:fill on="f" focussize="0,0"/>
              <v:stroke on="f"/>
              <v:imagedata o:title=""/>
              <o:lock v:ext="edit" aspectratio="f"/>
              <v:textbox inset="0mm,0mm,0mm,0mm">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20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0" distR="0" simplePos="0" relativeHeight="1024" behindDoc="1" locked="0" layoutInCell="1" allowOverlap="1">
              <wp:simplePos x="0" y="0"/>
              <wp:positionH relativeFrom="page">
                <wp:posOffset>3691255</wp:posOffset>
              </wp:positionH>
              <wp:positionV relativeFrom="page">
                <wp:posOffset>9922510</wp:posOffset>
              </wp:positionV>
              <wp:extent cx="231775" cy="153670"/>
              <wp:effectExtent l="0" t="0" r="0" b="0"/>
              <wp:wrapNone/>
              <wp:docPr id="4100" name="文本框 19"/>
              <wp:cNvGraphicFramePr/>
              <a:graphic xmlns:a="http://schemas.openxmlformats.org/drawingml/2006/main">
                <a:graphicData uri="http://schemas.microsoft.com/office/word/2010/wordprocessingShape">
                  <wps:wsp>
                    <wps:cNvSpPr/>
                    <wps:spPr>
                      <a:xfrm>
                        <a:off x="0" y="0"/>
                        <a:ext cx="231774" cy="153669"/>
                      </a:xfrm>
                      <a:prstGeom prst="rect">
                        <a:avLst/>
                      </a:prstGeom>
                      <a:ln>
                        <a:noFill/>
                      </a:ln>
                    </wps:spPr>
                    <wps:txbx>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rect id="文本框 19" o:spid="_x0000_s1026" o:spt="1" style="position:absolute;left:0pt;margin-left:290.65pt;margin-top:781.3pt;height:12.1pt;width:18.25pt;mso-position-horizontal-relative:page;mso-position-vertical-relative:page;z-index:-503315456;mso-width-relative:page;mso-height-relative:page;" filled="f" stroked="f" coordsize="21600,21600" o:gfxdata="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NOSin3AAAAA0BAAAPAAAAAAAAAAEA&#10;IAAAACIAAABkcnMvZG93bnJldi54bWxQSwECFAAUAAAACACHTuJA8F0t5pkBAAASAwAADgAAAAAA&#10;AAABACAAAAArAQAAZHJzL2Uyb0RvYy54bWxQSwUGAAAAAAYABgBZAQAANgUAAAAA&#10;">
              <v:fill on="f" focussize="0,0"/>
              <v:stroke on="f"/>
              <v:imagedata o:title=""/>
              <o:lock v:ext="edit" aspectratio="f"/>
              <v:textbox inset="0mm,0mm,0mm,0mm">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30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0" distR="0" simplePos="0" relativeHeight="1024" behindDoc="1" locked="0" layoutInCell="1" allowOverlap="1">
              <wp:simplePos x="0" y="0"/>
              <wp:positionH relativeFrom="page">
                <wp:posOffset>3744595</wp:posOffset>
              </wp:positionH>
              <wp:positionV relativeFrom="page">
                <wp:posOffset>9922510</wp:posOffset>
              </wp:positionV>
              <wp:extent cx="178435" cy="153670"/>
              <wp:effectExtent l="0" t="0" r="0" b="0"/>
              <wp:wrapNone/>
              <wp:docPr id="4101" name="文本框 23"/>
              <wp:cNvGraphicFramePr/>
              <a:graphic xmlns:a="http://schemas.openxmlformats.org/drawingml/2006/main">
                <a:graphicData uri="http://schemas.microsoft.com/office/word/2010/wordprocessingShape">
                  <wps:wsp>
                    <wps:cNvSpPr/>
                    <wps:spPr>
                      <a:xfrm>
                        <a:off x="0" y="0"/>
                        <a:ext cx="178434" cy="153669"/>
                      </a:xfrm>
                      <a:prstGeom prst="rect">
                        <a:avLst/>
                      </a:prstGeom>
                      <a:ln>
                        <a:noFill/>
                      </a:ln>
                    </wps:spPr>
                    <wps:txbx>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rect id="文本框 23" o:spid="_x0000_s1026" o:spt="1" style="position:absolute;left:0pt;margin-left:294.85pt;margin-top:781.3pt;height:12.1pt;width:14.05pt;mso-position-horizontal-relative:page;mso-position-vertical-relative:page;z-index:-503315456;mso-width-relative:page;mso-height-relative:page;" filled="f" stroked="f" coordsize="21600,21600" o:gfxdata="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j5wjw3AAAAA0BAAAPAAAAAAAAAAEA&#10;IAAAACIAAABkcnMvZG93bnJldi54bWxQSwECFAAUAAAACACHTuJA+3GMfZkBAAASAwAADgAAAAAA&#10;AAABACAAAAArAQAAZHJzL2Uyb0RvYy54bWxQSwUGAAAAAAYABgBZAQAANgUAAAAA&#10;">
              <v:fill on="f" focussize="0,0"/>
              <v:stroke on="f"/>
              <v:imagedata o:title=""/>
              <o:lock v:ext="edit" aspectratio="f"/>
              <v:textbox inset="0mm,0mm,0mm,0mm">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40</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0" distR="0" simplePos="0" relativeHeight="1024" behindDoc="1" locked="0" layoutInCell="1" allowOverlap="1">
              <wp:simplePos x="0" y="0"/>
              <wp:positionH relativeFrom="page">
                <wp:posOffset>3744595</wp:posOffset>
              </wp:positionH>
              <wp:positionV relativeFrom="page">
                <wp:posOffset>9922510</wp:posOffset>
              </wp:positionV>
              <wp:extent cx="178435" cy="153670"/>
              <wp:effectExtent l="0" t="0" r="0" b="0"/>
              <wp:wrapNone/>
              <wp:docPr id="4102" name="文本框 24"/>
              <wp:cNvGraphicFramePr/>
              <a:graphic xmlns:a="http://schemas.openxmlformats.org/drawingml/2006/main">
                <a:graphicData uri="http://schemas.microsoft.com/office/word/2010/wordprocessingShape">
                  <wps:wsp>
                    <wps:cNvSpPr/>
                    <wps:spPr>
                      <a:xfrm>
                        <a:off x="0" y="0"/>
                        <a:ext cx="178434" cy="153669"/>
                      </a:xfrm>
                      <a:prstGeom prst="rect">
                        <a:avLst/>
                      </a:prstGeom>
                      <a:ln>
                        <a:noFill/>
                      </a:ln>
                    </wps:spPr>
                    <wps:txbx>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rect id="文本框 24" o:spid="_x0000_s1026" o:spt="1" style="position:absolute;left:0pt;margin-left:294.85pt;margin-top:781.3pt;height:12.1pt;width:14.05pt;mso-position-horizontal-relative:page;mso-position-vertical-relative:page;z-index:-503315456;mso-width-relative:page;mso-height-relative:page;" filled="f" stroked="f" coordsize="21600,21600" o:gfxdata="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j5wjw3AAAAA0BAAAPAAAAAAAAAAEA&#10;IAAAACIAAABkcnMvZG93bnJldi54bWxQSwECFAAUAAAACACHTuJA20eRfJkBAAASAwAADgAAAAAA&#10;AAABACAAAAArAQAAZHJzL2Uyb0RvYy54bWxQSwUGAAAAAAYABgBZAQAANgUAAAAA&#10;">
              <v:fill on="f" focussize="0,0"/>
              <v:stroke on="f"/>
              <v:imagedata o:title=""/>
              <o:lock v:ext="edit" aspectratio="f"/>
              <v:textbox inset="0mm,0mm,0mm,0mm">
                <w:txbxContent>
                  <w:p>
                    <w:pPr>
                      <w:spacing w:before="14"/>
                      <w:ind w:left="40" w:right="0" w:firstLine="0"/>
                      <w:jc w:val="left"/>
                      <w:rPr>
                        <w:rFonts w:ascii="Arial"/>
                        <w:sz w:val="18"/>
                      </w:rPr>
                    </w:pPr>
                    <w:r>
                      <w:fldChar w:fldCharType="begin"/>
                    </w:r>
                    <w:r>
                      <w:rPr>
                        <w:rFonts w:ascii="Arial"/>
                        <w:sz w:val="18"/>
                      </w:rPr>
                      <w:instrText xml:space="preserve"> PAGE </w:instrText>
                    </w:r>
                    <w:r>
                      <w:fldChar w:fldCharType="separate"/>
                    </w:r>
                    <w:r>
                      <w:t>50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95302"/>
    <w:multiLevelType w:val="singleLevel"/>
    <w:tmpl w:val="8FF95302"/>
    <w:lvl w:ilvl="0" w:tentative="0">
      <w:start w:val="1"/>
      <w:numFmt w:val="chineseCounting"/>
      <w:lvlText w:val="第%1章"/>
      <w:lvlJc w:val="left"/>
      <w:rPr>
        <w:rFonts w:hint="eastAsia"/>
      </w:rPr>
    </w:lvl>
  </w:abstractNum>
  <w:abstractNum w:abstractNumId="1">
    <w:nsid w:val="00000000"/>
    <w:multiLevelType w:val="singleLevel"/>
    <w:tmpl w:val="00000000"/>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ind w:left="1611" w:hanging="613"/>
        <w:jc w:val="left"/>
      </w:pPr>
      <w:rPr>
        <w:rFonts w:hint="default" w:ascii="黑体" w:hAnsi="黑体" w:eastAsia="黑体" w:cs="黑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3">
    <w:nsid w:val="00000002"/>
    <w:multiLevelType w:val="multilevel"/>
    <w:tmpl w:val="00000002"/>
    <w:lvl w:ilvl="0" w:tentative="0">
      <w:start w:val="12"/>
      <w:numFmt w:val="decimal"/>
      <w:lvlText w:val="%1"/>
      <w:lvlJc w:val="left"/>
      <w:pPr>
        <w:ind w:left="1538" w:hanging="540"/>
        <w:jc w:val="left"/>
      </w:pPr>
      <w:rPr>
        <w:rFonts w:hint="default"/>
        <w:lang w:val="zh-CN" w:eastAsia="zh-CN" w:bidi="zh-CN"/>
      </w:rPr>
    </w:lvl>
    <w:lvl w:ilvl="1" w:tentative="0">
      <w:start w:val="1"/>
      <w:numFmt w:val="decimal"/>
      <w:lvlText w:val="%1.%2"/>
      <w:lvlJc w:val="left"/>
      <w:pPr>
        <w:ind w:left="1538"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253" w:hanging="540"/>
      </w:pPr>
      <w:rPr>
        <w:rFonts w:hint="default"/>
        <w:lang w:val="zh-CN" w:eastAsia="zh-CN" w:bidi="zh-CN"/>
      </w:rPr>
    </w:lvl>
    <w:lvl w:ilvl="3" w:tentative="0">
      <w:start w:val="0"/>
      <w:numFmt w:val="bullet"/>
      <w:lvlText w:val="•"/>
      <w:lvlJc w:val="left"/>
      <w:pPr>
        <w:ind w:left="4110" w:hanging="540"/>
      </w:pPr>
      <w:rPr>
        <w:rFonts w:hint="default"/>
        <w:lang w:val="zh-CN" w:eastAsia="zh-CN" w:bidi="zh-CN"/>
      </w:rPr>
    </w:lvl>
    <w:lvl w:ilvl="4" w:tentative="0">
      <w:start w:val="0"/>
      <w:numFmt w:val="bullet"/>
      <w:lvlText w:val="•"/>
      <w:lvlJc w:val="left"/>
      <w:pPr>
        <w:ind w:left="4966" w:hanging="540"/>
      </w:pPr>
      <w:rPr>
        <w:rFonts w:hint="default"/>
        <w:lang w:val="zh-CN" w:eastAsia="zh-CN" w:bidi="zh-CN"/>
      </w:rPr>
    </w:lvl>
    <w:lvl w:ilvl="5" w:tentative="0">
      <w:start w:val="0"/>
      <w:numFmt w:val="bullet"/>
      <w:lvlText w:val="•"/>
      <w:lvlJc w:val="left"/>
      <w:pPr>
        <w:ind w:left="5823" w:hanging="540"/>
      </w:pPr>
      <w:rPr>
        <w:rFonts w:hint="default"/>
        <w:lang w:val="zh-CN" w:eastAsia="zh-CN" w:bidi="zh-CN"/>
      </w:rPr>
    </w:lvl>
    <w:lvl w:ilvl="6" w:tentative="0">
      <w:start w:val="0"/>
      <w:numFmt w:val="bullet"/>
      <w:lvlText w:val="•"/>
      <w:lvlJc w:val="left"/>
      <w:pPr>
        <w:ind w:left="6680" w:hanging="540"/>
      </w:pPr>
      <w:rPr>
        <w:rFonts w:hint="default"/>
        <w:lang w:val="zh-CN" w:eastAsia="zh-CN" w:bidi="zh-CN"/>
      </w:rPr>
    </w:lvl>
    <w:lvl w:ilvl="7" w:tentative="0">
      <w:start w:val="0"/>
      <w:numFmt w:val="bullet"/>
      <w:lvlText w:val="•"/>
      <w:lvlJc w:val="left"/>
      <w:pPr>
        <w:ind w:left="7536" w:hanging="540"/>
      </w:pPr>
      <w:rPr>
        <w:rFonts w:hint="default"/>
        <w:lang w:val="zh-CN" w:eastAsia="zh-CN" w:bidi="zh-CN"/>
      </w:rPr>
    </w:lvl>
    <w:lvl w:ilvl="8" w:tentative="0">
      <w:start w:val="0"/>
      <w:numFmt w:val="bullet"/>
      <w:lvlText w:val="•"/>
      <w:lvlJc w:val="left"/>
      <w:pPr>
        <w:ind w:left="8393" w:hanging="540"/>
      </w:pPr>
      <w:rPr>
        <w:rFonts w:hint="default"/>
        <w:lang w:val="zh-CN" w:eastAsia="zh-CN" w:bidi="zh-CN"/>
      </w:rPr>
    </w:lvl>
  </w:abstractNum>
  <w:abstractNum w:abstractNumId="4">
    <w:nsid w:val="00000003"/>
    <w:multiLevelType w:val="multilevel"/>
    <w:tmpl w:val="00000003"/>
    <w:lvl w:ilvl="0" w:tentative="0">
      <w:start w:val="1"/>
      <w:numFmt w:val="decimal"/>
      <w:lvlText w:val="（%1）"/>
      <w:lvlJc w:val="left"/>
      <w:pPr>
        <w:ind w:left="518" w:hanging="601"/>
        <w:jc w:val="left"/>
      </w:pPr>
      <w:rPr>
        <w:rFonts w:hint="default"/>
        <w:spacing w:val="-16"/>
        <w:w w:val="99"/>
        <w:lang w:val="zh-CN" w:eastAsia="zh-CN" w:bidi="zh-CN"/>
      </w:rPr>
    </w:lvl>
    <w:lvl w:ilvl="1" w:tentative="0">
      <w:start w:val="0"/>
      <w:numFmt w:val="bullet"/>
      <w:lvlText w:val="•"/>
      <w:lvlJc w:val="left"/>
      <w:pPr>
        <w:ind w:left="1478" w:hanging="601"/>
      </w:pPr>
      <w:rPr>
        <w:rFonts w:hint="default"/>
        <w:lang w:val="zh-CN" w:eastAsia="zh-CN" w:bidi="zh-CN"/>
      </w:rPr>
    </w:lvl>
    <w:lvl w:ilvl="2" w:tentative="0">
      <w:start w:val="0"/>
      <w:numFmt w:val="bullet"/>
      <w:lvlText w:val="•"/>
      <w:lvlJc w:val="left"/>
      <w:pPr>
        <w:ind w:left="2437" w:hanging="601"/>
      </w:pPr>
      <w:rPr>
        <w:rFonts w:hint="default"/>
        <w:lang w:val="zh-CN" w:eastAsia="zh-CN" w:bidi="zh-CN"/>
      </w:rPr>
    </w:lvl>
    <w:lvl w:ilvl="3" w:tentative="0">
      <w:start w:val="0"/>
      <w:numFmt w:val="bullet"/>
      <w:lvlText w:val="•"/>
      <w:lvlJc w:val="left"/>
      <w:pPr>
        <w:ind w:left="3396" w:hanging="601"/>
      </w:pPr>
      <w:rPr>
        <w:rFonts w:hint="default"/>
        <w:lang w:val="zh-CN" w:eastAsia="zh-CN" w:bidi="zh-CN"/>
      </w:rPr>
    </w:lvl>
    <w:lvl w:ilvl="4" w:tentative="0">
      <w:start w:val="0"/>
      <w:numFmt w:val="bullet"/>
      <w:lvlText w:val="•"/>
      <w:lvlJc w:val="left"/>
      <w:pPr>
        <w:ind w:left="4354" w:hanging="601"/>
      </w:pPr>
      <w:rPr>
        <w:rFonts w:hint="default"/>
        <w:lang w:val="zh-CN" w:eastAsia="zh-CN" w:bidi="zh-CN"/>
      </w:rPr>
    </w:lvl>
    <w:lvl w:ilvl="5" w:tentative="0">
      <w:start w:val="0"/>
      <w:numFmt w:val="bullet"/>
      <w:lvlText w:val="•"/>
      <w:lvlJc w:val="left"/>
      <w:pPr>
        <w:ind w:left="5313" w:hanging="601"/>
      </w:pPr>
      <w:rPr>
        <w:rFonts w:hint="default"/>
        <w:lang w:val="zh-CN" w:eastAsia="zh-CN" w:bidi="zh-CN"/>
      </w:rPr>
    </w:lvl>
    <w:lvl w:ilvl="6" w:tentative="0">
      <w:start w:val="0"/>
      <w:numFmt w:val="bullet"/>
      <w:lvlText w:val="•"/>
      <w:lvlJc w:val="left"/>
      <w:pPr>
        <w:ind w:left="6272" w:hanging="601"/>
      </w:pPr>
      <w:rPr>
        <w:rFonts w:hint="default"/>
        <w:lang w:val="zh-CN" w:eastAsia="zh-CN" w:bidi="zh-CN"/>
      </w:rPr>
    </w:lvl>
    <w:lvl w:ilvl="7" w:tentative="0">
      <w:start w:val="0"/>
      <w:numFmt w:val="bullet"/>
      <w:lvlText w:val="•"/>
      <w:lvlJc w:val="left"/>
      <w:pPr>
        <w:ind w:left="7230" w:hanging="601"/>
      </w:pPr>
      <w:rPr>
        <w:rFonts w:hint="default"/>
        <w:lang w:val="zh-CN" w:eastAsia="zh-CN" w:bidi="zh-CN"/>
      </w:rPr>
    </w:lvl>
    <w:lvl w:ilvl="8" w:tentative="0">
      <w:start w:val="0"/>
      <w:numFmt w:val="bullet"/>
      <w:lvlText w:val="•"/>
      <w:lvlJc w:val="left"/>
      <w:pPr>
        <w:ind w:left="8189" w:hanging="601"/>
      </w:pPr>
      <w:rPr>
        <w:rFonts w:hint="default"/>
        <w:lang w:val="zh-CN" w:eastAsia="zh-CN" w:bidi="zh-CN"/>
      </w:rPr>
    </w:lvl>
  </w:abstractNum>
  <w:abstractNum w:abstractNumId="5">
    <w:nsid w:val="00000004"/>
    <w:multiLevelType w:val="multilevel"/>
    <w:tmpl w:val="00000004"/>
    <w:lvl w:ilvl="0" w:tentative="0">
      <w:start w:val="1"/>
      <w:numFmt w:val="decimal"/>
      <w:lvlText w:val="（%1）"/>
      <w:lvlJc w:val="left"/>
      <w:pPr>
        <w:ind w:left="1611" w:hanging="613"/>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6">
    <w:nsid w:val="00000005"/>
    <w:multiLevelType w:val="multilevel"/>
    <w:tmpl w:val="00000005"/>
    <w:lvl w:ilvl="0" w:tentative="0">
      <w:start w:val="9"/>
      <w:numFmt w:val="decimal"/>
      <w:lvlText w:val="%1"/>
      <w:lvlJc w:val="left"/>
      <w:pPr>
        <w:ind w:left="1538" w:hanging="420"/>
        <w:jc w:val="left"/>
      </w:pPr>
      <w:rPr>
        <w:rFonts w:hint="default"/>
        <w:lang w:val="zh-CN" w:eastAsia="zh-CN" w:bidi="zh-CN"/>
      </w:rPr>
    </w:lvl>
    <w:lvl w:ilvl="1" w:tentative="0">
      <w:start w:val="1"/>
      <w:numFmt w:val="decimal"/>
      <w:lvlText w:val="%1.%2"/>
      <w:lvlJc w:val="left"/>
      <w:pPr>
        <w:ind w:left="1538" w:hanging="420"/>
        <w:jc w:val="right"/>
      </w:pPr>
      <w:rPr>
        <w:rFonts w:hint="default" w:ascii="宋体" w:hAnsi="宋体" w:eastAsia="宋体" w:cs="宋体"/>
        <w:w w:val="100"/>
        <w:sz w:val="24"/>
        <w:szCs w:val="24"/>
        <w:lang w:val="zh-CN" w:eastAsia="zh-CN" w:bidi="zh-CN"/>
      </w:rPr>
    </w:lvl>
    <w:lvl w:ilvl="2" w:tentative="0">
      <w:start w:val="1"/>
      <w:numFmt w:val="decimal"/>
      <w:lvlText w:val="%1.%2.%3"/>
      <w:lvlJc w:val="left"/>
      <w:pPr>
        <w:ind w:left="518" w:hanging="660"/>
        <w:jc w:val="right"/>
      </w:pPr>
      <w:rPr>
        <w:rFonts w:hint="default" w:ascii="宋体" w:hAnsi="宋体" w:eastAsia="宋体" w:cs="宋体"/>
        <w:w w:val="100"/>
        <w:sz w:val="24"/>
        <w:szCs w:val="24"/>
        <w:lang w:val="zh-CN" w:eastAsia="zh-CN" w:bidi="zh-CN"/>
      </w:rPr>
    </w:lvl>
    <w:lvl w:ilvl="3" w:tentative="0">
      <w:start w:val="0"/>
      <w:numFmt w:val="bullet"/>
      <w:lvlText w:val="•"/>
      <w:lvlJc w:val="left"/>
      <w:pPr>
        <w:ind w:left="3443" w:hanging="660"/>
      </w:pPr>
      <w:rPr>
        <w:rFonts w:hint="default"/>
        <w:lang w:val="zh-CN" w:eastAsia="zh-CN" w:bidi="zh-CN"/>
      </w:rPr>
    </w:lvl>
    <w:lvl w:ilvl="4" w:tentative="0">
      <w:start w:val="0"/>
      <w:numFmt w:val="bullet"/>
      <w:lvlText w:val="•"/>
      <w:lvlJc w:val="left"/>
      <w:pPr>
        <w:ind w:left="4395" w:hanging="660"/>
      </w:pPr>
      <w:rPr>
        <w:rFonts w:hint="default"/>
        <w:lang w:val="zh-CN" w:eastAsia="zh-CN" w:bidi="zh-CN"/>
      </w:rPr>
    </w:lvl>
    <w:lvl w:ilvl="5" w:tentative="0">
      <w:start w:val="0"/>
      <w:numFmt w:val="bullet"/>
      <w:lvlText w:val="•"/>
      <w:lvlJc w:val="left"/>
      <w:pPr>
        <w:ind w:left="5347" w:hanging="660"/>
      </w:pPr>
      <w:rPr>
        <w:rFonts w:hint="default"/>
        <w:lang w:val="zh-CN" w:eastAsia="zh-CN" w:bidi="zh-CN"/>
      </w:rPr>
    </w:lvl>
    <w:lvl w:ilvl="6" w:tentative="0">
      <w:start w:val="0"/>
      <w:numFmt w:val="bullet"/>
      <w:lvlText w:val="•"/>
      <w:lvlJc w:val="left"/>
      <w:pPr>
        <w:ind w:left="6299" w:hanging="660"/>
      </w:pPr>
      <w:rPr>
        <w:rFonts w:hint="default"/>
        <w:lang w:val="zh-CN" w:eastAsia="zh-CN" w:bidi="zh-CN"/>
      </w:rPr>
    </w:lvl>
    <w:lvl w:ilvl="7" w:tentative="0">
      <w:start w:val="0"/>
      <w:numFmt w:val="bullet"/>
      <w:lvlText w:val="•"/>
      <w:lvlJc w:val="left"/>
      <w:pPr>
        <w:ind w:left="7251" w:hanging="660"/>
      </w:pPr>
      <w:rPr>
        <w:rFonts w:hint="default"/>
        <w:lang w:val="zh-CN" w:eastAsia="zh-CN" w:bidi="zh-CN"/>
      </w:rPr>
    </w:lvl>
    <w:lvl w:ilvl="8" w:tentative="0">
      <w:start w:val="0"/>
      <w:numFmt w:val="bullet"/>
      <w:lvlText w:val="•"/>
      <w:lvlJc w:val="left"/>
      <w:pPr>
        <w:ind w:left="8203" w:hanging="660"/>
      </w:pPr>
      <w:rPr>
        <w:rFonts w:hint="default"/>
        <w:lang w:val="zh-CN" w:eastAsia="zh-CN" w:bidi="zh-CN"/>
      </w:rPr>
    </w:lvl>
  </w:abstractNum>
  <w:abstractNum w:abstractNumId="7">
    <w:nsid w:val="00000006"/>
    <w:multiLevelType w:val="multilevel"/>
    <w:tmpl w:val="00000006"/>
    <w:lvl w:ilvl="0" w:tentative="0">
      <w:start w:val="1"/>
      <w:numFmt w:val="decimal"/>
      <w:lvlText w:val="%1."/>
      <w:lvlJc w:val="left"/>
      <w:pPr>
        <w:ind w:left="1371" w:hanging="373"/>
        <w:jc w:val="left"/>
      </w:pPr>
      <w:rPr>
        <w:rFonts w:hint="default" w:ascii="Arial" w:hAnsi="Arial" w:eastAsia="Arial" w:cs="Arial"/>
        <w:spacing w:val="-2"/>
        <w:w w:val="100"/>
        <w:sz w:val="22"/>
        <w:szCs w:val="22"/>
        <w:lang w:val="zh-CN" w:eastAsia="zh-CN" w:bidi="zh-CN"/>
      </w:rPr>
    </w:lvl>
    <w:lvl w:ilvl="1" w:tentative="0">
      <w:start w:val="0"/>
      <w:numFmt w:val="bullet"/>
      <w:lvlText w:val="•"/>
      <w:lvlJc w:val="left"/>
      <w:pPr>
        <w:ind w:left="2252" w:hanging="373"/>
      </w:pPr>
      <w:rPr>
        <w:rFonts w:hint="default"/>
        <w:lang w:val="zh-CN" w:eastAsia="zh-CN" w:bidi="zh-CN"/>
      </w:rPr>
    </w:lvl>
    <w:lvl w:ilvl="2" w:tentative="0">
      <w:start w:val="0"/>
      <w:numFmt w:val="bullet"/>
      <w:lvlText w:val="•"/>
      <w:lvlJc w:val="left"/>
      <w:pPr>
        <w:ind w:left="3125" w:hanging="373"/>
      </w:pPr>
      <w:rPr>
        <w:rFonts w:hint="default"/>
        <w:lang w:val="zh-CN" w:eastAsia="zh-CN" w:bidi="zh-CN"/>
      </w:rPr>
    </w:lvl>
    <w:lvl w:ilvl="3" w:tentative="0">
      <w:start w:val="0"/>
      <w:numFmt w:val="bullet"/>
      <w:lvlText w:val="•"/>
      <w:lvlJc w:val="left"/>
      <w:pPr>
        <w:ind w:left="3998" w:hanging="373"/>
      </w:pPr>
      <w:rPr>
        <w:rFonts w:hint="default"/>
        <w:lang w:val="zh-CN" w:eastAsia="zh-CN" w:bidi="zh-CN"/>
      </w:rPr>
    </w:lvl>
    <w:lvl w:ilvl="4" w:tentative="0">
      <w:start w:val="0"/>
      <w:numFmt w:val="bullet"/>
      <w:lvlText w:val="•"/>
      <w:lvlJc w:val="left"/>
      <w:pPr>
        <w:ind w:left="4870" w:hanging="373"/>
      </w:pPr>
      <w:rPr>
        <w:rFonts w:hint="default"/>
        <w:lang w:val="zh-CN" w:eastAsia="zh-CN" w:bidi="zh-CN"/>
      </w:rPr>
    </w:lvl>
    <w:lvl w:ilvl="5" w:tentative="0">
      <w:start w:val="0"/>
      <w:numFmt w:val="bullet"/>
      <w:lvlText w:val="•"/>
      <w:lvlJc w:val="left"/>
      <w:pPr>
        <w:ind w:left="5743" w:hanging="373"/>
      </w:pPr>
      <w:rPr>
        <w:rFonts w:hint="default"/>
        <w:lang w:val="zh-CN" w:eastAsia="zh-CN" w:bidi="zh-CN"/>
      </w:rPr>
    </w:lvl>
    <w:lvl w:ilvl="6" w:tentative="0">
      <w:start w:val="0"/>
      <w:numFmt w:val="bullet"/>
      <w:lvlText w:val="•"/>
      <w:lvlJc w:val="left"/>
      <w:pPr>
        <w:ind w:left="6616" w:hanging="373"/>
      </w:pPr>
      <w:rPr>
        <w:rFonts w:hint="default"/>
        <w:lang w:val="zh-CN" w:eastAsia="zh-CN" w:bidi="zh-CN"/>
      </w:rPr>
    </w:lvl>
    <w:lvl w:ilvl="7" w:tentative="0">
      <w:start w:val="0"/>
      <w:numFmt w:val="bullet"/>
      <w:lvlText w:val="•"/>
      <w:lvlJc w:val="left"/>
      <w:pPr>
        <w:ind w:left="7488" w:hanging="373"/>
      </w:pPr>
      <w:rPr>
        <w:rFonts w:hint="default"/>
        <w:lang w:val="zh-CN" w:eastAsia="zh-CN" w:bidi="zh-CN"/>
      </w:rPr>
    </w:lvl>
    <w:lvl w:ilvl="8" w:tentative="0">
      <w:start w:val="0"/>
      <w:numFmt w:val="bullet"/>
      <w:lvlText w:val="•"/>
      <w:lvlJc w:val="left"/>
      <w:pPr>
        <w:ind w:left="8361" w:hanging="373"/>
      </w:pPr>
      <w:rPr>
        <w:rFonts w:hint="default"/>
        <w:lang w:val="zh-CN" w:eastAsia="zh-CN" w:bidi="zh-CN"/>
      </w:rPr>
    </w:lvl>
  </w:abstractNum>
  <w:abstractNum w:abstractNumId="8">
    <w:nsid w:val="00000007"/>
    <w:multiLevelType w:val="multilevel"/>
    <w:tmpl w:val="00000007"/>
    <w:lvl w:ilvl="0" w:tentative="0">
      <w:start w:val="1"/>
      <w:numFmt w:val="decimal"/>
      <w:lvlText w:val="（%1）"/>
      <w:lvlJc w:val="left"/>
      <w:pPr>
        <w:ind w:left="1611" w:hanging="613"/>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9">
    <w:nsid w:val="00000008"/>
    <w:multiLevelType w:val="multilevel"/>
    <w:tmpl w:val="00000008"/>
    <w:lvl w:ilvl="0" w:tentative="0">
      <w:start w:val="1"/>
      <w:numFmt w:val="decimal"/>
      <w:lvlText w:val="（%1）"/>
      <w:lvlJc w:val="left"/>
      <w:pPr>
        <w:ind w:left="1599" w:hanging="601"/>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450" w:hanging="601"/>
      </w:pPr>
      <w:rPr>
        <w:rFonts w:hint="default"/>
        <w:lang w:val="zh-CN" w:eastAsia="zh-CN" w:bidi="zh-CN"/>
      </w:rPr>
    </w:lvl>
    <w:lvl w:ilvl="2" w:tentative="0">
      <w:start w:val="0"/>
      <w:numFmt w:val="bullet"/>
      <w:lvlText w:val="•"/>
      <w:lvlJc w:val="left"/>
      <w:pPr>
        <w:ind w:left="3301" w:hanging="601"/>
      </w:pPr>
      <w:rPr>
        <w:rFonts w:hint="default"/>
        <w:lang w:val="zh-CN" w:eastAsia="zh-CN" w:bidi="zh-CN"/>
      </w:rPr>
    </w:lvl>
    <w:lvl w:ilvl="3" w:tentative="0">
      <w:start w:val="0"/>
      <w:numFmt w:val="bullet"/>
      <w:lvlText w:val="•"/>
      <w:lvlJc w:val="left"/>
      <w:pPr>
        <w:ind w:left="4152" w:hanging="601"/>
      </w:pPr>
      <w:rPr>
        <w:rFonts w:hint="default"/>
        <w:lang w:val="zh-CN" w:eastAsia="zh-CN" w:bidi="zh-CN"/>
      </w:rPr>
    </w:lvl>
    <w:lvl w:ilvl="4" w:tentative="0">
      <w:start w:val="0"/>
      <w:numFmt w:val="bullet"/>
      <w:lvlText w:val="•"/>
      <w:lvlJc w:val="left"/>
      <w:pPr>
        <w:ind w:left="5002"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04" w:hanging="601"/>
      </w:pPr>
      <w:rPr>
        <w:rFonts w:hint="default"/>
        <w:lang w:val="zh-CN" w:eastAsia="zh-CN" w:bidi="zh-CN"/>
      </w:rPr>
    </w:lvl>
    <w:lvl w:ilvl="7" w:tentative="0">
      <w:start w:val="0"/>
      <w:numFmt w:val="bullet"/>
      <w:lvlText w:val="•"/>
      <w:lvlJc w:val="left"/>
      <w:pPr>
        <w:ind w:left="7554" w:hanging="601"/>
      </w:pPr>
      <w:rPr>
        <w:rFonts w:hint="default"/>
        <w:lang w:val="zh-CN" w:eastAsia="zh-CN" w:bidi="zh-CN"/>
      </w:rPr>
    </w:lvl>
    <w:lvl w:ilvl="8" w:tentative="0">
      <w:start w:val="0"/>
      <w:numFmt w:val="bullet"/>
      <w:lvlText w:val="•"/>
      <w:lvlJc w:val="left"/>
      <w:pPr>
        <w:ind w:left="8405" w:hanging="601"/>
      </w:pPr>
      <w:rPr>
        <w:rFonts w:hint="default"/>
        <w:lang w:val="zh-CN" w:eastAsia="zh-CN" w:bidi="zh-CN"/>
      </w:rPr>
    </w:lvl>
  </w:abstractNum>
  <w:abstractNum w:abstractNumId="10">
    <w:nsid w:val="00000009"/>
    <w:multiLevelType w:val="multilevel"/>
    <w:tmpl w:val="00000009"/>
    <w:lvl w:ilvl="0" w:tentative="0">
      <w:start w:val="1"/>
      <w:numFmt w:val="decimal"/>
      <w:lvlText w:val="%1."/>
      <w:lvlJc w:val="left"/>
      <w:pPr>
        <w:ind w:left="837" w:hanging="320"/>
        <w:jc w:val="left"/>
      </w:pPr>
      <w:rPr>
        <w:rFonts w:hint="default"/>
        <w:b/>
        <w:bCs/>
        <w:spacing w:val="-16"/>
        <w:w w:val="99"/>
        <w:lang w:val="zh-CN" w:eastAsia="zh-CN" w:bidi="zh-CN"/>
      </w:rPr>
    </w:lvl>
    <w:lvl w:ilvl="1" w:tentative="0">
      <w:start w:val="1"/>
      <w:numFmt w:val="decimal"/>
      <w:lvlText w:val="%1.%2"/>
      <w:lvlJc w:val="left"/>
      <w:pPr>
        <w:ind w:left="518" w:hanging="526"/>
        <w:jc w:val="left"/>
      </w:pPr>
      <w:rPr>
        <w:rFonts w:hint="default"/>
        <w:spacing w:val="-2"/>
        <w:w w:val="100"/>
        <w:lang w:val="zh-CN" w:eastAsia="zh-CN" w:bidi="zh-CN"/>
      </w:rPr>
    </w:lvl>
    <w:lvl w:ilvl="2" w:tentative="0">
      <w:start w:val="0"/>
      <w:numFmt w:val="bullet"/>
      <w:lvlText w:val="•"/>
      <w:lvlJc w:val="left"/>
      <w:pPr>
        <w:ind w:left="1000" w:hanging="526"/>
      </w:pPr>
      <w:rPr>
        <w:rFonts w:hint="default"/>
        <w:lang w:val="zh-CN" w:eastAsia="zh-CN" w:bidi="zh-CN"/>
      </w:rPr>
    </w:lvl>
    <w:lvl w:ilvl="3" w:tentative="0">
      <w:start w:val="0"/>
      <w:numFmt w:val="bullet"/>
      <w:lvlText w:val="•"/>
      <w:lvlJc w:val="left"/>
      <w:pPr>
        <w:ind w:left="1360" w:hanging="526"/>
      </w:pPr>
      <w:rPr>
        <w:rFonts w:hint="default"/>
        <w:lang w:val="zh-CN" w:eastAsia="zh-CN" w:bidi="zh-CN"/>
      </w:rPr>
    </w:lvl>
    <w:lvl w:ilvl="4" w:tentative="0">
      <w:start w:val="0"/>
      <w:numFmt w:val="bullet"/>
      <w:lvlText w:val="•"/>
      <w:lvlJc w:val="left"/>
      <w:pPr>
        <w:ind w:left="1420" w:hanging="526"/>
      </w:pPr>
      <w:rPr>
        <w:rFonts w:hint="default"/>
        <w:lang w:val="zh-CN" w:eastAsia="zh-CN" w:bidi="zh-CN"/>
      </w:rPr>
    </w:lvl>
    <w:lvl w:ilvl="5" w:tentative="0">
      <w:start w:val="0"/>
      <w:numFmt w:val="bullet"/>
      <w:lvlText w:val="•"/>
      <w:lvlJc w:val="left"/>
      <w:pPr>
        <w:ind w:left="1520" w:hanging="526"/>
      </w:pPr>
      <w:rPr>
        <w:rFonts w:hint="default"/>
        <w:lang w:val="zh-CN" w:eastAsia="zh-CN" w:bidi="zh-CN"/>
      </w:rPr>
    </w:lvl>
    <w:lvl w:ilvl="6" w:tentative="0">
      <w:start w:val="0"/>
      <w:numFmt w:val="bullet"/>
      <w:lvlText w:val="•"/>
      <w:lvlJc w:val="left"/>
      <w:pPr>
        <w:ind w:left="1580" w:hanging="526"/>
      </w:pPr>
      <w:rPr>
        <w:rFonts w:hint="default"/>
        <w:lang w:val="zh-CN" w:eastAsia="zh-CN" w:bidi="zh-CN"/>
      </w:rPr>
    </w:lvl>
    <w:lvl w:ilvl="7" w:tentative="0">
      <w:start w:val="0"/>
      <w:numFmt w:val="bullet"/>
      <w:lvlText w:val="•"/>
      <w:lvlJc w:val="left"/>
      <w:pPr>
        <w:ind w:left="3711" w:hanging="526"/>
      </w:pPr>
      <w:rPr>
        <w:rFonts w:hint="default"/>
        <w:lang w:val="zh-CN" w:eastAsia="zh-CN" w:bidi="zh-CN"/>
      </w:rPr>
    </w:lvl>
    <w:lvl w:ilvl="8" w:tentative="0">
      <w:start w:val="0"/>
      <w:numFmt w:val="bullet"/>
      <w:lvlText w:val="•"/>
      <w:lvlJc w:val="left"/>
      <w:pPr>
        <w:ind w:left="5843" w:hanging="526"/>
      </w:pPr>
      <w:rPr>
        <w:rFonts w:hint="default"/>
        <w:lang w:val="zh-CN" w:eastAsia="zh-CN" w:bidi="zh-CN"/>
      </w:rPr>
    </w:lvl>
  </w:abstractNum>
  <w:abstractNum w:abstractNumId="11">
    <w:nsid w:val="0000000A"/>
    <w:multiLevelType w:val="multilevel"/>
    <w:tmpl w:val="0000000A"/>
    <w:lvl w:ilvl="0" w:tentative="0">
      <w:start w:val="4"/>
      <w:numFmt w:val="decimal"/>
      <w:lvlText w:val="%1."/>
      <w:lvlJc w:val="left"/>
      <w:pPr>
        <w:ind w:left="51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478" w:hanging="360"/>
      </w:pPr>
      <w:rPr>
        <w:rFonts w:hint="default"/>
        <w:lang w:val="zh-CN" w:eastAsia="zh-CN" w:bidi="zh-CN"/>
      </w:rPr>
    </w:lvl>
    <w:lvl w:ilvl="2" w:tentative="0">
      <w:start w:val="0"/>
      <w:numFmt w:val="bullet"/>
      <w:lvlText w:val="•"/>
      <w:lvlJc w:val="left"/>
      <w:pPr>
        <w:ind w:left="2437" w:hanging="360"/>
      </w:pPr>
      <w:rPr>
        <w:rFonts w:hint="default"/>
        <w:lang w:val="zh-CN" w:eastAsia="zh-CN" w:bidi="zh-CN"/>
      </w:rPr>
    </w:lvl>
    <w:lvl w:ilvl="3" w:tentative="0">
      <w:start w:val="0"/>
      <w:numFmt w:val="bullet"/>
      <w:lvlText w:val="•"/>
      <w:lvlJc w:val="left"/>
      <w:pPr>
        <w:ind w:left="3396" w:hanging="360"/>
      </w:pPr>
      <w:rPr>
        <w:rFonts w:hint="default"/>
        <w:lang w:val="zh-CN" w:eastAsia="zh-CN" w:bidi="zh-CN"/>
      </w:rPr>
    </w:lvl>
    <w:lvl w:ilvl="4" w:tentative="0">
      <w:start w:val="0"/>
      <w:numFmt w:val="bullet"/>
      <w:lvlText w:val="•"/>
      <w:lvlJc w:val="left"/>
      <w:pPr>
        <w:ind w:left="4354" w:hanging="360"/>
      </w:pPr>
      <w:rPr>
        <w:rFonts w:hint="default"/>
        <w:lang w:val="zh-CN" w:eastAsia="zh-CN" w:bidi="zh-CN"/>
      </w:rPr>
    </w:lvl>
    <w:lvl w:ilvl="5" w:tentative="0">
      <w:start w:val="0"/>
      <w:numFmt w:val="bullet"/>
      <w:lvlText w:val="•"/>
      <w:lvlJc w:val="left"/>
      <w:pPr>
        <w:ind w:left="5313" w:hanging="360"/>
      </w:pPr>
      <w:rPr>
        <w:rFonts w:hint="default"/>
        <w:lang w:val="zh-CN" w:eastAsia="zh-CN" w:bidi="zh-CN"/>
      </w:rPr>
    </w:lvl>
    <w:lvl w:ilvl="6" w:tentative="0">
      <w:start w:val="0"/>
      <w:numFmt w:val="bullet"/>
      <w:lvlText w:val="•"/>
      <w:lvlJc w:val="left"/>
      <w:pPr>
        <w:ind w:left="6272" w:hanging="360"/>
      </w:pPr>
      <w:rPr>
        <w:rFonts w:hint="default"/>
        <w:lang w:val="zh-CN" w:eastAsia="zh-CN" w:bidi="zh-CN"/>
      </w:rPr>
    </w:lvl>
    <w:lvl w:ilvl="7" w:tentative="0">
      <w:start w:val="0"/>
      <w:numFmt w:val="bullet"/>
      <w:lvlText w:val="•"/>
      <w:lvlJc w:val="left"/>
      <w:pPr>
        <w:ind w:left="7230" w:hanging="360"/>
      </w:pPr>
      <w:rPr>
        <w:rFonts w:hint="default"/>
        <w:lang w:val="zh-CN" w:eastAsia="zh-CN" w:bidi="zh-CN"/>
      </w:rPr>
    </w:lvl>
    <w:lvl w:ilvl="8" w:tentative="0">
      <w:start w:val="0"/>
      <w:numFmt w:val="bullet"/>
      <w:lvlText w:val="•"/>
      <w:lvlJc w:val="left"/>
      <w:pPr>
        <w:ind w:left="8189" w:hanging="360"/>
      </w:pPr>
      <w:rPr>
        <w:rFonts w:hint="default"/>
        <w:lang w:val="zh-CN" w:eastAsia="zh-CN" w:bidi="zh-CN"/>
      </w:rPr>
    </w:lvl>
  </w:abstractNum>
  <w:abstractNum w:abstractNumId="12">
    <w:nsid w:val="0000000B"/>
    <w:multiLevelType w:val="multilevel"/>
    <w:tmpl w:val="0000000B"/>
    <w:lvl w:ilvl="0" w:tentative="0">
      <w:start w:val="1"/>
      <w:numFmt w:val="decimal"/>
      <w:lvlText w:val="（%1）"/>
      <w:lvlJc w:val="left"/>
      <w:pPr>
        <w:ind w:left="1611" w:hanging="613"/>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13">
    <w:nsid w:val="0000000C"/>
    <w:multiLevelType w:val="singleLevel"/>
    <w:tmpl w:val="0000000C"/>
    <w:lvl w:ilvl="0" w:tentative="0">
      <w:start w:val="4"/>
      <w:numFmt w:val="decimal"/>
      <w:lvlText w:val="%1."/>
      <w:lvlJc w:val="left"/>
      <w:pPr>
        <w:tabs>
          <w:tab w:val="left" w:pos="312"/>
        </w:tabs>
      </w:pPr>
    </w:lvl>
  </w:abstractNum>
  <w:abstractNum w:abstractNumId="14">
    <w:nsid w:val="0000000D"/>
    <w:multiLevelType w:val="multilevel"/>
    <w:tmpl w:val="0000000D"/>
    <w:lvl w:ilvl="0" w:tentative="0">
      <w:start w:val="1"/>
      <w:numFmt w:val="decimal"/>
      <w:lvlText w:val="（%1）"/>
      <w:lvlJc w:val="left"/>
      <w:pPr>
        <w:ind w:left="1601" w:hanging="601"/>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450" w:hanging="601"/>
      </w:pPr>
      <w:rPr>
        <w:rFonts w:hint="default"/>
        <w:lang w:val="zh-CN" w:eastAsia="zh-CN" w:bidi="zh-CN"/>
      </w:rPr>
    </w:lvl>
    <w:lvl w:ilvl="2" w:tentative="0">
      <w:start w:val="0"/>
      <w:numFmt w:val="bullet"/>
      <w:lvlText w:val="•"/>
      <w:lvlJc w:val="left"/>
      <w:pPr>
        <w:ind w:left="3301" w:hanging="601"/>
      </w:pPr>
      <w:rPr>
        <w:rFonts w:hint="default"/>
        <w:lang w:val="zh-CN" w:eastAsia="zh-CN" w:bidi="zh-CN"/>
      </w:rPr>
    </w:lvl>
    <w:lvl w:ilvl="3" w:tentative="0">
      <w:start w:val="0"/>
      <w:numFmt w:val="bullet"/>
      <w:lvlText w:val="•"/>
      <w:lvlJc w:val="left"/>
      <w:pPr>
        <w:ind w:left="4152" w:hanging="601"/>
      </w:pPr>
      <w:rPr>
        <w:rFonts w:hint="default"/>
        <w:lang w:val="zh-CN" w:eastAsia="zh-CN" w:bidi="zh-CN"/>
      </w:rPr>
    </w:lvl>
    <w:lvl w:ilvl="4" w:tentative="0">
      <w:start w:val="0"/>
      <w:numFmt w:val="bullet"/>
      <w:lvlText w:val="•"/>
      <w:lvlJc w:val="left"/>
      <w:pPr>
        <w:ind w:left="5002" w:hanging="601"/>
      </w:pPr>
      <w:rPr>
        <w:rFonts w:hint="default"/>
        <w:lang w:val="zh-CN" w:eastAsia="zh-CN" w:bidi="zh-CN"/>
      </w:rPr>
    </w:lvl>
    <w:lvl w:ilvl="5" w:tentative="0">
      <w:start w:val="0"/>
      <w:numFmt w:val="bullet"/>
      <w:lvlText w:val="•"/>
      <w:lvlJc w:val="left"/>
      <w:pPr>
        <w:ind w:left="5853" w:hanging="601"/>
      </w:pPr>
      <w:rPr>
        <w:rFonts w:hint="default"/>
        <w:lang w:val="zh-CN" w:eastAsia="zh-CN" w:bidi="zh-CN"/>
      </w:rPr>
    </w:lvl>
    <w:lvl w:ilvl="6" w:tentative="0">
      <w:start w:val="0"/>
      <w:numFmt w:val="bullet"/>
      <w:lvlText w:val="•"/>
      <w:lvlJc w:val="left"/>
      <w:pPr>
        <w:ind w:left="6704" w:hanging="601"/>
      </w:pPr>
      <w:rPr>
        <w:rFonts w:hint="default"/>
        <w:lang w:val="zh-CN" w:eastAsia="zh-CN" w:bidi="zh-CN"/>
      </w:rPr>
    </w:lvl>
    <w:lvl w:ilvl="7" w:tentative="0">
      <w:start w:val="0"/>
      <w:numFmt w:val="bullet"/>
      <w:lvlText w:val="•"/>
      <w:lvlJc w:val="left"/>
      <w:pPr>
        <w:ind w:left="7554" w:hanging="601"/>
      </w:pPr>
      <w:rPr>
        <w:rFonts w:hint="default"/>
        <w:lang w:val="zh-CN" w:eastAsia="zh-CN" w:bidi="zh-CN"/>
      </w:rPr>
    </w:lvl>
    <w:lvl w:ilvl="8" w:tentative="0">
      <w:start w:val="0"/>
      <w:numFmt w:val="bullet"/>
      <w:lvlText w:val="•"/>
      <w:lvlJc w:val="left"/>
      <w:pPr>
        <w:ind w:left="8405" w:hanging="601"/>
      </w:pPr>
      <w:rPr>
        <w:rFonts w:hint="default"/>
        <w:lang w:val="zh-CN" w:eastAsia="zh-CN" w:bidi="zh-CN"/>
      </w:rPr>
    </w:lvl>
  </w:abstractNum>
  <w:abstractNum w:abstractNumId="15">
    <w:nsid w:val="0000000E"/>
    <w:multiLevelType w:val="multilevel"/>
    <w:tmpl w:val="0000000E"/>
    <w:lvl w:ilvl="0" w:tentative="0">
      <w:start w:val="1"/>
      <w:numFmt w:val="decimal"/>
      <w:lvlText w:val="（%1）"/>
      <w:lvlJc w:val="left"/>
      <w:pPr>
        <w:ind w:left="1611" w:hanging="613"/>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16">
    <w:nsid w:val="0000000F"/>
    <w:multiLevelType w:val="multilevel"/>
    <w:tmpl w:val="0000000F"/>
    <w:lvl w:ilvl="0" w:tentative="0">
      <w:start w:val="1"/>
      <w:numFmt w:val="decimal"/>
      <w:lvlText w:val="%1."/>
      <w:lvlJc w:val="left"/>
      <w:pPr>
        <w:ind w:left="518" w:hanging="373"/>
        <w:jc w:val="left"/>
      </w:pPr>
      <w:rPr>
        <w:rFonts w:hint="default" w:ascii="Arial" w:hAnsi="Arial" w:eastAsia="Arial" w:cs="Arial"/>
        <w:spacing w:val="-3"/>
        <w:w w:val="100"/>
        <w:sz w:val="22"/>
        <w:szCs w:val="22"/>
        <w:lang w:val="zh-CN" w:eastAsia="zh-CN" w:bidi="zh-CN"/>
      </w:rPr>
    </w:lvl>
    <w:lvl w:ilvl="1" w:tentative="0">
      <w:start w:val="0"/>
      <w:numFmt w:val="bullet"/>
      <w:lvlText w:val="•"/>
      <w:lvlJc w:val="left"/>
      <w:pPr>
        <w:ind w:left="1478" w:hanging="373"/>
      </w:pPr>
      <w:rPr>
        <w:rFonts w:hint="default"/>
        <w:lang w:val="zh-CN" w:eastAsia="zh-CN" w:bidi="zh-CN"/>
      </w:rPr>
    </w:lvl>
    <w:lvl w:ilvl="2" w:tentative="0">
      <w:start w:val="0"/>
      <w:numFmt w:val="bullet"/>
      <w:lvlText w:val="•"/>
      <w:lvlJc w:val="left"/>
      <w:pPr>
        <w:ind w:left="2437" w:hanging="373"/>
      </w:pPr>
      <w:rPr>
        <w:rFonts w:hint="default"/>
        <w:lang w:val="zh-CN" w:eastAsia="zh-CN" w:bidi="zh-CN"/>
      </w:rPr>
    </w:lvl>
    <w:lvl w:ilvl="3" w:tentative="0">
      <w:start w:val="0"/>
      <w:numFmt w:val="bullet"/>
      <w:lvlText w:val="•"/>
      <w:lvlJc w:val="left"/>
      <w:pPr>
        <w:ind w:left="3396" w:hanging="373"/>
      </w:pPr>
      <w:rPr>
        <w:rFonts w:hint="default"/>
        <w:lang w:val="zh-CN" w:eastAsia="zh-CN" w:bidi="zh-CN"/>
      </w:rPr>
    </w:lvl>
    <w:lvl w:ilvl="4" w:tentative="0">
      <w:start w:val="0"/>
      <w:numFmt w:val="bullet"/>
      <w:lvlText w:val="•"/>
      <w:lvlJc w:val="left"/>
      <w:pPr>
        <w:ind w:left="4354" w:hanging="373"/>
      </w:pPr>
      <w:rPr>
        <w:rFonts w:hint="default"/>
        <w:lang w:val="zh-CN" w:eastAsia="zh-CN" w:bidi="zh-CN"/>
      </w:rPr>
    </w:lvl>
    <w:lvl w:ilvl="5" w:tentative="0">
      <w:start w:val="0"/>
      <w:numFmt w:val="bullet"/>
      <w:lvlText w:val="•"/>
      <w:lvlJc w:val="left"/>
      <w:pPr>
        <w:ind w:left="5313" w:hanging="373"/>
      </w:pPr>
      <w:rPr>
        <w:rFonts w:hint="default"/>
        <w:lang w:val="zh-CN" w:eastAsia="zh-CN" w:bidi="zh-CN"/>
      </w:rPr>
    </w:lvl>
    <w:lvl w:ilvl="6" w:tentative="0">
      <w:start w:val="0"/>
      <w:numFmt w:val="bullet"/>
      <w:lvlText w:val="•"/>
      <w:lvlJc w:val="left"/>
      <w:pPr>
        <w:ind w:left="6272" w:hanging="373"/>
      </w:pPr>
      <w:rPr>
        <w:rFonts w:hint="default"/>
        <w:lang w:val="zh-CN" w:eastAsia="zh-CN" w:bidi="zh-CN"/>
      </w:rPr>
    </w:lvl>
    <w:lvl w:ilvl="7" w:tentative="0">
      <w:start w:val="0"/>
      <w:numFmt w:val="bullet"/>
      <w:lvlText w:val="•"/>
      <w:lvlJc w:val="left"/>
      <w:pPr>
        <w:ind w:left="7230" w:hanging="373"/>
      </w:pPr>
      <w:rPr>
        <w:rFonts w:hint="default"/>
        <w:lang w:val="zh-CN" w:eastAsia="zh-CN" w:bidi="zh-CN"/>
      </w:rPr>
    </w:lvl>
    <w:lvl w:ilvl="8" w:tentative="0">
      <w:start w:val="0"/>
      <w:numFmt w:val="bullet"/>
      <w:lvlText w:val="•"/>
      <w:lvlJc w:val="left"/>
      <w:pPr>
        <w:ind w:left="8189" w:hanging="373"/>
      </w:pPr>
      <w:rPr>
        <w:rFonts w:hint="default"/>
        <w:lang w:val="zh-CN" w:eastAsia="zh-CN" w:bidi="zh-CN"/>
      </w:rPr>
    </w:lvl>
  </w:abstractNum>
  <w:abstractNum w:abstractNumId="17">
    <w:nsid w:val="00000010"/>
    <w:multiLevelType w:val="multilevel"/>
    <w:tmpl w:val="00000010"/>
    <w:lvl w:ilvl="0" w:tentative="0">
      <w:start w:val="1"/>
      <w:numFmt w:val="decimal"/>
      <w:lvlText w:val="（%1）"/>
      <w:lvlJc w:val="left"/>
      <w:pPr>
        <w:ind w:left="1611" w:hanging="613"/>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18">
    <w:nsid w:val="00000011"/>
    <w:multiLevelType w:val="multilevel"/>
    <w:tmpl w:val="00000011"/>
    <w:lvl w:ilvl="0" w:tentative="0">
      <w:start w:val="28"/>
      <w:numFmt w:val="decimal"/>
      <w:lvlText w:val="%1."/>
      <w:lvlJc w:val="left"/>
      <w:pPr>
        <w:ind w:left="972" w:hanging="454"/>
        <w:jc w:val="right"/>
      </w:pPr>
      <w:rPr>
        <w:rFonts w:hint="default"/>
        <w:b/>
        <w:bCs/>
        <w:spacing w:val="-13"/>
        <w:w w:val="99"/>
        <w:lang w:val="zh-CN" w:eastAsia="zh-CN" w:bidi="zh-CN"/>
      </w:rPr>
    </w:lvl>
    <w:lvl w:ilvl="1" w:tentative="0">
      <w:start w:val="1"/>
      <w:numFmt w:val="decimal"/>
      <w:lvlText w:val="%1.%2"/>
      <w:lvlJc w:val="left"/>
      <w:pPr>
        <w:ind w:left="518" w:hanging="531"/>
        <w:jc w:val="left"/>
      </w:pPr>
      <w:rPr>
        <w:rFonts w:hint="default" w:ascii="Arial" w:hAnsi="Arial" w:eastAsia="Arial" w:cs="Arial"/>
        <w:spacing w:val="-2"/>
        <w:w w:val="100"/>
        <w:sz w:val="24"/>
        <w:szCs w:val="24"/>
        <w:lang w:val="zh-CN" w:eastAsia="zh-CN" w:bidi="zh-CN"/>
      </w:rPr>
    </w:lvl>
    <w:lvl w:ilvl="2" w:tentative="0">
      <w:start w:val="1"/>
      <w:numFmt w:val="decimal"/>
      <w:lvlText w:val="%1.%2.%3"/>
      <w:lvlJc w:val="left"/>
      <w:pPr>
        <w:ind w:left="518" w:hanging="788"/>
        <w:jc w:val="left"/>
      </w:pPr>
      <w:rPr>
        <w:rFonts w:hint="default" w:ascii="Arial" w:hAnsi="Arial" w:eastAsia="Arial" w:cs="Arial"/>
        <w:spacing w:val="-58"/>
        <w:w w:val="100"/>
        <w:sz w:val="24"/>
        <w:szCs w:val="24"/>
        <w:lang w:val="zh-CN" w:eastAsia="zh-CN" w:bidi="zh-CN"/>
      </w:rPr>
    </w:lvl>
    <w:lvl w:ilvl="3" w:tentative="0">
      <w:start w:val="0"/>
      <w:numFmt w:val="bullet"/>
      <w:lvlText w:val="•"/>
      <w:lvlJc w:val="left"/>
      <w:pPr>
        <w:ind w:left="1580" w:hanging="788"/>
      </w:pPr>
      <w:rPr>
        <w:rFonts w:hint="default"/>
        <w:lang w:val="zh-CN" w:eastAsia="zh-CN" w:bidi="zh-CN"/>
      </w:rPr>
    </w:lvl>
    <w:lvl w:ilvl="4" w:tentative="0">
      <w:start w:val="0"/>
      <w:numFmt w:val="bullet"/>
      <w:lvlText w:val="•"/>
      <w:lvlJc w:val="left"/>
      <w:pPr>
        <w:ind w:left="2798" w:hanging="788"/>
      </w:pPr>
      <w:rPr>
        <w:rFonts w:hint="default"/>
        <w:lang w:val="zh-CN" w:eastAsia="zh-CN" w:bidi="zh-CN"/>
      </w:rPr>
    </w:lvl>
    <w:lvl w:ilvl="5" w:tentative="0">
      <w:start w:val="0"/>
      <w:numFmt w:val="bullet"/>
      <w:lvlText w:val="•"/>
      <w:lvlJc w:val="left"/>
      <w:pPr>
        <w:ind w:left="4016" w:hanging="788"/>
      </w:pPr>
      <w:rPr>
        <w:rFonts w:hint="default"/>
        <w:lang w:val="zh-CN" w:eastAsia="zh-CN" w:bidi="zh-CN"/>
      </w:rPr>
    </w:lvl>
    <w:lvl w:ilvl="6" w:tentative="0">
      <w:start w:val="0"/>
      <w:numFmt w:val="bullet"/>
      <w:lvlText w:val="•"/>
      <w:lvlJc w:val="left"/>
      <w:pPr>
        <w:ind w:left="5234" w:hanging="788"/>
      </w:pPr>
      <w:rPr>
        <w:rFonts w:hint="default"/>
        <w:lang w:val="zh-CN" w:eastAsia="zh-CN" w:bidi="zh-CN"/>
      </w:rPr>
    </w:lvl>
    <w:lvl w:ilvl="7" w:tentative="0">
      <w:start w:val="0"/>
      <w:numFmt w:val="bullet"/>
      <w:lvlText w:val="•"/>
      <w:lvlJc w:val="left"/>
      <w:pPr>
        <w:ind w:left="6452" w:hanging="788"/>
      </w:pPr>
      <w:rPr>
        <w:rFonts w:hint="default"/>
        <w:lang w:val="zh-CN" w:eastAsia="zh-CN" w:bidi="zh-CN"/>
      </w:rPr>
    </w:lvl>
    <w:lvl w:ilvl="8" w:tentative="0">
      <w:start w:val="0"/>
      <w:numFmt w:val="bullet"/>
      <w:lvlText w:val="•"/>
      <w:lvlJc w:val="left"/>
      <w:pPr>
        <w:ind w:left="7670" w:hanging="788"/>
      </w:pPr>
      <w:rPr>
        <w:rFonts w:hint="default"/>
        <w:lang w:val="zh-CN" w:eastAsia="zh-CN" w:bidi="zh-CN"/>
      </w:rPr>
    </w:lvl>
  </w:abstractNum>
  <w:abstractNum w:abstractNumId="19">
    <w:nsid w:val="00000012"/>
    <w:multiLevelType w:val="singleLevel"/>
    <w:tmpl w:val="00000012"/>
    <w:lvl w:ilvl="0" w:tentative="0">
      <w:start w:val="5"/>
      <w:numFmt w:val="decimal"/>
      <w:suff w:val="nothing"/>
      <w:lvlText w:val="%1、"/>
      <w:lvlJc w:val="left"/>
    </w:lvl>
  </w:abstractNum>
  <w:abstractNum w:abstractNumId="20">
    <w:nsid w:val="00000013"/>
    <w:multiLevelType w:val="multilevel"/>
    <w:tmpl w:val="00000013"/>
    <w:lvl w:ilvl="0" w:tentative="0">
      <w:start w:val="1"/>
      <w:numFmt w:val="decimal"/>
      <w:lvlText w:val="（%1）"/>
      <w:lvlJc w:val="left"/>
      <w:pPr>
        <w:ind w:left="1611" w:hanging="613"/>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468" w:hanging="613"/>
      </w:pPr>
      <w:rPr>
        <w:rFonts w:hint="default"/>
        <w:lang w:val="zh-CN" w:eastAsia="zh-CN" w:bidi="zh-CN"/>
      </w:rPr>
    </w:lvl>
    <w:lvl w:ilvl="2" w:tentative="0">
      <w:start w:val="0"/>
      <w:numFmt w:val="bullet"/>
      <w:lvlText w:val="•"/>
      <w:lvlJc w:val="left"/>
      <w:pPr>
        <w:ind w:left="3317" w:hanging="613"/>
      </w:pPr>
      <w:rPr>
        <w:rFonts w:hint="default"/>
        <w:lang w:val="zh-CN" w:eastAsia="zh-CN" w:bidi="zh-CN"/>
      </w:rPr>
    </w:lvl>
    <w:lvl w:ilvl="3" w:tentative="0">
      <w:start w:val="0"/>
      <w:numFmt w:val="bullet"/>
      <w:lvlText w:val="•"/>
      <w:lvlJc w:val="left"/>
      <w:pPr>
        <w:ind w:left="4166" w:hanging="613"/>
      </w:pPr>
      <w:rPr>
        <w:rFonts w:hint="default"/>
        <w:lang w:val="zh-CN" w:eastAsia="zh-CN" w:bidi="zh-CN"/>
      </w:rPr>
    </w:lvl>
    <w:lvl w:ilvl="4" w:tentative="0">
      <w:start w:val="0"/>
      <w:numFmt w:val="bullet"/>
      <w:lvlText w:val="•"/>
      <w:lvlJc w:val="left"/>
      <w:pPr>
        <w:ind w:left="5014" w:hanging="613"/>
      </w:pPr>
      <w:rPr>
        <w:rFonts w:hint="default"/>
        <w:lang w:val="zh-CN" w:eastAsia="zh-CN" w:bidi="zh-CN"/>
      </w:rPr>
    </w:lvl>
    <w:lvl w:ilvl="5" w:tentative="0">
      <w:start w:val="0"/>
      <w:numFmt w:val="bullet"/>
      <w:lvlText w:val="•"/>
      <w:lvlJc w:val="left"/>
      <w:pPr>
        <w:ind w:left="5863" w:hanging="613"/>
      </w:pPr>
      <w:rPr>
        <w:rFonts w:hint="default"/>
        <w:lang w:val="zh-CN" w:eastAsia="zh-CN" w:bidi="zh-CN"/>
      </w:rPr>
    </w:lvl>
    <w:lvl w:ilvl="6" w:tentative="0">
      <w:start w:val="0"/>
      <w:numFmt w:val="bullet"/>
      <w:lvlText w:val="•"/>
      <w:lvlJc w:val="left"/>
      <w:pPr>
        <w:ind w:left="6712" w:hanging="613"/>
      </w:pPr>
      <w:rPr>
        <w:rFonts w:hint="default"/>
        <w:lang w:val="zh-CN" w:eastAsia="zh-CN" w:bidi="zh-CN"/>
      </w:rPr>
    </w:lvl>
    <w:lvl w:ilvl="7" w:tentative="0">
      <w:start w:val="0"/>
      <w:numFmt w:val="bullet"/>
      <w:lvlText w:val="•"/>
      <w:lvlJc w:val="left"/>
      <w:pPr>
        <w:ind w:left="7560" w:hanging="613"/>
      </w:pPr>
      <w:rPr>
        <w:rFonts w:hint="default"/>
        <w:lang w:val="zh-CN" w:eastAsia="zh-CN" w:bidi="zh-CN"/>
      </w:rPr>
    </w:lvl>
    <w:lvl w:ilvl="8" w:tentative="0">
      <w:start w:val="0"/>
      <w:numFmt w:val="bullet"/>
      <w:lvlText w:val="•"/>
      <w:lvlJc w:val="left"/>
      <w:pPr>
        <w:ind w:left="8409" w:hanging="613"/>
      </w:pPr>
      <w:rPr>
        <w:rFonts w:hint="default"/>
        <w:lang w:val="zh-CN" w:eastAsia="zh-CN" w:bidi="zh-CN"/>
      </w:rPr>
    </w:lvl>
  </w:abstractNum>
  <w:abstractNum w:abstractNumId="21">
    <w:nsid w:val="00000014"/>
    <w:multiLevelType w:val="multilevel"/>
    <w:tmpl w:val="00000014"/>
    <w:lvl w:ilvl="0" w:tentative="0">
      <w:start w:val="1"/>
      <w:numFmt w:val="decimal"/>
      <w:lvlText w:val="%1."/>
      <w:lvlJc w:val="left"/>
      <w:pPr>
        <w:ind w:left="123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26" w:hanging="241"/>
      </w:pPr>
      <w:rPr>
        <w:rFonts w:hint="default"/>
        <w:lang w:val="zh-CN" w:eastAsia="zh-CN" w:bidi="zh-CN"/>
      </w:rPr>
    </w:lvl>
    <w:lvl w:ilvl="2" w:tentative="0">
      <w:start w:val="0"/>
      <w:numFmt w:val="bullet"/>
      <w:lvlText w:val="•"/>
      <w:lvlJc w:val="left"/>
      <w:pPr>
        <w:ind w:left="3013" w:hanging="241"/>
      </w:pPr>
      <w:rPr>
        <w:rFonts w:hint="default"/>
        <w:lang w:val="zh-CN" w:eastAsia="zh-CN" w:bidi="zh-CN"/>
      </w:rPr>
    </w:lvl>
    <w:lvl w:ilvl="3" w:tentative="0">
      <w:start w:val="0"/>
      <w:numFmt w:val="bullet"/>
      <w:lvlText w:val="•"/>
      <w:lvlJc w:val="left"/>
      <w:pPr>
        <w:ind w:left="3900" w:hanging="241"/>
      </w:pPr>
      <w:rPr>
        <w:rFonts w:hint="default"/>
        <w:lang w:val="zh-CN" w:eastAsia="zh-CN" w:bidi="zh-CN"/>
      </w:rPr>
    </w:lvl>
    <w:lvl w:ilvl="4" w:tentative="0">
      <w:start w:val="0"/>
      <w:numFmt w:val="bullet"/>
      <w:lvlText w:val="•"/>
      <w:lvlJc w:val="left"/>
      <w:pPr>
        <w:ind w:left="4786" w:hanging="241"/>
      </w:pPr>
      <w:rPr>
        <w:rFonts w:hint="default"/>
        <w:lang w:val="zh-CN" w:eastAsia="zh-CN" w:bidi="zh-CN"/>
      </w:rPr>
    </w:lvl>
    <w:lvl w:ilvl="5" w:tentative="0">
      <w:start w:val="0"/>
      <w:numFmt w:val="bullet"/>
      <w:lvlText w:val="•"/>
      <w:lvlJc w:val="left"/>
      <w:pPr>
        <w:ind w:left="5673" w:hanging="241"/>
      </w:pPr>
      <w:rPr>
        <w:rFonts w:hint="default"/>
        <w:lang w:val="zh-CN" w:eastAsia="zh-CN" w:bidi="zh-CN"/>
      </w:rPr>
    </w:lvl>
    <w:lvl w:ilvl="6" w:tentative="0">
      <w:start w:val="0"/>
      <w:numFmt w:val="bullet"/>
      <w:lvlText w:val="•"/>
      <w:lvlJc w:val="left"/>
      <w:pPr>
        <w:ind w:left="6560" w:hanging="241"/>
      </w:pPr>
      <w:rPr>
        <w:rFonts w:hint="default"/>
        <w:lang w:val="zh-CN" w:eastAsia="zh-CN" w:bidi="zh-CN"/>
      </w:rPr>
    </w:lvl>
    <w:lvl w:ilvl="7" w:tentative="0">
      <w:start w:val="0"/>
      <w:numFmt w:val="bullet"/>
      <w:lvlText w:val="•"/>
      <w:lvlJc w:val="left"/>
      <w:pPr>
        <w:ind w:left="7446" w:hanging="241"/>
      </w:pPr>
      <w:rPr>
        <w:rFonts w:hint="default"/>
        <w:lang w:val="zh-CN" w:eastAsia="zh-CN" w:bidi="zh-CN"/>
      </w:rPr>
    </w:lvl>
    <w:lvl w:ilvl="8" w:tentative="0">
      <w:start w:val="0"/>
      <w:numFmt w:val="bullet"/>
      <w:lvlText w:val="•"/>
      <w:lvlJc w:val="left"/>
      <w:pPr>
        <w:ind w:left="8333" w:hanging="241"/>
      </w:pPr>
      <w:rPr>
        <w:rFonts w:hint="default"/>
        <w:lang w:val="zh-CN" w:eastAsia="zh-CN" w:bidi="zh-CN"/>
      </w:rPr>
    </w:lvl>
  </w:abstractNum>
  <w:abstractNum w:abstractNumId="22">
    <w:nsid w:val="00000015"/>
    <w:multiLevelType w:val="multilevel"/>
    <w:tmpl w:val="00000015"/>
    <w:lvl w:ilvl="0" w:tentative="0">
      <w:start w:val="1"/>
      <w:numFmt w:val="decimal"/>
      <w:lvlText w:val="（%1）"/>
      <w:lvlJc w:val="left"/>
      <w:pPr>
        <w:ind w:left="520" w:hanging="608"/>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1478" w:hanging="608"/>
      </w:pPr>
      <w:rPr>
        <w:rFonts w:hint="default"/>
        <w:lang w:val="zh-CN" w:eastAsia="zh-CN" w:bidi="zh-CN"/>
      </w:rPr>
    </w:lvl>
    <w:lvl w:ilvl="2" w:tentative="0">
      <w:start w:val="0"/>
      <w:numFmt w:val="bullet"/>
      <w:lvlText w:val="•"/>
      <w:lvlJc w:val="left"/>
      <w:pPr>
        <w:ind w:left="2437" w:hanging="608"/>
      </w:pPr>
      <w:rPr>
        <w:rFonts w:hint="default"/>
        <w:lang w:val="zh-CN" w:eastAsia="zh-CN" w:bidi="zh-CN"/>
      </w:rPr>
    </w:lvl>
    <w:lvl w:ilvl="3" w:tentative="0">
      <w:start w:val="0"/>
      <w:numFmt w:val="bullet"/>
      <w:lvlText w:val="•"/>
      <w:lvlJc w:val="left"/>
      <w:pPr>
        <w:ind w:left="3396" w:hanging="608"/>
      </w:pPr>
      <w:rPr>
        <w:rFonts w:hint="default"/>
        <w:lang w:val="zh-CN" w:eastAsia="zh-CN" w:bidi="zh-CN"/>
      </w:rPr>
    </w:lvl>
    <w:lvl w:ilvl="4" w:tentative="0">
      <w:start w:val="0"/>
      <w:numFmt w:val="bullet"/>
      <w:lvlText w:val="•"/>
      <w:lvlJc w:val="left"/>
      <w:pPr>
        <w:ind w:left="4354" w:hanging="608"/>
      </w:pPr>
      <w:rPr>
        <w:rFonts w:hint="default"/>
        <w:lang w:val="zh-CN" w:eastAsia="zh-CN" w:bidi="zh-CN"/>
      </w:rPr>
    </w:lvl>
    <w:lvl w:ilvl="5" w:tentative="0">
      <w:start w:val="0"/>
      <w:numFmt w:val="bullet"/>
      <w:lvlText w:val="•"/>
      <w:lvlJc w:val="left"/>
      <w:pPr>
        <w:ind w:left="5313" w:hanging="608"/>
      </w:pPr>
      <w:rPr>
        <w:rFonts w:hint="default"/>
        <w:lang w:val="zh-CN" w:eastAsia="zh-CN" w:bidi="zh-CN"/>
      </w:rPr>
    </w:lvl>
    <w:lvl w:ilvl="6" w:tentative="0">
      <w:start w:val="0"/>
      <w:numFmt w:val="bullet"/>
      <w:lvlText w:val="•"/>
      <w:lvlJc w:val="left"/>
      <w:pPr>
        <w:ind w:left="6272" w:hanging="608"/>
      </w:pPr>
      <w:rPr>
        <w:rFonts w:hint="default"/>
        <w:lang w:val="zh-CN" w:eastAsia="zh-CN" w:bidi="zh-CN"/>
      </w:rPr>
    </w:lvl>
    <w:lvl w:ilvl="7" w:tentative="0">
      <w:start w:val="0"/>
      <w:numFmt w:val="bullet"/>
      <w:lvlText w:val="•"/>
      <w:lvlJc w:val="left"/>
      <w:pPr>
        <w:ind w:left="7230" w:hanging="608"/>
      </w:pPr>
      <w:rPr>
        <w:rFonts w:hint="default"/>
        <w:lang w:val="zh-CN" w:eastAsia="zh-CN" w:bidi="zh-CN"/>
      </w:rPr>
    </w:lvl>
    <w:lvl w:ilvl="8" w:tentative="0">
      <w:start w:val="0"/>
      <w:numFmt w:val="bullet"/>
      <w:lvlText w:val="•"/>
      <w:lvlJc w:val="left"/>
      <w:pPr>
        <w:ind w:left="8189" w:hanging="608"/>
      </w:pPr>
      <w:rPr>
        <w:rFonts w:hint="default"/>
        <w:lang w:val="zh-CN" w:eastAsia="zh-CN" w:bidi="zh-CN"/>
      </w:rPr>
    </w:lvl>
  </w:abstractNum>
  <w:abstractNum w:abstractNumId="23">
    <w:nsid w:val="00000016"/>
    <w:multiLevelType w:val="multilevel"/>
    <w:tmpl w:val="00000016"/>
    <w:lvl w:ilvl="0" w:tentative="0">
      <w:start w:val="1"/>
      <w:numFmt w:val="decimal"/>
      <w:lvlText w:val="%1."/>
      <w:lvlJc w:val="left"/>
      <w:pPr>
        <w:ind w:left="518" w:hanging="420"/>
        <w:jc w:val="left"/>
      </w:pPr>
      <w:rPr>
        <w:rFonts w:hint="default" w:ascii="宋体" w:hAnsi="宋体" w:eastAsia="宋体" w:cs="宋体"/>
        <w:w w:val="100"/>
        <w:sz w:val="24"/>
        <w:szCs w:val="24"/>
        <w:lang w:val="zh-CN" w:eastAsia="zh-CN" w:bidi="zh-CN"/>
      </w:rPr>
    </w:lvl>
    <w:lvl w:ilvl="1" w:tentative="0">
      <w:start w:val="1"/>
      <w:numFmt w:val="decimal"/>
      <w:lvlText w:val="（%2）"/>
      <w:lvlJc w:val="left"/>
      <w:pPr>
        <w:ind w:left="518" w:hanging="601"/>
        <w:jc w:val="left"/>
      </w:pPr>
      <w:rPr>
        <w:rFonts w:hint="default" w:ascii="宋体" w:hAnsi="宋体" w:eastAsia="宋体" w:cs="宋体"/>
        <w:spacing w:val="-60"/>
        <w:w w:val="100"/>
        <w:sz w:val="22"/>
        <w:szCs w:val="22"/>
        <w:lang w:val="zh-CN" w:eastAsia="zh-CN" w:bidi="zh-CN"/>
      </w:rPr>
    </w:lvl>
    <w:lvl w:ilvl="2" w:tentative="0">
      <w:start w:val="1"/>
      <w:numFmt w:val="decimal"/>
      <w:lvlText w:val="（%3）"/>
      <w:lvlJc w:val="left"/>
      <w:pPr>
        <w:ind w:left="1599" w:hanging="601"/>
        <w:jc w:val="left"/>
      </w:pPr>
      <w:rPr>
        <w:rFonts w:hint="default" w:ascii="宋体" w:hAnsi="宋体" w:eastAsia="宋体" w:cs="宋体"/>
        <w:b/>
        <w:bCs/>
        <w:spacing w:val="-5"/>
        <w:w w:val="99"/>
        <w:sz w:val="22"/>
        <w:szCs w:val="22"/>
        <w:lang w:val="zh-CN" w:eastAsia="zh-CN" w:bidi="zh-CN"/>
      </w:rPr>
    </w:lvl>
    <w:lvl w:ilvl="3" w:tentative="0">
      <w:start w:val="1"/>
      <w:numFmt w:val="decimal"/>
      <w:lvlText w:val="%4."/>
      <w:lvlJc w:val="left"/>
      <w:pPr>
        <w:ind w:left="518" w:hanging="212"/>
        <w:jc w:val="left"/>
      </w:pPr>
      <w:rPr>
        <w:rFonts w:hint="default" w:ascii="Arial" w:hAnsi="Arial" w:eastAsia="Arial" w:cs="Arial"/>
        <w:spacing w:val="3"/>
        <w:w w:val="100"/>
        <w:sz w:val="22"/>
        <w:szCs w:val="22"/>
        <w:lang w:val="zh-CN" w:eastAsia="zh-CN" w:bidi="zh-CN"/>
      </w:rPr>
    </w:lvl>
    <w:lvl w:ilvl="4" w:tentative="0">
      <w:start w:val="0"/>
      <w:numFmt w:val="bullet"/>
      <w:lvlText w:val="•"/>
      <w:lvlJc w:val="left"/>
      <w:pPr>
        <w:ind w:left="4435" w:hanging="212"/>
      </w:pPr>
      <w:rPr>
        <w:rFonts w:hint="default"/>
        <w:lang w:val="zh-CN" w:eastAsia="zh-CN" w:bidi="zh-CN"/>
      </w:rPr>
    </w:lvl>
    <w:lvl w:ilvl="5" w:tentative="0">
      <w:start w:val="0"/>
      <w:numFmt w:val="bullet"/>
      <w:lvlText w:val="•"/>
      <w:lvlJc w:val="left"/>
      <w:pPr>
        <w:ind w:left="5380" w:hanging="212"/>
      </w:pPr>
      <w:rPr>
        <w:rFonts w:hint="default"/>
        <w:lang w:val="zh-CN" w:eastAsia="zh-CN" w:bidi="zh-CN"/>
      </w:rPr>
    </w:lvl>
    <w:lvl w:ilvl="6" w:tentative="0">
      <w:start w:val="0"/>
      <w:numFmt w:val="bullet"/>
      <w:lvlText w:val="•"/>
      <w:lvlJc w:val="left"/>
      <w:pPr>
        <w:ind w:left="6326" w:hanging="212"/>
      </w:pPr>
      <w:rPr>
        <w:rFonts w:hint="default"/>
        <w:lang w:val="zh-CN" w:eastAsia="zh-CN" w:bidi="zh-CN"/>
      </w:rPr>
    </w:lvl>
    <w:lvl w:ilvl="7" w:tentative="0">
      <w:start w:val="0"/>
      <w:numFmt w:val="bullet"/>
      <w:lvlText w:val="•"/>
      <w:lvlJc w:val="left"/>
      <w:pPr>
        <w:ind w:left="7271" w:hanging="212"/>
      </w:pPr>
      <w:rPr>
        <w:rFonts w:hint="default"/>
        <w:lang w:val="zh-CN" w:eastAsia="zh-CN" w:bidi="zh-CN"/>
      </w:rPr>
    </w:lvl>
    <w:lvl w:ilvl="8" w:tentative="0">
      <w:start w:val="0"/>
      <w:numFmt w:val="bullet"/>
      <w:lvlText w:val="•"/>
      <w:lvlJc w:val="left"/>
      <w:pPr>
        <w:ind w:left="8216" w:hanging="212"/>
      </w:pPr>
      <w:rPr>
        <w:rFonts w:hint="default"/>
        <w:lang w:val="zh-CN" w:eastAsia="zh-CN" w:bidi="zh-CN"/>
      </w:rPr>
    </w:lvl>
  </w:abstractNum>
  <w:abstractNum w:abstractNumId="24">
    <w:nsid w:val="5B994CAA"/>
    <w:multiLevelType w:val="singleLevel"/>
    <w:tmpl w:val="5B994CAA"/>
    <w:lvl w:ilvl="0" w:tentative="0">
      <w:start w:val="2"/>
      <w:numFmt w:val="decimal"/>
      <w:suff w:val="nothing"/>
      <w:lvlText w:val="%1、"/>
      <w:lvlJc w:val="left"/>
    </w:lvl>
  </w:abstractNum>
  <w:num w:numId="1">
    <w:abstractNumId w:val="1"/>
  </w:num>
  <w:num w:numId="2">
    <w:abstractNumId w:val="13"/>
  </w:num>
  <w:num w:numId="3">
    <w:abstractNumId w:val="10"/>
  </w:num>
  <w:num w:numId="4">
    <w:abstractNumId w:val="14"/>
  </w:num>
  <w:num w:numId="5">
    <w:abstractNumId w:val="22"/>
  </w:num>
  <w:num w:numId="6">
    <w:abstractNumId w:val="9"/>
  </w:num>
  <w:num w:numId="7">
    <w:abstractNumId w:val="0"/>
  </w:num>
  <w:num w:numId="8">
    <w:abstractNumId w:val="2"/>
  </w:num>
  <w:num w:numId="9">
    <w:abstractNumId w:val="15"/>
  </w:num>
  <w:num w:numId="10">
    <w:abstractNumId w:val="20"/>
  </w:num>
  <w:num w:numId="11">
    <w:abstractNumId w:val="5"/>
  </w:num>
  <w:num w:numId="12">
    <w:abstractNumId w:val="18"/>
  </w:num>
  <w:num w:numId="13">
    <w:abstractNumId w:val="8"/>
  </w:num>
  <w:num w:numId="14">
    <w:abstractNumId w:val="12"/>
  </w:num>
  <w:num w:numId="15">
    <w:abstractNumId w:val="7"/>
  </w:num>
  <w:num w:numId="16">
    <w:abstractNumId w:val="6"/>
  </w:num>
  <w:num w:numId="17">
    <w:abstractNumId w:val="3"/>
  </w:num>
  <w:num w:numId="18">
    <w:abstractNumId w:val="17"/>
  </w:num>
  <w:num w:numId="19">
    <w:abstractNumId w:val="21"/>
  </w:num>
  <w:num w:numId="20">
    <w:abstractNumId w:val="11"/>
  </w:num>
  <w:num w:numId="21">
    <w:abstractNumId w:val="16"/>
  </w:num>
  <w:num w:numId="22">
    <w:abstractNumId w:val="4"/>
  </w:num>
  <w:num w:numId="23">
    <w:abstractNumId w:val="23"/>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DF6345"/>
    <w:rsid w:val="4DA0081E"/>
    <w:rsid w:val="5B0A0643"/>
    <w:rsid w:val="6EDC2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宋体"/>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spacing w:before="49"/>
      <w:ind w:left="1"/>
      <w:jc w:val="center"/>
      <w:outlineLvl w:val="1"/>
    </w:pPr>
    <w:rPr>
      <w:rFonts w:ascii="宋体" w:hAnsi="宋体" w:eastAsia="宋体" w:cs="宋体"/>
      <w:b/>
      <w:bCs/>
      <w:sz w:val="36"/>
      <w:szCs w:val="36"/>
      <w:lang w:val="zh-CN" w:eastAsia="zh-CN" w:bidi="zh-CN"/>
    </w:rPr>
  </w:style>
  <w:style w:type="paragraph" w:styleId="5">
    <w:name w:val="heading 2"/>
    <w:basedOn w:val="1"/>
    <w:next w:val="1"/>
    <w:qFormat/>
    <w:uiPriority w:val="1"/>
    <w:pPr>
      <w:spacing w:before="54"/>
      <w:ind w:left="2" w:right="1"/>
      <w:jc w:val="center"/>
      <w:outlineLvl w:val="2"/>
    </w:pPr>
    <w:rPr>
      <w:rFonts w:ascii="宋体" w:hAnsi="宋体" w:eastAsia="宋体" w:cs="宋体"/>
      <w:b/>
      <w:bCs/>
      <w:sz w:val="32"/>
      <w:szCs w:val="32"/>
      <w:lang w:val="zh-CN" w:eastAsia="zh-CN" w:bidi="zh-CN"/>
    </w:rPr>
  </w:style>
  <w:style w:type="paragraph" w:styleId="6">
    <w:name w:val="heading 3"/>
    <w:basedOn w:val="1"/>
    <w:next w:val="1"/>
    <w:qFormat/>
    <w:uiPriority w:val="1"/>
    <w:pPr>
      <w:ind w:left="972" w:hanging="454"/>
      <w:outlineLvl w:val="3"/>
    </w:pPr>
    <w:rPr>
      <w:rFonts w:ascii="宋体" w:hAnsi="宋体" w:eastAsia="宋体" w:cs="宋体"/>
      <w:b/>
      <w:bCs/>
      <w:sz w:val="24"/>
      <w:szCs w:val="24"/>
      <w:lang w:val="zh-CN" w:eastAsia="zh-CN" w:bidi="zh-CN"/>
    </w:rPr>
  </w:style>
  <w:style w:type="paragraph" w:styleId="7">
    <w:name w:val="heading 5"/>
    <w:basedOn w:val="1"/>
    <w:next w:val="1"/>
    <w:qFormat/>
    <w:uiPriority w:val="1"/>
    <w:pPr>
      <w:ind w:left="212"/>
      <w:outlineLvl w:val="5"/>
    </w:pPr>
    <w:rPr>
      <w:rFonts w:ascii="宋体" w:hAnsi="宋体" w:eastAsia="宋体" w:cs="宋体"/>
      <w:b/>
      <w:bCs/>
      <w:sz w:val="21"/>
      <w:szCs w:val="21"/>
      <w:lang w:val="en-US" w:eastAsia="zh-CN" w:bidi="ar-SA"/>
    </w:rPr>
  </w:style>
  <w:style w:type="character" w:default="1" w:styleId="17">
    <w:name w:val="Default Paragraph Font"/>
    <w:qFormat/>
    <w:uiPriority w:val="1"/>
  </w:style>
  <w:style w:type="table" w:default="1" w:styleId="16">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8">
    <w:name w:val="Body Text"/>
    <w:basedOn w:val="1"/>
    <w:qFormat/>
    <w:uiPriority w:val="1"/>
    <w:rPr>
      <w:rFonts w:ascii="宋体" w:hAnsi="宋体" w:eastAsia="宋体" w:cs="宋体"/>
      <w:sz w:val="24"/>
      <w:szCs w:val="24"/>
      <w:lang w:val="zh-CN" w:eastAsia="zh-CN" w:bidi="zh-CN"/>
    </w:rPr>
  </w:style>
  <w:style w:type="paragraph" w:styleId="9">
    <w:name w:val="toc 3"/>
    <w:basedOn w:val="1"/>
    <w:next w:val="1"/>
    <w:qFormat/>
    <w:uiPriority w:val="1"/>
    <w:pPr>
      <w:spacing w:before="139"/>
      <w:ind w:left="1147" w:hanging="421"/>
    </w:pPr>
    <w:rPr>
      <w:rFonts w:ascii="宋体" w:hAnsi="宋体" w:eastAsia="宋体" w:cs="宋体"/>
      <w:sz w:val="21"/>
      <w:szCs w:val="21"/>
      <w:lang w:val="zh-CN" w:eastAsia="zh-CN" w:bidi="zh-CN"/>
    </w:rPr>
  </w:style>
  <w:style w:type="paragraph" w:styleId="10">
    <w:name w:val="Plain Text"/>
    <w:basedOn w:val="1"/>
    <w:qFormat/>
    <w:uiPriority w:val="0"/>
    <w:rPr>
      <w:rFonts w:ascii="宋体" w:hAnsi="Courier New" w:cs="宋体"/>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1"/>
    <w:pPr>
      <w:spacing w:before="513"/>
      <w:jc w:val="center"/>
    </w:pPr>
    <w:rPr>
      <w:rFonts w:ascii="黑体" w:hAnsi="黑体" w:eastAsia="黑体" w:cs="黑体"/>
      <w:b/>
      <w:bCs/>
      <w:sz w:val="28"/>
      <w:szCs w:val="28"/>
      <w:lang w:val="zh-CN" w:eastAsia="zh-CN" w:bidi="zh-CN"/>
    </w:rPr>
  </w:style>
  <w:style w:type="paragraph" w:styleId="14">
    <w:name w:val="toc 2"/>
    <w:basedOn w:val="1"/>
    <w:next w:val="1"/>
    <w:qFormat/>
    <w:uiPriority w:val="1"/>
    <w:pPr>
      <w:spacing w:before="141"/>
      <w:ind w:left="518"/>
    </w:pPr>
    <w:rPr>
      <w:rFonts w:ascii="宋体" w:hAnsi="宋体" w:eastAsia="宋体" w:cs="宋体"/>
      <w:b/>
      <w:bCs/>
      <w:sz w:val="28"/>
      <w:szCs w:val="28"/>
      <w:lang w:val="zh-CN" w:eastAsia="zh-CN" w:bidi="zh-CN"/>
    </w:rPr>
  </w:style>
  <w:style w:type="paragraph" w:styleId="1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customStyle="1" w:styleId="18">
    <w:name w:val="Table Normal"/>
    <w:qFormat/>
    <w:uiPriority w:val="2"/>
    <w:tblPr>
      <w:tblCellMar>
        <w:top w:w="0" w:type="dxa"/>
        <w:left w:w="0" w:type="dxa"/>
        <w:bottom w:w="0" w:type="dxa"/>
        <w:right w:w="0" w:type="dxa"/>
      </w:tblCellMar>
    </w:tblPr>
  </w:style>
  <w:style w:type="paragraph" w:styleId="19">
    <w:name w:val="List Paragraph"/>
    <w:basedOn w:val="1"/>
    <w:qFormat/>
    <w:uiPriority w:val="1"/>
    <w:pPr>
      <w:ind w:left="518" w:firstLine="480"/>
    </w:pPr>
    <w:rPr>
      <w:rFonts w:ascii="宋体" w:hAnsi="宋体" w:eastAsia="宋体" w:cs="宋体"/>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 w:type="character" w:customStyle="1" w:styleId="21">
    <w:name w:val="NormalCharacter"/>
    <w:qFormat/>
    <w:uiPriority w:val="0"/>
    <w:rPr>
      <w:rFonts w:ascii="宋体" w:hAnsi="宋体" w:eastAsia="宋体" w:cs="宋体"/>
      <w:sz w:val="22"/>
      <w:szCs w:val="22"/>
      <w:lang w:val="zh-CN" w:eastAsia="zh-CN" w:bidi="zh-CN"/>
    </w:rPr>
  </w:style>
  <w:style w:type="character" w:customStyle="1" w:styleId="22">
    <w:name w:val="无"/>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25548</Words>
  <Characters>26784</Characters>
  <Paragraphs>1638</Paragraphs>
  <TotalTime>15</TotalTime>
  <ScaleCrop>false</ScaleCrop>
  <LinksUpToDate>false</LinksUpToDate>
  <CharactersWithSpaces>27527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2020-05-07T13:26:00Z</dcterms:created>
  <dc:creator>Administrator</dc:creator>
  <cp:lastModifiedBy>Administrator</cp:lastModifiedBy>
  <cp:lastPrinted>2020-05-25T10:42:00Z</cp:lastPrinted>
  <dcterms:modified xsi:type="dcterms:W3CDTF">2020-07-21T04:34:02Z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WPS 文字</vt:lpwstr>
  </property>
  <property fmtid="{D5CDD505-2E9C-101B-9397-08002B2CF9AE}" pid="4" name="LastSaved">
    <vt:filetime>2020-05-07T00:00:00Z</vt:filetime>
  </property>
  <property fmtid="{D5CDD505-2E9C-101B-9397-08002B2CF9AE}" pid="5" name="KSOProductBuildVer">
    <vt:lpwstr>2052-11.1.0.9828</vt:lpwstr>
  </property>
</Properties>
</file>