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rPr>
          <w:sz w:val="30"/>
          <w:szCs w:val="30"/>
        </w:rPr>
      </w:pPr>
      <w:r>
        <w:rPr>
          <w:rFonts w:hint="eastAsia"/>
          <w:sz w:val="30"/>
          <w:szCs w:val="30"/>
        </w:rPr>
        <w:t>一般货物类</w:t>
      </w:r>
    </w:p>
    <w:p>
      <w:pPr>
        <w:jc w:val="center"/>
        <w:rPr>
          <w:rFonts w:ascii="宋体" w:hAnsi="宋体" w:cs="宋体"/>
        </w:rPr>
      </w:pPr>
      <w:r>
        <w:rPr>
          <w:rFonts w:hint="eastAsia" w:ascii="宋体" w:hAnsi="宋体" w:cs="宋体"/>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pPr>
        <w:pStyle w:val="26"/>
        <w:jc w:val="center"/>
        <w:rPr>
          <w:rFonts w:hAnsi="宋体" w:cs="宋体"/>
          <w:sz w:val="52"/>
        </w:rPr>
      </w:pPr>
      <w:r>
        <w:rPr>
          <w:rFonts w:hint="eastAsia" w:hAnsi="宋体" w:cs="宋体"/>
          <w:sz w:val="52"/>
        </w:rPr>
        <w:t>广 西 科 文 招 标 有 限 公 司</w:t>
      </w:r>
    </w:p>
    <w:p>
      <w:pPr>
        <w:pStyle w:val="26"/>
        <w:jc w:val="center"/>
        <w:rPr>
          <w:rFonts w:hAnsi="宋体" w:cs="宋体"/>
          <w:b/>
          <w:sz w:val="44"/>
          <w:szCs w:val="44"/>
        </w:rPr>
      </w:pPr>
      <w:r>
        <w:rPr>
          <w:rFonts w:hint="eastAsia" w:hAnsi="宋体" w:cs="宋体"/>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pPr>
        <w:snapToGrid w:val="0"/>
        <w:spacing w:before="165" w:beforeLines="50"/>
        <w:jc w:val="center"/>
        <w:rPr>
          <w:rFonts w:ascii="宋体" w:hAnsi="宋体" w:cs="宋体"/>
          <w:sz w:val="120"/>
          <w:szCs w:val="120"/>
        </w:rPr>
      </w:pPr>
      <w:r>
        <w:rPr>
          <w:rFonts w:hint="eastAsia" w:ascii="宋体" w:hAnsi="宋体" w:cs="宋体"/>
          <w:sz w:val="120"/>
          <w:szCs w:val="120"/>
        </w:rPr>
        <w:t>招 标 文 件</w:t>
      </w:r>
    </w:p>
    <w:p>
      <w:pPr>
        <w:pStyle w:val="26"/>
        <w:snapToGrid w:val="0"/>
        <w:jc w:val="center"/>
      </w:pPr>
      <w:r>
        <w:rPr>
          <w:rFonts w:hint="eastAsia" w:hAnsi="宋体" w:cs="宋体"/>
          <w:sz w:val="30"/>
          <w:szCs w:val="30"/>
        </w:rPr>
        <w:t>（</w:t>
      </w:r>
      <w:r>
        <w:rPr>
          <w:rFonts w:hint="eastAsia" w:hAnsi="宋体"/>
        </w:rPr>
        <w:t>全流程电子化评标</w:t>
      </w:r>
      <w:r>
        <w:rPr>
          <w:rFonts w:hint="eastAsia" w:hAnsi="宋体" w:cs="宋体"/>
          <w:sz w:val="30"/>
          <w:szCs w:val="30"/>
        </w:rPr>
        <w:t>）</w:t>
      </w:r>
    </w:p>
    <w:p>
      <w:pPr>
        <w:pStyle w:val="20"/>
        <w:ind w:firstLine="210"/>
      </w:pPr>
    </w:p>
    <w:p/>
    <w:p>
      <w:pPr>
        <w:pStyle w:val="44"/>
        <w:ind w:firstLine="442"/>
        <w:rPr>
          <w:sz w:val="22"/>
          <w:szCs w:val="21"/>
        </w:rPr>
      </w:pPr>
    </w:p>
    <w:p>
      <w:pPr>
        <w:pStyle w:val="26"/>
        <w:snapToGrid w:val="0"/>
        <w:spacing w:line="480" w:lineRule="auto"/>
        <w:jc w:val="center"/>
        <w:rPr>
          <w:rFonts w:hAnsi="宋体" w:cs="宋体"/>
          <w:b/>
          <w:bCs/>
          <w:w w:val="95"/>
          <w:sz w:val="32"/>
          <w:szCs w:val="32"/>
        </w:rPr>
      </w:pPr>
      <w:r>
        <w:rPr>
          <w:rFonts w:hint="eastAsia" w:hAnsi="宋体" w:cs="宋体"/>
          <w:b/>
          <w:bCs/>
          <w:w w:val="95"/>
          <w:sz w:val="32"/>
          <w:szCs w:val="32"/>
        </w:rPr>
        <w:t>项目名称：结构生物学配套平台仪器设备采购</w:t>
      </w:r>
      <w:r>
        <w:rPr>
          <w:rFonts w:hAnsi="宋体" w:cs="宋体"/>
          <w:b/>
          <w:bCs/>
          <w:w w:val="95"/>
          <w:sz w:val="32"/>
          <w:szCs w:val="32"/>
        </w:rPr>
        <w:t xml:space="preserve"> </w:t>
      </w:r>
    </w:p>
    <w:p>
      <w:pPr>
        <w:pStyle w:val="26"/>
        <w:snapToGrid w:val="0"/>
        <w:spacing w:line="480" w:lineRule="auto"/>
        <w:jc w:val="center"/>
        <w:rPr>
          <w:rFonts w:hint="eastAsia" w:hAnsi="宋体" w:eastAsia="宋体" w:cs="宋体"/>
          <w:b/>
          <w:bCs/>
          <w:w w:val="95"/>
          <w:sz w:val="32"/>
          <w:szCs w:val="32"/>
          <w:lang w:eastAsia="zh-CN"/>
        </w:rPr>
      </w:pPr>
      <w:r>
        <w:rPr>
          <w:rFonts w:hint="eastAsia" w:hAnsi="宋体" w:cs="宋体"/>
          <w:b/>
          <w:bCs/>
          <w:w w:val="95"/>
          <w:sz w:val="32"/>
          <w:szCs w:val="32"/>
        </w:rPr>
        <w:t>项目编号：</w:t>
      </w:r>
      <w:r>
        <w:rPr>
          <w:rFonts w:hint="eastAsia" w:hAnsi="宋体" w:cs="宋体"/>
          <w:b/>
          <w:bCs/>
          <w:w w:val="95"/>
          <w:sz w:val="32"/>
          <w:szCs w:val="32"/>
          <w:lang w:eastAsia="zh-CN"/>
        </w:rPr>
        <w:t>GXZC2023-G1-002832-KWZB</w:t>
      </w:r>
    </w:p>
    <w:p>
      <w:pPr>
        <w:pStyle w:val="26"/>
        <w:snapToGrid w:val="0"/>
        <w:spacing w:line="360" w:lineRule="auto"/>
        <w:ind w:firstLine="1977" w:firstLineChars="691"/>
        <w:rPr>
          <w:rFonts w:hAnsi="宋体" w:cs="宋体"/>
          <w:b/>
          <w:bCs/>
          <w:w w:val="95"/>
          <w:sz w:val="30"/>
          <w:szCs w:val="30"/>
        </w:rPr>
      </w:pPr>
    </w:p>
    <w:p>
      <w:pPr>
        <w:pStyle w:val="6"/>
      </w:pPr>
    </w:p>
    <w:p>
      <w:pPr>
        <w:pStyle w:val="26"/>
        <w:snapToGrid w:val="0"/>
        <w:spacing w:line="360" w:lineRule="auto"/>
        <w:jc w:val="center"/>
        <w:rPr>
          <w:rFonts w:hAnsi="宋体" w:cs="宋体"/>
          <w:b/>
          <w:bCs/>
          <w:w w:val="95"/>
          <w:sz w:val="30"/>
          <w:szCs w:val="30"/>
        </w:rPr>
      </w:pPr>
      <w:r>
        <w:rPr>
          <w:rFonts w:hint="eastAsia" w:hAnsi="宋体" w:cs="宋体"/>
          <w:b/>
          <w:bCs/>
          <w:w w:val="95"/>
          <w:sz w:val="30"/>
          <w:szCs w:val="30"/>
        </w:rPr>
        <w:t>采 购 人：广西大学</w:t>
      </w:r>
    </w:p>
    <w:p>
      <w:pPr>
        <w:pStyle w:val="26"/>
        <w:snapToGrid w:val="0"/>
        <w:spacing w:line="360" w:lineRule="auto"/>
        <w:jc w:val="center"/>
        <w:rPr>
          <w:rFonts w:hAnsi="宋体" w:cs="宋体"/>
          <w:b/>
          <w:bCs/>
          <w:w w:val="95"/>
          <w:sz w:val="30"/>
          <w:szCs w:val="30"/>
        </w:rPr>
      </w:pPr>
      <w:r>
        <w:rPr>
          <w:rFonts w:hint="eastAsia" w:hAnsi="宋体" w:cs="宋体"/>
          <w:b/>
          <w:bCs/>
          <w:w w:val="95"/>
          <w:sz w:val="30"/>
          <w:szCs w:val="30"/>
        </w:rPr>
        <w:t>采购代理机构：广西科文招标有限公司</w:t>
      </w:r>
      <w:r>
        <w:rPr>
          <w:rFonts w:hAnsi="宋体" w:cs="宋体"/>
          <w:b/>
          <w:bCs/>
          <w:w w:val="95"/>
          <w:sz w:val="30"/>
          <w:szCs w:val="30"/>
        </w:rPr>
        <w:t xml:space="preserve"> </w:t>
      </w:r>
    </w:p>
    <w:p>
      <w:pPr>
        <w:pStyle w:val="26"/>
        <w:snapToGrid w:val="0"/>
        <w:spacing w:line="360" w:lineRule="auto"/>
        <w:jc w:val="center"/>
        <w:rPr>
          <w:rFonts w:hAnsi="宋体" w:cs="宋体"/>
          <w:b/>
          <w:bCs/>
          <w:w w:val="95"/>
          <w:sz w:val="30"/>
          <w:szCs w:val="30"/>
        </w:rPr>
      </w:pPr>
    </w:p>
    <w:p>
      <w:pPr>
        <w:pStyle w:val="26"/>
        <w:snapToGrid w:val="0"/>
        <w:spacing w:line="360" w:lineRule="auto"/>
        <w:jc w:val="center"/>
        <w:rPr>
          <w:rFonts w:hAnsi="宋体" w:cs="宋体"/>
          <w:szCs w:val="20"/>
        </w:rPr>
      </w:pPr>
      <w:r>
        <w:rPr>
          <w:rFonts w:hint="eastAsia" w:hAnsi="宋体" w:cs="宋体"/>
          <w:b/>
          <w:bCs/>
          <w:w w:val="95"/>
          <w:sz w:val="30"/>
          <w:szCs w:val="30"/>
        </w:rPr>
        <w:t>2023年</w:t>
      </w:r>
      <w:r>
        <w:rPr>
          <w:rFonts w:hint="eastAsia" w:hAnsi="宋体" w:cs="宋体"/>
          <w:b/>
          <w:bCs/>
          <w:w w:val="95"/>
          <w:sz w:val="30"/>
          <w:szCs w:val="30"/>
          <w:lang w:val="en-US" w:eastAsia="zh-CN"/>
        </w:rPr>
        <w:t>8</w:t>
      </w:r>
      <w:r>
        <w:rPr>
          <w:rFonts w:hint="eastAsia" w:hAnsi="宋体" w:cs="宋体"/>
          <w:b/>
          <w:bCs/>
          <w:w w:val="95"/>
          <w:sz w:val="30"/>
          <w:szCs w:val="30"/>
        </w:rPr>
        <w:t>月</w:t>
      </w:r>
      <w:r>
        <w:rPr>
          <w:rFonts w:hint="eastAsia" w:hAnsi="宋体" w:cs="宋体"/>
          <w:b/>
          <w:bCs/>
          <w:w w:val="95"/>
          <w:sz w:val="30"/>
          <w:szCs w:val="30"/>
          <w:lang w:val="en-US" w:eastAsia="zh-CN"/>
        </w:rPr>
        <w:t>11</w:t>
      </w:r>
      <w:r>
        <w:rPr>
          <w:rFonts w:hint="eastAsia" w:hAnsi="宋体" w:cs="宋体"/>
          <w:b/>
          <w:bCs/>
          <w:w w:val="95"/>
          <w:sz w:val="30"/>
          <w:szCs w:val="30"/>
        </w:rPr>
        <w:t>日</w:t>
      </w:r>
    </w:p>
    <w:p>
      <w:pPr>
        <w:spacing w:line="360" w:lineRule="auto"/>
        <w:jc w:val="center"/>
        <w:rPr>
          <w:rFonts w:ascii="宋体" w:hAnsi="宋体" w:cs="宋体"/>
          <w:b/>
          <w:sz w:val="52"/>
          <w:szCs w:val="52"/>
        </w:rPr>
      </w:pPr>
    </w:p>
    <w:p>
      <w:pPr>
        <w:pStyle w:val="2"/>
      </w:pPr>
    </w:p>
    <w:p/>
    <w:p>
      <w:pPr>
        <w:pStyle w:val="2"/>
      </w:pPr>
    </w:p>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目  录</w:t>
      </w:r>
    </w:p>
    <w:p>
      <w:pPr>
        <w:spacing w:line="360" w:lineRule="auto"/>
        <w:jc w:val="center"/>
        <w:rPr>
          <w:rFonts w:ascii="宋体" w:hAnsi="宋体" w:cs="宋体"/>
          <w:b/>
          <w:sz w:val="52"/>
          <w:szCs w:val="52"/>
        </w:rPr>
      </w:pPr>
    </w:p>
    <w:p>
      <w:pPr>
        <w:pStyle w:val="34"/>
        <w:tabs>
          <w:tab w:val="left" w:pos="1260"/>
        </w:tabs>
        <w:spacing w:line="480" w:lineRule="auto"/>
        <w:ind w:left="1260" w:leftChars="600" w:firstLine="0" w:firstLineChars="0"/>
        <w:rPr>
          <w:rFonts w:cs="宋体"/>
          <w:b w:val="0"/>
          <w:bCs w:val="0"/>
          <w:caps w:val="0"/>
          <w:szCs w:val="28"/>
        </w:rPr>
      </w:pPr>
      <w:r>
        <w:rPr>
          <w:rFonts w:hint="eastAsia" w:cs="宋体"/>
          <w:b w:val="0"/>
          <w:sz w:val="32"/>
          <w:szCs w:val="32"/>
        </w:rPr>
        <w:fldChar w:fldCharType="begin"/>
      </w:r>
      <w:r>
        <w:rPr>
          <w:rFonts w:hint="eastAsia" w:cs="宋体"/>
          <w:b w:val="0"/>
          <w:sz w:val="32"/>
          <w:szCs w:val="32"/>
        </w:rPr>
        <w:instrText xml:space="preserve"> TOC \o "1-2" \h \z \u </w:instrText>
      </w:r>
      <w:r>
        <w:rPr>
          <w:rFonts w:hint="eastAsia" w:cs="宋体"/>
          <w:b w:val="0"/>
          <w:sz w:val="32"/>
          <w:szCs w:val="32"/>
        </w:rPr>
        <w:fldChar w:fldCharType="separate"/>
      </w:r>
      <w:r>
        <w:fldChar w:fldCharType="begin"/>
      </w:r>
      <w:r>
        <w:instrText xml:space="preserve"> HYPERLINK \l "_Toc74320800" </w:instrText>
      </w:r>
      <w:r>
        <w:fldChar w:fldCharType="separate"/>
      </w:r>
      <w:r>
        <w:rPr>
          <w:rStyle w:val="54"/>
          <w:rFonts w:hint="eastAsia" w:cs="宋体"/>
          <w:color w:val="auto"/>
          <w:sz w:val="32"/>
          <w:szCs w:val="32"/>
        </w:rPr>
        <w:t>第一章  招标公告</w:t>
      </w:r>
      <w:r>
        <w:rPr>
          <w:rStyle w:val="54"/>
          <w:rFonts w:hint="eastAsia" w:cs="宋体"/>
          <w:color w:val="auto"/>
          <w:sz w:val="32"/>
          <w:szCs w:val="32"/>
        </w:rPr>
        <w:fldChar w:fldCharType="end"/>
      </w:r>
      <w:r>
        <w:rPr>
          <w:rStyle w:val="54"/>
          <w:rFonts w:hint="eastAsia" w:cs="宋体"/>
          <w:color w:val="auto"/>
          <w:sz w:val="32"/>
          <w:szCs w:val="32"/>
        </w:rPr>
        <w:t xml:space="preserve">                   001</w:t>
      </w:r>
    </w:p>
    <w:p>
      <w:pPr>
        <w:pStyle w:val="34"/>
        <w:tabs>
          <w:tab w:val="left" w:pos="1260"/>
        </w:tabs>
        <w:spacing w:line="480" w:lineRule="auto"/>
        <w:ind w:left="1260" w:leftChars="600" w:firstLine="0" w:firstLineChars="0"/>
        <w:rPr>
          <w:rFonts w:cs="宋体"/>
          <w:b w:val="0"/>
          <w:bCs w:val="0"/>
          <w:caps w:val="0"/>
          <w:szCs w:val="28"/>
        </w:rPr>
      </w:pPr>
      <w:r>
        <w:fldChar w:fldCharType="begin"/>
      </w:r>
      <w:r>
        <w:instrText xml:space="preserve"> HYPERLINK \l "_Toc74320801" </w:instrText>
      </w:r>
      <w:r>
        <w:fldChar w:fldCharType="separate"/>
      </w:r>
      <w:r>
        <w:rPr>
          <w:rStyle w:val="54"/>
          <w:rFonts w:hint="eastAsia" w:cs="宋体"/>
          <w:color w:val="auto"/>
          <w:sz w:val="32"/>
          <w:szCs w:val="32"/>
        </w:rPr>
        <w:t>第二章  采购需求</w:t>
      </w:r>
      <w:r>
        <w:rPr>
          <w:rStyle w:val="54"/>
          <w:rFonts w:hint="eastAsia" w:cs="宋体"/>
          <w:color w:val="auto"/>
          <w:sz w:val="32"/>
          <w:szCs w:val="32"/>
        </w:rPr>
        <w:fldChar w:fldCharType="end"/>
      </w:r>
      <w:r>
        <w:rPr>
          <w:rStyle w:val="54"/>
          <w:rFonts w:hint="eastAsia" w:cs="宋体"/>
          <w:color w:val="auto"/>
          <w:sz w:val="32"/>
          <w:szCs w:val="32"/>
        </w:rPr>
        <w:t xml:space="preserve">                   005 </w:t>
      </w:r>
    </w:p>
    <w:p>
      <w:pPr>
        <w:pStyle w:val="34"/>
        <w:tabs>
          <w:tab w:val="left" w:pos="1260"/>
        </w:tabs>
        <w:spacing w:line="480" w:lineRule="auto"/>
        <w:ind w:left="1260" w:leftChars="600" w:firstLine="0" w:firstLineChars="0"/>
        <w:rPr>
          <w:rFonts w:cs="宋体"/>
          <w:b w:val="0"/>
          <w:bCs w:val="0"/>
          <w:caps w:val="0"/>
          <w:szCs w:val="28"/>
        </w:rPr>
      </w:pPr>
      <w:r>
        <w:fldChar w:fldCharType="begin"/>
      </w:r>
      <w:r>
        <w:instrText xml:space="preserve"> HYPERLINK \l "_Toc74320802" </w:instrText>
      </w:r>
      <w:r>
        <w:fldChar w:fldCharType="separate"/>
      </w:r>
      <w:r>
        <w:rPr>
          <w:rStyle w:val="54"/>
          <w:rFonts w:hint="eastAsia" w:cs="宋体"/>
          <w:color w:val="auto"/>
          <w:sz w:val="32"/>
          <w:szCs w:val="32"/>
        </w:rPr>
        <w:t>第三章  投标人须</w:t>
      </w:r>
      <w:bookmarkStart w:id="0" w:name="_Hlt79572745"/>
      <w:bookmarkStart w:id="1" w:name="_Hlt79572744"/>
      <w:r>
        <w:rPr>
          <w:rStyle w:val="54"/>
          <w:rFonts w:hint="eastAsia" w:cs="宋体"/>
          <w:color w:val="auto"/>
          <w:sz w:val="32"/>
          <w:szCs w:val="32"/>
        </w:rPr>
        <w:t>知</w:t>
      </w:r>
      <w:bookmarkEnd w:id="0"/>
      <w:bookmarkEnd w:id="1"/>
      <w:r>
        <w:rPr>
          <w:rStyle w:val="54"/>
          <w:rFonts w:hint="eastAsia" w:cs="宋体"/>
          <w:color w:val="auto"/>
          <w:sz w:val="32"/>
          <w:szCs w:val="32"/>
        </w:rPr>
        <w:fldChar w:fldCharType="end"/>
      </w:r>
      <w:r>
        <w:rPr>
          <w:rStyle w:val="54"/>
          <w:rFonts w:hint="eastAsia" w:cs="宋体"/>
          <w:color w:val="auto"/>
          <w:sz w:val="32"/>
          <w:szCs w:val="32"/>
        </w:rPr>
        <w:t xml:space="preserve">                 020</w:t>
      </w:r>
    </w:p>
    <w:p>
      <w:pPr>
        <w:pStyle w:val="34"/>
        <w:tabs>
          <w:tab w:val="left" w:pos="1260"/>
        </w:tabs>
        <w:spacing w:line="480" w:lineRule="auto"/>
        <w:ind w:left="1260" w:leftChars="600" w:firstLine="0" w:firstLineChars="0"/>
        <w:rPr>
          <w:rFonts w:cs="宋体"/>
          <w:b w:val="0"/>
          <w:bCs w:val="0"/>
          <w:caps w:val="0"/>
          <w:szCs w:val="28"/>
        </w:rPr>
      </w:pPr>
      <w:r>
        <w:fldChar w:fldCharType="begin"/>
      </w:r>
      <w:r>
        <w:instrText xml:space="preserve"> HYPERLINK \l "_Toc74320803" </w:instrText>
      </w:r>
      <w:r>
        <w:fldChar w:fldCharType="separate"/>
      </w:r>
      <w:r>
        <w:rPr>
          <w:rStyle w:val="54"/>
          <w:rFonts w:hint="eastAsia" w:cs="宋体"/>
          <w:color w:val="auto"/>
          <w:sz w:val="32"/>
          <w:szCs w:val="32"/>
        </w:rPr>
        <w:t>第四章  评标方</w:t>
      </w:r>
      <w:bookmarkStart w:id="2" w:name="_Hlt82186274"/>
      <w:bookmarkStart w:id="3" w:name="_Hlt82186273"/>
      <w:r>
        <w:rPr>
          <w:rStyle w:val="54"/>
          <w:rFonts w:hint="eastAsia" w:cs="宋体"/>
          <w:color w:val="auto"/>
          <w:sz w:val="32"/>
          <w:szCs w:val="32"/>
        </w:rPr>
        <w:t>法</w:t>
      </w:r>
      <w:bookmarkEnd w:id="2"/>
      <w:bookmarkEnd w:id="3"/>
      <w:r>
        <w:rPr>
          <w:rStyle w:val="54"/>
          <w:rFonts w:hint="eastAsia" w:cs="宋体"/>
          <w:color w:val="auto"/>
          <w:sz w:val="32"/>
          <w:szCs w:val="32"/>
        </w:rPr>
        <w:t>及评标标准</w:t>
      </w:r>
      <w:r>
        <w:rPr>
          <w:rStyle w:val="54"/>
          <w:rFonts w:hint="eastAsia" w:cs="宋体"/>
          <w:color w:val="auto"/>
          <w:sz w:val="32"/>
          <w:szCs w:val="32"/>
        </w:rPr>
        <w:fldChar w:fldCharType="end"/>
      </w:r>
      <w:r>
        <w:rPr>
          <w:rStyle w:val="54"/>
          <w:rFonts w:hint="eastAsia" w:cs="宋体"/>
          <w:color w:val="auto"/>
          <w:sz w:val="32"/>
          <w:szCs w:val="32"/>
        </w:rPr>
        <w:t xml:space="preserve">         045</w:t>
      </w:r>
    </w:p>
    <w:p>
      <w:pPr>
        <w:pStyle w:val="34"/>
        <w:tabs>
          <w:tab w:val="left" w:pos="1260"/>
        </w:tabs>
        <w:spacing w:line="480" w:lineRule="auto"/>
        <w:ind w:left="1260" w:leftChars="600" w:firstLine="0" w:firstLineChars="0"/>
        <w:rPr>
          <w:rFonts w:cs="宋体"/>
          <w:b w:val="0"/>
          <w:bCs w:val="0"/>
          <w:caps w:val="0"/>
          <w:szCs w:val="28"/>
        </w:rPr>
      </w:pPr>
      <w:r>
        <w:fldChar w:fldCharType="begin"/>
      </w:r>
      <w:r>
        <w:instrText xml:space="preserve"> HYPERLINK \l "_Toc74320804" </w:instrText>
      </w:r>
      <w:r>
        <w:fldChar w:fldCharType="separate"/>
      </w:r>
      <w:r>
        <w:rPr>
          <w:rStyle w:val="54"/>
          <w:rFonts w:hint="eastAsia" w:cs="宋体"/>
          <w:color w:val="auto"/>
          <w:sz w:val="32"/>
          <w:szCs w:val="32"/>
        </w:rPr>
        <w:t>第五章  拟签订的合同文本</w:t>
      </w:r>
      <w:r>
        <w:rPr>
          <w:rStyle w:val="54"/>
          <w:rFonts w:hint="eastAsia" w:cs="宋体"/>
          <w:color w:val="auto"/>
          <w:sz w:val="32"/>
          <w:szCs w:val="32"/>
        </w:rPr>
        <w:fldChar w:fldCharType="end"/>
      </w:r>
      <w:r>
        <w:rPr>
          <w:rStyle w:val="54"/>
          <w:rFonts w:hint="eastAsia" w:cs="宋体"/>
          <w:color w:val="auto"/>
          <w:sz w:val="32"/>
          <w:szCs w:val="32"/>
        </w:rPr>
        <w:t xml:space="preserve">           055</w:t>
      </w:r>
    </w:p>
    <w:p>
      <w:pPr>
        <w:pStyle w:val="34"/>
        <w:tabs>
          <w:tab w:val="left" w:pos="1260"/>
        </w:tabs>
        <w:spacing w:line="480" w:lineRule="auto"/>
        <w:ind w:left="1260" w:leftChars="600" w:firstLine="0" w:firstLineChars="0"/>
        <w:rPr>
          <w:rFonts w:cs="宋体"/>
          <w:b w:val="0"/>
          <w:bCs w:val="0"/>
          <w:caps w:val="0"/>
          <w:szCs w:val="28"/>
        </w:rPr>
      </w:pPr>
      <w:r>
        <w:fldChar w:fldCharType="begin"/>
      </w:r>
      <w:r>
        <w:instrText xml:space="preserve"> HYPERLINK \l "_Toc74320805" </w:instrText>
      </w:r>
      <w:r>
        <w:fldChar w:fldCharType="separate"/>
      </w:r>
      <w:r>
        <w:rPr>
          <w:rStyle w:val="54"/>
          <w:rFonts w:hint="eastAsia" w:cs="宋体"/>
          <w:color w:val="auto"/>
          <w:sz w:val="32"/>
          <w:szCs w:val="32"/>
        </w:rPr>
        <w:t>第六章　投标文件格式</w:t>
      </w:r>
      <w:r>
        <w:rPr>
          <w:rStyle w:val="54"/>
          <w:rFonts w:hint="eastAsia" w:cs="宋体"/>
          <w:color w:val="auto"/>
          <w:sz w:val="32"/>
          <w:szCs w:val="32"/>
        </w:rPr>
        <w:fldChar w:fldCharType="end"/>
      </w:r>
      <w:r>
        <w:rPr>
          <w:rStyle w:val="54"/>
          <w:rFonts w:hint="eastAsia" w:cs="宋体"/>
          <w:color w:val="auto"/>
          <w:sz w:val="32"/>
          <w:szCs w:val="32"/>
        </w:rPr>
        <w:t xml:space="preserve">               065</w:t>
      </w:r>
    </w:p>
    <w:p>
      <w:pPr>
        <w:tabs>
          <w:tab w:val="left" w:pos="1260"/>
        </w:tabs>
        <w:spacing w:before="165" w:beforeLines="50" w:line="480" w:lineRule="auto"/>
        <w:ind w:left="1260" w:leftChars="600"/>
        <w:rPr>
          <w:rFonts w:ascii="宋体" w:hAnsi="宋体" w:cs="宋体"/>
          <w:sz w:val="32"/>
          <w:szCs w:val="32"/>
        </w:rPr>
      </w:pPr>
      <w:r>
        <w:rPr>
          <w:rFonts w:hint="eastAsia" w:ascii="宋体" w:hAnsi="宋体" w:cs="宋体"/>
          <w:b/>
          <w:sz w:val="32"/>
          <w:szCs w:val="32"/>
        </w:rPr>
        <w:fldChar w:fldCharType="end"/>
      </w:r>
    </w:p>
    <w:p>
      <w:pPr>
        <w:spacing w:before="165" w:beforeLines="50" w:line="480" w:lineRule="auto"/>
        <w:ind w:firstLine="1890" w:firstLineChars="525"/>
        <w:rPr>
          <w:rFonts w:ascii="宋体" w:hAnsi="宋体" w:cs="宋体"/>
          <w:sz w:val="36"/>
          <w:szCs w:val="32"/>
        </w:rPr>
      </w:pPr>
    </w:p>
    <w:p>
      <w:pPr>
        <w:spacing w:line="480" w:lineRule="auto"/>
        <w:ind w:firstLine="1260" w:firstLineChars="525"/>
        <w:rPr>
          <w:rFonts w:ascii="宋体" w:hAnsi="宋体" w:cs="宋体"/>
          <w:sz w:val="24"/>
          <w:szCs w:val="32"/>
        </w:rPr>
      </w:pPr>
    </w:p>
    <w:p>
      <w:pPr>
        <w:spacing w:before="165" w:beforeLines="50" w:line="480" w:lineRule="exact"/>
        <w:rPr>
          <w:rFonts w:ascii="宋体" w:hAnsi="宋体" w:cs="宋体"/>
          <w:sz w:val="30"/>
        </w:rPr>
      </w:pPr>
    </w:p>
    <w:p>
      <w:pPr>
        <w:spacing w:before="165" w:beforeLines="50" w:line="480" w:lineRule="exact"/>
        <w:rPr>
          <w:rFonts w:ascii="宋体" w:hAnsi="宋体" w:cs="宋体"/>
          <w:sz w:val="30"/>
        </w:rPr>
      </w:pPr>
    </w:p>
    <w:p>
      <w:pPr>
        <w:pStyle w:val="17"/>
        <w:rPr>
          <w:rFonts w:ascii="宋体" w:hAnsi="宋体" w:cs="宋体"/>
          <w:b/>
          <w:bCs/>
        </w:rPr>
      </w:pPr>
      <w:bookmarkStart w:id="4" w:name="_Toc254970630"/>
      <w:bookmarkStart w:id="5" w:name="_Toc254970489"/>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footerReference r:id="rId3" w:type="default"/>
          <w:pgSz w:w="11906" w:h="16838"/>
          <w:pgMar w:top="1134" w:right="1134" w:bottom="1134" w:left="1134" w:header="720" w:footer="720" w:gutter="0"/>
          <w:cols w:space="720" w:num="1"/>
          <w:docGrid w:type="lines" w:linePitch="331" w:charSpace="0"/>
        </w:sectPr>
      </w:pPr>
      <w:bookmarkStart w:id="6" w:name="_Toc74320800"/>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rPr>
        <w:t>第一章</w:t>
      </w:r>
      <w:bookmarkEnd w:id="4"/>
      <w:bookmarkEnd w:id="5"/>
      <w:bookmarkStart w:id="7" w:name="_Toc35393789"/>
      <w:bookmarkStart w:id="8" w:name="_Toc28359001"/>
      <w:r>
        <w:rPr>
          <w:rFonts w:hint="eastAsia" w:ascii="宋体" w:hAnsi="宋体" w:cs="宋体"/>
        </w:rPr>
        <w:t xml:space="preserve"> 招标公告</w:t>
      </w:r>
      <w:bookmarkEnd w:id="6"/>
      <w:bookmarkEnd w:id="7"/>
      <w:bookmarkEnd w:id="8"/>
    </w:p>
    <w:p>
      <w:pPr>
        <w:rPr>
          <w:rFonts w:ascii="宋体" w:hAnsi="宋体" w:cs="宋体"/>
        </w:rPr>
      </w:pPr>
    </w:p>
    <w:p>
      <w:pPr>
        <w:pStyle w:val="26"/>
        <w:spacing w:line="500" w:lineRule="exact"/>
        <w:jc w:val="center"/>
        <w:rPr>
          <w:rFonts w:hAnsi="宋体" w:cs="宋体"/>
          <w:b/>
          <w:sz w:val="36"/>
          <w:szCs w:val="36"/>
        </w:rPr>
      </w:pPr>
      <w:r>
        <w:rPr>
          <w:rFonts w:hint="eastAsia" w:hAnsi="宋体" w:cs="宋体"/>
          <w:b/>
          <w:sz w:val="36"/>
          <w:szCs w:val="36"/>
        </w:rPr>
        <w:t>广西科文招标有限公司</w:t>
      </w:r>
    </w:p>
    <w:p>
      <w:pPr>
        <w:pStyle w:val="3"/>
        <w:tabs>
          <w:tab w:val="left" w:pos="0"/>
          <w:tab w:val="left" w:pos="3165"/>
          <w:tab w:val="center" w:pos="4153"/>
        </w:tabs>
        <w:autoSpaceDE w:val="0"/>
        <w:autoSpaceDN w:val="0"/>
        <w:adjustRightInd w:val="0"/>
        <w:spacing w:before="0" w:after="0" w:line="500" w:lineRule="exact"/>
        <w:jc w:val="center"/>
        <w:rPr>
          <w:rFonts w:ascii="宋体" w:hAnsi="宋体" w:cs="宋体"/>
          <w:bCs w:val="0"/>
          <w:kern w:val="0"/>
          <w:sz w:val="36"/>
          <w:szCs w:val="36"/>
        </w:rPr>
      </w:pPr>
      <w:r>
        <w:rPr>
          <w:rFonts w:hint="eastAsia" w:ascii="宋体" w:hAnsi="宋体" w:cs="宋体"/>
          <w:bCs w:val="0"/>
          <w:kern w:val="0"/>
          <w:sz w:val="36"/>
          <w:szCs w:val="36"/>
        </w:rPr>
        <w:t>结构生物学配套平台仪器设备采购（</w:t>
      </w:r>
      <w:r>
        <w:rPr>
          <w:rFonts w:hint="eastAsia" w:ascii="宋体" w:hAnsi="宋体" w:cs="宋体"/>
          <w:bCs w:val="0"/>
          <w:kern w:val="0"/>
          <w:sz w:val="36"/>
          <w:szCs w:val="36"/>
          <w:lang w:eastAsia="zh-CN"/>
        </w:rPr>
        <w:t>GXZC2023-G1-002832-KWZB</w:t>
      </w:r>
      <w:r>
        <w:rPr>
          <w:rFonts w:hint="eastAsia" w:ascii="宋体" w:hAnsi="宋体" w:cs="宋体"/>
          <w:bCs w:val="0"/>
          <w:kern w:val="0"/>
          <w:sz w:val="36"/>
          <w:szCs w:val="36"/>
        </w:rPr>
        <w:t>）</w:t>
      </w:r>
    </w:p>
    <w:p>
      <w:pPr>
        <w:pStyle w:val="3"/>
        <w:tabs>
          <w:tab w:val="left" w:pos="0"/>
          <w:tab w:val="left" w:pos="3165"/>
          <w:tab w:val="center" w:pos="4153"/>
        </w:tabs>
        <w:autoSpaceDE w:val="0"/>
        <w:autoSpaceDN w:val="0"/>
        <w:adjustRightInd w:val="0"/>
        <w:spacing w:before="0" w:after="0" w:line="500" w:lineRule="exact"/>
        <w:jc w:val="center"/>
        <w:rPr>
          <w:rFonts w:ascii="宋体" w:hAnsi="宋体" w:cs="宋体"/>
          <w:szCs w:val="21"/>
        </w:rPr>
      </w:pPr>
      <w:r>
        <w:rPr>
          <w:rFonts w:hint="eastAsia" w:ascii="宋体" w:hAnsi="宋体" w:cs="宋体"/>
          <w:bCs w:val="0"/>
          <w:kern w:val="2"/>
          <w:sz w:val="36"/>
          <w:szCs w:val="36"/>
        </w:rPr>
        <w:t>招标公告</w:t>
      </w:r>
    </w:p>
    <w:p>
      <w:pPr>
        <w:spacing w:line="360" w:lineRule="auto"/>
        <w:rPr>
          <w:rFonts w:ascii="宋体" w:hAnsi="宋体" w:cs="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结构生物学配套平台仪器设备采购</w:t>
      </w:r>
      <w:r>
        <w:rPr>
          <w:rFonts w:hint="eastAsia" w:ascii="宋体" w:hAnsi="宋体" w:cs="宋体"/>
          <w:sz w:val="24"/>
        </w:rPr>
        <w:t>招标项目的潜在投标人应在“政采云”平台（</w:t>
      </w:r>
      <w:r>
        <w:fldChar w:fldCharType="begin"/>
      </w:r>
      <w:r>
        <w:instrText xml:space="preserve"> HYPERLINK "https://www.zcygov.cn/）获取（下载）招标文件，并于2023年" </w:instrText>
      </w:r>
      <w:r>
        <w:fldChar w:fldCharType="separate"/>
      </w:r>
      <w:r>
        <w:rPr>
          <w:rStyle w:val="54"/>
          <w:rFonts w:hint="eastAsia" w:ascii="宋体" w:hAnsi="宋体" w:cs="宋体"/>
          <w:color w:val="auto"/>
          <w:sz w:val="24"/>
        </w:rPr>
        <w:t>https://www.zcygov.cn/）获取（下载）招标文件，并于</w:t>
      </w:r>
      <w:r>
        <w:rPr>
          <w:rStyle w:val="54"/>
          <w:rFonts w:hint="eastAsia" w:ascii="宋体" w:hAnsi="宋体" w:cs="宋体"/>
          <w:bCs/>
          <w:color w:val="auto"/>
          <w:sz w:val="24"/>
        </w:rPr>
        <w:t>2023年</w:t>
      </w:r>
      <w:r>
        <w:rPr>
          <w:rStyle w:val="54"/>
          <w:rFonts w:hint="eastAsia" w:ascii="宋体" w:hAnsi="宋体" w:cs="宋体"/>
          <w:bCs/>
          <w:color w:val="auto"/>
          <w:sz w:val="24"/>
        </w:rPr>
        <w:fldChar w:fldCharType="end"/>
      </w:r>
      <w:r>
        <w:rPr>
          <w:rFonts w:hint="eastAsia" w:ascii="宋体" w:hAnsi="宋体" w:cs="宋体"/>
          <w:bCs/>
          <w:sz w:val="24"/>
          <w:lang w:eastAsia="zh-CN"/>
        </w:rPr>
        <w:t>8月31日9时</w:t>
      </w:r>
      <w:r>
        <w:rPr>
          <w:rFonts w:hint="eastAsia" w:ascii="宋体" w:hAnsi="宋体" w:cs="宋体"/>
          <w:bCs/>
          <w:sz w:val="24"/>
          <w:lang w:val="en-US" w:eastAsia="zh-CN"/>
        </w:rPr>
        <w:t>0</w:t>
      </w:r>
      <w:r>
        <w:rPr>
          <w:rFonts w:hint="eastAsia" w:ascii="宋体" w:hAnsi="宋体" w:cs="宋体"/>
          <w:bCs/>
          <w:sz w:val="24"/>
        </w:rPr>
        <w:t>分（北京时间）前递交投标文件</w:t>
      </w:r>
      <w:r>
        <w:rPr>
          <w:rFonts w:hint="eastAsia" w:ascii="宋体" w:hAnsi="宋体" w:cs="宋体"/>
          <w:sz w:val="24"/>
        </w:rPr>
        <w:t>。</w:t>
      </w:r>
    </w:p>
    <w:p>
      <w:pPr>
        <w:spacing w:line="360" w:lineRule="auto"/>
        <w:rPr>
          <w:rFonts w:ascii="宋体" w:hAnsi="宋体" w:cs="宋体"/>
          <w:sz w:val="24"/>
        </w:rPr>
      </w:pPr>
    </w:p>
    <w:p>
      <w:pPr>
        <w:spacing w:line="360" w:lineRule="auto"/>
        <w:rPr>
          <w:rFonts w:ascii="宋体" w:hAnsi="宋体" w:cs="宋体"/>
          <w:b/>
          <w:bCs/>
          <w:sz w:val="24"/>
        </w:rPr>
      </w:pPr>
      <w:bookmarkStart w:id="9" w:name="_Toc28359002"/>
      <w:bookmarkStart w:id="10" w:name="_Toc28359079"/>
      <w:bookmarkStart w:id="11" w:name="_Toc35393790"/>
      <w:bookmarkStart w:id="12" w:name="_Toc35393621"/>
      <w:bookmarkStart w:id="13" w:name="_Hlk24379207"/>
      <w:r>
        <w:rPr>
          <w:rFonts w:hint="eastAsia" w:ascii="宋体" w:hAnsi="宋体" w:cs="宋体"/>
          <w:b/>
          <w:bCs/>
          <w:sz w:val="24"/>
        </w:rPr>
        <w:t>一、项目基本情况</w:t>
      </w:r>
      <w:bookmarkEnd w:id="9"/>
      <w:bookmarkEnd w:id="10"/>
      <w:bookmarkEnd w:id="11"/>
      <w:bookmarkEnd w:id="12"/>
    </w:p>
    <w:p>
      <w:pPr>
        <w:spacing w:line="360" w:lineRule="auto"/>
        <w:ind w:firstLine="480" w:firstLineChars="200"/>
        <w:rPr>
          <w:rFonts w:ascii="宋体" w:hAnsi="宋体" w:cs="宋体"/>
          <w:bCs/>
          <w:sz w:val="24"/>
        </w:rPr>
      </w:pPr>
      <w:r>
        <w:rPr>
          <w:rFonts w:hint="eastAsia" w:ascii="宋体" w:hAnsi="宋体" w:cs="宋体"/>
          <w:sz w:val="24"/>
        </w:rPr>
        <w:t>项目名称：结构生物学配套平台仪器设备采购</w:t>
      </w:r>
      <w:r>
        <w:rPr>
          <w:rFonts w:ascii="宋体" w:hAnsi="宋体" w:cs="宋体"/>
          <w:bCs/>
          <w:sz w:val="24"/>
        </w:rPr>
        <w:t xml:space="preserve">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GXZC2023-G1-002832-KWZB</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采购计划编号：广西政采[2023]14652号-001</w:t>
      </w:r>
      <w:r>
        <w:rPr>
          <w:rFonts w:hint="eastAsia" w:ascii="宋体" w:hAnsi="宋体" w:cs="宋体"/>
          <w:sz w:val="24"/>
          <w:lang w:eastAsia="zh-CN"/>
        </w:rPr>
        <w:t>、</w:t>
      </w:r>
      <w:r>
        <w:rPr>
          <w:rFonts w:hint="eastAsia" w:ascii="宋体" w:hAnsi="宋体" w:cs="宋体"/>
          <w:sz w:val="24"/>
        </w:rPr>
        <w:t>广西政采[2023]14652号-002</w:t>
      </w:r>
      <w:r>
        <w:rPr>
          <w:rFonts w:hint="eastAsia" w:ascii="宋体" w:hAnsi="宋体" w:cs="宋体"/>
          <w:sz w:val="24"/>
          <w:lang w:eastAsia="zh-CN"/>
        </w:rPr>
        <w:t>、广西政采[2023]14652号-003</w:t>
      </w:r>
    </w:p>
    <w:bookmarkEnd w:id="13"/>
    <w:p>
      <w:pPr>
        <w:spacing w:line="360" w:lineRule="auto"/>
        <w:ind w:firstLine="480" w:firstLineChars="200"/>
        <w:rPr>
          <w:rFonts w:ascii="宋体" w:hAnsi="宋体" w:cs="宋体"/>
          <w:bCs/>
          <w:sz w:val="24"/>
        </w:rPr>
      </w:pPr>
      <w:r>
        <w:rPr>
          <w:rFonts w:hint="eastAsia" w:ascii="宋体" w:hAnsi="宋体" w:cs="宋体"/>
          <w:bCs/>
          <w:sz w:val="24"/>
        </w:rPr>
        <w:t>预算金额：515万元</w:t>
      </w:r>
    </w:p>
    <w:p>
      <w:pPr>
        <w:spacing w:line="360" w:lineRule="auto"/>
        <w:ind w:firstLine="480" w:firstLineChars="200"/>
        <w:rPr>
          <w:rFonts w:ascii="宋体" w:hAnsi="宋体" w:cs="宋体"/>
          <w:bCs/>
          <w:sz w:val="24"/>
        </w:rPr>
      </w:pPr>
      <w:r>
        <w:rPr>
          <w:rFonts w:hint="eastAsia" w:ascii="宋体" w:hAnsi="宋体" w:cs="宋体"/>
          <w:bCs/>
          <w:sz w:val="24"/>
        </w:rPr>
        <w:t>采购需求：</w:t>
      </w:r>
    </w:p>
    <w:tbl>
      <w:tblPr>
        <w:tblStyle w:val="4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81"/>
        <w:gridCol w:w="666"/>
        <w:gridCol w:w="754"/>
        <w:gridCol w:w="3532"/>
        <w:gridCol w:w="130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2" w:type="dxa"/>
            <w:vAlign w:val="center"/>
          </w:tcPr>
          <w:p>
            <w:pPr>
              <w:pStyle w:val="57"/>
              <w:jc w:val="center"/>
              <w:rPr>
                <w:rFonts w:ascii="宋体" w:hAnsi="宋体" w:cs="宋体"/>
                <w:sz w:val="24"/>
              </w:rPr>
            </w:pPr>
            <w:r>
              <w:rPr>
                <w:rFonts w:hint="eastAsia" w:ascii="宋体" w:hAnsi="宋体" w:cs="宋体"/>
                <w:sz w:val="24"/>
              </w:rPr>
              <w:t>序号</w:t>
            </w:r>
          </w:p>
        </w:tc>
        <w:tc>
          <w:tcPr>
            <w:tcW w:w="1181" w:type="dxa"/>
            <w:vAlign w:val="center"/>
          </w:tcPr>
          <w:p>
            <w:pPr>
              <w:pStyle w:val="57"/>
              <w:jc w:val="center"/>
              <w:rPr>
                <w:rFonts w:ascii="宋体" w:hAnsi="宋体" w:cs="宋体"/>
                <w:sz w:val="24"/>
              </w:rPr>
            </w:pPr>
            <w:r>
              <w:rPr>
                <w:rFonts w:hint="eastAsia" w:ascii="宋体" w:hAnsi="宋体" w:cs="宋体"/>
                <w:sz w:val="24"/>
              </w:rPr>
              <w:t>货物名称</w:t>
            </w:r>
          </w:p>
        </w:tc>
        <w:tc>
          <w:tcPr>
            <w:tcW w:w="666" w:type="dxa"/>
            <w:vAlign w:val="center"/>
          </w:tcPr>
          <w:p>
            <w:pPr>
              <w:pStyle w:val="57"/>
              <w:jc w:val="center"/>
              <w:rPr>
                <w:rFonts w:ascii="宋体" w:hAnsi="宋体" w:cs="宋体"/>
                <w:sz w:val="24"/>
                <w:szCs w:val="24"/>
              </w:rPr>
            </w:pPr>
            <w:r>
              <w:rPr>
                <w:rFonts w:hint="eastAsia" w:ascii="宋体" w:hAnsi="宋体" w:cs="宋体"/>
                <w:sz w:val="24"/>
                <w:szCs w:val="24"/>
              </w:rPr>
              <w:t>数量</w:t>
            </w:r>
          </w:p>
        </w:tc>
        <w:tc>
          <w:tcPr>
            <w:tcW w:w="754" w:type="dxa"/>
            <w:vAlign w:val="center"/>
          </w:tcPr>
          <w:p>
            <w:pPr>
              <w:pStyle w:val="57"/>
              <w:jc w:val="center"/>
              <w:rPr>
                <w:rFonts w:ascii="宋体" w:hAnsi="宋体" w:cs="宋体"/>
                <w:sz w:val="24"/>
                <w:szCs w:val="24"/>
              </w:rPr>
            </w:pPr>
            <w:r>
              <w:rPr>
                <w:rFonts w:hint="eastAsia" w:ascii="宋体" w:hAnsi="宋体" w:cs="宋体"/>
                <w:sz w:val="24"/>
                <w:szCs w:val="24"/>
              </w:rPr>
              <w:t>单位</w:t>
            </w:r>
          </w:p>
        </w:tc>
        <w:tc>
          <w:tcPr>
            <w:tcW w:w="3532" w:type="dxa"/>
            <w:vAlign w:val="center"/>
          </w:tcPr>
          <w:p>
            <w:pPr>
              <w:pStyle w:val="57"/>
              <w:jc w:val="center"/>
              <w:rPr>
                <w:rFonts w:ascii="宋体" w:hAnsi="宋体" w:cs="宋体"/>
                <w:sz w:val="24"/>
                <w:szCs w:val="24"/>
              </w:rPr>
            </w:pPr>
            <w:r>
              <w:rPr>
                <w:rFonts w:hint="eastAsia" w:ascii="宋体" w:hAnsi="宋体" w:cs="宋体"/>
                <w:sz w:val="24"/>
                <w:szCs w:val="24"/>
              </w:rPr>
              <w:t>技术参数摘要</w:t>
            </w:r>
          </w:p>
        </w:tc>
        <w:tc>
          <w:tcPr>
            <w:tcW w:w="1306" w:type="dxa"/>
            <w:vAlign w:val="center"/>
          </w:tcPr>
          <w:p>
            <w:pPr>
              <w:pStyle w:val="57"/>
              <w:jc w:val="center"/>
              <w:rPr>
                <w:rFonts w:ascii="宋体" w:hAnsi="宋体" w:cs="宋体"/>
                <w:sz w:val="24"/>
                <w:szCs w:val="24"/>
              </w:rPr>
            </w:pPr>
            <w:r>
              <w:rPr>
                <w:rFonts w:hint="eastAsia" w:ascii="宋体" w:hAnsi="宋体" w:cs="宋体"/>
                <w:sz w:val="24"/>
                <w:szCs w:val="24"/>
              </w:rPr>
              <w:t>预算单价</w:t>
            </w:r>
          </w:p>
          <w:p>
            <w:pPr>
              <w:pStyle w:val="57"/>
              <w:jc w:val="center"/>
              <w:rPr>
                <w:rFonts w:ascii="宋体" w:hAnsi="宋体" w:cs="宋体"/>
                <w:sz w:val="24"/>
                <w:szCs w:val="24"/>
              </w:rPr>
            </w:pPr>
            <w:r>
              <w:rPr>
                <w:rFonts w:hint="eastAsia" w:ascii="宋体" w:hAnsi="宋体" w:cs="宋体"/>
                <w:sz w:val="24"/>
                <w:szCs w:val="24"/>
              </w:rPr>
              <w:t>（人民币万元）</w:t>
            </w:r>
          </w:p>
        </w:tc>
        <w:tc>
          <w:tcPr>
            <w:tcW w:w="1306" w:type="dxa"/>
            <w:vAlign w:val="center"/>
          </w:tcPr>
          <w:p>
            <w:pPr>
              <w:pStyle w:val="57"/>
              <w:jc w:val="center"/>
              <w:rPr>
                <w:rFonts w:ascii="宋体" w:hAnsi="宋体" w:cs="宋体"/>
                <w:sz w:val="24"/>
                <w:szCs w:val="24"/>
              </w:rPr>
            </w:pPr>
            <w:r>
              <w:rPr>
                <w:rFonts w:hint="eastAsia" w:ascii="宋体" w:hAnsi="宋体" w:cs="宋体"/>
                <w:sz w:val="24"/>
                <w:szCs w:val="24"/>
              </w:rPr>
              <w:t>单项预算合计（人民币万元）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92" w:type="dxa"/>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181" w:type="dxa"/>
            <w:vAlign w:val="center"/>
          </w:tcPr>
          <w:p>
            <w:pPr>
              <w:rPr>
                <w:rFonts w:ascii="宋体" w:hAnsi="宋体" w:cs="宋体"/>
                <w:sz w:val="24"/>
              </w:rPr>
            </w:pPr>
            <w:r>
              <w:rPr>
                <w:rFonts w:hint="eastAsia" w:ascii="宋体" w:hAnsi="宋体" w:cs="宋体"/>
                <w:sz w:val="24"/>
              </w:rPr>
              <w:t>生物分子相互作用分析仪</w:t>
            </w:r>
          </w:p>
        </w:tc>
        <w:tc>
          <w:tcPr>
            <w:tcW w:w="666" w:type="dxa"/>
            <w:vAlign w:val="center"/>
          </w:tcPr>
          <w:p>
            <w:pPr>
              <w:widowControl/>
              <w:jc w:val="center"/>
              <w:textAlignment w:val="center"/>
              <w:rPr>
                <w:rFonts w:ascii="宋体" w:hAnsi="宋体" w:cs="宋体"/>
                <w:sz w:val="24"/>
              </w:rPr>
            </w:pPr>
            <w:r>
              <w:rPr>
                <w:rFonts w:hint="eastAsia" w:ascii="宋体" w:hAnsi="宋体" w:cs="宋体"/>
                <w:sz w:val="24"/>
              </w:rPr>
              <w:t>1</w:t>
            </w:r>
          </w:p>
        </w:tc>
        <w:tc>
          <w:tcPr>
            <w:tcW w:w="754" w:type="dxa"/>
            <w:vAlign w:val="center"/>
          </w:tcPr>
          <w:p>
            <w:pPr>
              <w:widowControl/>
              <w:rPr>
                <w:rFonts w:ascii="宋体" w:hAnsi="宋体" w:cs="宋体"/>
                <w:sz w:val="24"/>
              </w:rPr>
            </w:pPr>
            <w:r>
              <w:rPr>
                <w:rFonts w:hint="eastAsia" w:ascii="宋体" w:hAnsi="宋体" w:cs="宋体"/>
                <w:sz w:val="24"/>
              </w:rPr>
              <w:t>套</w:t>
            </w:r>
          </w:p>
        </w:tc>
        <w:tc>
          <w:tcPr>
            <w:tcW w:w="3532" w:type="dxa"/>
            <w:vAlign w:val="center"/>
          </w:tcPr>
          <w:p>
            <w:pPr>
              <w:widowControl/>
              <w:rPr>
                <w:sz w:val="24"/>
              </w:rPr>
            </w:pPr>
            <w:r>
              <w:rPr>
                <w:sz w:val="24"/>
              </w:rPr>
              <w:t>检测原理：表面等离子共振技术；</w:t>
            </w:r>
          </w:p>
          <w:p>
            <w:pPr>
              <w:widowControl/>
              <w:rPr>
                <w:rFonts w:ascii="宋体" w:hAnsi="宋体" w:cs="宋体"/>
                <w:sz w:val="24"/>
              </w:rPr>
            </w:pPr>
            <w:r>
              <w:rPr>
                <w:sz w:val="24"/>
              </w:rPr>
              <w:t>检测通道≥6，可独立或者配对使用；样品进样方式：≥3种</w:t>
            </w:r>
          </w:p>
        </w:tc>
        <w:tc>
          <w:tcPr>
            <w:tcW w:w="1306" w:type="dxa"/>
            <w:vAlign w:val="center"/>
          </w:tcPr>
          <w:p>
            <w:pPr>
              <w:widowControl/>
              <w:jc w:val="center"/>
              <w:textAlignment w:val="center"/>
              <w:rPr>
                <w:rFonts w:ascii="宋体" w:hAnsi="宋体" w:cs="宋体"/>
                <w:sz w:val="24"/>
              </w:rPr>
            </w:pPr>
            <w:r>
              <w:rPr>
                <w:rFonts w:hint="eastAsia" w:ascii="宋体" w:hAnsi="宋体" w:cs="宋体"/>
                <w:sz w:val="24"/>
              </w:rPr>
              <w:t>28</w:t>
            </w:r>
            <w:r>
              <w:rPr>
                <w:rFonts w:ascii="宋体" w:hAnsi="宋体" w:cs="宋体"/>
                <w:sz w:val="24"/>
              </w:rPr>
              <w:t>5</w:t>
            </w:r>
          </w:p>
        </w:tc>
        <w:tc>
          <w:tcPr>
            <w:tcW w:w="1306" w:type="dxa"/>
            <w:vAlign w:val="center"/>
          </w:tcPr>
          <w:p>
            <w:pPr>
              <w:widowControl/>
              <w:jc w:val="center"/>
              <w:textAlignment w:val="center"/>
              <w:rPr>
                <w:rFonts w:ascii="宋体" w:hAnsi="宋体" w:cs="宋体"/>
                <w:sz w:val="24"/>
              </w:rPr>
            </w:pPr>
            <w:r>
              <w:rPr>
                <w:rFonts w:hint="eastAsia" w:ascii="宋体" w:hAnsi="宋体" w:cs="宋体"/>
                <w:sz w:val="24"/>
              </w:rPr>
              <w:t>28</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2" w:type="dxa"/>
            <w:vAlign w:val="center"/>
          </w:tcPr>
          <w:p>
            <w:pPr>
              <w:widowControl/>
              <w:jc w:val="center"/>
              <w:rPr>
                <w:rFonts w:ascii="宋体" w:hAnsi="宋体" w:cs="宋体"/>
                <w:sz w:val="24"/>
              </w:rPr>
            </w:pPr>
            <w:r>
              <w:rPr>
                <w:rFonts w:hint="eastAsia" w:ascii="宋体" w:hAnsi="宋体" w:cs="宋体"/>
                <w:sz w:val="24"/>
              </w:rPr>
              <w:t>2</w:t>
            </w:r>
          </w:p>
        </w:tc>
        <w:tc>
          <w:tcPr>
            <w:tcW w:w="1181" w:type="dxa"/>
            <w:vAlign w:val="center"/>
          </w:tcPr>
          <w:p>
            <w:pPr>
              <w:widowControl/>
              <w:jc w:val="left"/>
              <w:rPr>
                <w:rFonts w:ascii="宋体" w:hAnsi="宋体" w:cs="宋体"/>
                <w:sz w:val="24"/>
              </w:rPr>
            </w:pPr>
            <w:r>
              <w:rPr>
                <w:rFonts w:hint="eastAsia" w:ascii="宋体" w:hAnsi="宋体" w:cs="宋体"/>
                <w:sz w:val="24"/>
              </w:rPr>
              <w:t>纳流/微流蛋白分析仪</w:t>
            </w:r>
          </w:p>
        </w:tc>
        <w:tc>
          <w:tcPr>
            <w:tcW w:w="666" w:type="dxa"/>
            <w:vAlign w:val="center"/>
          </w:tcPr>
          <w:p>
            <w:pPr>
              <w:widowControl/>
              <w:jc w:val="center"/>
              <w:textAlignment w:val="center"/>
              <w:rPr>
                <w:rFonts w:ascii="宋体" w:hAnsi="宋体" w:cs="宋体"/>
                <w:sz w:val="24"/>
              </w:rPr>
            </w:pPr>
            <w:r>
              <w:rPr>
                <w:rFonts w:hint="eastAsia" w:ascii="宋体" w:hAnsi="宋体" w:cs="宋体"/>
                <w:sz w:val="24"/>
              </w:rPr>
              <w:t>1</w:t>
            </w:r>
          </w:p>
        </w:tc>
        <w:tc>
          <w:tcPr>
            <w:tcW w:w="754" w:type="dxa"/>
            <w:vAlign w:val="center"/>
          </w:tcPr>
          <w:p>
            <w:pPr>
              <w:widowControl/>
              <w:jc w:val="center"/>
              <w:textAlignment w:val="center"/>
              <w:rPr>
                <w:rFonts w:ascii="宋体" w:hAnsi="宋体" w:cs="宋体"/>
                <w:sz w:val="24"/>
              </w:rPr>
            </w:pPr>
            <w:r>
              <w:rPr>
                <w:rFonts w:hint="eastAsia" w:ascii="宋体" w:hAnsi="宋体" w:cs="宋体"/>
                <w:sz w:val="24"/>
              </w:rPr>
              <w:t>套</w:t>
            </w:r>
          </w:p>
        </w:tc>
        <w:tc>
          <w:tcPr>
            <w:tcW w:w="3532" w:type="dxa"/>
            <w:vAlign w:val="center"/>
          </w:tcPr>
          <w:p>
            <w:pPr>
              <w:widowControl/>
              <w:jc w:val="center"/>
              <w:textAlignment w:val="center"/>
              <w:rPr>
                <w:rFonts w:ascii="宋体" w:hAnsi="宋体" w:cs="宋体"/>
                <w:sz w:val="24"/>
              </w:rPr>
            </w:pPr>
            <w:r>
              <w:rPr>
                <w:rFonts w:hint="eastAsia" w:ascii="宋体" w:hAnsi="宋体" w:cs="宋体"/>
                <w:sz w:val="24"/>
              </w:rPr>
              <w:t>压力范围：0-860 bar (纳升泵) ；0-620Bar (上样泵)</w:t>
            </w:r>
          </w:p>
        </w:tc>
        <w:tc>
          <w:tcPr>
            <w:tcW w:w="1306" w:type="dxa"/>
            <w:vAlign w:val="center"/>
          </w:tcPr>
          <w:p>
            <w:pPr>
              <w:widowControl/>
              <w:jc w:val="center"/>
              <w:textAlignment w:val="center"/>
              <w:rPr>
                <w:rFonts w:ascii="宋体" w:hAnsi="宋体" w:cs="宋体"/>
                <w:sz w:val="24"/>
              </w:rPr>
            </w:pPr>
            <w:r>
              <w:rPr>
                <w:rFonts w:hint="eastAsia" w:ascii="宋体" w:hAnsi="宋体" w:cs="宋体"/>
                <w:sz w:val="24"/>
              </w:rPr>
              <w:t>70</w:t>
            </w:r>
          </w:p>
        </w:tc>
        <w:tc>
          <w:tcPr>
            <w:tcW w:w="1306" w:type="dxa"/>
            <w:vAlign w:val="center"/>
          </w:tcPr>
          <w:p>
            <w:pPr>
              <w:widowControl/>
              <w:jc w:val="center"/>
              <w:textAlignment w:val="center"/>
              <w:rPr>
                <w:rFonts w:ascii="宋体" w:hAnsi="宋体" w:cs="宋体"/>
                <w:sz w:val="24"/>
              </w:rPr>
            </w:pPr>
            <w:r>
              <w:rPr>
                <w:rFonts w:hint="eastAsia"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2" w:type="dxa"/>
            <w:vAlign w:val="center"/>
          </w:tcPr>
          <w:p>
            <w:pPr>
              <w:widowControl/>
              <w:jc w:val="center"/>
              <w:textAlignment w:val="center"/>
              <w:rPr>
                <w:rFonts w:ascii="宋体" w:hAnsi="宋体" w:cs="宋体"/>
                <w:sz w:val="24"/>
              </w:rPr>
            </w:pPr>
            <w:r>
              <w:rPr>
                <w:rFonts w:hint="eastAsia" w:ascii="宋体" w:hAnsi="宋体" w:cs="宋体"/>
                <w:sz w:val="24"/>
              </w:rPr>
              <w:t>3</w:t>
            </w:r>
          </w:p>
        </w:tc>
        <w:tc>
          <w:tcPr>
            <w:tcW w:w="1181" w:type="dxa"/>
            <w:vAlign w:val="center"/>
          </w:tcPr>
          <w:p>
            <w:pPr>
              <w:widowControl/>
              <w:jc w:val="left"/>
              <w:rPr>
                <w:rFonts w:ascii="宋体" w:hAnsi="宋体" w:cs="宋体"/>
                <w:sz w:val="24"/>
              </w:rPr>
            </w:pPr>
            <w:r>
              <w:rPr>
                <w:rFonts w:hint="eastAsia" w:ascii="宋体" w:hAnsi="宋体" w:cs="宋体"/>
                <w:sz w:val="24"/>
              </w:rPr>
              <w:t>微量分子互作分析仪</w:t>
            </w:r>
          </w:p>
        </w:tc>
        <w:tc>
          <w:tcPr>
            <w:tcW w:w="666" w:type="dxa"/>
            <w:vAlign w:val="center"/>
          </w:tcPr>
          <w:p>
            <w:pPr>
              <w:widowControl/>
              <w:jc w:val="center"/>
              <w:rPr>
                <w:rFonts w:ascii="宋体" w:hAnsi="宋体" w:cs="宋体"/>
                <w:sz w:val="24"/>
              </w:rPr>
            </w:pPr>
            <w:r>
              <w:rPr>
                <w:rFonts w:hint="eastAsia" w:ascii="宋体" w:hAnsi="宋体" w:cs="宋体"/>
                <w:sz w:val="24"/>
              </w:rPr>
              <w:t>1</w:t>
            </w:r>
          </w:p>
        </w:tc>
        <w:tc>
          <w:tcPr>
            <w:tcW w:w="754" w:type="dxa"/>
            <w:vAlign w:val="center"/>
          </w:tcPr>
          <w:p>
            <w:pPr>
              <w:widowControl/>
              <w:jc w:val="center"/>
              <w:rPr>
                <w:rFonts w:ascii="宋体" w:hAnsi="宋体" w:cs="宋体"/>
                <w:sz w:val="24"/>
              </w:rPr>
            </w:pPr>
            <w:r>
              <w:rPr>
                <w:rFonts w:hint="eastAsia" w:ascii="宋体" w:hAnsi="宋体" w:cs="宋体"/>
                <w:sz w:val="24"/>
              </w:rPr>
              <w:t>套</w:t>
            </w:r>
          </w:p>
        </w:tc>
        <w:tc>
          <w:tcPr>
            <w:tcW w:w="3532" w:type="dxa"/>
            <w:vAlign w:val="center"/>
          </w:tcPr>
          <w:p>
            <w:pPr>
              <w:widowControl/>
              <w:jc w:val="center"/>
              <w:rPr>
                <w:rFonts w:ascii="宋体" w:hAnsi="宋体" w:cs="宋体"/>
                <w:sz w:val="24"/>
              </w:rPr>
            </w:pPr>
            <w:r>
              <w:rPr>
                <w:rFonts w:hint="eastAsia" w:ascii="宋体" w:hAnsi="宋体" w:cs="宋体"/>
                <w:sz w:val="24"/>
              </w:rPr>
              <w:t>测定样品的分子量范围：40-10</w:t>
            </w:r>
            <w:r>
              <w:rPr>
                <w:rFonts w:hint="eastAsia" w:ascii="宋体" w:hAnsi="宋体" w:cs="宋体"/>
                <w:sz w:val="24"/>
                <w:vertAlign w:val="superscript"/>
              </w:rPr>
              <w:t>7</w:t>
            </w:r>
            <w:r>
              <w:rPr>
                <w:rFonts w:hint="eastAsia" w:ascii="宋体" w:hAnsi="宋体" w:cs="宋体"/>
                <w:sz w:val="24"/>
              </w:rPr>
              <w:t xml:space="preserve"> Da</w:t>
            </w:r>
          </w:p>
        </w:tc>
        <w:tc>
          <w:tcPr>
            <w:tcW w:w="1306" w:type="dxa"/>
            <w:vAlign w:val="center"/>
          </w:tcPr>
          <w:p>
            <w:pPr>
              <w:widowControl/>
              <w:jc w:val="center"/>
              <w:rPr>
                <w:rFonts w:ascii="宋体" w:hAnsi="宋体" w:cs="宋体"/>
                <w:sz w:val="24"/>
              </w:rPr>
            </w:pPr>
            <w:r>
              <w:rPr>
                <w:rFonts w:hint="eastAsia" w:ascii="宋体" w:hAnsi="宋体" w:cs="宋体"/>
                <w:sz w:val="24"/>
              </w:rPr>
              <w:t>160</w:t>
            </w:r>
          </w:p>
        </w:tc>
        <w:tc>
          <w:tcPr>
            <w:tcW w:w="1306" w:type="dxa"/>
            <w:vAlign w:val="center"/>
          </w:tcPr>
          <w:p>
            <w:pPr>
              <w:widowControl/>
              <w:jc w:val="center"/>
              <w:rPr>
                <w:rFonts w:ascii="宋体" w:hAnsi="宋体" w:cs="宋体"/>
                <w:sz w:val="24"/>
              </w:rPr>
            </w:pPr>
            <w:r>
              <w:rPr>
                <w:rFonts w:hint="eastAsia" w:ascii="宋体" w:hAnsi="宋体" w:cs="宋体"/>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5" w:type="dxa"/>
            <w:gridSpan w:val="5"/>
            <w:vAlign w:val="center"/>
          </w:tcPr>
          <w:p>
            <w:pPr>
              <w:widowControl/>
              <w:jc w:val="center"/>
              <w:rPr>
                <w:rFonts w:ascii="宋体" w:hAnsi="宋体" w:cs="宋体"/>
                <w:sz w:val="24"/>
              </w:rPr>
            </w:pPr>
            <w:r>
              <w:rPr>
                <w:rFonts w:hint="eastAsia" w:ascii="宋体" w:hAnsi="宋体" w:cs="宋体"/>
                <w:sz w:val="24"/>
              </w:rPr>
              <w:t>合计</w:t>
            </w:r>
          </w:p>
        </w:tc>
        <w:tc>
          <w:tcPr>
            <w:tcW w:w="1306" w:type="dxa"/>
            <w:vAlign w:val="center"/>
          </w:tcPr>
          <w:p>
            <w:pPr>
              <w:widowControl/>
              <w:jc w:val="center"/>
              <w:rPr>
                <w:rFonts w:ascii="宋体" w:hAnsi="宋体" w:cs="宋体"/>
                <w:sz w:val="24"/>
              </w:rPr>
            </w:pPr>
            <w:r>
              <w:rPr>
                <w:rFonts w:hint="eastAsia" w:ascii="宋体" w:hAnsi="宋体" w:cs="宋体"/>
                <w:sz w:val="24"/>
              </w:rPr>
              <w:t>515</w:t>
            </w:r>
          </w:p>
        </w:tc>
        <w:tc>
          <w:tcPr>
            <w:tcW w:w="1306" w:type="dxa"/>
            <w:vAlign w:val="center"/>
          </w:tcPr>
          <w:p>
            <w:pPr>
              <w:widowControl/>
              <w:jc w:val="center"/>
              <w:rPr>
                <w:rFonts w:ascii="宋体" w:hAnsi="宋体" w:cs="宋体"/>
                <w:sz w:val="24"/>
              </w:rPr>
            </w:pPr>
            <w:r>
              <w:rPr>
                <w:rFonts w:hint="eastAsia" w:ascii="宋体" w:hAnsi="宋体" w:cs="宋体"/>
                <w:sz w:val="24"/>
              </w:rPr>
              <w:t>515</w:t>
            </w:r>
          </w:p>
        </w:tc>
      </w:tr>
    </w:tbl>
    <w:p>
      <w:pPr>
        <w:spacing w:line="360" w:lineRule="auto"/>
        <w:ind w:firstLine="480" w:firstLineChars="200"/>
        <w:rPr>
          <w:rFonts w:ascii="宋体" w:hAnsi="宋体" w:cs="宋体"/>
          <w:bCs/>
          <w:sz w:val="24"/>
        </w:rPr>
      </w:pPr>
      <w:r>
        <w:rPr>
          <w:rFonts w:hint="eastAsia" w:ascii="宋体" w:hAnsi="宋体" w:cs="宋体"/>
          <w:bCs/>
          <w:sz w:val="24"/>
        </w:rPr>
        <w:t>详见第二章采购需求表。</w:t>
      </w:r>
    </w:p>
    <w:p>
      <w:pPr>
        <w:spacing w:line="360" w:lineRule="auto"/>
        <w:ind w:firstLine="480" w:firstLineChars="200"/>
        <w:rPr>
          <w:rFonts w:ascii="宋体" w:hAnsi="宋体" w:cs="宋体"/>
          <w:bCs/>
          <w:sz w:val="24"/>
        </w:rPr>
      </w:pPr>
      <w:r>
        <w:rPr>
          <w:rFonts w:hint="eastAsia" w:ascii="宋体" w:hAnsi="宋体" w:cs="宋体"/>
          <w:sz w:val="24"/>
        </w:rPr>
        <w:t>合同履行期限：详见商务条款</w:t>
      </w:r>
      <w:r>
        <w:rPr>
          <w:rFonts w:hint="eastAsia" w:ascii="宋体" w:hAnsi="宋体" w:cs="宋体"/>
          <w:bCs/>
          <w:sz w:val="24"/>
        </w:rPr>
        <w:t>。</w:t>
      </w:r>
    </w:p>
    <w:p>
      <w:pPr>
        <w:spacing w:line="360" w:lineRule="auto"/>
        <w:ind w:firstLine="482" w:firstLineChars="200"/>
        <w:rPr>
          <w:rFonts w:ascii="宋体" w:hAnsi="宋体" w:cs="宋体"/>
          <w:b/>
          <w:sz w:val="24"/>
        </w:rPr>
      </w:pPr>
      <w:r>
        <w:rPr>
          <w:rFonts w:hint="eastAsia" w:ascii="宋体" w:hAnsi="宋体" w:cs="宋体"/>
          <w:b/>
          <w:sz w:val="24"/>
        </w:rPr>
        <w:t>本项目是否接受联合体投标：否。</w:t>
      </w:r>
    </w:p>
    <w:p>
      <w:pPr>
        <w:spacing w:line="360" w:lineRule="auto"/>
        <w:rPr>
          <w:rFonts w:ascii="宋体" w:hAnsi="宋体" w:cs="宋体"/>
          <w:b/>
          <w:bCs/>
          <w:sz w:val="24"/>
        </w:rPr>
      </w:pPr>
      <w:bookmarkStart w:id="14" w:name="_Toc35393791"/>
      <w:bookmarkStart w:id="15" w:name="_Toc28359080"/>
      <w:bookmarkStart w:id="16" w:name="_Toc35393622"/>
      <w:bookmarkStart w:id="17" w:name="_Toc28359003"/>
      <w:r>
        <w:rPr>
          <w:rFonts w:hint="eastAsia" w:ascii="宋体" w:hAnsi="宋体" w:cs="宋体"/>
          <w:b/>
          <w:bCs/>
          <w:sz w:val="24"/>
        </w:rPr>
        <w:t>二、申请人的资格要求：</w:t>
      </w:r>
      <w:bookmarkEnd w:id="14"/>
      <w:bookmarkEnd w:id="15"/>
      <w:bookmarkEnd w:id="16"/>
      <w:bookmarkEnd w:id="17"/>
    </w:p>
    <w:p>
      <w:pPr>
        <w:spacing w:line="360" w:lineRule="auto"/>
        <w:ind w:firstLine="480" w:firstLineChars="200"/>
        <w:rPr>
          <w:rFonts w:ascii="宋体" w:hAnsi="宋体" w:cs="宋体"/>
          <w:sz w:val="24"/>
        </w:rPr>
      </w:pPr>
      <w:bookmarkStart w:id="18" w:name="_Hlk51746371"/>
      <w:r>
        <w:rPr>
          <w:rFonts w:hint="eastAsia" w:ascii="宋体" w:hAnsi="宋体" w:cs="宋体"/>
          <w:sz w:val="24"/>
        </w:rPr>
        <w:t>1.满足《中华人民共和国政府采购法》第二十二条规定；</w:t>
      </w:r>
    </w:p>
    <w:p>
      <w:pPr>
        <w:spacing w:line="360" w:lineRule="auto"/>
        <w:ind w:firstLine="480" w:firstLineChars="200"/>
        <w:rPr>
          <w:rFonts w:ascii="宋体" w:hAnsi="宋体"/>
          <w:sz w:val="24"/>
        </w:rPr>
      </w:pPr>
      <w:bookmarkStart w:id="19" w:name="_Toc28359081"/>
      <w:bookmarkStart w:id="20" w:name="_Toc28359004"/>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pPr>
        <w:spacing w:line="360" w:lineRule="auto"/>
        <w:ind w:firstLine="480" w:firstLineChars="200"/>
        <w:rPr>
          <w:rFonts w:ascii="宋体" w:hAnsi="宋体" w:cs="宋体"/>
          <w:sz w:val="24"/>
        </w:rPr>
      </w:pPr>
      <w:r>
        <w:rPr>
          <w:rFonts w:hint="eastAsia" w:ascii="宋体" w:hAnsi="宋体" w:cs="宋体"/>
          <w:sz w:val="24"/>
        </w:rPr>
        <w:t>3.本项目的特定资格要求：</w:t>
      </w:r>
      <w:bookmarkEnd w:id="18"/>
      <w:r>
        <w:rPr>
          <w:rFonts w:hint="eastAsia" w:ascii="宋体" w:hAnsi="宋体" w:cs="宋体"/>
          <w:sz w:val="24"/>
        </w:rPr>
        <w:t>无。</w:t>
      </w:r>
    </w:p>
    <w:p>
      <w:pPr>
        <w:spacing w:line="360" w:lineRule="auto"/>
        <w:rPr>
          <w:rFonts w:ascii="宋体" w:hAnsi="宋体" w:cs="宋体"/>
          <w:b/>
          <w:bCs/>
          <w:sz w:val="24"/>
        </w:rPr>
      </w:pPr>
      <w:bookmarkStart w:id="21" w:name="_Toc35393792"/>
      <w:bookmarkStart w:id="22" w:name="_Toc35393623"/>
      <w:r>
        <w:rPr>
          <w:rFonts w:hint="eastAsia" w:ascii="宋体" w:hAnsi="宋体" w:cs="宋体"/>
          <w:b/>
          <w:bCs/>
          <w:sz w:val="24"/>
        </w:rPr>
        <w:t>三、获取招标文件</w:t>
      </w:r>
      <w:bookmarkEnd w:id="19"/>
      <w:bookmarkEnd w:id="20"/>
      <w:bookmarkEnd w:id="21"/>
      <w:bookmarkEnd w:id="22"/>
    </w:p>
    <w:p>
      <w:pPr>
        <w:spacing w:line="360" w:lineRule="auto"/>
        <w:ind w:firstLine="480" w:firstLineChars="200"/>
        <w:rPr>
          <w:rFonts w:ascii="宋体" w:hAnsi="宋体" w:cs="宋体"/>
          <w:bCs/>
          <w:kern w:val="0"/>
          <w:sz w:val="24"/>
        </w:rPr>
      </w:pPr>
      <w:r>
        <w:rPr>
          <w:rFonts w:hint="eastAsia" w:ascii="宋体" w:hAnsi="宋体" w:cs="宋体"/>
          <w:bCs/>
          <w:kern w:val="0"/>
          <w:sz w:val="24"/>
        </w:rPr>
        <w:t>时间：2023</w:t>
      </w:r>
      <w:r>
        <w:rPr>
          <w:rFonts w:ascii="宋体" w:hAnsi="宋体" w:cs="宋体"/>
          <w:sz w:val="24"/>
        </w:rPr>
        <w:t>年</w:t>
      </w:r>
      <w:r>
        <w:rPr>
          <w:rFonts w:hint="eastAsia" w:ascii="宋体" w:hAnsi="宋体" w:cs="宋体"/>
          <w:sz w:val="24"/>
          <w:lang w:val="en-US" w:eastAsia="zh-CN"/>
        </w:rPr>
        <w:t>8</w:t>
      </w:r>
      <w:r>
        <w:rPr>
          <w:rFonts w:ascii="宋体" w:hAnsi="宋体" w:cs="宋体"/>
          <w:sz w:val="24"/>
        </w:rPr>
        <w:t>月</w:t>
      </w:r>
      <w:r>
        <w:rPr>
          <w:rFonts w:hint="eastAsia" w:ascii="宋体" w:hAnsi="宋体" w:cs="宋体"/>
          <w:sz w:val="24"/>
          <w:lang w:val="en-US" w:eastAsia="zh-CN"/>
        </w:rPr>
        <w:t>11</w:t>
      </w:r>
      <w:r>
        <w:rPr>
          <w:rFonts w:ascii="宋体" w:hAnsi="宋体" w:cs="宋体"/>
          <w:sz w:val="24"/>
        </w:rPr>
        <w:t>日至</w:t>
      </w:r>
      <w:r>
        <w:rPr>
          <w:rFonts w:hint="eastAsia" w:ascii="宋体" w:hAnsi="宋体" w:cs="宋体"/>
          <w:sz w:val="24"/>
        </w:rPr>
        <w:t>2023</w:t>
      </w:r>
      <w:r>
        <w:rPr>
          <w:rFonts w:ascii="宋体" w:hAnsi="宋体" w:cs="宋体"/>
          <w:sz w:val="24"/>
        </w:rPr>
        <w:t>年</w:t>
      </w:r>
      <w:r>
        <w:rPr>
          <w:rFonts w:hint="eastAsia" w:ascii="宋体" w:hAnsi="宋体" w:cs="宋体"/>
          <w:sz w:val="24"/>
          <w:lang w:val="en-US" w:eastAsia="zh-CN"/>
        </w:rPr>
        <w:t>8</w:t>
      </w:r>
      <w:r>
        <w:rPr>
          <w:rFonts w:ascii="宋体" w:hAnsi="宋体" w:cs="宋体"/>
          <w:sz w:val="24"/>
        </w:rPr>
        <w:t>月</w:t>
      </w:r>
      <w:r>
        <w:rPr>
          <w:rFonts w:hint="eastAsia" w:ascii="宋体" w:hAnsi="宋体" w:cs="宋体"/>
          <w:sz w:val="24"/>
          <w:lang w:val="en-US" w:eastAsia="zh-CN"/>
        </w:rPr>
        <w:t>18</w:t>
      </w:r>
      <w:r>
        <w:rPr>
          <w:rFonts w:ascii="宋体" w:hAnsi="宋体" w:cs="宋体"/>
          <w:sz w:val="24"/>
        </w:rPr>
        <w:t>日</w:t>
      </w:r>
      <w:r>
        <w:rPr>
          <w:rFonts w:hint="eastAsia" w:ascii="宋体" w:hAnsi="宋体" w:cs="宋体"/>
          <w:sz w:val="24"/>
        </w:rPr>
        <w:t>，</w:t>
      </w:r>
      <w:r>
        <w:rPr>
          <w:rFonts w:ascii="宋体" w:hAnsi="宋体" w:cs="宋体"/>
          <w:sz w:val="24"/>
        </w:rPr>
        <w:t>每天上午00</w:t>
      </w:r>
      <w:r>
        <w:rPr>
          <w:rFonts w:hint="eastAsia" w:ascii="宋体" w:hAnsi="宋体" w:cs="宋体"/>
          <w:sz w:val="24"/>
        </w:rPr>
        <w:t>:</w:t>
      </w:r>
      <w:r>
        <w:rPr>
          <w:rFonts w:ascii="宋体" w:hAnsi="宋体" w:cs="宋体"/>
          <w:sz w:val="24"/>
        </w:rPr>
        <w:t>00至12</w:t>
      </w:r>
      <w:r>
        <w:rPr>
          <w:rFonts w:hint="eastAsia" w:ascii="宋体" w:hAnsi="宋体" w:cs="宋体"/>
          <w:sz w:val="24"/>
        </w:rPr>
        <w:t>:</w:t>
      </w:r>
      <w:r>
        <w:rPr>
          <w:rFonts w:ascii="宋体" w:hAnsi="宋体" w:cs="宋体"/>
          <w:sz w:val="24"/>
        </w:rPr>
        <w:t>00 ，下午12</w:t>
      </w:r>
      <w:r>
        <w:rPr>
          <w:rFonts w:hint="eastAsia" w:ascii="宋体" w:hAnsi="宋体" w:cs="宋体"/>
          <w:sz w:val="24"/>
        </w:rPr>
        <w:t>:</w:t>
      </w:r>
      <w:r>
        <w:rPr>
          <w:rFonts w:ascii="宋体" w:hAnsi="宋体" w:cs="宋体"/>
          <w:sz w:val="24"/>
        </w:rPr>
        <w:t>00至23</w:t>
      </w:r>
      <w:r>
        <w:rPr>
          <w:rFonts w:hint="eastAsia" w:ascii="宋体" w:hAnsi="宋体" w:cs="宋体"/>
          <w:sz w:val="24"/>
        </w:rPr>
        <w:t>:</w:t>
      </w:r>
      <w:r>
        <w:rPr>
          <w:rFonts w:ascii="宋体" w:hAnsi="宋体" w:cs="宋体"/>
          <w:sz w:val="24"/>
        </w:rPr>
        <w:t>59</w:t>
      </w:r>
      <w:r>
        <w:rPr>
          <w:rFonts w:hint="eastAsia" w:ascii="宋体" w:hAnsi="宋体" w:cs="宋体"/>
          <w:sz w:val="24"/>
        </w:rPr>
        <w:t>（北京时间，法定节假日除外）</w:t>
      </w:r>
    </w:p>
    <w:p>
      <w:pPr>
        <w:spacing w:line="360" w:lineRule="auto"/>
        <w:ind w:firstLine="480" w:firstLineChars="200"/>
        <w:rPr>
          <w:rFonts w:ascii="宋体" w:hAnsi="宋体" w:cs="宋体"/>
          <w:bCs/>
          <w:kern w:val="0"/>
          <w:sz w:val="24"/>
        </w:rPr>
      </w:pPr>
      <w:r>
        <w:rPr>
          <w:rFonts w:hint="eastAsia" w:ascii="宋体" w:hAnsi="宋体" w:cs="宋体"/>
          <w:bCs/>
          <w:kern w:val="0"/>
          <w:sz w:val="24"/>
        </w:rPr>
        <w:t>地点：“政采云”平台（http：//www.zcygov.cn）</w:t>
      </w:r>
    </w:p>
    <w:p>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 w:val="24"/>
        </w:rPr>
        <w:t>“政采云”平台（http：//www.zcygov.cn）下载招标文件（操作路径：登录“政采云”平台-项目采购-获取采购文件-找到本项目-点击“申请获取采购文件”），电子投标文件制作需要基于“政采云”平台获取的招标文件编制，通过其他方式获取招标文件的，将有可能导致供应商无法在“政采云”平台编制及上传投标文件。</w:t>
      </w:r>
    </w:p>
    <w:p>
      <w:pPr>
        <w:spacing w:line="360" w:lineRule="auto"/>
        <w:ind w:firstLine="480" w:firstLineChars="200"/>
        <w:rPr>
          <w:rFonts w:ascii="宋体" w:hAnsi="宋体" w:cs="宋体"/>
          <w:sz w:val="24"/>
        </w:rPr>
      </w:pPr>
      <w:r>
        <w:rPr>
          <w:rFonts w:hint="eastAsia" w:ascii="宋体" w:hAnsi="宋体" w:cs="宋体"/>
          <w:bCs/>
          <w:kern w:val="0"/>
          <w:sz w:val="24"/>
        </w:rPr>
        <w:t>售价：0元。</w:t>
      </w:r>
    </w:p>
    <w:p>
      <w:pPr>
        <w:spacing w:line="360" w:lineRule="auto"/>
        <w:rPr>
          <w:rFonts w:ascii="宋体" w:hAnsi="宋体" w:cs="宋体"/>
          <w:b/>
          <w:bCs/>
          <w:sz w:val="24"/>
        </w:rPr>
      </w:pPr>
      <w:bookmarkStart w:id="23" w:name="_Toc28359005"/>
      <w:bookmarkStart w:id="24" w:name="_Toc28359082"/>
      <w:bookmarkStart w:id="25" w:name="_Toc35393793"/>
      <w:bookmarkStart w:id="26" w:name="_Toc35393624"/>
      <w:r>
        <w:rPr>
          <w:rFonts w:hint="eastAsia" w:ascii="宋体" w:hAnsi="宋体" w:cs="宋体"/>
          <w:b/>
          <w:bCs/>
          <w:sz w:val="24"/>
        </w:rPr>
        <w:t>四、提交投标文件</w:t>
      </w:r>
      <w:bookmarkEnd w:id="23"/>
      <w:bookmarkEnd w:id="24"/>
      <w:r>
        <w:rPr>
          <w:rFonts w:hint="eastAsia" w:ascii="宋体" w:hAnsi="宋体" w:cs="宋体"/>
          <w:b/>
          <w:bCs/>
          <w:sz w:val="24"/>
        </w:rPr>
        <w:t>截止时间、开标时间和地点</w:t>
      </w:r>
      <w:bookmarkEnd w:id="25"/>
      <w:bookmarkEnd w:id="26"/>
    </w:p>
    <w:p>
      <w:pPr>
        <w:spacing w:line="360" w:lineRule="auto"/>
        <w:ind w:firstLine="480" w:firstLineChars="200"/>
        <w:rPr>
          <w:rFonts w:ascii="宋体" w:hAnsi="宋体" w:cs="宋体"/>
          <w:sz w:val="24"/>
        </w:rPr>
      </w:pPr>
      <w:bookmarkStart w:id="27" w:name="_Toc28359007"/>
      <w:bookmarkStart w:id="28" w:name="_Toc35393794"/>
      <w:bookmarkStart w:id="29" w:name="_Toc35393625"/>
      <w:bookmarkStart w:id="30" w:name="_Toc28359084"/>
      <w:r>
        <w:rPr>
          <w:rFonts w:hint="eastAsia" w:ascii="宋体" w:hAnsi="宋体" w:cs="宋体"/>
          <w:sz w:val="24"/>
        </w:rPr>
        <w:t>1.</w:t>
      </w:r>
      <w:r>
        <w:rPr>
          <w:rFonts w:hint="eastAsia" w:ascii="宋体" w:hAnsi="宋体" w:cs="宋体"/>
          <w:sz w:val="24"/>
          <w:lang w:bidi="ar"/>
        </w:rPr>
        <w:t>截止时间、开标时间</w:t>
      </w:r>
      <w:r>
        <w:rPr>
          <w:rFonts w:hint="eastAsia" w:ascii="宋体" w:hAnsi="宋体" w:cs="宋体"/>
          <w:sz w:val="24"/>
        </w:rPr>
        <w:t>：2023年</w:t>
      </w:r>
      <w:r>
        <w:rPr>
          <w:rFonts w:hint="eastAsia" w:ascii="宋体" w:hAnsi="宋体" w:cs="宋体"/>
          <w:bCs/>
          <w:sz w:val="24"/>
          <w:lang w:eastAsia="zh-CN"/>
        </w:rPr>
        <w:t>8月31日9时</w:t>
      </w:r>
      <w:r>
        <w:rPr>
          <w:rFonts w:hint="eastAsia" w:ascii="宋体" w:hAnsi="宋体" w:cs="宋体"/>
          <w:bCs/>
          <w:sz w:val="24"/>
          <w:lang w:val="en-US" w:eastAsia="zh-CN"/>
        </w:rPr>
        <w:t>0</w:t>
      </w:r>
      <w:r>
        <w:rPr>
          <w:rFonts w:hint="eastAsia" w:ascii="宋体" w:hAnsi="宋体" w:cs="宋体"/>
          <w:sz w:val="24"/>
        </w:rPr>
        <w:t>分（北京时间）</w:t>
      </w:r>
    </w:p>
    <w:p>
      <w:pPr>
        <w:spacing w:line="360" w:lineRule="auto"/>
        <w:ind w:firstLine="480" w:firstLineChars="200"/>
        <w:rPr>
          <w:rFonts w:ascii="宋体" w:hAnsi="宋体" w:cs="宋体"/>
          <w:sz w:val="24"/>
        </w:rPr>
      </w:pPr>
      <w:r>
        <w:rPr>
          <w:rFonts w:hint="eastAsia" w:ascii="宋体" w:hAnsi="宋体" w:cs="宋体"/>
          <w:sz w:val="24"/>
        </w:rPr>
        <w:t>2.地点：</w:t>
      </w:r>
      <w:r>
        <w:rPr>
          <w:rFonts w:hint="eastAsia" w:ascii="宋体" w:hAnsi="宋体" w:cs="宋体"/>
          <w:sz w:val="24"/>
          <w:lang w:bidi="ar"/>
        </w:rPr>
        <w:t>本项目将在“政采云”平台电子开标大厅解密、开标。</w:t>
      </w:r>
    </w:p>
    <w:p>
      <w:pPr>
        <w:spacing w:line="360" w:lineRule="auto"/>
        <w:rPr>
          <w:rFonts w:ascii="宋体" w:hAnsi="宋体" w:cs="宋体"/>
          <w:b/>
          <w:bCs/>
          <w:sz w:val="24"/>
        </w:rPr>
      </w:pPr>
      <w:r>
        <w:rPr>
          <w:rFonts w:hint="eastAsia" w:ascii="宋体" w:hAnsi="宋体" w:cs="宋体"/>
          <w:b/>
          <w:bCs/>
          <w:sz w:val="24"/>
        </w:rPr>
        <w:t>五、公告期限</w:t>
      </w:r>
      <w:bookmarkEnd w:id="27"/>
      <w:bookmarkEnd w:id="28"/>
      <w:bookmarkEnd w:id="29"/>
      <w:bookmarkEnd w:id="30"/>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360" w:lineRule="auto"/>
        <w:rPr>
          <w:rFonts w:ascii="宋体" w:hAnsi="宋体" w:cs="宋体"/>
          <w:b/>
          <w:bCs/>
          <w:sz w:val="24"/>
        </w:rPr>
      </w:pPr>
      <w:bookmarkStart w:id="31" w:name="_Hlk37429674"/>
      <w:r>
        <w:rPr>
          <w:rFonts w:hint="eastAsia" w:ascii="宋体" w:hAnsi="宋体" w:cs="宋体"/>
          <w:b/>
          <w:bCs/>
          <w:sz w:val="24"/>
        </w:rPr>
        <w:t>六、其他补充事宜：</w:t>
      </w:r>
    </w:p>
    <w:p>
      <w:pPr>
        <w:spacing w:line="360" w:lineRule="auto"/>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cs="宋体"/>
          <w:kern w:val="0"/>
          <w:sz w:val="24"/>
        </w:rPr>
      </w:pPr>
      <w:r>
        <w:rPr>
          <w:rFonts w:hint="eastAsia" w:ascii="宋体" w:hAnsi="宋体" w:cs="宋体"/>
          <w:kern w:val="0"/>
          <w:sz w:val="24"/>
        </w:rPr>
        <w:t>3.网上查询地址：中国政府采购网（www.ccgp.gov.cn）、广西政府采购网（zfcg.gxzf.gov.cn）。</w:t>
      </w:r>
    </w:p>
    <w:p>
      <w:pPr>
        <w:spacing w:line="360" w:lineRule="auto"/>
        <w:ind w:firstLine="480" w:firstLineChars="200"/>
        <w:rPr>
          <w:rFonts w:ascii="宋体" w:hAnsi="宋体" w:cs="宋体"/>
          <w:kern w:val="0"/>
          <w:sz w:val="24"/>
        </w:rPr>
      </w:pPr>
      <w:r>
        <w:rPr>
          <w:rFonts w:hint="eastAsia" w:ascii="宋体" w:hAnsi="宋体" w:cs="宋体"/>
          <w:kern w:val="0"/>
          <w:sz w:val="24"/>
        </w:rPr>
        <w:t>4.本项目需要落实的政府采购政策：</w:t>
      </w:r>
    </w:p>
    <w:p>
      <w:pPr>
        <w:spacing w:line="360" w:lineRule="auto"/>
        <w:ind w:firstLine="480" w:firstLineChars="200"/>
        <w:rPr>
          <w:rFonts w:ascii="宋体" w:hAnsi="宋体" w:cs="宋体"/>
          <w:kern w:val="0"/>
          <w:sz w:val="24"/>
        </w:rPr>
      </w:pPr>
      <w:r>
        <w:rPr>
          <w:rFonts w:hint="eastAsia" w:ascii="宋体" w:hAnsi="宋体" w:cs="宋体"/>
          <w:kern w:val="0"/>
          <w:sz w:val="24"/>
        </w:rPr>
        <w:t>（1）政府采购促进中小企业发展。</w:t>
      </w:r>
    </w:p>
    <w:p>
      <w:pPr>
        <w:spacing w:line="360" w:lineRule="auto"/>
        <w:ind w:firstLine="480" w:firstLineChars="200"/>
        <w:rPr>
          <w:rFonts w:ascii="宋体" w:hAnsi="宋体" w:cs="宋体"/>
          <w:kern w:val="0"/>
          <w:sz w:val="24"/>
        </w:rPr>
      </w:pPr>
      <w:r>
        <w:rPr>
          <w:rFonts w:hint="eastAsia" w:ascii="宋体" w:hAnsi="宋体" w:cs="宋体"/>
          <w:kern w:val="0"/>
          <w:sz w:val="24"/>
        </w:rPr>
        <w:t>（2）政府采购支持采用本国产品的政策。</w:t>
      </w:r>
    </w:p>
    <w:p>
      <w:pPr>
        <w:spacing w:line="360" w:lineRule="auto"/>
        <w:ind w:firstLine="480" w:firstLineChars="200"/>
        <w:rPr>
          <w:rFonts w:ascii="宋体" w:hAnsi="宋体" w:cs="宋体"/>
          <w:kern w:val="0"/>
          <w:sz w:val="24"/>
        </w:rPr>
      </w:pPr>
      <w:r>
        <w:rPr>
          <w:rFonts w:hint="eastAsia" w:ascii="宋体" w:hAnsi="宋体" w:cs="宋体"/>
          <w:kern w:val="0"/>
          <w:sz w:val="24"/>
        </w:rPr>
        <w:t>（3）强制采购节能产品；优先采购节能产品、环境标志产品。</w:t>
      </w:r>
    </w:p>
    <w:p>
      <w:pPr>
        <w:spacing w:line="360" w:lineRule="auto"/>
        <w:ind w:firstLine="480" w:firstLineChars="200"/>
        <w:rPr>
          <w:rFonts w:ascii="宋体" w:hAnsi="宋体" w:cs="宋体"/>
          <w:kern w:val="0"/>
          <w:sz w:val="24"/>
        </w:rPr>
      </w:pPr>
      <w:r>
        <w:rPr>
          <w:rFonts w:hint="eastAsia" w:ascii="宋体" w:hAnsi="宋体" w:cs="宋体"/>
          <w:kern w:val="0"/>
          <w:sz w:val="24"/>
        </w:rPr>
        <w:t>（4）政府采购促进残疾人就业政策。</w:t>
      </w:r>
    </w:p>
    <w:p>
      <w:pPr>
        <w:spacing w:line="360" w:lineRule="auto"/>
        <w:ind w:firstLine="480" w:firstLineChars="200"/>
        <w:rPr>
          <w:rFonts w:ascii="宋体" w:hAnsi="宋体" w:cs="宋体"/>
          <w:kern w:val="0"/>
          <w:sz w:val="24"/>
        </w:rPr>
      </w:pPr>
      <w:r>
        <w:rPr>
          <w:rFonts w:hint="eastAsia" w:ascii="宋体" w:hAnsi="宋体" w:cs="宋体"/>
          <w:kern w:val="0"/>
          <w:sz w:val="24"/>
        </w:rPr>
        <w:t>（5）政府采购支持监狱企业发展。</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5.投标注意事项：</w:t>
      </w:r>
    </w:p>
    <w:p>
      <w:pPr>
        <w:widowControl/>
        <w:spacing w:line="360" w:lineRule="auto"/>
        <w:ind w:firstLine="480" w:firstLineChars="200"/>
        <w:rPr>
          <w:rFonts w:ascii="宋体" w:hAnsi="宋体" w:cs="宋体"/>
          <w:bCs/>
          <w:sz w:val="24"/>
        </w:rPr>
      </w:pPr>
      <w:r>
        <w:rPr>
          <w:rFonts w:hint="eastAsia" w:ascii="宋体" w:hAnsi="宋体" w:cs="宋体"/>
          <w:sz w:val="24"/>
          <w:lang w:bidi="ar"/>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sz w:val="24"/>
          <w:lang w:bidi="ar"/>
        </w:rPr>
        <w:t>供应商在“政采云”平台提交电子版投标文件时，请填写参加远程开标活动经办人联系方式。</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sz w:val="24"/>
          <w:lang w:bidi="ar"/>
        </w:rPr>
        <w:t>https://service.zcygov.cn/#/knowledges/tree?tag=AG1DtGwBFdiHxlNdhY0r</w:t>
      </w:r>
      <w:r>
        <w:rPr>
          <w:rFonts w:hint="eastAsia" w:ascii="宋体" w:hAnsi="宋体" w:cs="宋体"/>
          <w:sz w:val="24"/>
          <w:lang w:bidi="ar"/>
        </w:rPr>
        <w:fldChar w:fldCharType="end"/>
      </w:r>
      <w:r>
        <w:rPr>
          <w:rFonts w:hint="eastAsia" w:ascii="宋体" w:hAnsi="宋体" w:cs="宋体"/>
          <w:sz w:val="24"/>
          <w:lang w:bidi="ar"/>
        </w:rPr>
        <w:t>；及时完成CA申领和绑定（见广西壮族自治区政府采购网—办事服务—下载专区-政采云CA证书办理操作指南）。</w:t>
      </w:r>
    </w:p>
    <w:p>
      <w:pPr>
        <w:widowControl/>
        <w:spacing w:line="360" w:lineRule="auto"/>
        <w:ind w:firstLine="480" w:firstLineChars="200"/>
        <w:rPr>
          <w:rFonts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82" w:firstLineChars="200"/>
        <w:rPr>
          <w:rFonts w:ascii="楷体" w:hAnsi="楷体" w:eastAsia="楷体" w:cs="宋体"/>
          <w:sz w:val="24"/>
          <w:lang w:bidi="ar"/>
        </w:rPr>
      </w:pPr>
      <w:r>
        <w:rPr>
          <w:rFonts w:hint="eastAsia" w:ascii="楷体" w:hAnsi="楷体" w:eastAsia="楷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80" w:firstLineChars="200"/>
        <w:rPr>
          <w:rFonts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密的有效数字证书（CA认证）登录“政采云”平台电子开标大厅现场按规定时间对加密的投标文件进行解密，否则后果自负。</w:t>
      </w:r>
    </w:p>
    <w:p>
      <w:pPr>
        <w:spacing w:line="360" w:lineRule="auto"/>
        <w:ind w:firstLine="480" w:firstLineChars="200"/>
        <w:rPr>
          <w:rFonts w:ascii="宋体" w:hAnsi="宋体" w:cs="宋体"/>
          <w:kern w:val="0"/>
          <w:sz w:val="24"/>
        </w:rPr>
      </w:pPr>
      <w:r>
        <w:rPr>
          <w:rFonts w:hint="eastAsia" w:ascii="宋体" w:hAnsi="宋体" w:cs="宋体"/>
          <w:kern w:val="0"/>
          <w:sz w:val="24"/>
        </w:rPr>
        <w:t>7.若对项目采购电子交易系统操作有疑问，可登录“政采云”平台（https://www.zcygov.cn/），点击右侧咨询小采，获取采小蜜智能服务管家帮助，或拨打政采云服务热线</w:t>
      </w:r>
      <w:r>
        <w:rPr>
          <w:rFonts w:ascii="宋体" w:hAnsi="宋体" w:cs="宋体"/>
          <w:kern w:val="0"/>
          <w:sz w:val="24"/>
        </w:rPr>
        <w:t>95763</w:t>
      </w:r>
      <w:r>
        <w:rPr>
          <w:rFonts w:hint="eastAsia" w:ascii="宋体" w:hAnsi="宋体" w:cs="宋体"/>
          <w:kern w:val="0"/>
          <w:sz w:val="24"/>
        </w:rPr>
        <w:t>获取热线服务帮助。</w:t>
      </w:r>
      <w:bookmarkEnd w:id="31"/>
    </w:p>
    <w:p>
      <w:pPr>
        <w:spacing w:line="360" w:lineRule="auto"/>
        <w:rPr>
          <w:rFonts w:ascii="宋体" w:hAnsi="宋体" w:cs="宋体"/>
          <w:b/>
          <w:bCs/>
          <w:sz w:val="24"/>
        </w:rPr>
      </w:pPr>
      <w:bookmarkStart w:id="32" w:name="_Toc35393796"/>
      <w:bookmarkStart w:id="33" w:name="_Toc35393627"/>
      <w:bookmarkStart w:id="34" w:name="_Toc28359085"/>
      <w:bookmarkStart w:id="35" w:name="_Toc28359008"/>
      <w:r>
        <w:rPr>
          <w:rFonts w:hint="eastAsia" w:ascii="宋体" w:hAnsi="宋体" w:cs="宋体"/>
          <w:b/>
          <w:bCs/>
          <w:sz w:val="24"/>
        </w:rPr>
        <w:t>七、对本次招标提出询问，请按以下方式联系。</w:t>
      </w:r>
      <w:bookmarkEnd w:id="32"/>
      <w:bookmarkEnd w:id="33"/>
      <w:bookmarkEnd w:id="34"/>
      <w:bookmarkEnd w:id="35"/>
    </w:p>
    <w:p>
      <w:pPr>
        <w:spacing w:line="360" w:lineRule="auto"/>
        <w:ind w:firstLine="648" w:firstLineChars="270"/>
        <w:jc w:val="left"/>
        <w:rPr>
          <w:rFonts w:ascii="宋体" w:hAnsi="宋体" w:cs="宋体"/>
          <w:sz w:val="24"/>
        </w:rPr>
      </w:pPr>
      <w:r>
        <w:rPr>
          <w:rFonts w:hint="eastAsia" w:ascii="宋体" w:hAnsi="宋体" w:cs="宋体"/>
          <w:sz w:val="24"/>
        </w:rPr>
        <w:t>1.采购人信息</w:t>
      </w:r>
    </w:p>
    <w:p>
      <w:pPr>
        <w:spacing w:line="360" w:lineRule="auto"/>
        <w:ind w:firstLine="648" w:firstLineChars="270"/>
        <w:jc w:val="left"/>
        <w:rPr>
          <w:rFonts w:ascii="宋体" w:hAnsi="宋体" w:cs="宋体"/>
          <w:sz w:val="24"/>
        </w:rPr>
      </w:pPr>
      <w:r>
        <w:rPr>
          <w:rFonts w:hint="eastAsia" w:ascii="宋体" w:hAnsi="宋体" w:cs="宋体"/>
          <w:sz w:val="24"/>
        </w:rPr>
        <w:t>名称：广西大学          地址：广西壮族自治区南宁市大学东路100号</w:t>
      </w:r>
    </w:p>
    <w:p>
      <w:pPr>
        <w:spacing w:line="360" w:lineRule="auto"/>
        <w:ind w:firstLine="648" w:firstLineChars="270"/>
        <w:jc w:val="left"/>
        <w:rPr>
          <w:rFonts w:ascii="宋体" w:hAnsi="宋体" w:cs="宋体"/>
          <w:sz w:val="24"/>
        </w:rPr>
      </w:pPr>
      <w:r>
        <w:rPr>
          <w:rFonts w:hint="eastAsia" w:ascii="宋体" w:hAnsi="宋体" w:cs="宋体"/>
          <w:sz w:val="24"/>
        </w:rPr>
        <w:t>联系人：张老师          联系电话：0771-3274121</w:t>
      </w:r>
    </w:p>
    <w:p>
      <w:pPr>
        <w:spacing w:line="360" w:lineRule="auto"/>
        <w:ind w:firstLine="648" w:firstLineChars="270"/>
        <w:jc w:val="left"/>
        <w:rPr>
          <w:rFonts w:ascii="宋体" w:hAnsi="宋体" w:cs="宋体"/>
          <w:sz w:val="24"/>
        </w:rPr>
      </w:pPr>
      <w:r>
        <w:rPr>
          <w:rFonts w:hint="eastAsia" w:ascii="宋体" w:hAnsi="宋体" w:cs="宋体"/>
          <w:sz w:val="24"/>
        </w:rPr>
        <w:t>2.采购代理机构信息</w:t>
      </w:r>
    </w:p>
    <w:p>
      <w:pPr>
        <w:spacing w:line="360" w:lineRule="auto"/>
        <w:ind w:firstLine="648" w:firstLineChars="270"/>
        <w:rPr>
          <w:rFonts w:ascii="宋体" w:hAnsi="宋体" w:cs="宋体"/>
          <w:sz w:val="24"/>
        </w:rPr>
      </w:pPr>
      <w:bookmarkStart w:id="36" w:name="_Toc28359087"/>
      <w:bookmarkStart w:id="37" w:name="_Toc28359010"/>
      <w:r>
        <w:rPr>
          <w:rFonts w:hint="eastAsia" w:ascii="宋体" w:hAnsi="宋体" w:cs="宋体"/>
          <w:sz w:val="24"/>
        </w:rPr>
        <w:t>名称：广西科文招标有限公司</w:t>
      </w:r>
    </w:p>
    <w:p>
      <w:pPr>
        <w:spacing w:line="360" w:lineRule="auto"/>
        <w:ind w:firstLine="648" w:firstLineChars="270"/>
        <w:rPr>
          <w:rFonts w:ascii="宋体" w:hAnsi="宋体" w:cs="宋体"/>
          <w:sz w:val="24"/>
        </w:rPr>
      </w:pPr>
      <w:r>
        <w:rPr>
          <w:rFonts w:hint="eastAsia" w:ascii="宋体" w:hAnsi="宋体" w:cs="宋体"/>
          <w:sz w:val="24"/>
        </w:rPr>
        <w:t>地址：广西壮族自治区南宁市民族大道141号中鼎万象东方D区五层</w:t>
      </w:r>
    </w:p>
    <w:p>
      <w:pPr>
        <w:spacing w:line="360" w:lineRule="auto"/>
        <w:ind w:firstLine="648" w:firstLineChars="270"/>
        <w:rPr>
          <w:rFonts w:ascii="宋体" w:hAnsi="宋体" w:cs="宋体"/>
          <w:sz w:val="24"/>
        </w:rPr>
      </w:pPr>
      <w:r>
        <w:rPr>
          <w:rFonts w:hint="eastAsia" w:ascii="宋体" w:hAnsi="宋体" w:cs="宋体"/>
          <w:sz w:val="24"/>
        </w:rPr>
        <w:t>3、项目联系方式</w:t>
      </w:r>
    </w:p>
    <w:p>
      <w:pPr>
        <w:spacing w:line="360" w:lineRule="auto"/>
        <w:ind w:firstLine="648" w:firstLineChars="270"/>
        <w:rPr>
          <w:rFonts w:ascii="宋体" w:hAnsi="宋体" w:cs="宋体"/>
          <w:sz w:val="24"/>
        </w:rPr>
      </w:pPr>
      <w:r>
        <w:rPr>
          <w:rFonts w:hint="eastAsia" w:ascii="宋体" w:hAnsi="宋体" w:cs="宋体"/>
          <w:sz w:val="24"/>
        </w:rPr>
        <w:t>项目联系人：梁伟贞      联系电话：0771-2023650</w:t>
      </w:r>
    </w:p>
    <w:bookmarkEnd w:id="36"/>
    <w:bookmarkEnd w:id="37"/>
    <w:p>
      <w:pPr>
        <w:spacing w:line="360" w:lineRule="auto"/>
        <w:ind w:firstLine="7080" w:firstLineChars="2950"/>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代理机构：广西科文招标有限公司</w:t>
      </w:r>
    </w:p>
    <w:p>
      <w:pPr>
        <w:spacing w:line="360" w:lineRule="auto"/>
        <w:jc w:val="right"/>
        <w:rPr>
          <w:rFonts w:ascii="宋体" w:hAnsi="宋体" w:cs="宋体"/>
          <w:sz w:val="24"/>
        </w:rPr>
      </w:pPr>
    </w:p>
    <w:p>
      <w:pPr>
        <w:wordWrap w:val="0"/>
        <w:snapToGrid w:val="0"/>
        <w:spacing w:line="360" w:lineRule="auto"/>
        <w:ind w:left="238"/>
        <w:jc w:val="right"/>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 xml:space="preserve">日 </w:t>
      </w:r>
    </w:p>
    <w:p>
      <w:pPr>
        <w:wordWrap w:val="0"/>
        <w:snapToGrid w:val="0"/>
        <w:spacing w:line="360" w:lineRule="auto"/>
        <w:ind w:left="238"/>
        <w:jc w:val="right"/>
        <w:rPr>
          <w:rFonts w:ascii="宋体" w:hAnsi="宋体" w:cs="宋体"/>
        </w:rPr>
      </w:pPr>
      <w:r>
        <w:rPr>
          <w:rFonts w:hint="eastAsia" w:ascii="宋体" w:hAnsi="宋体" w:cs="宋体"/>
          <w:sz w:val="24"/>
        </w:rPr>
        <w:t xml:space="preserve"> </w:t>
      </w:r>
      <w:bookmarkStart w:id="38" w:name="_Toc74320801"/>
      <w:r>
        <w:rPr>
          <w:rFonts w:hint="eastAsia" w:ascii="宋体" w:hAnsi="宋体" w:cs="宋体"/>
        </w:rPr>
        <w:br w:type="page"/>
      </w:r>
    </w:p>
    <w:p>
      <w:pPr>
        <w:pStyle w:val="3"/>
        <w:spacing w:line="240" w:lineRule="auto"/>
        <w:jc w:val="center"/>
        <w:rPr>
          <w:rFonts w:ascii="宋体" w:hAnsi="宋体" w:cs="宋体"/>
        </w:rPr>
      </w:pPr>
      <w:r>
        <w:rPr>
          <w:rFonts w:hint="eastAsia" w:ascii="宋体" w:hAnsi="宋体" w:cs="宋体"/>
        </w:rPr>
        <w:t>第二章  采购需求</w:t>
      </w:r>
      <w:bookmarkEnd w:id="38"/>
    </w:p>
    <w:p>
      <w:pPr>
        <w:jc w:val="left"/>
        <w:rPr>
          <w:rFonts w:ascii="宋体" w:hAnsi="宋体" w:cs="宋体"/>
          <w:bCs/>
          <w:sz w:val="24"/>
        </w:rPr>
      </w:pPr>
      <w:bookmarkStart w:id="39" w:name="_Toc254970631"/>
      <w:bookmarkStart w:id="40" w:name="_Toc254970490"/>
      <w:r>
        <w:rPr>
          <w:rFonts w:hint="eastAsia" w:ascii="宋体" w:hAnsi="宋体" w:cs="宋体"/>
          <w:bCs/>
          <w:sz w:val="24"/>
        </w:rPr>
        <w:t>说明：</w:t>
      </w:r>
    </w:p>
    <w:p>
      <w:pPr>
        <w:spacing w:line="360" w:lineRule="auto"/>
        <w:ind w:left="-10" w:leftChars="-5" w:right="2" w:rightChars="1" w:firstLine="480" w:firstLineChars="200"/>
        <w:rPr>
          <w:bCs/>
          <w:sz w:val="24"/>
        </w:rPr>
      </w:pPr>
      <w:r>
        <w:rPr>
          <w:bCs/>
          <w:sz w:val="24"/>
        </w:rPr>
        <w:t>1</w:t>
      </w:r>
      <w:r>
        <w:rPr>
          <w:rFonts w:hint="eastAsia" w:ascii="宋体" w:hAnsi="宋体" w:cs="宋体"/>
          <w:sz w:val="24"/>
        </w:rPr>
        <w:t>.</w:t>
      </w:r>
      <w:r>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sz w:val="24"/>
        </w:rPr>
        <w:t>《采购</w:t>
      </w:r>
      <w:r>
        <w:rPr>
          <w:bCs/>
          <w:sz w:val="24"/>
        </w:rPr>
        <w:t>需求</w:t>
      </w:r>
      <w:r>
        <w:rPr>
          <w:rFonts w:hint="eastAsia"/>
          <w:bCs/>
          <w:sz w:val="24"/>
        </w:rPr>
        <w:t>》</w:t>
      </w:r>
      <w:r>
        <w:rPr>
          <w:bCs/>
          <w:sz w:val="24"/>
        </w:rPr>
        <w:t>中的技术要求。</w:t>
      </w:r>
    </w:p>
    <w:p>
      <w:pPr>
        <w:spacing w:line="360" w:lineRule="auto"/>
        <w:ind w:left="-10" w:leftChars="-5" w:right="2" w:rightChars="1" w:firstLine="480" w:firstLineChars="200"/>
        <w:rPr>
          <w:bCs/>
          <w:sz w:val="24"/>
        </w:rPr>
      </w:pPr>
      <w:r>
        <w:rPr>
          <w:bCs/>
          <w:sz w:val="24"/>
        </w:rPr>
        <w:t>2</w:t>
      </w:r>
      <w:r>
        <w:rPr>
          <w:rFonts w:hint="eastAsia" w:ascii="宋体" w:hAnsi="宋体" w:cs="宋体"/>
          <w:sz w:val="24"/>
        </w:rPr>
        <w:t>.</w:t>
      </w:r>
      <w:r>
        <w:rPr>
          <w:bCs/>
          <w:sz w:val="24"/>
        </w:rPr>
        <w:t>凡在“技术要求”中表述为“标配”或“标准配置”的设备，投标人应在投标设备性能配置清单中将其标配参数详细列明。</w:t>
      </w:r>
    </w:p>
    <w:p>
      <w:pPr>
        <w:spacing w:line="360" w:lineRule="auto"/>
        <w:ind w:left="-10" w:leftChars="-5" w:right="2" w:rightChars="1" w:firstLine="480" w:firstLineChars="200"/>
        <w:rPr>
          <w:bCs/>
          <w:sz w:val="24"/>
        </w:rPr>
      </w:pPr>
      <w:r>
        <w:rPr>
          <w:bCs/>
          <w:sz w:val="24"/>
        </w:rPr>
        <w:t>3</w:t>
      </w:r>
      <w:r>
        <w:rPr>
          <w:rFonts w:hint="eastAsia" w:ascii="宋体" w:hAnsi="宋体" w:cs="宋体"/>
          <w:sz w:val="24"/>
        </w:rPr>
        <w:t>.</w:t>
      </w:r>
      <w:r>
        <w:rPr>
          <w:bCs/>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sz w:val="24"/>
        </w:rPr>
        <w:t>★</w:t>
      </w:r>
      <w:r>
        <w:rPr>
          <w:bCs/>
          <w:sz w:val="24"/>
        </w:rPr>
        <w:t>”的（详见本章后附的节能产品政府采购品目清单），投标人的投标货物必须使用政府强制采购的节能产品，否则投标文件作无效处理。</w:t>
      </w:r>
    </w:p>
    <w:p>
      <w:pPr>
        <w:spacing w:line="360" w:lineRule="auto"/>
        <w:ind w:left="-10" w:leftChars="-5" w:right="2" w:rightChars="1" w:firstLine="480" w:firstLineChars="200"/>
        <w:rPr>
          <w:bCs/>
          <w:sz w:val="24"/>
        </w:rPr>
      </w:pPr>
      <w:r>
        <w:rPr>
          <w:bCs/>
          <w:sz w:val="24"/>
        </w:rPr>
        <w:t>4</w:t>
      </w:r>
      <w:r>
        <w:rPr>
          <w:rFonts w:hint="eastAsia" w:ascii="宋体" w:hAnsi="宋体" w:cs="宋体"/>
          <w:sz w:val="24"/>
        </w:rPr>
        <w:t>.</w:t>
      </w:r>
      <w:r>
        <w:rPr>
          <w:bCs/>
          <w:sz w:val="24"/>
        </w:rPr>
        <w:t>如投标人投标产品存在侵犯他人的知识产权或者专利成果行为的，由投标人自行承担相应法律责任。</w:t>
      </w:r>
    </w:p>
    <w:p>
      <w:pPr>
        <w:spacing w:line="360" w:lineRule="auto"/>
        <w:ind w:left="-10" w:leftChars="-5" w:right="2" w:rightChars="1" w:firstLine="480" w:firstLineChars="200"/>
        <w:rPr>
          <w:bCs/>
          <w:sz w:val="24"/>
          <w:u w:val="single"/>
        </w:rPr>
      </w:pPr>
      <w:r>
        <w:rPr>
          <w:bCs/>
          <w:sz w:val="24"/>
        </w:rPr>
        <w:t>5</w:t>
      </w:r>
      <w:r>
        <w:rPr>
          <w:rFonts w:hint="eastAsia" w:ascii="宋体" w:hAnsi="宋体" w:cs="宋体"/>
          <w:sz w:val="24"/>
        </w:rPr>
        <w:t>.</w:t>
      </w:r>
      <w:r>
        <w:rPr>
          <w:bCs/>
          <w:sz w:val="24"/>
        </w:rPr>
        <w:t>“实质性要求”是指招标文件中已经指明不满足则投标无效的条款，或者不</w:t>
      </w:r>
      <w:r>
        <w:rPr>
          <w:rFonts w:hint="eastAsia"/>
          <w:bCs/>
          <w:sz w:val="24"/>
        </w:rPr>
        <w:t>容许</w:t>
      </w:r>
      <w:r>
        <w:rPr>
          <w:bCs/>
          <w:sz w:val="24"/>
        </w:rPr>
        <w:t>负偏离的条款，或者采购需求中带“</w:t>
      </w:r>
      <w:r>
        <w:rPr>
          <w:rFonts w:hint="eastAsia"/>
          <w:bCs/>
          <w:sz w:val="24"/>
        </w:rPr>
        <w:t>▲</w:t>
      </w:r>
      <w:r>
        <w:rPr>
          <w:bCs/>
          <w:sz w:val="24"/>
        </w:rPr>
        <w:t>”的条款。</w:t>
      </w:r>
      <w:r>
        <w:rPr>
          <w:rFonts w:hint="eastAsia"/>
          <w:bCs/>
          <w:sz w:val="24"/>
          <w:u w:val="single"/>
        </w:rPr>
        <w:t>不</w:t>
      </w:r>
      <w:r>
        <w:rPr>
          <w:bCs/>
          <w:sz w:val="24"/>
          <w:u w:val="single"/>
        </w:rPr>
        <w:t>带“</w:t>
      </w:r>
      <w:r>
        <w:rPr>
          <w:rFonts w:hint="eastAsia"/>
          <w:bCs/>
          <w:sz w:val="24"/>
          <w:u w:val="single"/>
        </w:rPr>
        <w:t>▲</w:t>
      </w:r>
      <w:r>
        <w:rPr>
          <w:bCs/>
          <w:sz w:val="24"/>
          <w:u w:val="single"/>
        </w:rPr>
        <w:t>”的</w:t>
      </w:r>
      <w:r>
        <w:rPr>
          <w:rFonts w:hint="eastAsia"/>
          <w:bCs/>
          <w:sz w:val="24"/>
          <w:u w:val="single"/>
        </w:rPr>
        <w:t>非实质性</w:t>
      </w:r>
      <w:r>
        <w:rPr>
          <w:bCs/>
          <w:sz w:val="24"/>
          <w:u w:val="single"/>
        </w:rPr>
        <w:t>条款</w:t>
      </w:r>
      <w:r>
        <w:rPr>
          <w:rFonts w:hint="eastAsia" w:ascii="宋体" w:hAnsi="宋体" w:cs="宋体"/>
          <w:sz w:val="24"/>
          <w:u w:val="single"/>
        </w:rPr>
        <w:t>允许负偏离的条款数为2项，3项及以上的负偏离则投标无效。</w:t>
      </w:r>
    </w:p>
    <w:p>
      <w:pPr>
        <w:spacing w:line="360" w:lineRule="auto"/>
        <w:ind w:left="-10" w:leftChars="-5" w:right="2" w:rightChars="1" w:firstLine="480" w:firstLineChars="200"/>
        <w:rPr>
          <w:bCs/>
          <w:sz w:val="24"/>
        </w:rPr>
      </w:pPr>
      <w:r>
        <w:rPr>
          <w:bCs/>
          <w:sz w:val="24"/>
        </w:rPr>
        <w:t>采购预算：详见采购公告</w:t>
      </w:r>
    </w:p>
    <w:p>
      <w:pPr>
        <w:spacing w:line="360" w:lineRule="auto"/>
        <w:ind w:left="-10" w:leftChars="-5" w:right="2" w:rightChars="1" w:firstLine="480" w:firstLineChars="200"/>
        <w:rPr>
          <w:bCs/>
          <w:sz w:val="24"/>
        </w:rPr>
      </w:pPr>
      <w:r>
        <w:rPr>
          <w:bCs/>
          <w:sz w:val="24"/>
        </w:rPr>
        <w:t>项目所属行业：工业</w:t>
      </w:r>
      <w:r>
        <w:rPr>
          <w:rFonts w:hint="eastAsia"/>
          <w:bCs/>
          <w:sz w:val="24"/>
        </w:rPr>
        <w:t>。</w:t>
      </w:r>
    </w:p>
    <w:tbl>
      <w:tblPr>
        <w:tblStyle w:val="49"/>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44"/>
        <w:gridCol w:w="472"/>
        <w:gridCol w:w="557"/>
        <w:gridCol w:w="6685"/>
        <w:gridCol w:w="70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36"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942" w:type="dxa"/>
            <w:vAlign w:val="center"/>
          </w:tcPr>
          <w:p>
            <w:pPr>
              <w:widowControl/>
              <w:jc w:val="center"/>
              <w:rPr>
                <w:rFonts w:ascii="宋体" w:hAnsi="宋体" w:cs="宋体"/>
                <w:b/>
                <w:bCs/>
                <w:kern w:val="0"/>
                <w:sz w:val="24"/>
              </w:rPr>
            </w:pPr>
            <w:r>
              <w:rPr>
                <w:rFonts w:hint="eastAsia" w:ascii="宋体" w:hAnsi="宋体" w:cs="宋体"/>
                <w:b/>
                <w:bCs/>
                <w:kern w:val="0"/>
                <w:sz w:val="24"/>
              </w:rPr>
              <w:t>货物名称</w:t>
            </w:r>
          </w:p>
        </w:tc>
        <w:tc>
          <w:tcPr>
            <w:tcW w:w="472" w:type="dxa"/>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557" w:type="dxa"/>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6686" w:type="dxa"/>
            <w:vAlign w:val="center"/>
          </w:tcPr>
          <w:p>
            <w:pPr>
              <w:widowControl/>
              <w:jc w:val="center"/>
              <w:rPr>
                <w:rFonts w:ascii="宋体" w:hAnsi="宋体" w:cs="宋体"/>
                <w:b/>
                <w:bCs/>
                <w:kern w:val="0"/>
                <w:sz w:val="24"/>
              </w:rPr>
            </w:pPr>
            <w:r>
              <w:rPr>
                <w:rFonts w:hint="eastAsia" w:ascii="宋体" w:hAnsi="宋体" w:cs="宋体"/>
                <w:b/>
                <w:bCs/>
                <w:kern w:val="0"/>
                <w:sz w:val="24"/>
              </w:rPr>
              <w:t>技术参数及性能（配置）要求</w:t>
            </w:r>
          </w:p>
        </w:tc>
        <w:tc>
          <w:tcPr>
            <w:tcW w:w="707" w:type="dxa"/>
          </w:tcPr>
          <w:p>
            <w:pPr>
              <w:widowControl/>
              <w:jc w:val="center"/>
              <w:rPr>
                <w:rFonts w:ascii="宋体" w:hAnsi="宋体" w:cs="宋体"/>
                <w:b/>
                <w:bCs/>
                <w:kern w:val="0"/>
                <w:sz w:val="16"/>
                <w:szCs w:val="16"/>
              </w:rPr>
            </w:pPr>
            <w:r>
              <w:rPr>
                <w:rFonts w:hint="eastAsia" w:ascii="宋体" w:hAnsi="宋体" w:cs="宋体"/>
                <w:b/>
                <w:bCs/>
                <w:kern w:val="0"/>
                <w:sz w:val="16"/>
                <w:szCs w:val="16"/>
              </w:rPr>
              <w:t>预算单价（人民币万元）</w:t>
            </w:r>
          </w:p>
        </w:tc>
        <w:tc>
          <w:tcPr>
            <w:tcW w:w="804" w:type="dxa"/>
          </w:tcPr>
          <w:p>
            <w:pPr>
              <w:widowControl/>
              <w:jc w:val="center"/>
              <w:rPr>
                <w:rFonts w:ascii="宋体" w:hAnsi="宋体" w:cs="宋体"/>
                <w:b/>
                <w:bCs/>
                <w:kern w:val="0"/>
                <w:sz w:val="16"/>
                <w:szCs w:val="16"/>
              </w:rPr>
            </w:pPr>
            <w:r>
              <w:rPr>
                <w:rFonts w:hint="eastAsia" w:ascii="宋体" w:hAnsi="宋体" w:cs="宋体"/>
                <w:b/>
                <w:bCs/>
                <w:kern w:val="0"/>
                <w:sz w:val="16"/>
                <w:szCs w:val="16"/>
              </w:rPr>
              <w:t>预算合计（人民币万元）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36" w:type="dxa"/>
            <w:vAlign w:val="center"/>
          </w:tcPr>
          <w:p>
            <w:pPr>
              <w:tabs>
                <w:tab w:val="left" w:pos="180"/>
                <w:tab w:val="left" w:pos="1620"/>
              </w:tabs>
              <w:spacing w:line="360" w:lineRule="auto"/>
              <w:jc w:val="center"/>
              <w:rPr>
                <w:rFonts w:ascii="宋体" w:hAnsi="宋体" w:cs="宋体"/>
                <w:sz w:val="24"/>
              </w:rPr>
            </w:pPr>
            <w:r>
              <w:rPr>
                <w:rFonts w:hint="eastAsia" w:ascii="宋体" w:hAnsi="宋体" w:cs="宋体"/>
                <w:sz w:val="24"/>
              </w:rPr>
              <w:t>1</w:t>
            </w:r>
          </w:p>
        </w:tc>
        <w:tc>
          <w:tcPr>
            <w:tcW w:w="942" w:type="dxa"/>
            <w:vAlign w:val="center"/>
          </w:tcPr>
          <w:p>
            <w:pPr>
              <w:jc w:val="center"/>
              <w:rPr>
                <w:rFonts w:ascii="宋体" w:hAnsi="宋体" w:cs="宋体"/>
                <w:sz w:val="24"/>
              </w:rPr>
            </w:pPr>
            <w:r>
              <w:rPr>
                <w:rFonts w:hint="eastAsia" w:ascii="宋体" w:hAnsi="宋体" w:cs="宋体"/>
                <w:sz w:val="24"/>
              </w:rPr>
              <w:t>生物分子相互作用分析仪</w:t>
            </w:r>
          </w:p>
        </w:tc>
        <w:tc>
          <w:tcPr>
            <w:tcW w:w="472" w:type="dxa"/>
            <w:vAlign w:val="center"/>
          </w:tcPr>
          <w:p>
            <w:pPr>
              <w:ind w:firstLine="120" w:firstLineChars="50"/>
              <w:jc w:val="center"/>
              <w:rPr>
                <w:rFonts w:ascii="宋体" w:hAnsi="宋体" w:cs="宋体"/>
                <w:sz w:val="24"/>
              </w:rPr>
            </w:pPr>
            <w:r>
              <w:rPr>
                <w:rFonts w:hint="eastAsia" w:ascii="宋体" w:hAnsi="宋体" w:cs="宋体"/>
                <w:sz w:val="24"/>
              </w:rPr>
              <w:t>1</w:t>
            </w:r>
          </w:p>
        </w:tc>
        <w:tc>
          <w:tcPr>
            <w:tcW w:w="557" w:type="dxa"/>
            <w:vAlign w:val="center"/>
          </w:tcPr>
          <w:p>
            <w:pPr>
              <w:ind w:firstLine="120" w:firstLineChars="50"/>
              <w:jc w:val="center"/>
              <w:rPr>
                <w:rFonts w:ascii="宋体" w:hAnsi="宋体" w:cs="宋体"/>
                <w:sz w:val="24"/>
              </w:rPr>
            </w:pPr>
            <w:r>
              <w:rPr>
                <w:rFonts w:hint="eastAsia" w:ascii="宋体" w:hAnsi="宋体" w:cs="宋体"/>
                <w:sz w:val="24"/>
              </w:rPr>
              <w:t>套</w:t>
            </w:r>
          </w:p>
        </w:tc>
        <w:tc>
          <w:tcPr>
            <w:tcW w:w="6686" w:type="dxa"/>
          </w:tcPr>
          <w:p>
            <w:pPr>
              <w:widowControl/>
              <w:rPr>
                <w:sz w:val="24"/>
              </w:rPr>
            </w:pPr>
            <w:r>
              <w:rPr>
                <w:sz w:val="24"/>
              </w:rPr>
              <w:t>▲1</w:t>
            </w:r>
            <w:r>
              <w:rPr>
                <w:rFonts w:hint="eastAsia" w:ascii="宋体" w:hAnsi="宋体" w:cs="宋体"/>
                <w:sz w:val="24"/>
              </w:rPr>
              <w:t>.</w:t>
            </w:r>
            <w:r>
              <w:rPr>
                <w:sz w:val="24"/>
              </w:rPr>
              <w:t>检测原理：表面等离子共振技术；</w:t>
            </w:r>
          </w:p>
          <w:p>
            <w:pPr>
              <w:widowControl/>
              <w:rPr>
                <w:sz w:val="24"/>
              </w:rPr>
            </w:pPr>
            <w:r>
              <w:rPr>
                <w:sz w:val="24"/>
              </w:rPr>
              <w:t>▲2</w:t>
            </w:r>
            <w:r>
              <w:rPr>
                <w:rFonts w:hint="eastAsia" w:ascii="宋体" w:hAnsi="宋体" w:cs="宋体"/>
                <w:sz w:val="24"/>
              </w:rPr>
              <w:t>.</w:t>
            </w:r>
            <w:r>
              <w:rPr>
                <w:sz w:val="24"/>
              </w:rPr>
              <w:t>检测通道≥6，可独立或者配对使用；</w:t>
            </w:r>
          </w:p>
          <w:p>
            <w:pPr>
              <w:widowControl/>
              <w:rPr>
                <w:sz w:val="24"/>
              </w:rPr>
            </w:pPr>
            <w:r>
              <w:rPr>
                <w:sz w:val="24"/>
              </w:rPr>
              <w:t>▲3</w:t>
            </w:r>
            <w:r>
              <w:rPr>
                <w:rFonts w:hint="eastAsia" w:ascii="宋体" w:hAnsi="宋体" w:cs="宋体"/>
                <w:sz w:val="24"/>
              </w:rPr>
              <w:t>.</w:t>
            </w:r>
            <w:r>
              <w:rPr>
                <w:sz w:val="24"/>
              </w:rPr>
              <w:t>样品进样方式：</w:t>
            </w:r>
            <w:r>
              <w:rPr>
                <w:rFonts w:hint="eastAsia"/>
                <w:sz w:val="24"/>
              </w:rPr>
              <w:t>至少包括在同一循环内按顺序进样两种不同的溶液完成竞争模式，以及连续进样五种溶液的进样模式</w:t>
            </w:r>
          </w:p>
          <w:p>
            <w:pPr>
              <w:widowControl/>
              <w:rPr>
                <w:sz w:val="24"/>
              </w:rPr>
            </w:pPr>
            <w:r>
              <w:rPr>
                <w:sz w:val="24"/>
              </w:rPr>
              <w:t>4</w:t>
            </w:r>
            <w:r>
              <w:rPr>
                <w:rFonts w:hint="eastAsia" w:ascii="宋体" w:hAnsi="宋体" w:cs="宋体"/>
                <w:sz w:val="24"/>
              </w:rPr>
              <w:t>.</w:t>
            </w:r>
            <w:r>
              <w:rPr>
                <w:sz w:val="24"/>
              </w:rPr>
              <w:t xml:space="preserve">分析温度范围：25-35 ℃； </w:t>
            </w:r>
          </w:p>
          <w:p>
            <w:pPr>
              <w:widowControl/>
              <w:rPr>
                <w:sz w:val="24"/>
              </w:rPr>
            </w:pPr>
            <w:r>
              <w:rPr>
                <w:sz w:val="24"/>
              </w:rPr>
              <w:t>5</w:t>
            </w:r>
            <w:r>
              <w:rPr>
                <w:rFonts w:hint="eastAsia" w:ascii="宋体" w:hAnsi="宋体" w:cs="宋体"/>
                <w:sz w:val="24"/>
              </w:rPr>
              <w:t>.</w:t>
            </w:r>
            <w:r>
              <w:rPr>
                <w:sz w:val="24"/>
              </w:rPr>
              <w:t>样品舱温度范围：5-35 ℃；</w:t>
            </w:r>
          </w:p>
          <w:p>
            <w:pPr>
              <w:widowControl/>
              <w:rPr>
                <w:sz w:val="24"/>
              </w:rPr>
            </w:pPr>
            <w:r>
              <w:rPr>
                <w:sz w:val="24"/>
              </w:rPr>
              <w:t>▲6</w:t>
            </w:r>
            <w:r>
              <w:rPr>
                <w:rFonts w:hint="eastAsia" w:ascii="宋体" w:hAnsi="宋体" w:cs="宋体"/>
                <w:sz w:val="24"/>
              </w:rPr>
              <w:t>.</w:t>
            </w:r>
            <w:r>
              <w:rPr>
                <w:sz w:val="24"/>
              </w:rPr>
              <w:t>可校正有机溶剂（如DMSO）带来的信号干扰；</w:t>
            </w:r>
          </w:p>
          <w:p>
            <w:pPr>
              <w:widowControl/>
              <w:rPr>
                <w:sz w:val="24"/>
              </w:rPr>
            </w:pPr>
            <w:r>
              <w:rPr>
                <w:sz w:val="24"/>
              </w:rPr>
              <w:t>▲7</w:t>
            </w:r>
            <w:r>
              <w:rPr>
                <w:rFonts w:hint="eastAsia" w:ascii="宋体" w:hAnsi="宋体" w:cs="宋体"/>
                <w:sz w:val="24"/>
              </w:rPr>
              <w:t>.</w:t>
            </w:r>
            <w:r>
              <w:rPr>
                <w:sz w:val="24"/>
              </w:rPr>
              <w:t>样品架</w:t>
            </w:r>
            <w:r>
              <w:rPr>
                <w:rFonts w:hint="eastAsia"/>
                <w:sz w:val="24"/>
              </w:rPr>
              <w:t>类型</w:t>
            </w:r>
            <w:r>
              <w:rPr>
                <w:sz w:val="24"/>
              </w:rPr>
              <w:t>：</w:t>
            </w:r>
            <w:r>
              <w:rPr>
                <w:rFonts w:hint="eastAsia"/>
                <w:sz w:val="24"/>
              </w:rPr>
              <w:t>兼容</w:t>
            </w:r>
            <w:r>
              <w:rPr>
                <w:sz w:val="24"/>
              </w:rPr>
              <w:t>1.5样品管、96孔板、384孔板；</w:t>
            </w:r>
          </w:p>
          <w:p>
            <w:pPr>
              <w:widowControl/>
              <w:rPr>
                <w:sz w:val="24"/>
              </w:rPr>
            </w:pPr>
            <w:r>
              <w:rPr>
                <w:sz w:val="24"/>
              </w:rPr>
              <w:t>8</w:t>
            </w:r>
            <w:r>
              <w:rPr>
                <w:rFonts w:hint="eastAsia" w:ascii="宋体" w:hAnsi="宋体" w:cs="宋体"/>
                <w:sz w:val="24"/>
              </w:rPr>
              <w:t>.</w:t>
            </w:r>
            <w:r>
              <w:rPr>
                <w:sz w:val="24"/>
              </w:rPr>
              <w:t>检测折射率范围：</w:t>
            </w:r>
            <w:r>
              <w:rPr>
                <w:rFonts w:hint="eastAsia"/>
                <w:sz w:val="24"/>
              </w:rPr>
              <w:t>≥</w:t>
            </w:r>
            <w:r>
              <w:rPr>
                <w:sz w:val="24"/>
              </w:rPr>
              <w:t>1.33-1.39；</w:t>
            </w:r>
          </w:p>
          <w:p>
            <w:pPr>
              <w:widowControl/>
              <w:rPr>
                <w:sz w:val="24"/>
              </w:rPr>
            </w:pPr>
            <w:r>
              <w:rPr>
                <w:sz w:val="24"/>
              </w:rPr>
              <w:t>▲9</w:t>
            </w:r>
            <w:r>
              <w:rPr>
                <w:rFonts w:hint="eastAsia" w:ascii="宋体" w:hAnsi="宋体" w:cs="宋体"/>
                <w:sz w:val="24"/>
              </w:rPr>
              <w:t>.</w:t>
            </w:r>
            <w:r>
              <w:rPr>
                <w:sz w:val="24"/>
              </w:rPr>
              <w:t>基线噪声：</w:t>
            </w:r>
            <w:r>
              <w:rPr>
                <w:rFonts w:hint="eastAsia"/>
                <w:sz w:val="24"/>
              </w:rPr>
              <w:t>≤</w:t>
            </w:r>
            <w:r>
              <w:rPr>
                <w:sz w:val="24"/>
              </w:rPr>
              <w:t>0.03 RU (RMS)；</w:t>
            </w:r>
          </w:p>
          <w:p>
            <w:pPr>
              <w:widowControl/>
              <w:rPr>
                <w:sz w:val="24"/>
              </w:rPr>
            </w:pPr>
            <w:r>
              <w:rPr>
                <w:sz w:val="24"/>
              </w:rPr>
              <w:t>10</w:t>
            </w:r>
            <w:r>
              <w:rPr>
                <w:rFonts w:hint="eastAsia" w:ascii="宋体" w:hAnsi="宋体" w:cs="宋体"/>
                <w:sz w:val="24"/>
              </w:rPr>
              <w:t>.</w:t>
            </w:r>
            <w:r>
              <w:rPr>
                <w:sz w:val="24"/>
              </w:rPr>
              <w:t>基线漂移：</w:t>
            </w:r>
            <w:r>
              <w:rPr>
                <w:rFonts w:hint="eastAsia"/>
                <w:sz w:val="24"/>
              </w:rPr>
              <w:t>≤</w:t>
            </w:r>
            <w:r>
              <w:rPr>
                <w:sz w:val="24"/>
              </w:rPr>
              <w:t>0.3 RU/min；</w:t>
            </w:r>
          </w:p>
          <w:p>
            <w:pPr>
              <w:widowControl/>
              <w:rPr>
                <w:sz w:val="24"/>
              </w:rPr>
            </w:pPr>
            <w:r>
              <w:rPr>
                <w:sz w:val="24"/>
              </w:rPr>
              <w:t>▲11</w:t>
            </w:r>
            <w:r>
              <w:rPr>
                <w:rFonts w:hint="eastAsia" w:ascii="宋体" w:hAnsi="宋体" w:cs="宋体"/>
                <w:sz w:val="24"/>
              </w:rPr>
              <w:t>.</w:t>
            </w:r>
            <w:r>
              <w:rPr>
                <w:sz w:val="24"/>
              </w:rPr>
              <w:t>分子量检测限制：95 dalton</w:t>
            </w:r>
            <w:r>
              <w:rPr>
                <w:rFonts w:hint="eastAsia"/>
                <w:sz w:val="24"/>
              </w:rPr>
              <w:t>（Da）</w:t>
            </w:r>
            <w:r>
              <w:rPr>
                <w:sz w:val="24"/>
              </w:rPr>
              <w:t>；</w:t>
            </w:r>
            <w:r>
              <w:rPr>
                <w:rFonts w:hint="eastAsia"/>
                <w:sz w:val="24"/>
              </w:rPr>
              <w:t>对于有机分子，无最小分子量限制；</w:t>
            </w:r>
          </w:p>
          <w:p>
            <w:pPr>
              <w:widowControl/>
              <w:rPr>
                <w:sz w:val="24"/>
              </w:rPr>
            </w:pPr>
            <w:r>
              <w:rPr>
                <w:sz w:val="24"/>
              </w:rPr>
              <w:t>12</w:t>
            </w:r>
            <w:r>
              <w:rPr>
                <w:rFonts w:hint="eastAsia" w:ascii="宋体" w:hAnsi="宋体" w:cs="宋体"/>
                <w:sz w:val="24"/>
              </w:rPr>
              <w:t>.</w:t>
            </w:r>
            <w:r>
              <w:rPr>
                <w:sz w:val="24"/>
              </w:rPr>
              <w:t>平衡亲和力：</w:t>
            </w:r>
            <w:r>
              <w:rPr>
                <w:rFonts w:hint="eastAsia"/>
                <w:sz w:val="24"/>
              </w:rPr>
              <w:t>≥</w:t>
            </w:r>
            <w:r>
              <w:rPr>
                <w:sz w:val="24"/>
              </w:rPr>
              <w:t>10</w:t>
            </w:r>
            <w:r>
              <w:rPr>
                <w:sz w:val="24"/>
                <w:vertAlign w:val="superscript"/>
              </w:rPr>
              <w:t>-4</w:t>
            </w:r>
            <w:r>
              <w:rPr>
                <w:sz w:val="24"/>
              </w:rPr>
              <w:t>–10</w:t>
            </w:r>
            <w:r>
              <w:rPr>
                <w:sz w:val="24"/>
                <w:vertAlign w:val="superscript"/>
              </w:rPr>
              <w:noBreakHyphen/>
            </w:r>
            <w:r>
              <w:rPr>
                <w:sz w:val="24"/>
                <w:vertAlign w:val="superscript"/>
              </w:rPr>
              <w:t>14</w:t>
            </w:r>
            <w:r>
              <w:rPr>
                <w:sz w:val="24"/>
              </w:rPr>
              <w:t>M；</w:t>
            </w:r>
          </w:p>
          <w:p>
            <w:pPr>
              <w:widowControl/>
              <w:rPr>
                <w:sz w:val="24"/>
              </w:rPr>
            </w:pPr>
            <w:r>
              <w:rPr>
                <w:sz w:val="24"/>
              </w:rPr>
              <w:t>13</w:t>
            </w:r>
            <w:r>
              <w:rPr>
                <w:rFonts w:hint="eastAsia" w:ascii="宋体" w:hAnsi="宋体" w:cs="宋体"/>
                <w:sz w:val="24"/>
              </w:rPr>
              <w:t>.</w:t>
            </w:r>
            <w:r>
              <w:rPr>
                <w:rFonts w:hint="eastAsia"/>
                <w:sz w:val="24"/>
              </w:rPr>
              <w:t>传感器芯片：≥</w:t>
            </w:r>
            <w:r>
              <w:rPr>
                <w:sz w:val="24"/>
              </w:rPr>
              <w:t>18</w:t>
            </w:r>
            <w:r>
              <w:rPr>
                <w:rFonts w:hint="eastAsia"/>
                <w:sz w:val="24"/>
              </w:rPr>
              <w:t>种；</w:t>
            </w:r>
          </w:p>
          <w:p>
            <w:pPr>
              <w:widowControl/>
              <w:rPr>
                <w:sz w:val="24"/>
              </w:rPr>
            </w:pPr>
            <w:r>
              <w:rPr>
                <w:sz w:val="24"/>
              </w:rPr>
              <w:t>14</w:t>
            </w:r>
            <w:r>
              <w:rPr>
                <w:rFonts w:hint="eastAsia" w:ascii="宋体" w:hAnsi="宋体" w:cs="宋体"/>
                <w:sz w:val="24"/>
              </w:rPr>
              <w:t>.</w:t>
            </w:r>
            <w:r>
              <w:rPr>
                <w:sz w:val="24"/>
              </w:rPr>
              <w:t>传感器芯片寿命：</w:t>
            </w:r>
            <w:r>
              <w:rPr>
                <w:rFonts w:hint="eastAsia"/>
                <w:sz w:val="24"/>
              </w:rPr>
              <w:t>≥</w:t>
            </w:r>
            <w:r>
              <w:rPr>
                <w:sz w:val="24"/>
              </w:rPr>
              <w:t>100次再生；</w:t>
            </w:r>
          </w:p>
          <w:p>
            <w:pPr>
              <w:widowControl/>
              <w:rPr>
                <w:sz w:val="24"/>
              </w:rPr>
            </w:pPr>
            <w:r>
              <w:rPr>
                <w:sz w:val="24"/>
              </w:rPr>
              <w:t>15</w:t>
            </w:r>
            <w:r>
              <w:rPr>
                <w:rFonts w:hint="eastAsia" w:ascii="宋体" w:hAnsi="宋体" w:cs="宋体"/>
                <w:sz w:val="24"/>
              </w:rPr>
              <w:t>.</w:t>
            </w:r>
            <w:r>
              <w:rPr>
                <w:sz w:val="24"/>
              </w:rPr>
              <w:t>样品装载和注射：全自动；</w:t>
            </w:r>
          </w:p>
          <w:p>
            <w:pPr>
              <w:widowControl/>
              <w:rPr>
                <w:sz w:val="24"/>
              </w:rPr>
            </w:pPr>
            <w:r>
              <w:rPr>
                <w:sz w:val="24"/>
              </w:rPr>
              <w:t>16</w:t>
            </w:r>
            <w:r>
              <w:rPr>
                <w:rFonts w:hint="eastAsia" w:ascii="宋体" w:hAnsi="宋体" w:cs="宋体"/>
                <w:sz w:val="24"/>
              </w:rPr>
              <w:t>.</w:t>
            </w:r>
            <w:r>
              <w:rPr>
                <w:sz w:val="24"/>
              </w:rPr>
              <w:t>自动进样器方式：内置；</w:t>
            </w:r>
          </w:p>
          <w:p>
            <w:pPr>
              <w:widowControl/>
              <w:rPr>
                <w:sz w:val="24"/>
              </w:rPr>
            </w:pPr>
            <w:r>
              <w:rPr>
                <w:sz w:val="24"/>
              </w:rPr>
              <w:t>17</w:t>
            </w:r>
            <w:r>
              <w:rPr>
                <w:rFonts w:hint="eastAsia" w:ascii="宋体" w:hAnsi="宋体" w:cs="宋体"/>
                <w:sz w:val="24"/>
              </w:rPr>
              <w:t>.</w:t>
            </w:r>
            <w:r>
              <w:rPr>
                <w:sz w:val="24"/>
              </w:rPr>
              <w:t>系统流速：1-100 μL/min；</w:t>
            </w:r>
          </w:p>
          <w:p>
            <w:pPr>
              <w:widowControl/>
              <w:rPr>
                <w:sz w:val="24"/>
              </w:rPr>
            </w:pPr>
            <w:r>
              <w:rPr>
                <w:sz w:val="24"/>
              </w:rPr>
              <w:t>18</w:t>
            </w:r>
            <w:r>
              <w:rPr>
                <w:rFonts w:hint="eastAsia" w:ascii="宋体" w:hAnsi="宋体" w:cs="宋体"/>
                <w:sz w:val="24"/>
              </w:rPr>
              <w:t>.</w:t>
            </w:r>
            <w:r>
              <w:rPr>
                <w:sz w:val="24"/>
              </w:rPr>
              <w:t>样品注射体积：2-350 μl；</w:t>
            </w:r>
          </w:p>
          <w:p>
            <w:pPr>
              <w:widowControl/>
              <w:rPr>
                <w:sz w:val="24"/>
              </w:rPr>
            </w:pPr>
            <w:r>
              <w:rPr>
                <w:sz w:val="24"/>
              </w:rPr>
              <w:t>19</w:t>
            </w:r>
            <w:r>
              <w:rPr>
                <w:rFonts w:hint="eastAsia" w:ascii="宋体" w:hAnsi="宋体" w:cs="宋体"/>
                <w:sz w:val="24"/>
              </w:rPr>
              <w:t>.</w:t>
            </w:r>
            <w:r>
              <w:rPr>
                <w:sz w:val="24"/>
              </w:rPr>
              <w:t>温控精度：</w:t>
            </w:r>
            <w:r>
              <w:rPr>
                <w:rFonts w:hint="eastAsia"/>
                <w:sz w:val="24"/>
              </w:rPr>
              <w:t>≤</w:t>
            </w:r>
            <w:r>
              <w:rPr>
                <w:sz w:val="24"/>
              </w:rPr>
              <w:t>0.003℃；</w:t>
            </w:r>
          </w:p>
          <w:p>
            <w:pPr>
              <w:widowControl/>
              <w:rPr>
                <w:sz w:val="24"/>
              </w:rPr>
            </w:pPr>
            <w:r>
              <w:rPr>
                <w:sz w:val="24"/>
              </w:rPr>
              <w:t>20</w:t>
            </w:r>
            <w:r>
              <w:rPr>
                <w:rFonts w:hint="eastAsia" w:ascii="宋体" w:hAnsi="宋体" w:cs="宋体"/>
                <w:sz w:val="24"/>
              </w:rPr>
              <w:t>.</w:t>
            </w:r>
            <w:r>
              <w:rPr>
                <w:sz w:val="24"/>
              </w:rPr>
              <w:t>在线溶液脱气：自动脱气；</w:t>
            </w:r>
          </w:p>
          <w:p>
            <w:pPr>
              <w:widowControl/>
              <w:rPr>
                <w:sz w:val="24"/>
              </w:rPr>
            </w:pPr>
            <w:r>
              <w:rPr>
                <w:sz w:val="24"/>
              </w:rPr>
              <w:t>21</w:t>
            </w:r>
            <w:r>
              <w:rPr>
                <w:rFonts w:hint="eastAsia" w:ascii="宋体" w:hAnsi="宋体" w:cs="宋体"/>
                <w:sz w:val="24"/>
              </w:rPr>
              <w:t>.</w:t>
            </w:r>
            <w:r>
              <w:rPr>
                <w:sz w:val="24"/>
              </w:rPr>
              <w:t>自动化程度：</w:t>
            </w:r>
            <w:r>
              <w:rPr>
                <w:rFonts w:hint="eastAsia"/>
                <w:sz w:val="24"/>
              </w:rPr>
              <w:t>≥</w:t>
            </w:r>
            <w:r>
              <w:rPr>
                <w:sz w:val="24"/>
              </w:rPr>
              <w:t>60小时无人值守；</w:t>
            </w:r>
          </w:p>
          <w:p>
            <w:pPr>
              <w:widowControl/>
              <w:rPr>
                <w:sz w:val="24"/>
              </w:rPr>
            </w:pPr>
            <w:r>
              <w:rPr>
                <w:sz w:val="24"/>
              </w:rPr>
              <w:t>22</w:t>
            </w:r>
            <w:r>
              <w:rPr>
                <w:rFonts w:hint="eastAsia" w:ascii="宋体" w:hAnsi="宋体" w:cs="宋体"/>
                <w:sz w:val="24"/>
              </w:rPr>
              <w:t>.</w:t>
            </w:r>
            <w:r>
              <w:rPr>
                <w:sz w:val="24"/>
              </w:rPr>
              <w:t>样品分析时间：2-15 min；</w:t>
            </w:r>
          </w:p>
          <w:p>
            <w:pPr>
              <w:widowControl/>
              <w:rPr>
                <w:sz w:val="24"/>
              </w:rPr>
            </w:pPr>
            <w:r>
              <w:rPr>
                <w:sz w:val="24"/>
              </w:rPr>
              <w:t>23</w:t>
            </w:r>
            <w:r>
              <w:rPr>
                <w:rFonts w:hint="eastAsia" w:ascii="宋体" w:hAnsi="宋体" w:cs="宋体"/>
                <w:sz w:val="24"/>
              </w:rPr>
              <w:t>.</w:t>
            </w:r>
            <w:r>
              <w:rPr>
                <w:rFonts w:hint="eastAsia"/>
                <w:sz w:val="24"/>
              </w:rPr>
              <w:t>进样体积：2</w:t>
            </w:r>
            <w:r>
              <w:rPr>
                <w:sz w:val="24"/>
              </w:rPr>
              <w:t>0</w:t>
            </w:r>
            <w:r>
              <w:rPr>
                <w:rFonts w:hint="eastAsia"/>
                <w:sz w:val="24"/>
              </w:rPr>
              <w:t>-</w:t>
            </w:r>
            <w:r>
              <w:rPr>
                <w:sz w:val="24"/>
              </w:rPr>
              <w:t>40μL</w:t>
            </w:r>
          </w:p>
          <w:p>
            <w:pPr>
              <w:rPr>
                <w:rFonts w:ascii="宋体" w:hAnsi="宋体"/>
                <w:sz w:val="24"/>
              </w:rPr>
            </w:pPr>
            <w:r>
              <w:rPr>
                <w:rFonts w:ascii="宋体" w:hAnsi="宋体"/>
                <w:sz w:val="24"/>
              </w:rPr>
              <w:t>24</w:t>
            </w:r>
            <w:r>
              <w:rPr>
                <w:rFonts w:hint="eastAsia" w:ascii="宋体" w:hAnsi="宋体"/>
                <w:sz w:val="24"/>
              </w:rPr>
              <w:t>.结合速率常数范围：最高可达3×10</w:t>
            </w:r>
            <w:r>
              <w:rPr>
                <w:rFonts w:hint="eastAsia" w:ascii="宋体" w:hAnsi="宋体"/>
                <w:sz w:val="24"/>
                <w:vertAlign w:val="superscript"/>
              </w:rPr>
              <w:t>9</w:t>
            </w:r>
            <w:r>
              <w:rPr>
                <w:rFonts w:hint="eastAsia" w:ascii="宋体" w:hAnsi="宋体"/>
                <w:sz w:val="24"/>
              </w:rPr>
              <w:t xml:space="preserve"> M</w:t>
            </w:r>
            <w:r>
              <w:rPr>
                <w:rFonts w:hint="eastAsia" w:ascii="宋体" w:hAnsi="宋体"/>
                <w:sz w:val="24"/>
                <w:vertAlign w:val="superscript"/>
              </w:rPr>
              <w:t>-1</w:t>
            </w:r>
            <w:r>
              <w:rPr>
                <w:rFonts w:hint="eastAsia" w:ascii="宋体" w:hAnsi="宋体"/>
                <w:sz w:val="24"/>
              </w:rPr>
              <w:t>s</w:t>
            </w:r>
            <w:r>
              <w:rPr>
                <w:rFonts w:hint="eastAsia" w:ascii="宋体" w:hAnsi="宋体"/>
                <w:sz w:val="24"/>
                <w:vertAlign w:val="superscript"/>
              </w:rPr>
              <w:t>-1</w:t>
            </w:r>
            <w:r>
              <w:rPr>
                <w:rFonts w:hint="eastAsia" w:ascii="宋体" w:hAnsi="宋体"/>
                <w:sz w:val="24"/>
              </w:rPr>
              <w:t>；</w:t>
            </w:r>
          </w:p>
          <w:p>
            <w:pPr>
              <w:rPr>
                <w:rFonts w:ascii="宋体" w:hAnsi="宋体"/>
                <w:sz w:val="24"/>
              </w:rPr>
            </w:pPr>
            <w:r>
              <w:rPr>
                <w:rFonts w:ascii="宋体" w:hAnsi="宋体"/>
                <w:sz w:val="24"/>
              </w:rPr>
              <w:t>25</w:t>
            </w:r>
            <w:r>
              <w:rPr>
                <w:rFonts w:hint="eastAsia" w:ascii="宋体" w:hAnsi="宋体"/>
                <w:sz w:val="24"/>
              </w:rPr>
              <w:t>.解离速率常数范围：10</w:t>
            </w:r>
            <w:r>
              <w:rPr>
                <w:rFonts w:hint="eastAsia" w:ascii="宋体" w:hAnsi="宋体"/>
                <w:sz w:val="24"/>
                <w:vertAlign w:val="superscript"/>
              </w:rPr>
              <w:t>-</w:t>
            </w:r>
            <w:r>
              <w:rPr>
                <w:rFonts w:ascii="宋体" w:hAnsi="宋体"/>
                <w:sz w:val="24"/>
                <w:vertAlign w:val="superscript"/>
              </w:rPr>
              <w:t>6</w:t>
            </w:r>
            <w:r>
              <w:rPr>
                <w:rFonts w:hint="eastAsia" w:ascii="宋体" w:hAnsi="宋体"/>
                <w:sz w:val="24"/>
              </w:rPr>
              <w:t>–1 s</w:t>
            </w:r>
            <w:r>
              <w:rPr>
                <w:rFonts w:hint="eastAsia" w:ascii="宋体" w:hAnsi="宋体"/>
                <w:sz w:val="24"/>
                <w:vertAlign w:val="superscript"/>
              </w:rPr>
              <w:t>-1</w:t>
            </w:r>
            <w:r>
              <w:rPr>
                <w:rFonts w:hint="eastAsia" w:ascii="宋体" w:hAnsi="宋体"/>
                <w:sz w:val="24"/>
              </w:rPr>
              <w:t>；</w:t>
            </w:r>
          </w:p>
          <w:p>
            <w:pPr>
              <w:widowControl/>
              <w:rPr>
                <w:sz w:val="24"/>
              </w:rPr>
            </w:pPr>
            <w:r>
              <w:rPr>
                <w:sz w:val="24"/>
              </w:rPr>
              <w:t>26</w:t>
            </w:r>
            <w:r>
              <w:rPr>
                <w:rFonts w:hint="eastAsia" w:ascii="宋体" w:hAnsi="宋体" w:cs="宋体"/>
                <w:sz w:val="24"/>
              </w:rPr>
              <w:t>.</w:t>
            </w:r>
            <w:r>
              <w:rPr>
                <w:sz w:val="24"/>
              </w:rPr>
              <w:t>样品浓度：</w:t>
            </w:r>
            <w:r>
              <w:rPr>
                <w:rFonts w:hint="eastAsia"/>
                <w:sz w:val="24"/>
              </w:rPr>
              <w:t>≥</w:t>
            </w:r>
            <w:r>
              <w:rPr>
                <w:sz w:val="24"/>
              </w:rPr>
              <w:t>1pM；</w:t>
            </w:r>
          </w:p>
          <w:p>
            <w:pPr>
              <w:widowControl/>
              <w:rPr>
                <w:sz w:val="24"/>
              </w:rPr>
            </w:pPr>
            <w:r>
              <w:rPr>
                <w:sz w:val="24"/>
              </w:rPr>
              <w:t>27</w:t>
            </w:r>
            <w:r>
              <w:rPr>
                <w:rFonts w:hint="eastAsia" w:ascii="宋体" w:hAnsi="宋体" w:cs="宋体"/>
                <w:sz w:val="24"/>
              </w:rPr>
              <w:t>.</w:t>
            </w:r>
            <w:r>
              <w:rPr>
                <w:sz w:val="24"/>
              </w:rPr>
              <w:t>浓度分析模式：</w:t>
            </w:r>
            <w:r>
              <w:rPr>
                <w:rFonts w:hint="eastAsia"/>
                <w:sz w:val="24"/>
              </w:rPr>
              <w:t>≥</w:t>
            </w:r>
            <w:r>
              <w:rPr>
                <w:sz w:val="24"/>
              </w:rPr>
              <w:t>2种；</w:t>
            </w:r>
          </w:p>
          <w:p>
            <w:pPr>
              <w:widowControl/>
              <w:rPr>
                <w:sz w:val="24"/>
              </w:rPr>
            </w:pPr>
            <w:r>
              <w:rPr>
                <w:sz w:val="24"/>
              </w:rPr>
              <w:t>28</w:t>
            </w:r>
            <w:r>
              <w:rPr>
                <w:rFonts w:hint="eastAsia" w:ascii="宋体" w:hAnsi="宋体" w:cs="宋体"/>
                <w:sz w:val="24"/>
              </w:rPr>
              <w:t>.</w:t>
            </w:r>
            <w:r>
              <w:rPr>
                <w:sz w:val="24"/>
              </w:rPr>
              <w:t>热动力学分析模式：可计算分子相互作用的热力学参数，如焓变、熵变等</w:t>
            </w:r>
          </w:p>
          <w:p>
            <w:pPr>
              <w:widowControl/>
              <w:rPr>
                <w:sz w:val="24"/>
              </w:rPr>
            </w:pPr>
            <w:r>
              <w:rPr>
                <w:sz w:val="24"/>
              </w:rPr>
              <w:t>29</w:t>
            </w:r>
            <w:r>
              <w:rPr>
                <w:rFonts w:hint="eastAsia" w:ascii="宋体" w:hAnsi="宋体" w:cs="宋体"/>
                <w:sz w:val="24"/>
              </w:rPr>
              <w:t>.</w:t>
            </w:r>
            <w:r>
              <w:rPr>
                <w:sz w:val="24"/>
              </w:rPr>
              <w:t>软件要求：具有数据质量评估系统，能够图形化显示评估结果；支持数据拟合模型：</w:t>
            </w:r>
            <w:r>
              <w:rPr>
                <w:rFonts w:hint="eastAsia"/>
                <w:sz w:val="24"/>
              </w:rPr>
              <w:t>≥</w:t>
            </w:r>
            <w:r>
              <w:rPr>
                <w:sz w:val="24"/>
              </w:rPr>
              <w:t>4种；数据结果输出形式</w:t>
            </w:r>
            <w:r>
              <w:rPr>
                <w:rFonts w:hint="eastAsia"/>
                <w:sz w:val="24"/>
              </w:rPr>
              <w:t>≥</w:t>
            </w:r>
            <w:r>
              <w:rPr>
                <w:sz w:val="24"/>
              </w:rPr>
              <w:t>3种，包含pdf，excel和PPT的输出格式；</w:t>
            </w:r>
          </w:p>
          <w:p>
            <w:pPr>
              <w:widowControl/>
              <w:rPr>
                <w:sz w:val="24"/>
              </w:rPr>
            </w:pPr>
            <w:r>
              <w:rPr>
                <w:sz w:val="24"/>
              </w:rPr>
              <w:t>30</w:t>
            </w:r>
            <w:r>
              <w:rPr>
                <w:rFonts w:hint="eastAsia" w:ascii="宋体" w:hAnsi="宋体" w:cs="宋体"/>
                <w:sz w:val="24"/>
              </w:rPr>
              <w:t>.</w:t>
            </w:r>
            <w:r>
              <w:rPr>
                <w:sz w:val="24"/>
              </w:rPr>
              <w:t>随机控制器1套(CPU：Intel i5系列,内存：8G以上，硬盘：500GB或以上，windows10 专业版系统，显示器22英寸以上，安装控制及分析软件1套)；</w:t>
            </w:r>
          </w:p>
          <w:p>
            <w:pPr>
              <w:widowControl/>
              <w:rPr>
                <w:sz w:val="24"/>
              </w:rPr>
            </w:pPr>
            <w:r>
              <w:rPr>
                <w:sz w:val="24"/>
              </w:rPr>
              <w:t>▲31</w:t>
            </w:r>
            <w:r>
              <w:rPr>
                <w:rFonts w:hint="eastAsia" w:ascii="宋体" w:hAnsi="宋体" w:cs="宋体"/>
                <w:sz w:val="24"/>
              </w:rPr>
              <w:t>. 质量保证期不少于</w:t>
            </w:r>
            <w:r>
              <w:rPr>
                <w:sz w:val="24"/>
              </w:rPr>
              <w:t>3年（自安装验收合格之日开始计算）。</w:t>
            </w:r>
          </w:p>
          <w:p>
            <w:pPr>
              <w:widowControl/>
              <w:rPr>
                <w:sz w:val="24"/>
              </w:rPr>
            </w:pPr>
            <w:r>
              <w:rPr>
                <w:sz w:val="24"/>
              </w:rPr>
              <w:t>▲32</w:t>
            </w:r>
            <w:r>
              <w:rPr>
                <w:rFonts w:hint="eastAsia" w:ascii="宋体" w:hAnsi="宋体" w:cs="宋体"/>
                <w:sz w:val="24"/>
              </w:rPr>
              <w:t>.</w:t>
            </w:r>
            <w:r>
              <w:rPr>
                <w:sz w:val="24"/>
              </w:rPr>
              <w:t>耗材：适用于蛋白质氨基偶联的传感芯片10个；适用于偶联带有His标签的传感芯片3个；氨基偶联试剂盒1套；再生试剂选择试剂盒1套；偶联缓冲液1套；再生试剂1套；运行缓冲液1套，维护试剂盒1套。</w:t>
            </w:r>
          </w:p>
          <w:p>
            <w:pPr>
              <w:widowControl/>
              <w:rPr>
                <w:sz w:val="24"/>
              </w:rPr>
            </w:pPr>
          </w:p>
        </w:tc>
        <w:tc>
          <w:tcPr>
            <w:tcW w:w="707" w:type="dxa"/>
            <w:vAlign w:val="center"/>
          </w:tcPr>
          <w:p>
            <w:pPr>
              <w:widowControl/>
              <w:jc w:val="center"/>
              <w:textAlignment w:val="center"/>
              <w:rPr>
                <w:rFonts w:ascii="宋体" w:hAnsi="宋体" w:cs="宋体"/>
                <w:sz w:val="24"/>
              </w:rPr>
            </w:pPr>
            <w:r>
              <w:rPr>
                <w:rFonts w:hint="eastAsia" w:ascii="宋体" w:hAnsi="宋体" w:cs="宋体"/>
                <w:sz w:val="24"/>
              </w:rPr>
              <w:t>28</w:t>
            </w:r>
            <w:r>
              <w:rPr>
                <w:rFonts w:ascii="宋体" w:hAnsi="宋体" w:cs="宋体"/>
                <w:sz w:val="24"/>
              </w:rPr>
              <w:t>5</w:t>
            </w:r>
          </w:p>
        </w:tc>
        <w:tc>
          <w:tcPr>
            <w:tcW w:w="804" w:type="dxa"/>
            <w:vAlign w:val="center"/>
          </w:tcPr>
          <w:p>
            <w:pPr>
              <w:widowControl/>
              <w:jc w:val="center"/>
              <w:textAlignment w:val="center"/>
              <w:rPr>
                <w:rFonts w:ascii="宋体" w:hAnsi="宋体" w:cs="宋体"/>
                <w:sz w:val="24"/>
              </w:rPr>
            </w:pPr>
            <w:r>
              <w:rPr>
                <w:rFonts w:hint="eastAsia" w:ascii="宋体" w:hAnsi="宋体" w:cs="宋体"/>
                <w:sz w:val="24"/>
              </w:rPr>
              <w:t>28</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36" w:type="dxa"/>
            <w:vAlign w:val="center"/>
          </w:tcPr>
          <w:p>
            <w:pPr>
              <w:tabs>
                <w:tab w:val="left" w:pos="180"/>
                <w:tab w:val="left" w:pos="1620"/>
              </w:tabs>
              <w:spacing w:line="360" w:lineRule="auto"/>
              <w:jc w:val="center"/>
              <w:rPr>
                <w:rFonts w:ascii="宋体" w:hAnsi="宋体" w:cs="宋体"/>
                <w:sz w:val="24"/>
              </w:rPr>
            </w:pPr>
            <w:r>
              <w:rPr>
                <w:rFonts w:hint="eastAsia" w:ascii="宋体" w:hAnsi="宋体" w:cs="宋体"/>
                <w:sz w:val="24"/>
              </w:rPr>
              <w:t>2</w:t>
            </w:r>
          </w:p>
        </w:tc>
        <w:tc>
          <w:tcPr>
            <w:tcW w:w="942" w:type="dxa"/>
            <w:vAlign w:val="center"/>
          </w:tcPr>
          <w:p>
            <w:pPr>
              <w:widowControl/>
              <w:jc w:val="center"/>
              <w:rPr>
                <w:rFonts w:ascii="宋体" w:hAnsi="宋体" w:cs="宋体"/>
                <w:sz w:val="24"/>
              </w:rPr>
            </w:pPr>
            <w:r>
              <w:rPr>
                <w:rFonts w:hint="eastAsia" w:ascii="宋体" w:hAnsi="宋体" w:cs="宋体"/>
                <w:sz w:val="24"/>
              </w:rPr>
              <w:t>纳流/微流蛋白分析仪</w:t>
            </w:r>
          </w:p>
        </w:tc>
        <w:tc>
          <w:tcPr>
            <w:tcW w:w="472" w:type="dxa"/>
            <w:vAlign w:val="center"/>
          </w:tcPr>
          <w:p>
            <w:pPr>
              <w:widowControl/>
              <w:jc w:val="center"/>
              <w:rPr>
                <w:rFonts w:ascii="宋体" w:hAnsi="宋体" w:cs="宋体"/>
                <w:sz w:val="24"/>
              </w:rPr>
            </w:pPr>
            <w:r>
              <w:rPr>
                <w:rFonts w:hint="eastAsia" w:ascii="宋体" w:hAnsi="宋体" w:cs="宋体"/>
                <w:sz w:val="24"/>
              </w:rPr>
              <w:t>套</w:t>
            </w:r>
          </w:p>
        </w:tc>
        <w:tc>
          <w:tcPr>
            <w:tcW w:w="557" w:type="dxa"/>
            <w:vAlign w:val="center"/>
          </w:tcPr>
          <w:p>
            <w:pPr>
              <w:widowControl/>
              <w:jc w:val="center"/>
              <w:rPr>
                <w:rFonts w:ascii="宋体" w:hAnsi="宋体" w:cs="宋体"/>
                <w:sz w:val="24"/>
              </w:rPr>
            </w:pPr>
            <w:r>
              <w:rPr>
                <w:rFonts w:hint="eastAsia" w:ascii="宋体" w:hAnsi="宋体" w:cs="宋体"/>
                <w:sz w:val="24"/>
              </w:rPr>
              <w:t>1</w:t>
            </w:r>
          </w:p>
        </w:tc>
        <w:tc>
          <w:tcPr>
            <w:tcW w:w="6686" w:type="dxa"/>
          </w:tcPr>
          <w:p>
            <w:pPr>
              <w:widowControl/>
              <w:jc w:val="left"/>
              <w:rPr>
                <w:sz w:val="24"/>
              </w:rPr>
            </w:pPr>
            <w:r>
              <w:rPr>
                <w:sz w:val="24"/>
              </w:rPr>
              <w:t>一、主要技术参数</w:t>
            </w:r>
          </w:p>
          <w:p>
            <w:pPr>
              <w:widowControl/>
              <w:jc w:val="left"/>
              <w:rPr>
                <w:sz w:val="24"/>
              </w:rPr>
            </w:pPr>
            <w:r>
              <w:rPr>
                <w:sz w:val="24"/>
              </w:rPr>
              <w:t>▲1</w:t>
            </w:r>
            <w:r>
              <w:rPr>
                <w:rFonts w:hint="eastAsia" w:ascii="宋体" w:hAnsi="宋体" w:cs="宋体"/>
                <w:sz w:val="24"/>
              </w:rPr>
              <w:t>.</w:t>
            </w:r>
            <w:r>
              <w:rPr>
                <w:sz w:val="24"/>
              </w:rPr>
              <w:t>压力范围：0-860 bar (纳升泵)；0-620 bar (上样泵)。</w:t>
            </w:r>
          </w:p>
          <w:p>
            <w:pPr>
              <w:widowControl/>
              <w:jc w:val="left"/>
              <w:rPr>
                <w:sz w:val="24"/>
              </w:rPr>
            </w:pPr>
            <w:r>
              <w:rPr>
                <w:sz w:val="24"/>
              </w:rPr>
              <w:t>2</w:t>
            </w:r>
            <w:r>
              <w:rPr>
                <w:rFonts w:hint="eastAsia" w:ascii="宋体" w:hAnsi="宋体" w:cs="宋体"/>
                <w:sz w:val="24"/>
              </w:rPr>
              <w:t>.</w:t>
            </w:r>
            <w:r>
              <w:rPr>
                <w:sz w:val="24"/>
              </w:rPr>
              <w:t>纳升泵流速：50nL-1.5 μL/min。</w:t>
            </w:r>
          </w:p>
          <w:p>
            <w:pPr>
              <w:widowControl/>
              <w:jc w:val="left"/>
              <w:rPr>
                <w:sz w:val="24"/>
              </w:rPr>
            </w:pPr>
            <w:r>
              <w:rPr>
                <w:sz w:val="24"/>
              </w:rPr>
              <w:t>3</w:t>
            </w:r>
            <w:r>
              <w:rPr>
                <w:rFonts w:hint="eastAsia" w:ascii="宋体" w:hAnsi="宋体" w:cs="宋体"/>
                <w:sz w:val="24"/>
              </w:rPr>
              <w:t>.</w:t>
            </w:r>
            <w:r>
              <w:rPr>
                <w:sz w:val="24"/>
              </w:rPr>
              <w:t>保留时间重现性：</w:t>
            </w:r>
            <w:r>
              <w:rPr>
                <w:rFonts w:hint="eastAsia"/>
              </w:rPr>
              <w:t>≤</w:t>
            </w:r>
            <w:r>
              <w:rPr>
                <w:sz w:val="24"/>
              </w:rPr>
              <w:t>1% RSD（300nL/min）。</w:t>
            </w:r>
          </w:p>
          <w:p>
            <w:pPr>
              <w:widowControl/>
              <w:jc w:val="left"/>
              <w:rPr>
                <w:sz w:val="24"/>
              </w:rPr>
            </w:pPr>
            <w:r>
              <w:rPr>
                <w:sz w:val="24"/>
              </w:rPr>
              <w:t>4</w:t>
            </w:r>
            <w:r>
              <w:rPr>
                <w:rFonts w:hint="eastAsia" w:ascii="宋体" w:hAnsi="宋体" w:cs="宋体"/>
                <w:sz w:val="24"/>
              </w:rPr>
              <w:t>.</w:t>
            </w:r>
            <w:r>
              <w:rPr>
                <w:sz w:val="24"/>
              </w:rPr>
              <w:t>泵清洗系统：自动单独流路清洗柱塞；</w:t>
            </w:r>
            <w:r>
              <w:rPr>
                <w:rFonts w:hint="eastAsia"/>
                <w:sz w:val="24"/>
              </w:rPr>
              <w:t>带</w:t>
            </w:r>
            <w:r>
              <w:rPr>
                <w:sz w:val="24"/>
              </w:rPr>
              <w:t>液滴计数器</w:t>
            </w:r>
            <w:r>
              <w:rPr>
                <w:rFonts w:hint="eastAsia"/>
                <w:sz w:val="24"/>
              </w:rPr>
              <w:t>，</w:t>
            </w:r>
            <w:r>
              <w:rPr>
                <w:sz w:val="24"/>
              </w:rPr>
              <w:t>自动监控泵漏液情况和泵清洗液情况；可通过液晶屏直接控制。</w:t>
            </w:r>
          </w:p>
          <w:p>
            <w:pPr>
              <w:widowControl/>
              <w:jc w:val="left"/>
              <w:rPr>
                <w:sz w:val="24"/>
              </w:rPr>
            </w:pPr>
            <w:r>
              <w:rPr>
                <w:sz w:val="24"/>
              </w:rPr>
              <w:t>5</w:t>
            </w:r>
            <w:r>
              <w:rPr>
                <w:rFonts w:hint="eastAsia" w:ascii="宋体" w:hAnsi="宋体" w:cs="宋体"/>
                <w:sz w:val="24"/>
              </w:rPr>
              <w:t>.</w:t>
            </w:r>
            <w:r>
              <w:rPr>
                <w:sz w:val="24"/>
              </w:rPr>
              <w:t>柱温箱</w:t>
            </w:r>
            <w:r>
              <w:rPr>
                <w:rFonts w:hint="eastAsia"/>
                <w:sz w:val="24"/>
              </w:rPr>
              <w:t>：</w:t>
            </w:r>
            <w:r>
              <w:rPr>
                <w:sz w:val="24"/>
              </w:rPr>
              <w:t>内置温度、湿度、气体传感器，在线监测泄露情况</w:t>
            </w:r>
            <w:r>
              <w:rPr>
                <w:rFonts w:hint="eastAsia"/>
                <w:sz w:val="24"/>
              </w:rPr>
              <w:t>；控温</w:t>
            </w:r>
            <w:r>
              <w:rPr>
                <w:sz w:val="24"/>
              </w:rPr>
              <w:t>范围：7 ˚C -75 ˚C</w:t>
            </w:r>
            <w:r>
              <w:rPr>
                <w:rFonts w:hint="eastAsia"/>
                <w:sz w:val="24"/>
              </w:rPr>
              <w:t>（室温环境）；</w:t>
            </w:r>
            <w:r>
              <w:rPr>
                <w:sz w:val="24"/>
              </w:rPr>
              <w:t>柱容量：最多3根</w:t>
            </w:r>
            <w:r>
              <w:rPr>
                <w:rFonts w:hint="eastAsia"/>
                <w:sz w:val="24"/>
              </w:rPr>
              <w:t>。</w:t>
            </w:r>
          </w:p>
          <w:p>
            <w:pPr>
              <w:widowControl/>
              <w:jc w:val="left"/>
              <w:rPr>
                <w:sz w:val="24"/>
              </w:rPr>
            </w:pPr>
            <w:r>
              <w:rPr>
                <w:sz w:val="24"/>
              </w:rPr>
              <w:t>6</w:t>
            </w:r>
            <w:r>
              <w:rPr>
                <w:rFonts w:hint="eastAsia" w:ascii="宋体" w:hAnsi="宋体" w:cs="宋体"/>
                <w:sz w:val="24"/>
              </w:rPr>
              <w:t>.</w:t>
            </w:r>
            <w:r>
              <w:rPr>
                <w:sz w:val="24"/>
              </w:rPr>
              <w:t>自动进样器</w:t>
            </w:r>
            <w:r>
              <w:rPr>
                <w:rFonts w:hint="eastAsia"/>
                <w:sz w:val="24"/>
              </w:rPr>
              <w:t>：</w:t>
            </w:r>
            <w:r>
              <w:rPr>
                <w:sz w:val="24"/>
              </w:rPr>
              <w:t>采用针套针进样技术，可实现满环，半环，低扩散等进样方式</w:t>
            </w:r>
            <w:r>
              <w:rPr>
                <w:rFonts w:hint="eastAsia"/>
                <w:sz w:val="24"/>
              </w:rPr>
              <w:t>；</w:t>
            </w:r>
            <w:r>
              <w:rPr>
                <w:sz w:val="24"/>
              </w:rPr>
              <w:t>可实现编程清洗</w:t>
            </w:r>
            <w:r>
              <w:rPr>
                <w:rFonts w:hint="eastAsia"/>
                <w:sz w:val="24"/>
              </w:rPr>
              <w:t>进样器；</w:t>
            </w:r>
            <w:r>
              <w:rPr>
                <w:sz w:val="24"/>
              </w:rPr>
              <w:t>进样体积范围： 0.1-15μL</w:t>
            </w:r>
            <w:r>
              <w:rPr>
                <w:rFonts w:hint="eastAsia"/>
                <w:sz w:val="24"/>
              </w:rPr>
              <w:t>；</w:t>
            </w:r>
            <w:r>
              <w:rPr>
                <w:sz w:val="24"/>
              </w:rPr>
              <w:t>兼容96孔板、384孔板及常规样品瓶</w:t>
            </w:r>
            <w:r>
              <w:rPr>
                <w:rFonts w:hint="eastAsia"/>
                <w:sz w:val="24"/>
              </w:rPr>
              <w:t>；</w:t>
            </w:r>
            <w:r>
              <w:rPr>
                <w:sz w:val="24"/>
              </w:rPr>
              <w:t>样品盘控温范围：4˚C–45˚C</w:t>
            </w:r>
            <w:r>
              <w:rPr>
                <w:rFonts w:hint="eastAsia"/>
                <w:sz w:val="24"/>
              </w:rPr>
              <w:t>；</w:t>
            </w:r>
            <w:r>
              <w:rPr>
                <w:sz w:val="24"/>
              </w:rPr>
              <w:t>配备泄漏传感器，</w:t>
            </w:r>
            <w:r>
              <w:rPr>
                <w:rFonts w:hint="eastAsia"/>
                <w:sz w:val="24"/>
              </w:rPr>
              <w:t>具</w:t>
            </w:r>
            <w:r>
              <w:rPr>
                <w:sz w:val="24"/>
              </w:rPr>
              <w:t>有样品盘和样品自动识别功能。</w:t>
            </w:r>
          </w:p>
          <w:p>
            <w:pPr>
              <w:widowControl/>
              <w:jc w:val="left"/>
              <w:rPr>
                <w:sz w:val="24"/>
              </w:rPr>
            </w:pPr>
            <w:r>
              <w:rPr>
                <w:sz w:val="24"/>
              </w:rPr>
              <w:t>二、配置要求</w:t>
            </w:r>
          </w:p>
          <w:p>
            <w:pPr>
              <w:widowControl/>
              <w:jc w:val="left"/>
              <w:rPr>
                <w:sz w:val="24"/>
              </w:rPr>
            </w:pPr>
            <w:r>
              <w:rPr>
                <w:sz w:val="24"/>
              </w:rPr>
              <w:t>1</w:t>
            </w:r>
            <w:r>
              <w:rPr>
                <w:rFonts w:hint="eastAsia" w:ascii="宋体" w:hAnsi="宋体" w:cs="宋体"/>
                <w:sz w:val="24"/>
              </w:rPr>
              <w:t>.</w:t>
            </w:r>
            <w:r>
              <w:rPr>
                <w:sz w:val="24"/>
              </w:rPr>
              <w:t>主机，1套。</w:t>
            </w:r>
          </w:p>
          <w:p>
            <w:pPr>
              <w:widowControl/>
              <w:jc w:val="left"/>
              <w:rPr>
                <w:sz w:val="24"/>
              </w:rPr>
            </w:pPr>
            <w:r>
              <w:rPr>
                <w:sz w:val="24"/>
              </w:rPr>
              <w:t>2</w:t>
            </w:r>
            <w:r>
              <w:rPr>
                <w:rFonts w:hint="eastAsia" w:ascii="宋体" w:hAnsi="宋体" w:cs="宋体"/>
                <w:sz w:val="24"/>
              </w:rPr>
              <w:t>.</w:t>
            </w:r>
            <w:r>
              <w:rPr>
                <w:sz w:val="24"/>
              </w:rPr>
              <w:t>纳流泵，1套。</w:t>
            </w:r>
          </w:p>
          <w:p>
            <w:pPr>
              <w:widowControl/>
              <w:jc w:val="left"/>
              <w:rPr>
                <w:sz w:val="24"/>
              </w:rPr>
            </w:pPr>
            <w:r>
              <w:rPr>
                <w:sz w:val="24"/>
              </w:rPr>
              <w:t>3</w:t>
            </w:r>
            <w:r>
              <w:rPr>
                <w:rFonts w:hint="eastAsia" w:ascii="宋体" w:hAnsi="宋体" w:cs="宋体"/>
                <w:sz w:val="24"/>
              </w:rPr>
              <w:t>.</w:t>
            </w:r>
            <w:r>
              <w:rPr>
                <w:sz w:val="24"/>
              </w:rPr>
              <w:t>柱温箱，1套。</w:t>
            </w:r>
          </w:p>
          <w:p>
            <w:pPr>
              <w:widowControl/>
              <w:jc w:val="left"/>
              <w:rPr>
                <w:sz w:val="24"/>
              </w:rPr>
            </w:pPr>
            <w:r>
              <w:rPr>
                <w:sz w:val="24"/>
              </w:rPr>
              <w:t>4</w:t>
            </w:r>
            <w:r>
              <w:rPr>
                <w:rFonts w:hint="eastAsia" w:ascii="宋体" w:hAnsi="宋体" w:cs="宋体"/>
                <w:sz w:val="24"/>
              </w:rPr>
              <w:t>.</w:t>
            </w:r>
            <w:r>
              <w:rPr>
                <w:sz w:val="24"/>
              </w:rPr>
              <w:t>自动进样器，1套。</w:t>
            </w:r>
          </w:p>
          <w:p>
            <w:pPr>
              <w:widowControl/>
              <w:jc w:val="left"/>
              <w:rPr>
                <w:sz w:val="24"/>
              </w:rPr>
            </w:pPr>
            <w:r>
              <w:rPr>
                <w:sz w:val="24"/>
              </w:rPr>
              <w:t>5</w:t>
            </w:r>
            <w:r>
              <w:rPr>
                <w:rFonts w:hint="eastAsia" w:ascii="宋体" w:hAnsi="宋体" w:cs="宋体"/>
                <w:sz w:val="24"/>
              </w:rPr>
              <w:t>.</w:t>
            </w:r>
            <w:r>
              <w:rPr>
                <w:sz w:val="24"/>
              </w:rPr>
              <w:t>纳流色谱柱，3根。</w:t>
            </w:r>
          </w:p>
          <w:p>
            <w:pPr>
              <w:widowControl/>
              <w:jc w:val="left"/>
              <w:rPr>
                <w:sz w:val="24"/>
              </w:rPr>
            </w:pPr>
            <w:r>
              <w:rPr>
                <w:sz w:val="24"/>
              </w:rPr>
              <w:t>6</w:t>
            </w:r>
            <w:r>
              <w:rPr>
                <w:rFonts w:hint="eastAsia" w:ascii="宋体" w:hAnsi="宋体" w:cs="宋体"/>
                <w:sz w:val="24"/>
              </w:rPr>
              <w:t>.</w:t>
            </w:r>
            <w:r>
              <w:rPr>
                <w:sz w:val="24"/>
              </w:rPr>
              <w:t>纳升液体管路</w:t>
            </w:r>
            <w:r>
              <w:rPr>
                <w:rFonts w:hint="eastAsia"/>
                <w:sz w:val="24"/>
              </w:rPr>
              <w:t>（带</w:t>
            </w:r>
            <w:r>
              <w:rPr>
                <w:sz w:val="24"/>
              </w:rPr>
              <w:t>Viper</w:t>
            </w:r>
            <w:r>
              <w:rPr>
                <w:rFonts w:hint="eastAsia"/>
                <w:sz w:val="24"/>
              </w:rPr>
              <w:t>接头）</w:t>
            </w:r>
            <w:r>
              <w:rPr>
                <w:sz w:val="24"/>
              </w:rPr>
              <w:t>：ID20µm×350mm，1套；ID20µm×500mm，1套；ID50µm×500mm，1套；ID75µm×500mm，1套。</w:t>
            </w:r>
          </w:p>
          <w:p>
            <w:pPr>
              <w:widowControl/>
              <w:jc w:val="left"/>
              <w:rPr>
                <w:sz w:val="24"/>
              </w:rPr>
            </w:pPr>
            <w:r>
              <w:rPr>
                <w:sz w:val="24"/>
              </w:rPr>
              <w:t>7</w:t>
            </w:r>
            <w:r>
              <w:rPr>
                <w:rFonts w:hint="eastAsia" w:ascii="宋体" w:hAnsi="宋体" w:cs="宋体"/>
                <w:sz w:val="24"/>
              </w:rPr>
              <w:t>.</w:t>
            </w:r>
            <w:r>
              <w:rPr>
                <w:sz w:val="24"/>
              </w:rPr>
              <w:t>与液体连接四通结合起来用的微型套圈</w:t>
            </w:r>
            <w:r>
              <w:rPr>
                <w:rFonts w:hint="eastAsia"/>
                <w:sz w:val="24"/>
              </w:rPr>
              <w:t>，</w:t>
            </w:r>
            <w:r>
              <w:rPr>
                <w:sz w:val="24"/>
              </w:rPr>
              <w:t>2套。</w:t>
            </w:r>
          </w:p>
          <w:p>
            <w:pPr>
              <w:widowControl/>
              <w:jc w:val="left"/>
              <w:rPr>
                <w:sz w:val="24"/>
              </w:rPr>
            </w:pPr>
            <w:r>
              <w:rPr>
                <w:sz w:val="24"/>
              </w:rPr>
              <w:t>8</w:t>
            </w:r>
            <w:r>
              <w:rPr>
                <w:rFonts w:hint="eastAsia" w:ascii="宋体" w:hAnsi="宋体" w:cs="宋体"/>
                <w:sz w:val="24"/>
              </w:rPr>
              <w:t>.</w:t>
            </w:r>
            <w:r>
              <w:rPr>
                <w:sz w:val="24"/>
              </w:rPr>
              <w:t>堵头，2套。</w:t>
            </w:r>
          </w:p>
          <w:p>
            <w:pPr>
              <w:widowControl/>
              <w:jc w:val="left"/>
              <w:rPr>
                <w:sz w:val="24"/>
              </w:rPr>
            </w:pPr>
            <w:r>
              <w:rPr>
                <w:sz w:val="24"/>
              </w:rPr>
              <w:t>9</w:t>
            </w:r>
            <w:r>
              <w:rPr>
                <w:rFonts w:hint="eastAsia" w:ascii="宋体" w:hAnsi="宋体" w:cs="宋体"/>
                <w:sz w:val="24"/>
              </w:rPr>
              <w:t>.</w:t>
            </w:r>
            <w:r>
              <w:rPr>
                <w:sz w:val="24"/>
              </w:rPr>
              <w:t>活塞密封圈，2套。</w:t>
            </w:r>
          </w:p>
          <w:p>
            <w:pPr>
              <w:widowControl/>
              <w:jc w:val="left"/>
              <w:rPr>
                <w:sz w:val="24"/>
              </w:rPr>
            </w:pPr>
            <w:r>
              <w:rPr>
                <w:sz w:val="24"/>
              </w:rPr>
              <w:t>10</w:t>
            </w:r>
            <w:r>
              <w:rPr>
                <w:rFonts w:hint="eastAsia" w:ascii="宋体" w:hAnsi="宋体" w:cs="宋体"/>
                <w:sz w:val="24"/>
              </w:rPr>
              <w:t>.</w:t>
            </w:r>
            <w:r>
              <w:rPr>
                <w:sz w:val="24"/>
              </w:rPr>
              <w:t>进样针，2根。</w:t>
            </w:r>
          </w:p>
          <w:p>
            <w:pPr>
              <w:widowControl/>
              <w:jc w:val="left"/>
              <w:rPr>
                <w:sz w:val="24"/>
              </w:rPr>
            </w:pPr>
            <w:r>
              <w:rPr>
                <w:sz w:val="24"/>
              </w:rPr>
              <w:t>11</w:t>
            </w:r>
            <w:r>
              <w:rPr>
                <w:rFonts w:hint="eastAsia" w:ascii="宋体" w:hAnsi="宋体" w:cs="宋体"/>
                <w:sz w:val="24"/>
              </w:rPr>
              <w:t>.</w:t>
            </w:r>
            <w:r>
              <w:rPr>
                <w:sz w:val="24"/>
              </w:rPr>
              <w:t>单向阀，1套。</w:t>
            </w:r>
          </w:p>
          <w:p>
            <w:pPr>
              <w:widowControl/>
              <w:jc w:val="left"/>
              <w:rPr>
                <w:sz w:val="24"/>
              </w:rPr>
            </w:pPr>
            <w:r>
              <w:rPr>
                <w:sz w:val="24"/>
              </w:rPr>
              <w:t>12</w:t>
            </w:r>
            <w:r>
              <w:rPr>
                <w:rFonts w:hint="eastAsia" w:ascii="宋体" w:hAnsi="宋体" w:cs="宋体"/>
                <w:sz w:val="24"/>
              </w:rPr>
              <w:t>. 质量保证期不少于</w:t>
            </w:r>
            <w:r>
              <w:rPr>
                <w:sz w:val="24"/>
              </w:rPr>
              <w:t>1年（自安装验收合格之日开始计算）。</w:t>
            </w:r>
          </w:p>
        </w:tc>
        <w:tc>
          <w:tcPr>
            <w:tcW w:w="707" w:type="dxa"/>
            <w:vAlign w:val="center"/>
          </w:tcPr>
          <w:p>
            <w:pPr>
              <w:widowControl/>
              <w:jc w:val="center"/>
              <w:textAlignment w:val="center"/>
              <w:rPr>
                <w:rFonts w:ascii="宋体" w:hAnsi="宋体" w:cs="宋体"/>
                <w:sz w:val="24"/>
              </w:rPr>
            </w:pPr>
            <w:r>
              <w:rPr>
                <w:rFonts w:hint="eastAsia" w:ascii="宋体" w:hAnsi="宋体" w:cs="宋体"/>
                <w:sz w:val="24"/>
              </w:rPr>
              <w:t>70</w:t>
            </w:r>
          </w:p>
        </w:tc>
        <w:tc>
          <w:tcPr>
            <w:tcW w:w="804" w:type="dxa"/>
            <w:vAlign w:val="center"/>
          </w:tcPr>
          <w:p>
            <w:pPr>
              <w:widowControl/>
              <w:jc w:val="center"/>
              <w:textAlignment w:val="center"/>
              <w:rPr>
                <w:rFonts w:ascii="宋体" w:hAnsi="宋体" w:cs="宋体"/>
                <w:sz w:val="24"/>
              </w:rPr>
            </w:pPr>
            <w:r>
              <w:rPr>
                <w:rFonts w:hint="eastAsia"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36" w:type="dxa"/>
            <w:vAlign w:val="center"/>
          </w:tcPr>
          <w:p>
            <w:pPr>
              <w:widowControl/>
              <w:jc w:val="left"/>
              <w:rPr>
                <w:rFonts w:ascii="宋体" w:hAnsi="宋体" w:cs="宋体"/>
                <w:sz w:val="24"/>
              </w:rPr>
            </w:pPr>
            <w:r>
              <w:rPr>
                <w:rFonts w:ascii="宋体" w:hAnsi="宋体" w:cs="宋体"/>
                <w:sz w:val="24"/>
              </w:rPr>
              <w:t>3</w:t>
            </w:r>
          </w:p>
        </w:tc>
        <w:tc>
          <w:tcPr>
            <w:tcW w:w="942" w:type="dxa"/>
            <w:vAlign w:val="center"/>
          </w:tcPr>
          <w:p>
            <w:pPr>
              <w:widowControl/>
              <w:jc w:val="left"/>
              <w:rPr>
                <w:rFonts w:ascii="宋体" w:hAnsi="宋体" w:cs="宋体"/>
                <w:sz w:val="24"/>
              </w:rPr>
            </w:pPr>
            <w:r>
              <w:rPr>
                <w:rFonts w:hint="eastAsia" w:ascii="宋体" w:hAnsi="宋体" w:cs="宋体"/>
                <w:sz w:val="24"/>
              </w:rPr>
              <w:t>微量分子互作分析仪</w:t>
            </w:r>
          </w:p>
        </w:tc>
        <w:tc>
          <w:tcPr>
            <w:tcW w:w="472" w:type="dxa"/>
            <w:vAlign w:val="center"/>
          </w:tcPr>
          <w:p>
            <w:pPr>
              <w:widowControl/>
              <w:jc w:val="left"/>
              <w:rPr>
                <w:rFonts w:ascii="宋体" w:hAnsi="宋体" w:cs="宋体"/>
                <w:sz w:val="24"/>
              </w:rPr>
            </w:pPr>
            <w:r>
              <w:rPr>
                <w:rFonts w:hint="eastAsia" w:ascii="宋体" w:hAnsi="宋体" w:cs="宋体"/>
                <w:sz w:val="24"/>
              </w:rPr>
              <w:t>1</w:t>
            </w:r>
          </w:p>
        </w:tc>
        <w:tc>
          <w:tcPr>
            <w:tcW w:w="557" w:type="dxa"/>
            <w:vAlign w:val="center"/>
          </w:tcPr>
          <w:p>
            <w:pPr>
              <w:widowControl/>
              <w:jc w:val="left"/>
              <w:rPr>
                <w:rFonts w:ascii="宋体" w:hAnsi="宋体" w:cs="宋体"/>
                <w:sz w:val="24"/>
              </w:rPr>
            </w:pPr>
            <w:r>
              <w:rPr>
                <w:rFonts w:hint="eastAsia" w:ascii="宋体" w:hAnsi="宋体" w:cs="宋体"/>
                <w:sz w:val="24"/>
              </w:rPr>
              <w:t>套</w:t>
            </w:r>
          </w:p>
        </w:tc>
        <w:tc>
          <w:tcPr>
            <w:tcW w:w="6686" w:type="dxa"/>
          </w:tcPr>
          <w:p>
            <w:pPr>
              <w:widowControl/>
              <w:jc w:val="left"/>
              <w:rPr>
                <w:rFonts w:ascii="宋体" w:hAnsi="宋体" w:cs="宋体"/>
                <w:sz w:val="24"/>
              </w:rPr>
            </w:pPr>
            <w:r>
              <w:rPr>
                <w:rFonts w:hint="eastAsia" w:ascii="宋体" w:hAnsi="宋体" w:cs="宋体"/>
                <w:sz w:val="24"/>
              </w:rPr>
              <w:t>1.检测原理：基于微量热泳动原理的分析技术</w:t>
            </w:r>
          </w:p>
          <w:p>
            <w:pPr>
              <w:widowControl/>
              <w:jc w:val="left"/>
              <w:rPr>
                <w:rFonts w:ascii="宋体" w:hAnsi="宋体" w:cs="宋体"/>
                <w:sz w:val="24"/>
              </w:rPr>
            </w:pPr>
            <w:r>
              <w:rPr>
                <w:rFonts w:hint="eastAsia" w:ascii="宋体" w:hAnsi="宋体" w:cs="宋体"/>
                <w:sz w:val="24"/>
              </w:rPr>
              <w:t>2.测定平衡解离常数（KD值）范围：nM-mM</w:t>
            </w:r>
          </w:p>
          <w:p>
            <w:pPr>
              <w:widowControl/>
              <w:jc w:val="left"/>
              <w:rPr>
                <w:rFonts w:ascii="宋体" w:hAnsi="宋体" w:cs="宋体"/>
                <w:sz w:val="24"/>
              </w:rPr>
            </w:pPr>
            <w:r>
              <w:rPr>
                <w:rFonts w:hint="eastAsia" w:ascii="宋体" w:hAnsi="宋体" w:cs="宋体"/>
                <w:sz w:val="24"/>
              </w:rPr>
              <w:t>3.单次可检测平衡解离常数（KD值）数量：≥2组</w:t>
            </w:r>
          </w:p>
          <w:p>
            <w:pPr>
              <w:widowControl/>
              <w:jc w:val="left"/>
              <w:rPr>
                <w:rFonts w:ascii="宋体" w:hAnsi="宋体" w:cs="宋体"/>
                <w:sz w:val="24"/>
              </w:rPr>
            </w:pPr>
            <w:r>
              <w:rPr>
                <w:rFonts w:hint="eastAsia" w:ascii="宋体" w:hAnsi="宋体" w:cs="宋体"/>
                <w:sz w:val="24"/>
              </w:rPr>
              <w:t>▲4.测定样品的分子量范围：40-10</w:t>
            </w:r>
            <w:r>
              <w:rPr>
                <w:rFonts w:hint="eastAsia" w:ascii="宋体" w:hAnsi="宋体" w:cs="宋体"/>
                <w:sz w:val="24"/>
                <w:vertAlign w:val="superscript"/>
              </w:rPr>
              <w:t>7</w:t>
            </w:r>
            <w:r>
              <w:rPr>
                <w:rFonts w:hint="eastAsia" w:ascii="宋体" w:hAnsi="宋体" w:cs="宋体"/>
                <w:sz w:val="24"/>
              </w:rPr>
              <w:t xml:space="preserve"> Da</w:t>
            </w:r>
          </w:p>
          <w:p>
            <w:pPr>
              <w:widowControl/>
              <w:jc w:val="left"/>
              <w:rPr>
                <w:rFonts w:ascii="宋体" w:hAnsi="宋体" w:cs="宋体"/>
                <w:sz w:val="24"/>
              </w:rPr>
            </w:pPr>
            <w:r>
              <w:rPr>
                <w:rFonts w:hint="eastAsia" w:ascii="宋体" w:hAnsi="宋体" w:cs="宋体"/>
                <w:sz w:val="24"/>
              </w:rPr>
              <w:t>▲5.测定时间：≤10 min</w:t>
            </w:r>
          </w:p>
          <w:p>
            <w:pPr>
              <w:widowControl/>
              <w:jc w:val="left"/>
              <w:rPr>
                <w:rFonts w:ascii="宋体" w:hAnsi="宋体" w:cs="宋体"/>
                <w:sz w:val="24"/>
              </w:rPr>
            </w:pPr>
            <w:r>
              <w:rPr>
                <w:rFonts w:hint="eastAsia" w:ascii="宋体" w:hAnsi="宋体" w:cs="宋体"/>
                <w:sz w:val="24"/>
              </w:rPr>
              <w:t>6.上样方式：毛细管或毛细管组</w:t>
            </w:r>
          </w:p>
          <w:p>
            <w:pPr>
              <w:widowControl/>
              <w:jc w:val="left"/>
              <w:rPr>
                <w:rFonts w:ascii="宋体" w:hAnsi="宋体" w:cs="宋体"/>
                <w:sz w:val="24"/>
              </w:rPr>
            </w:pPr>
            <w:r>
              <w:rPr>
                <w:rFonts w:hint="eastAsia" w:ascii="宋体" w:hAnsi="宋体" w:cs="宋体"/>
                <w:sz w:val="24"/>
              </w:rPr>
              <w:t>7.一次可测定的样品数量：1-24个</w:t>
            </w:r>
          </w:p>
          <w:p>
            <w:pPr>
              <w:widowControl/>
              <w:jc w:val="left"/>
              <w:rPr>
                <w:sz w:val="24"/>
              </w:rPr>
            </w:pPr>
            <w:r>
              <w:rPr>
                <w:rFonts w:hint="eastAsia" w:ascii="宋体" w:hAnsi="宋体" w:cs="宋体"/>
                <w:sz w:val="24"/>
              </w:rPr>
              <w:t>8.最低样品消耗量：≤10</w:t>
            </w:r>
            <w:r>
              <w:rPr>
                <w:sz w:val="24"/>
              </w:rPr>
              <w:t>μL</w:t>
            </w:r>
          </w:p>
          <w:p>
            <w:pPr>
              <w:widowControl/>
              <w:jc w:val="left"/>
              <w:rPr>
                <w:rFonts w:ascii="宋体" w:hAnsi="宋体" w:cs="宋体"/>
                <w:sz w:val="24"/>
              </w:rPr>
            </w:pPr>
            <w:r>
              <w:rPr>
                <w:rFonts w:hint="eastAsia" w:ascii="宋体" w:hAnsi="宋体" w:cs="宋体"/>
                <w:sz w:val="24"/>
              </w:rPr>
              <w:t>9.样品温度控制范围：20℃-40℃</w:t>
            </w:r>
          </w:p>
          <w:p>
            <w:pPr>
              <w:widowControl/>
              <w:jc w:val="left"/>
              <w:rPr>
                <w:rFonts w:ascii="宋体" w:hAnsi="宋体" w:cs="宋体"/>
                <w:sz w:val="24"/>
              </w:rPr>
            </w:pPr>
            <w:r>
              <w:rPr>
                <w:rFonts w:hint="eastAsia" w:ascii="宋体" w:hAnsi="宋体" w:cs="宋体"/>
                <w:sz w:val="24"/>
              </w:rPr>
              <w:t>▲10.可在细胞裂解液或血清等溶液中直接测定亲和力，不受缓冲液成分影响，可耐受含去垢剂的缓冲液、含DMSO的缓冲液</w:t>
            </w:r>
          </w:p>
          <w:p>
            <w:pPr>
              <w:widowControl/>
              <w:jc w:val="left"/>
              <w:rPr>
                <w:rFonts w:ascii="宋体" w:hAnsi="宋体" w:cs="宋体"/>
                <w:sz w:val="24"/>
              </w:rPr>
            </w:pPr>
            <w:r>
              <w:rPr>
                <w:rFonts w:hint="eastAsia" w:ascii="宋体" w:hAnsi="宋体" w:cs="宋体"/>
                <w:sz w:val="24"/>
              </w:rPr>
              <w:t>11.样品种类：蛋白质、多肽、核酸、多糖、脂质体、小分子、离子等</w:t>
            </w:r>
          </w:p>
          <w:p>
            <w:pPr>
              <w:widowControl/>
              <w:jc w:val="left"/>
              <w:rPr>
                <w:rFonts w:ascii="宋体" w:hAnsi="宋体" w:cs="宋体"/>
                <w:sz w:val="24"/>
              </w:rPr>
            </w:pPr>
            <w:r>
              <w:rPr>
                <w:rFonts w:hint="eastAsia" w:ascii="宋体" w:hAnsi="宋体" w:cs="宋体"/>
                <w:sz w:val="24"/>
              </w:rPr>
              <w:t>▲12.样品无需固定到生物膜或芯片表面，可直接在溶液中进行测定</w:t>
            </w:r>
          </w:p>
          <w:p>
            <w:pPr>
              <w:widowControl/>
              <w:jc w:val="left"/>
              <w:rPr>
                <w:rFonts w:ascii="宋体" w:hAnsi="宋体" w:cs="宋体"/>
                <w:sz w:val="24"/>
              </w:rPr>
            </w:pPr>
            <w:r>
              <w:rPr>
                <w:rFonts w:hint="eastAsia" w:ascii="宋体" w:hAnsi="宋体" w:cs="宋体"/>
                <w:sz w:val="24"/>
              </w:rPr>
              <w:t>▲13.荧光通道种类：双荧光通道</w:t>
            </w:r>
          </w:p>
          <w:p>
            <w:pPr>
              <w:widowControl/>
              <w:jc w:val="left"/>
              <w:rPr>
                <w:rFonts w:ascii="宋体" w:hAnsi="宋体" w:cs="宋体"/>
                <w:sz w:val="24"/>
              </w:rPr>
            </w:pPr>
            <w:r>
              <w:rPr>
                <w:rFonts w:hint="eastAsia" w:ascii="宋体" w:hAnsi="宋体" w:cs="宋体"/>
                <w:sz w:val="24"/>
              </w:rPr>
              <w:t>14.具有质控功能，能实时监测样品质量信息并反馈优化建议</w:t>
            </w:r>
          </w:p>
          <w:p>
            <w:pPr>
              <w:widowControl/>
              <w:jc w:val="left"/>
              <w:rPr>
                <w:rFonts w:ascii="宋体" w:hAnsi="宋体" w:cs="宋体"/>
                <w:sz w:val="24"/>
              </w:rPr>
            </w:pPr>
            <w:r>
              <w:rPr>
                <w:rFonts w:hint="eastAsia" w:ascii="宋体" w:hAnsi="宋体" w:cs="宋体"/>
                <w:sz w:val="24"/>
              </w:rPr>
              <w:t>15.具有缓冲液筛选功能，能同时筛选15种以上缓冲液条件并自动判断最佳缓冲液条件</w:t>
            </w:r>
          </w:p>
          <w:p>
            <w:pPr>
              <w:widowControl/>
              <w:jc w:val="left"/>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.可测定化学计量数，即生物分子结合位点的数目；可测定热力学参数：ΔG (自由能 )、ΔH (焓)、ΔS (熵)；可直接测量或在竞争性试验中研究抑制物亲和力Ki；可测定多组分反应、二次结合、蛋白寡聚化。</w:t>
            </w:r>
          </w:p>
          <w:p>
            <w:pPr>
              <w:widowControl/>
              <w:jc w:val="left"/>
              <w:rPr>
                <w:rFonts w:ascii="宋体" w:hAnsi="宋体" w:cs="宋体"/>
                <w:sz w:val="24"/>
              </w:rPr>
            </w:pPr>
            <w:r>
              <w:rPr>
                <w:rFonts w:ascii="宋体" w:hAnsi="宋体" w:cs="宋体"/>
                <w:sz w:val="24"/>
              </w:rPr>
              <w:t>17</w:t>
            </w:r>
            <w:r>
              <w:rPr>
                <w:rFonts w:hint="eastAsia" w:ascii="宋体" w:hAnsi="宋体" w:cs="宋体"/>
                <w:sz w:val="24"/>
              </w:rPr>
              <w:t>.使用无液流系统。</w:t>
            </w:r>
          </w:p>
          <w:p>
            <w:pPr>
              <w:widowControl/>
              <w:jc w:val="left"/>
              <w:rPr>
                <w:rFonts w:ascii="宋体" w:hAnsi="宋体" w:cs="宋体"/>
                <w:sz w:val="24"/>
              </w:rPr>
            </w:pPr>
            <w:r>
              <w:rPr>
                <w:rFonts w:ascii="宋体" w:hAnsi="宋体" w:cs="宋体"/>
                <w:sz w:val="24"/>
              </w:rPr>
              <w:t>18</w:t>
            </w:r>
            <w:r>
              <w:rPr>
                <w:rFonts w:hint="eastAsia" w:ascii="宋体" w:hAnsi="宋体" w:cs="宋体"/>
                <w:sz w:val="24"/>
              </w:rPr>
              <w:t xml:space="preserve">.仪器控制软件可以实时采集数据和显示数据，可将数据合理分组、整合、对比，自动拟合数据，并绘制图片。 </w:t>
            </w:r>
          </w:p>
          <w:p>
            <w:pPr>
              <w:widowControl/>
              <w:jc w:val="left"/>
              <w:rPr>
                <w:rFonts w:ascii="宋体" w:hAnsi="宋体" w:cs="宋体"/>
                <w:sz w:val="24"/>
              </w:rPr>
            </w:pPr>
            <w:r>
              <w:rPr>
                <w:rFonts w:ascii="宋体" w:hAnsi="宋体" w:cs="宋体"/>
                <w:sz w:val="24"/>
              </w:rPr>
              <w:t>19</w:t>
            </w:r>
            <w:r>
              <w:rPr>
                <w:rFonts w:hint="eastAsia" w:ascii="宋体" w:hAnsi="宋体" w:cs="宋体"/>
                <w:sz w:val="24"/>
              </w:rPr>
              <w:t>.仪器控制工作站不低于以下配置：处理器Intel Core i5-10210U, (4 Core, 6M Cache, base 1.6 GHz up to 4.3GHz)； 内存8GB, 1x8 GB, DDR4, NON- ECC； 硬盘M.2 256GB SSD； 显示屏15.6 FHD (1920 x 1080) Anti-Glare Non-Touch</w:t>
            </w:r>
          </w:p>
          <w:p>
            <w:pPr>
              <w:widowControl/>
              <w:jc w:val="left"/>
              <w:rPr>
                <w:rFonts w:ascii="宋体" w:hAnsi="宋体" w:cs="宋体"/>
                <w:sz w:val="24"/>
              </w:rPr>
            </w:pPr>
            <w:r>
              <w:rPr>
                <w:rFonts w:ascii="宋体" w:hAnsi="宋体" w:cs="宋体"/>
                <w:sz w:val="24"/>
              </w:rPr>
              <w:t>20</w:t>
            </w:r>
            <w:r>
              <w:rPr>
                <w:rFonts w:hint="eastAsia" w:ascii="宋体" w:hAnsi="宋体" w:cs="宋体"/>
                <w:sz w:val="24"/>
              </w:rPr>
              <w:t xml:space="preserve">.配置清单： </w:t>
            </w:r>
          </w:p>
          <w:p>
            <w:pPr>
              <w:widowControl/>
              <w:jc w:val="left"/>
              <w:rPr>
                <w:rFonts w:ascii="宋体" w:hAnsi="宋体" w:cs="宋体"/>
                <w:sz w:val="24"/>
              </w:rPr>
            </w:pPr>
            <w:r>
              <w:rPr>
                <w:rFonts w:hint="eastAsia" w:ascii="宋体" w:hAnsi="宋体" w:cs="宋体"/>
                <w:sz w:val="24"/>
              </w:rPr>
              <w:t>1）主机 1台</w:t>
            </w:r>
          </w:p>
          <w:p>
            <w:pPr>
              <w:widowControl/>
              <w:jc w:val="left"/>
              <w:rPr>
                <w:rFonts w:ascii="宋体" w:hAnsi="宋体" w:cs="宋体"/>
                <w:sz w:val="24"/>
              </w:rPr>
            </w:pPr>
            <w:r>
              <w:rPr>
                <w:rFonts w:hint="eastAsia" w:ascii="宋体" w:hAnsi="宋体" w:cs="宋体"/>
                <w:sz w:val="24"/>
              </w:rPr>
              <w:t>2）仪器配套工作站 1台</w:t>
            </w:r>
          </w:p>
          <w:p>
            <w:pPr>
              <w:widowControl/>
              <w:jc w:val="left"/>
              <w:rPr>
                <w:rFonts w:ascii="宋体" w:hAnsi="宋体" w:cs="宋体"/>
                <w:sz w:val="24"/>
              </w:rPr>
            </w:pPr>
            <w:r>
              <w:rPr>
                <w:rFonts w:hint="eastAsia" w:ascii="宋体" w:hAnsi="宋体" w:cs="宋体"/>
                <w:sz w:val="24"/>
              </w:rPr>
              <w:t>3）控制软件和数据分析软件 1套</w:t>
            </w:r>
          </w:p>
          <w:p>
            <w:pPr>
              <w:widowControl/>
              <w:jc w:val="left"/>
              <w:rPr>
                <w:rFonts w:ascii="宋体" w:hAnsi="宋体" w:cs="宋体"/>
                <w:sz w:val="24"/>
              </w:rPr>
            </w:pPr>
            <w:r>
              <w:rPr>
                <w:rFonts w:hint="eastAsia" w:ascii="宋体" w:hAnsi="宋体" w:cs="宋体"/>
                <w:sz w:val="24"/>
              </w:rPr>
              <w:t>4）耗材启动装1套（含RED-NHS、RED-tris-NTA染料和毛细管）</w:t>
            </w:r>
          </w:p>
          <w:p>
            <w:pPr>
              <w:widowControl/>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.质量保证期不少于3年（自安装验收合格之日开始计算）。</w:t>
            </w:r>
          </w:p>
        </w:tc>
        <w:tc>
          <w:tcPr>
            <w:tcW w:w="707" w:type="dxa"/>
            <w:vAlign w:val="center"/>
          </w:tcPr>
          <w:p>
            <w:pPr>
              <w:widowControl/>
              <w:jc w:val="center"/>
              <w:rPr>
                <w:rFonts w:ascii="宋体" w:hAnsi="宋体" w:cs="宋体"/>
                <w:sz w:val="24"/>
              </w:rPr>
            </w:pPr>
            <w:r>
              <w:rPr>
                <w:rFonts w:hint="eastAsia" w:ascii="宋体" w:hAnsi="宋体" w:cs="宋体"/>
                <w:sz w:val="24"/>
              </w:rPr>
              <w:t>160</w:t>
            </w:r>
          </w:p>
        </w:tc>
        <w:tc>
          <w:tcPr>
            <w:tcW w:w="804" w:type="dxa"/>
            <w:vAlign w:val="center"/>
          </w:tcPr>
          <w:p>
            <w:pPr>
              <w:widowControl/>
              <w:jc w:val="center"/>
              <w:rPr>
                <w:rFonts w:ascii="宋体" w:hAnsi="宋体" w:cs="宋体"/>
                <w:sz w:val="24"/>
              </w:rPr>
            </w:pPr>
            <w:r>
              <w:rPr>
                <w:rFonts w:hint="eastAsia" w:ascii="宋体" w:hAnsi="宋体" w:cs="宋体"/>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04" w:type="dxa"/>
            <w:gridSpan w:val="7"/>
          </w:tcPr>
          <w:p>
            <w:pPr>
              <w:widowControl/>
              <w:jc w:val="left"/>
              <w:rPr>
                <w:rFonts w:ascii="宋体" w:hAnsi="宋体" w:cs="宋体"/>
                <w:bCs/>
                <w:sz w:val="24"/>
              </w:rPr>
            </w:pPr>
            <w:r>
              <w:rPr>
                <w:rFonts w:hint="eastAsia" w:ascii="宋体" w:hAnsi="宋体" w:cs="宋体"/>
                <w:bCs/>
                <w:sz w:val="24"/>
              </w:rPr>
              <w:t>▲</w:t>
            </w:r>
            <w:r>
              <w:rPr>
                <w:rFonts w:hint="eastAsia" w:ascii="宋体" w:hAnsi="宋体" w:cs="宋体"/>
                <w:b/>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80" w:type="dxa"/>
            <w:gridSpan w:val="2"/>
            <w:vAlign w:val="center"/>
          </w:tcPr>
          <w:p>
            <w:pPr>
              <w:widowControl/>
              <w:jc w:val="center"/>
              <w:rPr>
                <w:rFonts w:ascii="宋体" w:hAnsi="宋体" w:cs="宋体"/>
                <w:sz w:val="24"/>
              </w:rPr>
            </w:pPr>
            <w:r>
              <w:rPr>
                <w:rFonts w:hint="eastAsia" w:ascii="宋体" w:hAnsi="宋体" w:cs="宋体"/>
                <w:b/>
                <w:bCs/>
                <w:sz w:val="24"/>
              </w:rPr>
              <w:t>合同签订时间</w:t>
            </w:r>
          </w:p>
        </w:tc>
        <w:tc>
          <w:tcPr>
            <w:tcW w:w="9224" w:type="dxa"/>
            <w:gridSpan w:val="5"/>
          </w:tcPr>
          <w:p>
            <w:pPr>
              <w:widowControl/>
              <w:rPr>
                <w:rFonts w:ascii="宋体" w:hAnsi="宋体" w:cs="宋体"/>
                <w:sz w:val="24"/>
              </w:rPr>
            </w:pPr>
            <w:r>
              <w:rPr>
                <w:rFonts w:hint="eastAsia" w:ascii="宋体" w:hAnsi="宋体" w:cs="宋体"/>
                <w:sz w:val="24"/>
              </w:rPr>
              <w:t>自中标通知书发出之日起25日内。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Fonts w:hint="eastAsia" w:ascii="宋体" w:hAnsi="宋体" w:cs="宋体"/>
                <w:b/>
                <w:sz w:val="24"/>
              </w:rPr>
              <w:t>交货时间及地点</w:t>
            </w:r>
          </w:p>
        </w:tc>
        <w:tc>
          <w:tcPr>
            <w:tcW w:w="9224" w:type="dxa"/>
            <w:gridSpan w:val="5"/>
          </w:tcPr>
          <w:p>
            <w:pPr>
              <w:tabs>
                <w:tab w:val="left" w:pos="420"/>
              </w:tabs>
              <w:rPr>
                <w:rFonts w:ascii="宋体" w:hAnsi="宋体" w:cs="宋体"/>
                <w:sz w:val="24"/>
              </w:rPr>
            </w:pPr>
            <w:r>
              <w:rPr>
                <w:rFonts w:hint="eastAsia" w:ascii="宋体" w:hAnsi="宋体" w:cs="宋体"/>
                <w:sz w:val="24"/>
              </w:rPr>
              <w:t>交货时间：国产设备自签订合同之日起30日历天内到货安装调试完成并通过验收。进口设备</w:t>
            </w:r>
            <w:r>
              <w:rPr>
                <w:rFonts w:ascii="宋体" w:hAnsi="宋体" w:cs="宋体"/>
                <w:sz w:val="24"/>
              </w:rPr>
              <w:t>签</w:t>
            </w:r>
            <w:r>
              <w:rPr>
                <w:rFonts w:hint="eastAsia" w:ascii="宋体" w:hAnsi="宋体" w:cs="宋体"/>
                <w:sz w:val="24"/>
              </w:rPr>
              <w:t>自签订合同之日起120日历天内到货安装调试完成并通过验收。</w:t>
            </w:r>
          </w:p>
          <w:p>
            <w:pPr>
              <w:tabs>
                <w:tab w:val="left" w:pos="420"/>
              </w:tabs>
              <w:rPr>
                <w:rFonts w:ascii="宋体" w:hAnsi="宋体" w:cs="宋体"/>
                <w:sz w:val="24"/>
              </w:rPr>
            </w:pPr>
            <w:r>
              <w:rPr>
                <w:rFonts w:hint="eastAsia" w:ascii="宋体" w:hAnsi="宋体" w:cs="宋体"/>
                <w:sz w:val="24"/>
              </w:rPr>
              <w:t>交货地点：</w:t>
            </w:r>
            <w:r>
              <w:rPr>
                <w:rFonts w:hint="eastAsia" w:ascii="宋体" w:hAnsi="宋体" w:cs="宋体"/>
                <w:b/>
                <w:sz w:val="24"/>
              </w:rPr>
              <w:t>广西大学用户指定地点</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80" w:type="dxa"/>
            <w:gridSpan w:val="2"/>
            <w:vAlign w:val="center"/>
          </w:tcPr>
          <w:p>
            <w:pPr>
              <w:jc w:val="center"/>
              <w:rPr>
                <w:rFonts w:ascii="宋体" w:hAnsi="宋体" w:cs="宋体"/>
                <w:sz w:val="24"/>
              </w:rPr>
            </w:pPr>
            <w:r>
              <w:rPr>
                <w:rFonts w:hint="eastAsia" w:ascii="宋体" w:hAnsi="宋体" w:cs="宋体"/>
                <w:b/>
                <w:bCs/>
                <w:kern w:val="0"/>
                <w:sz w:val="24"/>
              </w:rPr>
              <w:t>货物验收</w:t>
            </w:r>
          </w:p>
        </w:tc>
        <w:tc>
          <w:tcPr>
            <w:tcW w:w="9224" w:type="dxa"/>
            <w:gridSpan w:val="5"/>
          </w:tcPr>
          <w:p>
            <w:pPr>
              <w:tabs>
                <w:tab w:val="left" w:pos="420"/>
              </w:tabs>
              <w:rPr>
                <w:rFonts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pPr>
              <w:tabs>
                <w:tab w:val="left" w:pos="420"/>
              </w:tabs>
              <w:rPr>
                <w:rFonts w:ascii="宋体" w:hAnsi="宋体" w:cs="宋体"/>
                <w:sz w:val="24"/>
              </w:rPr>
            </w:pPr>
            <w:r>
              <w:rPr>
                <w:rFonts w:hint="eastAsia" w:ascii="宋体" w:hAnsi="宋体" w:cs="宋体"/>
                <w:sz w:val="24"/>
              </w:rPr>
              <w:t>2.货物经过双方检验认可后，签署验收报告。由中标人提供产品保修文件。</w:t>
            </w:r>
          </w:p>
          <w:p>
            <w:pPr>
              <w:tabs>
                <w:tab w:val="left" w:pos="420"/>
              </w:tabs>
              <w:rPr>
                <w:rFonts w:ascii="宋体" w:hAnsi="宋体" w:cs="宋体"/>
                <w:sz w:val="24"/>
              </w:rPr>
            </w:pPr>
            <w:r>
              <w:rPr>
                <w:rFonts w:hint="eastAsia" w:ascii="宋体" w:hAnsi="宋体" w:cs="宋体"/>
                <w:sz w:val="24"/>
              </w:rPr>
              <w:t>3.当满足以下条件时，采购人才向供应商签发货物验收报告：</w:t>
            </w:r>
          </w:p>
          <w:p>
            <w:pPr>
              <w:tabs>
                <w:tab w:val="left" w:pos="420"/>
              </w:tabs>
              <w:rPr>
                <w:rFonts w:ascii="宋体" w:hAnsi="宋体" w:cs="宋体"/>
                <w:sz w:val="24"/>
              </w:rPr>
            </w:pPr>
            <w:r>
              <w:rPr>
                <w:rFonts w:hint="eastAsia" w:ascii="宋体" w:hAnsi="宋体" w:cs="宋体"/>
                <w:sz w:val="24"/>
              </w:rPr>
              <w:t>（1）中标人已按照合同规定提供了全部产品及完整的技术资料。</w:t>
            </w:r>
          </w:p>
          <w:p>
            <w:pPr>
              <w:tabs>
                <w:tab w:val="left" w:pos="420"/>
              </w:tabs>
              <w:rPr>
                <w:rFonts w:ascii="宋体" w:hAnsi="宋体" w:cs="宋体"/>
                <w:sz w:val="24"/>
              </w:rPr>
            </w:pPr>
            <w:r>
              <w:rPr>
                <w:rFonts w:hint="eastAsia" w:ascii="宋体" w:hAnsi="宋体" w:cs="宋体"/>
                <w:sz w:val="24"/>
              </w:rPr>
              <w:t>（2）货物各项参数完全符合《技术参数及性能（配置）要求》的要求，性能满足要求。</w:t>
            </w:r>
          </w:p>
          <w:p>
            <w:pPr>
              <w:tabs>
                <w:tab w:val="left" w:pos="420"/>
              </w:tabs>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）中标人需负责安装、调试（测试），并完成采购人的使用操作培训。</w:t>
            </w:r>
          </w:p>
          <w:p>
            <w:pPr>
              <w:tabs>
                <w:tab w:val="left" w:pos="420"/>
              </w:tabs>
              <w:rPr>
                <w:rFonts w:ascii="宋体" w:hAnsi="宋体" w:cs="宋体"/>
                <w:sz w:val="24"/>
              </w:rPr>
            </w:pPr>
            <w:r>
              <w:rPr>
                <w:rFonts w:hint="eastAsia" w:ascii="宋体" w:hAnsi="宋体" w:cs="宋体"/>
                <w:sz w:val="24"/>
              </w:rPr>
              <w:t>4.验收过程中所产生的一切费用均由中标人承担，报价时应考虑相关费用。</w:t>
            </w:r>
          </w:p>
          <w:p>
            <w:pPr>
              <w:tabs>
                <w:tab w:val="left" w:pos="420"/>
              </w:tabs>
            </w:pPr>
            <w:r>
              <w:rPr>
                <w:rFonts w:hint="eastAsia" w:ascii="宋体" w:hAnsi="宋体" w:cs="宋体"/>
                <w:sz w:val="24"/>
              </w:rPr>
              <w:t>5.中标产品不能涉及任何法律纠纷。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Fonts w:hint="eastAsia" w:ascii="宋体" w:hAnsi="宋体" w:cs="宋体"/>
                <w:b/>
                <w:sz w:val="24"/>
              </w:rPr>
              <w:t>质量保证要求</w:t>
            </w:r>
          </w:p>
        </w:tc>
        <w:tc>
          <w:tcPr>
            <w:tcW w:w="9224" w:type="dxa"/>
            <w:gridSpan w:val="5"/>
          </w:tcPr>
          <w:p>
            <w:pPr>
              <w:tabs>
                <w:tab w:val="left" w:pos="312"/>
                <w:tab w:val="left" w:pos="420"/>
              </w:tabs>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按国家有关产品“三包”规定执行“三包”政策，提供软、硬件原厂质量保证，交货验收合格之日起计：</w:t>
            </w:r>
          </w:p>
          <w:p>
            <w:pPr>
              <w:tabs>
                <w:tab w:val="left" w:pos="420"/>
              </w:tabs>
              <w:rPr>
                <w:rFonts w:ascii="宋体" w:hAnsi="宋体" w:cs="宋体"/>
                <w:sz w:val="24"/>
              </w:rPr>
            </w:pPr>
            <w:r>
              <w:rPr>
                <w:rFonts w:hint="eastAsia" w:ascii="宋体" w:hAnsi="宋体" w:cs="宋体"/>
                <w:sz w:val="24"/>
              </w:rPr>
              <w:t>（1）生物分子相互作用分析仪质量保证期不少于3年；</w:t>
            </w:r>
          </w:p>
          <w:p>
            <w:pPr>
              <w:tabs>
                <w:tab w:val="left" w:pos="420"/>
              </w:tabs>
              <w:rPr>
                <w:rFonts w:ascii="宋体" w:hAnsi="宋体" w:cs="宋体"/>
                <w:sz w:val="24"/>
              </w:rPr>
            </w:pPr>
            <w:r>
              <w:rPr>
                <w:rFonts w:hint="eastAsia" w:ascii="宋体" w:hAnsi="宋体" w:cs="宋体"/>
                <w:sz w:val="24"/>
              </w:rPr>
              <w:t>（2）纳流/微流蛋白分析仪质量保证期不少于1年；</w:t>
            </w:r>
          </w:p>
          <w:p>
            <w:pPr>
              <w:tabs>
                <w:tab w:val="left" w:pos="420"/>
              </w:tabs>
              <w:rPr>
                <w:rFonts w:ascii="宋体" w:hAnsi="宋体" w:cs="宋体"/>
                <w:sz w:val="24"/>
              </w:rPr>
            </w:pPr>
            <w:r>
              <w:rPr>
                <w:rFonts w:hint="eastAsia" w:ascii="宋体" w:hAnsi="宋体" w:cs="宋体"/>
                <w:sz w:val="24"/>
              </w:rPr>
              <w:t>（3）微量分子互作分析仪质量保证期不少于3年；</w:t>
            </w:r>
          </w:p>
          <w:p>
            <w:pPr>
              <w:tabs>
                <w:tab w:val="left" w:pos="420"/>
              </w:tabs>
              <w:rPr>
                <w:rFonts w:ascii="宋体" w:hAnsi="宋体" w:cs="宋体"/>
                <w:sz w:val="24"/>
              </w:rPr>
            </w:pPr>
            <w:r>
              <w:rPr>
                <w:rFonts w:hint="eastAsia" w:ascii="宋体" w:hAnsi="宋体" w:cs="宋体"/>
                <w:sz w:val="24"/>
              </w:rPr>
              <w:t>（4）以上分项货物或配置有明确要求的按分项要求；生产厂家承诺的质量保证期更长的按生产厂家的承诺。</w:t>
            </w:r>
          </w:p>
          <w:p>
            <w:pPr>
              <w:tabs>
                <w:tab w:val="left" w:pos="420"/>
              </w:tabs>
              <w:rPr>
                <w:rFonts w:ascii="宋体" w:hAnsi="宋体" w:cs="宋体"/>
                <w:sz w:val="24"/>
              </w:rPr>
            </w:pPr>
            <w:r>
              <w:rPr>
                <w:rFonts w:ascii="宋体" w:hAnsi="宋体" w:cs="宋体"/>
                <w:sz w:val="24"/>
              </w:rPr>
              <w:t>2.</w:t>
            </w:r>
            <w:r>
              <w:rPr>
                <w:rFonts w:hint="eastAsia" w:ascii="宋体" w:hAnsi="宋体" w:cs="宋体"/>
                <w:kern w:val="0"/>
                <w:sz w:val="24"/>
              </w:rPr>
              <w:t>在质量保证期内出现的</w:t>
            </w:r>
            <w:r>
              <w:rPr>
                <w:rFonts w:hint="eastAsia" w:ascii="宋体" w:hAnsi="宋体" w:cs="宋体"/>
                <w:sz w:val="24"/>
              </w:rPr>
              <w:t>任何故障及损失，由中标人维修、更换配件，并负责对供应货物进行软件更新升级、系统维护和远程服务。</w:t>
            </w:r>
          </w:p>
          <w:p>
            <w:pPr>
              <w:tabs>
                <w:tab w:val="left" w:pos="420"/>
              </w:tabs>
              <w:rPr>
                <w:rFonts w:ascii="宋体" w:hAnsi="宋体" w:cs="宋体"/>
                <w:sz w:val="24"/>
              </w:rPr>
            </w:pPr>
            <w:r>
              <w:rPr>
                <w:rFonts w:ascii="宋体" w:hAnsi="宋体" w:cs="宋体"/>
                <w:sz w:val="24"/>
              </w:rPr>
              <w:t>3.</w:t>
            </w:r>
            <w:r>
              <w:rPr>
                <w:rFonts w:hint="eastAsia" w:ascii="宋体" w:hAnsi="宋体" w:cs="宋体"/>
                <w:sz w:val="24"/>
              </w:rPr>
              <w:t>质量保证期满后，终身维护，且以市场最优惠价格提供维修和备件更换、软件更新升级，且承诺为用户提供终身技术咨询服务。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Fonts w:hint="eastAsia" w:ascii="宋体" w:hAnsi="宋体" w:cs="宋体"/>
                <w:b/>
                <w:sz w:val="24"/>
              </w:rPr>
              <w:t>售后服务要求</w:t>
            </w:r>
          </w:p>
        </w:tc>
        <w:tc>
          <w:tcPr>
            <w:tcW w:w="9224" w:type="dxa"/>
            <w:gridSpan w:val="5"/>
          </w:tcPr>
          <w:p>
            <w:pPr>
              <w:tabs>
                <w:tab w:val="left" w:pos="420"/>
              </w:tabs>
              <w:rPr>
                <w:rFonts w:ascii="宋体" w:hAnsi="宋体" w:cs="宋体"/>
                <w:sz w:val="24"/>
              </w:rPr>
            </w:pPr>
            <w:r>
              <w:rPr>
                <w:rFonts w:hint="eastAsia" w:ascii="宋体" w:hAnsi="宋体" w:cs="宋体"/>
                <w:sz w:val="24"/>
              </w:rPr>
              <w:t>1.负责送货上门、负责提供产品原厂工程师现场安装、安装调试服务、负责技术培训和远程服务。其中生物分子相互作用分析仪远程服务不少于3年；纳流/微流蛋白分析仪远程服务不少于1年；微量分子互作分析仪远程服务不少于3年。</w:t>
            </w:r>
          </w:p>
          <w:p>
            <w:pPr>
              <w:tabs>
                <w:tab w:val="left" w:pos="420"/>
              </w:tabs>
              <w:rPr>
                <w:rFonts w:ascii="宋体" w:hAnsi="宋体" w:cs="宋体"/>
                <w:sz w:val="24"/>
              </w:rPr>
            </w:pPr>
            <w:r>
              <w:rPr>
                <w:rFonts w:ascii="宋体" w:hAnsi="宋体" w:cs="宋体"/>
                <w:sz w:val="24"/>
              </w:rPr>
              <w:t>2</w:t>
            </w:r>
            <w:r>
              <w:rPr>
                <w:rFonts w:hint="eastAsia" w:ascii="宋体" w:hAnsi="宋体" w:cs="宋体"/>
                <w:sz w:val="24"/>
              </w:rPr>
              <w:t>.维修响应：售后服务要求7天×8小时工作制，中标人在接到用户维修电话后1小时内响应，</w:t>
            </w:r>
            <w:r>
              <w:rPr>
                <w:rFonts w:ascii="宋体" w:hAnsi="宋体" w:cs="宋体"/>
                <w:sz w:val="24"/>
              </w:rPr>
              <w:t>3小时内到达现场处理</w:t>
            </w:r>
            <w:r>
              <w:rPr>
                <w:rFonts w:hint="eastAsia" w:ascii="宋体" w:hAnsi="宋体" w:cs="宋体"/>
                <w:sz w:val="24"/>
              </w:rPr>
              <w:t>，一般情况下24小时内恢复正常使用。若不能修复须有合理应对方案。</w:t>
            </w:r>
          </w:p>
          <w:p>
            <w:pPr>
              <w:pStyle w:val="57"/>
              <w:rPr>
                <w:rFonts w:ascii="宋体" w:hAnsi="宋体" w:cs="宋体"/>
                <w:sz w:val="24"/>
                <w:szCs w:val="24"/>
              </w:rPr>
            </w:pPr>
            <w:r>
              <w:rPr>
                <w:rFonts w:ascii="宋体" w:hAnsi="宋体" w:cs="宋体"/>
                <w:sz w:val="24"/>
              </w:rPr>
              <w:t>3</w:t>
            </w:r>
            <w:r>
              <w:rPr>
                <w:rFonts w:hint="eastAsia" w:ascii="宋体" w:hAnsi="宋体" w:cs="宋体"/>
                <w:sz w:val="24"/>
              </w:rPr>
              <w:t>. 质量保证期</w:t>
            </w:r>
            <w:r>
              <w:rPr>
                <w:rFonts w:hint="eastAsia" w:ascii="宋体" w:hAnsi="宋体" w:cs="宋体"/>
                <w:sz w:val="24"/>
                <w:szCs w:val="24"/>
              </w:rPr>
              <w:t>内因设备性能故障检修三次仍不能正常使用的，无偿更换新设备。在超出</w:t>
            </w:r>
            <w:r>
              <w:rPr>
                <w:rFonts w:hint="eastAsia" w:ascii="宋体" w:hAnsi="宋体" w:cs="宋体"/>
                <w:sz w:val="24"/>
              </w:rPr>
              <w:t>质量保证期</w:t>
            </w:r>
            <w:r>
              <w:rPr>
                <w:rFonts w:hint="eastAsia" w:ascii="宋体" w:hAnsi="宋体" w:cs="宋体"/>
                <w:sz w:val="24"/>
                <w:szCs w:val="24"/>
              </w:rPr>
              <w:t>后，如产品发生故障，可派技术员上门服务；如需更换配件，配件均按市场最优惠价格供应。</w:t>
            </w:r>
          </w:p>
          <w:p>
            <w:pPr>
              <w:tabs>
                <w:tab w:val="left" w:pos="420"/>
              </w:tabs>
              <w:rPr>
                <w:rFonts w:ascii="宋体" w:hAnsi="宋体" w:cs="宋体"/>
                <w:sz w:val="24"/>
              </w:rPr>
            </w:pPr>
            <w:r>
              <w:rPr>
                <w:rFonts w:ascii="宋体" w:hAnsi="宋体" w:cs="宋体"/>
                <w:sz w:val="24"/>
              </w:rPr>
              <w:t>4</w:t>
            </w:r>
            <w:r>
              <w:rPr>
                <w:rFonts w:hint="eastAsia" w:ascii="宋体" w:hAnsi="宋体" w:cs="宋体"/>
                <w:sz w:val="24"/>
              </w:rPr>
              <w:t>.终身提供远程技术协助服务。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Style w:val="123"/>
                <w:rFonts w:hint="eastAsia" w:ascii="宋体" w:hAnsi="宋体" w:cs="宋体"/>
                <w:color w:val="auto"/>
                <w:sz w:val="24"/>
                <w:szCs w:val="24"/>
              </w:rPr>
              <w:t>履约保证金收取及退付</w:t>
            </w:r>
          </w:p>
        </w:tc>
        <w:tc>
          <w:tcPr>
            <w:tcW w:w="9224" w:type="dxa"/>
            <w:gridSpan w:val="5"/>
          </w:tcPr>
          <w:p>
            <w:pPr>
              <w:tabs>
                <w:tab w:val="left" w:pos="420"/>
              </w:tabs>
              <w:rPr>
                <w:rFonts w:ascii="宋体" w:hAnsi="宋体" w:cs="宋体"/>
                <w:sz w:val="24"/>
              </w:rPr>
            </w:pPr>
            <w:r>
              <w:rPr>
                <w:rFonts w:hint="eastAsia" w:ascii="宋体" w:hAnsi="宋体" w:cs="宋体"/>
                <w:sz w:val="24"/>
              </w:rPr>
              <w:t>1.履约保证金金额：中标人为</w:t>
            </w:r>
            <w:r>
              <w:rPr>
                <w:rFonts w:hint="eastAsia"/>
                <w:sz w:val="24"/>
              </w:rPr>
              <w:t>中小微企业的，履约保证金为合同总金额的2%，大型企业的履约保证金为合同总金额的5%（以响应文件中提交的中小企业声明函为依据）</w:t>
            </w:r>
            <w:r>
              <w:rPr>
                <w:rFonts w:hint="eastAsia" w:ascii="宋体" w:hAnsi="宋体" w:cs="宋体"/>
                <w:sz w:val="24"/>
              </w:rPr>
              <w:t>；签订合同前交至指定账户，否则不予签订合同。</w:t>
            </w:r>
          </w:p>
          <w:p>
            <w:pPr>
              <w:tabs>
                <w:tab w:val="left" w:pos="420"/>
              </w:tabs>
              <w:rPr>
                <w:rFonts w:ascii="宋体" w:hAnsi="宋体" w:cs="宋体"/>
                <w:sz w:val="24"/>
              </w:rPr>
            </w:pPr>
            <w:r>
              <w:rPr>
                <w:rFonts w:hint="eastAsia" w:ascii="宋体" w:hAnsi="宋体" w:cs="宋体"/>
                <w:sz w:val="24"/>
              </w:rPr>
              <w:t>2.履约保证金递交方式：银行转账、电汇或者银行出具的保函等非现金方式。由中标人在签订合同前按规定的金额直接缴入以下采购人账户。凭履约保证金缴纳凭证签订合同。</w:t>
            </w:r>
          </w:p>
          <w:p>
            <w:pPr>
              <w:tabs>
                <w:tab w:val="left" w:pos="420"/>
              </w:tabs>
              <w:rPr>
                <w:rFonts w:ascii="宋体" w:hAnsi="宋体" w:cs="宋体"/>
                <w:sz w:val="24"/>
              </w:rPr>
            </w:pPr>
            <w:r>
              <w:rPr>
                <w:rFonts w:hint="eastAsia" w:ascii="宋体" w:hAnsi="宋体" w:cs="宋体"/>
                <w:sz w:val="24"/>
              </w:rPr>
              <w:t>统一社会信用代码：124500004985009929</w:t>
            </w:r>
          </w:p>
          <w:p>
            <w:pPr>
              <w:tabs>
                <w:tab w:val="left" w:pos="420"/>
              </w:tabs>
              <w:rPr>
                <w:rFonts w:ascii="宋体" w:hAnsi="宋体" w:cs="宋体"/>
                <w:sz w:val="24"/>
              </w:rPr>
            </w:pPr>
            <w:r>
              <w:rPr>
                <w:rFonts w:hint="eastAsia" w:ascii="宋体" w:hAnsi="宋体" w:cs="宋体"/>
                <w:sz w:val="24"/>
              </w:rPr>
              <w:t xml:space="preserve">户名：广西大学   </w:t>
            </w:r>
          </w:p>
          <w:p>
            <w:pPr>
              <w:tabs>
                <w:tab w:val="left" w:pos="420"/>
              </w:tabs>
              <w:rPr>
                <w:rFonts w:ascii="宋体" w:hAnsi="宋体" w:cs="宋体"/>
                <w:sz w:val="24"/>
              </w:rPr>
            </w:pPr>
            <w:r>
              <w:rPr>
                <w:rFonts w:hint="eastAsia" w:ascii="宋体" w:hAnsi="宋体" w:cs="宋体"/>
                <w:sz w:val="24"/>
              </w:rPr>
              <w:t>开户行：中国银行广西南宁市西大支行（行号：104611010324）</w:t>
            </w:r>
          </w:p>
          <w:p>
            <w:pPr>
              <w:tabs>
                <w:tab w:val="left" w:pos="420"/>
              </w:tabs>
              <w:rPr>
                <w:rFonts w:ascii="宋体" w:hAnsi="宋体" w:cs="宋体"/>
                <w:sz w:val="24"/>
              </w:rPr>
            </w:pPr>
            <w:r>
              <w:rPr>
                <w:rFonts w:hint="eastAsia" w:ascii="宋体" w:hAnsi="宋体" w:cs="宋体"/>
                <w:sz w:val="24"/>
              </w:rPr>
              <w:t xml:space="preserve">账号：618 457 484 938 </w:t>
            </w:r>
          </w:p>
          <w:p>
            <w:pPr>
              <w:tabs>
                <w:tab w:val="left" w:pos="420"/>
              </w:tabs>
              <w:rPr>
                <w:rFonts w:ascii="宋体" w:hAnsi="宋体" w:cs="宋体"/>
                <w:sz w:val="24"/>
              </w:rPr>
            </w:pPr>
            <w:r>
              <w:rPr>
                <w:rFonts w:hint="eastAsia" w:ascii="宋体" w:hAnsi="宋体" w:cs="宋体"/>
                <w:sz w:val="24"/>
              </w:rPr>
              <w:t xml:space="preserve">地址：广西壮族自治区南宁市大学东路100号  </w:t>
            </w:r>
          </w:p>
          <w:p>
            <w:pPr>
              <w:tabs>
                <w:tab w:val="left" w:pos="420"/>
              </w:tabs>
              <w:rPr>
                <w:rFonts w:ascii="宋体" w:hAnsi="宋体" w:cs="宋体"/>
                <w:sz w:val="24"/>
              </w:rPr>
            </w:pPr>
            <w:r>
              <w:rPr>
                <w:rFonts w:hint="eastAsia" w:ascii="宋体" w:hAnsi="宋体" w:cs="宋体"/>
                <w:sz w:val="24"/>
              </w:rPr>
              <w:t>电话：0771-3232888</w:t>
            </w:r>
          </w:p>
          <w:p>
            <w:pPr>
              <w:tabs>
                <w:tab w:val="left" w:pos="420"/>
              </w:tabs>
              <w:rPr>
                <w:rFonts w:ascii="宋体" w:hAnsi="宋体" w:cs="宋体"/>
                <w:b/>
                <w:sz w:val="24"/>
              </w:rPr>
            </w:pPr>
            <w:r>
              <w:rPr>
                <w:rFonts w:hint="eastAsia" w:ascii="宋体" w:hAnsi="宋体" w:cs="宋体"/>
                <w:b/>
                <w:sz w:val="24"/>
              </w:rPr>
              <w:t>缴纳履约保证金注明：“项目名称+项目编号”履约保证金。</w:t>
            </w:r>
          </w:p>
          <w:p>
            <w:pPr>
              <w:tabs>
                <w:tab w:val="left" w:pos="420"/>
              </w:tabs>
              <w:rPr>
                <w:rFonts w:ascii="宋体" w:hAnsi="宋体" w:cs="宋体"/>
                <w:sz w:val="24"/>
              </w:rPr>
            </w:pPr>
            <w:r>
              <w:rPr>
                <w:rFonts w:hint="eastAsia" w:ascii="宋体" w:hAnsi="宋体" w:cs="宋体"/>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pPr>
              <w:tabs>
                <w:tab w:val="left" w:pos="420"/>
              </w:tabs>
              <w:rPr>
                <w:rFonts w:ascii="宋体" w:hAnsi="宋体" w:cs="宋体"/>
                <w:sz w:val="24"/>
              </w:rPr>
            </w:pPr>
            <w:r>
              <w:rPr>
                <w:rFonts w:hint="eastAsia" w:ascii="宋体" w:hAnsi="宋体" w:cs="宋体"/>
                <w:sz w:val="24"/>
              </w:rPr>
              <w:t>4.备注：</w:t>
            </w:r>
          </w:p>
          <w:p>
            <w:pPr>
              <w:tabs>
                <w:tab w:val="left" w:pos="420"/>
              </w:tabs>
              <w:rPr>
                <w:rFonts w:ascii="宋体" w:hAnsi="宋体" w:cs="宋体"/>
                <w:sz w:val="24"/>
              </w:rPr>
            </w:pPr>
            <w:r>
              <w:rPr>
                <w:rFonts w:hint="eastAsia" w:ascii="宋体" w:hAnsi="宋体" w:cs="宋体"/>
                <w:sz w:val="24"/>
              </w:rPr>
              <w:t>（1）履约保证金不足额缴纳的，或银行出具的保函额度不足的或者银行保函有效期低于合同履行期限（即签订采购合同之日起至履行完合同约定的权利及义务之日止）的，不予签订合同。</w:t>
            </w:r>
          </w:p>
          <w:p>
            <w:pPr>
              <w:tabs>
                <w:tab w:val="left" w:pos="420"/>
              </w:tabs>
              <w:rPr>
                <w:rFonts w:ascii="宋体" w:hAnsi="宋体" w:cs="宋体"/>
                <w:sz w:val="24"/>
              </w:rPr>
            </w:pPr>
            <w:r>
              <w:rPr>
                <w:rFonts w:hint="eastAsia" w:ascii="宋体" w:hAnsi="宋体" w:cs="宋体"/>
                <w:sz w:val="24"/>
              </w:rPr>
              <w:t>（2）采用银行出具的保函的，必须为无条件的银行保函，否则不予签订合同。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Fonts w:hint="eastAsia" w:ascii="宋体" w:hAnsi="宋体" w:cs="宋体"/>
                <w:b/>
                <w:sz w:val="24"/>
              </w:rPr>
              <w:t>付款方式</w:t>
            </w:r>
          </w:p>
        </w:tc>
        <w:tc>
          <w:tcPr>
            <w:tcW w:w="9224" w:type="dxa"/>
            <w:gridSpan w:val="5"/>
          </w:tcPr>
          <w:p>
            <w:pPr>
              <w:tabs>
                <w:tab w:val="left" w:pos="420"/>
              </w:tabs>
              <w:rPr>
                <w:rFonts w:ascii="宋体" w:hAnsi="宋体" w:cs="宋体"/>
                <w:sz w:val="24"/>
              </w:rPr>
            </w:pPr>
            <w:r>
              <w:rPr>
                <w:rFonts w:ascii="宋体" w:hAnsi="宋体" w:cs="宋体"/>
                <w:sz w:val="24"/>
              </w:rPr>
              <w:t>1.国产设备付款：无预付款，</w:t>
            </w:r>
            <w:r>
              <w:rPr>
                <w:rFonts w:hint="eastAsia" w:ascii="宋体" w:hAnsi="宋体" w:cs="宋体"/>
                <w:sz w:val="24"/>
              </w:rPr>
              <w:t>中标人</w:t>
            </w:r>
            <w:r>
              <w:rPr>
                <w:rFonts w:ascii="宋体" w:hAnsi="宋体" w:cs="宋体"/>
                <w:sz w:val="24"/>
              </w:rPr>
              <w:t>供货且完成验收后，</w:t>
            </w:r>
            <w:r>
              <w:rPr>
                <w:rFonts w:hint="eastAsia" w:ascii="宋体" w:hAnsi="宋体" w:cs="宋体"/>
                <w:sz w:val="24"/>
              </w:rPr>
              <w:t>采购人</w:t>
            </w:r>
            <w:r>
              <w:rPr>
                <w:rFonts w:ascii="宋体" w:hAnsi="宋体" w:cs="宋体"/>
                <w:sz w:val="24"/>
              </w:rPr>
              <w:t>一次性支付全部合同款（无息），付款前</w:t>
            </w:r>
            <w:r>
              <w:rPr>
                <w:rFonts w:hint="eastAsia" w:ascii="宋体" w:hAnsi="宋体" w:cs="宋体"/>
                <w:sz w:val="24"/>
              </w:rPr>
              <w:t>中标人</w:t>
            </w:r>
            <w:r>
              <w:rPr>
                <w:rFonts w:ascii="宋体" w:hAnsi="宋体" w:cs="宋体"/>
                <w:sz w:val="24"/>
              </w:rPr>
              <w:t>开具等额增值税专用发票给</w:t>
            </w:r>
            <w:r>
              <w:rPr>
                <w:rFonts w:hint="eastAsia" w:ascii="宋体" w:hAnsi="宋体" w:cs="宋体"/>
                <w:sz w:val="24"/>
              </w:rPr>
              <w:t>采购人</w:t>
            </w:r>
            <w:r>
              <w:rPr>
                <w:rFonts w:ascii="宋体" w:hAnsi="宋体" w:cs="宋体"/>
                <w:sz w:val="24"/>
              </w:rPr>
              <w:t>。</w:t>
            </w:r>
          </w:p>
          <w:p>
            <w:pPr>
              <w:tabs>
                <w:tab w:val="left" w:pos="420"/>
              </w:tabs>
              <w:rPr>
                <w:rFonts w:ascii="宋体" w:hAnsi="宋体" w:cs="宋体"/>
                <w:sz w:val="24"/>
              </w:rPr>
            </w:pPr>
            <w:r>
              <w:rPr>
                <w:rFonts w:ascii="宋体" w:hAnsi="宋体" w:cs="宋体"/>
                <w:sz w:val="24"/>
              </w:rPr>
              <w:t>2.进口设备付款：本</w:t>
            </w:r>
            <w:r>
              <w:rPr>
                <w:rFonts w:hint="eastAsia" w:ascii="宋体" w:hAnsi="宋体" w:cs="宋体"/>
                <w:sz w:val="24"/>
              </w:rPr>
              <w:t>项目外贸进口代理业务由采购人指定外贸代理承担，并按下述方式支付合同款：合同生效后，采购人支付</w:t>
            </w:r>
            <w:r>
              <w:rPr>
                <w:rFonts w:ascii="宋体" w:hAnsi="宋体" w:cs="宋体"/>
                <w:sz w:val="24"/>
              </w:rPr>
              <w:t>100%合同款给指定外贸代理商，指定外贸代理商与</w:t>
            </w:r>
            <w:r>
              <w:rPr>
                <w:rFonts w:hint="eastAsia" w:ascii="宋体" w:hAnsi="宋体" w:cs="宋体"/>
                <w:sz w:val="24"/>
              </w:rPr>
              <w:t>中标人</w:t>
            </w:r>
            <w:r>
              <w:rPr>
                <w:rFonts w:ascii="宋体" w:hAnsi="宋体" w:cs="宋体"/>
                <w:sz w:val="24"/>
              </w:rPr>
              <w:t>按以下方式结算：（1）指定外贸代理商向成交产品国外生产商开出设备款100%的即期不可撤销信用证；（2）设备到货并经</w:t>
            </w:r>
            <w:r>
              <w:rPr>
                <w:rFonts w:hint="eastAsia" w:ascii="宋体" w:hAnsi="宋体" w:cs="宋体"/>
                <w:sz w:val="24"/>
              </w:rPr>
              <w:t>采购人</w:t>
            </w:r>
            <w:r>
              <w:rPr>
                <w:rFonts w:ascii="宋体" w:hAnsi="宋体" w:cs="宋体"/>
                <w:sz w:val="24"/>
              </w:rPr>
              <w:t>验收合格后，指定外贸代理商与</w:t>
            </w:r>
            <w:r>
              <w:rPr>
                <w:rFonts w:hint="eastAsia" w:ascii="宋体" w:hAnsi="宋体" w:cs="宋体"/>
                <w:sz w:val="24"/>
              </w:rPr>
              <w:t>中标人</w:t>
            </w:r>
            <w:r>
              <w:rPr>
                <w:rFonts w:ascii="宋体" w:hAnsi="宋体" w:cs="宋体"/>
                <w:sz w:val="24"/>
              </w:rPr>
              <w:t>结算合同款。</w:t>
            </w:r>
            <w:r>
              <w:rPr>
                <w:rFonts w:hint="eastAsia" w:ascii="宋体" w:hAnsi="宋体" w:cs="宋体"/>
                <w:sz w:val="24"/>
              </w:rPr>
              <w:t>（注：双方以人民币结算）采购人</w:t>
            </w:r>
            <w:r>
              <w:rPr>
                <w:rFonts w:ascii="宋体" w:hAnsi="宋体" w:cs="宋体"/>
                <w:sz w:val="24"/>
              </w:rPr>
              <w:t>、</w:t>
            </w:r>
            <w:r>
              <w:rPr>
                <w:rFonts w:hint="eastAsia" w:ascii="宋体" w:hAnsi="宋体" w:cs="宋体"/>
                <w:sz w:val="24"/>
              </w:rPr>
              <w:t>中标人</w:t>
            </w:r>
            <w:r>
              <w:rPr>
                <w:rFonts w:ascii="宋体" w:hAnsi="宋体" w:cs="宋体"/>
                <w:sz w:val="24"/>
              </w:rPr>
              <w:t>及指定外贸代理商三方另行签订《外贸进口代理协议书（三方协议）》，约定外贸进口业务有关事宜。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0" w:type="dxa"/>
            <w:gridSpan w:val="2"/>
            <w:vAlign w:val="center"/>
          </w:tcPr>
          <w:p>
            <w:pPr>
              <w:jc w:val="center"/>
              <w:rPr>
                <w:rFonts w:ascii="宋体" w:hAnsi="宋体" w:cs="宋体"/>
                <w:sz w:val="24"/>
              </w:rPr>
            </w:pPr>
            <w:r>
              <w:rPr>
                <w:rFonts w:hint="eastAsia" w:ascii="宋体" w:hAnsi="宋体" w:cs="宋体"/>
                <w:b/>
                <w:sz w:val="24"/>
              </w:rPr>
              <w:t>其他要求</w:t>
            </w:r>
          </w:p>
        </w:tc>
        <w:tc>
          <w:tcPr>
            <w:tcW w:w="9224" w:type="dxa"/>
            <w:gridSpan w:val="5"/>
          </w:tcPr>
          <w:p>
            <w:pPr>
              <w:widowControl/>
              <w:rPr>
                <w:rFonts w:ascii="宋体" w:hAnsi="宋体" w:cs="宋体"/>
                <w:sz w:val="24"/>
              </w:rPr>
            </w:pPr>
            <w:r>
              <w:rPr>
                <w:rFonts w:hint="eastAsia" w:ascii="宋体" w:hAnsi="宋体" w:cs="宋体"/>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pPr>
              <w:widowControl/>
              <w:rPr>
                <w:rFonts w:ascii="宋体" w:hAnsi="宋体" w:cs="宋体"/>
                <w:sz w:val="24"/>
              </w:rPr>
            </w:pPr>
            <w:r>
              <w:rPr>
                <w:rFonts w:ascii="宋体" w:hAnsi="宋体" w:cs="宋体"/>
                <w:sz w:val="24"/>
              </w:rPr>
              <w:t>2</w:t>
            </w:r>
            <w:r>
              <w:rPr>
                <w:rFonts w:hint="eastAsia" w:ascii="宋体" w:hAnsi="宋体" w:cs="宋体"/>
                <w:sz w:val="24"/>
              </w:rPr>
              <w:t>.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pPr>
              <w:widowControl/>
              <w:rPr>
                <w:rFonts w:ascii="宋体" w:hAnsi="宋体" w:cs="宋体"/>
                <w:sz w:val="24"/>
              </w:rPr>
            </w:pPr>
            <w:r>
              <w:rPr>
                <w:rFonts w:ascii="宋体" w:hAnsi="宋体" w:cs="宋体"/>
                <w:sz w:val="24"/>
              </w:rPr>
              <w:t>3</w:t>
            </w:r>
            <w:r>
              <w:rPr>
                <w:rFonts w:hint="eastAsia" w:ascii="宋体" w:hAnsi="宋体" w:cs="宋体"/>
                <w:sz w:val="24"/>
              </w:rPr>
              <w:t>.中标人承担货物交付验收前的运输、安装等作业工人人身、设备安全责任；验收前，如果设备丢失、因投标人自身原因及第三人原因导致损坏，中标人应自行负责并承担不能交付货物的责任。</w:t>
            </w:r>
          </w:p>
          <w:p>
            <w:pPr>
              <w:pStyle w:val="17"/>
              <w:rPr>
                <w:rFonts w:ascii="宋体" w:hAnsi="宋体" w:cs="宋体"/>
                <w:sz w:val="24"/>
              </w:rPr>
            </w:pPr>
            <w:r>
              <w:rPr>
                <w:rFonts w:hAnsi="宋体" w:cs="宋体"/>
                <w:sz w:val="24"/>
              </w:rPr>
              <w:t>4.</w:t>
            </w:r>
            <w:r>
              <w:rPr>
                <w:rFonts w:hint="eastAsia" w:hAnsi="宋体" w:cs="宋体"/>
                <w:sz w:val="24"/>
              </w:rPr>
              <w:t>本项目所有货物已按规定办妥进口产品采购审核手续，投标产品可选用进口产品（即通过中国海关报关验放进入中国境内且产自关境外的产品）；但如选用进口产品时必须为全套原装进口产品，且必须由采购人指定的外贸代理机构办理进口产品的相关手续，中标人不得自行选择外贸代理机构。中标人在中标后负责与指定外贸代理机构办理进口产品的相关手续，承担相关的所有费用（含</w:t>
            </w:r>
            <w:r>
              <w:rPr>
                <w:rFonts w:hint="eastAsia" w:ascii="宋体" w:hAnsi="宋体" w:cs="宋体"/>
                <w:sz w:val="24"/>
              </w:rPr>
              <w:t>办理免税证的费用），采购人负责协助中标人办理免税手续。</w:t>
            </w:r>
          </w:p>
          <w:p>
            <w:pPr>
              <w:pStyle w:val="17"/>
              <w:rPr>
                <w:rFonts w:ascii="宋体" w:hAnsi="宋体" w:cs="宋体"/>
                <w:sz w:val="24"/>
              </w:rPr>
            </w:pPr>
            <w:r>
              <w:rPr>
                <w:rFonts w:hint="eastAsia" w:ascii="宋体" w:hAnsi="宋体" w:cs="宋体"/>
                <w:sz w:val="24"/>
              </w:rPr>
              <w:t>5.进口代理费费率基准如下：</w:t>
            </w:r>
          </w:p>
          <w:p>
            <w:pPr>
              <w:pStyle w:val="17"/>
              <w:rPr>
                <w:rFonts w:ascii="宋体" w:hAnsi="宋体" w:cs="宋体"/>
                <w:sz w:val="24"/>
              </w:rPr>
            </w:pPr>
            <w:r>
              <w:rPr>
                <w:rFonts w:hint="eastAsia" w:ascii="宋体" w:hAnsi="宋体" w:cs="宋体"/>
                <w:sz w:val="24"/>
              </w:rPr>
              <w:t>中标金额80万元（不含）以下，进口代理服务费收取比例为1.5%;</w:t>
            </w:r>
          </w:p>
          <w:p>
            <w:pPr>
              <w:pStyle w:val="17"/>
              <w:rPr>
                <w:rFonts w:ascii="宋体" w:hAnsi="宋体" w:cs="宋体"/>
                <w:sz w:val="24"/>
              </w:rPr>
            </w:pPr>
            <w:r>
              <w:rPr>
                <w:rFonts w:hint="eastAsia" w:ascii="宋体" w:hAnsi="宋体" w:cs="宋体"/>
                <w:sz w:val="24"/>
              </w:rPr>
              <w:t>中标金额80--200万元（不含）,进口代理服务费收取比例为1.2%;</w:t>
            </w:r>
          </w:p>
          <w:p>
            <w:pPr>
              <w:pStyle w:val="17"/>
              <w:rPr>
                <w:rFonts w:ascii="宋体" w:hAnsi="宋体" w:cs="宋体"/>
                <w:sz w:val="24"/>
              </w:rPr>
            </w:pPr>
            <w:r>
              <w:rPr>
                <w:rFonts w:hint="eastAsia" w:ascii="宋体" w:hAnsi="宋体" w:cs="宋体"/>
                <w:sz w:val="24"/>
              </w:rPr>
              <w:t>中标金额200—500万元（不含）,进口代理服务费收取比例为1%;</w:t>
            </w:r>
          </w:p>
          <w:p>
            <w:pPr>
              <w:pStyle w:val="17"/>
              <w:rPr>
                <w:rFonts w:ascii="宋体" w:hAnsi="宋体" w:cs="宋体"/>
                <w:sz w:val="24"/>
              </w:rPr>
            </w:pPr>
            <w:r>
              <w:rPr>
                <w:rFonts w:hint="eastAsia" w:ascii="宋体" w:hAnsi="宋体" w:cs="宋体"/>
                <w:sz w:val="24"/>
              </w:rPr>
              <w:t>中标金额500万元以上,进口代理服务费收取比例为0.8% 。</w:t>
            </w:r>
          </w:p>
          <w:p>
            <w:pPr>
              <w:widowControl/>
              <w:rPr>
                <w:rFonts w:hAnsi="宋体" w:cs="宋体"/>
                <w:sz w:val="24"/>
              </w:rPr>
            </w:pPr>
            <w:r>
              <w:rPr>
                <w:rFonts w:hint="eastAsia" w:hAnsi="宋体" w:cs="宋体"/>
                <w:sz w:val="24"/>
              </w:rPr>
              <w:t>6</w:t>
            </w:r>
            <w:r>
              <w:rPr>
                <w:rFonts w:hAnsi="宋体" w:cs="宋体"/>
                <w:sz w:val="24"/>
              </w:rPr>
              <w:t>.</w:t>
            </w:r>
            <w:r>
              <w:rPr>
                <w:rFonts w:hint="eastAsia" w:hAnsi="宋体" w:cs="宋体"/>
                <w:sz w:val="24"/>
              </w:rPr>
              <w:t>投标人的投标报价不能超过项目的预算，且各分项的报价也不能超过该分项的预算，否则投标无效。</w:t>
            </w:r>
          </w:p>
          <w:p>
            <w:pPr>
              <w:pStyle w:val="17"/>
            </w:pPr>
            <w:r>
              <w:rPr>
                <w:rFonts w:ascii="宋体" w:hAnsi="宋体" w:cs="宋体"/>
                <w:sz w:val="24"/>
              </w:rPr>
              <w:t>7</w:t>
            </w:r>
            <w:r>
              <w:rPr>
                <w:rFonts w:hint="eastAsia" w:ascii="宋体" w:hAnsi="宋体" w:cs="宋体"/>
                <w:sz w:val="24"/>
              </w:rPr>
              <w:t>.如果投标产品为进口产品，投标时必须提供生产厂家或厂家驻国内办事处或中国总代理商出具的授权书和售后服务承诺书原件扫描件；供货时须提供原件。如果投标产品为国产产品，供货时必须提供产品生产厂家出具的供货证明和质量保证书等原厂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0" w:type="dxa"/>
            <w:gridSpan w:val="2"/>
            <w:vAlign w:val="center"/>
          </w:tcPr>
          <w:p>
            <w:pPr>
              <w:jc w:val="center"/>
              <w:rPr>
                <w:rFonts w:ascii="宋体" w:hAnsi="宋体" w:cs="宋体"/>
                <w:b/>
                <w:sz w:val="24"/>
              </w:rPr>
            </w:pPr>
            <w:r>
              <w:rPr>
                <w:rFonts w:hint="eastAsia" w:ascii="宋体" w:hAnsi="宋体" w:cs="宋体"/>
                <w:b/>
                <w:sz w:val="24"/>
              </w:rPr>
              <w:t>核心产品</w:t>
            </w:r>
          </w:p>
        </w:tc>
        <w:tc>
          <w:tcPr>
            <w:tcW w:w="9224" w:type="dxa"/>
            <w:gridSpan w:val="5"/>
          </w:tcPr>
          <w:p>
            <w:pPr>
              <w:widowControl/>
              <w:rPr>
                <w:rFonts w:ascii="宋体" w:hAnsi="宋体" w:cs="宋体"/>
                <w:sz w:val="24"/>
              </w:rPr>
            </w:pPr>
            <w:r>
              <w:rPr>
                <w:rFonts w:hint="eastAsia" w:ascii="宋体" w:hAnsi="宋体" w:cs="宋体"/>
                <w:sz w:val="24"/>
              </w:rPr>
              <w:t>生物分子相互作用分析仪</w:t>
            </w:r>
          </w:p>
        </w:tc>
      </w:tr>
    </w:tbl>
    <w:p>
      <w:pPr>
        <w:widowControl/>
        <w:jc w:val="center"/>
        <w:rPr>
          <w:rFonts w:ascii="宋体" w:hAnsi="宋体" w:cs="宋体"/>
          <w:kern w:val="0"/>
          <w:sz w:val="24"/>
        </w:rPr>
      </w:pPr>
      <w:r>
        <w:rPr>
          <w:rFonts w:hint="eastAsia" w:ascii="宋体" w:hAnsi="宋体" w:cs="宋体"/>
          <w:kern w:val="0"/>
          <w:sz w:val="24"/>
        </w:rPr>
        <w:br w:type="page"/>
      </w:r>
    </w:p>
    <w:bookmarkEnd w:id="39"/>
    <w:bookmarkEnd w:id="40"/>
    <w:p>
      <w:pPr>
        <w:spacing w:line="428" w:lineRule="exact"/>
        <w:ind w:left="119"/>
        <w:rPr>
          <w:rFonts w:ascii="Arial Unicode MS" w:hAnsi="Arial Unicode MS" w:eastAsia="Arial Unicode MS" w:cs="Arial Unicode MS"/>
          <w:sz w:val="32"/>
          <w:szCs w:val="32"/>
        </w:rPr>
      </w:pPr>
      <w:bookmarkStart w:id="41" w:name="_Toc74320802"/>
      <w:r>
        <w:rPr>
          <w:rFonts w:hAnsi="宋体"/>
        </w:rPr>
        <w:t xml:space="preserve"> </w:t>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before="7"/>
        <w:rPr>
          <w:rFonts w:ascii="Arial Unicode MS" w:hAnsi="Arial Unicode MS" w:eastAsia="Arial Unicode MS" w:cs="Arial Unicode MS"/>
          <w:sz w:val="17"/>
          <w:szCs w:val="17"/>
        </w:rPr>
      </w:pPr>
    </w:p>
    <w:p>
      <w:pPr>
        <w:spacing w:line="528" w:lineRule="exact"/>
        <w:ind w:left="220"/>
        <w:jc w:val="center"/>
        <w:rPr>
          <w:rFonts w:ascii="宋体" w:hAnsi="宋体" w:cs="宋体"/>
          <w:b/>
          <w:bCs/>
          <w:sz w:val="36"/>
          <w:szCs w:val="36"/>
        </w:rPr>
      </w:pPr>
      <w:r>
        <w:rPr>
          <w:rFonts w:hint="eastAsia" w:ascii="宋体" w:hAnsi="宋体" w:cs="宋体"/>
          <w:b/>
          <w:bCs/>
          <w:sz w:val="36"/>
          <w:szCs w:val="36"/>
        </w:rPr>
        <w:t>节能产品政府采购品目清单</w:t>
      </w:r>
    </w:p>
    <w:tbl>
      <w:tblPr>
        <w:tblStyle w:val="48"/>
        <w:tblW w:w="9623" w:type="dxa"/>
        <w:tblInd w:w="93" w:type="dxa"/>
        <w:tblLayout w:type="fixed"/>
        <w:tblCellMar>
          <w:top w:w="0" w:type="dxa"/>
          <w:left w:w="108" w:type="dxa"/>
          <w:bottom w:w="0" w:type="dxa"/>
          <w:right w:w="108" w:type="dxa"/>
        </w:tblCellMar>
      </w:tblPr>
      <w:tblGrid>
        <w:gridCol w:w="589"/>
        <w:gridCol w:w="1296"/>
        <w:gridCol w:w="1776"/>
        <w:gridCol w:w="1776"/>
        <w:gridCol w:w="4186"/>
      </w:tblGrid>
      <w:tr>
        <w:tblPrEx>
          <w:tblCellMar>
            <w:top w:w="0" w:type="dxa"/>
            <w:left w:w="108" w:type="dxa"/>
            <w:bottom w:w="0" w:type="dxa"/>
            <w:right w:w="108" w:type="dxa"/>
          </w:tblCellMar>
        </w:tblPrEx>
        <w:trPr>
          <w:trHeight w:val="555" w:hRule="atLeast"/>
        </w:trPr>
        <w:tc>
          <w:tcPr>
            <w:tcW w:w="589" w:type="dxa"/>
            <w:tcBorders>
              <w:top w:val="single" w:color="000000" w:sz="8" w:space="0"/>
              <w:left w:val="single" w:color="000000" w:sz="8" w:space="0"/>
              <w:bottom w:val="nil"/>
              <w:right w:val="single" w:color="000000" w:sz="8" w:space="0"/>
            </w:tcBorders>
          </w:tcPr>
          <w:p>
            <w:pPr>
              <w:widowControl/>
              <w:jc w:val="center"/>
              <w:rPr>
                <w:rFonts w:ascii="宋体" w:hAnsi="宋体" w:cs="宋体"/>
                <w:b/>
                <w:bCs/>
                <w:kern w:val="0"/>
                <w:sz w:val="24"/>
              </w:rPr>
            </w:pPr>
            <w:r>
              <w:rPr>
                <w:rFonts w:hint="eastAsia" w:ascii="宋体" w:hAnsi="宋体" w:cs="宋体"/>
                <w:b/>
                <w:bCs/>
                <w:kern w:val="0"/>
                <w:sz w:val="24"/>
              </w:rPr>
              <w:t>品目序号</w:t>
            </w:r>
          </w:p>
        </w:tc>
        <w:tc>
          <w:tcPr>
            <w:tcW w:w="4848"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4186"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依据的标准</w:t>
            </w:r>
          </w:p>
        </w:tc>
      </w:tr>
      <w:tr>
        <w:tblPrEx>
          <w:tblCellMar>
            <w:top w:w="0" w:type="dxa"/>
            <w:left w:w="108" w:type="dxa"/>
            <w:bottom w:w="0" w:type="dxa"/>
            <w:right w:w="108" w:type="dxa"/>
          </w:tblCellMar>
        </w:tblPrEx>
        <w:trPr>
          <w:trHeight w:val="495" w:hRule="atLeast"/>
        </w:trPr>
        <w:tc>
          <w:tcPr>
            <w:tcW w:w="58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A020101计算机设备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★A02010104台式计算机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CellMar>
            <w:top w:w="0" w:type="dxa"/>
            <w:left w:w="108" w:type="dxa"/>
            <w:bottom w:w="0" w:type="dxa"/>
            <w:right w:w="108" w:type="dxa"/>
          </w:tblCellMar>
        </w:tblPrEx>
        <w:trPr>
          <w:trHeight w:val="495" w:hRule="atLeast"/>
        </w:trPr>
        <w:tc>
          <w:tcPr>
            <w:tcW w:w="5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★A02010105便携式计算机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CellMar>
            <w:top w:w="0" w:type="dxa"/>
            <w:left w:w="108" w:type="dxa"/>
            <w:bottom w:w="0" w:type="dxa"/>
            <w:right w:w="108" w:type="dxa"/>
          </w:tblCellMar>
        </w:tblPrEx>
        <w:trPr>
          <w:trHeight w:val="735" w:hRule="atLeast"/>
        </w:trPr>
        <w:tc>
          <w:tcPr>
            <w:tcW w:w="5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★A02010107平板式微型计算机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《微型计算机能效限定值及能效等级》（GB28380）</w:t>
            </w:r>
          </w:p>
        </w:tc>
      </w:tr>
      <w:tr>
        <w:tblPrEx>
          <w:tblCellMar>
            <w:top w:w="0" w:type="dxa"/>
            <w:left w:w="108" w:type="dxa"/>
            <w:bottom w:w="0" w:type="dxa"/>
            <w:right w:w="108" w:type="dxa"/>
          </w:tblCellMar>
        </w:tblPrEx>
        <w:trPr>
          <w:trHeight w:val="495" w:hRule="atLeast"/>
        </w:trPr>
        <w:tc>
          <w:tcPr>
            <w:tcW w:w="589"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29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A020106输入输出设备</w:t>
            </w:r>
          </w:p>
        </w:tc>
        <w:tc>
          <w:tcPr>
            <w:tcW w:w="1776"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A02010601打印设备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A0201060101喷墨打印机</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★A0201060102激光打印机</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★A0201060104针式打印机</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A02010604显示设备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★A0201060401液晶显示器</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《计算机显示器能效限定值及能效等级》（GB21520）</w:t>
            </w:r>
          </w:p>
        </w:tc>
      </w:tr>
      <w:tr>
        <w:tblPrEx>
          <w:tblCellMar>
            <w:top w:w="0" w:type="dxa"/>
            <w:left w:w="108" w:type="dxa"/>
            <w:bottom w:w="0" w:type="dxa"/>
            <w:right w:w="108" w:type="dxa"/>
          </w:tblCellMar>
        </w:tblPrEx>
        <w:trPr>
          <w:trHeight w:val="975" w:hRule="atLeast"/>
        </w:trPr>
        <w:tc>
          <w:tcPr>
            <w:tcW w:w="58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A02010609图形图像输入设备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A0201060901扫描仪</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A020202投影仪</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《投影机能效限定值及能效等级》（GB32028）</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A020204多功能一体机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A020519泵</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A02051901离心泵</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《清水离心泵能效限定值及节能评价值》（GB19762）</w:t>
            </w:r>
          </w:p>
        </w:tc>
      </w:tr>
      <w:tr>
        <w:tblPrEx>
          <w:tblCellMar>
            <w:top w:w="0" w:type="dxa"/>
            <w:left w:w="108" w:type="dxa"/>
            <w:bottom w:w="0" w:type="dxa"/>
            <w:right w:w="108" w:type="dxa"/>
          </w:tblCellMar>
        </w:tblPrEx>
        <w:trPr>
          <w:trHeight w:val="73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A020523制冷空调设备</w:t>
            </w: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★A02052301制冷压缩机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冷水机组</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水源热泵机组</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《水（地）源热泵机组能效限定值及能效等级》（GB30721）</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溴化锂吸收式冷水机组</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★A02052305空调机组</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多联式空调（热泵）机组(制冷量&gt;14000W)</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单元式空气调节机(制冷量&gt;14000W</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★A02052309专用制冷、空调设备</w:t>
            </w:r>
          </w:p>
        </w:tc>
        <w:tc>
          <w:tcPr>
            <w:tcW w:w="1776"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机房空调</w:t>
            </w:r>
          </w:p>
        </w:tc>
        <w:tc>
          <w:tcPr>
            <w:tcW w:w="4186"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《单元式空气调节机能效限定值及能效等级》（GB19576）</w:t>
            </w:r>
          </w:p>
        </w:tc>
      </w:tr>
      <w:tr>
        <w:tblPrEx>
          <w:tblCellMar>
            <w:top w:w="0" w:type="dxa"/>
            <w:left w:w="108" w:type="dxa"/>
            <w:bottom w:w="0" w:type="dxa"/>
            <w:right w:w="108" w:type="dxa"/>
          </w:tblCellMar>
        </w:tblPrEx>
        <w:trPr>
          <w:trHeight w:val="735" w:hRule="atLeast"/>
        </w:trPr>
        <w:tc>
          <w:tcPr>
            <w:tcW w:w="589" w:type="dxa"/>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cs="宋体"/>
                <w:kern w:val="0"/>
                <w:sz w:val="24"/>
              </w:rPr>
            </w:pPr>
          </w:p>
        </w:tc>
        <w:tc>
          <w:tcPr>
            <w:tcW w:w="129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A02052399其他制冷空调设备</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冷却塔</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A020601电机</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A020602变压器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配电变压器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《三相配电变压器能效限定值及能效等级》（GB20052）</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29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★A020609镇流器</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管型荧光灯镇流器</w:t>
            </w:r>
          </w:p>
        </w:tc>
        <w:tc>
          <w:tcPr>
            <w:tcW w:w="1776" w:type="dxa"/>
            <w:tcBorders>
              <w:top w:val="nil"/>
              <w:left w:val="nil"/>
              <w:bottom w:val="single" w:color="auto" w:sz="4"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《管形荧光灯镇流器能效限定值及能效等级》（GB17896）</w:t>
            </w:r>
          </w:p>
        </w:tc>
      </w:tr>
      <w:tr>
        <w:tblPrEx>
          <w:tblCellMar>
            <w:top w:w="0" w:type="dxa"/>
            <w:left w:w="108" w:type="dxa"/>
            <w:bottom w:w="0" w:type="dxa"/>
            <w:right w:w="108" w:type="dxa"/>
          </w:tblCellMar>
        </w:tblPrEx>
        <w:trPr>
          <w:trHeight w:val="49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A020618生活用电器</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A0206180101电冰箱</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《家用电冰箱耗电量限定值及能效等级》（GB 12021.2）</w:t>
            </w:r>
          </w:p>
        </w:tc>
      </w:tr>
      <w:tr>
        <w:tblPrEx>
          <w:tblCellMar>
            <w:top w:w="0" w:type="dxa"/>
            <w:left w:w="108" w:type="dxa"/>
            <w:bottom w:w="0" w:type="dxa"/>
            <w:right w:w="108" w:type="dxa"/>
          </w:tblCellMar>
        </w:tblPrEx>
        <w:trPr>
          <w:trHeight w:val="97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★A0206180203空调机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房间空气调节器</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多联式空调（热泵）机组（制冷量≤ 14000W）</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单元式空气调节机(制冷量≤14000W)</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A0206180301洗衣机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《电动洗衣机能效水效限定值及等级》（GB12021.4）</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A02061808热水器</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★电热水器</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《储水式电热水器能效限定值及能效等级》（GB21519）</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燃气热水器</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热泵热水器</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《热泵热水机（器）能效限定值及能效等级》（GB29541）</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太阳能热水系统</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《家用太阳能热水系统能效限定值及能效等级》（GB26969）</w:t>
            </w:r>
          </w:p>
        </w:tc>
      </w:tr>
      <w:tr>
        <w:tblPrEx>
          <w:tblCellMar>
            <w:top w:w="0" w:type="dxa"/>
            <w:left w:w="108" w:type="dxa"/>
            <w:bottom w:w="0" w:type="dxa"/>
            <w:right w:w="108" w:type="dxa"/>
          </w:tblCellMar>
        </w:tblPrEx>
        <w:trPr>
          <w:trHeight w:val="495" w:hRule="atLeas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A020619照明设备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★普通照明用双端荧光灯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LED道路/隧道照明产品</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LED筒灯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《室内照明用LED产品能效限定值及能效等级》（GB30255）</w:t>
            </w:r>
          </w:p>
        </w:tc>
      </w:tr>
      <w:tr>
        <w:tblPrEx>
          <w:tblCellMar>
            <w:top w:w="0" w:type="dxa"/>
            <w:left w:w="108" w:type="dxa"/>
            <w:bottom w:w="0" w:type="dxa"/>
            <w:right w:w="108" w:type="dxa"/>
          </w:tblCellMar>
        </w:tblPrEx>
        <w:trPr>
          <w:trHeight w:val="735"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普通照明用非定向自镇流LED灯</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《室内照明用LED产品能效限定值及能效等级》（GB30255）</w:t>
            </w:r>
          </w:p>
        </w:tc>
      </w:tr>
      <w:tr>
        <w:tblPrEx>
          <w:tblCellMar>
            <w:top w:w="0" w:type="dxa"/>
            <w:left w:w="108" w:type="dxa"/>
            <w:bottom w:w="0" w:type="dxa"/>
            <w:right w:w="108" w:type="dxa"/>
          </w:tblCellMar>
        </w:tblPrEx>
        <w:trPr>
          <w:trHeight w:val="735"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★A020910电视设备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A02091001普通电视设备（电视机）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《平板电视能效限定值及能效等级》（GB24850）</w:t>
            </w:r>
          </w:p>
        </w:tc>
      </w:tr>
      <w:tr>
        <w:tblPrEx>
          <w:tblCellMar>
            <w:top w:w="0" w:type="dxa"/>
            <w:left w:w="108" w:type="dxa"/>
            <w:bottom w:w="0" w:type="dxa"/>
            <w:right w:w="108" w:type="dxa"/>
          </w:tblCellMar>
        </w:tblPrEx>
        <w:trPr>
          <w:trHeight w:val="975"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1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★A020911视频设备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A02091107视频监控设备</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监视器</w:t>
            </w:r>
          </w:p>
        </w:tc>
        <w:tc>
          <w:tcPr>
            <w:tcW w:w="41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589"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14</w:t>
            </w:r>
          </w:p>
        </w:tc>
        <w:tc>
          <w:tcPr>
            <w:tcW w:w="129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A031210饮食炊事机械</w:t>
            </w:r>
          </w:p>
        </w:tc>
        <w:tc>
          <w:tcPr>
            <w:tcW w:w="177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商用燃气灶具</w:t>
            </w:r>
          </w:p>
        </w:tc>
        <w:tc>
          <w:tcPr>
            <w:tcW w:w="1776"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《商用燃气灶具能效限定值及能效等级》（GB30531）</w:t>
            </w:r>
          </w:p>
        </w:tc>
      </w:tr>
      <w:tr>
        <w:tblPrEx>
          <w:tblCellMar>
            <w:top w:w="0" w:type="dxa"/>
            <w:left w:w="108" w:type="dxa"/>
            <w:bottom w:w="0" w:type="dxa"/>
            <w:right w:w="108" w:type="dxa"/>
          </w:tblCellMar>
        </w:tblPrEx>
        <w:trPr>
          <w:trHeight w:val="285" w:hRule="atLeast"/>
        </w:trPr>
        <w:tc>
          <w:tcPr>
            <w:tcW w:w="589"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15</w:t>
            </w:r>
          </w:p>
        </w:tc>
        <w:tc>
          <w:tcPr>
            <w:tcW w:w="129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★A060805便器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坐便器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《坐便器水效限定值及水效等级》（GB25502）</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9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蹲便器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《蹲便器用水效率限定值及用水效率等级》（GB30717）</w:t>
            </w:r>
          </w:p>
        </w:tc>
      </w:tr>
      <w:tr>
        <w:tblPrEx>
          <w:tblCellMar>
            <w:top w:w="0" w:type="dxa"/>
            <w:left w:w="108" w:type="dxa"/>
            <w:bottom w:w="0" w:type="dxa"/>
            <w:right w:w="108" w:type="dxa"/>
          </w:tblCellMar>
        </w:tblPrEx>
        <w:trPr>
          <w:trHeight w:val="495" w:hRule="atLeast"/>
        </w:trPr>
        <w:tc>
          <w:tcPr>
            <w:tcW w:w="58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9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4"/>
              </w:rPr>
            </w:pP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小便器</w:t>
            </w:r>
          </w:p>
        </w:tc>
        <w:tc>
          <w:tcPr>
            <w:tcW w:w="1776" w:type="dxa"/>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《小便器用水效率限定值及用水效率等级》（GB28377）</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16</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★A060806水嘴</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《水嘴用水效率限定值及用水效率等级》（GB 25501）</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17</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A060807便器冲洗阀</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《便器冲洗阀用水效率限定值及用水效率等级》（GB28379）</w:t>
            </w:r>
          </w:p>
        </w:tc>
      </w:tr>
      <w:tr>
        <w:tblPrEx>
          <w:tblCellMar>
            <w:top w:w="0" w:type="dxa"/>
            <w:left w:w="108" w:type="dxa"/>
            <w:bottom w:w="0" w:type="dxa"/>
            <w:right w:w="108" w:type="dxa"/>
          </w:tblCellMar>
        </w:tblPrEx>
        <w:trPr>
          <w:trHeight w:val="495" w:hRule="atLeast"/>
        </w:trPr>
        <w:tc>
          <w:tcPr>
            <w:tcW w:w="589"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18</w:t>
            </w:r>
          </w:p>
        </w:tc>
        <w:tc>
          <w:tcPr>
            <w:tcW w:w="129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A060810淋浴器</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76" w:type="dxa"/>
            <w:tcBorders>
              <w:top w:val="nil"/>
              <w:left w:val="nil"/>
              <w:bottom w:val="single" w:color="000000" w:sz="8" w:space="0"/>
              <w:right w:val="single" w:color="000000"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186" w:type="dxa"/>
            <w:tcBorders>
              <w:top w:val="nil"/>
              <w:left w:val="nil"/>
              <w:bottom w:val="single" w:color="000000" w:sz="8"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《淋浴器用水效率限定值及用水效率等级》（GB28378）</w:t>
            </w:r>
          </w:p>
        </w:tc>
      </w:tr>
    </w:tbl>
    <w:p>
      <w:pPr>
        <w:widowControl/>
        <w:rPr>
          <w:rFonts w:ascii="宋体" w:hAnsi="宋体" w:cs="宋体"/>
          <w:sz w:val="24"/>
        </w:rPr>
      </w:pPr>
    </w:p>
    <w:p>
      <w:pPr>
        <w:pStyle w:val="19"/>
        <w:spacing w:line="360" w:lineRule="auto"/>
        <w:ind w:firstLine="408"/>
        <w:rPr>
          <w:rFonts w:ascii="宋体" w:hAnsi="宋体" w:cs="宋体"/>
        </w:rPr>
      </w:pPr>
      <w:r>
        <w:rPr>
          <w:rFonts w:hint="eastAsia" w:ascii="宋体" w:hAnsi="宋体" w:cs="宋体"/>
          <w:spacing w:val="-3"/>
        </w:rPr>
        <w:t>注：1.节能产品认证应依据相关国家标准的最新版本，依据国家标准中二级能效（水效）</w:t>
      </w:r>
      <w:r>
        <w:rPr>
          <w:rFonts w:hint="eastAsia" w:ascii="宋体" w:hAnsi="宋体" w:cs="宋体"/>
        </w:rPr>
        <w:t>指标。</w:t>
      </w:r>
    </w:p>
    <w:p>
      <w:pPr>
        <w:pStyle w:val="19"/>
        <w:spacing w:line="360" w:lineRule="auto"/>
        <w:rPr>
          <w:rFonts w:ascii="宋体" w:hAnsi="宋体" w:cs="宋体"/>
          <w:b/>
          <w:bCs/>
        </w:rPr>
      </w:pPr>
      <w:r>
        <w:rPr>
          <w:rFonts w:hint="eastAsia" w:ascii="宋体" w:hAnsi="宋体" w:cs="宋体"/>
        </w:rPr>
        <w:t xml:space="preserve">    2</w:t>
      </w:r>
      <w:r>
        <w:rPr>
          <w:rFonts w:hint="eastAsia" w:ascii="宋体" w:hAnsi="宋体" w:cs="宋体"/>
          <w:b/>
          <w:bCs/>
        </w:rPr>
        <w:t>.以“★”标注的为政府强制采购产品。</w:t>
      </w:r>
    </w:p>
    <w:p>
      <w:pPr>
        <w:rPr>
          <w:rFonts w:hAnsi="宋体" w:cs="宋体"/>
          <w:sz w:val="24"/>
        </w:rPr>
      </w:pPr>
      <w:r>
        <w:rPr>
          <w:rFonts w:hint="eastAsia" w:hAnsi="宋体" w:cs="宋体"/>
          <w:sz w:val="24"/>
        </w:rPr>
        <w:br w:type="page"/>
      </w:r>
    </w:p>
    <w:p>
      <w:pPr>
        <w:pStyle w:val="26"/>
        <w:jc w:val="left"/>
        <w:rPr>
          <w:rFonts w:hAnsi="宋体" w:cs="宋体"/>
          <w:sz w:val="24"/>
          <w:szCs w:val="24"/>
        </w:rPr>
      </w:pPr>
      <w:r>
        <w:rPr>
          <w:rFonts w:hint="eastAsia" w:hAnsi="宋体" w:cs="宋体"/>
          <w:sz w:val="24"/>
          <w:szCs w:val="24"/>
        </w:rPr>
        <w:t>附件2：</w:t>
      </w:r>
    </w:p>
    <w:p>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4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X＜10</w:t>
            </w:r>
          </w:p>
        </w:tc>
      </w:tr>
    </w:tbl>
    <w:p>
      <w:pPr>
        <w:spacing w:line="360" w:lineRule="auto"/>
        <w:ind w:firstLine="600" w:firstLineChars="250"/>
        <w:rPr>
          <w:rFonts w:ascii="楷体" w:hAnsi="楷体" w:eastAsia="楷体" w:cs="宋体"/>
          <w:sz w:val="24"/>
        </w:rPr>
      </w:pPr>
      <w:r>
        <w:rPr>
          <w:rFonts w:hint="eastAsia" w:ascii="楷体" w:hAnsi="楷体" w:eastAsia="楷体" w:cs="宋体"/>
          <w:sz w:val="24"/>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s="宋体"/>
          <w:sz w:val="24"/>
        </w:rPr>
        <w:sectPr>
          <w:footerReference r:id="rId4" w:type="default"/>
          <w:pgSz w:w="11906" w:h="16838"/>
          <w:pgMar w:top="1134" w:right="1134" w:bottom="1134" w:left="1134" w:header="720" w:footer="720" w:gutter="0"/>
          <w:pgNumType w:start="1"/>
          <w:cols w:space="720" w:num="1"/>
          <w:docGrid w:type="lines" w:linePitch="331" w:charSpace="0"/>
        </w:sectPr>
      </w:pPr>
    </w:p>
    <w:p>
      <w:pPr>
        <w:pStyle w:val="3"/>
        <w:spacing w:line="360" w:lineRule="auto"/>
        <w:jc w:val="center"/>
        <w:rPr>
          <w:rFonts w:ascii="宋体" w:hAnsi="宋体" w:cs="宋体"/>
        </w:rPr>
      </w:pPr>
      <w:r>
        <w:rPr>
          <w:rFonts w:hint="eastAsia" w:ascii="宋体" w:hAnsi="宋体" w:cs="宋体"/>
        </w:rPr>
        <w:t>第三章  投标人须知</w:t>
      </w:r>
      <w:bookmarkEnd w:id="41"/>
    </w:p>
    <w:p>
      <w:pPr>
        <w:spacing w:line="360" w:lineRule="auto"/>
        <w:jc w:val="center"/>
        <w:rPr>
          <w:rFonts w:ascii="宋体" w:hAnsi="宋体" w:cs="宋体"/>
          <w:sz w:val="36"/>
          <w:szCs w:val="36"/>
        </w:rPr>
      </w:pPr>
      <w:bookmarkStart w:id="42" w:name="_Toc254970667"/>
      <w:bookmarkStart w:id="43" w:name="_Toc254970526"/>
      <w:r>
        <w:rPr>
          <w:rFonts w:hint="eastAsia" w:ascii="宋体" w:hAnsi="宋体" w:cs="宋体"/>
          <w:sz w:val="36"/>
          <w:szCs w:val="36"/>
        </w:rPr>
        <w:t>投标人须知前附表</w:t>
      </w:r>
      <w:bookmarkEnd w:id="42"/>
      <w:bookmarkEnd w:id="43"/>
    </w:p>
    <w:p>
      <w:pPr>
        <w:jc w:val="center"/>
        <w:rPr>
          <w:rFonts w:ascii="宋体" w:hAnsi="宋体" w:cs="宋体"/>
          <w:sz w:val="36"/>
          <w:szCs w:val="36"/>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44" w:name="_9.2"/>
            <w:bookmarkEnd w:id="44"/>
            <w:bookmarkStart w:id="45" w:name="_5"/>
            <w:bookmarkEnd w:id="45"/>
            <w:bookmarkStart w:id="46" w:name="_8.1"/>
            <w:bookmarkEnd w:id="46"/>
            <w:r>
              <w:rPr>
                <w:rFonts w:hint="eastAsia" w:ascii="宋体" w:hAnsi="宋体" w:cs="宋体"/>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宋体" w:hAnsi="宋体" w:cs="宋体"/>
                <w:sz w:val="24"/>
              </w:rPr>
            </w:pPr>
            <w:r>
              <w:rPr>
                <w:rFonts w:hint="eastAsia" w:ascii="宋体" w:hAnsi="宋体" w:cs="宋体"/>
                <w:sz w:val="24"/>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bookmarkStart w:id="47" w:name="_Hlk54105293"/>
            <w:r>
              <w:rPr>
                <w:rFonts w:hint="eastAsia" w:ascii="宋体" w:hAnsi="宋体" w:cs="宋体"/>
                <w:sz w:val="24"/>
              </w:rPr>
              <w:t>如接受联合体投标，</w:t>
            </w:r>
            <w:bookmarkEnd w:id="47"/>
            <w:r>
              <w:rPr>
                <w:rFonts w:hint="eastAsia" w:ascii="宋体" w:hAnsi="宋体" w:cs="宋体"/>
                <w:sz w:val="24"/>
              </w:rPr>
              <w:t>联合体投标要求如下：</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联合体中有同类资质的投标人按照联合体分工承担相同工作的，应当按照资质等级较低的投标人确定资质等级。</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联合体投标业绩、履约能力按照联合体各方其中较高的一方认定并计算（招标文件另有规定的除外）。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本项目不允许分包。</w:t>
            </w:r>
          </w:p>
          <w:p>
            <w:pPr>
              <w:pStyle w:val="17"/>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pPr>
              <w:pStyle w:val="17"/>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w:t>
            </w:r>
          </w:p>
          <w:p>
            <w:pPr>
              <w:pStyle w:val="17"/>
              <w:spacing w:line="360" w:lineRule="auto"/>
              <w:jc w:val="both"/>
              <w:rPr>
                <w:rFonts w:ascii="宋体" w:hAnsi="宋体" w:cs="宋体"/>
                <w:sz w:val="24"/>
                <w:u w:val="single"/>
              </w:rPr>
            </w:pPr>
            <w:r>
              <w:rPr>
                <w:rFonts w:hint="eastAsia" w:ascii="宋体" w:hAnsi="宋体" w:cs="宋体"/>
                <w:sz w:val="24"/>
              </w:rPr>
              <w:t>分包金额或者比例：</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本项目是否组织现场考察：是</w:t>
            </w:r>
            <w:r>
              <w:rPr>
                <w:rFonts w:hint="eastAsia" w:ascii="黑体" w:hAnsi="黑体" w:eastAsia="黑体" w:cs="宋体"/>
                <w:sz w:val="24"/>
              </w:rPr>
              <w:t>（ ）</w:t>
            </w:r>
            <w:r>
              <w:rPr>
                <w:rFonts w:hint="eastAsia" w:ascii="宋体" w:hAnsi="宋体" w:cs="宋体"/>
                <w:sz w:val="24"/>
              </w:rPr>
              <w:t>/否</w:t>
            </w:r>
            <w:r>
              <w:rPr>
                <w:rFonts w:hint="eastAsia" w:ascii="黑体" w:hAnsi="黑体" w:eastAsia="黑体" w:cs="宋体"/>
                <w:sz w:val="24"/>
              </w:rPr>
              <w:t>（√ ）</w:t>
            </w:r>
            <w:r>
              <w:rPr>
                <w:rFonts w:hint="eastAsia" w:ascii="宋体" w:hAnsi="宋体" w:cs="宋体"/>
                <w:sz w:val="24"/>
              </w:rPr>
              <w:t>。</w:t>
            </w:r>
            <w:r>
              <w:rPr>
                <w:rFonts w:hint="eastAsia" w:ascii="黑体" w:hAnsi="黑体" w:eastAsia="黑体" w:cs="宋体"/>
                <w:sz w:val="24"/>
              </w:rPr>
              <w:t>（括号内√选）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本项目不组织召开开标前答疑会。</w:t>
            </w:r>
          </w:p>
          <w:p>
            <w:pPr>
              <w:snapToGrid w:val="0"/>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本项目组织召开开标前答疑会：详见商务条款。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bookmarkStart w:id="48" w:name="_13.1"/>
            <w:bookmarkEnd w:id="48"/>
            <w:r>
              <w:rPr>
                <w:rFonts w:hint="eastAsia" w:ascii="宋体" w:hAnsi="宋体" w:cs="宋体"/>
                <w:sz w:val="24"/>
              </w:rPr>
              <w:t>13.</w:t>
            </w:r>
            <w:bookmarkStart w:id="49" w:name="_Hlt19632543"/>
            <w:r>
              <w:rPr>
                <w:rFonts w:hint="eastAsia" w:ascii="宋体" w:hAnsi="宋体" w:cs="宋体"/>
                <w:sz w:val="24"/>
              </w:rPr>
              <w:t>1</w:t>
            </w:r>
            <w:bookmarkEnd w:id="49"/>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报价文件：</w:t>
            </w:r>
          </w:p>
          <w:p>
            <w:pPr>
              <w:autoSpaceDE w:val="0"/>
              <w:autoSpaceDN w:val="0"/>
              <w:snapToGrid w:val="0"/>
              <w:spacing w:line="360" w:lineRule="auto"/>
              <w:textAlignment w:val="bottom"/>
              <w:rPr>
                <w:rFonts w:ascii="宋体" w:hAnsi="宋体" w:cs="宋体"/>
                <w:b/>
                <w:bCs/>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投标函（格式后附）；</w:t>
            </w:r>
            <w:r>
              <w:rPr>
                <w:rFonts w:hint="eastAsia" w:ascii="宋体" w:hAnsi="宋体" w:cs="宋体"/>
                <w:b/>
                <w:bCs/>
                <w:sz w:val="24"/>
              </w:rPr>
              <w:t>（必须提供，否则按无效投标处理）</w:t>
            </w:r>
          </w:p>
          <w:p>
            <w:pPr>
              <w:autoSpaceDE w:val="0"/>
              <w:autoSpaceDN w:val="0"/>
              <w:snapToGrid w:val="0"/>
              <w:spacing w:line="360" w:lineRule="auto"/>
              <w:textAlignment w:val="bottom"/>
              <w:rPr>
                <w:rFonts w:ascii="宋体" w:hAnsi="宋体" w:cs="宋体"/>
                <w:b/>
                <w:bCs/>
                <w:sz w:val="24"/>
              </w:rPr>
            </w:pPr>
            <w:bookmarkStart w:id="50" w:name="_Hlk71299233"/>
            <w:r>
              <w:rPr>
                <w:rFonts w:hint="eastAsia" w:ascii="宋体" w:hAnsi="宋体" w:cs="宋体"/>
                <w:sz w:val="24"/>
              </w:rPr>
              <w:t>2</w:t>
            </w:r>
            <w:r>
              <w:rPr>
                <w:rFonts w:hint="eastAsia" w:ascii="宋体" w:hAnsi="宋体" w:cs="宋体"/>
                <w:bCs/>
                <w:sz w:val="24"/>
              </w:rPr>
              <w:t>.</w:t>
            </w:r>
            <w:r>
              <w:rPr>
                <w:rFonts w:hint="eastAsia" w:ascii="宋体" w:hAnsi="宋体" w:cs="宋体"/>
                <w:sz w:val="24"/>
              </w:rPr>
              <w:t>开标一览表</w:t>
            </w:r>
            <w:bookmarkEnd w:id="50"/>
            <w:r>
              <w:rPr>
                <w:rFonts w:hint="eastAsia" w:ascii="宋体" w:hAnsi="宋体" w:cs="宋体"/>
                <w:sz w:val="24"/>
              </w:rPr>
              <w:t>（格式后附）；</w:t>
            </w:r>
            <w:r>
              <w:rPr>
                <w:rFonts w:hint="eastAsia" w:ascii="宋体" w:hAnsi="宋体" w:cs="宋体"/>
                <w:b/>
                <w:bCs/>
                <w:sz w:val="24"/>
              </w:rPr>
              <w:t xml:space="preserve"> （必须提供，否则按无效投标处理）</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 xml:space="preserve"> 中小企业声明函（或残疾人福利性单位声明函或监狱企业声明函，残疾人福利性单位或监狱企业视同小微企业）（格式后附）；</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投标人针对报价需要说明的其他文件和说明（格式自拟）。</w:t>
            </w:r>
          </w:p>
          <w:p>
            <w:pPr>
              <w:autoSpaceDE w:val="0"/>
              <w:autoSpaceDN w:val="0"/>
              <w:snapToGrid w:val="0"/>
              <w:spacing w:line="360" w:lineRule="auto"/>
              <w:textAlignment w:val="bottom"/>
            </w:pPr>
            <w:r>
              <w:rPr>
                <w:rFonts w:hint="eastAsia" w:ascii="宋体" w:hAnsi="宋体" w:cs="宋体"/>
                <w:sz w:val="24"/>
              </w:rPr>
              <w:t>注：投标函、开标一览表必须由法定代表人或者委托代理人在规定签章处逐一签字并加盖投标人公章，否则按无效投标处理。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360" w:lineRule="auto"/>
              <w:rPr>
                <w:rFonts w:ascii="宋体" w:hAnsi="宋体" w:cs="宋体"/>
                <w:sz w:val="24"/>
              </w:rPr>
            </w:pPr>
            <w:bookmarkStart w:id="51" w:name="_13.2"/>
            <w:bookmarkEnd w:id="51"/>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sz w:val="24"/>
              </w:rPr>
            </w:pPr>
            <w:r>
              <w:rPr>
                <w:rFonts w:hint="eastAsia" w:ascii="宋体" w:hAnsi="宋体" w:cs="宋体"/>
                <w:b/>
                <w:sz w:val="24"/>
              </w:rPr>
              <w:t>资格证明文件：</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sz w:val="24"/>
              </w:rPr>
              <w:t>（必须提供，否则投标文件按无效投标处理）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人依法缴纳税收的相关材料（投标截止之日止半年内连续三个月依法缴纳税收的凭据复印件；依法免税的供应商，必须提供相应文件证明其依法免税。从取得营业执照时间起到投标文件提交截止时间止不足要求月数的，只需提供从取得营业执照时间起的依法缴纳税收相应证明文件）；</w:t>
            </w:r>
            <w:r>
              <w:rPr>
                <w:rFonts w:hint="eastAsia" w:ascii="宋体" w:hAnsi="宋体" w:cs="宋体"/>
                <w:b/>
                <w:sz w:val="24"/>
              </w:rPr>
              <w:t>（必须提供，否则按无效投标处理）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依法缴纳社会保障资金的相关材料[投标截止之日止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止不足要求月数的只需提供从取得营业执照时间起的依法缴纳社会保障资金的相应证明文件]；</w:t>
            </w:r>
            <w:r>
              <w:rPr>
                <w:rFonts w:hint="eastAsia" w:ascii="宋体" w:hAnsi="宋体" w:cs="宋体"/>
                <w:b/>
                <w:sz w:val="24"/>
              </w:rPr>
              <w:t>（必须提供，否则按无效投标处理）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投标人财务状况报告（提供2022年财务状况报告复印件，或者银行出具的资信证明（资信证明应在有效期内，未注明有效期的，银行出具时间至投标截止时间不超过一年）；</w:t>
            </w:r>
            <w:r>
              <w:rPr>
                <w:rFonts w:hint="eastAsia" w:ascii="宋体" w:hAnsi="宋体"/>
                <w:sz w:val="24"/>
              </w:rPr>
              <w:t>供应商成立不满一年的应按提供首次响应文件提交截止时间上一个月的财务状况报告复印件</w:t>
            </w:r>
            <w:r>
              <w:rPr>
                <w:rFonts w:hint="eastAsia" w:ascii="宋体" w:hAnsi="宋体" w:cs="宋体"/>
                <w:sz w:val="24"/>
              </w:rPr>
              <w:t>）；</w:t>
            </w:r>
            <w:r>
              <w:rPr>
                <w:rFonts w:hint="eastAsia" w:ascii="宋体" w:hAnsi="宋体" w:cs="宋体"/>
                <w:b/>
                <w:sz w:val="24"/>
              </w:rPr>
              <w:t>（必须提供，否则按无效投标处理）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投标人直接控股、管理关系信息表（格式后附）；</w:t>
            </w:r>
            <w:r>
              <w:rPr>
                <w:rFonts w:hint="eastAsia" w:ascii="宋体" w:hAnsi="宋体" w:cs="宋体"/>
                <w:b/>
                <w:sz w:val="24"/>
              </w:rPr>
              <w:t>（必须提供，否则按无效投标处理）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投标声明（格式后附）；</w:t>
            </w:r>
            <w:r>
              <w:rPr>
                <w:rFonts w:hint="eastAsia" w:ascii="宋体" w:hAnsi="宋体" w:cs="宋体"/>
                <w:b/>
                <w:sz w:val="24"/>
              </w:rPr>
              <w:t>（必须提供，否则按无效投标处理）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（联合体投标时必须提供，否则按无效投标处理）</w:t>
            </w:r>
          </w:p>
          <w:p>
            <w:pPr>
              <w:autoSpaceDE w:val="0"/>
              <w:autoSpaceDN w:val="0"/>
              <w:snapToGrid w:val="0"/>
              <w:spacing w:line="360" w:lineRule="auto"/>
              <w:textAlignment w:val="bottom"/>
              <w:rPr>
                <w:rFonts w:ascii="宋体" w:hAnsi="宋体" w:cs="宋体"/>
                <w:b/>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公告中的特定资格要求及特定条件的资格证明材料；</w:t>
            </w:r>
            <w:r>
              <w:rPr>
                <w:rFonts w:hint="eastAsia" w:ascii="宋体" w:hAnsi="宋体" w:cs="宋体"/>
                <w:b/>
                <w:sz w:val="24"/>
              </w:rPr>
              <w:t>（公告中如有则必须提供，否则按无效投标处理）</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w:t>
            </w:r>
          </w:p>
          <w:p>
            <w:pPr>
              <w:snapToGrid w:val="0"/>
              <w:spacing w:line="360" w:lineRule="auto"/>
              <w:jc w:val="left"/>
              <w:rPr>
                <w:rFonts w:ascii="楷体" w:hAnsi="楷体" w:eastAsia="楷体" w:cs="宋体"/>
                <w:b/>
                <w:sz w:val="24"/>
              </w:rPr>
            </w:pPr>
            <w:r>
              <w:rPr>
                <w:rFonts w:hint="eastAsia" w:ascii="楷体" w:hAnsi="楷体" w:eastAsia="楷体" w:cs="宋体"/>
                <w:b/>
                <w:sz w:val="24"/>
              </w:rPr>
              <w:t>【注】</w:t>
            </w:r>
          </w:p>
          <w:p>
            <w:pPr>
              <w:snapToGrid w:val="0"/>
              <w:spacing w:line="360" w:lineRule="auto"/>
              <w:jc w:val="left"/>
              <w:rPr>
                <w:rFonts w:ascii="楷体" w:hAnsi="楷体" w:eastAsia="楷体" w:cs="宋体"/>
                <w:sz w:val="24"/>
              </w:rPr>
            </w:pPr>
            <w:r>
              <w:rPr>
                <w:rFonts w:hint="eastAsia" w:ascii="楷体" w:hAnsi="楷体" w:eastAsia="楷体" w:cs="宋体"/>
                <w:sz w:val="24"/>
              </w:rPr>
              <w:t>1</w:t>
            </w:r>
            <w:r>
              <w:rPr>
                <w:rFonts w:hint="eastAsia"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p>
            <w:pPr>
              <w:snapToGrid w:val="0"/>
              <w:spacing w:line="360" w:lineRule="auto"/>
              <w:jc w:val="left"/>
              <w:rPr>
                <w:rFonts w:ascii="楷体" w:hAnsi="楷体" w:eastAsia="楷体" w:cs="宋体"/>
                <w:sz w:val="24"/>
              </w:rPr>
            </w:pPr>
            <w:r>
              <w:rPr>
                <w:rFonts w:hint="eastAsia" w:ascii="楷体" w:hAnsi="楷体" w:eastAsia="楷体" w:cs="宋体"/>
                <w:sz w:val="24"/>
              </w:rPr>
              <w:t>2</w:t>
            </w:r>
            <w:r>
              <w:rPr>
                <w:rFonts w:hint="eastAsia" w:ascii="楷体" w:hAnsi="楷体" w:eastAsia="楷体" w:cs="宋体"/>
                <w:bCs/>
                <w:sz w:val="24"/>
              </w:rPr>
              <w:t>.</w:t>
            </w:r>
            <w:r>
              <w:rPr>
                <w:rFonts w:hint="eastAsia" w:ascii="楷体" w:hAnsi="楷体" w:eastAsia="楷体" w:cs="宋体"/>
                <w:sz w:val="24"/>
              </w:rPr>
              <w:t>投标声明必须由法定代表人在规定签章处签字并加盖投标人公章，否则按无效投标处理。</w:t>
            </w:r>
          </w:p>
          <w:p>
            <w:pPr>
              <w:snapToGrid w:val="0"/>
              <w:spacing w:line="360" w:lineRule="auto"/>
              <w:jc w:val="left"/>
              <w:rPr>
                <w:rFonts w:ascii="楷体" w:hAnsi="楷体" w:eastAsia="楷体" w:cs="宋体"/>
                <w:sz w:val="24"/>
              </w:rPr>
            </w:pPr>
            <w:r>
              <w:rPr>
                <w:rFonts w:hint="eastAsia" w:ascii="楷体" w:hAnsi="楷体" w:eastAsia="楷体" w:cs="宋体"/>
                <w:sz w:val="24"/>
              </w:rPr>
              <w:t>3</w:t>
            </w:r>
            <w:r>
              <w:rPr>
                <w:rFonts w:hint="eastAsia" w:ascii="楷体" w:hAnsi="楷体" w:eastAsia="楷体" w:cs="宋体"/>
                <w:bCs/>
                <w:sz w:val="24"/>
              </w:rPr>
              <w:t>.</w:t>
            </w:r>
            <w:r>
              <w:rPr>
                <w:rFonts w:hint="eastAsia" w:ascii="楷体" w:hAnsi="楷体" w:eastAsia="楷体" w:cs="宋体"/>
                <w:sz w:val="24"/>
              </w:rPr>
              <w:t>投标人直接控股、管理关系信息表必须由法定代表人或者委托代理人在规定签章处签字并加盖投标人公章，否则按无效投标处理。</w:t>
            </w:r>
          </w:p>
          <w:p>
            <w:pPr>
              <w:snapToGrid w:val="0"/>
              <w:spacing w:line="360" w:lineRule="auto"/>
              <w:jc w:val="left"/>
              <w:rPr>
                <w:rFonts w:ascii="楷体" w:hAnsi="楷体" w:eastAsia="楷体" w:cs="宋体"/>
                <w:sz w:val="24"/>
              </w:rPr>
            </w:pPr>
            <w:r>
              <w:rPr>
                <w:rFonts w:hint="eastAsia" w:ascii="楷体" w:hAnsi="楷体" w:eastAsia="楷体" w:cs="宋体"/>
                <w:sz w:val="24"/>
              </w:rPr>
              <w:t>4</w:t>
            </w:r>
            <w:r>
              <w:rPr>
                <w:rFonts w:hint="eastAsia" w:ascii="楷体" w:hAnsi="楷体" w:eastAsia="楷体" w:cs="宋体"/>
                <w:bCs/>
                <w:sz w:val="24"/>
              </w:rPr>
              <w:t>.</w:t>
            </w:r>
            <w:r>
              <w:rPr>
                <w:rFonts w:hint="eastAsia" w:ascii="楷体" w:hAnsi="楷体" w:eastAsia="楷体" w:cs="宋体"/>
                <w:sz w:val="24"/>
              </w:rPr>
              <w:t>联合体投标时，以上第1-5项资格证明文件联合体各方均必须分别提供，联合体各方分别盖章，否则按无效投标处理。</w:t>
            </w:r>
          </w:p>
          <w:p>
            <w:pPr>
              <w:snapToGrid w:val="0"/>
              <w:spacing w:line="360" w:lineRule="auto"/>
              <w:jc w:val="left"/>
              <w:rPr>
                <w:rFonts w:ascii="宋体" w:hAnsi="宋体" w:cs="宋体"/>
                <w:b/>
                <w:bCs/>
                <w:sz w:val="24"/>
              </w:rPr>
            </w:pPr>
            <w:r>
              <w:rPr>
                <w:rFonts w:hint="eastAsia" w:ascii="楷体" w:hAnsi="楷体" w:eastAsia="楷体" w:cs="宋体"/>
                <w:sz w:val="24"/>
              </w:rPr>
              <w:t>5</w:t>
            </w:r>
            <w:r>
              <w:rPr>
                <w:rFonts w:hint="eastAsia" w:ascii="楷体" w:hAnsi="楷体" w:eastAsia="楷体" w:cs="宋体"/>
                <w:bCs/>
                <w:sz w:val="24"/>
              </w:rPr>
              <w:t>.</w:t>
            </w:r>
            <w:r>
              <w:rPr>
                <w:rFonts w:hint="eastAsia" w:ascii="楷体" w:hAnsi="楷体" w:eastAsia="楷体" w:cs="宋体"/>
                <w:sz w:val="24"/>
              </w:rPr>
              <w:t>分公司参加投标的，应当取得总公司授权，否则按无效投标处理。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360" w:lineRule="auto"/>
              <w:rPr>
                <w:rFonts w:ascii="宋体" w:hAnsi="宋体" w:cs="宋体"/>
                <w:sz w:val="24"/>
              </w:rPr>
            </w:pPr>
            <w:bookmarkStart w:id="52" w:name="_13.3"/>
            <w:bookmarkEnd w:id="52"/>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sz w:val="24"/>
              </w:rPr>
            </w:pPr>
            <w:r>
              <w:rPr>
                <w:rFonts w:hint="eastAsia" w:ascii="宋体" w:hAnsi="宋体" w:cs="宋体"/>
                <w:b/>
                <w:sz w:val="24"/>
              </w:rPr>
              <w:t>商务文件：</w:t>
            </w:r>
          </w:p>
          <w:p>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无串通投标行为的承诺函（格式后附）；（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投标保证金提交凭证；（</w:t>
            </w:r>
            <w:r>
              <w:rPr>
                <w:rFonts w:hint="eastAsia" w:ascii="宋体" w:hAnsi="宋体" w:cs="宋体"/>
                <w:b/>
                <w:sz w:val="24"/>
              </w:rPr>
              <w:t>如要求提交保证金则必须提供，否则按无效投标处理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授权委托书及委托代理人有效身份证正反面复印件（格式后附）；（</w:t>
            </w:r>
            <w:r>
              <w:rPr>
                <w:rFonts w:hint="eastAsia" w:ascii="宋体" w:hAnsi="宋体" w:cs="宋体"/>
                <w:b/>
                <w:sz w:val="24"/>
              </w:rPr>
              <w:t>委托时必须提供，否则按无效投标处理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商务要求偏离表（格式后附）；（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售后服务承诺（格式自拟）；（</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投标人情况介绍（格式自拟）；</w:t>
            </w:r>
          </w:p>
          <w:p>
            <w:pPr>
              <w:snapToGrid w:val="0"/>
              <w:spacing w:line="360" w:lineRule="auto"/>
              <w:jc w:val="left"/>
              <w:rPr>
                <w:rFonts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联合体投标时必须提供，否则按无效投标处理</w:t>
            </w:r>
            <w:r>
              <w:rPr>
                <w:rFonts w:hint="eastAsia" w:ascii="宋体" w:hAnsi="宋体" w:cs="宋体"/>
                <w:sz w:val="24"/>
              </w:rPr>
              <w:t>）</w:t>
            </w:r>
          </w:p>
          <w:p>
            <w:pPr>
              <w:snapToGrid w:val="0"/>
              <w:spacing w:line="360" w:lineRule="auto"/>
              <w:jc w:val="left"/>
              <w:rPr>
                <w:rFonts w:ascii="宋体" w:hAnsi="宋体" w:cs="宋体"/>
                <w:b/>
                <w:bCs/>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楷体" w:hAnsi="楷体" w:eastAsia="楷体" w:cs="宋体"/>
                <w:b/>
                <w:sz w:val="24"/>
              </w:rPr>
            </w:pPr>
            <w:r>
              <w:rPr>
                <w:rFonts w:hint="eastAsia" w:ascii="楷体" w:hAnsi="楷体" w:eastAsia="楷体" w:cs="宋体"/>
                <w:b/>
                <w:sz w:val="24"/>
              </w:rPr>
              <w:t>【注】</w:t>
            </w:r>
          </w:p>
          <w:p>
            <w:pPr>
              <w:snapToGrid w:val="0"/>
              <w:spacing w:line="360" w:lineRule="auto"/>
              <w:jc w:val="left"/>
              <w:rPr>
                <w:rFonts w:ascii="楷体" w:hAnsi="楷体" w:eastAsia="楷体" w:cs="宋体"/>
                <w:sz w:val="24"/>
              </w:rPr>
            </w:pPr>
            <w:r>
              <w:rPr>
                <w:rFonts w:hint="eastAsia" w:ascii="楷体" w:hAnsi="楷体" w:eastAsia="楷体" w:cs="宋体"/>
                <w:sz w:val="24"/>
              </w:rPr>
              <w:t>1</w:t>
            </w:r>
            <w:r>
              <w:rPr>
                <w:rFonts w:hint="eastAsia" w:ascii="楷体" w:hAnsi="楷体" w:eastAsia="楷体" w:cs="宋体"/>
                <w:bCs/>
                <w:sz w:val="24"/>
              </w:rPr>
              <w:t>.</w:t>
            </w:r>
            <w:r>
              <w:rPr>
                <w:rFonts w:hint="eastAsia" w:ascii="楷体" w:hAnsi="楷体" w:eastAsia="楷体" w:cs="宋体"/>
                <w:sz w:val="24"/>
              </w:rPr>
              <w:t>法定代表人授权委托书必须由法定代表人及委托代理人签字，并加盖投标人公章，否则做无效投标处理。</w:t>
            </w:r>
          </w:p>
          <w:p>
            <w:pPr>
              <w:snapToGrid w:val="0"/>
              <w:spacing w:line="360" w:lineRule="auto"/>
              <w:jc w:val="left"/>
              <w:rPr>
                <w:rFonts w:ascii="宋体" w:hAnsi="宋体" w:cs="宋体"/>
                <w:sz w:val="24"/>
              </w:rPr>
            </w:pPr>
            <w:r>
              <w:rPr>
                <w:rFonts w:hint="eastAsia" w:ascii="楷体" w:hAnsi="楷体" w:eastAsia="楷体" w:cs="宋体"/>
                <w:sz w:val="24"/>
              </w:rPr>
              <w:t>2</w:t>
            </w:r>
            <w:r>
              <w:rPr>
                <w:rFonts w:hint="eastAsia"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4"/>
              </w:rPr>
            </w:pPr>
            <w:bookmarkStart w:id="53" w:name="_13.4"/>
            <w:bookmarkEnd w:id="53"/>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sz w:val="24"/>
              </w:rPr>
            </w:pPr>
            <w:r>
              <w:rPr>
                <w:rFonts w:hint="eastAsia" w:ascii="宋体" w:hAnsi="宋体" w:cs="宋体"/>
                <w:b/>
                <w:sz w:val="24"/>
              </w:rPr>
              <w:t>技术文件：</w:t>
            </w:r>
          </w:p>
          <w:p>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设备性能配置清单（格式后附）；（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技术要求偏离表（格式后附）；（</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项目实施方案（格式自拟）[项目前期准备、项目实施计划（项目实施人员一览表（格式后附）、技术服务、技术培训的内容和措施）]；（</w:t>
            </w:r>
            <w:r>
              <w:rPr>
                <w:rFonts w:hint="eastAsia" w:ascii="宋体" w:hAnsi="宋体" w:cs="宋体"/>
                <w:b/>
                <w:sz w:val="24"/>
              </w:rPr>
              <w:t>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对本项目系统总体要求的理解。包括：功能说明、性能指标及设备选型说明（质量、性能、价格、外观、体积等方面进行比较和选择的理由及过程，格式自拟）；</w:t>
            </w:r>
          </w:p>
          <w:p>
            <w:pPr>
              <w:snapToGri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sz w:val="24"/>
              </w:rPr>
              <w:t>采购需求中要求必须提供时必须提供，否则按无效投标处理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优惠条件：投标人承诺给予招标人的各种优惠条件，包括售后服务、备品备件、专用耗材等方面的优惠；投标人不得给予赠品或者与采购无关的其他商品、服务；</w:t>
            </w:r>
          </w:p>
          <w:p>
            <w:pPr>
              <w:snapToGrid w:val="0"/>
              <w:spacing w:line="360" w:lineRule="auto"/>
              <w:jc w:val="lef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投标人对本项目的合理化建议和改进措施（格式自拟）；</w:t>
            </w:r>
          </w:p>
          <w:p>
            <w:pPr>
              <w:snapToGrid w:val="0"/>
              <w:spacing w:line="360" w:lineRule="auto"/>
              <w:jc w:val="left"/>
              <w:rPr>
                <w:rFonts w:ascii="宋体" w:hAnsi="宋体" w:cs="宋体"/>
                <w:bCs/>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除招标文件规定必须提供以外，投标人需要说明的其他文件和说明（格式自拟）。</w:t>
            </w:r>
          </w:p>
          <w:p>
            <w:pPr>
              <w:snapToGrid w:val="0"/>
              <w:spacing w:line="360" w:lineRule="auto"/>
              <w:jc w:val="left"/>
              <w:rPr>
                <w:rFonts w:ascii="楷体" w:hAnsi="楷体" w:eastAsia="楷体" w:cs="宋体"/>
                <w:bCs/>
                <w:sz w:val="24"/>
              </w:rPr>
            </w:pPr>
            <w:r>
              <w:rPr>
                <w:rFonts w:hint="eastAsia" w:ascii="楷体" w:hAnsi="楷体" w:eastAsia="楷体" w:cs="宋体"/>
                <w:b/>
                <w:bCs/>
                <w:sz w:val="24"/>
              </w:rPr>
              <w:t>注</w:t>
            </w:r>
            <w:r>
              <w:rPr>
                <w:rFonts w:hint="eastAsia" w:ascii="楷体" w:hAnsi="楷体" w:eastAsia="楷体" w:cs="宋体"/>
                <w:bCs/>
                <w:sz w:val="24"/>
              </w:rPr>
              <w:t>：以上标明“必须提供”的材料属于复印件的，必须加盖投标人公章，否则按无效投标</w:t>
            </w:r>
            <w:r>
              <w:rPr>
                <w:rFonts w:hint="eastAsia" w:ascii="楷体" w:hAnsi="楷体" w:eastAsia="楷体" w:cs="宋体"/>
                <w:sz w:val="24"/>
              </w:rPr>
              <w:t>处理</w:t>
            </w:r>
            <w:r>
              <w:rPr>
                <w:rFonts w:hint="eastAsia" w:ascii="楷体" w:hAnsi="楷体" w:eastAsia="楷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54" w:name="_16.2"/>
            <w:bookmarkEnd w:id="54"/>
            <w:bookmarkStart w:id="55" w:name="_13.5"/>
            <w:bookmarkEnd w:id="55"/>
            <w:r>
              <w:rPr>
                <w:rFonts w:hint="eastAsia" w:ascii="宋体" w:hAnsi="宋体" w:cs="宋体"/>
                <w:sz w:val="24"/>
              </w:rPr>
              <w:t>16</w:t>
            </w:r>
            <w:bookmarkStart w:id="56" w:name="_Hlt19194067"/>
            <w:bookmarkStart w:id="57" w:name="_Hlt19693758"/>
            <w:bookmarkStart w:id="58" w:name="_Hlt19194066"/>
            <w:bookmarkStart w:id="59" w:name="_Hlt19693759"/>
            <w:r>
              <w:rPr>
                <w:rFonts w:hint="eastAsia" w:ascii="宋体" w:hAnsi="宋体" w:cs="宋体"/>
                <w:sz w:val="24"/>
              </w:rPr>
              <w:t>.</w:t>
            </w:r>
            <w:bookmarkEnd w:id="56"/>
            <w:bookmarkEnd w:id="57"/>
            <w:bookmarkEnd w:id="58"/>
            <w:bookmarkEnd w:id="59"/>
            <w:r>
              <w:rPr>
                <w:rFonts w:hint="eastAsia" w:ascii="宋体" w:hAnsi="宋体" w:cs="宋体"/>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0" w:name="_17.1"/>
            <w:bookmarkEnd w:id="60"/>
            <w:r>
              <w:rPr>
                <w:rFonts w:hint="eastAsia" w:ascii="宋体" w:hAnsi="宋体" w:cs="宋体"/>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投标有效期：投标截止之日起</w:t>
            </w:r>
            <w:r>
              <w:rPr>
                <w:rFonts w:ascii="宋体" w:hAnsi="宋体" w:cs="宋体"/>
                <w:sz w:val="24"/>
              </w:rPr>
              <w:t>60</w:t>
            </w:r>
            <w:r>
              <w:rPr>
                <w:rFonts w:hint="eastAsia" w:ascii="宋体" w:hAnsi="宋体" w:cs="宋体"/>
                <w:sz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1" w:name="_18"/>
            <w:bookmarkEnd w:id="61"/>
            <w:r>
              <w:rPr>
                <w:rFonts w:hint="eastAsia" w:ascii="宋体" w:hAnsi="宋体" w:cs="宋体"/>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本项目不收取投标保证金。</w:t>
            </w:r>
          </w:p>
          <w:p>
            <w:pPr>
              <w:spacing w:line="360" w:lineRule="auto"/>
              <w:jc w:val="left"/>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本项目收取投标保证金。</w:t>
            </w:r>
          </w:p>
          <w:p>
            <w:pPr>
              <w:spacing w:line="360" w:lineRule="auto"/>
              <w:jc w:val="left"/>
              <w:rPr>
                <w:rFonts w:ascii="宋体" w:hAnsi="宋体" w:cs="宋体"/>
                <w:sz w:val="24"/>
              </w:rPr>
            </w:pPr>
            <w:r>
              <w:rPr>
                <w:rFonts w:hint="eastAsia" w:ascii="宋体" w:hAnsi="宋体" w:cs="宋体"/>
                <w:sz w:val="24"/>
              </w:rPr>
              <w:t>投标保证金：50000元</w:t>
            </w:r>
          </w:p>
          <w:p>
            <w:pPr>
              <w:spacing w:line="360" w:lineRule="auto"/>
              <w:jc w:val="left"/>
              <w:rPr>
                <w:rFonts w:ascii="宋体" w:hAnsi="宋体" w:cs="宋体"/>
                <w:sz w:val="24"/>
              </w:rPr>
            </w:pPr>
            <w:r>
              <w:rPr>
                <w:rFonts w:hint="eastAsia" w:ascii="宋体" w:hAnsi="宋体" w:cs="宋体"/>
                <w:sz w:val="24"/>
              </w:rPr>
              <w:t>保证金专用银行账号：</w:t>
            </w:r>
          </w:p>
          <w:p>
            <w:pPr>
              <w:spacing w:line="360" w:lineRule="auto"/>
              <w:rPr>
                <w:rFonts w:ascii="宋体" w:hAnsi="宋体" w:cs="宋体"/>
                <w:sz w:val="24"/>
              </w:rPr>
            </w:pPr>
            <w:r>
              <w:rPr>
                <w:rFonts w:hint="eastAsia" w:ascii="宋体" w:hAnsi="宋体" w:cs="宋体"/>
                <w:sz w:val="24"/>
              </w:rPr>
              <w:t>开户名称：广西科文招标有限公司</w:t>
            </w:r>
          </w:p>
          <w:p>
            <w:pPr>
              <w:spacing w:line="360" w:lineRule="auto"/>
              <w:rPr>
                <w:rFonts w:ascii="宋体" w:hAnsi="宋体" w:cs="宋体"/>
                <w:sz w:val="24"/>
              </w:rPr>
            </w:pPr>
            <w:r>
              <w:rPr>
                <w:rFonts w:hint="eastAsia" w:ascii="宋体" w:hAnsi="宋体" w:cs="宋体"/>
                <w:sz w:val="24"/>
              </w:rPr>
              <w:t>开户银行：广西北部湾银行南宁分行营业部</w:t>
            </w:r>
          </w:p>
          <w:p>
            <w:pPr>
              <w:spacing w:line="360" w:lineRule="auto"/>
              <w:rPr>
                <w:rFonts w:ascii="宋体" w:hAnsi="宋体" w:cs="宋体"/>
                <w:sz w:val="24"/>
              </w:rPr>
            </w:pPr>
            <w:r>
              <w:rPr>
                <w:rFonts w:hint="eastAsia" w:ascii="宋体" w:hAnsi="宋体" w:cs="宋体"/>
                <w:sz w:val="24"/>
              </w:rPr>
              <w:t>银行账号：0101012090615689</w:t>
            </w:r>
            <w:r>
              <w:rPr>
                <w:rFonts w:ascii="宋体" w:hAnsi="宋体" w:cs="宋体"/>
                <w:sz w:val="24"/>
              </w:rPr>
              <w:t xml:space="preserve"> </w:t>
            </w:r>
          </w:p>
          <w:p>
            <w:pPr>
              <w:spacing w:line="360" w:lineRule="auto"/>
              <w:jc w:val="left"/>
              <w:rPr>
                <w:rFonts w:ascii="宋体" w:hAnsi="宋体" w:cs="宋体"/>
                <w:sz w:val="24"/>
              </w:rPr>
            </w:pPr>
            <w:r>
              <w:rPr>
                <w:rFonts w:hint="eastAsia" w:ascii="宋体" w:hAnsi="宋体" w:cs="宋体"/>
                <w:sz w:val="24"/>
              </w:rPr>
              <w:t>投标保证金的交纳方式：银行转账、支票、汇票、本票或者金融、担保机构出具的保函，禁止采用现钞方</w:t>
            </w:r>
            <w:r>
              <w:rPr>
                <w:rFonts w:hint="eastAsia" w:ascii="宋体" w:hAnsi="宋体" w:cs="宋体"/>
                <w:kern w:val="0"/>
                <w:sz w:val="24"/>
              </w:rPr>
              <w:t>式。采用银行转账方式的，在投标截止时间前交至指定账户并且到账采用支票、汇票、本票或者保函等方式的，在投标截止时间前，投标人必须递交支票、汇票、本票或者保函原件。否则视为无效投标保证金。</w:t>
            </w:r>
          </w:p>
          <w:p>
            <w:pPr>
              <w:snapToGrid w:val="0"/>
              <w:spacing w:line="360" w:lineRule="auto"/>
              <w:rPr>
                <w:rFonts w:ascii="宋体" w:hAnsi="宋体" w:cs="宋体"/>
                <w:sz w:val="24"/>
              </w:rPr>
            </w:pPr>
            <w:r>
              <w:rPr>
                <w:rFonts w:hint="eastAsia" w:ascii="宋体" w:hAnsi="宋体" w:cs="宋体"/>
                <w:sz w:val="24"/>
              </w:rPr>
              <w:t>相关要求：</w:t>
            </w:r>
          </w:p>
          <w:p>
            <w:pPr>
              <w:pStyle w:val="17"/>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投标保证金采用银行转账交纳方式的，在投标截止时间前交至指定账户并且到账，投标人应将银行转账底单的复印件作为投标保证金提交凭证，放置于商务文件中，否则投标无效。</w:t>
            </w:r>
          </w:p>
          <w:p>
            <w:pPr>
              <w:pStyle w:val="17"/>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pPr>
              <w:snapToGrid w:val="0"/>
              <w:spacing w:line="360" w:lineRule="auto"/>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投标人为联合体的，可以由联合体中的一方或者多方共同交纳投标保证金，其交纳的保证金对联合体各方均具有约束力。</w:t>
            </w:r>
          </w:p>
          <w:p>
            <w:pPr>
              <w:snapToGrid w:val="0"/>
              <w:spacing w:line="360" w:lineRule="auto"/>
              <w:rPr>
                <w:rFonts w:ascii="楷体" w:hAnsi="楷体" w:eastAsia="楷体" w:cs="宋体"/>
                <w:b/>
                <w:bCs/>
                <w:sz w:val="24"/>
              </w:rPr>
            </w:pPr>
            <w:r>
              <w:rPr>
                <w:rFonts w:hint="eastAsia" w:ascii="楷体" w:hAnsi="楷体" w:eastAsia="楷体" w:cs="宋体"/>
                <w:b/>
                <w:bCs/>
                <w:sz w:val="24"/>
              </w:rPr>
              <w:t xml:space="preserve">【备注】 </w:t>
            </w:r>
          </w:p>
          <w:p>
            <w:pPr>
              <w:snapToGrid w:val="0"/>
              <w:spacing w:line="360" w:lineRule="auto"/>
              <w:rPr>
                <w:rFonts w:ascii="楷体" w:hAnsi="楷体" w:eastAsia="楷体" w:cs="宋体"/>
                <w:bCs/>
                <w:sz w:val="24"/>
              </w:rPr>
            </w:pPr>
            <w:r>
              <w:rPr>
                <w:rFonts w:hint="eastAsia" w:ascii="楷体" w:hAnsi="楷体" w:eastAsia="楷体" w:cs="宋体"/>
                <w:bCs/>
                <w:sz w:val="24"/>
              </w:rPr>
              <w:t>1.投标保证金在投标截止时间后提交的，或者不按规定交纳方式交纳的，或者未足额交纳的（包含保函额度不足的），视为无效投标保证金。</w:t>
            </w:r>
          </w:p>
          <w:p>
            <w:pPr>
              <w:snapToGrid w:val="0"/>
              <w:spacing w:line="360" w:lineRule="auto"/>
              <w:rPr>
                <w:rFonts w:ascii="楷体" w:hAnsi="楷体" w:eastAsia="楷体" w:cs="宋体"/>
                <w:bCs/>
                <w:sz w:val="24"/>
              </w:rPr>
            </w:pPr>
            <w:r>
              <w:rPr>
                <w:rFonts w:hint="eastAsia" w:ascii="楷体" w:hAnsi="楷体" w:eastAsia="楷体" w:cs="宋体"/>
                <w:bCs/>
                <w:sz w:val="24"/>
              </w:rPr>
              <w:t>2.投标人采用现钞方式或者从个人账户（自然人投标除外）转出的投标保证金，视为无效投标保证金。</w:t>
            </w:r>
          </w:p>
          <w:p>
            <w:pPr>
              <w:snapToGrid w:val="0"/>
              <w:spacing w:line="360" w:lineRule="auto"/>
              <w:rPr>
                <w:rFonts w:ascii="楷体" w:hAnsi="楷体" w:eastAsia="楷体" w:cs="宋体"/>
                <w:bCs/>
                <w:sz w:val="24"/>
              </w:rPr>
            </w:pPr>
            <w:r>
              <w:rPr>
                <w:rFonts w:hint="eastAsia" w:ascii="楷体" w:hAnsi="楷体" w:eastAsia="楷体" w:cs="宋体"/>
                <w:bCs/>
                <w:sz w:val="24"/>
              </w:rPr>
              <w:t>3.支票、汇票或者本票出现无效或者背书情形的，视为无效投标保证金。</w:t>
            </w:r>
          </w:p>
          <w:p>
            <w:pPr>
              <w:snapToGrid w:val="0"/>
              <w:spacing w:line="360" w:lineRule="auto"/>
              <w:rPr>
                <w:rFonts w:ascii="楷体" w:hAnsi="楷体" w:eastAsia="楷体" w:cs="宋体"/>
                <w:bCs/>
                <w:sz w:val="24"/>
              </w:rPr>
            </w:pPr>
            <w:r>
              <w:rPr>
                <w:rFonts w:hint="eastAsia" w:ascii="楷体" w:hAnsi="楷体" w:eastAsia="楷体" w:cs="宋体"/>
                <w:bCs/>
                <w:sz w:val="24"/>
              </w:rPr>
              <w:t>4.保函有效期低于投标有效期的，视为无效投标保证金。</w:t>
            </w:r>
          </w:p>
          <w:p>
            <w:pPr>
              <w:snapToGrid w:val="0"/>
              <w:spacing w:line="360" w:lineRule="auto"/>
            </w:pPr>
            <w:r>
              <w:rPr>
                <w:rFonts w:hint="eastAsia" w:ascii="楷体" w:hAnsi="楷体" w:eastAsia="楷体" w:cs="宋体"/>
                <w:bCs/>
                <w:sz w:val="24"/>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2" w:name="_19.2"/>
            <w:bookmarkEnd w:id="62"/>
            <w:r>
              <w:rPr>
                <w:rFonts w:hint="eastAsia" w:ascii="宋体" w:hAnsi="宋体" w:cs="宋体"/>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投标文件应按报价文件、资格证明文件、商务文件、技术文件分别编制，</w:t>
            </w:r>
            <w:r>
              <w:rPr>
                <w:rFonts w:hint="eastAsia" w:ascii="宋体" w:hAnsi="宋体" w:cs="宋体"/>
                <w:sz w:val="24"/>
                <w:lang w:bidi="ar"/>
              </w:rPr>
              <w:t>并按“政采云”平台的要求编制、加密、上传。（注：按照本招标文件“第六章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本项目不接受电子备份投标文件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3" w:name="_21.1"/>
            <w:bookmarkEnd w:id="63"/>
            <w:r>
              <w:rPr>
                <w:rFonts w:hint="eastAsia" w:ascii="宋体" w:hAnsi="宋体" w:cs="宋体"/>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u w:val="single"/>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投标截止时间：详见招标公告</w:t>
            </w:r>
          </w:p>
          <w:p>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4" w:name="_23"/>
            <w:bookmarkEnd w:id="64"/>
            <w:r>
              <w:rPr>
                <w:rFonts w:hint="eastAsia" w:ascii="宋体" w:hAnsi="宋体" w:cs="宋体"/>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开标时间：详见招标公告</w:t>
            </w:r>
          </w:p>
          <w:p>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Cs/>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rPr>
            </w:pPr>
            <w:r>
              <w:rPr>
                <w:rFonts w:hint="eastAsia" w:ascii="宋体" w:hAnsi="宋体" w:cs="宋体"/>
                <w:bCs/>
                <w:sz w:val="24"/>
              </w:rPr>
              <w:t>“政采云”平台按开标时间自动提取所有投标文件。采购代理机构依托“政采云”平台向各投标人发出电子加密投标文件【开始解密】通知，由投标人进行投标文件解密。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投标人的法定代表人或其委托代理人须携带加密时所用的CA锁准时登录到“政采云”平台电子开标大厅签到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5" w:name="_25.3"/>
            <w:bookmarkEnd w:id="65"/>
            <w:r>
              <w:rPr>
                <w:rFonts w:hint="eastAsia" w:ascii="宋体" w:hAnsi="宋体" w:cs="宋体"/>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采购人或者采购代理机构在资格审查结束前，对投标人进行信用查询。</w:t>
            </w:r>
          </w:p>
          <w:p>
            <w:pPr>
              <w:snapToGrid w:val="0"/>
              <w:spacing w:line="360" w:lineRule="auto"/>
              <w:rPr>
                <w:rFonts w:ascii="宋体" w:hAnsi="宋体" w:cs="宋体"/>
                <w:sz w:val="24"/>
              </w:rPr>
            </w:pPr>
            <w:r>
              <w:rPr>
                <w:rFonts w:hint="eastAsia" w:ascii="宋体" w:hAnsi="宋体" w:cs="宋体"/>
                <w:sz w:val="24"/>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auto"/>
                <w:sz w:val="24"/>
              </w:rPr>
              <w:t>www.ccgp.gov.cn</w:t>
            </w:r>
            <w:r>
              <w:rPr>
                <w:rStyle w:val="54"/>
                <w:rFonts w:hint="eastAsia" w:ascii="宋体" w:hAnsi="宋体" w:cs="宋体"/>
                <w:color w:val="auto"/>
                <w:sz w:val="24"/>
              </w:rPr>
              <w:fldChar w:fldCharType="end"/>
            </w:r>
            <w:r>
              <w:rPr>
                <w:rFonts w:hint="eastAsia" w:ascii="宋体" w:hAnsi="宋体" w:cs="宋体"/>
                <w:sz w:val="24"/>
              </w:rPr>
              <w:t>）。</w:t>
            </w:r>
          </w:p>
          <w:p>
            <w:pPr>
              <w:snapToGrid w:val="0"/>
              <w:spacing w:line="360" w:lineRule="auto"/>
              <w:rPr>
                <w:rFonts w:ascii="宋体" w:hAnsi="宋体" w:cs="宋体"/>
                <w:sz w:val="24"/>
              </w:rPr>
            </w:pPr>
            <w:r>
              <w:rPr>
                <w:rFonts w:hint="eastAsia" w:ascii="宋体" w:hAnsi="宋体" w:cs="宋体"/>
                <w:sz w:val="24"/>
              </w:rPr>
              <w:t>信用查询截止时点：资格审查结束前。</w:t>
            </w:r>
          </w:p>
          <w:p>
            <w:pPr>
              <w:snapToGrid w:val="0"/>
              <w:spacing w:line="360" w:lineRule="auto"/>
              <w:rPr>
                <w:rFonts w:ascii="宋体" w:hAnsi="宋体" w:cs="宋体"/>
                <w:sz w:val="24"/>
              </w:rPr>
            </w:pPr>
            <w:r>
              <w:rPr>
                <w:rFonts w:hint="eastAsia" w:ascii="宋体" w:hAnsi="宋体" w:cs="宋体"/>
                <w:sz w:val="24"/>
              </w:rPr>
              <w:t>查询记录和证据留存方式：将查询网站中的查询记录截图并作为评审资料保存。</w:t>
            </w:r>
          </w:p>
          <w:p>
            <w:pPr>
              <w:snapToGrid w:val="0"/>
              <w:spacing w:line="360" w:lineRule="auto"/>
              <w:rPr>
                <w:rFonts w:ascii="宋体" w:hAnsi="宋体" w:cs="宋体"/>
                <w:b/>
                <w:sz w:val="24"/>
              </w:rPr>
            </w:pPr>
            <w:r>
              <w:rPr>
                <w:rFonts w:hint="eastAsia" w:ascii="宋体" w:hAnsi="宋体" w:cs="宋体"/>
                <w:sz w:val="24"/>
              </w:rPr>
              <w:t>信用信息使用规则：根据财政部《关于在政府采购活动中查询及使用信用记录有关问题的通知》（财库〔2016〕125号）的规定，</w:t>
            </w:r>
            <w:r>
              <w:rPr>
                <w:rFonts w:hint="eastAsia" w:ascii="宋体" w:hAnsi="宋体" w:cs="宋体"/>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6" w:name="_26"/>
            <w:bookmarkEnd w:id="66"/>
            <w:r>
              <w:rPr>
                <w:rFonts w:hint="eastAsia" w:ascii="宋体" w:hAnsi="宋体" w:cs="宋体"/>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评标委员会的人数：5人或以上单数。（采购项目符合下列情形之一的，评标委员会成员人数应当为7人以上单数：1.采购预算金额在1000万元以上；2.技术复杂；3.社会影响较大。）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7" w:name="_28.3"/>
            <w:bookmarkEnd w:id="67"/>
            <w:r>
              <w:rPr>
                <w:rFonts w:hint="eastAsia" w:ascii="宋体" w:hAnsi="宋体" w:cs="宋体"/>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bookmarkStart w:id="68" w:name="_29.2.2（2）"/>
            <w:bookmarkEnd w:id="68"/>
            <w:r>
              <w:rPr>
                <w:rFonts w:hint="eastAsia" w:ascii="宋体" w:hAnsi="宋体" w:cs="宋体"/>
                <w:sz w:val="24"/>
              </w:rPr>
              <w:t>29.2</w:t>
            </w: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商务要求评审中允许负偏离的条款数为</w:t>
            </w:r>
            <w:r>
              <w:rPr>
                <w:rFonts w:ascii="宋体" w:hAnsi="宋体" w:cs="宋体"/>
                <w:sz w:val="24"/>
                <w:u w:val="single"/>
              </w:rPr>
              <w:t>0</w:t>
            </w:r>
            <w:r>
              <w:rPr>
                <w:rFonts w:hint="eastAsia" w:ascii="宋体" w:hAnsi="宋体" w:cs="宋体"/>
                <w:sz w:val="24"/>
              </w:rPr>
              <w:t>项。</w:t>
            </w:r>
          </w:p>
          <w:p>
            <w:pPr>
              <w:snapToGrid w:val="0"/>
              <w:spacing w:line="360" w:lineRule="auto"/>
              <w:rPr>
                <w:rFonts w:ascii="宋体" w:hAnsi="宋体" w:cs="宋体"/>
                <w:sz w:val="24"/>
              </w:rPr>
            </w:pPr>
            <w:r>
              <w:rPr>
                <w:rFonts w:hint="eastAsia" w:ascii="宋体" w:hAnsi="宋体" w:cs="宋体"/>
                <w:sz w:val="24"/>
              </w:rPr>
              <w:t>技术要求评审中允许负偏离的条款数为</w:t>
            </w:r>
            <w:r>
              <w:rPr>
                <w:rFonts w:hint="eastAsia" w:ascii="宋体" w:hAnsi="宋体" w:cs="宋体"/>
                <w:sz w:val="24"/>
                <w:u w:val="single"/>
              </w:rPr>
              <w:t>2</w:t>
            </w:r>
            <w:r>
              <w:rPr>
                <w:rFonts w:hint="eastAsia" w:ascii="宋体" w:hAnsi="宋体" w:cs="宋体"/>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8708"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sz w:val="24"/>
                <w:u w:val="single"/>
              </w:rPr>
            </w:pPr>
            <w:r>
              <w:rPr>
                <w:rFonts w:hint="eastAsia" w:ascii="宋体" w:hAnsi="宋体" w:cs="宋体"/>
                <w:sz w:val="24"/>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采用综合评分法的采购项目，采购人确定中标人时，出现中标候选人并列的情形，采购人按以下的方式确定中标人：</w:t>
            </w:r>
          </w:p>
          <w:p>
            <w:pPr>
              <w:spacing w:line="360" w:lineRule="auto"/>
              <w:jc w:val="left"/>
              <w:rPr>
                <w:rFonts w:ascii="宋体" w:hAnsi="宋体" w:cs="宋体"/>
                <w:sz w:val="24"/>
              </w:rPr>
            </w:pPr>
            <w:r>
              <w:rPr>
                <w:rFonts w:hint="eastAsia" w:ascii="宋体" w:hAnsi="宋体" w:cs="宋体"/>
                <w:sz w:val="24"/>
              </w:rPr>
              <w:t>依次按投标报价低的优先、政策分得分高的优先、技术评分高的优先、商务评分高的优先、质量保证期长优先、交货期短优先、故障响应时间短优先的顺序确定。如果上述都一样则以抽签形式确定中标人。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69" w:name="_39.1"/>
            <w:bookmarkEnd w:id="69"/>
            <w:r>
              <w:rPr>
                <w:rFonts w:hint="eastAsia" w:ascii="宋体" w:hAnsi="宋体" w:cs="宋体"/>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履约保证金递交方式：详见商务条款。</w:t>
            </w:r>
          </w:p>
          <w:p>
            <w:pPr>
              <w:autoSpaceDE w:val="0"/>
              <w:autoSpaceDN w:val="0"/>
              <w:snapToGrid w:val="0"/>
              <w:spacing w:line="360" w:lineRule="auto"/>
              <w:textAlignment w:val="bottom"/>
              <w:rPr>
                <w:rFonts w:ascii="宋体" w:hAnsi="宋体" w:cs="宋体"/>
                <w:sz w:val="24"/>
                <w:u w:val="single"/>
              </w:rPr>
            </w:pPr>
            <w:r>
              <w:rPr>
                <w:rFonts w:hint="eastAsia" w:ascii="宋体" w:hAnsi="宋体" w:cs="宋体"/>
                <w:sz w:val="24"/>
              </w:rPr>
              <w:t>履约保证金退付方式、时间及条件详见商务条款。</w:t>
            </w:r>
          </w:p>
          <w:p>
            <w:pPr>
              <w:spacing w:line="360" w:lineRule="auto"/>
              <w:jc w:val="left"/>
              <w:rPr>
                <w:rFonts w:ascii="楷体" w:hAnsi="楷体" w:eastAsia="楷体" w:cs="宋体"/>
                <w:b/>
                <w:bCs/>
                <w:sz w:val="24"/>
              </w:rPr>
            </w:pPr>
            <w:r>
              <w:rPr>
                <w:rFonts w:hint="eastAsia" w:ascii="楷体" w:hAnsi="楷体" w:eastAsia="楷体" w:cs="宋体"/>
                <w:b/>
                <w:bCs/>
                <w:sz w:val="24"/>
              </w:rPr>
              <w:t>【备注】</w:t>
            </w:r>
          </w:p>
          <w:p>
            <w:pPr>
              <w:spacing w:line="360" w:lineRule="auto"/>
              <w:jc w:val="left"/>
              <w:rPr>
                <w:rFonts w:ascii="楷体" w:hAnsi="楷体" w:eastAsia="楷体" w:cs="宋体"/>
                <w:b/>
                <w:sz w:val="24"/>
              </w:rPr>
            </w:pPr>
            <w:r>
              <w:rPr>
                <w:rFonts w:hint="eastAsia" w:ascii="楷体" w:hAnsi="楷体" w:eastAsia="楷体" w:cs="宋体"/>
                <w:sz w:val="24"/>
              </w:rPr>
              <w:t>1</w:t>
            </w:r>
            <w:bookmarkStart w:id="70" w:name="_Hlk54170335"/>
            <w:r>
              <w:rPr>
                <w:rFonts w:hint="eastAsia" w:ascii="楷体" w:hAnsi="楷体" w:eastAsia="楷体" w:cs="宋体"/>
                <w:bCs/>
                <w:sz w:val="24"/>
              </w:rPr>
              <w:t>.</w:t>
            </w:r>
            <w:r>
              <w:rPr>
                <w:rFonts w:hint="eastAsia" w:ascii="楷体" w:hAnsi="楷体" w:eastAsia="楷体" w:cs="宋体"/>
                <w:b/>
                <w:sz w:val="24"/>
              </w:rPr>
              <w:t>根据《桂财采〔2022〕30号 广西壮族自治区财政厅关于进一步发挥政府采购政策功能促进企业发展的通知》规定，采购文件要求中标或者成交供应商提交履约保证金的，履约保证金数额不得超过政府采购合同金额的5%，对中小企业收取的履约保证金数额不得超过政府采购合同金额的2%。</w:t>
            </w:r>
          </w:p>
          <w:bookmarkEnd w:id="70"/>
          <w:p>
            <w:pPr>
              <w:spacing w:line="360" w:lineRule="auto"/>
              <w:jc w:val="left"/>
              <w:rPr>
                <w:rFonts w:ascii="楷体" w:hAnsi="楷体" w:eastAsia="楷体" w:cs="宋体"/>
                <w:sz w:val="24"/>
              </w:rPr>
            </w:pPr>
            <w:r>
              <w:rPr>
                <w:rFonts w:hint="eastAsia" w:ascii="楷体" w:hAnsi="楷体" w:eastAsia="楷体" w:cs="宋体"/>
                <w:sz w:val="24"/>
              </w:rPr>
              <w:t>2</w:t>
            </w:r>
            <w:r>
              <w:rPr>
                <w:rFonts w:hint="eastAsia" w:ascii="楷体" w:hAnsi="楷体" w:eastAsia="楷体" w:cs="宋体"/>
                <w:bCs/>
                <w:sz w:val="24"/>
              </w:rPr>
              <w:t>.</w:t>
            </w:r>
            <w:r>
              <w:rPr>
                <w:rFonts w:hint="eastAsia" w:ascii="楷体" w:hAnsi="楷体" w:eastAsia="楷体" w:cs="宋体"/>
                <w:sz w:val="24"/>
              </w:rPr>
              <w:t>履约保证金不足额缴纳的（包含银行保函额度不足的），或者不按规定提交方式提交的，或者保函有效期低于合同履行期限（即签订采购合同之日起至履行完合同约定的义务之日止）的，不予签订合同。</w:t>
            </w:r>
          </w:p>
          <w:p>
            <w:pPr>
              <w:spacing w:line="360" w:lineRule="auto"/>
              <w:jc w:val="left"/>
              <w:rPr>
                <w:rFonts w:ascii="楷体" w:hAnsi="楷体" w:eastAsia="楷体" w:cs="宋体"/>
                <w:sz w:val="24"/>
              </w:rPr>
            </w:pPr>
            <w:r>
              <w:rPr>
                <w:rFonts w:hint="eastAsia" w:ascii="楷体" w:hAnsi="楷体" w:eastAsia="楷体" w:cs="宋体"/>
                <w:sz w:val="24"/>
              </w:rPr>
              <w:t>3</w:t>
            </w:r>
            <w:r>
              <w:rPr>
                <w:rFonts w:hint="eastAsia" w:ascii="楷体" w:hAnsi="楷体" w:eastAsia="楷体" w:cs="宋体"/>
                <w:bCs/>
                <w:sz w:val="24"/>
              </w:rPr>
              <w:t>.</w:t>
            </w:r>
            <w:r>
              <w:rPr>
                <w:rFonts w:hint="eastAsia" w:ascii="楷体" w:hAnsi="楷体" w:eastAsia="楷体" w:cs="宋体"/>
                <w:sz w:val="24"/>
              </w:rPr>
              <w:t>采用银行出具的保函的，必须为无条件的银行保函，否则不予签订合同。</w:t>
            </w:r>
          </w:p>
          <w:p>
            <w:pPr>
              <w:spacing w:line="360" w:lineRule="auto"/>
              <w:jc w:val="left"/>
              <w:rPr>
                <w:rFonts w:ascii="宋体" w:hAnsi="宋体" w:cs="宋体"/>
                <w:kern w:val="0"/>
                <w:sz w:val="24"/>
              </w:rPr>
            </w:pPr>
            <w:r>
              <w:rPr>
                <w:rFonts w:hint="eastAsia" w:ascii="楷体" w:hAnsi="楷体" w:eastAsia="楷体" w:cs="宋体"/>
                <w:sz w:val="24"/>
              </w:rPr>
              <w:t>4</w:t>
            </w:r>
            <w:r>
              <w:rPr>
                <w:rFonts w:hint="eastAsia" w:ascii="楷体" w:hAnsi="楷体" w:eastAsia="楷体" w:cs="宋体"/>
                <w:bCs/>
                <w:sz w:val="24"/>
              </w:rPr>
              <w:t>.</w:t>
            </w:r>
            <w:r>
              <w:rPr>
                <w:rFonts w:hint="eastAsia" w:ascii="楷体" w:hAnsi="楷体" w:eastAsia="楷体" w:cs="宋体"/>
                <w:sz w:val="24"/>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71" w:name="_40.1"/>
            <w:bookmarkEnd w:id="71"/>
            <w:r>
              <w:rPr>
                <w:rFonts w:hint="eastAsia" w:ascii="宋体" w:hAnsi="宋体" w:cs="宋体"/>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接收质疑函方式：以纸质书面形式</w:t>
            </w:r>
          </w:p>
          <w:p>
            <w:pPr>
              <w:snapToGrid w:val="0"/>
              <w:spacing w:line="360" w:lineRule="auto"/>
              <w:rPr>
                <w:rFonts w:ascii="宋体" w:hAnsi="宋体" w:cs="宋体"/>
                <w:sz w:val="24"/>
              </w:rPr>
            </w:pPr>
            <w:r>
              <w:rPr>
                <w:rFonts w:hint="eastAsia" w:ascii="宋体" w:hAnsi="宋体" w:cs="宋体"/>
                <w:sz w:val="24"/>
              </w:rPr>
              <w:t>质疑联系人：梁伟贞   联系电话：0771-2023650</w:t>
            </w:r>
          </w:p>
          <w:p>
            <w:pPr>
              <w:snapToGrid w:val="0"/>
              <w:spacing w:line="360" w:lineRule="auto"/>
              <w:rPr>
                <w:rFonts w:ascii="宋体" w:hAnsi="宋体" w:cs="宋体"/>
                <w:sz w:val="24"/>
              </w:rPr>
            </w:pPr>
            <w:r>
              <w:rPr>
                <w:rFonts w:hint="eastAsia" w:ascii="宋体" w:hAnsi="宋体" w:cs="宋体"/>
                <w:sz w:val="24"/>
              </w:rPr>
              <w:t>通讯地址：广西南宁市民族大道141号中鼎万象东方D区五层</w:t>
            </w:r>
            <w:r>
              <w:rPr>
                <w:rFonts w:ascii="宋体" w:hAnsi="宋体" w:cs="宋体"/>
                <w:sz w:val="24"/>
              </w:rPr>
              <w:t xml:space="preserve">    </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现场提交质疑办理业务时间：工作日，上午8:00-12:00；下午15:00-18：00（北京时间）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72" w:name="_42"/>
            <w:bookmarkEnd w:id="72"/>
            <w:bookmarkStart w:id="73" w:name="_41"/>
            <w:bookmarkEnd w:id="73"/>
            <w:bookmarkStart w:id="74" w:name="_Hlt17709148"/>
            <w:r>
              <w:rPr>
                <w:rFonts w:hint="eastAsia" w:ascii="宋体" w:hAnsi="宋体" w:cs="宋体"/>
                <w:sz w:val="24"/>
              </w:rPr>
              <w:t>3</w:t>
            </w:r>
            <w:bookmarkEnd w:id="74"/>
            <w:r>
              <w:rPr>
                <w:rFonts w:hint="eastAsia" w:ascii="宋体" w:hAnsi="宋体" w:cs="宋体"/>
                <w:sz w:val="24"/>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rPr>
                <w:rFonts w:hAnsi="宋体" w:cs="宋体"/>
                <w:sz w:val="24"/>
                <w:szCs w:val="24"/>
              </w:rPr>
            </w:pPr>
            <w:r>
              <w:rPr>
                <w:rFonts w:hint="eastAsia" w:hAnsi="宋体" w:cs="宋体"/>
                <w:sz w:val="24"/>
                <w:szCs w:val="24"/>
              </w:rPr>
              <w:t>1</w:t>
            </w:r>
            <w:r>
              <w:rPr>
                <w:rFonts w:hint="eastAsia" w:hAnsi="宋体" w:cs="宋体"/>
                <w:bCs/>
                <w:sz w:val="24"/>
                <w:szCs w:val="24"/>
              </w:rPr>
              <w:t>.</w:t>
            </w:r>
            <w:r>
              <w:rPr>
                <w:rFonts w:hint="eastAsia" w:hAnsi="宋体" w:cs="宋体"/>
                <w:sz w:val="24"/>
                <w:szCs w:val="24"/>
              </w:rPr>
              <w:t>采购代理服务费支付方式：本项目的招标代理服务费按以下收费标准向中标人收取，领取中标通知书前，中标人应向采购代理机构一次付清招标代理服务费，否则采购代理机构有权不予以办理。</w:t>
            </w:r>
          </w:p>
          <w:p>
            <w:pPr>
              <w:pStyle w:val="26"/>
              <w:snapToGrid w:val="0"/>
              <w:spacing w:line="360" w:lineRule="auto"/>
              <w:rPr>
                <w:rFonts w:hAnsi="宋体" w:cs="宋体"/>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采购代理服务费收取标准：</w:t>
            </w:r>
          </w:p>
          <w:p>
            <w:pPr>
              <w:pStyle w:val="26"/>
              <w:snapToGrid w:val="0"/>
              <w:spacing w:line="360" w:lineRule="auto"/>
              <w:rPr>
                <w:rFonts w:hAnsi="宋体" w:cs="宋体"/>
                <w:sz w:val="24"/>
                <w:szCs w:val="24"/>
              </w:rPr>
            </w:pPr>
            <w:r>
              <w:rPr>
                <w:rFonts w:hint="eastAsia" w:hAnsi="宋体" w:cs="宋体"/>
                <w:sz w:val="24"/>
                <w:szCs w:val="24"/>
              </w:rPr>
              <w:t>以中标金额为计费额，按本招标文件之中标人须知正文第39.2条规定的收费计算标准货物招标采用差额定率累进法计算出收费基准价格，采购代理服务费收费以收费基准价格收取。</w:t>
            </w:r>
          </w:p>
          <w:p>
            <w:pPr>
              <w:pStyle w:val="26"/>
              <w:snapToGrid w:val="0"/>
              <w:spacing w:line="360" w:lineRule="auto"/>
              <w:rPr>
                <w:rFonts w:hAnsi="宋体" w:cs="宋体"/>
                <w:sz w:val="24"/>
                <w:szCs w:val="24"/>
              </w:rPr>
            </w:pPr>
            <w:r>
              <w:rPr>
                <w:rFonts w:hint="eastAsia" w:hAnsi="宋体" w:cs="宋体"/>
                <w:sz w:val="24"/>
                <w:szCs w:val="24"/>
              </w:rPr>
              <w:t xml:space="preserve">3.代理服务费收费专用银行账户名称： </w:t>
            </w:r>
          </w:p>
          <w:p>
            <w:pPr>
              <w:pStyle w:val="26"/>
              <w:snapToGrid w:val="0"/>
              <w:spacing w:line="360" w:lineRule="auto"/>
              <w:rPr>
                <w:rFonts w:hAnsi="宋体" w:cs="宋体"/>
                <w:sz w:val="24"/>
                <w:szCs w:val="24"/>
              </w:rPr>
            </w:pPr>
            <w:r>
              <w:rPr>
                <w:rFonts w:hint="eastAsia" w:hAnsi="宋体" w:cs="宋体"/>
                <w:sz w:val="24"/>
                <w:szCs w:val="24"/>
              </w:rPr>
              <w:t>开户名称：广西科文招标有限公司南宁咨询一分公司</w:t>
            </w:r>
          </w:p>
          <w:p>
            <w:pPr>
              <w:pStyle w:val="26"/>
              <w:snapToGrid w:val="0"/>
              <w:spacing w:line="360" w:lineRule="auto"/>
              <w:rPr>
                <w:rFonts w:hAnsi="宋体" w:cs="宋体"/>
                <w:sz w:val="24"/>
                <w:szCs w:val="24"/>
              </w:rPr>
            </w:pPr>
            <w:r>
              <w:rPr>
                <w:rFonts w:hint="eastAsia" w:hAnsi="宋体" w:cs="宋体"/>
                <w:sz w:val="24"/>
                <w:szCs w:val="24"/>
              </w:rPr>
              <w:t>开户银行：广西北部湾银行股份有限公司南宁市云景支行</w:t>
            </w:r>
          </w:p>
          <w:p>
            <w:pPr>
              <w:spacing w:line="360" w:lineRule="auto"/>
              <w:rPr>
                <w:rFonts w:hAnsi="宋体" w:cs="宋体"/>
                <w:sz w:val="24"/>
              </w:rPr>
            </w:pPr>
            <w:r>
              <w:rPr>
                <w:rFonts w:hint="eastAsia" w:hAnsi="宋体" w:cs="宋体"/>
                <w:sz w:val="24"/>
              </w:rPr>
              <w:t>银行账号：805030137000001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rPr>
                <w:rFonts w:hAnsi="宋体" w:cs="宋体"/>
                <w:bCs/>
                <w:sz w:val="24"/>
                <w:szCs w:val="24"/>
              </w:rPr>
            </w:pPr>
            <w:r>
              <w:rPr>
                <w:rFonts w:hint="eastAsia" w:hAnsi="宋体" w:cs="宋体"/>
                <w:bCs/>
                <w:sz w:val="24"/>
                <w:szCs w:val="24"/>
              </w:rPr>
              <w:t>1.本招标文件中描述投标人的“公章”是指根据我国对公章的管理规定，用投标人法定主体名称制作的印章</w:t>
            </w:r>
            <w:r>
              <w:rPr>
                <w:rFonts w:hint="eastAsia" w:hAnsi="宋体" w:cs="宋体"/>
                <w:sz w:val="24"/>
                <w:szCs w:val="24"/>
              </w:rPr>
              <w:t>或投标人通过指定电子化政府采购平台办理数字证书（CA认证）获得的以法定主体名称制作的电子印章。</w:t>
            </w:r>
            <w:r>
              <w:rPr>
                <w:rFonts w:hint="eastAsia" w:hAnsi="宋体" w:cs="宋体"/>
                <w:bCs/>
                <w:sz w:val="24"/>
                <w:szCs w:val="24"/>
              </w:rPr>
              <w:t>除本招标文件有特殊规定外，投标人的财务章、部门章、分公司章、工会章、合同章、投标专用章、业务专用章及银行的转账章、现金收讫章、现金付讫章等其他形式印章均不能代替公章。</w:t>
            </w:r>
          </w:p>
          <w:p>
            <w:pPr>
              <w:pStyle w:val="26"/>
              <w:snapToGrid w:val="0"/>
              <w:spacing w:line="360" w:lineRule="auto"/>
              <w:rPr>
                <w:rFonts w:hAnsi="宋体" w:cs="宋体"/>
                <w:bCs/>
                <w:sz w:val="24"/>
                <w:szCs w:val="24"/>
              </w:rPr>
            </w:pPr>
            <w:r>
              <w:rPr>
                <w:rFonts w:hint="eastAsia" w:hAnsi="宋体" w:cs="宋体"/>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6"/>
              <w:snapToGrid w:val="0"/>
              <w:spacing w:line="360" w:lineRule="auto"/>
              <w:rPr>
                <w:rFonts w:hAnsi="宋体" w:cs="宋体"/>
                <w:bCs/>
                <w:sz w:val="24"/>
                <w:szCs w:val="24"/>
              </w:rPr>
            </w:pPr>
            <w:r>
              <w:rPr>
                <w:rFonts w:hint="eastAsia" w:hAnsi="宋体" w:cs="宋体"/>
                <w:bCs/>
                <w:sz w:val="24"/>
                <w:szCs w:val="24"/>
              </w:rPr>
              <w:t>3.本招标文件中描述投标人的“签字”是指投标人的法定代表人或者委托代理人</w:t>
            </w:r>
            <w:r>
              <w:rPr>
                <w:rFonts w:hint="eastAsia" w:hAnsi="宋体" w:cs="宋体"/>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sz w:val="24"/>
                <w:szCs w:val="24"/>
              </w:rPr>
              <w:t>。</w:t>
            </w:r>
          </w:p>
          <w:p>
            <w:pPr>
              <w:pStyle w:val="26"/>
              <w:snapToGrid w:val="0"/>
              <w:spacing w:line="360" w:lineRule="auto"/>
              <w:rPr>
                <w:rFonts w:hAnsi="宋体" w:cs="宋体"/>
                <w:bCs/>
                <w:sz w:val="24"/>
                <w:szCs w:val="24"/>
              </w:rPr>
            </w:pPr>
            <w:r>
              <w:rPr>
                <w:rFonts w:hint="eastAsia" w:hAnsi="宋体" w:cs="宋体"/>
                <w:bCs/>
                <w:sz w:val="24"/>
                <w:szCs w:val="24"/>
              </w:rPr>
              <w:t>4.本招标文件所称的“电子签章”“电子签名”，是指经“政采云”平台认可的CA认证的电子签名数据为表现形式的印章，可用于签署电子响应文件，电子印章与实物印章具有同等法律效力，不因其采用电子化表现形式而否定其法律效力。</w:t>
            </w:r>
          </w:p>
          <w:p>
            <w:pPr>
              <w:pStyle w:val="26"/>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.自然人投标的，招标文件规定盖公章处由自然人摁手指指印。</w:t>
            </w:r>
          </w:p>
          <w:p>
            <w:pPr>
              <w:spacing w:line="360" w:lineRule="auto"/>
              <w:jc w:val="left"/>
              <w:rPr>
                <w:rFonts w:ascii="宋体" w:hAnsi="宋体" w:cs="宋体"/>
                <w:sz w:val="24"/>
              </w:rPr>
            </w:pPr>
            <w:r>
              <w:rPr>
                <w:rFonts w:ascii="宋体" w:hAnsi="宋体" w:cs="宋体"/>
                <w:bCs/>
                <w:sz w:val="24"/>
              </w:rPr>
              <w:t>6</w:t>
            </w:r>
            <w:r>
              <w:rPr>
                <w:rFonts w:hint="eastAsia" w:ascii="宋体" w:hAnsi="宋体" w:cs="宋体"/>
                <w:bCs/>
                <w:sz w:val="24"/>
              </w:rPr>
              <w:t>.本招标文件所称的“以上”“以下”“以内”“届满”，包括本数；所称的“不满”“超过”“以外”，不包括本数。</w:t>
            </w:r>
          </w:p>
        </w:tc>
      </w:tr>
    </w:tbl>
    <w:p>
      <w:pPr>
        <w:snapToGrid w:val="0"/>
        <w:rPr>
          <w:rFonts w:ascii="宋体" w:hAnsi="宋体" w:cs="宋体"/>
          <w:sz w:val="24"/>
          <w:szCs w:val="20"/>
        </w:rPr>
      </w:pPr>
    </w:p>
    <w:p>
      <w:pPr>
        <w:rPr>
          <w:rFonts w:ascii="宋体" w:hAnsi="宋体" w:cs="宋体"/>
        </w:rPr>
      </w:pPr>
      <w:r>
        <w:rPr>
          <w:rFonts w:hint="eastAsia" w:ascii="宋体" w:hAnsi="宋体" w:cs="宋体"/>
        </w:rPr>
        <w:br w:type="page"/>
      </w:r>
    </w:p>
    <w:p>
      <w:pPr>
        <w:pStyle w:val="5"/>
        <w:keepNext w:val="0"/>
        <w:keepLines w:val="0"/>
        <w:jc w:val="center"/>
        <w:rPr>
          <w:rFonts w:ascii="宋体" w:hAnsi="宋体" w:cs="宋体"/>
        </w:rPr>
      </w:pPr>
      <w:r>
        <w:rPr>
          <w:rFonts w:hint="eastAsia" w:ascii="宋体" w:hAnsi="宋体" w:cs="宋体"/>
        </w:rPr>
        <w:t>投标人须知正文</w:t>
      </w:r>
    </w:p>
    <w:p>
      <w:pPr>
        <w:pStyle w:val="5"/>
        <w:keepNext w:val="0"/>
        <w:keepLines w:val="0"/>
        <w:jc w:val="center"/>
        <w:rPr>
          <w:rFonts w:ascii="宋体" w:hAnsi="宋体" w:cs="宋体"/>
        </w:rPr>
      </w:pPr>
      <w:r>
        <w:rPr>
          <w:rFonts w:hint="eastAsia" w:ascii="宋体" w:hAnsi="宋体" w:cs="宋体"/>
        </w:rPr>
        <w:t>一、总  则</w:t>
      </w:r>
    </w:p>
    <w:p>
      <w:pPr>
        <w:pStyle w:val="7"/>
        <w:keepNext w:val="0"/>
        <w:keepLines w:val="0"/>
        <w:spacing w:before="0" w:after="0" w:line="360" w:lineRule="auto"/>
        <w:ind w:left="420" w:leftChars="200"/>
        <w:rPr>
          <w:rFonts w:ascii="宋体" w:hAnsi="宋体" w:cs="宋体"/>
          <w:sz w:val="24"/>
        </w:rPr>
      </w:pPr>
      <w:bookmarkStart w:id="75" w:name="_Toc254970668"/>
      <w:bookmarkStart w:id="76" w:name="_Toc254970527"/>
      <w:r>
        <w:rPr>
          <w:rFonts w:hint="eastAsia" w:ascii="宋体" w:hAnsi="宋体" w:cs="宋体"/>
          <w:sz w:val="24"/>
        </w:rPr>
        <w:t>1.适用范围</w:t>
      </w:r>
      <w:bookmarkEnd w:id="75"/>
      <w:bookmarkEnd w:id="76"/>
    </w:p>
    <w:p>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pPr>
        <w:pStyle w:val="7"/>
        <w:keepNext w:val="0"/>
        <w:keepLines w:val="0"/>
        <w:spacing w:before="0" w:after="0" w:line="360" w:lineRule="auto"/>
        <w:ind w:left="420" w:leftChars="200"/>
        <w:rPr>
          <w:rFonts w:ascii="宋体" w:hAnsi="宋体" w:cs="宋体"/>
          <w:sz w:val="24"/>
        </w:rPr>
      </w:pPr>
      <w:bookmarkStart w:id="77" w:name="_Toc254970669"/>
      <w:bookmarkStart w:id="78" w:name="_Toc254970528"/>
      <w:r>
        <w:rPr>
          <w:rFonts w:hint="eastAsia" w:ascii="宋体" w:hAnsi="宋体" w:cs="宋体"/>
          <w:sz w:val="24"/>
        </w:rPr>
        <w:t>2.定义</w:t>
      </w:r>
      <w:bookmarkEnd w:id="77"/>
      <w:bookmarkEnd w:id="78"/>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2.1“采购人”是指依法进行政府采购的国家机关、事业单位、团体组织。</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2.3“供应商”是指向采购人提供货物、工程或者服务的法人、其他组织或者自然人。</w:t>
      </w:r>
    </w:p>
    <w:p>
      <w:pPr>
        <w:pStyle w:val="8"/>
        <w:spacing w:line="360" w:lineRule="auto"/>
        <w:ind w:left="420" w:leftChars="200" w:firstLine="0"/>
        <w:rPr>
          <w:rFonts w:ascii="宋体" w:hAnsi="宋体" w:cs="宋体"/>
          <w:sz w:val="24"/>
          <w:szCs w:val="24"/>
        </w:rPr>
      </w:pPr>
      <w:r>
        <w:rPr>
          <w:rFonts w:hint="eastAsia" w:ascii="宋体" w:hAnsi="宋体" w:cs="宋体"/>
          <w:sz w:val="24"/>
          <w:szCs w:val="24"/>
        </w:rPr>
        <w:t>2.4“投标人”是指响应招标、参加投标竞争的法人、其他组织或者自然人。</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2.5“货物”是指各种形态和种类的物品，包括原材料、燃料、设备、产品等。</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2.7“书面形式”是指合同书、信件和数据电文（包括电报、电传、传真、电子数据交换和电子邮件）等可以有形地表现所载内容的形式。</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2.8“实质性要求”是指招标文件中已经指明不满足则投标无效的条款，或者不容许负偏离的条款，或者采购需求中带“▲”的条款。</w:t>
      </w:r>
    </w:p>
    <w:p>
      <w:pPr>
        <w:snapToGrid w:val="0"/>
        <w:spacing w:line="360" w:lineRule="auto"/>
        <w:ind w:left="420" w:leftChars="200"/>
        <w:jc w:val="left"/>
        <w:rPr>
          <w:rFonts w:ascii="宋体" w:hAnsi="宋体" w:cs="宋体"/>
          <w:sz w:val="24"/>
        </w:rPr>
      </w:pPr>
      <w:r>
        <w:rPr>
          <w:rFonts w:hint="eastAsia" w:ascii="宋体" w:hAnsi="宋体" w:cs="宋体"/>
          <w:sz w:val="24"/>
        </w:rPr>
        <w:t>2.9 “正偏离”，是指投标文件对招标文件“采购需求”中有关条款作出的响应优于条款要求并有利于采购人的情形。</w:t>
      </w:r>
    </w:p>
    <w:p>
      <w:pPr>
        <w:snapToGrid w:val="0"/>
        <w:spacing w:line="360" w:lineRule="auto"/>
        <w:ind w:left="420" w:leftChars="200"/>
        <w:jc w:val="left"/>
        <w:rPr>
          <w:rFonts w:ascii="宋体" w:hAnsi="宋体" w:cs="宋体"/>
          <w:sz w:val="24"/>
        </w:rPr>
      </w:pPr>
      <w:r>
        <w:rPr>
          <w:rFonts w:hint="eastAsia" w:ascii="宋体" w:hAnsi="宋体" w:cs="宋体"/>
          <w:sz w:val="24"/>
        </w:rPr>
        <w:t>2.10“负偏离”，是指投标文件对招标文件“采购需求”中有关条款作出的响应不满足条款要求，导致采购人要求不能得到满足的情形。</w:t>
      </w:r>
    </w:p>
    <w:p>
      <w:pPr>
        <w:snapToGrid w:val="0"/>
        <w:spacing w:line="360" w:lineRule="auto"/>
        <w:ind w:left="420" w:leftChars="200"/>
        <w:jc w:val="left"/>
        <w:rPr>
          <w:rFonts w:ascii="宋体" w:hAnsi="宋体" w:cs="宋体"/>
          <w:sz w:val="24"/>
        </w:rPr>
      </w:pPr>
      <w:r>
        <w:rPr>
          <w:rFonts w:hint="eastAsia" w:ascii="宋体" w:hAnsi="宋体" w:cs="宋体"/>
          <w:sz w:val="24"/>
        </w:rPr>
        <w:t>2.11“允许负偏离的条款”是指采购需求中的不属于“实质性要求”的条款。</w:t>
      </w:r>
      <w:bookmarkStart w:id="79" w:name="_Toc254970529"/>
      <w:bookmarkStart w:id="80" w:name="_Toc254970670"/>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w:t>
      </w:r>
      <w:bookmarkEnd w:id="79"/>
      <w:bookmarkEnd w:id="80"/>
      <w:r>
        <w:rPr>
          <w:rFonts w:hint="eastAsia" w:ascii="宋体" w:hAnsi="宋体" w:cs="宋体"/>
          <w:sz w:val="24"/>
        </w:rPr>
        <w:t>投标人的资格要求</w:t>
      </w:r>
    </w:p>
    <w:p>
      <w:pPr>
        <w:snapToGrid w:val="0"/>
        <w:spacing w:line="360" w:lineRule="auto"/>
        <w:ind w:firstLine="420" w:firstLineChars="175"/>
        <w:jc w:val="left"/>
        <w:rPr>
          <w:rFonts w:ascii="宋体" w:hAnsi="宋体" w:cs="宋体"/>
          <w:sz w:val="24"/>
        </w:rPr>
      </w:pPr>
      <w:r>
        <w:rPr>
          <w:rFonts w:hint="eastAsia" w:ascii="宋体" w:hAnsi="宋体" w:cs="宋体"/>
          <w:sz w:val="24"/>
        </w:rPr>
        <w:t>投标人的资格要求详见“投标人须知前附表”。</w:t>
      </w:r>
    </w:p>
    <w:p>
      <w:pPr>
        <w:pStyle w:val="7"/>
        <w:keepNext w:val="0"/>
        <w:keepLines w:val="0"/>
        <w:spacing w:before="0" w:after="0" w:line="360" w:lineRule="auto"/>
        <w:ind w:left="420" w:leftChars="200"/>
        <w:rPr>
          <w:rFonts w:ascii="宋体" w:hAnsi="宋体" w:cs="宋体"/>
          <w:sz w:val="24"/>
        </w:rPr>
      </w:pPr>
      <w:bookmarkStart w:id="81" w:name="_Toc254970671"/>
      <w:bookmarkStart w:id="82" w:name="_Toc254970530"/>
      <w:r>
        <w:rPr>
          <w:rFonts w:hint="eastAsia" w:ascii="宋体" w:hAnsi="宋体" w:cs="宋体"/>
          <w:sz w:val="24"/>
        </w:rPr>
        <w:t>4.投标委托</w:t>
      </w:r>
      <w:bookmarkEnd w:id="81"/>
      <w:bookmarkEnd w:id="82"/>
    </w:p>
    <w:p>
      <w:pPr>
        <w:snapToGrid w:val="0"/>
        <w:spacing w:line="360" w:lineRule="auto"/>
        <w:ind w:firstLine="420" w:firstLineChars="175"/>
        <w:jc w:val="left"/>
        <w:rPr>
          <w:rFonts w:ascii="宋体" w:hAnsi="宋体" w:cs="宋体"/>
          <w:sz w:val="24"/>
        </w:rPr>
      </w:pPr>
      <w:r>
        <w:rPr>
          <w:rFonts w:hint="eastAsia" w:ascii="宋体" w:hAnsi="宋体" w:cs="宋体"/>
          <w:sz w:val="24"/>
        </w:rPr>
        <w:t>投标人代表参加投标活动过程中必须提供个人有效身份证件。如投标人代表不是法定代表人，须持有授权委托书（按第六章要求格式填写）。</w:t>
      </w:r>
    </w:p>
    <w:p>
      <w:pPr>
        <w:pStyle w:val="7"/>
        <w:keepNext w:val="0"/>
        <w:keepLines w:val="0"/>
        <w:spacing w:before="0" w:after="0" w:line="360" w:lineRule="auto"/>
        <w:ind w:left="420" w:leftChars="200"/>
        <w:rPr>
          <w:rFonts w:ascii="宋体" w:hAnsi="宋体" w:cs="宋体"/>
          <w:sz w:val="24"/>
        </w:rPr>
      </w:pPr>
      <w:bookmarkStart w:id="83" w:name="_5.投标费用"/>
      <w:bookmarkEnd w:id="83"/>
      <w:bookmarkStart w:id="84" w:name="_Toc254970531"/>
      <w:bookmarkStart w:id="85" w:name="_Toc254970672"/>
      <w:r>
        <w:rPr>
          <w:rFonts w:hint="eastAsia" w:ascii="宋体" w:hAnsi="宋体" w:cs="宋体"/>
          <w:sz w:val="24"/>
        </w:rPr>
        <w:t>5.投标费用</w:t>
      </w:r>
      <w:bookmarkEnd w:id="84"/>
      <w:bookmarkEnd w:id="85"/>
    </w:p>
    <w:p>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pPr>
        <w:snapToGrid w:val="0"/>
        <w:spacing w:line="360" w:lineRule="auto"/>
        <w:ind w:firstLine="480" w:firstLineChars="200"/>
        <w:jc w:val="left"/>
        <w:rPr>
          <w:rFonts w:ascii="宋体" w:hAnsi="宋体" w:cs="宋体"/>
          <w:sz w:val="24"/>
        </w:rPr>
      </w:pPr>
      <w:r>
        <w:rPr>
          <w:rFonts w:hint="eastAsia" w:ascii="宋体" w:hAnsi="宋体" w:cs="宋体"/>
          <w:sz w:val="24"/>
        </w:rPr>
        <w:t>6.1本项目是否接受联合体投标，详见“投标人须知前附表”。</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6.2如接受联合体投标，联合体投标要求详见“投标人须知前附表”。</w:t>
      </w:r>
    </w:p>
    <w:p>
      <w:pPr>
        <w:pStyle w:val="7"/>
        <w:keepNext w:val="0"/>
        <w:keepLines w:val="0"/>
        <w:spacing w:before="0" w:after="0" w:line="360" w:lineRule="auto"/>
        <w:ind w:firstLine="484" w:firstLineChars="202"/>
        <w:rPr>
          <w:rFonts w:ascii="宋体" w:hAnsi="宋体" w:cs="宋体"/>
          <w:sz w:val="24"/>
        </w:rPr>
      </w:pPr>
      <w:r>
        <w:rPr>
          <w:rFonts w:hint="eastAsia" w:ascii="宋体" w:hAnsi="宋体" w:cs="宋体"/>
          <w:b w:val="0"/>
          <w:bCs/>
          <w:sz w:val="24"/>
        </w:rPr>
        <w:t xml:space="preserve">6.3 </w:t>
      </w:r>
      <w:bookmarkStart w:id="86" w:name="_Hlk65857072"/>
      <w:r>
        <w:rPr>
          <w:rFonts w:hint="eastAsia" w:ascii="宋体" w:hAnsi="宋体" w:cs="宋体"/>
          <w:b w:val="0"/>
          <w:bCs/>
          <w:sz w:val="24"/>
        </w:rPr>
        <w:t>根据《政府采购促进中小企业发展管理办法》（财库〔2020〕46号）及《关于进一步加大政府采购支持中小企业力度的通知》（财库〔2022〕19号 ）的规定，大中型企业与小微企业组成联合体或者大中型企业向小微企业分包的，评审优惠6%。政府采购工程的价格评审优惠按照财库〔2020〕46号文件的规定执行，用扣除后的价格参加评审。</w:t>
      </w:r>
      <w:bookmarkEnd w:id="86"/>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pPr>
        <w:pStyle w:val="7"/>
        <w:keepNext w:val="0"/>
        <w:keepLines w:val="0"/>
        <w:numPr>
          <w:ilvl w:val="0"/>
          <w:numId w:val="0"/>
        </w:numPr>
        <w:spacing w:before="0" w:after="0" w:line="360" w:lineRule="auto"/>
        <w:ind w:firstLine="420" w:firstLineChars="175"/>
        <w:rPr>
          <w:rFonts w:ascii="宋体" w:hAnsi="宋体" w:cs="宋体"/>
          <w:b w:val="0"/>
          <w:sz w:val="24"/>
        </w:rPr>
      </w:pPr>
      <w:r>
        <w:rPr>
          <w:rFonts w:hint="eastAsia" w:ascii="宋体" w:hAnsi="宋体" w:cs="宋体"/>
          <w:b w:val="0"/>
          <w:sz w:val="24"/>
        </w:rPr>
        <w:t>7.1本项目不允许转包。</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宋体" w:hAnsi="宋体" w:cs="宋体"/>
          <w:sz w:val="24"/>
        </w:rPr>
      </w:pPr>
      <w:bookmarkStart w:id="87" w:name="_Toc254970673"/>
      <w:bookmarkStart w:id="88" w:name="_Toc254970532"/>
      <w:r>
        <w:rPr>
          <w:rFonts w:hint="eastAsia" w:ascii="宋体" w:hAnsi="宋体" w:cs="宋体"/>
          <w:sz w:val="24"/>
        </w:rPr>
        <w:t>8.特别说明</w:t>
      </w:r>
      <w:bookmarkEnd w:id="87"/>
      <w:bookmarkEnd w:id="88"/>
    </w:p>
    <w:p>
      <w:pPr>
        <w:pStyle w:val="7"/>
        <w:keepNext w:val="0"/>
        <w:keepLines w:val="0"/>
        <w:spacing w:before="0" w:after="0" w:line="360" w:lineRule="auto"/>
        <w:ind w:firstLine="480" w:firstLineChars="200"/>
        <w:rPr>
          <w:rFonts w:ascii="宋体" w:hAnsi="宋体" w:cs="宋体"/>
          <w:b w:val="0"/>
          <w:sz w:val="24"/>
        </w:rPr>
      </w:pPr>
      <w:bookmarkStart w:id="89" w:name="_8.1提供相同品牌产品且通过资格审查、符合性审查的不同投标人参加同一合"/>
      <w:bookmarkEnd w:id="89"/>
      <w:r>
        <w:rPr>
          <w:rFonts w:hint="eastAsia" w:ascii="宋体" w:hAnsi="宋体" w:cs="宋体"/>
          <w:b w:val="0"/>
          <w:sz w:val="24"/>
        </w:rPr>
        <w:fldChar w:fldCharType="begin"/>
      </w:r>
      <w:r>
        <w:rPr>
          <w:rFonts w:hint="eastAsia" w:ascii="宋体" w:hAnsi="宋体" w:cs="宋体"/>
          <w:b w:val="0"/>
          <w:sz w:val="24"/>
        </w:rPr>
        <w:instrText xml:space="preserve"> HYPERLINK  \l "_8.1" </w:instrText>
      </w:r>
      <w:r>
        <w:rPr>
          <w:rFonts w:hint="eastAsia" w:ascii="宋体" w:hAnsi="宋体" w:cs="宋体"/>
          <w:b w:val="0"/>
          <w:sz w:val="24"/>
        </w:rPr>
        <w:fldChar w:fldCharType="separate"/>
      </w:r>
      <w:r>
        <w:rPr>
          <w:rFonts w:hint="eastAsia" w:ascii="宋体" w:hAnsi="宋体" w:cs="宋体"/>
          <w:b w:val="0"/>
          <w:sz w:val="24"/>
        </w:rPr>
        <w:t>8.1</w:t>
      </w:r>
      <w:r>
        <w:rPr>
          <w:rFonts w:hint="eastAsia" w:ascii="宋体" w:hAnsi="宋体" w:cs="宋体"/>
          <w:b w:val="0"/>
          <w:sz w:val="24"/>
        </w:rPr>
        <w:fldChar w:fldCharType="end"/>
      </w:r>
      <w:r>
        <w:rPr>
          <w:rFonts w:hint="eastAsia" w:ascii="宋体" w:hAnsi="宋体" w:cs="宋体"/>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sz w:val="24"/>
        </w:rPr>
        <w:t>其他投标无效。</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非单一产品采购项目，多家投标人提供的核心产品品牌相同的，</w:t>
      </w:r>
      <w:r>
        <w:rPr>
          <w:rFonts w:hint="eastAsia" w:hAnsi="宋体" w:cs="宋体"/>
          <w:sz w:val="24"/>
          <w:szCs w:val="24"/>
        </w:rPr>
        <w:t>按前两款规定处理</w:t>
      </w:r>
      <w:r>
        <w:rPr>
          <w:rFonts w:hint="eastAsia" w:hAnsi="宋体" w:cs="宋体"/>
          <w:kern w:val="2"/>
          <w:sz w:val="24"/>
          <w:szCs w:val="24"/>
        </w:rPr>
        <w:t>。</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9.1在政府采购活动中，采购人员及相关人员与供应商有下列利害关系之一的，应当回避：</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（1）参加采购活动前3年内与供应商存在劳动关系；</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（2）参加采购活动前3年内担任供应商的董事、监事；</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（3）参加采购活动前3年内是供应商的控股股东或者实际控制人；</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（4）与供应商的法定代表人或者负责人有夫妻、直系血亲、三代以内旁系血亲或者近姻亲关系；</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（5）与供应商有其他可能影响政府采购活动公平、公正进行的关系。</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6"/>
        <w:snapToGrid w:val="0"/>
        <w:spacing w:line="360" w:lineRule="auto"/>
        <w:ind w:left="2" w:leftChars="1" w:firstLine="480" w:firstLineChars="200"/>
        <w:rPr>
          <w:rFonts w:hAnsi="宋体" w:cs="宋体"/>
          <w:sz w:val="24"/>
        </w:rPr>
      </w:pPr>
      <w:r>
        <w:rPr>
          <w:rFonts w:hint="eastAsia" w:hAnsi="宋体" w:cs="宋体"/>
          <w:kern w:val="2"/>
          <w:sz w:val="24"/>
          <w:szCs w:val="24"/>
        </w:rPr>
        <w:t>9.2</w:t>
      </w:r>
      <w:r>
        <w:rPr>
          <w:rFonts w:hint="eastAsia" w:hAnsi="宋体" w:cs="宋体"/>
          <w:sz w:val="24"/>
        </w:rPr>
        <w:t>有下列情形之一的视为投标人相互串通投标，投标文件将被视为无效：</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 xml:space="preserve">（1）不同投标人的投标文件由同一单位或者个人编制； </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（2）不同投标人委托同一单位或者个人办理投标事宜；</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（3）不同的投标人的投标文件载明的项目管理员为同一个人；</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（4）不同投标人的投标文件异常一致或者投标报价呈规律性差异；</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（5）不同投标人的投标文件相互混装；</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（6）不同投标人的投标保证金从同一单位或者个人账户转出。</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）投标人之间协商投标报价等投标文件的实质性内容；</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8</w:t>
      </w:r>
      <w:r>
        <w:rPr>
          <w:rFonts w:hint="eastAsia" w:hAnsi="宋体" w:cs="宋体"/>
          <w:kern w:val="2"/>
          <w:sz w:val="24"/>
          <w:szCs w:val="24"/>
        </w:rPr>
        <w:t>）投标人之间约定中标人；</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9</w:t>
      </w:r>
      <w:r>
        <w:rPr>
          <w:rFonts w:hint="eastAsia" w:hAnsi="宋体" w:cs="宋体"/>
          <w:kern w:val="2"/>
          <w:sz w:val="24"/>
          <w:szCs w:val="24"/>
        </w:rPr>
        <w:t>）投标人之间约定部分投标人放弃投标或者中标；</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10</w:t>
      </w:r>
      <w:r>
        <w:rPr>
          <w:rFonts w:hint="eastAsia" w:hAnsi="宋体" w:cs="宋体"/>
          <w:kern w:val="2"/>
          <w:sz w:val="24"/>
          <w:szCs w:val="24"/>
        </w:rPr>
        <w:t>）属于同一集团、协会、商会等组织成员的投标人按照该组织要求协同投标；</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11</w:t>
      </w:r>
      <w:r>
        <w:rPr>
          <w:rFonts w:hint="eastAsia" w:hAnsi="宋体" w:cs="宋体"/>
          <w:kern w:val="2"/>
          <w:sz w:val="24"/>
          <w:szCs w:val="24"/>
        </w:rPr>
        <w:t>）投标人之间为谋取中标或者排斥特定投标人而采取的其他联合行动。</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9.</w:t>
      </w:r>
      <w:r>
        <w:rPr>
          <w:rFonts w:hAnsi="宋体" w:cs="宋体"/>
          <w:kern w:val="2"/>
          <w:sz w:val="24"/>
          <w:szCs w:val="24"/>
        </w:rPr>
        <w:t>3</w:t>
      </w:r>
      <w:r>
        <w:rPr>
          <w:rFonts w:hint="eastAsia" w:hAnsi="宋体" w:cs="宋体"/>
          <w:kern w:val="2"/>
          <w:sz w:val="24"/>
          <w:szCs w:val="24"/>
        </w:rPr>
        <w:t>供应商有下列情形之一的，属于恶意串通行为，将报同级监督管理部门：</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（1）供应商直接或者间接从采购人或者采购代理机构处获得其他供应商的相关信息并修改其投标文件或者响应文件；</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（2）供应商按照采购人或者采购代理机构的授意撤换、修改投标文件或者响应文件；</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（3）供应商之间协商报价、技术方案等投标文件或者响应文件的实质性内容；</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（5）供应商之间事先约定一致抬高或者压低投标报价，或者在招标项目中事先约定轮流以高价位或者低价位中标，或者事先约定由某一特定供应商中标，然后再参加投标；</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（6）供应商之间商定部分供应商放弃参加政府采购活动或者放弃中标；</w:t>
      </w:r>
    </w:p>
    <w:p>
      <w:pPr>
        <w:pStyle w:val="26"/>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（7）供应商与采购人或者采购代理机构之间、供应商相互之间，为谋求特定供应商中标或者排斥其他供应商的其他串通行为。</w:t>
      </w:r>
    </w:p>
    <w:p>
      <w:pPr>
        <w:pStyle w:val="26"/>
        <w:snapToGrid w:val="0"/>
        <w:spacing w:line="360" w:lineRule="auto"/>
        <w:ind w:left="2" w:leftChars="1" w:firstLine="422" w:firstLineChars="200"/>
        <w:rPr>
          <w:rFonts w:hAnsi="宋体" w:cs="宋体"/>
          <w:b/>
          <w:kern w:val="2"/>
          <w:sz w:val="21"/>
        </w:rPr>
      </w:pPr>
    </w:p>
    <w:p>
      <w:pPr>
        <w:pStyle w:val="5"/>
        <w:keepNext w:val="0"/>
        <w:keepLines w:val="0"/>
        <w:jc w:val="center"/>
        <w:rPr>
          <w:rFonts w:ascii="宋体" w:hAnsi="宋体" w:cs="宋体"/>
        </w:rPr>
      </w:pPr>
      <w:bookmarkStart w:id="90" w:name="_Toc254970675"/>
      <w:bookmarkStart w:id="91" w:name="_Toc254970534"/>
      <w:r>
        <w:rPr>
          <w:rFonts w:hint="eastAsia" w:ascii="宋体" w:hAnsi="宋体" w:cs="宋体"/>
        </w:rPr>
        <w:t>二、招标文件</w:t>
      </w:r>
      <w:bookmarkEnd w:id="90"/>
      <w:bookmarkEnd w:id="91"/>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pPr>
        <w:snapToGrid w:val="0"/>
        <w:spacing w:line="360" w:lineRule="auto"/>
        <w:ind w:firstLine="420"/>
        <w:jc w:val="left"/>
        <w:rPr>
          <w:rFonts w:ascii="宋体" w:hAnsi="宋体" w:cs="宋体"/>
          <w:sz w:val="24"/>
        </w:rPr>
      </w:pPr>
      <w:r>
        <w:rPr>
          <w:rFonts w:hint="eastAsia" w:ascii="宋体" w:hAnsi="宋体" w:cs="宋体"/>
          <w:sz w:val="24"/>
        </w:rPr>
        <w:t>（1）招标公告；</w:t>
      </w:r>
    </w:p>
    <w:p>
      <w:pPr>
        <w:snapToGrid w:val="0"/>
        <w:spacing w:line="360" w:lineRule="auto"/>
        <w:ind w:firstLine="420"/>
        <w:jc w:val="left"/>
        <w:rPr>
          <w:rFonts w:ascii="宋体" w:hAnsi="宋体" w:cs="宋体"/>
          <w:sz w:val="24"/>
        </w:rPr>
      </w:pPr>
      <w:r>
        <w:rPr>
          <w:rFonts w:hint="eastAsia" w:ascii="宋体" w:hAnsi="宋体" w:cs="宋体"/>
          <w:sz w:val="24"/>
        </w:rPr>
        <w:t xml:space="preserve">（2）采购需求； </w:t>
      </w:r>
    </w:p>
    <w:p>
      <w:pPr>
        <w:snapToGrid w:val="0"/>
        <w:spacing w:line="360" w:lineRule="auto"/>
        <w:ind w:firstLine="420"/>
        <w:jc w:val="left"/>
        <w:rPr>
          <w:rFonts w:ascii="宋体" w:hAnsi="宋体" w:cs="宋体"/>
          <w:sz w:val="24"/>
        </w:rPr>
      </w:pPr>
      <w:r>
        <w:rPr>
          <w:rFonts w:hint="eastAsia" w:ascii="宋体" w:hAnsi="宋体" w:cs="宋体"/>
          <w:sz w:val="24"/>
        </w:rPr>
        <w:t>（3）投标人须知；</w:t>
      </w:r>
    </w:p>
    <w:p>
      <w:pPr>
        <w:snapToGrid w:val="0"/>
        <w:spacing w:line="360" w:lineRule="auto"/>
        <w:ind w:firstLine="420"/>
        <w:jc w:val="left"/>
        <w:rPr>
          <w:rFonts w:ascii="宋体" w:hAnsi="宋体" w:cs="宋体"/>
          <w:sz w:val="24"/>
        </w:rPr>
      </w:pPr>
      <w:r>
        <w:rPr>
          <w:rFonts w:hint="eastAsia" w:ascii="宋体" w:hAnsi="宋体" w:cs="宋体"/>
          <w:sz w:val="24"/>
        </w:rPr>
        <w:t>（4）评标方法及评标标准；</w:t>
      </w:r>
    </w:p>
    <w:p>
      <w:pPr>
        <w:snapToGrid w:val="0"/>
        <w:spacing w:line="360" w:lineRule="auto"/>
        <w:ind w:firstLine="420"/>
        <w:jc w:val="left"/>
        <w:rPr>
          <w:rFonts w:ascii="宋体" w:hAnsi="宋体" w:cs="宋体"/>
          <w:sz w:val="24"/>
        </w:rPr>
      </w:pPr>
      <w:r>
        <w:rPr>
          <w:rFonts w:hint="eastAsia" w:ascii="宋体" w:hAnsi="宋体" w:cs="宋体"/>
          <w:sz w:val="24"/>
        </w:rPr>
        <w:t>（5）拟签订的合同文本；</w:t>
      </w:r>
    </w:p>
    <w:p>
      <w:pPr>
        <w:snapToGrid w:val="0"/>
        <w:spacing w:line="360" w:lineRule="auto"/>
        <w:ind w:firstLine="420"/>
        <w:jc w:val="left"/>
        <w:rPr>
          <w:rFonts w:ascii="宋体" w:hAnsi="宋体" w:cs="宋体"/>
          <w:sz w:val="24"/>
        </w:rPr>
      </w:pPr>
      <w:r>
        <w:rPr>
          <w:rFonts w:hint="eastAsia" w:ascii="宋体" w:hAnsi="宋体" w:cs="宋体"/>
          <w:sz w:val="24"/>
        </w:rPr>
        <w:t>（6）投标文件格式。</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pPr>
        <w:pStyle w:val="7"/>
        <w:keepNext w:val="0"/>
        <w:keepLines w:val="0"/>
        <w:numPr>
          <w:ilvl w:val="0"/>
          <w:numId w:val="0"/>
        </w:numPr>
        <w:spacing w:before="0" w:after="0" w:line="360" w:lineRule="auto"/>
        <w:ind w:firstLine="480" w:firstLineChars="200"/>
        <w:rPr>
          <w:rFonts w:ascii="宋体" w:hAnsi="宋体" w:cs="宋体"/>
          <w:sz w:val="24"/>
        </w:rPr>
      </w:pPr>
      <w:r>
        <w:rPr>
          <w:rFonts w:hint="eastAsia" w:ascii="宋体" w:hAnsi="宋体" w:cs="宋体"/>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80" w:firstLineChars="200"/>
        <w:rPr>
          <w:rFonts w:ascii="宋体" w:hAnsi="宋体" w:cs="宋体"/>
          <w:sz w:val="24"/>
        </w:rPr>
      </w:pPr>
      <w:r>
        <w:rPr>
          <w:rFonts w:hint="eastAsia" w:ascii="宋体" w:hAnsi="宋体" w:cs="宋体"/>
          <w:sz w:val="24"/>
        </w:rPr>
        <w:t>11.3采购人和采购代理机构可以视采购具体情况，变更投标截止时间和开标时间，并在原公告发布媒体上发布更正公告。</w:t>
      </w:r>
    </w:p>
    <w:p>
      <w:pPr>
        <w:spacing w:line="360" w:lineRule="auto"/>
        <w:ind w:firstLine="480" w:firstLineChars="200"/>
        <w:rPr>
          <w:rFonts w:ascii="宋体" w:hAnsi="宋体" w:cs="宋体"/>
          <w:sz w:val="24"/>
        </w:rPr>
      </w:pPr>
      <w:r>
        <w:rPr>
          <w:rFonts w:hint="eastAsia" w:ascii="宋体" w:hAnsi="宋体" w:cs="宋体"/>
          <w:sz w:val="24"/>
        </w:rPr>
        <w:t>11.4招标文件澄清、答复、修改、补充的内容为招标文件的组成部分。</w:t>
      </w:r>
      <w:r>
        <w:rPr>
          <w:rFonts w:hint="eastAsia" w:ascii="宋体" w:hAnsi="宋体" w:cs="宋体"/>
          <w:b/>
          <w:sz w:val="24"/>
        </w:rPr>
        <w:t>当招标文件与招标文件的澄清、答复、修改、补充通知就同一内容的表述不一致时，以最后发出的文件为准。</w:t>
      </w:r>
    </w:p>
    <w:p>
      <w:pPr>
        <w:pStyle w:val="26"/>
        <w:snapToGrid w:val="0"/>
        <w:spacing w:line="360" w:lineRule="auto"/>
        <w:ind w:firstLine="480" w:firstLineChars="200"/>
        <w:rPr>
          <w:rFonts w:hAnsi="宋体" w:cs="宋体"/>
          <w:sz w:val="21"/>
        </w:rPr>
      </w:pPr>
      <w:r>
        <w:rPr>
          <w:rFonts w:hint="eastAsia" w:hAnsi="宋体" w:cs="宋体"/>
          <w:sz w:val="24"/>
          <w:szCs w:val="24"/>
        </w:rPr>
        <w:t>11.</w:t>
      </w:r>
      <w:bookmarkStart w:id="92" w:name="_Hlk53134511"/>
      <w:r>
        <w:rPr>
          <w:rFonts w:hint="eastAsia" w:hAnsi="宋体" w:cs="宋体"/>
          <w:sz w:val="24"/>
          <w:szCs w:val="24"/>
        </w:rPr>
        <w:t>5采购人或者采购代理机构可以在招标文件提供期限截止后，组织已获取招标文件的潜在投标人现场考察或者召开开标前答疑会，具体详见“投标人须知前附表”。</w:t>
      </w:r>
    </w:p>
    <w:bookmarkEnd w:id="92"/>
    <w:p>
      <w:pPr>
        <w:pStyle w:val="26"/>
        <w:snapToGrid w:val="0"/>
        <w:spacing w:line="360" w:lineRule="auto"/>
        <w:ind w:firstLine="420" w:firstLineChars="200"/>
        <w:rPr>
          <w:rFonts w:hAnsi="宋体" w:cs="宋体"/>
          <w:sz w:val="21"/>
        </w:rPr>
      </w:pPr>
    </w:p>
    <w:p>
      <w:pPr>
        <w:pStyle w:val="5"/>
        <w:keepNext w:val="0"/>
        <w:keepLines w:val="0"/>
        <w:jc w:val="center"/>
        <w:rPr>
          <w:rFonts w:ascii="宋体" w:hAnsi="宋体" w:cs="宋体"/>
        </w:rPr>
      </w:pPr>
      <w:bookmarkStart w:id="93" w:name="_Toc254970535"/>
      <w:bookmarkStart w:id="94" w:name="_Toc254970676"/>
      <w:r>
        <w:rPr>
          <w:rFonts w:hint="eastAsia" w:ascii="宋体" w:hAnsi="宋体" w:cs="宋体"/>
        </w:rPr>
        <w:t>三、投标文件的编制</w:t>
      </w:r>
      <w:bookmarkEnd w:id="93"/>
      <w:bookmarkEnd w:id="94"/>
    </w:p>
    <w:p>
      <w:pPr>
        <w:pStyle w:val="7"/>
        <w:keepNext w:val="0"/>
        <w:keepLines w:val="0"/>
        <w:spacing w:before="0" w:after="0" w:line="360" w:lineRule="auto"/>
        <w:ind w:left="420" w:leftChars="200"/>
        <w:rPr>
          <w:rFonts w:ascii="宋体" w:hAnsi="宋体" w:cs="宋体"/>
          <w:sz w:val="24"/>
        </w:rPr>
      </w:pPr>
      <w:bookmarkStart w:id="95" w:name="_Toc254970677"/>
      <w:bookmarkStart w:id="96" w:name="_Toc254970536"/>
      <w:r>
        <w:rPr>
          <w:rFonts w:hint="eastAsia" w:ascii="宋体" w:hAnsi="宋体" w:cs="宋体"/>
          <w:sz w:val="24"/>
        </w:rPr>
        <w:t>12.投标文件的编制原则</w:t>
      </w:r>
    </w:p>
    <w:p>
      <w:pPr>
        <w:snapToGrid w:val="0"/>
        <w:spacing w:line="360" w:lineRule="auto"/>
        <w:ind w:firstLine="420"/>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bookmarkEnd w:id="95"/>
      <w:bookmarkEnd w:id="96"/>
    </w:p>
    <w:p>
      <w:pPr>
        <w:snapToGrid w:val="0"/>
        <w:spacing w:line="360" w:lineRule="auto"/>
        <w:ind w:firstLine="480" w:firstLineChars="200"/>
        <w:jc w:val="left"/>
        <w:rPr>
          <w:rFonts w:ascii="宋体" w:hAnsi="宋体" w:cs="宋体"/>
          <w:sz w:val="24"/>
        </w:rPr>
      </w:pPr>
      <w:r>
        <w:rPr>
          <w:rFonts w:hint="eastAsia" w:ascii="宋体" w:hAnsi="宋体" w:cs="宋体"/>
          <w:sz w:val="24"/>
        </w:rPr>
        <w:t>13.1投标文件由报价文件、资格证明文件、商务文件、技术文件四部分组成。</w:t>
      </w:r>
    </w:p>
    <w:p>
      <w:pPr>
        <w:pStyle w:val="7"/>
        <w:keepNext w:val="0"/>
        <w:keepLines w:val="0"/>
        <w:spacing w:before="0" w:after="0" w:line="360" w:lineRule="auto"/>
        <w:ind w:left="420" w:leftChars="200"/>
        <w:rPr>
          <w:rFonts w:ascii="宋体" w:hAnsi="宋体" w:cs="宋体"/>
          <w:b w:val="0"/>
          <w:sz w:val="24"/>
        </w:rPr>
      </w:pPr>
      <w:bookmarkStart w:id="97" w:name="_13.1报价文件:_具体材料见“投标人须知前附表”。"/>
      <w:bookmarkEnd w:id="97"/>
      <w:r>
        <w:rPr>
          <w:rFonts w:hint="eastAsia" w:ascii="宋体" w:hAnsi="宋体" w:cs="宋体"/>
          <w:b w:val="0"/>
          <w:sz w:val="24"/>
        </w:rPr>
        <w:t>（1）报价文件： 具体材料见“投标人须知前附表”。</w:t>
      </w:r>
    </w:p>
    <w:p>
      <w:pPr>
        <w:pStyle w:val="7"/>
        <w:keepNext w:val="0"/>
        <w:keepLines w:val="0"/>
        <w:spacing w:before="0" w:after="0" w:line="360" w:lineRule="auto"/>
        <w:ind w:left="420" w:leftChars="200"/>
        <w:rPr>
          <w:rFonts w:ascii="宋体" w:hAnsi="宋体" w:cs="宋体"/>
          <w:b w:val="0"/>
          <w:sz w:val="24"/>
        </w:rPr>
      </w:pPr>
      <w:bookmarkStart w:id="98" w:name="_13.2资格证明文件：具体材料见“投标人须知前附表”。"/>
      <w:bookmarkEnd w:id="98"/>
      <w:r>
        <w:rPr>
          <w:rFonts w:hint="eastAsia" w:ascii="宋体" w:hAnsi="宋体" w:cs="宋体"/>
          <w:b w:val="0"/>
          <w:sz w:val="24"/>
        </w:rPr>
        <w:t>（2）资格证明文件：具体材料见“投标人须知前附表”。</w:t>
      </w:r>
    </w:p>
    <w:p>
      <w:pPr>
        <w:pStyle w:val="7"/>
        <w:keepNext w:val="0"/>
        <w:keepLines w:val="0"/>
        <w:spacing w:before="0" w:after="0" w:line="360" w:lineRule="auto"/>
        <w:ind w:left="420" w:leftChars="200"/>
        <w:rPr>
          <w:rFonts w:ascii="宋体" w:hAnsi="宋体" w:cs="宋体"/>
          <w:b w:val="0"/>
          <w:sz w:val="24"/>
        </w:rPr>
      </w:pPr>
      <w:bookmarkStart w:id="99" w:name="_13.3商务文件:_具体材料见“投标人须知前附表”。"/>
      <w:bookmarkEnd w:id="99"/>
      <w:r>
        <w:rPr>
          <w:rFonts w:hint="eastAsia" w:ascii="宋体" w:hAnsi="宋体" w:cs="宋体"/>
          <w:b w:val="0"/>
          <w:sz w:val="24"/>
        </w:rPr>
        <w:t>（3）商务文件：具体材料见“投标人须知前附表”。</w:t>
      </w:r>
    </w:p>
    <w:p>
      <w:pPr>
        <w:pStyle w:val="7"/>
        <w:keepNext w:val="0"/>
        <w:keepLines w:val="0"/>
        <w:spacing w:before="0" w:after="0" w:line="360" w:lineRule="auto"/>
        <w:ind w:left="420" w:leftChars="200"/>
        <w:rPr>
          <w:rFonts w:ascii="宋体" w:hAnsi="宋体" w:cs="宋体"/>
          <w:b w:val="0"/>
          <w:sz w:val="24"/>
        </w:rPr>
      </w:pPr>
      <w:bookmarkStart w:id="100" w:name="_13.4技术文件：具体材料见“投标人须知前附表”。"/>
      <w:bookmarkEnd w:id="100"/>
      <w:r>
        <w:rPr>
          <w:rFonts w:hint="eastAsia" w:ascii="宋体" w:hAnsi="宋体" w:cs="宋体"/>
          <w:b w:val="0"/>
          <w:sz w:val="24"/>
        </w:rPr>
        <w:t>（4）技术文件：具体材料见“投标人须知前附表”。</w:t>
      </w:r>
      <w:bookmarkStart w:id="101" w:name="_13.5投标文件电子版：具体材料见“投标人须知前附表”。"/>
      <w:bookmarkEnd w:id="101"/>
    </w:p>
    <w:p>
      <w:pPr>
        <w:pStyle w:val="7"/>
        <w:keepNext w:val="0"/>
        <w:keepLines w:val="0"/>
        <w:spacing w:before="0" w:after="0" w:line="360" w:lineRule="auto"/>
        <w:ind w:left="420" w:leftChars="200"/>
        <w:rPr>
          <w:rFonts w:ascii="宋体" w:hAnsi="宋体" w:cs="宋体"/>
          <w:sz w:val="24"/>
        </w:rPr>
      </w:pPr>
      <w:bookmarkStart w:id="102" w:name="_Toc254970678"/>
      <w:bookmarkStart w:id="103" w:name="_Toc254970537"/>
      <w:r>
        <w:rPr>
          <w:rFonts w:hint="eastAsia" w:ascii="宋体" w:hAnsi="宋体" w:cs="宋体"/>
          <w:sz w:val="24"/>
        </w:rPr>
        <w:t>14.投标文件的语言及计量</w:t>
      </w:r>
      <w:bookmarkEnd w:id="102"/>
      <w:bookmarkEnd w:id="103"/>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14.1语言文字</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14.2投标计量单位</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pPr>
        <w:pStyle w:val="26"/>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宋体" w:hAnsi="宋体" w:cs="宋体"/>
          <w:sz w:val="24"/>
        </w:rPr>
      </w:pPr>
      <w:bookmarkStart w:id="104" w:name="_Toc254970538"/>
      <w:bookmarkStart w:id="105" w:name="_Toc254970679"/>
      <w:r>
        <w:rPr>
          <w:rFonts w:hint="eastAsia" w:ascii="宋体" w:hAnsi="宋体" w:cs="宋体"/>
          <w:sz w:val="24"/>
        </w:rPr>
        <w:t>16.投标报价</w:t>
      </w:r>
      <w:bookmarkEnd w:id="104"/>
      <w:bookmarkEnd w:id="105"/>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16.1投标报价应按“第六章　投标文件格式”中“开标一览表”格式填写。</w:t>
      </w:r>
    </w:p>
    <w:p>
      <w:pPr>
        <w:pStyle w:val="7"/>
        <w:keepNext w:val="0"/>
        <w:keepLines w:val="0"/>
        <w:spacing w:before="0" w:after="0" w:line="360" w:lineRule="auto"/>
        <w:ind w:left="420" w:leftChars="200"/>
        <w:rPr>
          <w:rFonts w:ascii="宋体" w:hAnsi="宋体" w:cs="宋体"/>
          <w:b w:val="0"/>
          <w:sz w:val="24"/>
        </w:rPr>
      </w:pPr>
      <w:bookmarkStart w:id="106" w:name="_16.2投标报价具体定义见投标人须知前附表。"/>
      <w:bookmarkEnd w:id="106"/>
      <w:r>
        <w:rPr>
          <w:rFonts w:hint="eastAsia" w:ascii="宋体" w:hAnsi="宋体" w:cs="宋体"/>
          <w:b w:val="0"/>
          <w:sz w:val="24"/>
        </w:rPr>
        <w:t>16.2投标报价具体包括内容详见“投标人须知前附表”。</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pPr>
        <w:pStyle w:val="7"/>
        <w:keepNext w:val="0"/>
        <w:keepLines w:val="0"/>
        <w:spacing w:before="0" w:after="0" w:line="360" w:lineRule="auto"/>
        <w:ind w:firstLine="480" w:firstLineChars="200"/>
        <w:rPr>
          <w:rFonts w:ascii="宋体" w:hAnsi="宋体" w:cs="宋体"/>
          <w:b w:val="0"/>
          <w:sz w:val="24"/>
        </w:rPr>
      </w:pPr>
      <w:bookmarkStart w:id="107" w:name="_17.1投标有效期应按“投标人须知中的前附表”规定的期限。"/>
      <w:bookmarkEnd w:id="107"/>
      <w:r>
        <w:rPr>
          <w:rFonts w:hint="eastAsia" w:ascii="宋体" w:hAnsi="宋体" w:cs="宋体"/>
          <w:b w:val="0"/>
          <w:sz w:val="24"/>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17.2</w:t>
      </w:r>
      <w:bookmarkStart w:id="108" w:name="_Toc254970540"/>
      <w:bookmarkStart w:id="109" w:name="_Toc254970681"/>
      <w:r>
        <w:rPr>
          <w:rFonts w:hint="eastAsia" w:ascii="宋体" w:hAnsi="宋体" w:cs="宋体"/>
          <w:b w:val="0"/>
          <w:sz w:val="24"/>
        </w:rPr>
        <w:t xml:space="preserve"> 投标有效期应按规定的期限作出承诺，具体详见“投标人须知前附表”。</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17.3投标人的投标文件在投标有效期内均保持有效。</w:t>
      </w:r>
      <w:bookmarkEnd w:id="108"/>
      <w:bookmarkEnd w:id="109"/>
    </w:p>
    <w:p>
      <w:pPr>
        <w:pStyle w:val="7"/>
        <w:keepNext w:val="0"/>
        <w:keepLines w:val="0"/>
        <w:spacing w:before="0" w:after="0" w:line="360" w:lineRule="auto"/>
        <w:ind w:left="420" w:leftChars="200"/>
        <w:rPr>
          <w:rFonts w:ascii="宋体" w:hAnsi="宋体" w:cs="宋体"/>
          <w:sz w:val="24"/>
        </w:rPr>
      </w:pPr>
      <w:bookmarkStart w:id="110" w:name="_18.投标保证金"/>
      <w:bookmarkEnd w:id="110"/>
      <w:bookmarkStart w:id="111" w:name="_Toc254970541"/>
      <w:bookmarkStart w:id="112" w:name="_Toc254970682"/>
      <w:r>
        <w:rPr>
          <w:rFonts w:hint="eastAsia" w:ascii="宋体" w:hAnsi="宋体" w:cs="宋体"/>
          <w:sz w:val="24"/>
        </w:rPr>
        <w:t>18.投标保证金</w:t>
      </w:r>
      <w:bookmarkEnd w:id="111"/>
      <w:bookmarkEnd w:id="112"/>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18.1投标人须按“投标人须知前附表” 的规定提交投标保证金。</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18.2投标保证金的退还</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未中标人的投标保证金自中标通知书发出之日起</w:t>
      </w:r>
      <w:r>
        <w:rPr>
          <w:rFonts w:ascii="宋体" w:hAnsi="宋体" w:cs="宋体"/>
          <w:b w:val="0"/>
          <w:sz w:val="24"/>
        </w:rPr>
        <w:t>5</w:t>
      </w:r>
      <w:r>
        <w:rPr>
          <w:rFonts w:hint="eastAsia" w:ascii="宋体" w:hAnsi="宋体" w:cs="宋体"/>
          <w:b w:val="0"/>
          <w:sz w:val="24"/>
        </w:rPr>
        <w:t>个工作日内退还；中标人的投标保证金自政府采购合同签订之日起</w:t>
      </w:r>
      <w:r>
        <w:rPr>
          <w:rFonts w:ascii="宋体" w:hAnsi="宋体" w:cs="宋体"/>
          <w:b w:val="0"/>
          <w:sz w:val="24"/>
        </w:rPr>
        <w:t>5</w:t>
      </w:r>
      <w:r>
        <w:rPr>
          <w:rFonts w:hint="eastAsia" w:ascii="宋体" w:hAnsi="宋体" w:cs="宋体"/>
          <w:b w:val="0"/>
          <w:sz w:val="24"/>
        </w:rPr>
        <w:t xml:space="preserve">个工作日内退还。 </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18.3除逾期退还投标保证金和终止招标的情形以外，投标保证金不计息。</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18.4投标人有下列情形之一的，投标保证金将不予退还： </w:t>
      </w:r>
    </w:p>
    <w:p>
      <w:pPr>
        <w:snapToGrid w:val="0"/>
        <w:spacing w:line="360" w:lineRule="auto"/>
        <w:ind w:firstLine="470" w:firstLineChars="196"/>
        <w:jc w:val="left"/>
        <w:rPr>
          <w:rFonts w:ascii="宋体" w:hAnsi="宋体" w:cs="宋体"/>
          <w:sz w:val="24"/>
        </w:rPr>
      </w:pPr>
      <w:r>
        <w:rPr>
          <w:rFonts w:hint="eastAsia" w:ascii="宋体" w:hAnsi="宋体" w:cs="宋体"/>
          <w:sz w:val="24"/>
        </w:rPr>
        <w:t>（1）投标人在投标截止时间后至有效期内撤回投标文件的；</w:t>
      </w:r>
    </w:p>
    <w:p>
      <w:pPr>
        <w:snapToGrid w:val="0"/>
        <w:spacing w:line="360" w:lineRule="auto"/>
        <w:ind w:firstLine="470" w:firstLineChars="196"/>
        <w:jc w:val="left"/>
        <w:rPr>
          <w:rFonts w:ascii="宋体" w:hAnsi="宋体" w:cs="宋体"/>
          <w:sz w:val="24"/>
        </w:rPr>
      </w:pPr>
      <w:r>
        <w:rPr>
          <w:rFonts w:hint="eastAsia" w:ascii="宋体" w:hAnsi="宋体" w:cs="宋体"/>
          <w:sz w:val="24"/>
        </w:rPr>
        <w:t>（2）中标后未按规定提交履约保证金的；</w:t>
      </w:r>
    </w:p>
    <w:p>
      <w:pPr>
        <w:snapToGrid w:val="0"/>
        <w:spacing w:line="360" w:lineRule="auto"/>
        <w:ind w:firstLine="470" w:firstLineChars="196"/>
        <w:jc w:val="left"/>
        <w:rPr>
          <w:rFonts w:ascii="宋体" w:hAnsi="宋体" w:cs="宋体"/>
          <w:sz w:val="24"/>
        </w:rPr>
      </w:pPr>
      <w:r>
        <w:rPr>
          <w:rFonts w:hint="eastAsia" w:ascii="宋体" w:hAnsi="宋体" w:cs="宋体"/>
          <w:sz w:val="24"/>
        </w:rPr>
        <w:t>（3）投标人在投标过程中弄虚作假，提供虚假材料的；</w:t>
      </w:r>
    </w:p>
    <w:p>
      <w:pPr>
        <w:snapToGrid w:val="0"/>
        <w:spacing w:line="360" w:lineRule="auto"/>
        <w:ind w:firstLine="470" w:firstLineChars="196"/>
        <w:rPr>
          <w:rFonts w:ascii="宋体" w:hAnsi="宋体" w:cs="宋体"/>
          <w:sz w:val="24"/>
        </w:rPr>
      </w:pPr>
      <w:r>
        <w:rPr>
          <w:rFonts w:hint="eastAsia" w:ascii="宋体" w:hAnsi="宋体" w:cs="宋体"/>
          <w:sz w:val="24"/>
        </w:rPr>
        <w:t>（4）中标人无正当理由不与采购人签订合同的；</w:t>
      </w:r>
    </w:p>
    <w:p>
      <w:pPr>
        <w:snapToGrid w:val="0"/>
        <w:spacing w:line="360" w:lineRule="auto"/>
        <w:ind w:firstLine="480" w:firstLineChars="200"/>
        <w:rPr>
          <w:rFonts w:ascii="宋体" w:hAnsi="宋体" w:cs="宋体"/>
          <w:sz w:val="24"/>
        </w:rPr>
      </w:pPr>
      <w:r>
        <w:rPr>
          <w:rFonts w:hint="eastAsia" w:ascii="宋体" w:hAnsi="宋体" w:cs="宋体"/>
          <w:sz w:val="24"/>
        </w:rPr>
        <w:t>（5）投标人出现本章第9.2、9.3、3</w:t>
      </w:r>
      <w:r>
        <w:rPr>
          <w:rFonts w:ascii="宋体" w:hAnsi="宋体" w:cs="宋体"/>
          <w:sz w:val="24"/>
        </w:rPr>
        <w:t>0.4</w:t>
      </w:r>
      <w:r>
        <w:rPr>
          <w:rFonts w:hint="eastAsia" w:ascii="宋体" w:hAnsi="宋体" w:cs="宋体"/>
          <w:sz w:val="24"/>
        </w:rPr>
        <w:t>条情形的；</w:t>
      </w:r>
    </w:p>
    <w:p>
      <w:pPr>
        <w:snapToGrid w:val="0"/>
        <w:spacing w:line="360" w:lineRule="auto"/>
        <w:ind w:firstLine="480" w:firstLineChars="200"/>
        <w:rPr>
          <w:rFonts w:ascii="宋体" w:hAnsi="宋体" w:cs="宋体"/>
          <w:sz w:val="24"/>
        </w:rPr>
      </w:pPr>
      <w:r>
        <w:rPr>
          <w:rFonts w:hint="eastAsia" w:ascii="宋体" w:hAnsi="宋体" w:cs="宋体"/>
          <w:sz w:val="24"/>
        </w:rPr>
        <w:t>（6）法律法规规定的其他情形。</w:t>
      </w:r>
    </w:p>
    <w:p>
      <w:pPr>
        <w:pStyle w:val="7"/>
        <w:keepNext w:val="0"/>
        <w:keepLines w:val="0"/>
        <w:spacing w:before="0" w:after="0" w:line="360" w:lineRule="auto"/>
        <w:ind w:left="420" w:leftChars="200"/>
        <w:rPr>
          <w:rFonts w:ascii="宋体" w:hAnsi="宋体" w:cs="宋体"/>
          <w:sz w:val="24"/>
        </w:rPr>
      </w:pPr>
      <w:bookmarkStart w:id="113" w:name="_Toc254970683"/>
      <w:bookmarkStart w:id="114" w:name="_Toc254970542"/>
      <w:r>
        <w:rPr>
          <w:rFonts w:hint="eastAsia" w:ascii="宋体" w:hAnsi="宋体" w:cs="宋体"/>
          <w:sz w:val="24"/>
        </w:rPr>
        <w:t>19.投标文件的</w:t>
      </w:r>
      <w:bookmarkEnd w:id="113"/>
      <w:bookmarkEnd w:id="114"/>
      <w:r>
        <w:rPr>
          <w:rFonts w:hint="eastAsia" w:ascii="宋体" w:hAnsi="宋体" w:cs="宋体"/>
          <w:sz w:val="24"/>
        </w:rPr>
        <w:t>编制</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numPr>
          <w:ilvl w:val="0"/>
          <w:numId w:val="0"/>
        </w:numPr>
        <w:spacing w:before="0" w:after="0" w:line="360" w:lineRule="auto"/>
        <w:ind w:firstLine="480" w:firstLineChars="200"/>
        <w:rPr>
          <w:rFonts w:ascii="宋体" w:hAnsi="宋体" w:cs="宋体"/>
          <w:b w:val="0"/>
          <w:sz w:val="24"/>
        </w:rPr>
      </w:pPr>
      <w:bookmarkStart w:id="115" w:name="_19.2投标文件应按报价文件、资格证明文件、商务文件、技术文件分别编制"/>
      <w:bookmarkEnd w:id="115"/>
      <w:r>
        <w:rPr>
          <w:rFonts w:hint="eastAsia" w:ascii="宋体" w:hAnsi="宋体" w:cs="宋体"/>
          <w:b w:val="0"/>
          <w:sz w:val="24"/>
        </w:rPr>
        <w:t>19.2投标文件应按报价文件、资格证明文件、商务文件、技术文件分别编制电子文件，并按“政采云”平台的要求编制、加密、上传。</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19.</w:t>
      </w:r>
      <w:bookmarkStart w:id="116" w:name="_Hlk65832616"/>
      <w:r>
        <w:rPr>
          <w:rFonts w:hint="eastAsia" w:ascii="宋体" w:hAnsi="宋体" w:cs="宋体"/>
          <w:b w:val="0"/>
          <w:sz w:val="24"/>
        </w:rPr>
        <w:t>3投标文件须由投标人在规定位置盖公章并签字</w:t>
      </w:r>
      <w:bookmarkStart w:id="117" w:name="_Hlk65832569"/>
      <w:r>
        <w:rPr>
          <w:rFonts w:hint="eastAsia" w:ascii="宋体" w:hAnsi="宋体" w:cs="宋体"/>
          <w:b w:val="0"/>
          <w:sz w:val="24"/>
        </w:rPr>
        <w:t>（具体以投标人须知前附表或投标文件格式规定为准）</w:t>
      </w:r>
      <w:bookmarkEnd w:id="116"/>
      <w:bookmarkEnd w:id="117"/>
      <w:r>
        <w:rPr>
          <w:rFonts w:hint="eastAsia" w:ascii="宋体" w:hAnsi="宋体" w:cs="宋体"/>
          <w:b w:val="0"/>
          <w:sz w:val="24"/>
        </w:rPr>
        <w:t>，</w:t>
      </w:r>
      <w:r>
        <w:rPr>
          <w:rFonts w:hint="eastAsia" w:ascii="宋体" w:hAnsi="宋体" w:cs="宋体"/>
          <w:bCs/>
          <w:sz w:val="24"/>
        </w:rPr>
        <w:t>否则按无效投标处理</w:t>
      </w:r>
      <w:r>
        <w:rPr>
          <w:rFonts w:hint="eastAsia" w:ascii="宋体" w:hAnsi="宋体" w:cs="宋体"/>
          <w:b w:val="0"/>
          <w:sz w:val="24"/>
        </w:rPr>
        <w:t>。</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19.4投标文件中标注的投标人名称应与主体资格证明（如营业执照、事业单位法人证书、执业许可证、自然人身份证等）及公章一致，</w:t>
      </w:r>
      <w:r>
        <w:rPr>
          <w:rFonts w:hint="eastAsia" w:ascii="宋体" w:hAnsi="宋体" w:cs="宋体"/>
          <w:sz w:val="24"/>
        </w:rPr>
        <w:t>否则按无效投标处理</w:t>
      </w:r>
      <w:r>
        <w:rPr>
          <w:rFonts w:hint="eastAsia" w:ascii="宋体" w:hAnsi="宋体" w:cs="宋体"/>
          <w:b w:val="0"/>
          <w:sz w:val="24"/>
        </w:rPr>
        <w:t>。</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20.投标文件的加密、解密</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20.1电子投标文件编制完成后，投标人应按“政采云”平台的要求进行加密，并在规定时间内解密，否则，由此产生的后果由投标人自行负责。</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pPr>
        <w:pStyle w:val="7"/>
        <w:keepNext w:val="0"/>
        <w:keepLines w:val="0"/>
        <w:numPr>
          <w:ilvl w:val="0"/>
          <w:numId w:val="0"/>
        </w:numPr>
        <w:spacing w:before="0" w:after="0" w:line="360" w:lineRule="auto"/>
        <w:ind w:firstLine="480" w:firstLineChars="200"/>
        <w:rPr>
          <w:rFonts w:ascii="宋体" w:hAnsi="宋体" w:cs="宋体"/>
          <w:b w:val="0"/>
          <w:sz w:val="24"/>
        </w:rPr>
      </w:pPr>
      <w:bookmarkStart w:id="118" w:name="_21.1投标人必须在“投标人须知中的前附表”规定的投标文件接收时间和投"/>
      <w:bookmarkEnd w:id="118"/>
      <w:r>
        <w:rPr>
          <w:rFonts w:hint="eastAsia" w:ascii="宋体" w:hAnsi="宋体" w:cs="宋体"/>
          <w:b w:val="0"/>
          <w:sz w:val="24"/>
        </w:rPr>
        <w:t>21.1投标人必须在“投标人须知前附表”规定的投标文件接收时间和投标地点提交投标文件。</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7"/>
        <w:keepNext w:val="0"/>
        <w:keepLines w:val="0"/>
        <w:numPr>
          <w:ilvl w:val="0"/>
          <w:numId w:val="0"/>
        </w:numPr>
        <w:spacing w:before="0" w:after="0" w:line="360" w:lineRule="auto"/>
        <w:ind w:firstLine="480" w:firstLineChars="200"/>
        <w:jc w:val="left"/>
        <w:rPr>
          <w:rFonts w:ascii="宋体" w:hAnsi="宋体" w:cs="宋体"/>
          <w:b w:val="0"/>
          <w:sz w:val="24"/>
        </w:rPr>
      </w:pPr>
      <w:r>
        <w:rPr>
          <w:rFonts w:hint="eastAsia" w:ascii="宋体" w:hAnsi="宋体" w:cs="宋体"/>
          <w:b w:val="0"/>
          <w:sz w:val="24"/>
        </w:rPr>
        <w:t>21.3未在规定时间内上传或者未按“政采云”平台的要求编制、加密的电子投标文件，“政采云”平台将拒收。</w:t>
      </w:r>
    </w:p>
    <w:p>
      <w:pPr>
        <w:pStyle w:val="8"/>
        <w:spacing w:line="360" w:lineRule="auto"/>
        <w:rPr>
          <w:rFonts w:ascii="宋体" w:hAnsi="宋体" w:cs="宋体"/>
          <w:sz w:val="24"/>
          <w:szCs w:val="24"/>
        </w:rPr>
      </w:pPr>
      <w:r>
        <w:rPr>
          <w:rFonts w:hint="eastAsia" w:ascii="宋体" w:hAnsi="宋体" w:cs="宋体"/>
          <w:sz w:val="24"/>
          <w:szCs w:val="24"/>
        </w:rPr>
        <w:t>21.4电子投标文件提交方式见“招标公告”中“四、提交投标文件截止时间、开标时间和地点”</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 投标文件的补充、修改、撤回与退回</w:t>
      </w:r>
    </w:p>
    <w:p>
      <w:pPr>
        <w:snapToGrid w:val="0"/>
        <w:spacing w:line="360" w:lineRule="auto"/>
        <w:ind w:firstLine="420"/>
        <w:jc w:val="left"/>
        <w:rPr>
          <w:rFonts w:ascii="宋体" w:hAnsi="宋体" w:cs="宋体"/>
          <w:sz w:val="24"/>
        </w:rPr>
      </w:pPr>
      <w:bookmarkStart w:id="119" w:name="_Toc254970684"/>
      <w:bookmarkStart w:id="120" w:name="_Toc254970543"/>
      <w:r>
        <w:rPr>
          <w:rFonts w:hint="eastAsia" w:ascii="宋体" w:hAnsi="宋体" w:cs="宋体"/>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bookmarkEnd w:id="119"/>
      <w:bookmarkEnd w:id="120"/>
      <w:r>
        <w:rPr>
          <w:rFonts w:hint="eastAsia" w:ascii="宋体" w:hAnsi="宋体" w:cs="宋体"/>
          <w:sz w:val="24"/>
        </w:rPr>
        <w:t>（补充、修改或者撤回方式可登陆“政采云”平台，依次进入“服务中心”中查看 “电子投标文件制作与投送教程”）。</w:t>
      </w:r>
    </w:p>
    <w:p>
      <w:pPr>
        <w:snapToGrid w:val="0"/>
        <w:spacing w:line="360" w:lineRule="auto"/>
        <w:ind w:firstLine="420"/>
        <w:jc w:val="left"/>
        <w:rPr>
          <w:rFonts w:ascii="宋体" w:hAnsi="宋体" w:cs="宋体"/>
          <w:sz w:val="24"/>
        </w:rPr>
      </w:pPr>
      <w:r>
        <w:rPr>
          <w:rFonts w:hint="eastAsia" w:ascii="宋体" w:hAnsi="宋体" w:cs="宋体"/>
          <w:sz w:val="24"/>
        </w:rPr>
        <w:t>22.2在投标截止时间止提交投标文件的投标人不足3家时，不得开标，采购代理机构将根据“政采云”平台的操作将电子版投标文件退回，除此之外采购人和采购代理机构对已提交的投标文件概不退回。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80" w:firstLineChars="200"/>
        <w:rPr>
          <w:rFonts w:ascii="宋体" w:hAnsi="宋体" w:cs="宋体"/>
          <w:sz w:val="24"/>
        </w:rPr>
      </w:pPr>
      <w:r>
        <w:rPr>
          <w:rFonts w:hint="eastAsia" w:ascii="宋体" w:hAnsi="宋体" w:cs="宋体"/>
          <w:sz w:val="24"/>
        </w:rPr>
        <w:t>22.3 投标人在投标截止时间后书面通知采购人、采购代理机构撤回投标文件的，将根据本须知正文18.4的规定不予退还其投标保证金。</w:t>
      </w:r>
    </w:p>
    <w:p>
      <w:pPr>
        <w:pStyle w:val="21"/>
        <w:snapToGrid w:val="0"/>
        <w:spacing w:line="360" w:lineRule="auto"/>
        <w:ind w:firstLine="845"/>
        <w:rPr>
          <w:rFonts w:ascii="宋体" w:hAnsi="宋体" w:eastAsia="宋体" w:cs="宋体"/>
          <w:snapToGrid w:val="0"/>
          <w:sz w:val="24"/>
          <w:szCs w:val="24"/>
        </w:rPr>
      </w:pPr>
    </w:p>
    <w:p>
      <w:pPr>
        <w:pStyle w:val="5"/>
        <w:keepNext w:val="0"/>
        <w:keepLines w:val="0"/>
        <w:jc w:val="center"/>
        <w:rPr>
          <w:rFonts w:ascii="宋体" w:hAnsi="宋体" w:cs="宋体"/>
        </w:rPr>
      </w:pPr>
      <w:bookmarkStart w:id="121" w:name="_Toc254970685"/>
      <w:bookmarkStart w:id="122" w:name="_Toc254970544"/>
      <w:r>
        <w:rPr>
          <w:rFonts w:hint="eastAsia" w:ascii="宋体" w:hAnsi="宋体" w:cs="宋体"/>
        </w:rPr>
        <w:t>四、开    标</w:t>
      </w:r>
      <w:bookmarkEnd w:id="121"/>
      <w:bookmarkEnd w:id="122"/>
    </w:p>
    <w:p>
      <w:pPr>
        <w:pStyle w:val="7"/>
        <w:keepNext w:val="0"/>
        <w:keepLines w:val="0"/>
        <w:spacing w:before="0" w:after="0" w:line="360" w:lineRule="auto"/>
        <w:ind w:left="420" w:leftChars="200"/>
        <w:rPr>
          <w:rFonts w:ascii="宋体" w:hAnsi="宋体" w:cs="宋体"/>
          <w:sz w:val="24"/>
        </w:rPr>
      </w:pPr>
      <w:bookmarkStart w:id="123" w:name="_23.开标时间和地点"/>
      <w:bookmarkEnd w:id="123"/>
      <w:r>
        <w:rPr>
          <w:rFonts w:hint="eastAsia" w:ascii="宋体" w:hAnsi="宋体" w:cs="宋体"/>
          <w:sz w:val="24"/>
        </w:rPr>
        <w:t>23.开标时间和地点</w:t>
      </w:r>
    </w:p>
    <w:p>
      <w:pPr>
        <w:snapToGrid w:val="0"/>
        <w:spacing w:line="360" w:lineRule="auto"/>
        <w:ind w:firstLine="420"/>
        <w:jc w:val="left"/>
        <w:rPr>
          <w:rFonts w:ascii="宋体" w:hAnsi="宋体" w:cs="宋体"/>
          <w:sz w:val="24"/>
        </w:rPr>
      </w:pPr>
      <w:r>
        <w:rPr>
          <w:rFonts w:hint="eastAsia" w:ascii="宋体" w:hAnsi="宋体" w:cs="宋体"/>
          <w:sz w:val="24"/>
        </w:rPr>
        <w:t>23.1开标时间及地点详见“投标人须知前附表”</w:t>
      </w:r>
    </w:p>
    <w:p>
      <w:pPr>
        <w:snapToGrid w:val="0"/>
        <w:spacing w:line="360" w:lineRule="auto"/>
        <w:ind w:firstLine="420"/>
        <w:jc w:val="left"/>
        <w:rPr>
          <w:rFonts w:ascii="宋体" w:hAnsi="宋体" w:cs="宋体"/>
          <w:sz w:val="24"/>
        </w:rPr>
      </w:pPr>
      <w:r>
        <w:rPr>
          <w:rFonts w:hint="eastAsia" w:ascii="宋体" w:hAnsi="宋体" w:cs="宋体"/>
          <w:sz w:val="24"/>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bCs/>
          <w:sz w:val="24"/>
        </w:rPr>
        <w:t>24.1</w:t>
      </w:r>
      <w:r>
        <w:rPr>
          <w:rFonts w:ascii="宋体" w:hAnsi="宋体" w:cs="宋体"/>
          <w:bCs/>
          <w:sz w:val="24"/>
        </w:rPr>
        <w:t xml:space="preserve"> </w:t>
      </w:r>
      <w:r>
        <w:rPr>
          <w:rFonts w:hint="eastAsia" w:ascii="宋体" w:hAnsi="宋体" w:cs="宋体"/>
          <w:kern w:val="0"/>
          <w:sz w:val="24"/>
        </w:rPr>
        <w:t>开标形式：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24.2</w:t>
      </w:r>
      <w:r>
        <w:rPr>
          <w:rFonts w:ascii="宋体" w:hAnsi="宋体" w:cs="宋体"/>
          <w:bCs/>
          <w:sz w:val="24"/>
        </w:rPr>
        <w:t xml:space="preserve"> </w:t>
      </w:r>
      <w:r>
        <w:rPr>
          <w:rFonts w:hint="eastAsia" w:ascii="宋体" w:hAnsi="宋体" w:cs="宋体"/>
          <w:bCs/>
          <w:sz w:val="24"/>
        </w:rPr>
        <w:t>开标程序：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投标人的法定代表人或其委托代理人须携带加密时所用的CA锁准时登录到“政采云”平台电子开标大厅签到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r>
        <w:rPr>
          <w:rFonts w:hint="eastAsia" w:ascii="宋体" w:hAnsi="宋体" w:cs="宋体"/>
          <w:bCs/>
          <w:sz w:val="24"/>
        </w:rPr>
        <w:t>（解密异常情况处理：详见本章29.4 电子交易活动的中止。</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（2）电子唱标。投标文件解密结束，各投标供应商报价均在“政采云”平台远程不见面开标大厅展示；</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（3）签署电子《政府采购活动现场确认声明书》。通过邮件形式在远程不见面开标大厅发送各投标人签署电子《政府采购活动现场确认声明书》。</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（6）开标结束。</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特别说明：如遇“政采云”平台电子化开标或评审程序调整的，按调整后执行。</w:t>
      </w:r>
    </w:p>
    <w:p>
      <w:pPr>
        <w:pStyle w:val="26"/>
        <w:snapToGrid w:val="0"/>
        <w:spacing w:line="360" w:lineRule="auto"/>
        <w:ind w:left="689" w:leftChars="228" w:hanging="210" w:hangingChars="100"/>
        <w:rPr>
          <w:rFonts w:hAnsi="宋体" w:cs="宋体"/>
          <w:sz w:val="21"/>
        </w:rPr>
      </w:pPr>
    </w:p>
    <w:p>
      <w:pPr>
        <w:pStyle w:val="5"/>
        <w:keepNext w:val="0"/>
        <w:keepLines w:val="0"/>
        <w:jc w:val="center"/>
        <w:rPr>
          <w:rFonts w:ascii="宋体" w:hAnsi="宋体" w:cs="宋体"/>
        </w:rPr>
      </w:pPr>
      <w:r>
        <w:rPr>
          <w:rFonts w:hint="eastAsia" w:ascii="宋体" w:hAnsi="宋体" w:cs="宋体"/>
        </w:rPr>
        <w:t>五、资格审查</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25.1开标结束后，采购人或者采购代理机构依法对投标人的资格进行审查。</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82" w:firstLineChars="200"/>
        <w:rPr>
          <w:rFonts w:ascii="宋体" w:hAnsi="宋体" w:cs="宋体"/>
          <w:sz w:val="24"/>
        </w:rPr>
      </w:pPr>
      <w:bookmarkStart w:id="124" w:name="_25.3_投标人有下列情形之一的，资格审查不通过而导致其投标无效："/>
      <w:bookmarkEnd w:id="124"/>
      <w:r>
        <w:rPr>
          <w:rFonts w:hint="eastAsia" w:ascii="宋体" w:hAnsi="宋体" w:cs="宋体"/>
          <w:sz w:val="24"/>
        </w:rPr>
        <w:t>25.3 投标人有下列情形之一的，资格审查不通过，作无效投标处理：</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（1）未按招标文件规定的方式获取本招标文件的投标人；</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（2）不具备招标文件中规定的资格要求的；</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sz w:val="24"/>
          <w:szCs w:val="24"/>
        </w:rPr>
        <w:t xml:space="preserve"> </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（5）投标文件中的资格证明文件缺少任一项“投标人须知前附表”资格证明文件规定“必须提供”的文件资料的；</w:t>
      </w:r>
    </w:p>
    <w:p>
      <w:pPr>
        <w:pStyle w:val="26"/>
        <w:snapToGrid w:val="0"/>
        <w:spacing w:line="360" w:lineRule="auto"/>
        <w:ind w:firstLine="482" w:firstLineChars="200"/>
        <w:rPr>
          <w:rFonts w:hAnsi="宋体" w:cs="宋体"/>
          <w:b/>
          <w:sz w:val="24"/>
          <w:szCs w:val="24"/>
        </w:rPr>
      </w:pPr>
      <w:r>
        <w:rPr>
          <w:rFonts w:hint="eastAsia" w:hAnsi="宋体" w:cs="宋体"/>
          <w:b/>
          <w:sz w:val="24"/>
          <w:szCs w:val="24"/>
        </w:rPr>
        <w:t>（6）投标文件中的资格证明文件出现任一项不符合“投标人须知前附表”资格证明文件规定“必须提供”的文件资料要求或者无效的。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sz w:val="24"/>
        </w:rPr>
        <w:t>25.4合格投标人不足3家的，不得评标。</w:t>
      </w:r>
    </w:p>
    <w:p>
      <w:pPr>
        <w:pStyle w:val="26"/>
        <w:snapToGrid w:val="0"/>
        <w:spacing w:line="360" w:lineRule="auto"/>
        <w:ind w:left="719" w:leftChars="228" w:hanging="240" w:hangingChars="100"/>
        <w:rPr>
          <w:rFonts w:hAnsi="宋体" w:cs="宋体"/>
          <w:sz w:val="24"/>
          <w:szCs w:val="24"/>
        </w:rPr>
      </w:pPr>
    </w:p>
    <w:p>
      <w:pPr>
        <w:pStyle w:val="5"/>
        <w:keepNext w:val="0"/>
        <w:keepLines w:val="0"/>
        <w:jc w:val="center"/>
        <w:rPr>
          <w:rFonts w:ascii="宋体" w:hAnsi="宋体" w:cs="宋体"/>
        </w:rPr>
      </w:pPr>
      <w:r>
        <w:rPr>
          <w:rFonts w:hint="eastAsia" w:ascii="宋体" w:hAnsi="宋体" w:cs="宋体"/>
        </w:rPr>
        <w:t>六、评   标</w:t>
      </w:r>
    </w:p>
    <w:p>
      <w:pPr>
        <w:pStyle w:val="7"/>
        <w:keepNext w:val="0"/>
        <w:keepLines w:val="0"/>
        <w:spacing w:before="0" w:after="0" w:line="360" w:lineRule="auto"/>
        <w:ind w:left="420" w:leftChars="200"/>
        <w:rPr>
          <w:rFonts w:ascii="宋体" w:hAnsi="宋体" w:cs="宋体"/>
          <w:sz w:val="24"/>
        </w:rPr>
      </w:pPr>
      <w:bookmarkStart w:id="125" w:name="_26.组建评标委员会"/>
      <w:bookmarkEnd w:id="125"/>
      <w:r>
        <w:rPr>
          <w:rFonts w:hint="eastAsia" w:ascii="宋体" w:hAnsi="宋体" w:cs="宋体"/>
          <w:sz w:val="24"/>
        </w:rPr>
        <w:t>26.组建评标委员会</w:t>
      </w:r>
    </w:p>
    <w:p>
      <w:pPr>
        <w:pStyle w:val="26"/>
        <w:snapToGrid w:val="0"/>
        <w:spacing w:line="360" w:lineRule="auto"/>
        <w:ind w:firstLine="480" w:firstLineChars="200"/>
        <w:rPr>
          <w:rFonts w:hAnsi="宋体" w:cs="宋体"/>
          <w:sz w:val="24"/>
          <w:szCs w:val="24"/>
        </w:rPr>
      </w:pPr>
      <w:r>
        <w:rPr>
          <w:rFonts w:hint="eastAsia" w:hAnsi="宋体"/>
          <w:sz w:val="24"/>
          <w:szCs w:val="24"/>
        </w:rPr>
        <w:t>26.1</w:t>
      </w:r>
      <w:r>
        <w:rPr>
          <w:rFonts w:hint="eastAsia" w:hAnsi="宋体" w:cs="宋体"/>
          <w:sz w:val="24"/>
          <w:szCs w:val="24"/>
        </w:rPr>
        <w:t>评标委员会由采购人代表和评审专家组成，具体人数详见“投标人须知前附表”，其中评审专家不得少于成员总数的三分之二。</w:t>
      </w:r>
    </w:p>
    <w:p>
      <w:pPr>
        <w:pStyle w:val="26"/>
        <w:snapToGrid w:val="0"/>
        <w:spacing w:line="360" w:lineRule="auto"/>
        <w:ind w:left="2" w:leftChars="1" w:firstLine="480" w:firstLineChars="200"/>
      </w:pPr>
      <w:r>
        <w:rPr>
          <w:rFonts w:hint="eastAsia" w:hAnsi="宋体"/>
          <w:sz w:val="24"/>
          <w:szCs w:val="24"/>
        </w:rPr>
        <w:t>26.</w:t>
      </w:r>
      <w:r>
        <w:rPr>
          <w:rFonts w:hAnsi="宋体"/>
          <w:sz w:val="24"/>
          <w:szCs w:val="24"/>
        </w:rPr>
        <w:t>2</w:t>
      </w:r>
      <w:r>
        <w:rPr>
          <w:rFonts w:hint="eastAsia" w:hAnsi="宋体" w:cs="宋体"/>
          <w:sz w:val="24"/>
          <w:szCs w:val="24"/>
        </w:rPr>
        <w:t>参加过采购项目前期咨询论证的专家，不得参加该采购项目的评审活动。</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pPr>
        <w:pStyle w:val="26"/>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pPr>
        <w:pStyle w:val="26"/>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6"/>
        <w:snapToGrid w:val="0"/>
        <w:spacing w:line="360" w:lineRule="auto"/>
        <w:ind w:firstLine="480" w:firstLineChars="200"/>
        <w:rPr>
          <w:rFonts w:hAnsi="宋体" w:cs="宋体"/>
          <w:sz w:val="24"/>
          <w:szCs w:val="24"/>
        </w:rPr>
      </w:pPr>
      <w:r>
        <w:rPr>
          <w:rFonts w:hint="eastAsia" w:hAnsi="宋体" w:cs="宋体"/>
          <w:sz w:val="24"/>
          <w:szCs w:val="24"/>
        </w:rPr>
        <w:t>28.2</w:t>
      </w:r>
      <w:bookmarkStart w:id="126" w:name="_28.3评标方法。本项目将按须知前附表规定的评标办法进行评标，具体评标"/>
      <w:bookmarkEnd w:id="126"/>
      <w:r>
        <w:rPr>
          <w:rFonts w:hint="eastAsia" w:hAnsi="宋体" w:cs="宋体"/>
          <w:sz w:val="24"/>
          <w:szCs w:val="24"/>
        </w:rPr>
        <w:t>评委表决。评标委员会成员对需要共同认定的事项存在争议的，应当按照少数服从多数的原则作出结论。</w:t>
      </w:r>
    </w:p>
    <w:p>
      <w:pPr>
        <w:pStyle w:val="26"/>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6"/>
        <w:snapToGrid w:val="0"/>
        <w:spacing w:line="360" w:lineRule="auto"/>
        <w:ind w:firstLine="480" w:firstLineChars="200"/>
        <w:rPr>
          <w:rFonts w:hAnsi="宋体" w:cs="宋体"/>
          <w:sz w:val="24"/>
          <w:szCs w:val="24"/>
        </w:rPr>
      </w:pPr>
      <w:r>
        <w:rPr>
          <w:rFonts w:hint="eastAsia" w:hAnsi="宋体" w:cs="宋体"/>
          <w:sz w:val="24"/>
          <w:szCs w:val="24"/>
        </w:rPr>
        <w:t>28.4评标过程的监控。本项目评标过程实行网上留痕、全程录音、录像监控，</w:t>
      </w:r>
      <w:r>
        <w:rPr>
          <w:rFonts w:hint="eastAsia" w:hAnsi="宋体" w:cs="宋体"/>
          <w:b/>
          <w:bCs/>
          <w:sz w:val="24"/>
          <w:szCs w:val="24"/>
        </w:rPr>
        <w:t>投标人在评标过程中所进行的试图影响评标结果的不公正活动，可能导致其投标无效</w:t>
      </w:r>
      <w:r>
        <w:rPr>
          <w:rFonts w:hint="eastAsia" w:hAnsi="宋体" w:cs="宋体"/>
          <w:sz w:val="24"/>
          <w:szCs w:val="24"/>
        </w:rPr>
        <w:t>。</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29.评标方法及中标候选人推荐</w:t>
      </w:r>
    </w:p>
    <w:p>
      <w:pPr>
        <w:pStyle w:val="26"/>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pPr>
        <w:pStyle w:val="26"/>
        <w:snapToGrid w:val="0"/>
        <w:spacing w:line="360" w:lineRule="auto"/>
        <w:ind w:firstLine="480" w:firstLineChars="200"/>
        <w:rPr>
          <w:rFonts w:hAnsi="宋体" w:cs="宋体"/>
          <w:sz w:val="24"/>
          <w:szCs w:val="24"/>
        </w:rPr>
      </w:pPr>
      <w:r>
        <w:rPr>
          <w:rFonts w:hint="eastAsia" w:hAnsi="宋体" w:cs="宋体"/>
          <w:sz w:val="24"/>
          <w:szCs w:val="24"/>
        </w:rPr>
        <w:t>29.2 中标候选人推荐数量详见“投标人须知前附表”。</w:t>
      </w:r>
    </w:p>
    <w:p>
      <w:pPr>
        <w:pStyle w:val="26"/>
        <w:snapToGrid w:val="0"/>
        <w:spacing w:line="360" w:lineRule="auto"/>
        <w:ind w:firstLine="480" w:firstLineChars="200"/>
        <w:rPr>
          <w:rFonts w:hAnsi="宋体" w:cs="宋体"/>
          <w:sz w:val="24"/>
          <w:szCs w:val="24"/>
        </w:rPr>
      </w:pPr>
      <w:r>
        <w:rPr>
          <w:rFonts w:hint="eastAsia" w:hAnsi="宋体" w:cs="宋体"/>
          <w:sz w:val="24"/>
          <w:szCs w:val="24"/>
        </w:rPr>
        <w:t>29.3评标委员会将按照“第四章 评标方法和评标标准”规定的方法、评审因素、标准和程序对投标文件进行评审。</w:t>
      </w:r>
    </w:p>
    <w:p>
      <w:pPr>
        <w:pStyle w:val="26"/>
        <w:snapToGrid w:val="0"/>
        <w:spacing w:line="360" w:lineRule="auto"/>
        <w:ind w:firstLine="480" w:firstLineChars="200"/>
        <w:rPr>
          <w:rFonts w:hAnsi="宋体" w:cs="宋体"/>
          <w:sz w:val="24"/>
          <w:szCs w:val="24"/>
        </w:rPr>
      </w:pPr>
      <w:r>
        <w:rPr>
          <w:rFonts w:hint="eastAsia" w:hAnsi="宋体" w:cs="宋体"/>
          <w:sz w:val="24"/>
          <w:szCs w:val="24"/>
        </w:rPr>
        <w:t>29.4电子交易活动的中止。采购过程中出现以下情形，导致电子交易平台无法正常运行，或者无法保证电子交易的公平、公正和安全时，采购代理机构可中止电子交易活动：</w:t>
      </w:r>
    </w:p>
    <w:p>
      <w:pPr>
        <w:pStyle w:val="26"/>
        <w:snapToGrid w:val="0"/>
        <w:spacing w:line="360" w:lineRule="auto"/>
        <w:ind w:firstLine="480" w:firstLineChars="200"/>
        <w:rPr>
          <w:rFonts w:hAnsi="宋体" w:cs="宋体"/>
          <w:sz w:val="24"/>
          <w:szCs w:val="24"/>
        </w:rPr>
      </w:pPr>
      <w:r>
        <w:rPr>
          <w:rFonts w:hint="eastAsia" w:hAnsi="宋体" w:cs="宋体"/>
          <w:sz w:val="24"/>
          <w:szCs w:val="24"/>
        </w:rPr>
        <w:t xml:space="preserve">（1）电子交易平台发生故障而无法登录访问的； </w:t>
      </w:r>
    </w:p>
    <w:p>
      <w:pPr>
        <w:pStyle w:val="26"/>
        <w:snapToGrid w:val="0"/>
        <w:spacing w:line="360" w:lineRule="auto"/>
        <w:ind w:firstLine="480" w:firstLineChars="200"/>
        <w:rPr>
          <w:rFonts w:hAnsi="宋体" w:cs="宋体"/>
          <w:sz w:val="24"/>
          <w:szCs w:val="24"/>
        </w:rPr>
      </w:pPr>
      <w:r>
        <w:rPr>
          <w:rFonts w:hint="eastAsia" w:hAnsi="宋体" w:cs="宋体"/>
          <w:sz w:val="24"/>
          <w:szCs w:val="24"/>
        </w:rPr>
        <w:t>（2）电子交易平台应用或数据库出现错误，不能进行正常操作的；</w:t>
      </w:r>
    </w:p>
    <w:p>
      <w:pPr>
        <w:pStyle w:val="26"/>
        <w:snapToGrid w:val="0"/>
        <w:spacing w:line="360" w:lineRule="auto"/>
        <w:ind w:firstLine="480" w:firstLineChars="200"/>
        <w:rPr>
          <w:rFonts w:hAnsi="宋体" w:cs="宋体"/>
          <w:sz w:val="24"/>
          <w:szCs w:val="24"/>
        </w:rPr>
      </w:pPr>
      <w:r>
        <w:rPr>
          <w:rFonts w:hint="eastAsia" w:hAnsi="宋体" w:cs="宋体"/>
          <w:sz w:val="24"/>
          <w:szCs w:val="24"/>
        </w:rPr>
        <w:t>（3）电子交易平台发现严重安全漏洞，有潜在泄密危险的；</w:t>
      </w:r>
    </w:p>
    <w:p>
      <w:pPr>
        <w:pStyle w:val="26"/>
        <w:snapToGrid w:val="0"/>
        <w:spacing w:line="360" w:lineRule="auto"/>
        <w:ind w:firstLine="480" w:firstLineChars="200"/>
        <w:rPr>
          <w:rFonts w:hAnsi="宋体" w:cs="宋体"/>
          <w:sz w:val="24"/>
          <w:szCs w:val="24"/>
        </w:rPr>
      </w:pPr>
      <w:r>
        <w:rPr>
          <w:rFonts w:hint="eastAsia" w:hAnsi="宋体" w:cs="宋体"/>
          <w:sz w:val="24"/>
          <w:szCs w:val="24"/>
        </w:rPr>
        <w:t xml:space="preserve">（4）病毒发作导致不能进行正常操作的； </w:t>
      </w:r>
    </w:p>
    <w:p>
      <w:pPr>
        <w:pStyle w:val="26"/>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）其他无法保证电子交易的公平、公正和安全的情况。</w:t>
      </w:r>
    </w:p>
    <w:p>
      <w:pPr>
        <w:pStyle w:val="26"/>
        <w:snapToGrid w:val="0"/>
        <w:spacing w:line="360" w:lineRule="auto"/>
        <w:ind w:firstLine="480" w:firstLineChars="200"/>
        <w:rPr>
          <w:rFonts w:hAnsi="宋体" w:cs="宋体"/>
          <w:sz w:val="24"/>
          <w:szCs w:val="24"/>
        </w:rPr>
      </w:pPr>
      <w:r>
        <w:rPr>
          <w:rFonts w:hint="eastAsia" w:hAnsi="宋体" w:cs="宋体"/>
          <w:sz w:val="24"/>
          <w:szCs w:val="24"/>
        </w:rPr>
        <w:t>29.5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pPr>
        <w:pStyle w:val="26"/>
        <w:snapToGrid w:val="0"/>
        <w:spacing w:line="360" w:lineRule="auto"/>
        <w:rPr>
          <w:rFonts w:hAnsi="宋体" w:cs="宋体"/>
          <w:sz w:val="24"/>
          <w:szCs w:val="24"/>
        </w:rPr>
      </w:pPr>
    </w:p>
    <w:p>
      <w:pPr>
        <w:pStyle w:val="5"/>
        <w:keepNext w:val="0"/>
        <w:keepLines w:val="0"/>
        <w:jc w:val="center"/>
        <w:rPr>
          <w:rFonts w:ascii="宋体" w:hAnsi="宋体" w:cs="宋体"/>
        </w:rPr>
      </w:pPr>
      <w:bookmarkStart w:id="127" w:name="_Toc254970687"/>
      <w:bookmarkStart w:id="128" w:name="_Toc254970546"/>
      <w:r>
        <w:rPr>
          <w:rFonts w:hint="eastAsia" w:ascii="宋体" w:hAnsi="宋体" w:cs="宋体"/>
        </w:rPr>
        <w:t>七、</w:t>
      </w:r>
      <w:bookmarkEnd w:id="127"/>
      <w:bookmarkEnd w:id="128"/>
      <w:r>
        <w:rPr>
          <w:rFonts w:hint="eastAsia" w:ascii="宋体" w:hAnsi="宋体" w:cs="宋体"/>
        </w:rPr>
        <w:t>中标和合同</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30 确定中标人</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pPr>
        <w:snapToGrid w:val="0"/>
        <w:spacing w:line="360" w:lineRule="auto"/>
        <w:ind w:firstLine="480" w:firstLineChars="200"/>
        <w:rPr>
          <w:rFonts w:ascii="宋体" w:hAnsi="宋体" w:cs="宋体"/>
          <w:sz w:val="24"/>
        </w:rPr>
      </w:pPr>
      <w:r>
        <w:rPr>
          <w:rFonts w:hint="eastAsia" w:ascii="宋体" w:hAnsi="宋体" w:cs="宋体"/>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pPr>
        <w:pStyle w:val="17"/>
        <w:spacing w:after="120" w:line="360" w:lineRule="auto"/>
        <w:ind w:firstLine="480" w:firstLineChars="200"/>
      </w:pPr>
      <w:r>
        <w:rPr>
          <w:rFonts w:hint="eastAsia" w:ascii="宋体" w:hAnsi="宋体" w:cs="宋体"/>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31. 结果公告</w:t>
      </w:r>
    </w:p>
    <w:p>
      <w:pPr>
        <w:pStyle w:val="7"/>
        <w:keepNext w:val="0"/>
        <w:keepLines w:val="0"/>
        <w:spacing w:before="0" w:after="0" w:line="360" w:lineRule="auto"/>
        <w:ind w:firstLine="482" w:firstLineChars="200"/>
        <w:rPr>
          <w:rFonts w:ascii="宋体" w:hAnsi="宋体" w:cs="宋体"/>
          <w:sz w:val="24"/>
        </w:rPr>
      </w:pPr>
      <w:r>
        <w:rPr>
          <w:rFonts w:hint="eastAsia" w:ascii="宋体" w:hAnsi="宋体" w:cs="宋体"/>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33. 无义务解释未中标原因</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采购代理机构无义务向未中标的投标人解释未中标原因和退还投标文件。</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pPr>
        <w:pStyle w:val="7"/>
        <w:keepNext w:val="0"/>
        <w:keepLines w:val="0"/>
        <w:spacing w:before="0" w:after="0" w:line="360" w:lineRule="auto"/>
        <w:ind w:firstLine="360" w:firstLineChars="150"/>
        <w:rPr>
          <w:rFonts w:ascii="宋体" w:hAnsi="宋体" w:cs="宋体"/>
          <w:b w:val="0"/>
          <w:sz w:val="24"/>
        </w:rPr>
      </w:pPr>
      <w:bookmarkStart w:id="129" w:name="_39.1中标人须于签订合同前按本须知前附表规定的金额转账或电汇到指定账"/>
      <w:bookmarkEnd w:id="129"/>
      <w:r>
        <w:rPr>
          <w:rFonts w:hint="eastAsia" w:ascii="宋体" w:hAnsi="宋体" w:cs="宋体"/>
          <w:b w:val="0"/>
          <w:sz w:val="24"/>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7"/>
        <w:keepNext w:val="0"/>
        <w:keepLines w:val="0"/>
        <w:spacing w:before="0" w:after="0" w:line="360" w:lineRule="auto"/>
        <w:ind w:firstLine="361" w:firstLineChars="150"/>
        <w:rPr>
          <w:rFonts w:ascii="宋体" w:hAnsi="宋体" w:cs="宋体"/>
          <w:b w:val="0"/>
          <w:bCs/>
          <w:sz w:val="24"/>
        </w:rPr>
      </w:pPr>
      <w:r>
        <w:rPr>
          <w:rFonts w:hint="eastAsia" w:ascii="宋体" w:hAnsi="宋体" w:cs="宋体"/>
          <w:sz w:val="24"/>
        </w:rPr>
        <w:t xml:space="preserve"> </w:t>
      </w:r>
      <w:r>
        <w:rPr>
          <w:rFonts w:hint="eastAsia" w:ascii="宋体" w:hAnsi="宋体" w:cs="宋体"/>
          <w:b w:val="0"/>
          <w:bCs/>
          <w:sz w:val="24"/>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pPr>
        <w:pStyle w:val="7"/>
        <w:keepNext w:val="0"/>
        <w:keepLines w:val="0"/>
        <w:spacing w:before="0" w:after="0" w:line="360" w:lineRule="auto"/>
        <w:ind w:firstLine="360" w:firstLineChars="150"/>
        <w:rPr>
          <w:rFonts w:ascii="宋体" w:hAnsi="宋体" w:cs="宋体"/>
          <w:b w:val="0"/>
          <w:bCs/>
          <w:sz w:val="24"/>
        </w:rPr>
      </w:pPr>
      <w:bookmarkStart w:id="130" w:name="_40.1投标人接到中标通知书后，按须知前附表规定向采购人出示相关资格证"/>
      <w:bookmarkEnd w:id="130"/>
      <w:r>
        <w:rPr>
          <w:rFonts w:hint="eastAsia" w:ascii="宋体" w:hAnsi="宋体" w:cs="宋体"/>
          <w:b w:val="0"/>
          <w:sz w:val="24"/>
        </w:rPr>
        <w:t xml:space="preserve"> 36.1中标人在</w:t>
      </w:r>
      <w:r>
        <w:rPr>
          <w:rFonts w:ascii="宋体" w:hAnsi="宋体" w:cs="宋体"/>
          <w:b w:val="0"/>
          <w:sz w:val="24"/>
        </w:rPr>
        <w:t>中标通知书发出之日起</w:t>
      </w:r>
      <w:r>
        <w:rPr>
          <w:rFonts w:hint="eastAsia" w:ascii="宋体" w:hAnsi="宋体" w:cs="宋体"/>
          <w:b w:val="0"/>
          <w:sz w:val="24"/>
        </w:rPr>
        <w:t>，按“投标人须知前附表”规定向采购人出示相关证明材料，经采购人核验合格后方可签订采购合同（书面或电子）。</w:t>
      </w:r>
      <w:r>
        <w:rPr>
          <w:rFonts w:hint="eastAsia" w:ascii="宋体" w:hAnsi="宋体" w:cs="宋体"/>
          <w:b w:val="0"/>
          <w:bCs/>
          <w:sz w:val="24"/>
        </w:rPr>
        <w:t>如中标人为联合体的，联合体各方应当共同与采购人签订采购合同，就采购合同约定的事项对采购人承担连带责任。</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36.2签订合同时间：按中标通知书规定的时间与采购人签订合同（最长不能超过25日）。</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36.3中标人拒绝与采购人签订合同的，按照本文件之《投标人须知正文》第30.4条的规定执行。</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6.4</w:t>
      </w:r>
      <w:r>
        <w:rPr>
          <w:rFonts w:hint="eastAsia" w:ascii="宋体" w:hAnsi="宋体" w:cs="宋体"/>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6.5 </w:t>
      </w:r>
      <w:r>
        <w:rPr>
          <w:rFonts w:hint="eastAsia" w:ascii="宋体" w:hAnsi="宋体" w:cs="宋体"/>
          <w:b w:val="0"/>
          <w:sz w:val="24"/>
        </w:rPr>
        <w:t>采购人或中标人不得单方面向合同另一方提出任何招标文件没有约定的条件或不合理的要求，作为签订合同的条件；也不得协商另行订立背离招标文件和合同实质性内容的协议。</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6.6 </w:t>
      </w:r>
      <w:r>
        <w:rPr>
          <w:rFonts w:hint="eastAsia" w:ascii="宋体" w:hAnsi="宋体" w:cs="宋体"/>
          <w:b w:val="0"/>
          <w:sz w:val="24"/>
        </w:rPr>
        <w:t>如签订合同并生效后，供应商无故拒绝或延期，除按照合同条款处理外，将承担相应的法律责任。</w:t>
      </w:r>
    </w:p>
    <w:p>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6.7 </w:t>
      </w:r>
      <w:r>
        <w:rPr>
          <w:rFonts w:hint="eastAsia" w:ascii="宋体" w:hAnsi="宋体" w:cs="宋体"/>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hint="eastAsia" w:ascii="宋体" w:hAnsi="宋体" w:cs="宋体"/>
          <w:b w:val="0"/>
          <w:sz w:val="24"/>
        </w:rPr>
        <w:t>%。</w:t>
      </w:r>
    </w:p>
    <w:p>
      <w:pPr>
        <w:pStyle w:val="7"/>
        <w:keepNext w:val="0"/>
        <w:keepLines w:val="0"/>
        <w:spacing w:before="0" w:after="0" w:line="360" w:lineRule="auto"/>
        <w:ind w:left="420" w:leftChars="200"/>
        <w:rPr>
          <w:rFonts w:ascii="宋体" w:hAnsi="宋体" w:cs="宋体"/>
          <w:sz w:val="24"/>
        </w:rPr>
      </w:pPr>
      <w:bookmarkStart w:id="131" w:name="_41.政府采购合同公告"/>
      <w:bookmarkEnd w:id="131"/>
      <w:r>
        <w:rPr>
          <w:rFonts w:hint="eastAsia" w:ascii="宋体" w:hAnsi="宋体" w:cs="宋体"/>
          <w:sz w:val="24"/>
        </w:rPr>
        <w:t>37.政府采购合同公告</w:t>
      </w:r>
    </w:p>
    <w:p>
      <w:pPr>
        <w:pStyle w:val="26"/>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38. 询问、质疑和投诉</w:t>
      </w:r>
    </w:p>
    <w:p>
      <w:pPr>
        <w:pStyle w:val="8"/>
        <w:spacing w:line="360" w:lineRule="auto"/>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6"/>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pPr>
        <w:pStyle w:val="26"/>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pPr>
        <w:pStyle w:val="26"/>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pPr>
        <w:pStyle w:val="7"/>
        <w:keepNext w:val="0"/>
        <w:keepLines w:val="0"/>
        <w:spacing w:before="0" w:after="0" w:line="360" w:lineRule="auto"/>
        <w:ind w:firstLine="360" w:firstLineChars="150"/>
        <w:rPr>
          <w:rFonts w:ascii="宋体" w:hAnsi="宋体" w:cs="宋体"/>
          <w:bCs/>
          <w:sz w:val="24"/>
        </w:rPr>
      </w:pPr>
      <w:r>
        <w:rPr>
          <w:rFonts w:hint="eastAsia" w:ascii="宋体" w:hAnsi="宋体" w:cs="宋体"/>
          <w:b w:val="0"/>
          <w:sz w:val="24"/>
        </w:rPr>
        <w:t xml:space="preserve">38.3 </w:t>
      </w:r>
      <w:r>
        <w:rPr>
          <w:rFonts w:hint="eastAsia" w:ascii="宋体" w:hAnsi="宋体" w:cs="宋体"/>
          <w:bCs/>
          <w:sz w:val="24"/>
        </w:rPr>
        <w:t>供应商提出质疑应当提交质疑函和必要的证明材料，针对同一采购程序环节的质疑必须在法定质疑期内一次性提出。</w:t>
      </w:r>
    </w:p>
    <w:p>
      <w:pPr>
        <w:pStyle w:val="26"/>
        <w:snapToGrid w:val="0"/>
        <w:spacing w:line="360" w:lineRule="auto"/>
        <w:ind w:firstLine="480" w:firstLineChars="200"/>
        <w:rPr>
          <w:rFonts w:hAnsi="宋体" w:cs="宋体"/>
          <w:sz w:val="24"/>
          <w:szCs w:val="24"/>
        </w:rPr>
      </w:pPr>
      <w:r>
        <w:rPr>
          <w:rFonts w:hint="eastAsia" w:hAnsi="宋体" w:cs="宋体"/>
          <w:sz w:val="24"/>
          <w:szCs w:val="24"/>
        </w:rPr>
        <w:t>38.3.1 质疑供应商提起质疑应当符合下列条件：</w:t>
      </w:r>
    </w:p>
    <w:p>
      <w:pPr>
        <w:pStyle w:val="26"/>
        <w:snapToGrid w:val="0"/>
        <w:spacing w:line="360" w:lineRule="auto"/>
        <w:ind w:firstLine="480" w:firstLineChars="200"/>
        <w:rPr>
          <w:rFonts w:hAnsi="宋体" w:cs="宋体"/>
          <w:sz w:val="24"/>
          <w:szCs w:val="24"/>
        </w:rPr>
      </w:pPr>
      <w:r>
        <w:rPr>
          <w:rFonts w:hint="eastAsia" w:hAnsi="宋体" w:cs="宋体"/>
          <w:sz w:val="24"/>
          <w:szCs w:val="24"/>
        </w:rPr>
        <w:t>（1）质疑供应商是参与所质疑项目采购活动的供应商（潜在供应商已依法获取可质疑的采购文件的，可以对该采购文件质疑）；</w:t>
      </w:r>
    </w:p>
    <w:p>
      <w:pPr>
        <w:pStyle w:val="26"/>
        <w:snapToGrid w:val="0"/>
        <w:spacing w:line="360" w:lineRule="auto"/>
        <w:ind w:firstLine="480" w:firstLineChars="200"/>
        <w:rPr>
          <w:rFonts w:hAnsi="宋体" w:cs="宋体"/>
          <w:sz w:val="24"/>
          <w:szCs w:val="24"/>
        </w:rPr>
      </w:pPr>
      <w:r>
        <w:rPr>
          <w:rFonts w:hint="eastAsia" w:hAnsi="宋体" w:cs="宋体"/>
          <w:sz w:val="24"/>
          <w:szCs w:val="24"/>
        </w:rPr>
        <w:t>（2）质疑函内容符合本章第38.3.2项的规定；</w:t>
      </w:r>
    </w:p>
    <w:p>
      <w:pPr>
        <w:pStyle w:val="26"/>
        <w:snapToGrid w:val="0"/>
        <w:spacing w:line="360" w:lineRule="auto"/>
        <w:ind w:firstLine="480" w:firstLineChars="200"/>
        <w:rPr>
          <w:rFonts w:hAnsi="宋体" w:cs="宋体"/>
          <w:sz w:val="24"/>
          <w:szCs w:val="24"/>
        </w:rPr>
      </w:pPr>
      <w:r>
        <w:rPr>
          <w:rFonts w:hint="eastAsia" w:hAnsi="宋体" w:cs="宋体"/>
          <w:sz w:val="24"/>
          <w:szCs w:val="24"/>
        </w:rPr>
        <w:t>（3）在质疑有效期限内提起质疑；</w:t>
      </w:r>
    </w:p>
    <w:p>
      <w:pPr>
        <w:pStyle w:val="26"/>
        <w:snapToGrid w:val="0"/>
        <w:spacing w:line="360" w:lineRule="auto"/>
        <w:ind w:firstLine="480" w:firstLineChars="200"/>
        <w:rPr>
          <w:rFonts w:hAnsi="宋体" w:cs="宋体"/>
          <w:sz w:val="24"/>
          <w:szCs w:val="24"/>
        </w:rPr>
      </w:pPr>
      <w:r>
        <w:rPr>
          <w:rFonts w:hint="eastAsia" w:hAnsi="宋体" w:cs="宋体"/>
          <w:sz w:val="24"/>
          <w:szCs w:val="24"/>
        </w:rPr>
        <w:t xml:space="preserve">（4）属于所质疑的采购人或采购人委托的采购代理机构组织的采购活动； </w:t>
      </w:r>
    </w:p>
    <w:p>
      <w:pPr>
        <w:pStyle w:val="26"/>
        <w:snapToGrid w:val="0"/>
        <w:spacing w:line="360" w:lineRule="auto"/>
        <w:ind w:firstLine="480" w:firstLineChars="200"/>
        <w:rPr>
          <w:rFonts w:hAnsi="宋体" w:cs="宋体"/>
          <w:sz w:val="24"/>
          <w:szCs w:val="24"/>
        </w:rPr>
      </w:pPr>
      <w:r>
        <w:rPr>
          <w:rFonts w:hint="eastAsia" w:hAnsi="宋体" w:cs="宋体"/>
          <w:sz w:val="24"/>
          <w:szCs w:val="24"/>
        </w:rPr>
        <w:t>（5）供应商对同一采购程序环节的质疑应当在质疑有效期内一次性提出；</w:t>
      </w:r>
    </w:p>
    <w:p>
      <w:pPr>
        <w:pStyle w:val="26"/>
        <w:snapToGrid w:val="0"/>
        <w:spacing w:line="360" w:lineRule="auto"/>
        <w:ind w:firstLine="480" w:firstLineChars="200"/>
        <w:rPr>
          <w:rFonts w:hAnsi="宋体" w:cs="宋体"/>
          <w:sz w:val="24"/>
          <w:szCs w:val="24"/>
        </w:rPr>
      </w:pPr>
      <w:r>
        <w:rPr>
          <w:rFonts w:hint="eastAsia" w:hAnsi="宋体" w:cs="宋体"/>
          <w:sz w:val="24"/>
          <w:szCs w:val="24"/>
        </w:rPr>
        <w:t>（6）供应商提交质疑应当提交必要的证明材料，证明材料应以合法手段取得；</w:t>
      </w:r>
    </w:p>
    <w:p>
      <w:pPr>
        <w:pStyle w:val="26"/>
        <w:snapToGrid w:val="0"/>
        <w:spacing w:line="360" w:lineRule="auto"/>
        <w:ind w:firstLine="480" w:firstLineChars="200"/>
        <w:rPr>
          <w:rFonts w:hAnsi="宋体" w:cs="宋体"/>
          <w:sz w:val="24"/>
          <w:szCs w:val="24"/>
        </w:rPr>
      </w:pPr>
      <w:r>
        <w:rPr>
          <w:rFonts w:hint="eastAsia" w:hAnsi="宋体" w:cs="宋体"/>
          <w:sz w:val="24"/>
          <w:szCs w:val="24"/>
        </w:rPr>
        <w:t>（7）财政部门规定的其他条件。</w:t>
      </w:r>
    </w:p>
    <w:p>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kern w:val="0"/>
          <w:sz w:val="24"/>
        </w:rPr>
        <w:t>38.3.2</w:t>
      </w:r>
      <w:r>
        <w:rPr>
          <w:rFonts w:hint="eastAsia" w:ascii="宋体" w:hAnsi="宋体" w:cs="宋体"/>
          <w:kern w:val="0"/>
          <w:sz w:val="24"/>
        </w:rPr>
        <w:t>质</w:t>
      </w:r>
      <w:r>
        <w:rPr>
          <w:rFonts w:hint="eastAsia" w:ascii="宋体" w:hAnsi="宋体" w:cs="宋体"/>
          <w:bCs/>
          <w:sz w:val="24"/>
        </w:rPr>
        <w:t>疑函应当包括下列内容（质疑函格式后附）：</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（4）事实依据；</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80" w:firstLineChars="200"/>
        <w:rPr>
          <w:rFonts w:ascii="宋体" w:hAnsi="宋体" w:cs="宋体"/>
          <w:b w:val="0"/>
          <w:bCs/>
          <w:sz w:val="24"/>
        </w:rPr>
      </w:pPr>
      <w:r>
        <w:rPr>
          <w:rFonts w:hint="eastAsia" w:ascii="宋体" w:hAnsi="宋体" w:cs="宋体"/>
          <w:b w:val="0"/>
          <w:sz w:val="24"/>
        </w:rPr>
        <w:t>3</w:t>
      </w:r>
      <w:r>
        <w:rPr>
          <w:rFonts w:hint="eastAsia" w:ascii="宋体" w:hAnsi="宋体" w:cs="宋体"/>
          <w:b w:val="0"/>
          <w:bCs/>
          <w:sz w:val="24"/>
        </w:rPr>
        <w:t>8.4采购人、采购代理机构认为供应商质疑不成立，或者成立但未对中标结果构成影响的，继续开展采购活动；认为供应商质疑成立且影响或者可能影响中标结果的，按照下列情况处理：</w:t>
      </w:r>
    </w:p>
    <w:p>
      <w:pPr>
        <w:pStyle w:val="26"/>
        <w:snapToGrid w:val="0"/>
        <w:spacing w:line="360" w:lineRule="auto"/>
        <w:rPr>
          <w:rFonts w:hAnsi="宋体" w:cs="宋体"/>
          <w:bCs/>
          <w:sz w:val="24"/>
          <w:szCs w:val="24"/>
        </w:rPr>
      </w:pPr>
      <w:r>
        <w:rPr>
          <w:rFonts w:hint="eastAsia" w:hAnsi="宋体" w:cs="宋体"/>
          <w:bCs/>
          <w:sz w:val="24"/>
          <w:szCs w:val="24"/>
        </w:rPr>
        <w:t>　　（1）对招标文件提出的质疑，依法通过澄清或者修改可以继续开展采购活动的，澄清或者修改招标文件后继续开展采购活动；否则应当修改招标文件后重新开展采购活动。</w:t>
      </w:r>
    </w:p>
    <w:p>
      <w:pPr>
        <w:pStyle w:val="26"/>
        <w:snapToGrid w:val="0"/>
        <w:spacing w:line="360" w:lineRule="auto"/>
        <w:rPr>
          <w:rFonts w:hAnsi="宋体" w:cs="宋体"/>
          <w:bCs/>
          <w:sz w:val="24"/>
          <w:szCs w:val="24"/>
        </w:rPr>
      </w:pPr>
      <w:r>
        <w:rPr>
          <w:rFonts w:hint="eastAsia" w:hAnsi="宋体" w:cs="宋体"/>
          <w:bCs/>
          <w:sz w:val="24"/>
          <w:szCs w:val="24"/>
        </w:rPr>
        <w:t>　　（2）对采购过程、中标结果提出的质疑，合格供应商符合法定数量时，可以从合格的中标候选人中另行确定中标供应商的，应当依法另行确定中标供应商；否则应当重新开展采购活动。</w:t>
      </w:r>
    </w:p>
    <w:p>
      <w:pPr>
        <w:pStyle w:val="26"/>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pPr>
        <w:pStyle w:val="26"/>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2" w:name="_八、其他事项"/>
      <w:bookmarkEnd w:id="132"/>
    </w:p>
    <w:p>
      <w:pPr>
        <w:pStyle w:val="26"/>
        <w:snapToGrid w:val="0"/>
        <w:spacing w:line="360" w:lineRule="auto"/>
        <w:ind w:firstLine="480" w:firstLineChars="200"/>
        <w:rPr>
          <w:rFonts w:hAnsi="宋体" w:cs="宋体"/>
          <w:sz w:val="24"/>
          <w:szCs w:val="24"/>
        </w:rPr>
      </w:pPr>
    </w:p>
    <w:p>
      <w:pPr>
        <w:pStyle w:val="5"/>
        <w:keepNext w:val="0"/>
        <w:keepLines w:val="0"/>
        <w:jc w:val="center"/>
        <w:rPr>
          <w:rFonts w:ascii="宋体" w:hAnsi="宋体" w:cs="宋体"/>
        </w:rPr>
      </w:pPr>
      <w:r>
        <w:rPr>
          <w:rFonts w:hint="eastAsia" w:ascii="宋体" w:hAnsi="宋体" w:cs="宋体"/>
        </w:rPr>
        <w:t>八、其他事项</w:t>
      </w:r>
    </w:p>
    <w:p>
      <w:pPr>
        <w:pStyle w:val="7"/>
        <w:keepNext w:val="0"/>
        <w:keepLines w:val="0"/>
        <w:spacing w:before="0" w:after="0" w:line="360" w:lineRule="auto"/>
        <w:ind w:left="420" w:leftChars="200"/>
        <w:rPr>
          <w:rFonts w:ascii="宋体" w:hAnsi="宋体" w:cs="宋体"/>
          <w:sz w:val="24"/>
        </w:rPr>
      </w:pPr>
      <w:bookmarkStart w:id="133" w:name="_42.代理服务费"/>
      <w:bookmarkEnd w:id="133"/>
      <w:r>
        <w:rPr>
          <w:rFonts w:hint="eastAsia" w:ascii="宋体" w:hAnsi="宋体" w:cs="宋体"/>
          <w:sz w:val="24"/>
        </w:rPr>
        <w:t>39.代理服务费</w:t>
      </w:r>
    </w:p>
    <w:p>
      <w:pPr>
        <w:pStyle w:val="26"/>
        <w:snapToGrid w:val="0"/>
        <w:spacing w:line="360" w:lineRule="auto"/>
        <w:ind w:firstLine="480" w:firstLineChars="200"/>
        <w:rPr>
          <w:rFonts w:hAnsi="宋体" w:cs="宋体"/>
          <w:sz w:val="24"/>
          <w:szCs w:val="24"/>
        </w:rPr>
      </w:pPr>
      <w:r>
        <w:rPr>
          <w:rFonts w:hint="eastAsia" w:hAnsi="宋体" w:cs="宋体"/>
          <w:sz w:val="24"/>
          <w:szCs w:val="24"/>
        </w:rPr>
        <w:t>39.1代理服务收取标准及缴费账户详见“投标人须知前附表”，投标人为联合体的，可以由联合体中的一方或者多方共同交纳代理服务费。</w:t>
      </w:r>
    </w:p>
    <w:p>
      <w:pPr>
        <w:pStyle w:val="26"/>
        <w:snapToGrid w:val="0"/>
        <w:spacing w:line="360" w:lineRule="auto"/>
        <w:ind w:firstLine="480" w:firstLineChars="200"/>
        <w:rPr>
          <w:rFonts w:hAnsi="宋体" w:cs="宋体"/>
          <w:sz w:val="24"/>
          <w:szCs w:val="24"/>
        </w:rPr>
      </w:pPr>
      <w:r>
        <w:rPr>
          <w:rFonts w:hint="eastAsia" w:hAnsi="宋体" w:cs="宋体"/>
          <w:sz w:val="24"/>
          <w:szCs w:val="24"/>
        </w:rPr>
        <w:t>39.2代理服务收费标准：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sz w:val="24"/>
              </w:rPr>
            </w:pPr>
            <w:r>
              <w:rPr>
                <w:rFonts w:hint="eastAsia" w:ascii="宋体" w:hAnsi="宋体" w:cs="宋体"/>
                <w:sz w:val="24"/>
              </w:rPr>
              <w:t xml:space="preserve">               费率</w:t>
            </w:r>
          </w:p>
          <w:p>
            <w:pPr>
              <w:spacing w:line="360" w:lineRule="auto"/>
              <w:rPr>
                <w:rFonts w:ascii="宋体" w:hAnsi="宋体" w:cs="宋体"/>
                <w:sz w:val="24"/>
              </w:rPr>
            </w:pPr>
            <w:r>
              <w:rPr>
                <w:rFonts w:hint="eastAsia" w:ascii="宋体" w:hAnsi="宋体" w:cs="宋体"/>
                <w:sz w:val="24"/>
              </w:rPr>
              <w:t>中标金额（人民币）</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货物招标</w:t>
            </w:r>
          </w:p>
        </w:tc>
        <w:tc>
          <w:tcPr>
            <w:tcW w:w="1687"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659"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100万元以下</w:t>
            </w:r>
          </w:p>
        </w:tc>
        <w:tc>
          <w:tcPr>
            <w:tcW w:w="1659" w:type="dxa"/>
            <w:vAlign w:val="center"/>
          </w:tcPr>
          <w:p>
            <w:pPr>
              <w:spacing w:line="360" w:lineRule="auto"/>
              <w:jc w:val="center"/>
              <w:rPr>
                <w:rFonts w:ascii="宋体" w:hAnsi="宋体" w:cs="宋体"/>
                <w:sz w:val="24"/>
              </w:rPr>
            </w:pPr>
            <w:r>
              <w:rPr>
                <w:rFonts w:hint="eastAsia" w:ascii="宋体" w:hAnsi="宋体" w:cs="宋体"/>
                <w:kern w:val="0"/>
                <w:sz w:val="24"/>
              </w:rPr>
              <w:t>1.5%</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1.5%</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100～500万元</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1.1%</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0.8%</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500～1000万元</w:t>
            </w:r>
          </w:p>
        </w:tc>
        <w:tc>
          <w:tcPr>
            <w:tcW w:w="1659" w:type="dxa"/>
            <w:vAlign w:val="center"/>
          </w:tcPr>
          <w:p>
            <w:pPr>
              <w:spacing w:line="360" w:lineRule="auto"/>
              <w:jc w:val="center"/>
              <w:rPr>
                <w:rFonts w:ascii="宋体" w:hAnsi="宋体" w:cs="宋体"/>
                <w:sz w:val="24"/>
              </w:rPr>
            </w:pPr>
            <w:r>
              <w:rPr>
                <w:rFonts w:hint="eastAsia" w:ascii="宋体" w:hAnsi="宋体" w:cs="宋体"/>
                <w:kern w:val="0"/>
                <w:sz w:val="24"/>
              </w:rPr>
              <w:t>0.8%</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0.45%</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1000～5000万元</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0.5%</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0.25%</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5000万元～1亿元</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0.25%</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0.1%</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1～5亿元</w:t>
            </w:r>
          </w:p>
        </w:tc>
        <w:tc>
          <w:tcPr>
            <w:tcW w:w="1659"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0.05%</w:t>
            </w:r>
          </w:p>
        </w:tc>
        <w:tc>
          <w:tcPr>
            <w:tcW w:w="1687" w:type="dxa"/>
            <w:vAlign w:val="center"/>
          </w:tcPr>
          <w:p>
            <w:pPr>
              <w:spacing w:line="360" w:lineRule="auto"/>
              <w:jc w:val="center"/>
              <w:rPr>
                <w:rFonts w:ascii="宋体" w:hAnsi="宋体" w:cs="宋体"/>
                <w:sz w:val="24"/>
              </w:rPr>
            </w:pPr>
            <w:r>
              <w:rPr>
                <w:rFonts w:hint="eastAsia" w:ascii="宋体" w:hAnsi="宋体" w:cs="宋体"/>
                <w:sz w:val="24"/>
              </w:rPr>
              <w:t>0.05%</w:t>
            </w:r>
          </w:p>
        </w:tc>
        <w:tc>
          <w:tcPr>
            <w:tcW w:w="1659" w:type="dxa"/>
            <w:vAlign w:val="center"/>
          </w:tcPr>
          <w:p>
            <w:pPr>
              <w:spacing w:line="360" w:lineRule="auto"/>
              <w:jc w:val="center"/>
              <w:rPr>
                <w:rFonts w:ascii="宋体" w:hAnsi="宋体" w:cs="宋体"/>
                <w:sz w:val="24"/>
              </w:rPr>
            </w:pPr>
            <w:r>
              <w:rPr>
                <w:rFonts w:hint="eastAsia" w:ascii="宋体"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5～10亿元</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0.035%</w:t>
            </w:r>
          </w:p>
        </w:tc>
        <w:tc>
          <w:tcPr>
            <w:tcW w:w="1687" w:type="dxa"/>
            <w:vAlign w:val="center"/>
          </w:tcPr>
          <w:p>
            <w:pPr>
              <w:spacing w:line="360" w:lineRule="auto"/>
              <w:jc w:val="center"/>
              <w:rPr>
                <w:rFonts w:ascii="宋体" w:hAnsi="宋体" w:cs="宋体"/>
                <w:sz w:val="24"/>
              </w:rPr>
            </w:pPr>
            <w:r>
              <w:rPr>
                <w:rFonts w:hint="eastAsia" w:ascii="宋体" w:hAnsi="宋体" w:cs="宋体"/>
                <w:sz w:val="24"/>
              </w:rPr>
              <w:t>0.035%</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10～50亿元</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0.008%</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0.008%</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50～100亿元</w:t>
            </w:r>
          </w:p>
        </w:tc>
        <w:tc>
          <w:tcPr>
            <w:tcW w:w="1659" w:type="dxa"/>
            <w:vAlign w:val="center"/>
          </w:tcPr>
          <w:p>
            <w:pPr>
              <w:spacing w:line="360" w:lineRule="auto"/>
              <w:jc w:val="center"/>
              <w:rPr>
                <w:rFonts w:ascii="宋体" w:hAnsi="宋体" w:cs="宋体"/>
                <w:sz w:val="24"/>
              </w:rPr>
            </w:pPr>
            <w:r>
              <w:rPr>
                <w:rFonts w:hint="eastAsia" w:ascii="宋体" w:hAnsi="宋体" w:cs="宋体"/>
                <w:sz w:val="24"/>
              </w:rPr>
              <w:t>0.006%</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0.006%</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pPr>
              <w:spacing w:line="360" w:lineRule="auto"/>
              <w:jc w:val="center"/>
              <w:rPr>
                <w:rFonts w:ascii="宋体" w:hAnsi="宋体" w:cs="宋体"/>
                <w:sz w:val="24"/>
              </w:rPr>
            </w:pPr>
            <w:r>
              <w:rPr>
                <w:rFonts w:hint="eastAsia" w:ascii="宋体" w:hAnsi="宋体" w:cs="宋体"/>
                <w:sz w:val="24"/>
              </w:rPr>
              <w:t>100亿元以上</w:t>
            </w:r>
          </w:p>
        </w:tc>
        <w:tc>
          <w:tcPr>
            <w:tcW w:w="1659" w:type="dxa"/>
            <w:vAlign w:val="center"/>
          </w:tcPr>
          <w:p>
            <w:pPr>
              <w:spacing w:line="360" w:lineRule="auto"/>
              <w:jc w:val="center"/>
              <w:rPr>
                <w:rFonts w:ascii="宋体" w:hAnsi="宋体" w:cs="宋体"/>
                <w:sz w:val="24"/>
              </w:rPr>
            </w:pPr>
            <w:r>
              <w:rPr>
                <w:rFonts w:hint="eastAsia" w:ascii="宋体" w:hAnsi="宋体" w:cs="宋体"/>
                <w:sz w:val="24"/>
              </w:rPr>
              <w:t>0.004%</w:t>
            </w:r>
          </w:p>
        </w:tc>
        <w:tc>
          <w:tcPr>
            <w:tcW w:w="1687"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0.004%</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0.004%</w:t>
            </w:r>
          </w:p>
        </w:tc>
      </w:tr>
    </w:tbl>
    <w:p>
      <w:pPr>
        <w:spacing w:line="360" w:lineRule="auto"/>
        <w:ind w:firstLine="482" w:firstLineChars="200"/>
        <w:rPr>
          <w:rFonts w:ascii="楷体" w:hAnsi="楷体" w:eastAsia="楷体" w:cs="宋体"/>
          <w:b/>
          <w:sz w:val="24"/>
        </w:rPr>
      </w:pPr>
      <w:r>
        <w:rPr>
          <w:rFonts w:hint="eastAsia" w:ascii="楷体" w:hAnsi="楷体" w:eastAsia="楷体" w:cs="宋体"/>
          <w:b/>
          <w:sz w:val="24"/>
        </w:rPr>
        <w:t xml:space="preserve">注： </w:t>
      </w:r>
    </w:p>
    <w:p>
      <w:pPr>
        <w:spacing w:line="360" w:lineRule="auto"/>
        <w:ind w:firstLine="480" w:firstLineChars="200"/>
        <w:rPr>
          <w:rFonts w:ascii="楷体" w:hAnsi="楷体" w:eastAsia="楷体" w:cs="宋体"/>
          <w:sz w:val="24"/>
        </w:rPr>
      </w:pPr>
      <w:r>
        <w:rPr>
          <w:rFonts w:hint="eastAsia" w:ascii="楷体" w:hAnsi="楷体" w:eastAsia="楷体" w:cs="宋体"/>
          <w:sz w:val="24"/>
        </w:rPr>
        <w:t>（1）按本表费率计算的收费为采购代理的收费基准价格；</w:t>
      </w:r>
    </w:p>
    <w:p>
      <w:pPr>
        <w:spacing w:line="360" w:lineRule="auto"/>
        <w:ind w:firstLine="480" w:firstLineChars="200"/>
        <w:rPr>
          <w:rFonts w:ascii="楷体" w:hAnsi="楷体" w:eastAsia="楷体" w:cs="宋体"/>
          <w:sz w:val="24"/>
        </w:rPr>
      </w:pPr>
      <w:r>
        <w:rPr>
          <w:rFonts w:hint="eastAsia" w:ascii="楷体" w:hAnsi="楷体" w:eastAsia="楷体" w:cs="宋体"/>
          <w:sz w:val="24"/>
        </w:rPr>
        <w:t>（2）采购代理收费按差额定率累进法计算。</w:t>
      </w:r>
    </w:p>
    <w:p>
      <w:pPr>
        <w:spacing w:line="360" w:lineRule="auto"/>
        <w:ind w:firstLine="480" w:firstLineChars="200"/>
        <w:rPr>
          <w:rFonts w:ascii="楷体" w:hAnsi="楷体" w:eastAsia="楷体" w:cs="宋体"/>
          <w:sz w:val="24"/>
        </w:rPr>
      </w:pPr>
      <w:r>
        <w:rPr>
          <w:rFonts w:hint="eastAsia" w:ascii="楷体" w:hAnsi="楷体" w:eastAsia="楷体" w:cs="宋体"/>
          <w:sz w:val="24"/>
        </w:rPr>
        <w:t>例如：某货物采购代理业务中标金额或者暂定价为200万元，计算采购代理收费额如下：</w:t>
      </w:r>
    </w:p>
    <w:p>
      <w:pPr>
        <w:spacing w:line="360" w:lineRule="auto"/>
        <w:ind w:firstLine="480" w:firstLineChars="200"/>
        <w:rPr>
          <w:rFonts w:ascii="楷体" w:hAnsi="楷体" w:eastAsia="楷体" w:cs="宋体"/>
          <w:sz w:val="24"/>
        </w:rPr>
      </w:pPr>
      <w:r>
        <w:rPr>
          <w:rFonts w:hint="eastAsia" w:ascii="楷体" w:hAnsi="楷体" w:eastAsia="楷体" w:cs="宋体"/>
          <w:sz w:val="24"/>
        </w:rPr>
        <w:t>100 万元×l.5 ％＝ 1.5 万元</w:t>
      </w:r>
    </w:p>
    <w:p>
      <w:pPr>
        <w:spacing w:line="360" w:lineRule="auto"/>
        <w:ind w:firstLine="480" w:firstLineChars="200"/>
        <w:rPr>
          <w:rFonts w:ascii="楷体" w:hAnsi="楷体" w:eastAsia="楷体" w:cs="宋体"/>
          <w:sz w:val="24"/>
        </w:rPr>
      </w:pPr>
      <w:r>
        <w:rPr>
          <w:rFonts w:hint="eastAsia" w:ascii="楷体" w:hAnsi="楷体" w:eastAsia="楷体" w:cs="宋体"/>
          <w:sz w:val="24"/>
        </w:rPr>
        <w:t>（ 200 － 100 ）万元 ×1.1％＝1.1万元</w:t>
      </w:r>
    </w:p>
    <w:p>
      <w:pPr>
        <w:spacing w:line="360" w:lineRule="auto"/>
        <w:ind w:firstLine="480" w:firstLineChars="200"/>
        <w:rPr>
          <w:rFonts w:ascii="楷体" w:hAnsi="楷体" w:eastAsia="楷体" w:cs="宋体"/>
          <w:sz w:val="24"/>
        </w:rPr>
      </w:pPr>
      <w:r>
        <w:rPr>
          <w:rFonts w:hint="eastAsia" w:ascii="楷体" w:hAnsi="楷体" w:eastAsia="楷体" w:cs="宋体"/>
          <w:sz w:val="24"/>
        </w:rPr>
        <w:t>合计收费＝ 1.5+1.1＝ 2.6 （万元）</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40.1本招标文件解释规则详见“投标人须知前附表”。</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40.2 其他事项详见“投标人须知前附表”。</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40.3</w:t>
      </w:r>
      <w:bookmarkStart w:id="134" w:name="_Hlk65857140"/>
      <w:r>
        <w:rPr>
          <w:rFonts w:hint="eastAsia" w:hAnsi="宋体" w:cs="宋体"/>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6"/>
        <w:spacing w:before="120" w:after="120" w:line="360" w:lineRule="auto"/>
        <w:ind w:firstLine="480" w:firstLineChars="200"/>
        <w:contextualSpacing/>
        <w:rPr>
          <w:rFonts w:hAnsi="宋体" w:cs="宋体"/>
          <w:sz w:val="24"/>
          <w:szCs w:val="24"/>
        </w:rPr>
      </w:pPr>
      <w:r>
        <w:rPr>
          <w:rFonts w:hint="eastAsia" w:hAnsi="宋体" w:cs="宋体"/>
          <w:sz w:val="24"/>
          <w:szCs w:val="24"/>
        </w:rPr>
        <w:t>依据本招标文件规定享受扶持政策获得政府采购合同的，小微企业不得将合同分包给大中型企业，中型企业不得将合同分包给大型企业。</w:t>
      </w:r>
      <w:bookmarkEnd w:id="134"/>
    </w:p>
    <w:p>
      <w:pPr>
        <w:pStyle w:val="19"/>
        <w:spacing w:line="360" w:lineRule="auto"/>
        <w:ind w:left="479" w:leftChars="114" w:hanging="240" w:hangingChars="100"/>
        <w:rPr>
          <w:rFonts w:ascii="宋体" w:hAnsi="宋体" w:cs="宋体"/>
        </w:rPr>
      </w:pPr>
      <w:r>
        <w:rPr>
          <w:rFonts w:hint="eastAsia" w:ascii="宋体" w:hAnsi="宋体" w:cs="宋体"/>
        </w:rPr>
        <w:br w:type="page"/>
      </w:r>
    </w:p>
    <w:p>
      <w:pPr>
        <w:pStyle w:val="3"/>
        <w:jc w:val="center"/>
        <w:rPr>
          <w:rFonts w:ascii="宋体" w:hAnsi="宋体" w:cs="宋体"/>
        </w:rPr>
      </w:pPr>
      <w:bookmarkStart w:id="135" w:name="_Toc74320803"/>
      <w:bookmarkStart w:id="136" w:name="_Toc254970548"/>
      <w:bookmarkStart w:id="137" w:name="_Toc254970689"/>
      <w:bookmarkStart w:id="138" w:name="_Toc330456896"/>
      <w:r>
        <w:rPr>
          <w:rFonts w:hint="eastAsia" w:ascii="宋体" w:hAnsi="宋体" w:cs="宋体"/>
        </w:rPr>
        <w:t>第四章  评标方法及评标标准</w:t>
      </w:r>
      <w:bookmarkEnd w:id="135"/>
      <w:bookmarkEnd w:id="136"/>
      <w:bookmarkEnd w:id="137"/>
      <w:bookmarkEnd w:id="138"/>
    </w:p>
    <w:p>
      <w:pPr>
        <w:pStyle w:val="5"/>
        <w:keepNext w:val="0"/>
        <w:keepLines w:val="0"/>
        <w:jc w:val="center"/>
        <w:rPr>
          <w:rFonts w:ascii="宋体" w:hAnsi="宋体" w:cs="宋体"/>
          <w:sz w:val="30"/>
          <w:szCs w:val="30"/>
        </w:rPr>
      </w:pPr>
      <w:bookmarkStart w:id="139" w:name="_Toc254970549"/>
      <w:bookmarkEnd w:id="139"/>
      <w:bookmarkStart w:id="140" w:name="_Toc254970690"/>
      <w:bookmarkEnd w:id="140"/>
      <w:r>
        <w:rPr>
          <w:rFonts w:hint="eastAsia" w:ascii="宋体" w:hAnsi="宋体" w:cs="宋体"/>
          <w:sz w:val="30"/>
          <w:szCs w:val="30"/>
        </w:rPr>
        <w:t>一、评标方法</w:t>
      </w:r>
    </w:p>
    <w:p>
      <w:pPr>
        <w:pStyle w:val="26"/>
        <w:spacing w:line="360" w:lineRule="auto"/>
        <w:ind w:firstLine="420"/>
        <w:rPr>
          <w:rFonts w:hAnsi="宋体" w:cs="宋体"/>
          <w:sz w:val="24"/>
          <w:szCs w:val="24"/>
        </w:rPr>
      </w:pPr>
      <w:r>
        <w:rPr>
          <w:rFonts w:hint="eastAsia" w:hAnsi="宋体" w:cs="宋体"/>
          <w:sz w:val="24"/>
          <w:szCs w:val="24"/>
        </w:rPr>
        <w:t>综合评分法，是指投标文件满足招标文件全部实质性要求，且按照评审因素的量化指标评审得分最高的投标人为中标候选人的评标方法。</w:t>
      </w:r>
    </w:p>
    <w:p>
      <w:pPr>
        <w:pStyle w:val="5"/>
        <w:keepNext w:val="0"/>
        <w:keepLines w:val="0"/>
        <w:jc w:val="center"/>
        <w:rPr>
          <w:rFonts w:ascii="宋体" w:hAnsi="宋体" w:cs="宋体"/>
          <w:sz w:val="30"/>
          <w:szCs w:val="30"/>
        </w:rPr>
      </w:pPr>
      <w:r>
        <w:rPr>
          <w:rFonts w:hint="eastAsia" w:ascii="宋体" w:hAnsi="宋体" w:cs="宋体"/>
          <w:sz w:val="30"/>
          <w:szCs w:val="30"/>
        </w:rPr>
        <w:t>二、评标程序</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1.符合性审查</w:t>
      </w:r>
    </w:p>
    <w:p>
      <w:pPr>
        <w:pStyle w:val="26"/>
        <w:snapToGrid w:val="0"/>
        <w:spacing w:line="360" w:lineRule="auto"/>
        <w:ind w:left="1" w:firstLine="420"/>
        <w:rPr>
          <w:rFonts w:hAnsi="宋体" w:cs="宋体"/>
          <w:b/>
          <w:kern w:val="2"/>
          <w:sz w:val="24"/>
          <w:szCs w:val="24"/>
        </w:rPr>
      </w:pPr>
      <w:r>
        <w:rPr>
          <w:rFonts w:hint="eastAsia" w:hAnsi="宋体" w:cs="宋体"/>
          <w:b/>
          <w:kern w:val="2"/>
          <w:sz w:val="24"/>
          <w:szCs w:val="24"/>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2.符合性审查不通过而导致投标无效的情形</w:t>
      </w:r>
    </w:p>
    <w:p>
      <w:pPr>
        <w:snapToGrid w:val="0"/>
        <w:spacing w:line="360" w:lineRule="auto"/>
        <w:ind w:firstLine="482" w:firstLineChars="200"/>
        <w:rPr>
          <w:rFonts w:ascii="宋体" w:hAnsi="宋体" w:cs="宋体"/>
          <w:b/>
          <w:sz w:val="24"/>
        </w:rPr>
      </w:pPr>
      <w:r>
        <w:rPr>
          <w:rFonts w:hint="eastAsia" w:ascii="宋体" w:hAnsi="宋体" w:cs="宋体"/>
          <w:b/>
          <w:sz w:val="24"/>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2.1在报价评审时，如发现下列情形之一的，将被视为投标无效：</w:t>
      </w:r>
    </w:p>
    <w:p>
      <w:pPr>
        <w:pStyle w:val="8"/>
        <w:numPr>
          <w:ilvl w:val="0"/>
          <w:numId w:val="3"/>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未提供“投标人须知前附表”第13.1条规定中“必须提供”的文件资料的；</w:t>
      </w:r>
    </w:p>
    <w:p>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未采用人民币报价的或者未按照招标文件标明的币种报价的；</w:t>
      </w:r>
    </w:p>
    <w:p>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各分标报价超出招标文件相应分标规定最高限价，或者超出相应分标采购预算金额的；</w:t>
      </w:r>
    </w:p>
    <w:p>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修正后的报价，投标人不确认的；</w:t>
      </w:r>
    </w:p>
    <w:p>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投标人属于本章第5.1条（2）或者第5.2条（2）项情形的；</w:t>
      </w:r>
    </w:p>
    <w:p>
      <w:pPr>
        <w:pStyle w:val="8"/>
        <w:numPr>
          <w:ilvl w:val="0"/>
          <w:numId w:val="3"/>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响应的标的数量及单位与招标文件要求实质性不一致的。</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2.2在商务评审时，如发现下列情形之一的，将被视为投标无效：</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投标文件未按招标文件要求签署、盖章的；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委托代理人未能出具有效身份证或者出具的身份证与授权委托书中的信息不符的；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为无效投标保证金的或者未按照招标文件的规定提交投标保证金的；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投标文件未提供“投标人须知前附表”第13.1条规定中“必须提供”或者“委托时必须提供”的文件资料的；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商务要求评审允许负偏离的条款数超过“投标人须知前附表”规定项数的；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投标文件的实质性内容未使用中文表述、使用计量单位不符合招标文件要求的；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投标文件中的文件资料因填写不齐全或者内容虚假或者出现其他情形而导致被评标委员会认定无效的；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属于投标人须知正文第9.2条情形的；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投标文件标注的项目名称或者项目编号与招标文件标注的项目名称或者项目编号不一致的；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招标文件明确不允许分包，投标文件拟分包的；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未响应招标文件实质性要求的；</w:t>
      </w:r>
    </w:p>
    <w:p>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法律、法规和招标文件规定的其他无效情形。</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2.3在技术评审时，如发现下列情形之一的，将被视为投标无效：</w:t>
      </w:r>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（1）技术要求评审允许负偏离的条款数超过“投标人须知前附表”规定项数的；</w:t>
      </w:r>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（2）投标文件未提供“投标人须知前附表”第13.1条规定中“必须提供”的文件资料的；</w:t>
      </w:r>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（3）虚假投标，或者出现其他情形而导致被评标委员会认定无效的；</w:t>
      </w:r>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（4）</w:t>
      </w:r>
      <w:bookmarkStart w:id="141" w:name="_Hlk71706244"/>
      <w:r>
        <w:rPr>
          <w:rFonts w:hint="eastAsia" w:ascii="宋体" w:hAnsi="宋体" w:eastAsia="宋体" w:cs="宋体"/>
          <w:b/>
          <w:kern w:val="2"/>
          <w:sz w:val="24"/>
          <w:szCs w:val="24"/>
        </w:rPr>
        <w:t>招标文件未载明允许提供备选（替代）投标方案或明确不允许提供备选（替代）投标方案时，投标人提供了备选（替代）投标方案的；</w:t>
      </w:r>
      <w:bookmarkEnd w:id="141"/>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（5）未响应招标文件实质性要求的。</w:t>
      </w:r>
    </w:p>
    <w:p>
      <w:pPr>
        <w:pStyle w:val="21"/>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3.澄清补正</w:t>
      </w:r>
    </w:p>
    <w:p>
      <w:pPr>
        <w:snapToGrid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4.投标文件修正</w:t>
      </w:r>
    </w:p>
    <w:p>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4.1投标文件报价出现前后不一致的，按照下列规定修正： </w:t>
      </w:r>
    </w:p>
    <w:p>
      <w:pPr>
        <w:pStyle w:val="26"/>
        <w:snapToGrid w:val="0"/>
        <w:spacing w:line="360" w:lineRule="auto"/>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pPr>
        <w:pStyle w:val="26"/>
        <w:snapToGrid w:val="0"/>
        <w:spacing w:line="360" w:lineRule="auto"/>
        <w:ind w:firstLine="480" w:firstLineChars="200"/>
        <w:rPr>
          <w:rFonts w:hAnsi="宋体" w:cs="宋体"/>
          <w:sz w:val="24"/>
          <w:szCs w:val="24"/>
        </w:rPr>
      </w:pPr>
      <w:r>
        <w:rPr>
          <w:rFonts w:hint="eastAsia" w:hAnsi="宋体" w:cs="宋体"/>
          <w:sz w:val="24"/>
          <w:szCs w:val="24"/>
        </w:rPr>
        <w:t>（2）大写金额和小写金额不一致的，以大写金额为准；</w:t>
      </w:r>
    </w:p>
    <w:p>
      <w:pPr>
        <w:pStyle w:val="26"/>
        <w:snapToGrid w:val="0"/>
        <w:spacing w:line="360" w:lineRule="auto"/>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pPr>
        <w:pStyle w:val="26"/>
        <w:snapToGrid w:val="0"/>
        <w:spacing w:line="360" w:lineRule="auto"/>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pPr>
        <w:pStyle w:val="26"/>
        <w:snapToGrid w:val="0"/>
        <w:spacing w:line="360" w:lineRule="auto"/>
        <w:ind w:firstLine="480" w:firstLineChars="200"/>
        <w:rPr>
          <w:rFonts w:hAnsi="宋体" w:cs="宋体"/>
          <w:sz w:val="24"/>
          <w:szCs w:val="24"/>
        </w:rPr>
      </w:pPr>
      <w:r>
        <w:rPr>
          <w:rFonts w:hint="eastAsia" w:hAnsi="宋体" w:cs="宋体"/>
          <w:sz w:val="24"/>
          <w:szCs w:val="24"/>
        </w:rPr>
        <w:t>同时出现两种以上不一致的，按照以上（1）-（4）规定的顺序修正。修正后的报价经投标人确认后产生约束力，投标人不确认的，</w:t>
      </w:r>
      <w:r>
        <w:rPr>
          <w:rFonts w:hint="eastAsia" w:hAnsi="宋体" w:cs="宋体"/>
          <w:b/>
          <w:kern w:val="2"/>
          <w:sz w:val="24"/>
          <w:szCs w:val="24"/>
        </w:rPr>
        <w:t>其投标无效</w:t>
      </w:r>
      <w:r>
        <w:rPr>
          <w:rFonts w:hint="eastAsia" w:hAnsi="宋体" w:cs="宋体"/>
          <w:sz w:val="24"/>
          <w:szCs w:val="24"/>
        </w:rPr>
        <w:t>。</w:t>
      </w:r>
    </w:p>
    <w:p>
      <w:pPr>
        <w:pStyle w:val="7"/>
        <w:keepNext w:val="0"/>
        <w:keepLines w:val="0"/>
        <w:spacing w:before="0" w:after="0" w:line="360" w:lineRule="auto"/>
        <w:rPr>
          <w:rFonts w:ascii="宋体" w:hAnsi="宋体" w:cs="宋体"/>
          <w:b w:val="0"/>
          <w:sz w:val="24"/>
        </w:rPr>
      </w:pPr>
      <w:r>
        <w:rPr>
          <w:rFonts w:hint="eastAsia" w:ascii="宋体" w:hAnsi="宋体" w:cs="宋体"/>
          <w:b w:val="0"/>
          <w:sz w:val="24"/>
        </w:rPr>
        <w:t xml:space="preserve">    4.2经投标人确认修正后的报价若超过采购预算金额或者最高限价，</w:t>
      </w:r>
      <w:r>
        <w:rPr>
          <w:rFonts w:hint="eastAsia" w:ascii="宋体" w:hAnsi="宋体" w:cs="宋体"/>
          <w:sz w:val="24"/>
        </w:rPr>
        <w:t>投标人的投标文件作无效投标处理</w:t>
      </w:r>
      <w:r>
        <w:rPr>
          <w:rFonts w:hint="eastAsia" w:ascii="宋体" w:hAnsi="宋体" w:cs="宋体"/>
          <w:b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4.3经投标人确认修正后的报价作为签订合同的依据，并以此报价计算价格分。</w:t>
      </w:r>
    </w:p>
    <w:p>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5.比较与评价</w:t>
      </w:r>
    </w:p>
    <w:p>
      <w:pPr>
        <w:snapToGrid w:val="0"/>
        <w:spacing w:line="360" w:lineRule="auto"/>
        <w:ind w:firstLine="480" w:firstLineChars="200"/>
        <w:rPr>
          <w:rFonts w:ascii="宋体" w:hAnsi="宋体" w:cs="宋体"/>
          <w:sz w:val="24"/>
        </w:rPr>
      </w:pPr>
      <w:r>
        <w:rPr>
          <w:rFonts w:hint="eastAsia" w:ascii="宋体" w:hAnsi="宋体" w:cs="宋体"/>
          <w:sz w:val="24"/>
        </w:rPr>
        <w:t>5.1采用综合评分法的</w:t>
      </w:r>
    </w:p>
    <w:p>
      <w:pPr>
        <w:snapToGrid w:val="0"/>
        <w:spacing w:line="360" w:lineRule="auto"/>
        <w:ind w:firstLine="480" w:firstLineChars="200"/>
        <w:rPr>
          <w:rFonts w:ascii="宋体" w:hAnsi="宋体" w:cs="宋体"/>
          <w:sz w:val="24"/>
        </w:rPr>
      </w:pPr>
      <w:r>
        <w:rPr>
          <w:rFonts w:hint="eastAsia" w:ascii="宋体" w:hAnsi="宋体" w:cs="宋体"/>
          <w:sz w:val="24"/>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ascii="宋体" w:hAnsi="宋体" w:cs="宋体"/>
          <w:sz w:val="24"/>
        </w:rPr>
      </w:pPr>
      <w:r>
        <w:rPr>
          <w:rFonts w:hint="eastAsia" w:ascii="宋体" w:hAnsi="宋体" w:cs="宋体"/>
          <w:sz w:val="24"/>
        </w:rPr>
        <w:t>（2）评标委员会独立对每个投标人的投标文件进行评价，并汇总每个投标人的得分。</w:t>
      </w:r>
    </w:p>
    <w:p>
      <w:pPr>
        <w:snapToGrid w:val="0"/>
        <w:spacing w:line="360" w:lineRule="auto"/>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 w:val="24"/>
        </w:rPr>
        <w:t>投标人不能证明其报价合理性的，评标委员会将其作为无效投标处理</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ascii="宋体" w:hAnsi="宋体" w:cs="宋体"/>
          <w:sz w:val="24"/>
        </w:rPr>
      </w:pPr>
      <w:r>
        <w:rPr>
          <w:rFonts w:hint="eastAsia" w:ascii="宋体" w:hAnsi="宋体" w:cs="宋体"/>
          <w:sz w:val="24"/>
        </w:rPr>
        <w:t>（4）各投标人的得分为所有评委的有效评分的算术平均数。</w:t>
      </w:r>
    </w:p>
    <w:p>
      <w:pPr>
        <w:snapToGrid w:val="0"/>
        <w:spacing w:line="360" w:lineRule="auto"/>
        <w:ind w:firstLine="480" w:firstLineChars="200"/>
        <w:rPr>
          <w:rFonts w:ascii="宋体" w:hAnsi="宋体" w:cs="宋体"/>
          <w:sz w:val="24"/>
        </w:rPr>
      </w:pPr>
      <w:r>
        <w:rPr>
          <w:rFonts w:hint="eastAsia" w:ascii="宋体" w:hAnsi="宋体" w:cs="宋体"/>
          <w:sz w:val="24"/>
        </w:rPr>
        <w:t>（5）评标委员会按照招标文件中的规定推荐中标候选人。</w:t>
      </w:r>
    </w:p>
    <w:p>
      <w:pPr>
        <w:snapToGrid w:val="0"/>
        <w:spacing w:line="360" w:lineRule="auto"/>
        <w:ind w:firstLine="480" w:firstLineChars="200"/>
        <w:rPr>
          <w:rFonts w:ascii="宋体" w:hAnsi="宋体" w:cs="宋体"/>
          <w:sz w:val="24"/>
        </w:rPr>
      </w:pPr>
      <w:r>
        <w:rPr>
          <w:rFonts w:hint="eastAsia" w:ascii="宋体" w:hAnsi="宋体" w:cs="宋体"/>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ascii="宋体" w:hAnsi="宋体" w:cs="宋体"/>
          <w:sz w:val="24"/>
        </w:rPr>
      </w:pPr>
      <w:r>
        <w:rPr>
          <w:rFonts w:hint="eastAsia" w:ascii="宋体" w:hAnsi="宋体" w:cs="宋体"/>
          <w:sz w:val="24"/>
        </w:rPr>
        <w:t>5.2采用</w:t>
      </w:r>
      <w:r>
        <w:rPr>
          <w:rFonts w:hint="eastAsia" w:ascii="宋体" w:hAnsi="宋体" w:cs="宋体"/>
          <w:sz w:val="24"/>
          <w:szCs w:val="32"/>
        </w:rPr>
        <w:t>最低评标价法</w:t>
      </w:r>
      <w:r>
        <w:rPr>
          <w:rFonts w:hint="eastAsia" w:ascii="宋体" w:hAnsi="宋体" w:cs="宋体"/>
          <w:sz w:val="24"/>
        </w:rPr>
        <w:t>的</w:t>
      </w:r>
    </w:p>
    <w:p>
      <w:pPr>
        <w:snapToGrid w:val="0"/>
        <w:spacing w:line="360" w:lineRule="auto"/>
        <w:ind w:firstLine="484" w:firstLineChars="202"/>
        <w:jc w:val="left"/>
        <w:rPr>
          <w:rFonts w:ascii="宋体" w:hAnsi="宋体" w:cs="宋体"/>
          <w:sz w:val="24"/>
        </w:rPr>
      </w:pPr>
      <w:r>
        <w:rPr>
          <w:rFonts w:hint="eastAsia" w:ascii="宋体" w:hAnsi="宋体" w:cs="宋体"/>
          <w:sz w:val="24"/>
        </w:rPr>
        <w:t>（1）评标委员会按照招标文件中规定的评标方法及评标标准，对符合性审查合格的投标文件报价进行比较。</w:t>
      </w:r>
    </w:p>
    <w:p>
      <w:pPr>
        <w:snapToGrid w:val="0"/>
        <w:spacing w:line="360" w:lineRule="auto"/>
        <w:ind w:firstLine="460" w:firstLineChars="202"/>
        <w:jc w:val="left"/>
        <w:rPr>
          <w:rFonts w:ascii="宋体" w:hAnsi="宋体" w:cs="宋体"/>
          <w:spacing w:val="-6"/>
          <w:sz w:val="24"/>
        </w:rPr>
      </w:pPr>
      <w:r>
        <w:rPr>
          <w:rFonts w:hint="eastAsia" w:ascii="宋体" w:hAnsi="宋体" w:cs="宋体"/>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pacing w:val="-6"/>
          <w:sz w:val="24"/>
        </w:rPr>
        <w:t>投标人不能证明其报价合理性的，评标委员会将其作为无效投标处理</w:t>
      </w:r>
      <w:r>
        <w:rPr>
          <w:rFonts w:hint="eastAsia" w:ascii="宋体" w:hAnsi="宋体" w:cs="宋体"/>
          <w:spacing w:val="-6"/>
          <w:sz w:val="24"/>
        </w:rPr>
        <w:t>。</w:t>
      </w:r>
    </w:p>
    <w:p>
      <w:pPr>
        <w:snapToGrid w:val="0"/>
        <w:spacing w:line="360" w:lineRule="auto"/>
        <w:ind w:firstLine="484" w:firstLineChars="202"/>
        <w:jc w:val="left"/>
        <w:rPr>
          <w:rFonts w:ascii="宋体" w:hAnsi="宋体" w:cs="宋体"/>
          <w:sz w:val="24"/>
        </w:rPr>
      </w:pPr>
      <w:r>
        <w:rPr>
          <w:rFonts w:hint="eastAsia" w:ascii="宋体" w:hAnsi="宋体" w:cs="宋体"/>
          <w:sz w:val="24"/>
        </w:rPr>
        <w:t>（3）评标委员会按照招标文件中的规定推荐中标候选人。</w:t>
      </w:r>
    </w:p>
    <w:p>
      <w:pPr>
        <w:snapToGrid w:val="0"/>
        <w:spacing w:line="360" w:lineRule="auto"/>
        <w:ind w:firstLine="484" w:firstLineChars="202"/>
        <w:jc w:val="left"/>
        <w:rPr>
          <w:rFonts w:ascii="宋体" w:hAnsi="宋体" w:cs="宋体"/>
          <w:sz w:val="24"/>
        </w:rPr>
      </w:pPr>
      <w:r>
        <w:rPr>
          <w:rFonts w:hint="eastAsia" w:ascii="宋体" w:hAnsi="宋体" w:cs="宋体"/>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宋体" w:hAnsi="宋体" w:cs="宋体"/>
        </w:rPr>
      </w:pPr>
      <w:r>
        <w:rPr>
          <w:rFonts w:hint="eastAsia" w:ascii="宋体" w:hAnsi="宋体" w:cs="宋体"/>
        </w:rPr>
        <w:br w:type="page"/>
      </w:r>
      <w:r>
        <w:rPr>
          <w:rFonts w:hint="eastAsia" w:ascii="宋体" w:hAnsi="宋体" w:cs="宋体"/>
          <w:b/>
          <w:bCs/>
          <w:sz w:val="32"/>
          <w:szCs w:val="32"/>
        </w:rPr>
        <w:t>三、评标标准</w:t>
      </w:r>
    </w:p>
    <w:p>
      <w:pPr>
        <w:pStyle w:val="5"/>
        <w:keepNext w:val="0"/>
        <w:keepLines w:val="0"/>
        <w:jc w:val="center"/>
        <w:rPr>
          <w:rFonts w:ascii="宋体" w:hAnsi="宋体" w:cs="宋体"/>
        </w:rPr>
      </w:pPr>
      <w:r>
        <w:rPr>
          <w:rFonts w:hint="eastAsia" w:ascii="宋体" w:hAnsi="宋体" w:cs="宋体"/>
        </w:rPr>
        <w:t>综合评分法</w:t>
      </w:r>
    </w:p>
    <w:p>
      <w:pPr>
        <w:pStyle w:val="26"/>
        <w:spacing w:line="360" w:lineRule="auto"/>
        <w:ind w:firstLine="420"/>
        <w:rPr>
          <w:rFonts w:hAnsi="宋体" w:cs="宋体"/>
          <w:bCs/>
          <w:sz w:val="24"/>
          <w:szCs w:val="24"/>
        </w:rPr>
      </w:pPr>
      <w:r>
        <w:rPr>
          <w:rFonts w:hint="eastAsia" w:hAnsi="宋体" w:cs="宋体"/>
          <w:bCs/>
          <w:sz w:val="24"/>
          <w:szCs w:val="24"/>
        </w:rPr>
        <w:t>注：1.计分方法按四舍五入取至百分位；</w:t>
      </w:r>
    </w:p>
    <w:p>
      <w:r>
        <w:rPr>
          <w:rFonts w:hint="eastAsia" w:hAnsi="宋体" w:cs="宋体"/>
          <w:bCs/>
          <w:sz w:val="24"/>
        </w:rPr>
        <w:t xml:space="preserve">    2.因落实政府采购政策进行价格调整的，以调整后的价格计算评标基准价和投标报价。</w:t>
      </w:r>
    </w:p>
    <w:p>
      <w:pPr>
        <w:pStyle w:val="26"/>
        <w:spacing w:line="360" w:lineRule="auto"/>
        <w:ind w:firstLine="420"/>
        <w:rPr>
          <w:rFonts w:hAnsi="宋体" w:cs="宋体"/>
          <w:bCs/>
          <w:sz w:val="24"/>
          <w:szCs w:val="24"/>
        </w:rPr>
      </w:pPr>
    </w:p>
    <w:tbl>
      <w:tblPr>
        <w:tblStyle w:val="4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850"/>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Cs/>
                <w:sz w:val="24"/>
              </w:rPr>
            </w:pPr>
            <w:r>
              <w:rPr>
                <w:rFonts w:hint="eastAsia" w:ascii="宋体" w:hAnsi="宋体" w:cs="宋体"/>
                <w:bCs/>
                <w:sz w:val="24"/>
              </w:rPr>
              <w:t>序号</w:t>
            </w:r>
          </w:p>
        </w:tc>
        <w:tc>
          <w:tcPr>
            <w:tcW w:w="1271"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Cs/>
                <w:sz w:val="24"/>
              </w:rPr>
            </w:pPr>
            <w:r>
              <w:rPr>
                <w:rFonts w:hint="eastAsia" w:ascii="宋体" w:hAnsi="宋体" w:cs="宋体"/>
                <w:bCs/>
                <w:sz w:val="24"/>
              </w:rPr>
              <w:t>评审因素</w:t>
            </w:r>
          </w:p>
        </w:tc>
        <w:tc>
          <w:tcPr>
            <w:tcW w:w="85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Cs/>
                <w:sz w:val="24"/>
              </w:rPr>
            </w:pPr>
            <w:r>
              <w:rPr>
                <w:rFonts w:hint="eastAsia" w:ascii="宋体" w:hAnsi="宋体" w:cs="宋体"/>
                <w:bCs/>
                <w:sz w:val="24"/>
              </w:rPr>
              <w:t>分值</w:t>
            </w:r>
          </w:p>
        </w:tc>
        <w:tc>
          <w:tcPr>
            <w:tcW w:w="5918"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cs="宋体"/>
                <w:b/>
                <w:bCs/>
                <w:kern w:val="2"/>
                <w:sz w:val="24"/>
                <w:szCs w:val="24"/>
              </w:rPr>
            </w:pPr>
            <w:r>
              <w:rPr>
                <w:rFonts w:hint="eastAsia"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Cs/>
                <w:sz w:val="24"/>
              </w:rPr>
            </w:pPr>
            <w:r>
              <w:rPr>
                <w:rFonts w:hint="eastAsia" w:ascii="宋体" w:hAnsi="宋体" w:cs="宋体"/>
                <w:bCs/>
                <w:sz w:val="24"/>
              </w:rPr>
              <w:t>1</w:t>
            </w:r>
          </w:p>
        </w:tc>
        <w:tc>
          <w:tcPr>
            <w:tcW w:w="1271" w:type="dxa"/>
            <w:tcBorders>
              <w:top w:val="single" w:color="auto" w:sz="4" w:space="0"/>
              <w:left w:val="single" w:color="auto" w:sz="4" w:space="0"/>
              <w:right w:val="single" w:color="auto" w:sz="4" w:space="0"/>
            </w:tcBorders>
            <w:vAlign w:val="center"/>
          </w:tcPr>
          <w:p>
            <w:pPr>
              <w:widowControl/>
              <w:spacing w:line="360" w:lineRule="auto"/>
              <w:jc w:val="center"/>
            </w:pPr>
            <w:r>
              <w:rPr>
                <w:rFonts w:hint="eastAsia" w:ascii="宋体" w:hAnsi="宋体" w:cs="宋体"/>
                <w:bCs/>
                <w:sz w:val="24"/>
              </w:rPr>
              <w:t>投标报价</w:t>
            </w:r>
          </w:p>
        </w:tc>
        <w:tc>
          <w:tcPr>
            <w:tcW w:w="850"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Cs/>
                <w:sz w:val="24"/>
              </w:rPr>
            </w:pPr>
            <w:r>
              <w:rPr>
                <w:rFonts w:ascii="宋体" w:hAnsi="宋体" w:cs="宋体"/>
                <w:bCs/>
                <w:sz w:val="24"/>
              </w:rPr>
              <w:t>30</w:t>
            </w:r>
            <w:r>
              <w:rPr>
                <w:rFonts w:hint="eastAsia" w:ascii="宋体" w:hAnsi="宋体" w:cs="宋体"/>
                <w:bCs/>
                <w:sz w:val="24"/>
              </w:rPr>
              <w:t>分</w:t>
            </w:r>
          </w:p>
        </w:tc>
        <w:tc>
          <w:tcPr>
            <w:tcW w:w="5918" w:type="dxa"/>
            <w:tcBorders>
              <w:top w:val="single" w:color="auto" w:sz="4" w:space="0"/>
              <w:left w:val="single" w:color="auto" w:sz="4" w:space="0"/>
              <w:bottom w:val="single" w:color="auto" w:sz="4" w:space="0"/>
              <w:right w:val="single" w:color="auto" w:sz="4" w:space="0"/>
            </w:tcBorders>
          </w:tcPr>
          <w:p>
            <w:pPr>
              <w:pStyle w:val="26"/>
              <w:spacing w:line="360" w:lineRule="auto"/>
              <w:rPr>
                <w:rFonts w:hAnsi="宋体" w:cs="宋体"/>
                <w:b/>
                <w:bCs/>
                <w:kern w:val="2"/>
                <w:sz w:val="24"/>
                <w:szCs w:val="24"/>
              </w:rPr>
            </w:pPr>
            <w:r>
              <w:rPr>
                <w:rFonts w:hint="eastAsia" w:hAnsi="宋体" w:cs="宋体"/>
                <w:b/>
                <w:bCs/>
                <w:kern w:val="2"/>
                <w:sz w:val="24"/>
                <w:szCs w:val="24"/>
              </w:rPr>
              <w:t>一、政府采购政策扣除</w:t>
            </w:r>
          </w:p>
          <w:p>
            <w:pPr>
              <w:snapToGrid w:val="0"/>
              <w:spacing w:line="360" w:lineRule="auto"/>
              <w:ind w:firstLine="506" w:firstLineChars="211"/>
              <w:rPr>
                <w:rFonts w:ascii="宋体" w:hAnsi="宋体" w:cs="宋体"/>
                <w:bCs/>
                <w:sz w:val="24"/>
              </w:rPr>
            </w:pPr>
            <w:r>
              <w:rPr>
                <w:rFonts w:hint="eastAsia" w:ascii="宋体" w:hAnsi="宋体" w:cs="宋体"/>
                <w:bCs/>
                <w:sz w:val="24"/>
              </w:rPr>
              <w:t>1.评标报价为投标人的投标报价进行政策性扣除后的价格，评标报价只是作为评标时使用。最终中标人的中标金额等于投标报价。</w:t>
            </w:r>
          </w:p>
          <w:p>
            <w:pPr>
              <w:pStyle w:val="26"/>
              <w:spacing w:line="360" w:lineRule="auto"/>
              <w:ind w:firstLine="480" w:firstLineChars="200"/>
              <w:rPr>
                <w:rFonts w:hAnsi="宋体" w:cs="宋体"/>
                <w:bCs/>
                <w:sz w:val="24"/>
                <w:szCs w:val="24"/>
              </w:rPr>
            </w:pPr>
            <w:r>
              <w:rPr>
                <w:rFonts w:hint="eastAsia" w:hAnsi="宋体" w:cs="宋体"/>
                <w:bCs/>
                <w:sz w:val="24"/>
                <w:szCs w:val="24"/>
              </w:rPr>
              <w:t>2.根据《政府采购促进中小企业发展管理办法》的规定，投标人属于《政府采购促进中小企业发展管理办法》规定的小微企业的，对投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pPr>
              <w:pStyle w:val="26"/>
              <w:spacing w:line="360" w:lineRule="auto"/>
              <w:ind w:firstLine="480" w:firstLineChars="200"/>
              <w:rPr>
                <w:rFonts w:hAnsi="宋体" w:cs="宋体"/>
                <w:bCs/>
                <w:sz w:val="24"/>
                <w:szCs w:val="24"/>
              </w:rPr>
            </w:pPr>
            <w:r>
              <w:rPr>
                <w:rFonts w:hint="eastAsia" w:hAnsi="宋体" w:cs="宋体"/>
                <w:bCs/>
                <w:sz w:val="24"/>
                <w:szCs w:val="24"/>
              </w:rPr>
              <w:t>3.</w:t>
            </w:r>
            <w:r>
              <w:rPr>
                <w:rFonts w:hint="eastAsia" w:hAnsi="宋体" w:cs="宋体"/>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cs="宋体"/>
                <w:bCs/>
                <w:sz w:val="24"/>
                <w:szCs w:val="24"/>
              </w:rPr>
              <w:t>监狱企业属于小型、微型企业的，</w:t>
            </w:r>
            <w:r>
              <w:rPr>
                <w:rFonts w:hint="eastAsia" w:hAnsi="宋体" w:cs="宋体"/>
                <w:sz w:val="24"/>
                <w:szCs w:val="24"/>
              </w:rPr>
              <w:t>不重复享受政策。</w:t>
            </w:r>
          </w:p>
          <w:p>
            <w:pPr>
              <w:pStyle w:val="26"/>
              <w:spacing w:line="360" w:lineRule="auto"/>
              <w:ind w:firstLine="480" w:firstLineChars="200"/>
              <w:outlineLvl w:val="0"/>
              <w:rPr>
                <w:rFonts w:hAnsi="宋体" w:cs="宋体"/>
                <w:sz w:val="24"/>
                <w:szCs w:val="24"/>
              </w:rPr>
            </w:pPr>
            <w:r>
              <w:rPr>
                <w:rFonts w:hint="eastAsia" w:hAnsi="宋体" w:cs="宋体"/>
                <w:bCs/>
                <w:sz w:val="24"/>
                <w:szCs w:val="24"/>
              </w:rPr>
              <w:t>4.</w:t>
            </w:r>
            <w:r>
              <w:rPr>
                <w:rFonts w:hint="eastAsia" w:hAnsi="宋体" w:cs="宋体"/>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6"/>
              <w:spacing w:line="360" w:lineRule="auto"/>
              <w:outlineLvl w:val="0"/>
              <w:rPr>
                <w:rFonts w:hAnsi="宋体" w:cs="宋体"/>
                <w:b/>
                <w:sz w:val="24"/>
                <w:szCs w:val="24"/>
              </w:rPr>
            </w:pPr>
            <w:r>
              <w:rPr>
                <w:rFonts w:hint="eastAsia" w:hAnsi="宋体" w:cs="宋体"/>
                <w:b/>
                <w:sz w:val="24"/>
                <w:szCs w:val="24"/>
              </w:rPr>
              <w:t>二、投标报价分（满分</w:t>
            </w:r>
            <w:r>
              <w:rPr>
                <w:rFonts w:hAnsi="宋体" w:cs="宋体"/>
                <w:b/>
                <w:sz w:val="24"/>
                <w:szCs w:val="24"/>
              </w:rPr>
              <w:t>30</w:t>
            </w:r>
            <w:r>
              <w:rPr>
                <w:rFonts w:hint="eastAsia" w:hAnsi="宋体" w:cs="宋体"/>
                <w:b/>
                <w:sz w:val="24"/>
                <w:szCs w:val="24"/>
              </w:rPr>
              <w:t>分）</w:t>
            </w:r>
          </w:p>
          <w:p>
            <w:pPr>
              <w:pStyle w:val="26"/>
              <w:spacing w:line="360" w:lineRule="auto"/>
              <w:ind w:firstLine="480" w:firstLineChars="200"/>
              <w:rPr>
                <w:rFonts w:hAnsi="宋体" w:cs="宋体"/>
                <w:bCs/>
                <w:sz w:val="24"/>
                <w:szCs w:val="24"/>
              </w:rPr>
            </w:pPr>
            <w:r>
              <w:rPr>
                <w:rFonts w:hint="eastAsia" w:hAnsi="宋体" w:cs="宋体"/>
                <w:sz w:val="24"/>
                <w:szCs w:val="24"/>
              </w:rPr>
              <w:t>1.</w:t>
            </w:r>
            <w:r>
              <w:rPr>
                <w:rFonts w:hint="eastAsia" w:hAnsi="宋体" w:cs="宋体"/>
                <w:bCs/>
                <w:sz w:val="24"/>
                <w:szCs w:val="24"/>
              </w:rPr>
              <w:t>投标报价分采用低价优先法计算，满足招标文件要求且评标价最低的有效投标人的评标价为评标基准价，其投标报价分为满分。</w:t>
            </w:r>
          </w:p>
          <w:p>
            <w:pPr>
              <w:pStyle w:val="26"/>
              <w:spacing w:line="360" w:lineRule="auto"/>
              <w:ind w:firstLine="480" w:firstLineChars="200"/>
              <w:rPr>
                <w:rFonts w:hAnsi="宋体" w:cs="宋体"/>
                <w:bCs/>
                <w:sz w:val="24"/>
                <w:szCs w:val="24"/>
              </w:rPr>
            </w:pPr>
            <w:r>
              <w:rPr>
                <w:rFonts w:hint="eastAsia" w:hAnsi="宋体" w:cs="宋体"/>
                <w:bCs/>
                <w:sz w:val="24"/>
                <w:szCs w:val="24"/>
              </w:rPr>
              <w:t>2.其他投标人的价格分统一按照下列公式计算：</w:t>
            </w:r>
          </w:p>
          <w:p>
            <w:pPr>
              <w:widowControl/>
              <w:spacing w:line="360" w:lineRule="auto"/>
              <w:jc w:val="left"/>
              <w:rPr>
                <w:rFonts w:ascii="宋体" w:hAnsi="宋体" w:cs="宋体"/>
                <w:sz w:val="24"/>
              </w:rPr>
            </w:pPr>
            <w:r>
              <w:rPr>
                <w:rFonts w:hint="eastAsia" w:ascii="宋体" w:hAnsi="宋体" w:cs="宋体"/>
                <w:bCs/>
                <w:sz w:val="24"/>
              </w:rPr>
              <w:t xml:space="preserve">某有效投标人的投标报价分=（评标基准价／某有效投标人评标报价）× </w:t>
            </w:r>
            <w:r>
              <w:rPr>
                <w:rFonts w:ascii="宋体" w:hAnsi="宋体" w:cs="宋体"/>
                <w:bCs/>
                <w:sz w:val="24"/>
              </w:rPr>
              <w:t>30</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r>
              <w:rPr>
                <w:rFonts w:hint="eastAsia" w:ascii="宋体" w:hAnsi="宋体" w:cs="宋体"/>
                <w:bCs/>
                <w:sz w:val="24"/>
              </w:rPr>
              <w:t>2</w:t>
            </w:r>
          </w:p>
          <w:p>
            <w:pPr>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jc w:val="center"/>
              <w:rPr>
                <w:rFonts w:ascii="宋体" w:hAnsi="宋体" w:cs="宋体"/>
                <w:b/>
                <w:sz w:val="24"/>
              </w:rPr>
            </w:pPr>
          </w:p>
        </w:tc>
        <w:tc>
          <w:tcPr>
            <w:tcW w:w="1271" w:type="dxa"/>
            <w:vMerge w:val="restart"/>
            <w:tcBorders>
              <w:top w:val="single" w:color="auto" w:sz="4" w:space="0"/>
              <w:left w:val="single" w:color="auto" w:sz="4" w:space="0"/>
              <w:right w:val="single" w:color="auto" w:sz="4" w:space="0"/>
            </w:tcBorders>
            <w:vAlign w:val="center"/>
          </w:tcPr>
          <w:p>
            <w:pPr>
              <w:adjustRightInd w:val="0"/>
              <w:spacing w:line="360" w:lineRule="auto"/>
              <w:ind w:left="-105" w:leftChars="-50" w:right="-105" w:rightChars="-50"/>
              <w:jc w:val="center"/>
              <w:textAlignment w:val="baseline"/>
              <w:rPr>
                <w:rFonts w:ascii="宋体" w:hAnsi="宋体" w:cs="宋体"/>
                <w:bCs/>
                <w:sz w:val="24"/>
              </w:rPr>
            </w:pPr>
            <w:r>
              <w:rPr>
                <w:rFonts w:hint="eastAsia" w:ascii="宋体" w:hAnsi="宋体" w:cs="宋体"/>
                <w:bCs/>
                <w:sz w:val="24"/>
              </w:rPr>
              <w:t>技术分</w:t>
            </w:r>
          </w:p>
          <w:p>
            <w:pPr>
              <w:adjustRightInd w:val="0"/>
              <w:spacing w:line="360" w:lineRule="auto"/>
              <w:ind w:left="-105" w:leftChars="-50" w:right="-105" w:rightChars="-50"/>
              <w:jc w:val="center"/>
              <w:textAlignment w:val="baseline"/>
              <w:rPr>
                <w:rFonts w:ascii="宋体" w:hAnsi="宋体" w:cs="宋体"/>
                <w:bCs/>
                <w:sz w:val="24"/>
              </w:rPr>
            </w:pPr>
            <w:r>
              <w:rPr>
                <w:rFonts w:hint="eastAsia" w:ascii="宋体" w:hAnsi="宋体" w:cs="宋体"/>
                <w:bCs/>
                <w:sz w:val="24"/>
              </w:rPr>
              <w:t>（满分</w:t>
            </w:r>
            <w:r>
              <w:rPr>
                <w:rFonts w:ascii="宋体" w:hAnsi="宋体" w:cs="宋体"/>
                <w:bCs/>
                <w:sz w:val="24"/>
              </w:rPr>
              <w:t>5</w:t>
            </w:r>
            <w:r>
              <w:rPr>
                <w:rFonts w:hint="eastAsia" w:ascii="宋体" w:hAnsi="宋体" w:cs="宋体"/>
                <w:bCs/>
                <w:sz w:val="24"/>
              </w:rPr>
              <w:t>3分）</w:t>
            </w:r>
          </w:p>
          <w:p>
            <w:pPr>
              <w:adjustRightInd w:val="0"/>
              <w:spacing w:line="360" w:lineRule="auto"/>
              <w:ind w:left="-105" w:leftChars="-50" w:right="-105" w:rightChars="-50"/>
              <w:jc w:val="center"/>
              <w:textAlignment w:val="baseline"/>
              <w:rPr>
                <w:rFonts w:ascii="宋体" w:hAnsi="宋体" w:cs="宋体"/>
                <w:b/>
                <w:sz w:val="24"/>
              </w:rPr>
            </w:pPr>
          </w:p>
        </w:tc>
        <w:tc>
          <w:tcPr>
            <w:tcW w:w="850"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r>
              <w:rPr>
                <w:rFonts w:hint="eastAsia" w:ascii="宋体" w:hAnsi="宋体" w:cs="宋体"/>
                <w:bCs/>
                <w:sz w:val="24"/>
              </w:rPr>
              <w:t>产品性能分</w:t>
            </w:r>
          </w:p>
          <w:p>
            <w:pPr>
              <w:adjustRightInd w:val="0"/>
              <w:spacing w:line="360" w:lineRule="auto"/>
              <w:jc w:val="center"/>
              <w:textAlignment w:val="baseline"/>
              <w:rPr>
                <w:rFonts w:ascii="宋体" w:hAnsi="宋体" w:cs="宋体"/>
                <w:bCs/>
                <w:sz w:val="24"/>
              </w:rPr>
            </w:pPr>
            <w:r>
              <w:rPr>
                <w:rFonts w:hint="eastAsia" w:ascii="宋体" w:hAnsi="宋体" w:cs="宋体"/>
                <w:bCs/>
                <w:sz w:val="24"/>
              </w:rPr>
              <w:t>（18分）</w:t>
            </w:r>
          </w:p>
          <w:p>
            <w:pPr>
              <w:adjustRightInd w:val="0"/>
              <w:spacing w:line="360" w:lineRule="auto"/>
              <w:jc w:val="center"/>
              <w:textAlignment w:val="baseline"/>
              <w:rPr>
                <w:rFonts w:ascii="宋体" w:hAnsi="宋体" w:cs="宋体"/>
                <w:bCs/>
                <w:sz w:val="24"/>
              </w:rPr>
            </w:pP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ascii="宋体" w:hAnsi="宋体" w:cs="宋体"/>
                <w:sz w:val="24"/>
              </w:rPr>
            </w:pPr>
            <w:r>
              <w:rPr>
                <w:rFonts w:hint="eastAsia" w:ascii="宋体" w:hAnsi="宋体" w:cs="宋体"/>
                <w:bCs/>
                <w:sz w:val="24"/>
              </w:rPr>
              <w:t>1、完全满足招标文件技术参数及商务条款要求，没有任何负偏离的得8分；有1项负偏离的得6分，有2项负偏离的得4分。3</w:t>
            </w:r>
            <w:r>
              <w:rPr>
                <w:rFonts w:hint="eastAsia" w:ascii="宋体" w:hAnsi="宋体" w:cs="宋体"/>
                <w:sz w:val="24"/>
              </w:rPr>
              <w:t>项及以上的负偏离则投标无效</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right w:val="single" w:color="auto" w:sz="4" w:space="0"/>
            </w:tcBorders>
            <w:vAlign w:val="center"/>
          </w:tcPr>
          <w:p>
            <w:pPr>
              <w:adjustRightInd w:val="0"/>
              <w:spacing w:line="360" w:lineRule="auto"/>
              <w:ind w:left="-105" w:leftChars="-50" w:right="-105" w:rightChars="-50"/>
              <w:jc w:val="center"/>
              <w:textAlignment w:val="baseline"/>
              <w:rPr>
                <w:rFonts w:ascii="宋体" w:hAnsi="宋体" w:cs="宋体"/>
                <w:b/>
                <w:bCs/>
                <w:sz w:val="24"/>
              </w:rPr>
            </w:pPr>
          </w:p>
        </w:tc>
        <w:tc>
          <w:tcPr>
            <w:tcW w:w="850"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rPr>
                <w:rFonts w:ascii="宋体" w:hAnsi="宋体" w:cs="宋体"/>
                <w:bCs/>
                <w:sz w:val="24"/>
              </w:rPr>
            </w:pPr>
            <w:r>
              <w:rPr>
                <w:rFonts w:hint="eastAsia" w:ascii="宋体" w:hAnsi="宋体" w:cs="宋体"/>
                <w:bCs/>
                <w:sz w:val="24"/>
              </w:rPr>
              <w:t>2、技术参数及要求中，每项正偏离加2分（须提供生产厂家出具的有效的参数证明文件并加盖生产厂家公章作为评分依据），满分4分。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right w:val="single" w:color="auto" w:sz="4" w:space="0"/>
            </w:tcBorders>
            <w:vAlign w:val="center"/>
          </w:tcPr>
          <w:p>
            <w:pPr>
              <w:adjustRightInd w:val="0"/>
              <w:spacing w:line="360" w:lineRule="auto"/>
              <w:ind w:left="-105" w:leftChars="-50" w:right="-105" w:rightChars="-50"/>
              <w:jc w:val="center"/>
              <w:textAlignment w:val="baseline"/>
              <w:rPr>
                <w:rFonts w:ascii="宋体" w:hAnsi="宋体" w:cs="宋体"/>
                <w:b/>
                <w:bCs/>
                <w:sz w:val="24"/>
              </w:rPr>
            </w:pPr>
          </w:p>
        </w:tc>
        <w:tc>
          <w:tcPr>
            <w:tcW w:w="850"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rPr>
                <w:rFonts w:ascii="宋体" w:hAnsi="宋体" w:cs="宋体"/>
                <w:bCs/>
                <w:sz w:val="24"/>
              </w:rPr>
            </w:pPr>
            <w:r>
              <w:rPr>
                <w:rFonts w:hint="eastAsia" w:ascii="宋体" w:hAnsi="宋体" w:cs="宋体"/>
                <w:bCs/>
                <w:sz w:val="24"/>
              </w:rPr>
              <w:t>3、投标文件中能提供产品生产厂家编制的真实的技术参数证明文件或对应型号产品的官网截图的，文件详细列明投标产品完全满足（或优于）招标文件采购需求中该产品对应的“</w:t>
            </w:r>
            <w:r>
              <w:rPr>
                <w:rFonts w:hint="eastAsia" w:ascii="宋体" w:hAnsi="宋体" w:cs="宋体"/>
                <w:sz w:val="24"/>
              </w:rPr>
              <w:t>主要技术参数及性能（配置）要求</w:t>
            </w:r>
            <w:r>
              <w:rPr>
                <w:rFonts w:hint="eastAsia" w:ascii="宋体" w:hAnsi="宋体" w:cs="宋体"/>
                <w:bCs/>
                <w:sz w:val="24"/>
              </w:rPr>
              <w:t>”的，每项产品的证明材料得2分，满分6分。不能提供证明材料或证明材料弄虚作假的不得分。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pacing w:line="360" w:lineRule="auto"/>
              <w:jc w:val="center"/>
              <w:textAlignment w:val="baseline"/>
              <w:rPr>
                <w:rFonts w:ascii="宋体" w:hAnsi="宋体" w:cs="宋体"/>
                <w:bCs/>
                <w:sz w:val="24"/>
              </w:rPr>
            </w:pPr>
            <w:r>
              <w:rPr>
                <w:rFonts w:hint="eastAsia" w:ascii="宋体" w:hAnsi="宋体" w:cs="宋体"/>
                <w:bCs/>
                <w:sz w:val="24"/>
              </w:rPr>
              <w:t>供货方案及措施分</w:t>
            </w:r>
          </w:p>
          <w:p>
            <w:pPr>
              <w:adjustRightInd w:val="0"/>
              <w:spacing w:line="360" w:lineRule="auto"/>
              <w:jc w:val="center"/>
              <w:textAlignment w:val="baseline"/>
              <w:rPr>
                <w:rFonts w:ascii="宋体" w:hAnsi="宋体" w:cs="宋体"/>
                <w:bCs/>
                <w:sz w:val="24"/>
              </w:rPr>
            </w:pPr>
            <w:r>
              <w:rPr>
                <w:rFonts w:hint="eastAsia" w:ascii="宋体" w:hAnsi="宋体" w:cs="宋体"/>
                <w:bCs/>
                <w:sz w:val="24"/>
              </w:rPr>
              <w:t>（</w:t>
            </w:r>
            <w:r>
              <w:rPr>
                <w:rFonts w:ascii="宋体" w:hAnsi="宋体" w:cs="宋体"/>
                <w:bCs/>
                <w:sz w:val="24"/>
              </w:rPr>
              <w:t>17</w:t>
            </w:r>
            <w:r>
              <w:rPr>
                <w:rFonts w:hint="eastAsia" w:ascii="宋体" w:hAnsi="宋体" w:cs="宋体"/>
                <w:bCs/>
                <w:sz w:val="24"/>
              </w:rPr>
              <w:t>分）</w:t>
            </w:r>
          </w:p>
        </w:tc>
        <w:tc>
          <w:tcPr>
            <w:tcW w:w="5918"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hAnsi="宋体" w:cs="宋体"/>
                <w:sz w:val="24"/>
                <w:szCs w:val="24"/>
              </w:rPr>
              <w:t>一档（</w:t>
            </w:r>
            <w:r>
              <w:rPr>
                <w:rFonts w:hAnsi="宋体" w:cs="宋体"/>
                <w:sz w:val="24"/>
                <w:szCs w:val="24"/>
              </w:rPr>
              <w:t>7</w:t>
            </w:r>
            <w:r>
              <w:rPr>
                <w:rFonts w:hint="eastAsia" w:hAnsi="宋体" w:cs="宋体"/>
                <w:sz w:val="24"/>
                <w:szCs w:val="24"/>
              </w:rPr>
              <w:t>分）：供货方案包含从货源组织、设备运输、货到现场后安装调试等所有供货流程及进度计划安排，所有环节步骤清晰，责任人员明确，供货方案可靠，能确保产品供货。</w:t>
            </w:r>
          </w:p>
          <w:p>
            <w:pPr>
              <w:pStyle w:val="26"/>
              <w:spacing w:line="360" w:lineRule="auto"/>
              <w:rPr>
                <w:rFonts w:hAnsi="宋体" w:cs="宋体"/>
                <w:sz w:val="24"/>
                <w:szCs w:val="24"/>
              </w:rPr>
            </w:pPr>
            <w:r>
              <w:rPr>
                <w:rFonts w:hint="eastAsia" w:hAnsi="宋体" w:cs="宋体"/>
                <w:sz w:val="24"/>
                <w:szCs w:val="24"/>
              </w:rPr>
              <w:t>二档（</w:t>
            </w:r>
            <w:r>
              <w:rPr>
                <w:rFonts w:hAnsi="宋体" w:cs="宋体"/>
                <w:sz w:val="24"/>
                <w:szCs w:val="24"/>
              </w:rPr>
              <w:t>12</w:t>
            </w:r>
            <w:r>
              <w:rPr>
                <w:rFonts w:hint="eastAsia" w:hAnsi="宋体" w:cs="宋体"/>
                <w:sz w:val="24"/>
                <w:szCs w:val="24"/>
              </w:rPr>
              <w:t>分）：在满足上一档的基础上，详细列明各实施环节详细的实施办法和保障措施，分析供货流程各环节可能出现的问题并提出解决措施，同时提供现场安装调试及培训方案。</w:t>
            </w:r>
          </w:p>
          <w:p>
            <w:pPr>
              <w:pStyle w:val="26"/>
              <w:spacing w:line="360" w:lineRule="auto"/>
              <w:rPr>
                <w:rFonts w:hAnsi="宋体" w:cs="宋体"/>
                <w:sz w:val="24"/>
                <w:szCs w:val="24"/>
              </w:rPr>
            </w:pPr>
            <w:r>
              <w:rPr>
                <w:rFonts w:hint="eastAsia" w:hAnsi="宋体" w:cs="宋体"/>
                <w:sz w:val="24"/>
                <w:szCs w:val="24"/>
              </w:rPr>
              <w:t>三档（</w:t>
            </w:r>
            <w:r>
              <w:rPr>
                <w:rFonts w:hAnsi="宋体" w:cs="宋体"/>
                <w:sz w:val="24"/>
                <w:szCs w:val="24"/>
              </w:rPr>
              <w:t>17</w:t>
            </w:r>
            <w:r>
              <w:rPr>
                <w:rFonts w:hint="eastAsia" w:hAnsi="宋体" w:cs="宋体"/>
                <w:sz w:val="24"/>
                <w:szCs w:val="24"/>
              </w:rPr>
              <w:t>分）：在满足上一档的基础上，详细分析本项目的难点重点，提供难重点保障措施和各项应急预案，并提供产品生产厂家出具的安装调试及人员培训技术方案。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s="宋体"/>
                <w:sz w:val="24"/>
              </w:rPr>
            </w:pPr>
            <w:r>
              <w:rPr>
                <w:rFonts w:hint="eastAsia" w:ascii="宋体" w:hAnsi="宋体" w:cs="宋体"/>
                <w:sz w:val="24"/>
              </w:rPr>
              <w:t>人员方案（</w:t>
            </w:r>
            <w:r>
              <w:rPr>
                <w:rFonts w:ascii="宋体" w:hAnsi="宋体" w:cs="宋体"/>
                <w:sz w:val="24"/>
              </w:rPr>
              <w:t>8</w:t>
            </w:r>
            <w:r>
              <w:rPr>
                <w:rFonts w:hint="eastAsia" w:ascii="宋体" w:hAnsi="宋体" w:cs="宋体"/>
                <w:sz w:val="24"/>
              </w:rPr>
              <w:t>分）</w:t>
            </w:r>
          </w:p>
        </w:tc>
        <w:tc>
          <w:tcPr>
            <w:tcW w:w="5918"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hAnsi="宋体" w:cs="宋体"/>
                <w:sz w:val="24"/>
                <w:szCs w:val="24"/>
              </w:rPr>
              <w:t>一档（</w:t>
            </w:r>
            <w:r>
              <w:rPr>
                <w:rFonts w:hAnsi="宋体" w:cs="宋体"/>
                <w:sz w:val="24"/>
                <w:szCs w:val="24"/>
              </w:rPr>
              <w:t>2</w:t>
            </w:r>
            <w:r>
              <w:rPr>
                <w:rFonts w:hint="eastAsia" w:hAnsi="宋体" w:cs="宋体"/>
                <w:sz w:val="24"/>
                <w:szCs w:val="24"/>
              </w:rPr>
              <w:t>分）：拟投入本项目实施人员不少于4人，从供货送货到现场安装调试、人员培训都有专门团队负责，岗位职责落实。</w:t>
            </w:r>
          </w:p>
          <w:p>
            <w:pPr>
              <w:pStyle w:val="26"/>
              <w:spacing w:line="360" w:lineRule="auto"/>
              <w:rPr>
                <w:rFonts w:hAnsi="宋体" w:cs="宋体"/>
                <w:sz w:val="24"/>
                <w:szCs w:val="24"/>
              </w:rPr>
            </w:pPr>
            <w:r>
              <w:rPr>
                <w:rFonts w:hint="eastAsia" w:hAnsi="宋体" w:cs="宋体"/>
                <w:sz w:val="24"/>
                <w:szCs w:val="24"/>
              </w:rPr>
              <w:t>二档（</w:t>
            </w:r>
            <w:r>
              <w:rPr>
                <w:rFonts w:hAnsi="宋体" w:cs="宋体"/>
                <w:sz w:val="24"/>
                <w:szCs w:val="24"/>
              </w:rPr>
              <w:t>5</w:t>
            </w:r>
            <w:r>
              <w:rPr>
                <w:rFonts w:hint="eastAsia" w:hAnsi="宋体" w:cs="宋体"/>
                <w:sz w:val="24"/>
                <w:szCs w:val="24"/>
              </w:rPr>
              <w:t>分）：在满足上一档的基础上，拟投入本项目实施人员不少于6人，其中至少两台设备能提供厂家技术人员服务，专门负责设备现场安装调试及人员培训。</w:t>
            </w:r>
          </w:p>
          <w:p>
            <w:pPr>
              <w:pStyle w:val="26"/>
              <w:spacing w:line="360" w:lineRule="auto"/>
              <w:rPr>
                <w:rFonts w:hAnsi="宋体" w:cs="宋体"/>
                <w:sz w:val="24"/>
                <w:szCs w:val="24"/>
              </w:rPr>
            </w:pPr>
            <w:r>
              <w:rPr>
                <w:rFonts w:hint="eastAsia" w:hAnsi="宋体" w:cs="宋体"/>
                <w:sz w:val="24"/>
                <w:szCs w:val="24"/>
              </w:rPr>
              <w:t>三档（</w:t>
            </w:r>
            <w:r>
              <w:rPr>
                <w:rFonts w:hAnsi="宋体" w:cs="宋体"/>
                <w:sz w:val="24"/>
                <w:szCs w:val="24"/>
              </w:rPr>
              <w:t>8</w:t>
            </w:r>
            <w:r>
              <w:rPr>
                <w:rFonts w:hint="eastAsia" w:hAnsi="宋体" w:cs="宋体"/>
                <w:sz w:val="24"/>
                <w:szCs w:val="24"/>
              </w:rPr>
              <w:t>分）：在满足上一档的基础上，拟投入本项目实施人员不少于8人，其中每台设备均能提供厂家技术人员服务，除专门负责设备现场安装调试及人员培训外，各产品生产厂家还能安排专人负责项目远程技术咨询和服务、系统和软件的更新升级等。</w:t>
            </w:r>
          </w:p>
          <w:p>
            <w:pPr>
              <w:suppressAutoHyphens/>
              <w:spacing w:line="360" w:lineRule="auto"/>
              <w:jc w:val="left"/>
              <w:rPr>
                <w:rFonts w:ascii="宋体" w:hAnsi="宋体" w:cs="宋体"/>
                <w:sz w:val="24"/>
              </w:rPr>
            </w:pPr>
            <w:r>
              <w:rPr>
                <w:rFonts w:hint="eastAsia" w:ascii="宋体" w:hAnsi="宋体" w:cs="宋体"/>
                <w:sz w:val="24"/>
              </w:rPr>
              <w:t>投标文件中须提供相关人员证明材料（投保截止日期前1个月投标人为其缴纳的社保证明或投标人与相关人员签订的劳动合同或合作协议等。产品生产厂家技术服务人员须提供产品生产厂家提供的人员证明材料或人员安排承诺等。如投标产品为进口产品的，可提供国内生产总代理或生产厂商授权的技术服务机构出具的人员证明材料）不满足以上评分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s="宋体"/>
                <w:sz w:val="24"/>
              </w:rPr>
            </w:pPr>
            <w:r>
              <w:rPr>
                <w:rFonts w:hint="eastAsia" w:ascii="宋体" w:hAnsi="宋体" w:cs="宋体"/>
                <w:sz w:val="24"/>
              </w:rPr>
              <w:t>售后服务（满分10分）</w:t>
            </w:r>
          </w:p>
        </w:tc>
        <w:tc>
          <w:tcPr>
            <w:tcW w:w="5918" w:type="dxa"/>
            <w:tcBorders>
              <w:top w:val="single" w:color="auto" w:sz="4" w:space="0"/>
              <w:left w:val="single" w:color="auto" w:sz="4" w:space="0"/>
              <w:bottom w:val="single" w:color="auto" w:sz="4" w:space="0"/>
              <w:right w:val="single" w:color="auto" w:sz="4" w:space="0"/>
            </w:tcBorders>
            <w:vAlign w:val="center"/>
          </w:tcPr>
          <w:p>
            <w:pPr>
              <w:suppressAutoHyphens/>
              <w:spacing w:line="360" w:lineRule="auto"/>
              <w:jc w:val="left"/>
              <w:rPr>
                <w:rFonts w:ascii="宋体" w:hAnsi="宋体" w:cs="宋体"/>
                <w:bCs/>
                <w:sz w:val="24"/>
              </w:rPr>
            </w:pPr>
            <w:r>
              <w:rPr>
                <w:rFonts w:hint="eastAsia" w:ascii="宋体" w:hAnsi="宋体" w:cs="宋体"/>
                <w:bCs/>
                <w:sz w:val="24"/>
              </w:rPr>
              <w:t>一档（4分）：</w:t>
            </w:r>
            <w:r>
              <w:rPr>
                <w:rFonts w:hint="eastAsia" w:ascii="宋体" w:hAnsi="宋体" w:cs="宋体"/>
                <w:sz w:val="24"/>
              </w:rPr>
              <w:t>有明确售后服务承诺，售后体系及保障措施，售后服务人员落实，岗位职责明确，制定定期维护 (注明时间)、免费技术培训方案</w:t>
            </w:r>
          </w:p>
          <w:p>
            <w:pPr>
              <w:suppressAutoHyphens/>
              <w:spacing w:line="360" w:lineRule="auto"/>
              <w:jc w:val="left"/>
              <w:rPr>
                <w:rFonts w:ascii="宋体" w:hAnsi="宋体" w:cs="宋体"/>
                <w:bCs/>
                <w:sz w:val="24"/>
              </w:rPr>
            </w:pPr>
            <w:r>
              <w:rPr>
                <w:rFonts w:hint="eastAsia" w:ascii="宋体" w:hAnsi="宋体" w:cs="宋体"/>
                <w:bCs/>
                <w:sz w:val="24"/>
              </w:rPr>
              <w:t>二档（7分）：</w:t>
            </w:r>
            <w:r>
              <w:rPr>
                <w:rFonts w:hint="eastAsia" w:ascii="宋体" w:hAnsi="宋体" w:cs="宋体"/>
                <w:sz w:val="24"/>
              </w:rPr>
              <w:t>在上一档的基础上，对设备在使用过程中可能出现的问题进行分析</w:t>
            </w:r>
            <w:r>
              <w:rPr>
                <w:rFonts w:hint="eastAsia" w:ascii="宋体" w:hAnsi="宋体" w:cs="宋体"/>
                <w:bCs/>
                <w:sz w:val="24"/>
              </w:rPr>
              <w:t>，</w:t>
            </w:r>
            <w:r>
              <w:rPr>
                <w:rFonts w:hint="eastAsia" w:ascii="宋体" w:hAnsi="宋体" w:cs="宋体"/>
                <w:sz w:val="24"/>
              </w:rPr>
              <w:t>提供质保期内的紧急情况售后预案和</w:t>
            </w:r>
            <w:r>
              <w:rPr>
                <w:rFonts w:hint="eastAsia" w:ascii="宋体" w:hAnsi="宋体" w:cs="宋体"/>
                <w:bCs/>
                <w:sz w:val="24"/>
              </w:rPr>
              <w:t>明确的质保期外的售后承诺和措施</w:t>
            </w:r>
            <w:r>
              <w:rPr>
                <w:rFonts w:hint="eastAsia" w:ascii="宋体" w:hAnsi="宋体" w:cs="宋体"/>
                <w:sz w:val="24"/>
              </w:rPr>
              <w:t>，有明确的驻项目所在地的售后服务负责人，联系方式</w:t>
            </w:r>
            <w:r>
              <w:rPr>
                <w:rFonts w:hint="eastAsia" w:ascii="宋体" w:hAnsi="宋体" w:cs="宋体"/>
                <w:bCs/>
                <w:sz w:val="24"/>
              </w:rPr>
              <w:t>。</w:t>
            </w:r>
          </w:p>
          <w:p>
            <w:pPr>
              <w:suppressAutoHyphens/>
              <w:spacing w:line="360" w:lineRule="auto"/>
              <w:jc w:val="left"/>
              <w:rPr>
                <w:rFonts w:ascii="宋体" w:hAnsi="宋体" w:cs="宋体"/>
                <w:bCs/>
                <w:sz w:val="24"/>
              </w:rPr>
            </w:pPr>
            <w:r>
              <w:rPr>
                <w:rFonts w:hint="eastAsia" w:ascii="宋体" w:hAnsi="宋体" w:cs="宋体"/>
                <w:bCs/>
                <w:sz w:val="24"/>
              </w:rPr>
              <w:t>三档（10分）：</w:t>
            </w:r>
            <w:r>
              <w:rPr>
                <w:rFonts w:hint="eastAsia" w:ascii="宋体" w:hAnsi="宋体" w:cs="宋体"/>
                <w:sz w:val="24"/>
              </w:rPr>
              <w:t>在上一档的基础上</w:t>
            </w:r>
            <w:r>
              <w:rPr>
                <w:rFonts w:hint="eastAsia" w:ascii="宋体" w:hAnsi="宋体" w:cs="宋体"/>
                <w:bCs/>
                <w:sz w:val="24"/>
              </w:rPr>
              <w:t>提出</w:t>
            </w:r>
            <w:r>
              <w:rPr>
                <w:rFonts w:hint="eastAsia" w:ascii="宋体" w:hAnsi="宋体" w:cs="宋体"/>
                <w:sz w:val="24"/>
              </w:rPr>
              <w:t>，提供投标产品生产厂家针对本项目的售后服务承诺和措施、售后服务机构、联系方式等</w:t>
            </w:r>
            <w:r>
              <w:rPr>
                <w:rFonts w:hint="eastAsia" w:ascii="宋体" w:hAnsi="宋体" w:cs="宋体"/>
                <w:bCs/>
                <w:sz w:val="24"/>
              </w:rPr>
              <w:t>。</w:t>
            </w:r>
          </w:p>
          <w:p>
            <w:pPr>
              <w:spacing w:line="360" w:lineRule="auto"/>
              <w:rPr>
                <w:rFonts w:ascii="宋体" w:hAnsi="宋体" w:cs="宋体"/>
                <w:sz w:val="24"/>
              </w:rPr>
            </w:pPr>
            <w:r>
              <w:rPr>
                <w:rFonts w:hint="eastAsia" w:ascii="宋体" w:hAnsi="宋体" w:cs="宋体"/>
                <w:bCs/>
                <w:sz w:val="24"/>
              </w:rPr>
              <w:t>不满足以上评分项的不得分。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sz w:val="24"/>
              </w:rPr>
            </w:pPr>
            <w:bookmarkStart w:id="152" w:name="_GoBack" w:colFirst="2" w:colLast="3"/>
            <w:r>
              <w:rPr>
                <w:rFonts w:hint="eastAsia" w:ascii="宋体" w:hAnsi="宋体" w:cs="宋体"/>
                <w:b/>
                <w:sz w:val="24"/>
              </w:rPr>
              <w:t>3</w:t>
            </w:r>
          </w:p>
          <w:p>
            <w:pPr>
              <w:spacing w:line="360" w:lineRule="auto"/>
              <w:jc w:val="center"/>
              <w:rPr>
                <w:rFonts w:ascii="宋体" w:hAnsi="宋体" w:cs="宋体"/>
                <w:b/>
                <w:sz w:val="24"/>
              </w:rPr>
            </w:pPr>
          </w:p>
        </w:tc>
        <w:tc>
          <w:tcPr>
            <w:tcW w:w="1271"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sz w:val="24"/>
                <w:lang w:eastAsia="zh-Hans"/>
              </w:rPr>
              <w:t>商务</w:t>
            </w:r>
            <w:r>
              <w:rPr>
                <w:rFonts w:hint="eastAsia" w:ascii="宋体" w:hAnsi="宋体" w:cs="宋体"/>
                <w:sz w:val="24"/>
              </w:rPr>
              <w:t>分</w:t>
            </w:r>
          </w:p>
          <w:p>
            <w:pPr>
              <w:adjustRightInd w:val="0"/>
              <w:spacing w:line="360" w:lineRule="auto"/>
              <w:jc w:val="center"/>
              <w:textAlignment w:val="baseline"/>
              <w:rPr>
                <w:rFonts w:ascii="宋体" w:hAnsi="宋体" w:cs="宋体"/>
                <w:sz w:val="24"/>
              </w:rPr>
            </w:pPr>
            <w:r>
              <w:rPr>
                <w:rFonts w:hint="eastAsia" w:ascii="宋体" w:hAnsi="宋体" w:cs="宋体"/>
                <w:sz w:val="24"/>
              </w:rPr>
              <w:t>（满分17分）</w:t>
            </w:r>
          </w:p>
          <w:p>
            <w:pPr>
              <w:adjustRightInd w:val="0"/>
              <w:spacing w:line="360" w:lineRule="auto"/>
              <w:jc w:val="center"/>
              <w:textAlignment w:val="baseline"/>
              <w:rPr>
                <w:rFonts w:ascii="宋体" w:hAnsi="宋体" w:cs="宋体"/>
                <w:sz w:val="24"/>
              </w:rPr>
            </w:pP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s="宋体"/>
                <w:sz w:val="24"/>
              </w:rPr>
            </w:pPr>
            <w:r>
              <w:rPr>
                <w:rFonts w:hint="eastAsia" w:ascii="宋体" w:hAnsi="宋体" w:cs="宋体"/>
                <w:sz w:val="24"/>
              </w:rPr>
              <w:t>信誉及业绩</w:t>
            </w:r>
          </w:p>
          <w:p>
            <w:pPr>
              <w:spacing w:line="360" w:lineRule="auto"/>
              <w:jc w:val="center"/>
              <w:rPr>
                <w:rFonts w:ascii="宋体" w:hAnsi="宋体" w:cs="宋体"/>
                <w:sz w:val="24"/>
              </w:rPr>
            </w:pPr>
            <w:r>
              <w:rPr>
                <w:rFonts w:hint="eastAsia" w:ascii="宋体" w:hAnsi="宋体" w:cs="宋体"/>
                <w:sz w:val="24"/>
              </w:rPr>
              <w:t>（满分15分）</w:t>
            </w:r>
          </w:p>
        </w:tc>
        <w:tc>
          <w:tcPr>
            <w:tcW w:w="59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（1）投标人或投标产品或产品生产厂家获得ISO9001质量管理体系认证且证书在有效期内的，得3分。（投标文件提供有效的证书复印件）</w:t>
            </w:r>
          </w:p>
          <w:p>
            <w:pPr>
              <w:spacing w:line="360" w:lineRule="auto"/>
              <w:rPr>
                <w:rFonts w:ascii="宋体" w:hAnsi="宋体" w:cs="宋体"/>
                <w:sz w:val="24"/>
              </w:rPr>
            </w:pPr>
            <w:r>
              <w:rPr>
                <w:rFonts w:hint="eastAsia" w:ascii="宋体" w:hAnsi="宋体" w:cs="宋体"/>
                <w:sz w:val="24"/>
              </w:rPr>
              <w:t>（2）投标人2019年1月1日至今（以合同签订时间为准）有同类型科研仪器设备供货业绩的，每项业绩得2分，满分12分。（业绩证明材料需提供与最终用户签订的合同首页、合同金额所在页、签字盖章页）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pPr>
              <w:spacing w:line="360" w:lineRule="auto"/>
              <w:jc w:val="center"/>
              <w:rPr>
                <w:rFonts w:ascii="宋体" w:hAnsi="宋体" w:cs="宋体"/>
                <w:b/>
                <w:sz w:val="24"/>
              </w:rPr>
            </w:pPr>
          </w:p>
        </w:tc>
        <w:tc>
          <w:tcPr>
            <w:tcW w:w="1271" w:type="dxa"/>
            <w:vMerge w:val="continue"/>
            <w:tcBorders>
              <w:left w:val="single" w:color="auto" w:sz="4" w:space="0"/>
              <w:right w:val="single" w:color="auto" w:sz="4" w:space="0"/>
            </w:tcBorders>
            <w:vAlign w:val="center"/>
          </w:tcPr>
          <w:p>
            <w:pPr>
              <w:spacing w:line="360" w:lineRule="auto"/>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cs="宋体"/>
                <w:sz w:val="24"/>
              </w:rPr>
            </w:pPr>
            <w:r>
              <w:rPr>
                <w:rFonts w:hint="eastAsia" w:ascii="宋体" w:hAnsi="宋体" w:cs="宋体"/>
                <w:sz w:val="24"/>
              </w:rPr>
              <w:t>政策功能分（满分2分）节能、环保产品</w:t>
            </w:r>
          </w:p>
        </w:tc>
        <w:tc>
          <w:tcPr>
            <w:tcW w:w="59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1）投标产品中包含有政府采购节能产品的，得1分。（适用于非强制采购节能产品，以有效的政府采购节能产品认证证书复印件为准，投标产品需清晰反映在证书上）。</w:t>
            </w:r>
          </w:p>
          <w:p>
            <w:pPr>
              <w:widowControl/>
              <w:spacing w:line="360" w:lineRule="auto"/>
              <w:jc w:val="left"/>
              <w:rPr>
                <w:rFonts w:ascii="宋体" w:hAnsi="宋体" w:cs="宋体"/>
                <w:sz w:val="24"/>
              </w:rPr>
            </w:pPr>
            <w:r>
              <w:rPr>
                <w:rFonts w:hint="eastAsia" w:ascii="宋体" w:hAnsi="宋体" w:cs="宋体"/>
                <w:sz w:val="24"/>
              </w:rPr>
              <w:t>2）投标产品包含有政府采购环境标志产品的得1分。（以有效的政府采购环境标志产品认证证书复印件为准，投标产品需清晰反映在证书上）。</w:t>
            </w:r>
          </w:p>
        </w:tc>
      </w:tr>
      <w:bookmark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48" w:type="dxa"/>
            <w:gridSpan w:val="4"/>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总分=1+2+3</w:t>
            </w:r>
          </w:p>
        </w:tc>
      </w:tr>
    </w:tbl>
    <w:p>
      <w:pPr>
        <w:spacing w:line="360" w:lineRule="auto"/>
        <w:jc w:val="center"/>
        <w:rPr>
          <w:rFonts w:ascii="宋体" w:hAnsi="宋体" w:cs="宋体"/>
          <w:sz w:val="30"/>
          <w:szCs w:val="30"/>
        </w:rPr>
      </w:pPr>
    </w:p>
    <w:p>
      <w:pPr>
        <w:jc w:val="center"/>
        <w:rPr>
          <w:rFonts w:ascii="宋体" w:hAnsi="宋体" w:cs="宋体"/>
          <w:b/>
          <w:sz w:val="32"/>
          <w:szCs w:val="32"/>
        </w:rPr>
      </w:pPr>
      <w:r>
        <w:rPr>
          <w:rFonts w:hint="eastAsia" w:ascii="宋体" w:hAnsi="宋体" w:cs="宋体"/>
          <w:b/>
          <w:sz w:val="32"/>
          <w:szCs w:val="32"/>
        </w:rPr>
        <w:t>四、中标候选人推荐原则</w:t>
      </w:r>
    </w:p>
    <w:p>
      <w:pPr>
        <w:pStyle w:val="26"/>
        <w:spacing w:line="360" w:lineRule="auto"/>
        <w:contextualSpacing/>
        <w:rPr>
          <w:rFonts w:hAnsi="宋体" w:cs="宋体"/>
          <w:kern w:val="2"/>
          <w:sz w:val="24"/>
          <w:szCs w:val="24"/>
        </w:rPr>
      </w:pPr>
      <w:r>
        <w:rPr>
          <w:rFonts w:hint="eastAsia" w:hAnsi="宋体" w:cs="宋体"/>
          <w:kern w:val="2"/>
          <w:sz w:val="24"/>
          <w:szCs w:val="24"/>
        </w:rPr>
        <w:t>（一）综合评分法</w:t>
      </w:r>
    </w:p>
    <w:p>
      <w:pPr>
        <w:pStyle w:val="26"/>
        <w:spacing w:line="360" w:lineRule="auto"/>
        <w:ind w:firstLine="480" w:firstLineChars="200"/>
        <w:contextualSpacing/>
        <w:rPr>
          <w:rFonts w:hAnsi="宋体" w:cs="宋体"/>
          <w:kern w:val="2"/>
          <w:sz w:val="24"/>
          <w:szCs w:val="24"/>
        </w:rPr>
      </w:pPr>
      <w:r>
        <w:rPr>
          <w:rFonts w:hint="eastAsia" w:hAnsi="宋体" w:cs="宋体"/>
          <w:kern w:val="2"/>
          <w:sz w:val="24"/>
          <w:szCs w:val="24"/>
        </w:rPr>
        <w:t>1</w:t>
      </w:r>
      <w:r>
        <w:rPr>
          <w:rFonts w:hAnsi="宋体" w:cs="宋体"/>
          <w:kern w:val="2"/>
          <w:sz w:val="24"/>
          <w:szCs w:val="24"/>
        </w:rPr>
        <w:t>.</w:t>
      </w:r>
      <w:r>
        <w:rPr>
          <w:rFonts w:hint="eastAsia" w:hAnsi="宋体" w:cs="宋体"/>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hAnsi="宋体" w:cs="宋体"/>
          <w:sz w:val="24"/>
        </w:rPr>
        <w:t>质量保证期</w:t>
      </w:r>
      <w:r>
        <w:rPr>
          <w:rFonts w:hint="eastAsia" w:hAnsi="宋体" w:cs="宋体"/>
          <w:kern w:val="2"/>
          <w:sz w:val="24"/>
          <w:szCs w:val="24"/>
        </w:rPr>
        <w:t>长优先、交货期短优先、故障响应时间短优先的顺序确定中标候选人。</w:t>
      </w:r>
    </w:p>
    <w:p>
      <w:pPr>
        <w:pStyle w:val="6"/>
        <w:ind w:firstLine="480" w:firstLineChars="200"/>
        <w:jc w:val="left"/>
        <w:rPr>
          <w:rFonts w:hAnsi="宋体" w:cs="宋体"/>
          <w:kern w:val="2"/>
          <w:sz w:val="24"/>
          <w:szCs w:val="24"/>
        </w:rPr>
      </w:pPr>
      <w:r>
        <w:rPr>
          <w:rFonts w:hint="eastAsia" w:ascii="宋体" w:hAnsi="宋体" w:eastAsia="宋体" w:cs="宋体"/>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kern w:val="2"/>
          <w:sz w:val="24"/>
          <w:szCs w:val="24"/>
        </w:rPr>
        <w:t>.1</w:t>
      </w:r>
      <w:r>
        <w:rPr>
          <w:rFonts w:hint="eastAsia" w:ascii="宋体" w:hAnsi="宋体" w:eastAsia="宋体" w:cs="宋体"/>
          <w:kern w:val="2"/>
          <w:sz w:val="24"/>
          <w:szCs w:val="24"/>
        </w:rPr>
        <w:t xml:space="preserve"> 规定推荐，确定后其他同品牌投标人不作为中标候选人。</w:t>
      </w:r>
    </w:p>
    <w:p>
      <w:pPr>
        <w:pStyle w:val="26"/>
        <w:spacing w:line="360" w:lineRule="auto"/>
        <w:ind w:firstLine="480" w:firstLineChars="200"/>
        <w:contextualSpacing/>
        <w:rPr>
          <w:rFonts w:hAnsi="宋体" w:cs="宋体"/>
          <w:sz w:val="24"/>
          <w:szCs w:val="24"/>
        </w:rPr>
      </w:pPr>
    </w:p>
    <w:p>
      <w:pPr>
        <w:pStyle w:val="6"/>
      </w:pPr>
    </w:p>
    <w:p/>
    <w:p>
      <w:pPr>
        <w:pStyle w:val="2"/>
      </w:pPr>
    </w:p>
    <w:p/>
    <w:p>
      <w:pPr>
        <w:pStyle w:val="3"/>
        <w:jc w:val="center"/>
        <w:rPr>
          <w:rFonts w:ascii="宋体" w:hAnsi="宋体" w:cs="宋体"/>
        </w:rPr>
      </w:pPr>
      <w:bookmarkStart w:id="142" w:name="_Toc74320804"/>
    </w:p>
    <w:p/>
    <w:p>
      <w:pPr>
        <w:pStyle w:val="2"/>
      </w:pPr>
    </w:p>
    <w:p/>
    <w:p>
      <w:pPr>
        <w:pStyle w:val="2"/>
      </w:pPr>
    </w:p>
    <w:p/>
    <w:p>
      <w:pPr>
        <w:pStyle w:val="2"/>
      </w:pPr>
    </w:p>
    <w:p/>
    <w:p>
      <w:pPr>
        <w:pStyle w:val="2"/>
      </w:pPr>
    </w:p>
    <w:p/>
    <w:p/>
    <w:p>
      <w:pPr>
        <w:pStyle w:val="2"/>
      </w:pPr>
    </w:p>
    <w:p>
      <w:pPr>
        <w:pStyle w:val="3"/>
        <w:jc w:val="center"/>
        <w:rPr>
          <w:rFonts w:ascii="宋体" w:hAnsi="宋体" w:cs="宋体"/>
        </w:rPr>
      </w:pPr>
      <w:r>
        <w:rPr>
          <w:rFonts w:hint="eastAsia" w:ascii="宋体" w:hAnsi="宋体" w:cs="宋体"/>
        </w:rPr>
        <w:t>第五章  拟签订的合同文本</w:t>
      </w:r>
      <w:bookmarkEnd w:id="142"/>
    </w:p>
    <w:p>
      <w:pPr>
        <w:snapToGrid w:val="0"/>
        <w:spacing w:line="360" w:lineRule="auto"/>
        <w:rPr>
          <w:rFonts w:ascii="宋体" w:hAnsi="宋体" w:cs="宋体"/>
          <w:sz w:val="24"/>
        </w:rPr>
      </w:pPr>
      <w:r>
        <w:rPr>
          <w:rFonts w:hint="eastAsia" w:ascii="宋体" w:hAnsi="宋体" w:cs="宋体"/>
          <w:b/>
          <w:sz w:val="24"/>
        </w:rPr>
        <w:t xml:space="preserve">一般货物类： </w:t>
      </w:r>
    </w:p>
    <w:p>
      <w:pPr>
        <w:snapToGrid w:val="0"/>
        <w:spacing w:line="360" w:lineRule="auto"/>
        <w:jc w:val="center"/>
        <w:rPr>
          <w:rFonts w:ascii="宋体" w:hAnsi="宋体" w:cs="宋体"/>
          <w:b/>
          <w:bCs/>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《广西壮族自治区政府采购合同》</w:t>
      </w:r>
    </w:p>
    <w:p>
      <w:pPr>
        <w:spacing w:line="46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合同编号：</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广西大学</w:t>
      </w:r>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签订地点：</w:t>
      </w:r>
      <w:r>
        <w:rPr>
          <w:rFonts w:hint="eastAsia" w:ascii="宋体" w:hAnsi="宋体" w:cs="宋体"/>
          <w:sz w:val="24"/>
          <w:u w:val="single"/>
        </w:rPr>
        <w:t>广西南宁市西乡塘区</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根据《中华人民共和国政府采购法》《中华人民共和国民法典》等法律、法规规定，按照招标文件规定条款和中标（成交）供应商承诺，甲乙双方签订本合同。</w:t>
      </w:r>
    </w:p>
    <w:p>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pPr>
        <w:snapToGrid w:val="0"/>
        <w:spacing w:line="360" w:lineRule="auto"/>
        <w:ind w:firstLine="480" w:firstLineChars="200"/>
        <w:rPr>
          <w:rFonts w:ascii="宋体" w:hAnsi="宋体" w:cs="宋体"/>
          <w:sz w:val="24"/>
        </w:rPr>
      </w:pPr>
      <w:r>
        <w:rPr>
          <w:rFonts w:hint="eastAsia" w:ascii="宋体" w:hAnsi="宋体" w:cs="宋体"/>
          <w:sz w:val="24"/>
        </w:rPr>
        <w:t>1.供货一览表</w:t>
      </w:r>
    </w:p>
    <w:tbl>
      <w:tblPr>
        <w:tblStyle w:val="48"/>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18"/>
        <w:gridCol w:w="897"/>
        <w:gridCol w:w="1009"/>
        <w:gridCol w:w="897"/>
        <w:gridCol w:w="785"/>
        <w:gridCol w:w="561"/>
        <w:gridCol w:w="656"/>
        <w:gridCol w:w="136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61" w:type="dxa"/>
            <w:vAlign w:val="center"/>
          </w:tcPr>
          <w:p>
            <w:pPr>
              <w:snapToGrid w:val="0"/>
              <w:spacing w:line="460" w:lineRule="exact"/>
              <w:jc w:val="center"/>
              <w:rPr>
                <w:rFonts w:ascii="宋体" w:hAnsi="宋体" w:cs="宋体"/>
                <w:sz w:val="24"/>
              </w:rPr>
            </w:pPr>
            <w:r>
              <w:rPr>
                <w:rFonts w:hint="eastAsia" w:ascii="宋体" w:hAnsi="宋体" w:cs="宋体"/>
                <w:sz w:val="24"/>
              </w:rPr>
              <w:t>序号</w:t>
            </w:r>
          </w:p>
        </w:tc>
        <w:tc>
          <w:tcPr>
            <w:tcW w:w="818" w:type="dxa"/>
            <w:vAlign w:val="center"/>
          </w:tcPr>
          <w:p>
            <w:pPr>
              <w:snapToGrid w:val="0"/>
              <w:spacing w:line="460" w:lineRule="exact"/>
              <w:jc w:val="center"/>
              <w:rPr>
                <w:rFonts w:ascii="宋体" w:hAnsi="宋体" w:cs="宋体"/>
                <w:sz w:val="24"/>
              </w:rPr>
            </w:pPr>
            <w:r>
              <w:rPr>
                <w:rFonts w:hint="eastAsia" w:ascii="宋体" w:hAnsi="宋体" w:cs="宋体"/>
                <w:sz w:val="24"/>
              </w:rPr>
              <w:t>货物名称</w:t>
            </w:r>
          </w:p>
        </w:tc>
        <w:tc>
          <w:tcPr>
            <w:tcW w:w="897" w:type="dxa"/>
            <w:vAlign w:val="center"/>
          </w:tcPr>
          <w:p>
            <w:pPr>
              <w:snapToGrid w:val="0"/>
              <w:spacing w:line="460" w:lineRule="exact"/>
              <w:jc w:val="center"/>
              <w:rPr>
                <w:rFonts w:ascii="宋体" w:hAnsi="宋体" w:cs="宋体"/>
                <w:sz w:val="24"/>
              </w:rPr>
            </w:pPr>
            <w:r>
              <w:rPr>
                <w:rFonts w:hint="eastAsia" w:ascii="宋体" w:hAnsi="宋体" w:cs="宋体"/>
                <w:sz w:val="24"/>
              </w:rPr>
              <w:t>品牌</w:t>
            </w:r>
          </w:p>
        </w:tc>
        <w:tc>
          <w:tcPr>
            <w:tcW w:w="1009" w:type="dxa"/>
            <w:vAlign w:val="center"/>
          </w:tcPr>
          <w:p>
            <w:pPr>
              <w:snapToGrid w:val="0"/>
              <w:spacing w:line="460" w:lineRule="exact"/>
              <w:jc w:val="center"/>
              <w:rPr>
                <w:rFonts w:ascii="宋体" w:hAnsi="宋体" w:cs="宋体"/>
                <w:sz w:val="24"/>
              </w:rPr>
            </w:pPr>
            <w:r>
              <w:rPr>
                <w:rFonts w:hint="eastAsia" w:ascii="宋体" w:hAnsi="宋体" w:cs="宋体"/>
                <w:sz w:val="24"/>
              </w:rPr>
              <w:t>型号</w:t>
            </w:r>
          </w:p>
        </w:tc>
        <w:tc>
          <w:tcPr>
            <w:tcW w:w="897" w:type="dxa"/>
            <w:vAlign w:val="center"/>
          </w:tcPr>
          <w:p>
            <w:pPr>
              <w:snapToGrid w:val="0"/>
              <w:jc w:val="center"/>
              <w:rPr>
                <w:rFonts w:ascii="宋体" w:hAnsi="宋体" w:cs="宋体"/>
                <w:sz w:val="24"/>
              </w:rPr>
            </w:pPr>
            <w:r>
              <w:rPr>
                <w:rFonts w:hint="eastAsia" w:ascii="宋体" w:hAnsi="宋体" w:cs="宋体"/>
                <w:sz w:val="24"/>
              </w:rPr>
              <w:t>生产厂家</w:t>
            </w:r>
          </w:p>
        </w:tc>
        <w:tc>
          <w:tcPr>
            <w:tcW w:w="785" w:type="dxa"/>
            <w:vAlign w:val="center"/>
          </w:tcPr>
          <w:p>
            <w:pPr>
              <w:snapToGrid w:val="0"/>
              <w:jc w:val="center"/>
              <w:rPr>
                <w:rFonts w:ascii="宋体" w:hAnsi="宋体" w:cs="宋体"/>
                <w:sz w:val="24"/>
              </w:rPr>
            </w:pPr>
            <w:r>
              <w:rPr>
                <w:rFonts w:hint="eastAsia" w:ascii="宋体" w:hAnsi="宋体" w:cs="宋体"/>
                <w:sz w:val="24"/>
              </w:rPr>
              <w:t>产地</w:t>
            </w:r>
          </w:p>
        </w:tc>
        <w:tc>
          <w:tcPr>
            <w:tcW w:w="561" w:type="dxa"/>
            <w:vAlign w:val="center"/>
          </w:tcPr>
          <w:p>
            <w:pPr>
              <w:snapToGrid w:val="0"/>
              <w:jc w:val="center"/>
              <w:rPr>
                <w:rFonts w:ascii="宋体" w:hAnsi="宋体" w:cs="宋体"/>
                <w:sz w:val="24"/>
              </w:rPr>
            </w:pPr>
            <w:r>
              <w:rPr>
                <w:rFonts w:hint="eastAsia" w:ascii="宋体" w:hAnsi="宋体" w:cs="宋体"/>
                <w:sz w:val="24"/>
              </w:rPr>
              <w:t>数  量</w:t>
            </w:r>
          </w:p>
        </w:tc>
        <w:tc>
          <w:tcPr>
            <w:tcW w:w="656" w:type="dxa"/>
            <w:vAlign w:val="center"/>
          </w:tcPr>
          <w:p>
            <w:pPr>
              <w:snapToGrid w:val="0"/>
              <w:jc w:val="center"/>
              <w:rPr>
                <w:rFonts w:ascii="宋体" w:hAnsi="宋体" w:cs="宋体"/>
                <w:sz w:val="24"/>
              </w:rPr>
            </w:pPr>
            <w:r>
              <w:rPr>
                <w:rFonts w:hint="eastAsia" w:ascii="宋体" w:hAnsi="宋体" w:cs="宋体"/>
                <w:sz w:val="24"/>
              </w:rPr>
              <w:t>单位</w:t>
            </w:r>
          </w:p>
        </w:tc>
        <w:tc>
          <w:tcPr>
            <w:tcW w:w="1362" w:type="dxa"/>
            <w:vAlign w:val="center"/>
          </w:tcPr>
          <w:p>
            <w:pPr>
              <w:snapToGrid w:val="0"/>
              <w:jc w:val="center"/>
              <w:rPr>
                <w:rFonts w:ascii="宋体" w:hAnsi="宋体" w:cs="宋体"/>
                <w:sz w:val="24"/>
              </w:rPr>
            </w:pPr>
            <w:r>
              <w:rPr>
                <w:rFonts w:hint="eastAsia" w:ascii="宋体" w:hAnsi="宋体" w:cs="宋体"/>
                <w:sz w:val="24"/>
              </w:rPr>
              <w:t>单价</w:t>
            </w:r>
          </w:p>
          <w:p>
            <w:pPr>
              <w:snapToGrid w:val="0"/>
              <w:jc w:val="center"/>
              <w:rPr>
                <w:rFonts w:ascii="宋体" w:hAnsi="宋体" w:cs="宋体"/>
                <w:sz w:val="24"/>
              </w:rPr>
            </w:pPr>
            <w:r>
              <w:rPr>
                <w:rFonts w:hint="eastAsia" w:ascii="宋体" w:hAnsi="宋体" w:cs="宋体"/>
                <w:sz w:val="24"/>
              </w:rPr>
              <w:t>（人民币元）</w:t>
            </w:r>
          </w:p>
        </w:tc>
        <w:tc>
          <w:tcPr>
            <w:tcW w:w="1009" w:type="dxa"/>
            <w:vAlign w:val="center"/>
          </w:tcPr>
          <w:p>
            <w:pPr>
              <w:snapToGrid w:val="0"/>
              <w:jc w:val="center"/>
              <w:rPr>
                <w:rFonts w:ascii="宋体" w:hAnsi="宋体" w:cs="宋体"/>
                <w:sz w:val="24"/>
              </w:rPr>
            </w:pPr>
            <w:r>
              <w:rPr>
                <w:rFonts w:hint="eastAsia" w:ascii="宋体" w:hAnsi="宋体" w:cs="宋体"/>
                <w:sz w:val="24"/>
              </w:rPr>
              <w:t>单项合计（人民币元）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61" w:type="dxa"/>
            <w:vAlign w:val="center"/>
          </w:tcPr>
          <w:p>
            <w:pPr>
              <w:snapToGrid w:val="0"/>
              <w:spacing w:line="460" w:lineRule="exact"/>
              <w:jc w:val="center"/>
              <w:rPr>
                <w:rFonts w:ascii="宋体" w:hAnsi="宋体" w:cs="宋体"/>
                <w:sz w:val="24"/>
              </w:rPr>
            </w:pPr>
            <w:r>
              <w:rPr>
                <w:rFonts w:hint="eastAsia" w:ascii="宋体" w:hAnsi="宋体" w:cs="宋体"/>
                <w:sz w:val="24"/>
              </w:rPr>
              <w:t>1</w:t>
            </w:r>
          </w:p>
        </w:tc>
        <w:tc>
          <w:tcPr>
            <w:tcW w:w="818" w:type="dxa"/>
            <w:vAlign w:val="center"/>
          </w:tcPr>
          <w:p>
            <w:pPr>
              <w:snapToGrid w:val="0"/>
              <w:spacing w:line="460" w:lineRule="exact"/>
              <w:jc w:val="center"/>
              <w:rPr>
                <w:rFonts w:ascii="宋体" w:hAnsi="宋体" w:cs="宋体"/>
                <w:sz w:val="24"/>
              </w:rPr>
            </w:pPr>
          </w:p>
        </w:tc>
        <w:tc>
          <w:tcPr>
            <w:tcW w:w="897" w:type="dxa"/>
            <w:vAlign w:val="center"/>
          </w:tcPr>
          <w:p>
            <w:pPr>
              <w:snapToGrid w:val="0"/>
              <w:spacing w:line="460" w:lineRule="exact"/>
              <w:jc w:val="center"/>
              <w:rPr>
                <w:rFonts w:ascii="宋体" w:hAnsi="宋体" w:cs="宋体"/>
                <w:sz w:val="24"/>
              </w:rPr>
            </w:pPr>
          </w:p>
        </w:tc>
        <w:tc>
          <w:tcPr>
            <w:tcW w:w="1009" w:type="dxa"/>
            <w:vAlign w:val="center"/>
          </w:tcPr>
          <w:p>
            <w:pPr>
              <w:snapToGrid w:val="0"/>
              <w:spacing w:line="460" w:lineRule="exact"/>
              <w:jc w:val="center"/>
              <w:rPr>
                <w:rFonts w:ascii="宋体" w:hAnsi="宋体" w:cs="宋体"/>
                <w:sz w:val="24"/>
              </w:rPr>
            </w:pPr>
          </w:p>
        </w:tc>
        <w:tc>
          <w:tcPr>
            <w:tcW w:w="897" w:type="dxa"/>
          </w:tcPr>
          <w:p>
            <w:pPr>
              <w:snapToGrid w:val="0"/>
              <w:spacing w:line="460" w:lineRule="exact"/>
              <w:jc w:val="center"/>
              <w:rPr>
                <w:rFonts w:ascii="宋体" w:hAnsi="宋体" w:cs="宋体"/>
                <w:sz w:val="24"/>
              </w:rPr>
            </w:pPr>
          </w:p>
        </w:tc>
        <w:tc>
          <w:tcPr>
            <w:tcW w:w="785" w:type="dxa"/>
            <w:vAlign w:val="center"/>
          </w:tcPr>
          <w:p>
            <w:pPr>
              <w:snapToGrid w:val="0"/>
              <w:spacing w:line="460" w:lineRule="exact"/>
              <w:jc w:val="center"/>
              <w:rPr>
                <w:rFonts w:ascii="宋体" w:hAnsi="宋体" w:cs="宋体"/>
                <w:sz w:val="24"/>
              </w:rPr>
            </w:pPr>
          </w:p>
        </w:tc>
        <w:tc>
          <w:tcPr>
            <w:tcW w:w="561" w:type="dxa"/>
            <w:vAlign w:val="center"/>
          </w:tcPr>
          <w:p>
            <w:pPr>
              <w:snapToGrid w:val="0"/>
              <w:spacing w:line="460" w:lineRule="exact"/>
              <w:jc w:val="center"/>
              <w:rPr>
                <w:rFonts w:ascii="宋体" w:hAnsi="宋体" w:cs="宋体"/>
                <w:sz w:val="24"/>
              </w:rPr>
            </w:pPr>
          </w:p>
        </w:tc>
        <w:tc>
          <w:tcPr>
            <w:tcW w:w="656" w:type="dxa"/>
          </w:tcPr>
          <w:p>
            <w:pPr>
              <w:snapToGrid w:val="0"/>
              <w:spacing w:line="460" w:lineRule="exact"/>
              <w:jc w:val="center"/>
              <w:rPr>
                <w:rFonts w:ascii="宋体" w:hAnsi="宋体" w:cs="宋体"/>
                <w:sz w:val="24"/>
              </w:rPr>
            </w:pPr>
          </w:p>
        </w:tc>
        <w:tc>
          <w:tcPr>
            <w:tcW w:w="1362" w:type="dxa"/>
            <w:vAlign w:val="center"/>
          </w:tcPr>
          <w:p>
            <w:pPr>
              <w:snapToGrid w:val="0"/>
              <w:spacing w:line="460" w:lineRule="exact"/>
              <w:jc w:val="center"/>
              <w:rPr>
                <w:rFonts w:ascii="宋体" w:hAnsi="宋体" w:cs="宋体"/>
                <w:sz w:val="24"/>
              </w:rPr>
            </w:pPr>
          </w:p>
        </w:tc>
        <w:tc>
          <w:tcPr>
            <w:tcW w:w="1009" w:type="dxa"/>
          </w:tcPr>
          <w:p>
            <w:pPr>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8555" w:type="dxa"/>
            <w:gridSpan w:val="10"/>
          </w:tcPr>
          <w:p>
            <w:pPr>
              <w:snapToGrid w:val="0"/>
              <w:spacing w:line="460" w:lineRule="exact"/>
              <w:jc w:val="left"/>
              <w:rPr>
                <w:rFonts w:ascii="宋体" w:hAnsi="宋体" w:cs="宋体"/>
                <w:sz w:val="24"/>
              </w:rPr>
            </w:pPr>
            <w:r>
              <w:rPr>
                <w:rFonts w:hint="eastAsia" w:ascii="宋体" w:hAnsi="宋体" w:cs="宋体"/>
                <w:sz w:val="24"/>
              </w:rPr>
              <w:t>合同总金额（单位：元/人民币大写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整</w:t>
            </w:r>
            <w:r>
              <w:rPr>
                <w:rFonts w:ascii="宋体" w:hAnsi="宋体" w:cs="宋体"/>
                <w:b/>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bl>
    <w:p>
      <w:pPr>
        <w:snapToGrid w:val="0"/>
        <w:spacing w:line="460" w:lineRule="exact"/>
        <w:ind w:firstLine="480" w:firstLineChars="200"/>
        <w:rPr>
          <w:rFonts w:ascii="宋体" w:hAnsi="宋体" w:cs="宋体"/>
          <w:sz w:val="24"/>
        </w:rPr>
      </w:pPr>
      <w:r>
        <w:rPr>
          <w:rFonts w:hint="eastAsia" w:ascii="宋体" w:hAnsi="宋体" w:cs="宋体"/>
          <w:sz w:val="24"/>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pPr>
        <w:snapToGrid w:val="0"/>
        <w:spacing w:line="460" w:lineRule="exact"/>
        <w:ind w:firstLine="482" w:firstLineChars="200"/>
        <w:rPr>
          <w:rFonts w:ascii="宋体" w:hAnsi="宋体" w:cs="宋体"/>
          <w:sz w:val="24"/>
        </w:rPr>
      </w:pPr>
      <w:r>
        <w:rPr>
          <w:rFonts w:hint="eastAsia" w:ascii="宋体" w:hAnsi="宋体" w:cs="宋体"/>
          <w:b/>
          <w:sz w:val="24"/>
        </w:rPr>
        <w:t>第二条　质量要求</w:t>
      </w:r>
    </w:p>
    <w:p>
      <w:pPr>
        <w:snapToGrid w:val="0"/>
        <w:spacing w:line="460" w:lineRule="exac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460" w:lineRule="exac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pPr>
        <w:snapToGrid w:val="0"/>
        <w:spacing w:line="460" w:lineRule="exact"/>
        <w:ind w:firstLine="482" w:firstLineChars="200"/>
        <w:rPr>
          <w:rFonts w:ascii="宋体" w:hAnsi="宋体" w:cs="宋体"/>
          <w:sz w:val="24"/>
        </w:rPr>
      </w:pPr>
      <w:r>
        <w:rPr>
          <w:rFonts w:hint="eastAsia" w:ascii="宋体" w:hAnsi="宋体" w:cs="宋体"/>
          <w:b/>
          <w:sz w:val="24"/>
        </w:rPr>
        <w:t>第三条　权利保证</w:t>
      </w:r>
    </w:p>
    <w:p>
      <w:pPr>
        <w:snapToGrid w:val="0"/>
        <w:spacing w:line="460" w:lineRule="exac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1.乙方应保证所提供货物在使用时不会侵犯任何第三方的专利权、商标权、工业设计权或者其他权利，不涉及任何法律纠纷。</w:t>
      </w:r>
    </w:p>
    <w:p>
      <w:pPr>
        <w:snapToGrid w:val="0"/>
        <w:spacing w:line="460" w:lineRule="exact"/>
        <w:ind w:firstLine="480" w:firstLineChars="200"/>
        <w:rPr>
          <w:rFonts w:ascii="宋体" w:hAnsi="宋体" w:cs="宋体"/>
          <w:sz w:val="24"/>
        </w:rPr>
      </w:pPr>
      <w:r>
        <w:rPr>
          <w:rFonts w:hint="eastAsia" w:ascii="宋体" w:hAnsi="宋体" w:cs="宋体"/>
          <w:sz w:val="24"/>
        </w:rPr>
        <w:t>2.乙方应按招标文件规定或者投标文件承诺的时间向甲方提供使用货物的有关技术资料。</w:t>
      </w:r>
    </w:p>
    <w:p>
      <w:pPr>
        <w:snapToGrid w:val="0"/>
        <w:spacing w:line="460" w:lineRule="exac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pPr>
        <w:snapToGrid w:val="0"/>
        <w:spacing w:line="460" w:lineRule="exact"/>
        <w:ind w:firstLine="482" w:firstLineChars="200"/>
        <w:rPr>
          <w:rFonts w:ascii="宋体" w:hAnsi="宋体" w:cs="宋体"/>
          <w:b/>
          <w:sz w:val="24"/>
        </w:rPr>
      </w:pPr>
      <w:r>
        <w:rPr>
          <w:rFonts w:hint="eastAsia" w:ascii="宋体" w:hAnsi="宋体" w:cs="宋体"/>
          <w:b/>
          <w:sz w:val="24"/>
        </w:rPr>
        <w:t>第四条　包装、运输和签收</w:t>
      </w:r>
    </w:p>
    <w:p>
      <w:pPr>
        <w:snapToGrid w:val="0"/>
        <w:spacing w:line="460" w:lineRule="exact"/>
        <w:ind w:firstLine="480" w:firstLineChars="200"/>
        <w:rPr>
          <w:rFonts w:ascii="宋体" w:hAnsi="宋体" w:cs="宋体"/>
          <w:sz w:val="24"/>
        </w:rPr>
      </w:pPr>
      <w:r>
        <w:rPr>
          <w:rFonts w:hint="eastAsia" w:ascii="宋体" w:hAnsi="宋体" w:cs="宋体"/>
          <w:sz w:val="24"/>
        </w:rPr>
        <w:t>1.乙方提供的货物均应包装完整，每一包装单元内应附详细的装箱单和质量合格证。</w:t>
      </w:r>
    </w:p>
    <w:p>
      <w:pPr>
        <w:pStyle w:val="26"/>
        <w:snapToGrid w:val="0"/>
        <w:spacing w:line="440" w:lineRule="exact"/>
        <w:ind w:firstLine="480" w:firstLineChars="200"/>
        <w:rPr>
          <w:rFonts w:hAnsi="宋体" w:cs="宋体"/>
          <w:sz w:val="24"/>
          <w:szCs w:val="24"/>
        </w:rPr>
      </w:pPr>
      <w:r>
        <w:rPr>
          <w:rFonts w:hint="eastAsia" w:hAnsi="宋体" w:cs="宋体"/>
          <w:sz w:val="24"/>
          <w:szCs w:val="24"/>
        </w:rPr>
        <w:t>2.货物的运输：</w:t>
      </w:r>
      <w:r>
        <w:rPr>
          <w:rFonts w:hint="eastAsia" w:hAnsi="宋体" w:cs="宋体"/>
          <w:sz w:val="24"/>
          <w:szCs w:val="24"/>
          <w:u w:val="single"/>
        </w:rPr>
        <w:t xml:space="preserve">  。</w:t>
      </w:r>
    </w:p>
    <w:p>
      <w:pPr>
        <w:pStyle w:val="26"/>
        <w:snapToGrid w:val="0"/>
        <w:spacing w:line="440" w:lineRule="exact"/>
        <w:ind w:firstLine="480" w:firstLineChars="200"/>
        <w:rPr>
          <w:rFonts w:hAnsi="宋体" w:cs="宋体"/>
          <w:sz w:val="24"/>
          <w:szCs w:val="24"/>
        </w:rPr>
      </w:pPr>
      <w:r>
        <w:rPr>
          <w:rFonts w:hint="eastAsia" w:hAnsi="宋体" w:cs="宋体"/>
          <w:sz w:val="24"/>
          <w:szCs w:val="24"/>
        </w:rPr>
        <w:t>3. 乙方负责货物运输，货物运输合理损耗及计算方法：</w:t>
      </w:r>
      <w:r>
        <w:rPr>
          <w:rFonts w:hint="eastAsia" w:hAnsi="宋体" w:cs="宋体"/>
          <w:sz w:val="24"/>
          <w:szCs w:val="24"/>
          <w:u w:val="single"/>
        </w:rPr>
        <w:t>甲方不接受损耗。</w:t>
      </w:r>
    </w:p>
    <w:p>
      <w:pPr>
        <w:pStyle w:val="26"/>
        <w:snapToGrid w:val="0"/>
        <w:spacing w:line="440" w:lineRule="exact"/>
        <w:ind w:firstLine="480" w:firstLineChars="200"/>
        <w:rPr>
          <w:rFonts w:hAnsi="宋体" w:cs="宋体"/>
          <w:sz w:val="24"/>
          <w:szCs w:val="24"/>
        </w:rPr>
      </w:pPr>
      <w:r>
        <w:rPr>
          <w:rFonts w:hAnsi="宋体" w:cs="宋体"/>
          <w:sz w:val="24"/>
          <w:szCs w:val="24"/>
        </w:rPr>
        <w:t>4.</w:t>
      </w:r>
      <w:r>
        <w:rPr>
          <w:rFonts w:hint="eastAsia" w:hAnsi="宋体" w:cs="宋体"/>
          <w:sz w:val="24"/>
          <w:szCs w:val="24"/>
        </w:rPr>
        <w:t>乙方应在货物发运前对其进行满足运输距离、防潮、防震、防锈和防破损装卸等要求包装，以保证货物安全运达甲方指定地点。</w:t>
      </w:r>
    </w:p>
    <w:p>
      <w:pPr>
        <w:pStyle w:val="26"/>
        <w:snapToGrid w:val="0"/>
        <w:spacing w:line="44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 xml:space="preserve"> 使用说明书（货物属于进口产品的，供货时应同时附上中文使用说明书）、质量检验证明书、随配附件和工具以及清单一并附于货物内。</w:t>
      </w:r>
    </w:p>
    <w:p>
      <w:pPr>
        <w:pStyle w:val="26"/>
        <w:snapToGrid w:val="0"/>
        <w:spacing w:line="440" w:lineRule="exact"/>
        <w:ind w:firstLine="480" w:firstLineChars="200"/>
        <w:rPr>
          <w:rFonts w:hAnsi="宋体" w:cs="宋体"/>
          <w:sz w:val="24"/>
          <w:szCs w:val="24"/>
        </w:rPr>
      </w:pPr>
      <w:r>
        <w:rPr>
          <w:rFonts w:hAnsi="宋体" w:cs="宋体"/>
          <w:sz w:val="24"/>
          <w:szCs w:val="24"/>
        </w:rPr>
        <w:t>6</w:t>
      </w:r>
      <w:r>
        <w:rPr>
          <w:rFonts w:hint="eastAsia" w:hAnsi="宋体" w:cs="宋体"/>
          <w:sz w:val="24"/>
          <w:szCs w:val="24"/>
        </w:rPr>
        <w:t>.乙方在货物发运手续办理完毕后2</w:t>
      </w:r>
      <w:r>
        <w:rPr>
          <w:rFonts w:hAnsi="宋体" w:cs="宋体"/>
          <w:sz w:val="24"/>
          <w:szCs w:val="24"/>
        </w:rPr>
        <w:t>4</w:t>
      </w:r>
      <w:r>
        <w:rPr>
          <w:rFonts w:hint="eastAsia" w:hAnsi="宋体" w:cs="宋体"/>
          <w:sz w:val="24"/>
          <w:szCs w:val="24"/>
        </w:rPr>
        <w:t>小时内或者货到甲方4</w:t>
      </w:r>
      <w:r>
        <w:rPr>
          <w:rFonts w:hAnsi="宋体" w:cs="宋体"/>
          <w:sz w:val="24"/>
          <w:szCs w:val="24"/>
        </w:rPr>
        <w:t>8</w:t>
      </w:r>
      <w:r>
        <w:rPr>
          <w:rFonts w:hint="eastAsia" w:hAnsi="宋体" w:cs="宋体"/>
          <w:sz w:val="24"/>
          <w:szCs w:val="24"/>
        </w:rPr>
        <w:t>小时前通知甲方，以准备接货。</w:t>
      </w:r>
    </w:p>
    <w:p>
      <w:pPr>
        <w:pStyle w:val="26"/>
        <w:snapToGrid w:val="0"/>
        <w:spacing w:line="440" w:lineRule="exact"/>
        <w:ind w:firstLine="480" w:firstLineChars="200"/>
        <w:rPr>
          <w:rFonts w:hAnsi="宋体" w:cs="宋体"/>
          <w:sz w:val="24"/>
          <w:szCs w:val="24"/>
        </w:rPr>
      </w:pPr>
      <w:r>
        <w:rPr>
          <w:rFonts w:hAnsi="宋体" w:cs="宋体"/>
          <w:sz w:val="24"/>
          <w:szCs w:val="24"/>
        </w:rPr>
        <w:t>7</w:t>
      </w:r>
      <w:r>
        <w:rPr>
          <w:rFonts w:hint="eastAsia" w:hAnsi="宋体" w:cs="宋体"/>
          <w:sz w:val="24"/>
          <w:szCs w:val="24"/>
        </w:rPr>
        <w:t>.货物在规定的交付期限内由乙方送达甲方指定的地点，乙方同时需通知甲方货物已送达，甲方清点货物后签收，货物签收不作为最终验收合格的依据。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hAnsi="宋体" w:cs="宋体"/>
          <w:b/>
          <w:sz w:val="24"/>
        </w:rPr>
      </w:pPr>
      <w:r>
        <w:rPr>
          <w:rFonts w:hint="eastAsia" w:ascii="宋体" w:hAnsi="宋体" w:cs="宋体"/>
          <w:b/>
          <w:sz w:val="24"/>
        </w:rPr>
        <w:t>第五条　</w:t>
      </w:r>
      <w:r>
        <w:rPr>
          <w:rFonts w:hint="eastAsia" w:hAnsi="宋体" w:cs="宋体"/>
          <w:b/>
          <w:sz w:val="24"/>
        </w:rPr>
        <w:t>安装和培训</w:t>
      </w:r>
    </w:p>
    <w:p>
      <w:pPr>
        <w:snapToGrid w:val="0"/>
        <w:spacing w:line="460" w:lineRule="exact"/>
        <w:ind w:firstLine="480" w:firstLineChars="200"/>
        <w:rPr>
          <w:rFonts w:ascii="宋体" w:hAnsi="宋体" w:cs="宋体"/>
          <w:sz w:val="24"/>
        </w:rPr>
      </w:pPr>
      <w:r>
        <w:rPr>
          <w:rFonts w:hint="eastAsia" w:ascii="宋体" w:hAnsi="宋体" w:cs="宋体"/>
          <w:sz w:val="24"/>
        </w:rPr>
        <w:t>1.甲方应提供必要安装条件（如场地、电源、水源等）。</w:t>
      </w:r>
    </w:p>
    <w:p>
      <w:pPr>
        <w:snapToGrid w:val="0"/>
        <w:spacing w:line="460" w:lineRule="exact"/>
        <w:ind w:firstLine="480" w:firstLineChars="200"/>
        <w:rPr>
          <w:rFonts w:ascii="宋体" w:hAnsi="宋体" w:cs="宋体"/>
          <w:sz w:val="24"/>
          <w:u w:val="single"/>
        </w:rPr>
      </w:pPr>
      <w:r>
        <w:rPr>
          <w:rFonts w:hint="eastAsia" w:ascii="宋体" w:hAnsi="宋体" w:cs="宋体"/>
          <w:sz w:val="24"/>
        </w:rPr>
        <w:t>2.乙方投标文件承诺负责甲方有关人员的培训：</w:t>
      </w:r>
      <w:r>
        <w:rPr>
          <w:rFonts w:hint="eastAsia" w:ascii="宋体" w:hAnsi="宋体" w:cs="宋体"/>
          <w:sz w:val="24"/>
          <w:u w:val="single"/>
        </w:rPr>
        <w:t>根据甲方要求开展。</w:t>
      </w:r>
    </w:p>
    <w:p>
      <w:pPr>
        <w:snapToGrid w:val="0"/>
        <w:spacing w:line="460" w:lineRule="exact"/>
        <w:ind w:firstLine="480" w:firstLineChars="200"/>
      </w:pPr>
      <w:r>
        <w:rPr>
          <w:rFonts w:hint="eastAsia" w:ascii="宋体" w:hAnsi="宋体" w:cs="宋体"/>
          <w:sz w:val="24"/>
        </w:rPr>
        <w:t>3.培训时间、地点：</w:t>
      </w:r>
      <w:r>
        <w:rPr>
          <w:rFonts w:hint="eastAsia" w:ascii="宋体" w:hAnsi="宋体" w:cs="宋体"/>
          <w:sz w:val="24"/>
          <w:u w:val="single"/>
        </w:rPr>
        <w:t>甲方指定。</w:t>
      </w:r>
    </w:p>
    <w:p>
      <w:pPr>
        <w:snapToGrid w:val="0"/>
        <w:spacing w:line="460" w:lineRule="exact"/>
        <w:ind w:firstLine="482" w:firstLineChars="200"/>
        <w:rPr>
          <w:rFonts w:ascii="宋体" w:hAnsi="宋体" w:cs="宋体"/>
          <w:sz w:val="24"/>
        </w:rPr>
      </w:pPr>
      <w:r>
        <w:rPr>
          <w:rFonts w:hint="eastAsia" w:ascii="宋体" w:hAnsi="宋体" w:cs="宋体"/>
          <w:b/>
          <w:sz w:val="24"/>
        </w:rPr>
        <w:t>第六条　调试、交付和验收</w:t>
      </w:r>
    </w:p>
    <w:p>
      <w:pPr>
        <w:snapToGrid w:val="0"/>
        <w:spacing w:line="460" w:lineRule="exact"/>
        <w:ind w:firstLine="480" w:firstLineChars="200"/>
        <w:rPr>
          <w:rFonts w:ascii="宋体" w:hAnsi="宋体" w:cs="宋体"/>
          <w:sz w:val="24"/>
          <w:u w:val="single"/>
        </w:rPr>
      </w:pPr>
      <w:r>
        <w:rPr>
          <w:rFonts w:hint="eastAsia" w:ascii="宋体" w:hAnsi="宋体" w:cs="宋体"/>
          <w:sz w:val="24"/>
        </w:rPr>
        <w:t>1.交付时间：国产设备自签订合同之日起</w:t>
      </w:r>
      <w:r>
        <w:rPr>
          <w:rFonts w:ascii="宋体" w:hAnsi="宋体" w:cs="宋体"/>
          <w:sz w:val="24"/>
        </w:rPr>
        <w:t>30</w:t>
      </w:r>
      <w:r>
        <w:rPr>
          <w:rFonts w:hint="eastAsia" w:ascii="宋体" w:hAnsi="宋体" w:cs="宋体"/>
          <w:sz w:val="24"/>
        </w:rPr>
        <w:t>日历天内到货安装调试完成并通过验收。进口设备</w:t>
      </w:r>
      <w:r>
        <w:rPr>
          <w:rFonts w:ascii="宋体" w:hAnsi="宋体" w:cs="宋体"/>
          <w:sz w:val="24"/>
        </w:rPr>
        <w:t>签</w:t>
      </w:r>
      <w:r>
        <w:rPr>
          <w:rFonts w:hint="eastAsia" w:ascii="宋体" w:hAnsi="宋体" w:cs="宋体"/>
          <w:sz w:val="24"/>
        </w:rPr>
        <w:t>自签订合同之日起</w:t>
      </w:r>
      <w:r>
        <w:rPr>
          <w:rFonts w:ascii="宋体" w:hAnsi="宋体" w:cs="宋体"/>
          <w:sz w:val="24"/>
        </w:rPr>
        <w:t>150</w:t>
      </w:r>
      <w:r>
        <w:rPr>
          <w:rFonts w:hint="eastAsia" w:ascii="宋体" w:hAnsi="宋体" w:cs="宋体"/>
          <w:sz w:val="24"/>
        </w:rPr>
        <w:t>日历天内到货安装调试完成并通过验收。交付地点：</w:t>
      </w:r>
      <w:r>
        <w:rPr>
          <w:rFonts w:hint="eastAsia" w:ascii="宋体" w:hAnsi="宋体" w:cs="宋体"/>
          <w:sz w:val="24"/>
          <w:u w:val="single"/>
        </w:rPr>
        <w:t>甲方指定地点。</w:t>
      </w:r>
    </w:p>
    <w:p>
      <w:pPr>
        <w:snapToGrid w:val="0"/>
        <w:spacing w:line="460" w:lineRule="exact"/>
        <w:ind w:firstLine="480" w:firstLineChars="200"/>
        <w:rPr>
          <w:rFonts w:ascii="宋体" w:hAnsi="宋体" w:cs="宋体"/>
          <w:sz w:val="24"/>
        </w:rPr>
      </w:pPr>
      <w:r>
        <w:rPr>
          <w:rFonts w:hint="eastAsia" w:ascii="宋体" w:hAnsi="宋体" w:cs="宋体"/>
          <w:sz w:val="24"/>
        </w:rPr>
        <w:t>2.乙方提供不符合招标文件规定或者投标文件承诺的和本合同规定的货物，甲方有权拒绝接受。</w:t>
      </w:r>
    </w:p>
    <w:p>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pStyle w:val="57"/>
        <w:spacing w:line="360" w:lineRule="auto"/>
        <w:rPr>
          <w:rFonts w:ascii="宋体" w:hAnsi="宋体" w:cs="宋体"/>
          <w:sz w:val="24"/>
          <w:szCs w:val="24"/>
        </w:rPr>
      </w:pPr>
      <w:r>
        <w:rPr>
          <w:rFonts w:ascii="宋体" w:hAnsi="宋体"/>
          <w:sz w:val="24"/>
          <w:szCs w:val="24"/>
        </w:rPr>
        <w:t xml:space="preserve">   4.</w:t>
      </w:r>
      <w:r>
        <w:rPr>
          <w:rFonts w:hint="eastAsia" w:ascii="宋体" w:hAnsi="宋体" w:cs="宋体"/>
          <w:sz w:val="24"/>
          <w:szCs w:val="24"/>
        </w:rPr>
        <w:t>乙方应对产品作出全面检查和对验收文件进行整理，并列出清单，作为甲方验收和使用的技术条件依据，检验的结果应随货物交甲方。</w:t>
      </w:r>
    </w:p>
    <w:p>
      <w:pPr>
        <w:pStyle w:val="26"/>
        <w:snapToGrid w:val="0"/>
        <w:spacing w:line="360" w:lineRule="auto"/>
        <w:ind w:firstLine="480" w:firstLineChars="200"/>
        <w:rPr>
          <w:rFonts w:hAnsi="宋体" w:cs="宋体"/>
          <w:sz w:val="24"/>
          <w:szCs w:val="24"/>
        </w:rPr>
      </w:pPr>
      <w:r>
        <w:rPr>
          <w:rFonts w:hAnsi="宋体"/>
          <w:sz w:val="24"/>
          <w:szCs w:val="24"/>
        </w:rPr>
        <w:t>5.</w:t>
      </w: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乙方应当在到货并安装、调试完毕后，达到验收条件时以书面形式提请甲方进行验收，甲方应在收到验收请求后</w:t>
      </w:r>
      <w:r>
        <w:rPr>
          <w:rFonts w:ascii="宋体" w:hAnsi="宋体" w:cs="宋体"/>
          <w:sz w:val="24"/>
        </w:rPr>
        <w:t>5</w:t>
      </w:r>
      <w:r>
        <w:rPr>
          <w:rFonts w:hint="eastAsia" w:ascii="宋体" w:hAnsi="宋体" w:cs="宋体"/>
          <w:sz w:val="24"/>
        </w:rPr>
        <w:t>个工作日内组织开展履约验收。验收合格后由甲乙双方签署货物验收单并加盖甲方公章，甲乙双方各执壹份。</w:t>
      </w:r>
    </w:p>
    <w:p>
      <w:pPr>
        <w:pStyle w:val="26"/>
        <w:snapToGrid w:val="0"/>
        <w:spacing w:line="360" w:lineRule="auto"/>
        <w:ind w:firstLine="480" w:firstLineChars="200"/>
        <w:rPr>
          <w:rFonts w:hAnsi="宋体" w:cs="宋体"/>
          <w:sz w:val="24"/>
          <w:szCs w:val="24"/>
        </w:rPr>
      </w:pPr>
      <w:r>
        <w:rPr>
          <w:rFonts w:hAnsi="宋体"/>
          <w:sz w:val="24"/>
          <w:szCs w:val="24"/>
        </w:rPr>
        <w:t>7.</w:t>
      </w:r>
      <w:r>
        <w:rPr>
          <w:rFonts w:hint="eastAsia" w:hAnsi="宋体" w:cs="宋体"/>
          <w:sz w:val="24"/>
          <w:szCs w:val="24"/>
        </w:rPr>
        <w:t>对技术复杂的货物，甲方可请国家认可的专业检测机构参与初步验收及最终验收，并由其出具质量检测报告。</w:t>
      </w:r>
    </w:p>
    <w:p>
      <w:pPr>
        <w:snapToGrid w:val="0"/>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ascii="宋体" w:hAnsi="宋体" w:cs="宋体"/>
          <w:sz w:val="24"/>
          <w:u w:val="single"/>
        </w:rPr>
      </w:pPr>
      <w:r>
        <w:rPr>
          <w:rFonts w:ascii="宋体" w:hAnsi="宋体" w:cs="宋体"/>
          <w:sz w:val="24"/>
        </w:rPr>
        <w:t>9.</w:t>
      </w:r>
      <w:r>
        <w:rPr>
          <w:rFonts w:hint="eastAsia" w:ascii="宋体" w:hAnsi="宋体" w:cs="宋体"/>
          <w:sz w:val="24"/>
        </w:rPr>
        <w:t>甲方对验收有异议的，在验收后</w:t>
      </w:r>
      <w:r>
        <w:rPr>
          <w:rFonts w:ascii="宋体" w:hAnsi="宋体" w:cs="宋体"/>
          <w:sz w:val="24"/>
        </w:rPr>
        <w:t>5</w:t>
      </w:r>
      <w:r>
        <w:rPr>
          <w:rFonts w:hint="eastAsia" w:ascii="宋体" w:hAnsi="宋体" w:cs="宋体"/>
          <w:sz w:val="24"/>
        </w:rPr>
        <w:t>个工作日内以书面形式向乙方提出，乙方应自收到甲方书面异议后7日内及时予以解决。</w:t>
      </w:r>
    </w:p>
    <w:p>
      <w:pPr>
        <w:snapToGrid w:val="0"/>
        <w:spacing w:line="360" w:lineRule="auto"/>
        <w:ind w:left="-61" w:firstLine="514"/>
        <w:rPr>
          <w:rFonts w:ascii="宋体" w:hAnsi="宋体" w:cs="宋体"/>
          <w:sz w:val="24"/>
        </w:rPr>
      </w:pPr>
      <w:r>
        <w:rPr>
          <w:rFonts w:ascii="宋体" w:hAnsi="宋体" w:cs="宋体"/>
          <w:sz w:val="24"/>
        </w:rPr>
        <w:t>10.</w:t>
      </w:r>
      <w:r>
        <w:rPr>
          <w:rFonts w:hint="eastAsia" w:ascii="宋体" w:hAnsi="宋体" w:cs="宋体"/>
          <w:sz w:val="24"/>
        </w:rPr>
        <w:t>验收时乙方必须在现场，验收完毕后作出验收结果报告；验收过程所产生的一切费用均由乙方承担。</w:t>
      </w:r>
    </w:p>
    <w:p>
      <w:pPr>
        <w:snapToGrid w:val="0"/>
        <w:spacing w:line="360" w:lineRule="auto"/>
        <w:ind w:firstLine="480" w:firstLineChars="200"/>
        <w:rPr>
          <w:rFonts w:ascii="宋体" w:hAnsi="宋体" w:cs="宋体"/>
          <w:sz w:val="24"/>
        </w:rPr>
      </w:pPr>
      <w:r>
        <w:rPr>
          <w:rFonts w:ascii="宋体" w:hAnsi="宋体" w:cs="宋体"/>
          <w:sz w:val="24"/>
        </w:rPr>
        <w:t>11.</w:t>
      </w:r>
      <w:r>
        <w:rPr>
          <w:rFonts w:hint="eastAsia" w:ascii="宋体" w:hAnsi="宋体" w:cs="宋体"/>
          <w:sz w:val="24"/>
        </w:rPr>
        <w:t>货物在交付甲方前发生的风险均由乙方负责。</w:t>
      </w:r>
    </w:p>
    <w:p>
      <w:pPr>
        <w:snapToGrid w:val="0"/>
        <w:spacing w:line="360" w:lineRule="auto"/>
        <w:ind w:firstLine="480" w:firstLineChars="200"/>
      </w:pPr>
      <w:r>
        <w:rPr>
          <w:rFonts w:ascii="宋体" w:hAnsi="宋体" w:cs="宋体"/>
          <w:sz w:val="24"/>
        </w:rPr>
        <w:t>12.</w:t>
      </w:r>
      <w:r>
        <w:rPr>
          <w:rFonts w:hint="eastAsia" w:ascii="宋体" w:hAnsi="宋体" w:cs="宋体"/>
          <w:sz w:val="24"/>
        </w:rPr>
        <w:t>本合同的验收条款与采购需求商务条款中的验收要求互为补充。</w:t>
      </w:r>
    </w:p>
    <w:p>
      <w:pPr>
        <w:snapToGrid w:val="0"/>
        <w:spacing w:line="460" w:lineRule="exact"/>
        <w:ind w:firstLine="482" w:firstLineChars="200"/>
        <w:rPr>
          <w:rFonts w:ascii="宋体" w:hAnsi="宋体" w:cs="宋体"/>
          <w:sz w:val="24"/>
          <w:u w:val="single"/>
        </w:rPr>
      </w:pPr>
      <w:r>
        <w:rPr>
          <w:rFonts w:hint="eastAsia" w:ascii="宋体" w:hAnsi="宋体" w:cs="宋体"/>
          <w:b/>
          <w:sz w:val="24"/>
        </w:rPr>
        <w:t>第七条　付款方式</w:t>
      </w:r>
    </w:p>
    <w:p>
      <w:pPr>
        <w:snapToGrid w:val="0"/>
        <w:spacing w:line="460" w:lineRule="exact"/>
        <w:ind w:firstLine="480" w:firstLineChars="200"/>
        <w:rPr>
          <w:rFonts w:ascii="宋体" w:hAnsi="宋体" w:cs="宋体"/>
          <w:sz w:val="24"/>
          <w:u w:val="single"/>
        </w:rPr>
      </w:pPr>
      <w:r>
        <w:rPr>
          <w:rFonts w:hint="eastAsia" w:ascii="宋体" w:hAnsi="宋体" w:cs="宋体"/>
          <w:sz w:val="24"/>
          <w:u w:val="single"/>
        </w:rPr>
        <w:t>1.国产设备付款：无预付款，乙方供货且完成验收后，甲方一次性支付全部合同款（无息），付款前乙方开具等额增值税专用发票给甲方。</w:t>
      </w:r>
    </w:p>
    <w:p>
      <w:pPr>
        <w:snapToGrid w:val="0"/>
        <w:spacing w:line="460" w:lineRule="exact"/>
        <w:ind w:firstLine="480" w:firstLineChars="200"/>
        <w:rPr>
          <w:rFonts w:ascii="宋体" w:hAnsi="宋体" w:cs="宋体"/>
          <w:sz w:val="24"/>
          <w:u w:val="single"/>
        </w:rPr>
      </w:pPr>
      <w:r>
        <w:rPr>
          <w:rFonts w:hint="eastAsia" w:ascii="宋体" w:hAnsi="宋体" w:cs="宋体"/>
          <w:sz w:val="24"/>
          <w:u w:val="single"/>
        </w:rPr>
        <w:t>2.进口设备付款：本项目外贸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pPr>
        <w:snapToGrid w:val="0"/>
        <w:spacing w:line="460" w:lineRule="exact"/>
        <w:ind w:firstLine="482" w:firstLineChars="200"/>
        <w:rPr>
          <w:rFonts w:ascii="宋体" w:hAnsi="宋体" w:cs="宋体"/>
          <w:b/>
          <w:sz w:val="24"/>
        </w:rPr>
      </w:pPr>
      <w:r>
        <w:rPr>
          <w:rFonts w:hint="eastAsia" w:ascii="宋体" w:hAnsi="宋体" w:cs="宋体"/>
          <w:b/>
          <w:sz w:val="24"/>
        </w:rPr>
        <w:t>第八条　履约保证金</w:t>
      </w:r>
    </w:p>
    <w:p>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w:t>
      </w:r>
      <w:r>
        <w:rPr>
          <w:rFonts w:hint="eastAsia" w:ascii="宋体" w:hAnsi="宋体" w:cs="宋体"/>
          <w:sz w:val="24"/>
          <w:u w:val="single"/>
        </w:rPr>
        <w:t>总</w:t>
      </w:r>
      <w:r>
        <w:rPr>
          <w:rFonts w:hint="eastAsia" w:ascii="宋体" w:hAnsi="宋体" w:cs="宋体"/>
          <w:sz w:val="24"/>
          <w:u w:val="single"/>
          <w:lang w:eastAsia="zh-Hans"/>
        </w:rPr>
        <w:t>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元整；</w:t>
      </w:r>
      <w:r>
        <w:rPr>
          <w:rFonts w:hint="eastAsia" w:ascii="宋体" w:hAnsi="宋体" w:cs="宋体"/>
          <w:sz w:val="24"/>
        </w:rPr>
        <w:t>乙方在签订合同前交至指定账户，否则不予签订合同（履约保证金缴纳时须备注项目编号及项目名称：GXZC2023-G1-002832-KWZB（结构生物学配套平台仪器设备采购项目）履约保证金。）</w:t>
      </w:r>
    </w:p>
    <w:p>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2.履约保证金递交方式：银行转账、电汇或者银行出具的保函等非现金方式。由中标人在签订合同前按规定的金额直接缴入以下采购人账户。凭履约保证金缴纳凭证签订合同。</w:t>
      </w:r>
    </w:p>
    <w:p>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ascii="宋体" w:hAnsi="宋体" w:cs="宋体"/>
          <w:sz w:val="24"/>
        </w:rPr>
      </w:pPr>
      <w:r>
        <w:rPr>
          <w:rFonts w:hint="eastAsia" w:ascii="宋体" w:hAnsi="宋体" w:cs="宋体"/>
          <w:sz w:val="24"/>
        </w:rPr>
        <w:t>4.备注：</w:t>
      </w:r>
    </w:p>
    <w:p>
      <w:pPr>
        <w:snapToGrid w:val="0"/>
        <w:spacing w:line="460" w:lineRule="exact"/>
        <w:ind w:firstLine="480" w:firstLineChars="200"/>
        <w:rPr>
          <w:rFonts w:ascii="宋体" w:hAnsi="宋体" w:cs="宋体"/>
          <w:sz w:val="24"/>
        </w:rPr>
      </w:pPr>
      <w:r>
        <w:rPr>
          <w:rFonts w:hint="eastAsia" w:ascii="宋体" w:hAnsi="宋体" w:cs="宋体"/>
          <w:sz w:val="24"/>
        </w:rPr>
        <w:t>（1）履约保证金不足额缴纳的，或银行出具的保函额度不足的或者银行保函有效期低于合同履行期限（即签订采购合同之日起至履行完合同约定的权利及义务之日止）的，不予签订合同。</w:t>
      </w:r>
    </w:p>
    <w:p>
      <w:pPr>
        <w:snapToGrid w:val="0"/>
        <w:spacing w:line="460" w:lineRule="exact"/>
        <w:ind w:firstLine="480" w:firstLineChars="200"/>
        <w:rPr>
          <w:rFonts w:ascii="宋体" w:hAnsi="宋体" w:cs="宋体"/>
          <w:sz w:val="24"/>
        </w:rPr>
      </w:pPr>
      <w:r>
        <w:rPr>
          <w:rFonts w:hint="eastAsia" w:ascii="宋体" w:hAnsi="宋体" w:cs="宋体"/>
          <w:sz w:val="24"/>
        </w:rPr>
        <w:t>（2）采用银行出具的保函的，必须为无条件的银行保函，否则不予签订合同。</w:t>
      </w:r>
    </w:p>
    <w:p>
      <w:pPr>
        <w:snapToGrid w:val="0"/>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rPr>
        <w:t>履约保证金缴纳时须明确备注项目编号（</w:t>
      </w:r>
      <w:r>
        <w:rPr>
          <w:rFonts w:hint="eastAsia" w:ascii="宋体" w:hAnsi="宋体" w:cs="宋体"/>
          <w:b/>
          <w:sz w:val="24"/>
          <w:lang w:eastAsia="zh-CN"/>
        </w:rPr>
        <w:t>GXZC2023-G1-002832-KWZB</w:t>
      </w:r>
      <w:r>
        <w:rPr>
          <w:rFonts w:hint="eastAsia" w:ascii="宋体" w:hAnsi="宋体" w:cs="宋体"/>
          <w:b/>
          <w:sz w:val="24"/>
        </w:rPr>
        <w:t>履约保证金）</w:t>
      </w:r>
      <w:r>
        <w:rPr>
          <w:rFonts w:hint="eastAsia" w:ascii="宋体" w:hAnsi="宋体" w:cs="宋体"/>
          <w:sz w:val="24"/>
        </w:rPr>
        <w:t>。</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pPr>
        <w:snapToGrid w:val="0"/>
        <w:spacing w:line="460" w:lineRule="exact"/>
        <w:ind w:firstLine="514"/>
        <w:rPr>
          <w:rFonts w:ascii="宋体" w:hAnsi="宋体" w:cs="宋体"/>
          <w:b/>
          <w:sz w:val="24"/>
        </w:rPr>
      </w:pPr>
      <w:r>
        <w:rPr>
          <w:rFonts w:hint="eastAsia" w:ascii="宋体" w:hAnsi="宋体" w:cs="宋体"/>
          <w:b/>
          <w:sz w:val="24"/>
        </w:rPr>
        <w:t>第九条  税费</w:t>
      </w:r>
    </w:p>
    <w:p>
      <w:pPr>
        <w:snapToGrid w:val="0"/>
        <w:spacing w:line="460" w:lineRule="exact"/>
        <w:ind w:firstLine="514"/>
        <w:rPr>
          <w:rFonts w:ascii="宋体" w:hAnsi="宋体" w:cs="宋体"/>
          <w:sz w:val="24"/>
        </w:rPr>
      </w:pPr>
      <w:r>
        <w:rPr>
          <w:rFonts w:hint="eastAsia" w:ascii="宋体" w:hAnsi="宋体" w:cs="宋体"/>
          <w:sz w:val="24"/>
        </w:rPr>
        <w:t>本合同执行中相关的一切税费均由乙方负担，合同另有约定的除外。</w:t>
      </w:r>
    </w:p>
    <w:p>
      <w:pPr>
        <w:snapToGrid w:val="0"/>
        <w:spacing w:line="460" w:lineRule="exact"/>
        <w:ind w:firstLine="514"/>
        <w:rPr>
          <w:rFonts w:ascii="宋体" w:hAnsi="宋体" w:cs="宋体"/>
          <w:sz w:val="24"/>
        </w:rPr>
      </w:pPr>
      <w:r>
        <w:rPr>
          <w:rFonts w:hint="eastAsia" w:ascii="宋体" w:hAnsi="宋体" w:cs="宋体"/>
          <w:b/>
          <w:sz w:val="24"/>
        </w:rPr>
        <w:t>第十条  质量保证、售后服务</w:t>
      </w:r>
    </w:p>
    <w:p>
      <w:pPr>
        <w:snapToGrid w:val="0"/>
        <w:spacing w:line="460" w:lineRule="exact"/>
        <w:ind w:firstLine="480" w:firstLineChars="200"/>
        <w:rPr>
          <w:rFonts w:ascii="宋体" w:hAnsi="宋体" w:cs="宋体"/>
          <w:bCs/>
          <w:kern w:val="0"/>
          <w:sz w:val="24"/>
        </w:rPr>
      </w:pPr>
      <w:r>
        <w:rPr>
          <w:rFonts w:hint="eastAsia" w:hAnsi="宋体" w:cs="宋体"/>
          <w:sz w:val="24"/>
        </w:rPr>
        <w:t>1.</w:t>
      </w:r>
      <w:r>
        <w:rPr>
          <w:rFonts w:hint="eastAsia" w:ascii="宋体" w:hAnsi="宋体" w:cs="宋体"/>
          <w:bCs/>
          <w:kern w:val="0"/>
          <w:sz w:val="24"/>
        </w:rPr>
        <w:t>乙方应按照国家有关法律法规和“三包”规定以及招投标文件（采购文件）和本合同所附的《售后服务承诺》，为甲方提供售后服务。</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2.乙方应按招标文件规定的设备和软件性能、技术要求、质量标准向甲方提供未经使用的全新产品。对达不到要求者，根据实际情况，经双方协商，可按以下办法处理：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（1）更换：由乙方承担所发生的全部费用。</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（2）贬值处理：由甲乙双方合议定价。</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如果双方不能就上述第（1）、（2）项达成协议，则甲方有权单方选择第（3）项方式。</w:t>
      </w:r>
    </w:p>
    <w:p>
      <w:pPr>
        <w:snapToGrid w:val="0"/>
        <w:spacing w:line="460" w:lineRule="exact"/>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.乙方提供的服务承诺和售后服务及质量保证期责任等其他具体约定事项（见合同附件）。</w:t>
      </w:r>
    </w:p>
    <w:p>
      <w:pPr>
        <w:snapToGrid w:val="0"/>
        <w:spacing w:line="460" w:lineRule="exact"/>
        <w:ind w:firstLine="480" w:firstLineChars="200"/>
        <w:rPr>
          <w:rFonts w:ascii="宋体" w:hAnsi="宋体" w:cs="宋体"/>
          <w:bCs/>
          <w:kern w:val="0"/>
          <w:sz w:val="24"/>
        </w:rPr>
      </w:pPr>
      <w:r>
        <w:rPr>
          <w:rFonts w:hAnsi="宋体" w:cs="宋体"/>
          <w:sz w:val="24"/>
        </w:rPr>
        <w:t>4</w:t>
      </w:r>
      <w:r>
        <w:rPr>
          <w:rFonts w:hint="eastAsia" w:hAnsi="宋体" w:cs="宋体"/>
          <w:sz w:val="24"/>
        </w:rPr>
        <w:t>.</w:t>
      </w:r>
      <w:r>
        <w:rPr>
          <w:rFonts w:hint="eastAsia" w:ascii="宋体" w:hAnsi="宋体" w:cs="宋体"/>
          <w:bCs/>
          <w:kern w:val="0"/>
          <w:sz w:val="24"/>
        </w:rPr>
        <w:t>乙方除承担运输、安装、调试、验收与培训等义务外，还将为甲方提供技术支持，包括</w:t>
      </w:r>
      <w:r>
        <w:rPr>
          <w:rFonts w:hint="eastAsia" w:ascii="宋体" w:hAnsi="宋体" w:cs="宋体"/>
          <w:sz w:val="24"/>
        </w:rPr>
        <w:t>质量保证期</w:t>
      </w:r>
      <w:r>
        <w:rPr>
          <w:rFonts w:hint="eastAsia" w:ascii="宋体" w:hAnsi="宋体" w:cs="宋体"/>
          <w:bCs/>
          <w:kern w:val="0"/>
          <w:sz w:val="24"/>
        </w:rPr>
        <w:t>外的技术指导。</w:t>
      </w:r>
    </w:p>
    <w:p>
      <w:pPr>
        <w:snapToGrid w:val="0"/>
        <w:spacing w:line="460" w:lineRule="exact"/>
        <w:ind w:firstLine="480" w:firstLineChars="200"/>
        <w:rPr>
          <w:rFonts w:ascii="宋体" w:hAnsi="宋体" w:cs="宋体"/>
          <w:bCs/>
          <w:kern w:val="0"/>
          <w:sz w:val="24"/>
        </w:rPr>
      </w:pPr>
      <w:r>
        <w:rPr>
          <w:rFonts w:hAnsi="宋体" w:cs="宋体"/>
          <w:sz w:val="24"/>
        </w:rPr>
        <w:t>5</w:t>
      </w:r>
      <w:r>
        <w:rPr>
          <w:rFonts w:hint="eastAsia" w:hAnsi="宋体" w:cs="宋体"/>
          <w:sz w:val="24"/>
        </w:rPr>
        <w:t>.</w:t>
      </w:r>
      <w:r>
        <w:rPr>
          <w:rFonts w:hint="eastAsia" w:ascii="宋体" w:hAnsi="宋体" w:cs="宋体"/>
          <w:bCs/>
          <w:kern w:val="0"/>
          <w:sz w:val="24"/>
        </w:rPr>
        <w:t>在</w:t>
      </w:r>
      <w:r>
        <w:rPr>
          <w:rFonts w:hint="eastAsia" w:ascii="宋体" w:hAnsi="宋体" w:cs="宋体"/>
          <w:sz w:val="24"/>
        </w:rPr>
        <w:t>质量保证期</w:t>
      </w:r>
      <w:r>
        <w:rPr>
          <w:rFonts w:hint="eastAsia" w:ascii="宋体" w:hAnsi="宋体" w:cs="宋体"/>
          <w:bCs/>
          <w:kern w:val="0"/>
          <w:sz w:val="24"/>
        </w:rPr>
        <w:t>内，乙方应对货物出现的质量及安全问题负责处理解决并承担一切费用。</w:t>
      </w:r>
    </w:p>
    <w:p>
      <w:pPr>
        <w:snapToGrid w:val="0"/>
        <w:spacing w:line="460" w:lineRule="exact"/>
        <w:ind w:firstLine="480" w:firstLineChars="200"/>
        <w:rPr>
          <w:rFonts w:ascii="宋体" w:hAnsi="宋体" w:cs="宋体"/>
          <w:bCs/>
          <w:kern w:val="0"/>
          <w:sz w:val="24"/>
        </w:rPr>
      </w:pPr>
      <w:r>
        <w:rPr>
          <w:rFonts w:hAnsi="宋体" w:cs="宋体"/>
          <w:sz w:val="24"/>
        </w:rPr>
        <w:t>6</w:t>
      </w:r>
      <w:r>
        <w:rPr>
          <w:rFonts w:hint="eastAsia" w:hAnsi="宋体" w:cs="宋体"/>
          <w:sz w:val="24"/>
        </w:rPr>
        <w:t>.</w:t>
      </w:r>
      <w:r>
        <w:rPr>
          <w:rFonts w:hint="eastAsia" w:ascii="宋体" w:hAnsi="宋体" w:cs="宋体"/>
          <w:bCs/>
          <w:kern w:val="0"/>
          <w:sz w:val="24"/>
        </w:rPr>
        <w:t>超过</w:t>
      </w:r>
      <w:r>
        <w:rPr>
          <w:rFonts w:hint="eastAsia" w:ascii="宋体" w:hAnsi="宋体" w:cs="宋体"/>
          <w:sz w:val="24"/>
        </w:rPr>
        <w:t>质量保证期</w:t>
      </w:r>
      <w:r>
        <w:rPr>
          <w:rFonts w:hint="eastAsia" w:ascii="宋体" w:hAnsi="宋体" w:cs="宋体"/>
          <w:bCs/>
          <w:kern w:val="0"/>
          <w:sz w:val="24"/>
        </w:rPr>
        <w:t>的机器设备，终身维修，维修时只收部件成本费。</w:t>
      </w:r>
    </w:p>
    <w:p>
      <w:pPr>
        <w:snapToGrid w:val="0"/>
        <w:spacing w:line="460" w:lineRule="exact"/>
        <w:ind w:firstLine="480" w:firstLineChars="200"/>
        <w:rPr>
          <w:rFonts w:ascii="宋体" w:hAnsi="宋体" w:cs="宋体"/>
          <w:sz w:val="24"/>
        </w:rPr>
      </w:pPr>
      <w:r>
        <w:rPr>
          <w:rFonts w:hAnsi="宋体" w:cs="宋体"/>
          <w:sz w:val="24"/>
        </w:rPr>
        <w:t>7</w:t>
      </w:r>
      <w:r>
        <w:rPr>
          <w:rFonts w:hint="eastAsia" w:hAnsi="宋体" w:cs="宋体"/>
          <w:sz w:val="24"/>
        </w:rPr>
        <w:t>.</w:t>
      </w:r>
      <w:r>
        <w:rPr>
          <w:rFonts w:hint="eastAsia" w:ascii="宋体" w:hAnsi="宋体" w:cs="宋体"/>
          <w:bCs/>
          <w:kern w:val="0"/>
          <w:sz w:val="24"/>
        </w:rPr>
        <w:t>货物</w:t>
      </w:r>
      <w:r>
        <w:rPr>
          <w:rFonts w:hint="eastAsia" w:ascii="宋体" w:hAnsi="宋体" w:cs="宋体"/>
          <w:sz w:val="24"/>
        </w:rPr>
        <w:t>质量保证期</w:t>
      </w:r>
      <w:r>
        <w:rPr>
          <w:rFonts w:hint="eastAsia" w:ascii="宋体" w:hAnsi="宋体" w:cs="宋体"/>
          <w:bCs/>
          <w:kern w:val="0"/>
          <w:sz w:val="24"/>
        </w:rPr>
        <w:t>：</w:t>
      </w:r>
      <w:r>
        <w:rPr>
          <w:rFonts w:hint="eastAsia" w:ascii="宋体" w:hAnsi="宋体" w:cs="宋体"/>
          <w:sz w:val="24"/>
          <w:u w:val="single"/>
        </w:rPr>
        <w:t>按国家有关产品“三包”规定执行“三包”，质量保证期*</w:t>
      </w:r>
      <w:r>
        <w:rPr>
          <w:rFonts w:ascii="宋体" w:hAnsi="宋体" w:cs="宋体"/>
          <w:sz w:val="24"/>
          <w:u w:val="single"/>
        </w:rPr>
        <w:t>*</w:t>
      </w:r>
      <w:r>
        <w:rPr>
          <w:rFonts w:hint="eastAsia" w:ascii="宋体" w:hAnsi="宋体" w:cs="宋体"/>
          <w:sz w:val="24"/>
          <w:u w:val="single"/>
        </w:rPr>
        <w:t xml:space="preserve"> 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pPr>
        <w:snapToGrid w:val="0"/>
        <w:spacing w:line="460" w:lineRule="exact"/>
        <w:ind w:firstLine="482" w:firstLineChars="200"/>
        <w:rPr>
          <w:rFonts w:ascii="宋体" w:hAnsi="宋体" w:cs="宋体"/>
          <w:b/>
          <w:sz w:val="24"/>
        </w:rPr>
      </w:pPr>
      <w:r>
        <w:rPr>
          <w:rFonts w:hint="eastAsia" w:ascii="宋体" w:hAnsi="宋体" w:cs="宋体"/>
          <w:b/>
          <w:sz w:val="24"/>
        </w:rPr>
        <w:t>第十一条　违约责任</w:t>
      </w:r>
    </w:p>
    <w:p>
      <w:pPr>
        <w:pStyle w:val="26"/>
        <w:snapToGrid w:val="0"/>
        <w:spacing w:line="460" w:lineRule="exact"/>
        <w:ind w:firstLine="470" w:firstLineChars="196"/>
        <w:rPr>
          <w:rFonts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 5%违约金并赔偿甲方经济损失。                                       </w:t>
      </w:r>
    </w:p>
    <w:p>
      <w:pPr>
        <w:pStyle w:val="26"/>
        <w:snapToGrid w:val="0"/>
        <w:spacing w:line="460" w:lineRule="exact"/>
        <w:ind w:firstLine="470" w:firstLineChars="196"/>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pPr>
        <w:pStyle w:val="26"/>
        <w:snapToGrid w:val="0"/>
        <w:spacing w:line="460" w:lineRule="exact"/>
        <w:ind w:firstLine="470" w:firstLineChars="196"/>
        <w:rPr>
          <w:rFonts w:hAnsi="宋体" w:cs="宋体"/>
          <w:sz w:val="24"/>
          <w:szCs w:val="24"/>
        </w:rPr>
      </w:pPr>
      <w:r>
        <w:rPr>
          <w:rFonts w:hint="eastAsia" w:hAnsi="宋体" w:cs="宋体"/>
          <w:sz w:val="24"/>
          <w:szCs w:val="24"/>
        </w:rPr>
        <w:t>3.因包装、运输引起的货物损坏，按质量不合格处理。</w:t>
      </w:r>
    </w:p>
    <w:p>
      <w:pPr>
        <w:pStyle w:val="26"/>
        <w:snapToGrid w:val="0"/>
        <w:spacing w:line="460" w:lineRule="exact"/>
        <w:ind w:firstLine="470" w:firstLineChars="196"/>
        <w:rPr>
          <w:rFonts w:hAnsi="宋体" w:cs="宋体"/>
          <w:sz w:val="24"/>
          <w:szCs w:val="24"/>
        </w:rPr>
      </w:pPr>
      <w:r>
        <w:rPr>
          <w:rFonts w:hint="eastAsia" w:hAnsi="宋体" w:cs="宋体"/>
          <w:sz w:val="24"/>
          <w:szCs w:val="24"/>
        </w:rPr>
        <w:t>4.合同一方不履行合同义务、履行合同义务不符合约定或者违反合同项下所作保证的，应向对方承担继续履行、采取修理、更换、退货等补救措施或者赔偿损失等违约责任。</w:t>
      </w:r>
    </w:p>
    <w:p>
      <w:pPr>
        <w:pStyle w:val="26"/>
        <w:snapToGrid w:val="0"/>
        <w:spacing w:line="460" w:lineRule="exact"/>
        <w:ind w:firstLine="470" w:firstLineChars="196"/>
        <w:rPr>
          <w:rFonts w:hAnsi="宋体" w:cs="宋体"/>
          <w:sz w:val="24"/>
          <w:szCs w:val="24"/>
        </w:rPr>
      </w:pPr>
      <w:r>
        <w:rPr>
          <w:rFonts w:hint="eastAsia" w:hAnsi="宋体" w:cs="宋体"/>
          <w:sz w:val="24"/>
          <w:szCs w:val="24"/>
        </w:rPr>
        <w:t>5.乙方未能按时交付货物的，应向甲方支付迟延交付违约金。迟延交付违约金的计算方法如下：</w:t>
      </w:r>
    </w:p>
    <w:p>
      <w:pPr>
        <w:pStyle w:val="26"/>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日，每日迟延交付违约金为合同总价的 1.5‰；</w:t>
      </w:r>
    </w:p>
    <w:p>
      <w:pPr>
        <w:pStyle w:val="26"/>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到第6</w:t>
      </w:r>
      <w:r>
        <w:rPr>
          <w:rFonts w:hAnsi="宋体" w:cs="宋体"/>
          <w:sz w:val="24"/>
          <w:szCs w:val="24"/>
        </w:rPr>
        <w:t>0</w:t>
      </w:r>
      <w:r>
        <w:rPr>
          <w:rFonts w:hint="eastAsia" w:hAnsi="宋体" w:cs="宋体"/>
          <w:sz w:val="24"/>
          <w:szCs w:val="24"/>
        </w:rPr>
        <w:t>日，每日迟延交付违约金为合同总价的 3‰；</w:t>
      </w:r>
    </w:p>
    <w:p>
      <w:pPr>
        <w:pStyle w:val="26"/>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日起，每日迟延交付违约金为合同总价的5‰。</w:t>
      </w:r>
    </w:p>
    <w:p>
      <w:pPr>
        <w:pStyle w:val="26"/>
        <w:snapToGrid w:val="0"/>
        <w:spacing w:line="460" w:lineRule="exact"/>
        <w:ind w:firstLine="470" w:firstLineChars="196"/>
        <w:rPr>
          <w:rFonts w:hAnsi="宋体" w:cs="宋体"/>
          <w:sz w:val="24"/>
          <w:szCs w:val="24"/>
        </w:rPr>
      </w:pPr>
      <w:r>
        <w:rPr>
          <w:rFonts w:hint="eastAsia" w:hAnsi="宋体" w:cs="宋体"/>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pPr>
        <w:pStyle w:val="26"/>
        <w:snapToGrid w:val="0"/>
        <w:spacing w:line="460" w:lineRule="exact"/>
        <w:ind w:firstLine="470" w:firstLineChars="196"/>
        <w:rPr>
          <w:rFonts w:hAnsi="宋体" w:cs="宋体"/>
          <w:sz w:val="24"/>
          <w:szCs w:val="24"/>
        </w:rPr>
      </w:pPr>
      <w:r>
        <w:rPr>
          <w:rFonts w:hint="eastAsia" w:hAnsi="宋体" w:cs="宋体"/>
          <w:sz w:val="24"/>
          <w:szCs w:val="24"/>
        </w:rPr>
        <w:t>6.甲方未能按合同约定支付合同价款的，应向乙方支付延迟付款违约金。迟延付款违约金的计算方法如下：</w:t>
      </w:r>
    </w:p>
    <w:p>
      <w:pPr>
        <w:pStyle w:val="26"/>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日，每日迟延付款违约金为迟延付款金额的1.5‰；</w:t>
      </w:r>
    </w:p>
    <w:p>
      <w:pPr>
        <w:pStyle w:val="26"/>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日到第60日，每日迟延付款违约金为迟延付款金额的3‰；</w:t>
      </w:r>
    </w:p>
    <w:p>
      <w:pPr>
        <w:pStyle w:val="26"/>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日起，每日迟延付款违约金为迟延付款金额的 5‰。迟延付款违约金的总额不得超过迟延付款金额的30% 。</w:t>
      </w:r>
    </w:p>
    <w:p>
      <w:pPr>
        <w:pStyle w:val="26"/>
        <w:snapToGrid w:val="0"/>
        <w:spacing w:line="460" w:lineRule="exact"/>
        <w:ind w:firstLine="470" w:firstLineChars="196"/>
        <w:rPr>
          <w:rFonts w:hAnsi="宋体" w:cs="宋体"/>
          <w:sz w:val="24"/>
          <w:szCs w:val="24"/>
        </w:rPr>
      </w:pPr>
      <w:r>
        <w:rPr>
          <w:rFonts w:hint="eastAsia" w:hAnsi="宋体" w:cs="宋体"/>
          <w:sz w:val="24"/>
          <w:szCs w:val="24"/>
        </w:rPr>
        <w:t>7.乙方未按本合同和投标文件承诺提供售后服务的，乙方应按本合同总价的5%向甲方支付违约金。</w:t>
      </w:r>
    </w:p>
    <w:p>
      <w:pPr>
        <w:pStyle w:val="26"/>
        <w:snapToGrid w:val="0"/>
        <w:spacing w:line="44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乙方违约，甲方对本合同享有单方解除权。</w:t>
      </w:r>
    </w:p>
    <w:p>
      <w:pPr>
        <w:pStyle w:val="26"/>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.因某一方</w:t>
      </w:r>
      <w:r>
        <w:rPr>
          <w:rFonts w:hint="eastAsia" w:asciiTheme="minorEastAsia" w:hAnsiTheme="minorEastAsia" w:eastAsiaTheme="minorEastAsia"/>
          <w:bCs/>
          <w:sz w:val="24"/>
          <w:shd w:val="clear" w:color="auto" w:fill="FFFFFF"/>
        </w:rPr>
        <w:t>单方面</w:t>
      </w:r>
      <w:r>
        <w:rPr>
          <w:rFonts w:hint="eastAsia" w:cs="宋体" w:asciiTheme="minorEastAsia" w:hAnsiTheme="minorEastAsia" w:eastAsiaTheme="minorEastAsia"/>
          <w:sz w:val="24"/>
          <w:szCs w:val="24"/>
        </w:rPr>
        <w:t>原因导致变更、中止或者终止</w:t>
      </w:r>
      <w:bookmarkStart w:id="143" w:name="_Hlk123747227"/>
      <w:r>
        <w:rPr>
          <w:rFonts w:hint="eastAsia" w:asciiTheme="minorEastAsia" w:hAnsiTheme="minorEastAsia" w:eastAsiaTheme="minorEastAsia"/>
          <w:bCs/>
          <w:sz w:val="24"/>
          <w:shd w:val="clear" w:color="auto" w:fill="FFFFFF"/>
        </w:rPr>
        <w:t>本</w:t>
      </w:r>
      <w:bookmarkEnd w:id="143"/>
      <w:r>
        <w:rPr>
          <w:rFonts w:hint="eastAsia" w:cs="宋体" w:asciiTheme="minorEastAsia" w:hAnsiTheme="minorEastAsia" w:eastAsiaTheme="minorEastAsia"/>
          <w:sz w:val="24"/>
          <w:szCs w:val="24"/>
        </w:rPr>
        <w:t>合同的，该方应当对另一方</w:t>
      </w:r>
      <w:r>
        <w:rPr>
          <w:rFonts w:hint="eastAsia" w:asciiTheme="minorEastAsia" w:hAnsiTheme="minorEastAsia" w:eastAsiaTheme="minorEastAsia"/>
          <w:bCs/>
          <w:sz w:val="24"/>
          <w:shd w:val="clear" w:color="auto" w:fill="FFFFFF"/>
        </w:rPr>
        <w:t>因此</w:t>
      </w:r>
      <w:r>
        <w:rPr>
          <w:rFonts w:hint="eastAsia" w:cs="宋体" w:asciiTheme="minorEastAsia" w:hAnsiTheme="minorEastAsia" w:eastAsiaTheme="minorEastAsia"/>
          <w:sz w:val="24"/>
          <w:szCs w:val="24"/>
        </w:rPr>
        <w:t>受到的损失予以赔偿或者补偿。</w:t>
      </w:r>
    </w:p>
    <w:p>
      <w:pPr>
        <w:pStyle w:val="26"/>
        <w:snapToGrid w:val="0"/>
        <w:spacing w:line="440" w:lineRule="exact"/>
        <w:ind w:firstLine="480" w:firstLineChars="200"/>
        <w:rPr>
          <w:rFonts w:hAnsi="宋体" w:cs="宋体"/>
          <w:sz w:val="24"/>
          <w:szCs w:val="24"/>
        </w:rPr>
      </w:pPr>
      <w:r>
        <w:rPr>
          <w:rFonts w:hAnsi="宋体" w:cs="宋体"/>
          <w:sz w:val="24"/>
          <w:szCs w:val="24"/>
        </w:rPr>
        <w:t>10</w:t>
      </w:r>
      <w:r>
        <w:rPr>
          <w:rFonts w:hint="eastAsia" w:hAnsi="宋体" w:cs="宋体"/>
          <w:sz w:val="24"/>
          <w:szCs w:val="24"/>
        </w:rPr>
        <w:t>.乙方提供的货物在质量保证期内，因设计、工艺或者材料的缺陷和其它质量原因造成的问题，由乙方负责，费用从余款或者履约保证金中扣除，不足另补。</w:t>
      </w:r>
    </w:p>
    <w:p>
      <w:pPr>
        <w:pStyle w:val="26"/>
        <w:snapToGrid w:val="0"/>
        <w:spacing w:line="44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1</w:t>
      </w:r>
      <w:r>
        <w:rPr>
          <w:rFonts w:hint="eastAsia" w:hAnsi="宋体" w:cs="宋体"/>
          <w:sz w:val="24"/>
          <w:szCs w:val="24"/>
        </w:rPr>
        <w:t>.甲乙双方有其他违约行为的，由违约方向对方支付违约货款额的5%，违约货款额的5%不足以赔偿经济损失的按实际损失赔偿。</w:t>
      </w:r>
    </w:p>
    <w:p>
      <w:pPr>
        <w:pStyle w:val="26"/>
        <w:snapToGrid w:val="0"/>
        <w:spacing w:line="440" w:lineRule="exact"/>
        <w:ind w:firstLine="470" w:firstLineChars="196"/>
        <w:rPr>
          <w:rFonts w:hAnsi="宋体" w:cs="宋体"/>
          <w:sz w:val="24"/>
          <w:szCs w:val="24"/>
        </w:rPr>
      </w:pPr>
      <w:r>
        <w:rPr>
          <w:rFonts w:hint="eastAsia" w:hAnsi="宋体" w:cs="宋体"/>
          <w:sz w:val="24"/>
          <w:szCs w:val="24"/>
        </w:rPr>
        <w:t>1</w:t>
      </w:r>
      <w:r>
        <w:rPr>
          <w:rFonts w:hAnsi="宋体" w:cs="宋体"/>
          <w:sz w:val="24"/>
          <w:szCs w:val="24"/>
        </w:rPr>
        <w:t>2</w:t>
      </w:r>
      <w:r>
        <w:rPr>
          <w:rFonts w:hint="eastAsia" w:hAnsi="宋体" w:cs="宋体"/>
          <w:sz w:val="24"/>
          <w:szCs w:val="24"/>
        </w:rPr>
        <w:t>.其他违约责任按《中华人民共和国民法典》处理。</w:t>
      </w:r>
    </w:p>
    <w:p>
      <w:pPr>
        <w:pStyle w:val="26"/>
        <w:snapToGrid w:val="0"/>
        <w:spacing w:line="460" w:lineRule="exact"/>
        <w:ind w:firstLine="472" w:firstLineChars="196"/>
        <w:rPr>
          <w:rFonts w:hAnsi="宋体" w:cs="宋体"/>
          <w:b/>
          <w:bCs/>
          <w:sz w:val="24"/>
          <w:szCs w:val="24"/>
        </w:rPr>
      </w:pPr>
      <w:r>
        <w:rPr>
          <w:rFonts w:hint="eastAsia" w:hAnsi="宋体" w:cs="宋体"/>
          <w:b/>
          <w:bCs/>
          <w:sz w:val="24"/>
          <w:szCs w:val="24"/>
        </w:rPr>
        <w:t>第十二条  不可抗力事件处理</w:t>
      </w:r>
    </w:p>
    <w:p>
      <w:pPr>
        <w:pStyle w:val="26"/>
        <w:snapToGrid w:val="0"/>
        <w:spacing w:line="460" w:lineRule="exact"/>
        <w:ind w:firstLine="470" w:firstLineChars="196"/>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pPr>
        <w:pStyle w:val="26"/>
        <w:snapToGrid w:val="0"/>
        <w:spacing w:line="460" w:lineRule="exac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pPr>
        <w:snapToGrid w:val="0"/>
        <w:spacing w:line="460" w:lineRule="exact"/>
        <w:ind w:firstLine="480" w:firstLineChars="200"/>
        <w:rPr>
          <w:rFonts w:ascii="宋体" w:hAnsi="宋体" w:cs="宋体"/>
          <w:sz w:val="24"/>
        </w:rPr>
      </w:pPr>
      <w:r>
        <w:rPr>
          <w:rFonts w:hint="eastAsia" w:ascii="宋体" w:hAnsi="宋体" w:cs="宋体"/>
          <w:sz w:val="24"/>
        </w:rPr>
        <w:t>3.不可抗力事件延续</w:t>
      </w:r>
      <w:r>
        <w:rPr>
          <w:rFonts w:ascii="宋体" w:hAnsi="宋体" w:cs="宋体"/>
          <w:sz w:val="24"/>
        </w:rPr>
        <w:t>60</w:t>
      </w:r>
      <w:r>
        <w:rPr>
          <w:rFonts w:hint="eastAsia" w:ascii="宋体" w:hAnsi="宋体" w:cs="宋体"/>
          <w:sz w:val="24"/>
        </w:rPr>
        <w:t>天以上，双方应通过友好协商，确定是否继续履行合同。</w:t>
      </w:r>
    </w:p>
    <w:p>
      <w:pPr>
        <w:snapToGrid w:val="0"/>
        <w:spacing w:line="460" w:lineRule="exact"/>
        <w:ind w:firstLine="482" w:firstLineChars="200"/>
        <w:rPr>
          <w:rFonts w:ascii="宋体" w:hAnsi="宋体" w:cs="宋体"/>
          <w:sz w:val="24"/>
        </w:rPr>
      </w:pPr>
      <w:r>
        <w:rPr>
          <w:rFonts w:hint="eastAsia" w:ascii="宋体" w:hAnsi="宋体" w:cs="宋体"/>
          <w:b/>
          <w:sz w:val="24"/>
        </w:rPr>
        <w:t>第十三条  合同争议解决</w:t>
      </w:r>
    </w:p>
    <w:p>
      <w:pPr>
        <w:snapToGrid w:val="0"/>
        <w:spacing w:line="460" w:lineRule="exac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514"/>
        <w:rPr>
          <w:rFonts w:ascii="宋体" w:hAnsi="宋体" w:cs="宋体"/>
          <w:sz w:val="24"/>
        </w:rPr>
      </w:pPr>
      <w:r>
        <w:rPr>
          <w:rFonts w:hint="eastAsia" w:ascii="宋体" w:hAnsi="宋体" w:cs="宋体"/>
          <w:sz w:val="24"/>
        </w:rPr>
        <w:t>3.诉讼期间，本合同无争议部分须继续履行。</w:t>
      </w:r>
    </w:p>
    <w:p>
      <w:pPr>
        <w:pStyle w:val="26"/>
        <w:snapToGrid w:val="0"/>
        <w:spacing w:line="460" w:lineRule="exact"/>
        <w:ind w:firstLine="472" w:firstLineChars="196"/>
        <w:rPr>
          <w:rFonts w:hAnsi="宋体" w:cs="宋体"/>
          <w:b/>
          <w:sz w:val="24"/>
          <w:szCs w:val="24"/>
        </w:rPr>
      </w:pPr>
      <w:r>
        <w:rPr>
          <w:rFonts w:hint="eastAsia" w:hAnsi="宋体" w:cs="宋体"/>
          <w:b/>
          <w:sz w:val="24"/>
          <w:szCs w:val="24"/>
        </w:rPr>
        <w:t>第十四条  合同生效及其他</w:t>
      </w:r>
    </w:p>
    <w:p>
      <w:pPr>
        <w:pStyle w:val="26"/>
        <w:snapToGrid w:val="0"/>
        <w:spacing w:line="460" w:lineRule="exact"/>
        <w:ind w:firstLine="480" w:firstLineChars="200"/>
        <w:rPr>
          <w:rFonts w:hAnsi="宋体" w:cs="宋体"/>
          <w:kern w:val="2"/>
          <w:sz w:val="24"/>
          <w:szCs w:val="24"/>
        </w:rPr>
      </w:pPr>
      <w:r>
        <w:rPr>
          <w:rFonts w:hint="eastAsia" w:hAnsi="宋体" w:cs="宋体"/>
          <w:kern w:val="2"/>
          <w:sz w:val="24"/>
          <w:szCs w:val="24"/>
        </w:rPr>
        <w:t>1. 合同经双方法定代表人或者委托代理人签字并加盖单位公章后生效（委托代理人签字的需后附授权委托书，格式自拟）。</w:t>
      </w:r>
    </w:p>
    <w:p>
      <w:pPr>
        <w:pStyle w:val="26"/>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pPr>
        <w:pStyle w:val="26"/>
        <w:snapToGrid w:val="0"/>
        <w:spacing w:line="46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ascii="宋体" w:hAnsi="宋体" w:cs="宋体"/>
          <w:b/>
          <w:sz w:val="24"/>
        </w:rPr>
      </w:pPr>
      <w:r>
        <w:rPr>
          <w:rFonts w:hint="eastAsia" w:ascii="宋体" w:hAnsi="宋体" w:cs="宋体"/>
          <w:b/>
          <w:sz w:val="24"/>
        </w:rPr>
        <w:t>第十五条　合同的变更、终止与转让</w:t>
      </w:r>
    </w:p>
    <w:p>
      <w:pPr>
        <w:snapToGrid w:val="0"/>
        <w:spacing w:line="460" w:lineRule="exact"/>
        <w:ind w:firstLine="480" w:firstLineChars="200"/>
        <w:rPr>
          <w:rFonts w:ascii="宋体" w:hAnsi="宋体" w:cs="宋体"/>
          <w:sz w:val="24"/>
        </w:rPr>
      </w:pPr>
      <w:r>
        <w:rPr>
          <w:rFonts w:hint="eastAsia" w:ascii="宋体" w:hAnsi="宋体" w:cs="宋体"/>
          <w:sz w:val="24"/>
        </w:rPr>
        <w:t>1. 除《中华人民共和国政府采购法》第五十条规定的情形外，本合同一经签订，甲乙双方不得擅自变更、中止或者终止。</w:t>
      </w:r>
    </w:p>
    <w:p>
      <w:pPr>
        <w:snapToGrid w:val="0"/>
        <w:spacing w:line="460" w:lineRule="exact"/>
        <w:ind w:firstLine="514"/>
        <w:rPr>
          <w:rFonts w:ascii="宋体" w:hAnsi="宋体" w:cs="宋体"/>
          <w:sz w:val="24"/>
        </w:rPr>
      </w:pPr>
      <w:r>
        <w:rPr>
          <w:rFonts w:hint="eastAsia" w:ascii="宋体" w:hAnsi="宋体" w:cs="宋体"/>
          <w:sz w:val="24"/>
        </w:rPr>
        <w:t>2. 乙方不得擅自转让其应履行的合同义务。</w:t>
      </w:r>
    </w:p>
    <w:p>
      <w:pPr>
        <w:pStyle w:val="26"/>
        <w:snapToGrid w:val="0"/>
        <w:spacing w:line="460" w:lineRule="exact"/>
        <w:ind w:firstLine="472" w:firstLineChars="196"/>
        <w:rPr>
          <w:rFonts w:hAnsi="宋体" w:cs="宋体"/>
          <w:sz w:val="24"/>
          <w:szCs w:val="24"/>
        </w:rPr>
      </w:pPr>
      <w:r>
        <w:rPr>
          <w:rFonts w:hint="eastAsia" w:hAnsi="宋体" w:cs="宋体"/>
          <w:b/>
          <w:sz w:val="24"/>
          <w:szCs w:val="24"/>
        </w:rPr>
        <w:t>第十六条　</w:t>
      </w:r>
      <w:r>
        <w:rPr>
          <w:rFonts w:hint="eastAsia" w:hAnsi="宋体" w:cs="宋体"/>
          <w:spacing w:val="-2"/>
          <w:sz w:val="24"/>
          <w:szCs w:val="24"/>
        </w:rPr>
        <w:t>本</w:t>
      </w:r>
      <w:r>
        <w:rPr>
          <w:rFonts w:hint="eastAsia" w:hAnsi="宋体" w:cs="宋体"/>
          <w:sz w:val="24"/>
          <w:szCs w:val="24"/>
        </w:rPr>
        <w:t>合同书</w:t>
      </w:r>
      <w:r>
        <w:rPr>
          <w:rFonts w:hint="eastAsia" w:hAnsi="宋体" w:cs="宋体"/>
          <w:spacing w:val="-2"/>
          <w:sz w:val="24"/>
          <w:szCs w:val="24"/>
        </w:rPr>
        <w:t>与</w:t>
      </w:r>
      <w:r>
        <w:rPr>
          <w:rFonts w:hint="eastAsia" w:hAnsi="宋体" w:cs="宋体"/>
          <w:sz w:val="24"/>
          <w:szCs w:val="24"/>
        </w:rPr>
        <w:t>下</w:t>
      </w:r>
      <w:r>
        <w:rPr>
          <w:rFonts w:hint="eastAsia" w:hAnsi="宋体" w:cs="宋体"/>
          <w:spacing w:val="-2"/>
          <w:sz w:val="24"/>
          <w:szCs w:val="24"/>
        </w:rPr>
        <w:t>列</w:t>
      </w:r>
      <w:r>
        <w:rPr>
          <w:rFonts w:hint="eastAsia" w:hAnsi="宋体" w:cs="宋体"/>
          <w:sz w:val="24"/>
          <w:szCs w:val="24"/>
        </w:rPr>
        <w:t>文</w:t>
      </w:r>
      <w:r>
        <w:rPr>
          <w:rFonts w:hint="eastAsia" w:hAnsi="宋体" w:cs="宋体"/>
          <w:spacing w:val="-2"/>
          <w:sz w:val="24"/>
          <w:szCs w:val="24"/>
        </w:rPr>
        <w:t>件一</w:t>
      </w:r>
      <w:r>
        <w:rPr>
          <w:rFonts w:hint="eastAsia" w:hAnsi="宋体" w:cs="宋体"/>
          <w:sz w:val="24"/>
          <w:szCs w:val="24"/>
        </w:rPr>
        <w:t>起构</w:t>
      </w:r>
      <w:r>
        <w:rPr>
          <w:rFonts w:hint="eastAsia" w:hAnsi="宋体" w:cs="宋体"/>
          <w:spacing w:val="-2"/>
          <w:sz w:val="24"/>
          <w:szCs w:val="24"/>
        </w:rPr>
        <w:t>成</w:t>
      </w:r>
      <w:r>
        <w:rPr>
          <w:rFonts w:hint="eastAsia" w:hAnsi="宋体" w:cs="宋体"/>
          <w:sz w:val="24"/>
          <w:szCs w:val="24"/>
        </w:rPr>
        <w:t>合</w:t>
      </w:r>
      <w:r>
        <w:rPr>
          <w:rFonts w:hint="eastAsia" w:hAnsi="宋体" w:cs="宋体"/>
          <w:spacing w:val="-2"/>
          <w:sz w:val="24"/>
          <w:szCs w:val="24"/>
        </w:rPr>
        <w:t>同</w:t>
      </w:r>
      <w:r>
        <w:rPr>
          <w:rFonts w:hint="eastAsia" w:hAnsi="宋体" w:cs="宋体"/>
          <w:sz w:val="24"/>
          <w:szCs w:val="24"/>
        </w:rPr>
        <w:t>文</w:t>
      </w:r>
      <w:r>
        <w:rPr>
          <w:rFonts w:hint="eastAsia" w:hAnsi="宋体" w:cs="宋体"/>
          <w:spacing w:val="-2"/>
          <w:sz w:val="24"/>
          <w:szCs w:val="24"/>
        </w:rPr>
        <w:t>件</w:t>
      </w:r>
    </w:p>
    <w:p>
      <w:pPr>
        <w:pStyle w:val="26"/>
        <w:snapToGrid w:val="0"/>
        <w:spacing w:line="460" w:lineRule="exact"/>
        <w:ind w:firstLine="470" w:firstLineChars="196"/>
        <w:rPr>
          <w:rFonts w:hAnsi="宋体" w:cs="宋体"/>
          <w:sz w:val="24"/>
          <w:szCs w:val="24"/>
        </w:rPr>
      </w:pPr>
      <w:r>
        <w:rPr>
          <w:rFonts w:hint="eastAsia" w:hAnsi="宋体" w:cs="宋体"/>
          <w:sz w:val="24"/>
          <w:szCs w:val="24"/>
        </w:rPr>
        <w:t>1.中标通知书</w:t>
      </w:r>
    </w:p>
    <w:p>
      <w:pPr>
        <w:pStyle w:val="26"/>
        <w:snapToGrid w:val="0"/>
        <w:spacing w:line="460" w:lineRule="exact"/>
        <w:ind w:firstLine="470" w:firstLineChars="196"/>
        <w:rPr>
          <w:rFonts w:hAnsi="宋体" w:cs="宋体"/>
          <w:sz w:val="24"/>
          <w:szCs w:val="24"/>
        </w:rPr>
      </w:pPr>
      <w:r>
        <w:rPr>
          <w:rFonts w:hint="eastAsia" w:hAnsi="宋体" w:cs="宋体"/>
          <w:sz w:val="24"/>
          <w:szCs w:val="24"/>
        </w:rPr>
        <w:t>2.采购需求</w:t>
      </w:r>
    </w:p>
    <w:p>
      <w:pPr>
        <w:pStyle w:val="26"/>
        <w:snapToGrid w:val="0"/>
        <w:spacing w:line="460" w:lineRule="exact"/>
        <w:ind w:firstLine="470" w:firstLineChars="196"/>
        <w:rPr>
          <w:rFonts w:hAnsi="宋体" w:cs="宋体"/>
          <w:sz w:val="24"/>
          <w:szCs w:val="24"/>
        </w:rPr>
      </w:pPr>
      <w:r>
        <w:rPr>
          <w:rFonts w:hint="eastAsia" w:hAnsi="宋体" w:cs="宋体"/>
          <w:sz w:val="24"/>
          <w:szCs w:val="24"/>
        </w:rPr>
        <w:t>3.投标函</w:t>
      </w:r>
    </w:p>
    <w:p>
      <w:pPr>
        <w:pStyle w:val="26"/>
        <w:snapToGrid w:val="0"/>
        <w:spacing w:line="460" w:lineRule="exact"/>
        <w:ind w:firstLine="470" w:firstLineChars="196"/>
        <w:rPr>
          <w:rFonts w:hAnsi="宋体" w:cs="宋体"/>
          <w:sz w:val="24"/>
          <w:szCs w:val="24"/>
        </w:rPr>
      </w:pPr>
      <w:r>
        <w:rPr>
          <w:rFonts w:hint="eastAsia" w:hAnsi="宋体" w:cs="宋体"/>
          <w:sz w:val="24"/>
          <w:szCs w:val="24"/>
        </w:rPr>
        <w:t>4.开标一览表及设备性能配置清单</w:t>
      </w:r>
    </w:p>
    <w:p>
      <w:pPr>
        <w:pStyle w:val="26"/>
        <w:snapToGrid w:val="0"/>
        <w:spacing w:line="460" w:lineRule="exact"/>
        <w:ind w:firstLine="470" w:firstLineChars="196"/>
        <w:rPr>
          <w:rFonts w:hAnsi="宋体" w:cs="宋体"/>
          <w:sz w:val="24"/>
          <w:szCs w:val="24"/>
        </w:rPr>
      </w:pPr>
      <w:r>
        <w:rPr>
          <w:rFonts w:hint="eastAsia" w:hAnsi="宋体" w:cs="宋体"/>
          <w:sz w:val="24"/>
          <w:szCs w:val="24"/>
        </w:rPr>
        <w:t>5.商务要求偏离表和技术要求偏离表</w:t>
      </w:r>
    </w:p>
    <w:p>
      <w:pPr>
        <w:pStyle w:val="26"/>
        <w:snapToGrid w:val="0"/>
        <w:spacing w:line="460" w:lineRule="exact"/>
        <w:ind w:firstLine="470" w:firstLineChars="196"/>
        <w:rPr>
          <w:rFonts w:hAnsi="宋体" w:cs="宋体"/>
          <w:sz w:val="24"/>
          <w:szCs w:val="24"/>
        </w:rPr>
      </w:pPr>
      <w:r>
        <w:rPr>
          <w:rFonts w:hint="eastAsia" w:hAnsi="宋体" w:cs="宋体"/>
          <w:sz w:val="24"/>
          <w:szCs w:val="24"/>
        </w:rPr>
        <w:t>6.售后服务承诺</w:t>
      </w:r>
    </w:p>
    <w:p>
      <w:pPr>
        <w:pStyle w:val="26"/>
        <w:snapToGrid w:val="0"/>
        <w:spacing w:line="460" w:lineRule="exact"/>
        <w:ind w:firstLine="470" w:firstLineChars="196"/>
        <w:rPr>
          <w:rFonts w:hAnsi="宋体" w:cs="宋体"/>
          <w:sz w:val="24"/>
          <w:szCs w:val="24"/>
        </w:rPr>
      </w:pPr>
      <w:r>
        <w:rPr>
          <w:rFonts w:hint="eastAsia" w:hAnsi="宋体" w:cs="宋体"/>
          <w:sz w:val="24"/>
          <w:szCs w:val="24"/>
        </w:rPr>
        <w:t>7.其他合同文件</w:t>
      </w:r>
    </w:p>
    <w:p>
      <w:pPr>
        <w:pStyle w:val="26"/>
        <w:snapToGrid w:val="0"/>
        <w:spacing w:line="460" w:lineRule="exact"/>
        <w:ind w:firstLine="470" w:firstLineChars="196"/>
        <w:rPr>
          <w:rFonts w:hAnsi="宋体" w:cs="宋体"/>
          <w:sz w:val="24"/>
          <w:szCs w:val="24"/>
        </w:rPr>
      </w:pPr>
      <w:r>
        <w:rPr>
          <w:rFonts w:hint="eastAsia" w:hAnsi="宋体" w:cs="宋体"/>
          <w:sz w:val="24"/>
          <w:szCs w:val="24"/>
        </w:rPr>
        <w:t>上述合同文件互相补充和解释。如果合同文件之间存在矛盾或者不一致之处，以上述文件 的排列顺序在先者为准。</w:t>
      </w:r>
    </w:p>
    <w:p>
      <w:pPr>
        <w:snapToGrid w:val="0"/>
        <w:spacing w:line="460" w:lineRule="exact"/>
        <w:ind w:firstLine="482" w:firstLineChars="200"/>
        <w:rPr>
          <w:rFonts w:ascii="宋体" w:hAnsi="宋体" w:cs="宋体"/>
          <w:sz w:val="24"/>
        </w:rPr>
      </w:pPr>
      <w:r>
        <w:rPr>
          <w:rFonts w:hint="eastAsia" w:ascii="宋体" w:hAnsi="宋体" w:cs="宋体"/>
          <w:b/>
          <w:sz w:val="24"/>
        </w:rPr>
        <w:t>第十七条　</w:t>
      </w:r>
      <w:r>
        <w:rPr>
          <w:rFonts w:hint="eastAsia" w:ascii="宋体" w:hAnsi="宋体" w:cs="宋体"/>
          <w:sz w:val="24"/>
        </w:rPr>
        <w:t>本合同一式柒份，具有同等法律效力，甲方伍份，乙方壹份，采购代理机构壹份。</w:t>
      </w:r>
    </w:p>
    <w:p>
      <w:pPr>
        <w:pStyle w:val="2"/>
      </w:pPr>
    </w:p>
    <w:p>
      <w:pPr>
        <w:spacing w:line="460" w:lineRule="exact"/>
        <w:ind w:firstLine="480" w:firstLineChars="200"/>
        <w:rPr>
          <w:rFonts w:ascii="宋体" w:hAnsi="宋体" w:cs="宋体"/>
          <w:sz w:val="24"/>
        </w:rPr>
      </w:pPr>
      <w:r>
        <w:rPr>
          <w:rFonts w:hint="eastAsia" w:ascii="宋体" w:hAnsi="宋体" w:cs="宋体"/>
          <w:sz w:val="24"/>
        </w:rPr>
        <w:t>以下无正文。</w:t>
      </w:r>
    </w:p>
    <w:p>
      <w:pPr>
        <w:snapToGrid w:val="0"/>
        <w:spacing w:line="460" w:lineRule="exact"/>
        <w:rPr>
          <w:rFonts w:ascii="宋体" w:hAnsi="宋体" w:cs="宋体"/>
          <w:sz w:val="24"/>
        </w:rPr>
      </w:pPr>
    </w:p>
    <w:tbl>
      <w:tblPr>
        <w:tblStyle w:val="4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 xml:space="preserve">甲方（章）           </w:t>
            </w:r>
          </w:p>
          <w:p>
            <w:pPr>
              <w:snapToGrid w:val="0"/>
              <w:spacing w:line="460" w:lineRule="exact"/>
              <w:jc w:val="center"/>
              <w:rPr>
                <w:rFonts w:ascii="宋体" w:hAnsi="宋体" w:cs="宋体"/>
                <w:sz w:val="24"/>
              </w:rPr>
            </w:pPr>
            <w:r>
              <w:rPr>
                <w:rFonts w:hint="eastAsia" w:ascii="宋体" w:hAnsi="宋体" w:cs="宋体"/>
                <w:sz w:val="24"/>
              </w:rPr>
              <w:t>广西大学</w:t>
            </w:r>
          </w:p>
          <w:p>
            <w:pPr>
              <w:snapToGrid w:val="0"/>
              <w:spacing w:line="460" w:lineRule="exact"/>
              <w:ind w:firstLine="1080" w:firstLineChars="450"/>
              <w:jc w:val="right"/>
              <w:rPr>
                <w:rFonts w:ascii="宋体" w:hAnsi="宋体" w:cs="宋体"/>
                <w:sz w:val="24"/>
              </w:rPr>
            </w:pPr>
            <w:r>
              <w:rPr>
                <w:rFonts w:hint="eastAsia" w:ascii="宋体" w:hAnsi="宋体" w:cs="宋体"/>
                <w:sz w:val="24"/>
              </w:rPr>
              <w:t>年   月   日</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 xml:space="preserve">乙方（章）              </w:t>
            </w:r>
          </w:p>
          <w:p>
            <w:pPr>
              <w:snapToGrid w:val="0"/>
              <w:spacing w:line="460" w:lineRule="exact"/>
              <w:jc w:val="righ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单位地址：广西壮族自治区南宁市大学东路100号</w:t>
            </w:r>
          </w:p>
        </w:tc>
        <w:tc>
          <w:tcPr>
            <w:tcW w:w="4360" w:type="dxa"/>
            <w:vAlign w:val="center"/>
          </w:tcPr>
          <w:p>
            <w:pPr>
              <w:pStyle w:val="43"/>
              <w:spacing w:beforeAutospacing="0" w:afterAutospacing="0" w:line="460" w:lineRule="exact"/>
              <w:rPr>
                <w:rFonts w:cs="宋体"/>
              </w:rPr>
            </w:pPr>
            <w:r>
              <w:rPr>
                <w:rFonts w:hint="eastAsia" w:cs="宋体"/>
              </w:rPr>
              <w:t>单位地址：</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法定代表人（签字）：</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委托代理人（签字）：</w:t>
            </w:r>
          </w:p>
        </w:tc>
        <w:tc>
          <w:tcPr>
            <w:tcW w:w="4360" w:type="dxa"/>
            <w:vAlign w:val="center"/>
          </w:tcPr>
          <w:p>
            <w:pPr>
              <w:snapToGrid w:val="0"/>
              <w:spacing w:line="460" w:lineRule="exact"/>
              <w:rPr>
                <w:rFonts w:ascii="宋体" w:hAnsi="宋体" w:cs="宋体"/>
                <w:sz w:val="24"/>
              </w:rPr>
            </w:pPr>
            <w:r>
              <w:rPr>
                <w:rFonts w:hint="eastAsia" w:ascii="宋体" w:hAnsi="宋体" w:cs="宋体"/>
                <w:sz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sz w:val="24"/>
              </w:rPr>
            </w:pPr>
            <w:r>
              <w:rPr>
                <w:rFonts w:hint="eastAsia" w:ascii="宋体" w:hAnsi="宋体" w:cs="宋体"/>
                <w:sz w:val="24"/>
              </w:rPr>
              <w:t>电话：</w:t>
            </w:r>
            <w:r>
              <w:rPr>
                <w:rFonts w:ascii="宋体" w:hAnsi="宋体" w:cs="宋体"/>
                <w:sz w:val="24"/>
              </w:rPr>
              <w:t>0771-</w:t>
            </w:r>
            <w:r>
              <w:rPr>
                <w:rFonts w:hint="eastAsia" w:ascii="宋体" w:hAnsi="宋体" w:cs="宋体"/>
                <w:sz w:val="24"/>
              </w:rPr>
              <w:t>3274121</w:t>
            </w:r>
            <w:r>
              <w:rPr>
                <w:rFonts w:ascii="宋体" w:hAnsi="宋体" w:cs="宋体"/>
                <w:sz w:val="24"/>
              </w:rPr>
              <w:t xml:space="preserve">     </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kern w:val="0"/>
                <w:sz w:val="24"/>
              </w:rPr>
            </w:pPr>
            <w:r>
              <w:rPr>
                <w:rFonts w:hint="eastAsia" w:ascii="宋体" w:hAnsi="宋体" w:cs="宋体"/>
                <w:kern w:val="0"/>
                <w:sz w:val="24"/>
              </w:rPr>
              <w:t>电子邮箱：gxdxsbk@163.com</w:t>
            </w:r>
          </w:p>
        </w:tc>
        <w:tc>
          <w:tcPr>
            <w:tcW w:w="4360" w:type="dxa"/>
            <w:vAlign w:val="center"/>
          </w:tcPr>
          <w:p>
            <w:pPr>
              <w:snapToGrid w:val="0"/>
              <w:spacing w:line="460" w:lineRule="exact"/>
              <w:rPr>
                <w:rFonts w:ascii="宋体" w:hAnsi="宋体" w:cs="宋体"/>
                <w:kern w:val="0"/>
                <w:sz w:val="24"/>
              </w:rPr>
            </w:pPr>
            <w:r>
              <w:rPr>
                <w:rFonts w:hint="eastAsia" w:ascii="宋体" w:hAnsi="宋体" w:cs="宋体"/>
                <w:kern w:val="0"/>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开户银行：</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pStyle w:val="43"/>
              <w:spacing w:beforeAutospacing="0" w:afterAutospacing="0"/>
              <w:rPr>
                <w:rFonts w:cs="宋体"/>
              </w:rPr>
            </w:pPr>
            <w:r>
              <w:rPr>
                <w:rFonts w:hint="eastAsia" w:cs="宋体"/>
              </w:rPr>
              <w:t>账号：6184 5748 4938</w:t>
            </w:r>
          </w:p>
        </w:tc>
        <w:tc>
          <w:tcPr>
            <w:tcW w:w="4360" w:type="dxa"/>
            <w:vAlign w:val="center"/>
          </w:tcPr>
          <w:p>
            <w:pPr>
              <w:widowControl/>
              <w:spacing w:line="460" w:lineRule="exact"/>
              <w:jc w:val="left"/>
              <w:rPr>
                <w:rFonts w:ascii="宋体" w:hAnsi="宋体" w:cs="宋体"/>
              </w:rPr>
            </w:pPr>
            <w:r>
              <w:rPr>
                <w:rFonts w:hint="eastAsia" w:ascii="宋体" w:hAnsi="宋体" w:cs="宋体"/>
              </w:rPr>
              <w:t>账号：</w:t>
            </w:r>
            <w:r>
              <w:rPr>
                <w:rFonts w:hint="eastAsia" w:ascii="宋体" w:hAnsi="宋体" w:cs="宋体"/>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pPr>
              <w:pStyle w:val="43"/>
              <w:spacing w:beforeAutospacing="0" w:afterAutospacing="0"/>
              <w:rPr>
                <w:rFonts w:cs="宋体"/>
              </w:rPr>
            </w:pPr>
            <w:r>
              <w:rPr>
                <w:rFonts w:hint="eastAsia" w:cs="宋体"/>
              </w:rPr>
              <w:t>邮政编码：530004</w:t>
            </w:r>
          </w:p>
        </w:tc>
        <w:tc>
          <w:tcPr>
            <w:tcW w:w="4360" w:type="dxa"/>
            <w:vAlign w:val="center"/>
          </w:tcPr>
          <w:p>
            <w:pPr>
              <w:widowControl/>
              <w:spacing w:line="460" w:lineRule="exact"/>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lang w:bidi="ar"/>
              </w:rPr>
              <w:t xml:space="preserve"> </w:t>
            </w:r>
          </w:p>
        </w:tc>
      </w:tr>
    </w:tbl>
    <w:p>
      <w:pPr>
        <w:spacing w:line="460" w:lineRule="exact"/>
        <w:rPr>
          <w:rFonts w:ascii="宋体" w:hAnsi="宋体" w:cs="宋体"/>
          <w:b/>
          <w:bCs/>
          <w:kern w:val="0"/>
          <w:sz w:val="24"/>
        </w:rPr>
      </w:pPr>
      <w:r>
        <w:rPr>
          <w:rFonts w:hint="eastAsia" w:ascii="宋体" w:hAnsi="宋体" w:cs="宋体"/>
          <w:b/>
          <w:bCs/>
          <w:kern w:val="0"/>
          <w:sz w:val="24"/>
        </w:rPr>
        <w:br w:type="page"/>
      </w:r>
    </w:p>
    <w:p>
      <w:pPr>
        <w:jc w:val="center"/>
        <w:rPr>
          <w:rFonts w:ascii="宋体" w:hAnsi="宋体"/>
          <w:sz w:val="32"/>
          <w:szCs w:val="32"/>
        </w:rPr>
      </w:pPr>
      <w:r>
        <w:rPr>
          <w:rFonts w:hint="eastAsia" w:ascii="宋体" w:hAnsi="宋体" w:cs="@方正仿宋简体"/>
          <w:b/>
          <w:bCs/>
          <w:kern w:val="0"/>
          <w:sz w:val="32"/>
          <w:szCs w:val="32"/>
        </w:rPr>
        <w:t>广西大学采购项目履约保证金退付意见书</w:t>
      </w:r>
    </w:p>
    <w:tbl>
      <w:tblPr>
        <w:tblStyle w:val="48"/>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8" w:type="dxa"/>
            <w:vMerge w:val="restart"/>
            <w:vAlign w:val="center"/>
          </w:tcPr>
          <w:p>
            <w:pPr>
              <w:jc w:val="center"/>
              <w:rPr>
                <w:rFonts w:ascii="宋体" w:hAnsi="宋体"/>
                <w:sz w:val="24"/>
              </w:rPr>
            </w:pPr>
            <w:r>
              <w:rPr>
                <w:rFonts w:hint="eastAsia" w:ascii="宋体" w:hAnsi="宋体"/>
                <w:sz w:val="24"/>
              </w:rPr>
              <w:t>供应商申请</w:t>
            </w:r>
          </w:p>
        </w:tc>
        <w:tc>
          <w:tcPr>
            <w:tcW w:w="7632" w:type="dxa"/>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tcPr>
          <w:p>
            <w:pPr>
              <w:rPr>
                <w:rFonts w:ascii="宋体" w:hAnsi="宋体"/>
                <w:sz w:val="24"/>
              </w:rPr>
            </w:pPr>
          </w:p>
        </w:tc>
        <w:tc>
          <w:tcPr>
            <w:tcW w:w="7632" w:type="dxa"/>
            <w:vAlign w:val="center"/>
          </w:tcPr>
          <w:p>
            <w:pPr>
              <w:rPr>
                <w:rFonts w:ascii="宋体" w:hAnsi="宋体"/>
                <w:sz w:val="24"/>
              </w:rPr>
            </w:pPr>
            <w:r>
              <w:rPr>
                <w:rFonts w:hint="eastAsia" w:ascii="宋体" w:hAnsi="宋体"/>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418" w:type="dxa"/>
            <w:vMerge w:val="continue"/>
          </w:tcPr>
          <w:p>
            <w:pPr>
              <w:rPr>
                <w:rFonts w:ascii="宋体" w:hAnsi="宋体"/>
                <w:sz w:val="24"/>
              </w:rPr>
            </w:pPr>
          </w:p>
        </w:tc>
        <w:tc>
          <w:tcPr>
            <w:tcW w:w="7632" w:type="dxa"/>
          </w:tcPr>
          <w:p>
            <w:pPr>
              <w:rPr>
                <w:rFonts w:ascii="宋体" w:hAnsi="宋体"/>
                <w:sz w:val="24"/>
              </w:rPr>
            </w:pPr>
          </w:p>
          <w:p>
            <w:pPr>
              <w:ind w:firstLine="600" w:firstLineChars="250"/>
              <w:rPr>
                <w:rFonts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元（小写）￥              元</w:t>
            </w:r>
            <w:r>
              <w:rPr>
                <w:rFonts w:hint="eastAsia" w:ascii="宋体" w:hAnsi="宋体"/>
                <w:sz w:val="24"/>
              </w:rPr>
              <w:t>退付到达以下帐户：</w:t>
            </w:r>
          </w:p>
          <w:p>
            <w:pPr>
              <w:rPr>
                <w:rFonts w:ascii="宋体" w:hAnsi="宋体"/>
                <w:sz w:val="24"/>
              </w:rPr>
            </w:pPr>
          </w:p>
          <w:p>
            <w:pPr>
              <w:spacing w:line="420" w:lineRule="exact"/>
              <w:rPr>
                <w:rFonts w:ascii="宋体" w:hAnsi="宋体"/>
                <w:sz w:val="24"/>
              </w:rPr>
            </w:pPr>
            <w:r>
              <w:rPr>
                <w:rFonts w:hint="eastAsia" w:ascii="宋体" w:hAnsi="宋体"/>
                <w:sz w:val="24"/>
              </w:rPr>
              <w:t>单位名称：</w:t>
            </w:r>
          </w:p>
          <w:p>
            <w:pPr>
              <w:spacing w:line="420" w:lineRule="exact"/>
              <w:rPr>
                <w:rFonts w:ascii="宋体" w:hAnsi="宋体"/>
                <w:sz w:val="24"/>
              </w:rPr>
            </w:pPr>
            <w:r>
              <w:rPr>
                <w:rFonts w:hint="eastAsia" w:ascii="宋体" w:hAnsi="宋体"/>
                <w:sz w:val="24"/>
              </w:rPr>
              <w:t>开户银行：</w:t>
            </w:r>
          </w:p>
          <w:p>
            <w:pPr>
              <w:spacing w:line="420" w:lineRule="exact"/>
              <w:rPr>
                <w:rFonts w:ascii="宋体" w:hAnsi="宋体"/>
                <w:sz w:val="24"/>
              </w:rPr>
            </w:pPr>
            <w:r>
              <w:rPr>
                <w:rFonts w:hint="eastAsia" w:ascii="宋体" w:hAnsi="宋体"/>
                <w:sz w:val="24"/>
              </w:rPr>
              <w:t>银行帐号：</w:t>
            </w:r>
          </w:p>
          <w:p>
            <w:pPr>
              <w:rPr>
                <w:rFonts w:ascii="宋体" w:hAnsi="宋体"/>
                <w:sz w:val="24"/>
              </w:rPr>
            </w:pPr>
          </w:p>
          <w:p>
            <w:pPr>
              <w:spacing w:line="420" w:lineRule="exact"/>
              <w:rPr>
                <w:rFonts w:ascii="宋体" w:hAnsi="宋体"/>
                <w:sz w:val="24"/>
              </w:rPr>
            </w:pPr>
            <w:r>
              <w:rPr>
                <w:rFonts w:hint="eastAsia" w:ascii="宋体" w:hAnsi="宋体"/>
                <w:sz w:val="24"/>
              </w:rPr>
              <w:t>联系人：</w:t>
            </w:r>
          </w:p>
          <w:p>
            <w:pPr>
              <w:spacing w:line="420" w:lineRule="exact"/>
              <w:rPr>
                <w:rFonts w:ascii="宋体" w:hAnsi="宋体"/>
                <w:sz w:val="24"/>
              </w:rPr>
            </w:pPr>
            <w:r>
              <w:rPr>
                <w:rFonts w:hint="eastAsia" w:ascii="宋体" w:hAnsi="宋体"/>
                <w:sz w:val="24"/>
              </w:rPr>
              <w:t>联系电话：</w:t>
            </w:r>
          </w:p>
          <w:p>
            <w:pPr>
              <w:rPr>
                <w:rFonts w:ascii="宋体" w:hAnsi="宋体"/>
                <w:sz w:val="24"/>
              </w:rPr>
            </w:pPr>
          </w:p>
          <w:p>
            <w:pPr>
              <w:spacing w:line="420" w:lineRule="exact"/>
              <w:rPr>
                <w:rFonts w:ascii="宋体" w:hAnsi="宋体"/>
                <w:sz w:val="24"/>
              </w:rPr>
            </w:pPr>
            <w:r>
              <w:rPr>
                <w:rFonts w:hint="eastAsia" w:ascii="宋体" w:hAnsi="宋体"/>
                <w:sz w:val="24"/>
              </w:rPr>
              <w:t xml:space="preserve">                                       供应商签章</w:t>
            </w:r>
          </w:p>
          <w:p>
            <w:pPr>
              <w:spacing w:line="420" w:lineRule="exact"/>
              <w:rPr>
                <w:rFonts w:ascii="宋体" w:hAnsi="宋体"/>
                <w:sz w:val="24"/>
              </w:rPr>
            </w:pPr>
            <w:r>
              <w:rPr>
                <w:rFonts w:hint="eastAsia" w:ascii="宋体" w:hAnsi="宋体"/>
                <w:sz w:val="24"/>
              </w:rPr>
              <w:t xml:space="preserve">                                     年     月    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418" w:type="dxa"/>
            <w:vAlign w:val="center"/>
          </w:tcPr>
          <w:p>
            <w:pPr>
              <w:jc w:val="center"/>
              <w:rPr>
                <w:rFonts w:ascii="宋体" w:hAnsi="宋体"/>
                <w:sz w:val="24"/>
              </w:rPr>
            </w:pPr>
            <w:r>
              <w:rPr>
                <w:rFonts w:hint="eastAsia" w:ascii="宋体" w:hAnsi="宋体"/>
                <w:sz w:val="24"/>
              </w:rPr>
              <w:t>使用单位</w:t>
            </w:r>
          </w:p>
          <w:p>
            <w:pPr>
              <w:jc w:val="center"/>
              <w:rPr>
                <w:rFonts w:ascii="宋体" w:hAnsi="宋体"/>
                <w:sz w:val="24"/>
              </w:rPr>
            </w:pPr>
            <w:r>
              <w:rPr>
                <w:rFonts w:hint="eastAsia" w:ascii="宋体" w:hAnsi="宋体"/>
                <w:sz w:val="24"/>
              </w:rPr>
              <w:t>意见</w:t>
            </w:r>
          </w:p>
        </w:tc>
        <w:tc>
          <w:tcPr>
            <w:tcW w:w="7632" w:type="dxa"/>
          </w:tcPr>
          <w:p>
            <w:pPr>
              <w:rPr>
                <w:rFonts w:ascii="宋体" w:hAnsi="宋体"/>
                <w:sz w:val="24"/>
              </w:rPr>
            </w:pPr>
            <w:r>
              <w:rPr>
                <w:rFonts w:hint="eastAsia" w:ascii="宋体" w:hAnsi="宋体"/>
                <w:sz w:val="24"/>
              </w:rPr>
              <w:t>（退付意见：是否同意退付履约保证金）</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项目负责人意见：</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联系人：</w:t>
            </w:r>
          </w:p>
          <w:p>
            <w:pPr>
              <w:spacing w:line="420" w:lineRule="exact"/>
              <w:rPr>
                <w:rFonts w:ascii="宋体" w:hAnsi="宋体"/>
                <w:sz w:val="24"/>
              </w:rPr>
            </w:pPr>
            <w:r>
              <w:rPr>
                <w:rFonts w:hint="eastAsia" w:ascii="宋体" w:hAnsi="宋体"/>
                <w:sz w:val="24"/>
              </w:rPr>
              <w:t>联系电话：</w:t>
            </w:r>
          </w:p>
          <w:p>
            <w:pPr>
              <w:rPr>
                <w:rFonts w:ascii="宋体" w:hAnsi="宋体"/>
                <w:sz w:val="24"/>
              </w:rPr>
            </w:pPr>
          </w:p>
          <w:p>
            <w:pPr>
              <w:rPr>
                <w:rFonts w:ascii="宋体" w:hAnsi="宋体"/>
                <w:sz w:val="24"/>
              </w:rPr>
            </w:pPr>
            <w:r>
              <w:rPr>
                <w:rFonts w:hint="eastAsia" w:ascii="宋体" w:hAnsi="宋体"/>
                <w:sz w:val="24"/>
              </w:rPr>
              <w:t xml:space="preserve">                                         单位签章</w:t>
            </w:r>
          </w:p>
          <w:p>
            <w:pPr>
              <w:spacing w:line="420" w:lineRule="exac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18" w:type="dxa"/>
            <w:vAlign w:val="center"/>
          </w:tcPr>
          <w:p>
            <w:pPr>
              <w:jc w:val="center"/>
              <w:rPr>
                <w:rFonts w:ascii="宋体" w:hAnsi="宋体"/>
                <w:sz w:val="24"/>
              </w:rPr>
            </w:pPr>
            <w:r>
              <w:rPr>
                <w:rFonts w:hint="eastAsia" w:ascii="宋体" w:hAnsi="宋体"/>
                <w:sz w:val="24"/>
              </w:rPr>
              <w:t>国有资产与实验室管理处（招标与采购管理中心）意见</w:t>
            </w:r>
          </w:p>
        </w:tc>
        <w:tc>
          <w:tcPr>
            <w:tcW w:w="7632"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w:t>
            </w:r>
          </w:p>
          <w:p>
            <w:pPr>
              <w:rPr>
                <w:rFonts w:ascii="宋体" w:hAnsi="宋体"/>
                <w:sz w:val="24"/>
              </w:rPr>
            </w:pPr>
          </w:p>
          <w:p>
            <w:pPr>
              <w:ind w:firstLine="4800" w:firstLineChars="2000"/>
              <w:rPr>
                <w:rFonts w:ascii="宋体" w:hAnsi="宋体"/>
                <w:sz w:val="24"/>
              </w:rPr>
            </w:pPr>
            <w:r>
              <w:rPr>
                <w:rFonts w:hint="eastAsia" w:ascii="宋体" w:hAnsi="宋体"/>
                <w:sz w:val="24"/>
              </w:rPr>
              <w:t>单位签章</w:t>
            </w:r>
          </w:p>
          <w:p>
            <w:pPr>
              <w:rPr>
                <w:rFonts w:ascii="宋体" w:hAnsi="宋体"/>
                <w:sz w:val="24"/>
              </w:rPr>
            </w:pPr>
            <w:r>
              <w:rPr>
                <w:rFonts w:hint="eastAsia" w:ascii="宋体" w:hAnsi="宋体"/>
                <w:sz w:val="24"/>
              </w:rPr>
              <w:t xml:space="preserve">                                      年     月    日</w:t>
            </w:r>
          </w:p>
        </w:tc>
      </w:tr>
    </w:tbl>
    <w:p>
      <w:pPr>
        <w:snapToGrid w:val="0"/>
        <w:jc w:val="center"/>
        <w:rPr>
          <w:rFonts w:ascii="宋体" w:hAnsi="宋体" w:cs="宋体"/>
          <w:bCs/>
          <w:sz w:val="32"/>
          <w:szCs w:val="32"/>
        </w:rPr>
      </w:pPr>
    </w:p>
    <w:p>
      <w:pPr>
        <w:snapToGrid w:val="0"/>
        <w:jc w:val="center"/>
        <w:rPr>
          <w:rFonts w:ascii="宋体" w:hAnsi="宋体" w:cs="宋体"/>
          <w:bCs/>
          <w:sz w:val="32"/>
          <w:szCs w:val="32"/>
        </w:rPr>
      </w:pPr>
    </w:p>
    <w:p>
      <w:pPr>
        <w:pStyle w:val="3"/>
        <w:jc w:val="center"/>
        <w:rPr>
          <w:rFonts w:ascii="宋体" w:hAnsi="宋体" w:cs="宋体"/>
        </w:rPr>
      </w:pPr>
      <w:bookmarkStart w:id="144" w:name="_Toc74320805"/>
      <w:r>
        <w:rPr>
          <w:rFonts w:hint="eastAsia" w:ascii="宋体" w:hAnsi="宋体" w:cs="宋体"/>
        </w:rPr>
        <w:t>第六章　投标文件格式</w:t>
      </w:r>
      <w:bookmarkEnd w:id="144"/>
    </w:p>
    <w:p>
      <w:pPr>
        <w:rPr>
          <w:rFonts w:ascii="宋体" w:hAnsi="宋体" w:cs="宋体"/>
          <w:b/>
          <w:sz w:val="28"/>
          <w:szCs w:val="28"/>
        </w:rPr>
      </w:pPr>
      <w:bookmarkStart w:id="145" w:name="_Toc19686836"/>
      <w:bookmarkStart w:id="146" w:name="_Toc254970698"/>
      <w:bookmarkStart w:id="147" w:name="_Toc254970557"/>
      <w:r>
        <w:rPr>
          <w:rFonts w:hint="eastAsia" w:ascii="宋体" w:hAnsi="宋体" w:cs="宋体"/>
          <w:b/>
          <w:sz w:val="28"/>
          <w:szCs w:val="28"/>
        </w:rPr>
        <w:t>一、报价文件格式</w:t>
      </w:r>
      <w:bookmarkEnd w:id="145"/>
    </w:p>
    <w:p>
      <w:pPr>
        <w:snapToGrid w:val="0"/>
        <w:spacing w:before="120" w:beforeLines="50" w:after="50" w:line="360" w:lineRule="auto"/>
        <w:ind w:left="142"/>
        <w:jc w:val="left"/>
        <w:rPr>
          <w:rFonts w:ascii="宋体" w:hAnsi="宋体" w:cs="宋体"/>
          <w:sz w:val="24"/>
        </w:rPr>
      </w:pPr>
      <w:r>
        <w:rPr>
          <w:rFonts w:hint="eastAsia" w:ascii="宋体" w:hAnsi="宋体" w:cs="宋体"/>
          <w:b/>
          <w:sz w:val="24"/>
        </w:rPr>
        <w:t xml:space="preserve">1. 报价文件封面格式： </w:t>
      </w:r>
    </w:p>
    <w:p>
      <w:pPr>
        <w:snapToGrid w:val="0"/>
        <w:spacing w:before="120" w:beforeLines="50" w:after="50" w:line="400" w:lineRule="exact"/>
        <w:rPr>
          <w:rFonts w:ascii="宋体" w:hAnsi="宋体" w:cs="宋体"/>
          <w:bCs/>
          <w:sz w:val="24"/>
        </w:rPr>
      </w:pPr>
      <w:r>
        <w:rPr>
          <w:rFonts w:hint="eastAsia" w:ascii="宋体" w:hAnsi="宋体" w:cs="宋体"/>
          <w:sz w:val="24"/>
        </w:rPr>
        <w:t xml:space="preserve">                                                   </w:t>
      </w:r>
    </w:p>
    <w:p>
      <w:pPr>
        <w:snapToGrid w:val="0"/>
        <w:spacing w:before="120" w:beforeLines="50" w:after="50" w:line="400" w:lineRule="exact"/>
        <w:jc w:val="center"/>
        <w:rPr>
          <w:rFonts w:ascii="宋体" w:hAnsi="宋体" w:cs="宋体"/>
          <w:bCs/>
          <w:sz w:val="24"/>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line="400" w:lineRule="exact"/>
        <w:jc w:val="center"/>
        <w:rPr>
          <w:rFonts w:ascii="宋体" w:hAnsi="宋体" w:cs="宋体"/>
          <w:bCs/>
          <w:sz w:val="32"/>
          <w:szCs w:val="32"/>
        </w:rPr>
      </w:pPr>
    </w:p>
    <w:p>
      <w:pPr>
        <w:snapToGrid w:val="0"/>
        <w:spacing w:before="120" w:beforeLines="50" w:after="50" w:line="400" w:lineRule="exact"/>
        <w:jc w:val="center"/>
        <w:rPr>
          <w:rFonts w:ascii="宋体" w:hAnsi="宋体" w:cs="宋体"/>
          <w:sz w:val="48"/>
          <w:szCs w:val="48"/>
        </w:rPr>
      </w:pPr>
      <w:r>
        <w:rPr>
          <w:rFonts w:hint="eastAsia" w:ascii="宋体" w:hAnsi="宋体" w:cs="宋体"/>
          <w:sz w:val="48"/>
          <w:szCs w:val="48"/>
        </w:rPr>
        <w:t>报  价  文  件</w:t>
      </w: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ind w:firstLine="1960" w:firstLineChars="700"/>
        <w:rPr>
          <w:rFonts w:ascii="宋体" w:hAnsi="宋体" w:cs="宋体"/>
          <w:bCs/>
          <w:sz w:val="28"/>
          <w:szCs w:val="21"/>
        </w:rPr>
      </w:pPr>
    </w:p>
    <w:p>
      <w:pPr>
        <w:snapToGrid w:val="0"/>
        <w:spacing w:before="120" w:beforeLines="50" w:after="50" w:line="400" w:lineRule="exact"/>
        <w:ind w:firstLine="1960" w:firstLineChars="700"/>
        <w:rPr>
          <w:rFonts w:ascii="宋体" w:hAnsi="宋体" w:cs="宋体"/>
          <w:bCs/>
          <w:sz w:val="28"/>
          <w:szCs w:val="21"/>
        </w:rPr>
      </w:pPr>
    </w:p>
    <w:p>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项目名称： </w:t>
      </w:r>
    </w:p>
    <w:p>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项目编号： </w:t>
      </w:r>
    </w:p>
    <w:p>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所投分标：</w:t>
      </w:r>
    </w:p>
    <w:p>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投标人名称：</w:t>
      </w:r>
    </w:p>
    <w:p>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投标人地址：</w:t>
      </w:r>
    </w:p>
    <w:p>
      <w:pPr>
        <w:pStyle w:val="8"/>
        <w:snapToGrid w:val="0"/>
        <w:spacing w:before="50" w:after="50" w:line="400" w:lineRule="exact"/>
        <w:ind w:firstLine="1120" w:firstLineChars="400"/>
        <w:rPr>
          <w:rFonts w:ascii="宋体" w:hAnsi="宋体" w:cs="宋体"/>
          <w:bCs/>
          <w:sz w:val="28"/>
          <w:szCs w:val="28"/>
        </w:rPr>
      </w:pPr>
    </w:p>
    <w:p>
      <w:pPr>
        <w:snapToGrid w:val="0"/>
        <w:spacing w:before="120" w:beforeLines="50" w:after="50" w:line="400" w:lineRule="exact"/>
        <w:rPr>
          <w:rFonts w:ascii="宋体" w:hAnsi="宋体" w:cs="宋体"/>
          <w:sz w:val="32"/>
          <w:szCs w:val="21"/>
        </w:rPr>
      </w:pPr>
      <w:r>
        <w:rPr>
          <w:rFonts w:hint="eastAsia" w:ascii="宋体" w:hAnsi="宋体" w:cs="宋体"/>
          <w:sz w:val="24"/>
        </w:rPr>
        <w:t xml:space="preserve">                             </w:t>
      </w:r>
      <w:r>
        <w:rPr>
          <w:rFonts w:hint="eastAsia" w:ascii="宋体" w:hAnsi="宋体" w:cs="宋体"/>
          <w:sz w:val="28"/>
          <w:szCs w:val="28"/>
        </w:rPr>
        <w:t xml:space="preserve">      年  月  日</w:t>
      </w:r>
    </w:p>
    <w:p>
      <w:pPr>
        <w:snapToGrid w:val="0"/>
        <w:spacing w:before="120" w:beforeLines="50" w:after="50" w:line="360" w:lineRule="auto"/>
        <w:jc w:val="left"/>
        <w:rPr>
          <w:rFonts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pPr>
        <w:snapToGrid w:val="0"/>
        <w:spacing w:before="50" w:after="120" w:afterLines="50" w:line="360" w:lineRule="auto"/>
        <w:jc w:val="left"/>
        <w:rPr>
          <w:rFonts w:ascii="宋体" w:hAnsi="宋体" w:cs="宋体"/>
          <w:b/>
          <w:sz w:val="24"/>
        </w:rPr>
      </w:pPr>
      <w:r>
        <w:rPr>
          <w:rFonts w:hint="eastAsia" w:ascii="宋体" w:hAnsi="宋体" w:cs="宋体"/>
          <w:sz w:val="24"/>
        </w:rPr>
        <w:t>根据招标文件规定及投标人提供的材料自行编写目录。</w:t>
      </w:r>
    </w:p>
    <w:p>
      <w:pPr>
        <w:snapToGrid w:val="0"/>
        <w:spacing w:before="120" w:beforeLines="50" w:after="50"/>
        <w:rPr>
          <w:rFonts w:ascii="宋体" w:hAnsi="宋体" w:cs="宋体"/>
          <w:b/>
          <w:sz w:val="24"/>
        </w:rPr>
      </w:pPr>
    </w:p>
    <w:p>
      <w:pPr>
        <w:snapToGrid w:val="0"/>
        <w:spacing w:before="120" w:beforeLines="50" w:after="50"/>
        <w:rPr>
          <w:rFonts w:ascii="宋体" w:hAnsi="宋体" w:cs="宋体"/>
          <w:b/>
          <w:sz w:val="24"/>
        </w:rPr>
      </w:pPr>
    </w:p>
    <w:p>
      <w:pPr>
        <w:snapToGrid w:val="0"/>
        <w:spacing w:before="120" w:beforeLines="50" w:after="50"/>
        <w:rPr>
          <w:rFonts w:ascii="宋体" w:hAnsi="宋体" w:cs="宋体"/>
          <w:b/>
          <w:sz w:val="24"/>
        </w:rPr>
      </w:pP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pPr>
        <w:snapToGrid w:val="0"/>
        <w:spacing w:before="120" w:beforeLines="50" w:after="50" w:line="360" w:lineRule="auto"/>
        <w:jc w:val="center"/>
        <w:rPr>
          <w:rFonts w:ascii="宋体" w:hAnsi="宋体" w:cs="宋体"/>
          <w:bCs/>
          <w:sz w:val="44"/>
          <w:szCs w:val="44"/>
        </w:rPr>
      </w:pPr>
      <w:r>
        <w:rPr>
          <w:rFonts w:hint="eastAsia" w:ascii="宋体" w:hAnsi="宋体" w:cs="宋体"/>
          <w:bCs/>
          <w:sz w:val="44"/>
          <w:szCs w:val="44"/>
        </w:rPr>
        <w:t>投 标 函</w:t>
      </w:r>
    </w:p>
    <w:p>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pPr>
        <w:spacing w:line="360" w:lineRule="auto"/>
        <w:ind w:firstLine="480"/>
        <w:contextualSpacing/>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pPr>
        <w:spacing w:line="360" w:lineRule="auto"/>
        <w:ind w:firstLine="480" w:firstLineChars="200"/>
        <w:contextualSpacing/>
        <w:rPr>
          <w:rFonts w:ascii="宋体" w:hAnsi="宋体" w:cs="宋体"/>
          <w:sz w:val="24"/>
        </w:rPr>
      </w:pPr>
      <w:r>
        <w:rPr>
          <w:rFonts w:hint="eastAsia" w:ascii="宋体" w:hAnsi="宋体" w:cs="宋体"/>
          <w:sz w:val="24"/>
        </w:rPr>
        <w:t>据此函，我方宣布同意如下：</w:t>
      </w:r>
    </w:p>
    <w:p>
      <w:pPr>
        <w:spacing w:line="360" w:lineRule="auto"/>
        <w:ind w:firstLine="480" w:firstLineChars="200"/>
        <w:contextualSpacing/>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pPr>
        <w:spacing w:line="360" w:lineRule="auto"/>
        <w:ind w:firstLine="480" w:firstLineChars="200"/>
        <w:contextualSpacing/>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contextualSpacing/>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ascii="宋体" w:hAnsi="宋体" w:cs="宋体"/>
          <w:sz w:val="24"/>
        </w:rPr>
      </w:pPr>
      <w:r>
        <w:rPr>
          <w:rFonts w:hint="eastAsia" w:ascii="宋体" w:hAnsi="宋体" w:cs="宋体"/>
          <w:sz w:val="24"/>
        </w:rPr>
        <w:t>5.我方同意按照贵方要求提供与投标有关的一切数据或者资料。</w:t>
      </w:r>
    </w:p>
    <w:p>
      <w:pPr>
        <w:spacing w:line="360" w:lineRule="auto"/>
        <w:ind w:firstLine="480" w:firstLineChars="200"/>
        <w:contextualSpacing/>
        <w:rPr>
          <w:rFonts w:ascii="宋体" w:hAnsi="宋体" w:cs="宋体"/>
          <w:sz w:val="24"/>
        </w:rPr>
      </w:pPr>
      <w:r>
        <w:rPr>
          <w:rFonts w:hint="eastAsia" w:ascii="宋体" w:hAnsi="宋体" w:cs="宋体"/>
          <w:sz w:val="24"/>
        </w:rPr>
        <w:t>6.我方向贵方提交的所有投标文件、资料都是准确的和真实的。</w:t>
      </w:r>
    </w:p>
    <w:p>
      <w:pPr>
        <w:spacing w:line="360" w:lineRule="auto"/>
        <w:ind w:firstLine="480" w:firstLineChars="200"/>
        <w:contextualSpacing/>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pPr>
        <w:spacing w:line="360" w:lineRule="auto"/>
        <w:ind w:firstLine="480" w:firstLineChars="200"/>
        <w:contextualSpacing/>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contextualSpacing/>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360" w:lineRule="auto"/>
        <w:ind w:firstLine="480" w:firstLineChars="200"/>
        <w:contextualSpacing/>
        <w:rPr>
          <w:rFonts w:ascii="宋体" w:hAnsi="宋体" w:cs="宋体"/>
          <w:kern w:val="0"/>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contextualSpacing/>
        <w:rPr>
          <w:rFonts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我方若中标，将采取</w:t>
      </w:r>
      <w:r>
        <w:rPr>
          <w:rFonts w:ascii="宋体" w:hAnsi="宋体" w:cs="宋体"/>
          <w:sz w:val="24"/>
          <w:u w:val="single"/>
        </w:rPr>
        <w:t>      </w:t>
      </w:r>
      <w:r>
        <w:rPr>
          <w:rFonts w:ascii="宋体" w:hAnsi="宋体" w:cs="宋体"/>
          <w:sz w:val="24"/>
        </w:rPr>
        <w:t>（</w:t>
      </w:r>
      <w:r>
        <w:rPr>
          <w:rFonts w:hint="eastAsia" w:ascii="宋体" w:hAnsi="宋体" w:cs="宋体"/>
          <w:sz w:val="24"/>
        </w:rPr>
        <w:t>汽车、火车、飞机等</w:t>
      </w:r>
      <w:r>
        <w:rPr>
          <w:rFonts w:ascii="宋体" w:hAnsi="宋体" w:cs="宋体"/>
          <w:sz w:val="24"/>
        </w:rPr>
        <w:t>）方式运输货物。</w:t>
      </w:r>
    </w:p>
    <w:p>
      <w:pPr>
        <w:spacing w:line="360" w:lineRule="auto"/>
        <w:ind w:firstLine="480" w:firstLineChars="200"/>
        <w:contextualSpacing/>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我方若竞标成功，除非发生不可抗力，承诺与采购人及时签订《采购合同》。如果放弃，自愿按照本文件之《供应商须知正文》第30.4条的要求承担法律责任和失信惩戒。</w:t>
      </w:r>
    </w:p>
    <w:p>
      <w:pPr>
        <w:spacing w:line="360" w:lineRule="auto"/>
        <w:ind w:firstLine="480" w:firstLineChars="200"/>
        <w:contextualSpacing/>
        <w:rPr>
          <w:rFonts w:ascii="宋体" w:hAnsi="宋体" w:cs="宋体"/>
          <w:sz w:val="24"/>
        </w:rPr>
      </w:pPr>
      <w:r>
        <w:rPr>
          <w:rFonts w:ascii="宋体" w:hAnsi="宋体" w:cs="宋体"/>
          <w:sz w:val="24"/>
        </w:rPr>
        <w:t>11</w:t>
      </w:r>
      <w:r>
        <w:rPr>
          <w:rFonts w:hint="eastAsia" w:ascii="宋体" w:hAnsi="宋体" w:cs="宋体"/>
          <w:sz w:val="24"/>
        </w:rPr>
        <w:t>.与本投标有关的一切正式往来信函请寄：</w:t>
      </w:r>
    </w:p>
    <w:p>
      <w:pPr>
        <w:spacing w:line="360" w:lineRule="auto"/>
        <w:ind w:firstLine="480" w:firstLineChars="200"/>
        <w:contextualSpacing/>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line="360" w:lineRule="auto"/>
        <w:ind w:firstLine="480" w:firstLineChars="200"/>
        <w:contextualSpacing/>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line="360" w:lineRule="auto"/>
        <w:ind w:firstLine="480" w:firstLineChars="200"/>
        <w:contextualSpacing/>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pPr>
        <w:spacing w:line="360" w:lineRule="auto"/>
        <w:ind w:firstLine="480" w:firstLineChars="200"/>
        <w:contextualSpacing/>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contextualSpacing/>
        <w:jc w:val="left"/>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pPr>
        <w:pStyle w:val="2"/>
        <w:rPr>
          <w:rFonts w:hint="eastAsia"/>
        </w:rPr>
      </w:pPr>
    </w:p>
    <w:p>
      <w:pPr>
        <w:pStyle w:val="26"/>
        <w:spacing w:line="360" w:lineRule="auto"/>
        <w:contextualSpacing/>
        <w:jc w:val="center"/>
        <w:rPr>
          <w:rFonts w:hAnsi="宋体" w:cs="宋体"/>
          <w:sz w:val="24"/>
          <w:szCs w:val="24"/>
          <w:u w:val="single"/>
        </w:rPr>
      </w:pPr>
      <w:r>
        <w:rPr>
          <w:rFonts w:hint="eastAsia" w:hAnsi="宋体" w:cs="宋体"/>
          <w:sz w:val="24"/>
          <w:szCs w:val="24"/>
        </w:rPr>
        <w:t xml:space="preserve">                                    投标人（公章）：</w:t>
      </w:r>
    </w:p>
    <w:p>
      <w:pPr>
        <w:pStyle w:val="26"/>
        <w:spacing w:line="360" w:lineRule="auto"/>
        <w:contextualSpacing/>
        <w:rPr>
          <w:rFonts w:hAnsi="宋体" w:cs="宋体"/>
          <w:sz w:val="24"/>
          <w:szCs w:val="24"/>
        </w:rPr>
      </w:pPr>
      <w:r>
        <w:rPr>
          <w:rFonts w:hint="eastAsia" w:hAnsi="宋体" w:cs="宋体"/>
          <w:sz w:val="24"/>
          <w:szCs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napToGrid w:val="0"/>
        <w:spacing w:before="120" w:beforeLines="50" w:after="50" w:line="360" w:lineRule="auto"/>
        <w:jc w:val="left"/>
        <w:rPr>
          <w:rFonts w:ascii="宋体" w:hAnsi="宋体" w:cs="宋体"/>
          <w:b/>
          <w:sz w:val="24"/>
          <w:szCs w:val="20"/>
        </w:rPr>
      </w:pPr>
      <w:r>
        <w:rPr>
          <w:rFonts w:hint="eastAsia" w:ascii="宋体" w:hAnsi="宋体" w:cs="宋体"/>
          <w:sz w:val="24"/>
          <w:u w:val="single"/>
        </w:rPr>
        <w:br w:type="page"/>
      </w:r>
      <w:r>
        <w:rPr>
          <w:rFonts w:hint="eastAsia" w:ascii="宋体" w:hAnsi="宋体" w:cs="宋体"/>
          <w:b/>
          <w:sz w:val="24"/>
        </w:rPr>
        <w:t>4. 开标一览表（货物类格式）</w:t>
      </w:r>
    </w:p>
    <w:p>
      <w:pPr>
        <w:snapToGrid w:val="0"/>
        <w:spacing w:before="50" w:after="50"/>
        <w:jc w:val="center"/>
        <w:rPr>
          <w:rFonts w:ascii="宋体" w:hAnsi="宋体" w:cs="宋体"/>
          <w:b/>
          <w:sz w:val="30"/>
        </w:rPr>
      </w:pPr>
      <w:r>
        <w:rPr>
          <w:rFonts w:hint="eastAsia" w:ascii="宋体" w:hAnsi="宋体" w:cs="宋体"/>
          <w:b/>
          <w:sz w:val="30"/>
        </w:rPr>
        <w:t>开标一览表</w:t>
      </w:r>
    </w:p>
    <w:p>
      <w:pPr>
        <w:snapToGrid w:val="0"/>
        <w:spacing w:before="50" w:after="50"/>
        <w:jc w:val="center"/>
        <w:rPr>
          <w:rFonts w:ascii="宋体" w:hAnsi="宋体" w:cs="宋体"/>
          <w:b/>
          <w:sz w:val="24"/>
        </w:rPr>
      </w:pPr>
    </w:p>
    <w:p>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pPr>
        <w:snapToGrid w:val="0"/>
        <w:spacing w:before="50" w:after="50"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单位：人民币元</w:t>
      </w:r>
    </w:p>
    <w:p>
      <w:pPr>
        <w:snapToGrid w:val="0"/>
        <w:spacing w:before="50" w:after="50"/>
        <w:jc w:val="left"/>
        <w:rPr>
          <w:rFonts w:ascii="宋体" w:hAnsi="宋体" w:cs="宋体"/>
          <w:sz w:val="24"/>
        </w:rPr>
      </w:pPr>
    </w:p>
    <w:tbl>
      <w:tblPr>
        <w:tblStyle w:val="48"/>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23"/>
        <w:gridCol w:w="1012"/>
        <w:gridCol w:w="1139"/>
        <w:gridCol w:w="1012"/>
        <w:gridCol w:w="885"/>
        <w:gridCol w:w="633"/>
        <w:gridCol w:w="741"/>
        <w:gridCol w:w="153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633" w:type="dxa"/>
            <w:vAlign w:val="center"/>
          </w:tcPr>
          <w:p>
            <w:pPr>
              <w:snapToGrid w:val="0"/>
              <w:jc w:val="center"/>
              <w:rPr>
                <w:rFonts w:ascii="宋体" w:hAnsi="宋体" w:cs="宋体"/>
                <w:sz w:val="24"/>
              </w:rPr>
            </w:pPr>
            <w:r>
              <w:rPr>
                <w:rFonts w:hint="eastAsia" w:ascii="宋体" w:hAnsi="宋体" w:cs="宋体"/>
                <w:sz w:val="24"/>
              </w:rPr>
              <w:t>序号</w:t>
            </w:r>
          </w:p>
        </w:tc>
        <w:tc>
          <w:tcPr>
            <w:tcW w:w="923" w:type="dxa"/>
            <w:vAlign w:val="center"/>
          </w:tcPr>
          <w:p>
            <w:pPr>
              <w:snapToGrid w:val="0"/>
              <w:jc w:val="center"/>
              <w:rPr>
                <w:rFonts w:ascii="宋体" w:hAnsi="宋体" w:cs="宋体"/>
                <w:sz w:val="24"/>
              </w:rPr>
            </w:pPr>
            <w:r>
              <w:rPr>
                <w:rFonts w:hint="eastAsia" w:ascii="宋体" w:hAnsi="宋体" w:cs="宋体"/>
                <w:sz w:val="24"/>
              </w:rPr>
              <w:t>货物名称</w:t>
            </w:r>
          </w:p>
        </w:tc>
        <w:tc>
          <w:tcPr>
            <w:tcW w:w="1012" w:type="dxa"/>
            <w:vAlign w:val="center"/>
          </w:tcPr>
          <w:p>
            <w:pPr>
              <w:snapToGrid w:val="0"/>
              <w:jc w:val="center"/>
              <w:rPr>
                <w:rFonts w:ascii="宋体" w:hAnsi="宋体" w:cs="宋体"/>
                <w:sz w:val="24"/>
              </w:rPr>
            </w:pPr>
            <w:r>
              <w:rPr>
                <w:rFonts w:hint="eastAsia" w:ascii="宋体" w:hAnsi="宋体" w:cs="宋体"/>
                <w:sz w:val="24"/>
              </w:rPr>
              <w:t>品牌</w:t>
            </w:r>
          </w:p>
        </w:tc>
        <w:tc>
          <w:tcPr>
            <w:tcW w:w="1139" w:type="dxa"/>
            <w:vAlign w:val="center"/>
          </w:tcPr>
          <w:p>
            <w:pPr>
              <w:snapToGrid w:val="0"/>
              <w:jc w:val="center"/>
              <w:rPr>
                <w:rFonts w:ascii="宋体" w:hAnsi="宋体" w:cs="宋体"/>
                <w:sz w:val="24"/>
              </w:rPr>
            </w:pPr>
            <w:r>
              <w:rPr>
                <w:rFonts w:hint="eastAsia" w:ascii="宋体" w:hAnsi="宋体" w:cs="宋体"/>
                <w:sz w:val="24"/>
              </w:rPr>
              <w:t>型号（与铭牌一致）</w:t>
            </w:r>
          </w:p>
        </w:tc>
        <w:tc>
          <w:tcPr>
            <w:tcW w:w="1012" w:type="dxa"/>
            <w:vAlign w:val="center"/>
          </w:tcPr>
          <w:p>
            <w:pPr>
              <w:snapToGrid w:val="0"/>
              <w:jc w:val="center"/>
              <w:rPr>
                <w:rFonts w:ascii="宋体" w:hAnsi="宋体" w:cs="宋体"/>
                <w:sz w:val="24"/>
              </w:rPr>
            </w:pPr>
            <w:r>
              <w:rPr>
                <w:rFonts w:hint="eastAsia" w:ascii="宋体" w:hAnsi="宋体" w:cs="宋体"/>
                <w:sz w:val="24"/>
              </w:rPr>
              <w:t>生产厂家</w:t>
            </w:r>
          </w:p>
        </w:tc>
        <w:tc>
          <w:tcPr>
            <w:tcW w:w="885" w:type="dxa"/>
            <w:vAlign w:val="center"/>
          </w:tcPr>
          <w:p>
            <w:pPr>
              <w:snapToGrid w:val="0"/>
              <w:jc w:val="center"/>
              <w:rPr>
                <w:rFonts w:ascii="宋体" w:hAnsi="宋体" w:cs="宋体"/>
                <w:sz w:val="24"/>
              </w:rPr>
            </w:pPr>
            <w:r>
              <w:rPr>
                <w:rFonts w:hint="eastAsia" w:ascii="宋体" w:hAnsi="宋体" w:cs="宋体"/>
                <w:sz w:val="24"/>
              </w:rPr>
              <w:t>产地</w:t>
            </w:r>
          </w:p>
        </w:tc>
        <w:tc>
          <w:tcPr>
            <w:tcW w:w="633" w:type="dxa"/>
            <w:vAlign w:val="center"/>
          </w:tcPr>
          <w:p>
            <w:pPr>
              <w:snapToGrid w:val="0"/>
              <w:jc w:val="center"/>
              <w:rPr>
                <w:rFonts w:ascii="宋体" w:hAnsi="宋体" w:cs="宋体"/>
                <w:sz w:val="24"/>
              </w:rPr>
            </w:pPr>
            <w:r>
              <w:rPr>
                <w:rFonts w:hint="eastAsia" w:ascii="宋体" w:hAnsi="宋体" w:cs="宋体"/>
                <w:sz w:val="24"/>
              </w:rPr>
              <w:t>数  量①</w:t>
            </w:r>
          </w:p>
        </w:tc>
        <w:tc>
          <w:tcPr>
            <w:tcW w:w="741" w:type="dxa"/>
            <w:vAlign w:val="center"/>
          </w:tcPr>
          <w:p>
            <w:pPr>
              <w:snapToGrid w:val="0"/>
              <w:jc w:val="center"/>
              <w:rPr>
                <w:rFonts w:ascii="宋体" w:hAnsi="宋体" w:cs="宋体"/>
                <w:sz w:val="24"/>
              </w:rPr>
            </w:pPr>
            <w:r>
              <w:rPr>
                <w:rFonts w:hint="eastAsia" w:ascii="宋体" w:hAnsi="宋体" w:cs="宋体"/>
                <w:sz w:val="24"/>
              </w:rPr>
              <w:t>单位</w:t>
            </w:r>
          </w:p>
        </w:tc>
        <w:tc>
          <w:tcPr>
            <w:tcW w:w="1537" w:type="dxa"/>
            <w:vAlign w:val="center"/>
          </w:tcPr>
          <w:p>
            <w:pPr>
              <w:snapToGrid w:val="0"/>
              <w:jc w:val="center"/>
              <w:rPr>
                <w:rFonts w:ascii="宋体" w:hAnsi="宋体" w:cs="宋体"/>
                <w:sz w:val="24"/>
              </w:rPr>
            </w:pPr>
            <w:r>
              <w:rPr>
                <w:rFonts w:hint="eastAsia" w:ascii="宋体" w:hAnsi="宋体" w:cs="宋体"/>
                <w:sz w:val="24"/>
              </w:rPr>
              <w:t>单  价</w:t>
            </w:r>
          </w:p>
          <w:p>
            <w:pPr>
              <w:snapToGrid w:val="0"/>
              <w:jc w:val="center"/>
              <w:rPr>
                <w:rFonts w:ascii="宋体" w:hAnsi="宋体" w:cs="宋体"/>
                <w:sz w:val="24"/>
              </w:rPr>
            </w:pPr>
            <w:r>
              <w:rPr>
                <w:rFonts w:hint="eastAsia" w:ascii="宋体" w:hAnsi="宋体" w:cs="宋体"/>
                <w:sz w:val="24"/>
              </w:rPr>
              <w:t>（元）②</w:t>
            </w:r>
          </w:p>
        </w:tc>
        <w:tc>
          <w:tcPr>
            <w:tcW w:w="1139" w:type="dxa"/>
            <w:vAlign w:val="center"/>
          </w:tcPr>
          <w:p>
            <w:pPr>
              <w:snapToGrid w:val="0"/>
              <w:jc w:val="center"/>
              <w:rPr>
                <w:rFonts w:ascii="宋体" w:hAnsi="宋体" w:cs="宋体"/>
                <w:sz w:val="24"/>
              </w:rPr>
            </w:pPr>
            <w:r>
              <w:rPr>
                <w:rFonts w:hint="eastAsia" w:ascii="宋体" w:hAnsi="宋体" w:cs="宋体"/>
                <w:sz w:val="24"/>
              </w:rPr>
              <w:t>投标报价</w:t>
            </w:r>
          </w:p>
          <w:p>
            <w:pPr>
              <w:snapToGrid w:val="0"/>
              <w:jc w:val="center"/>
              <w:rPr>
                <w:rFonts w:ascii="宋体" w:hAnsi="宋体" w:cs="宋体"/>
                <w:sz w:val="24"/>
              </w:rPr>
            </w:pPr>
            <w:r>
              <w:rPr>
                <w:rFonts w:hint="eastAsia" w:ascii="宋体" w:hAnsi="宋体" w:cs="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633" w:type="dxa"/>
            <w:vAlign w:val="center"/>
          </w:tcPr>
          <w:p>
            <w:pPr>
              <w:snapToGrid w:val="0"/>
              <w:spacing w:line="460" w:lineRule="exact"/>
              <w:jc w:val="center"/>
              <w:rPr>
                <w:rFonts w:ascii="宋体" w:hAnsi="宋体" w:cs="宋体"/>
                <w:sz w:val="24"/>
              </w:rPr>
            </w:pPr>
            <w:r>
              <w:rPr>
                <w:rFonts w:hint="eastAsia" w:ascii="宋体" w:hAnsi="宋体" w:cs="宋体"/>
                <w:sz w:val="24"/>
              </w:rPr>
              <w:t>1</w:t>
            </w:r>
          </w:p>
        </w:tc>
        <w:tc>
          <w:tcPr>
            <w:tcW w:w="923" w:type="dxa"/>
            <w:vAlign w:val="center"/>
          </w:tcPr>
          <w:p>
            <w:pPr>
              <w:snapToGrid w:val="0"/>
              <w:spacing w:line="460" w:lineRule="exact"/>
              <w:jc w:val="center"/>
              <w:rPr>
                <w:rFonts w:ascii="宋体" w:hAnsi="宋体" w:cs="宋体"/>
                <w:sz w:val="24"/>
              </w:rPr>
            </w:pPr>
          </w:p>
        </w:tc>
        <w:tc>
          <w:tcPr>
            <w:tcW w:w="1012" w:type="dxa"/>
            <w:vAlign w:val="center"/>
          </w:tcPr>
          <w:p>
            <w:pPr>
              <w:snapToGrid w:val="0"/>
              <w:spacing w:line="460" w:lineRule="exact"/>
              <w:jc w:val="center"/>
              <w:rPr>
                <w:rFonts w:ascii="宋体" w:hAnsi="宋体" w:cs="宋体"/>
                <w:sz w:val="24"/>
              </w:rPr>
            </w:pPr>
          </w:p>
        </w:tc>
        <w:tc>
          <w:tcPr>
            <w:tcW w:w="1139" w:type="dxa"/>
            <w:vAlign w:val="center"/>
          </w:tcPr>
          <w:p>
            <w:pPr>
              <w:snapToGrid w:val="0"/>
              <w:spacing w:line="460" w:lineRule="exact"/>
              <w:jc w:val="center"/>
              <w:rPr>
                <w:rFonts w:ascii="宋体" w:hAnsi="宋体" w:cs="宋体"/>
                <w:sz w:val="24"/>
              </w:rPr>
            </w:pPr>
          </w:p>
        </w:tc>
        <w:tc>
          <w:tcPr>
            <w:tcW w:w="1012" w:type="dxa"/>
          </w:tcPr>
          <w:p>
            <w:pPr>
              <w:snapToGrid w:val="0"/>
              <w:spacing w:line="460" w:lineRule="exact"/>
              <w:jc w:val="center"/>
              <w:rPr>
                <w:rFonts w:ascii="宋体" w:hAnsi="宋体" w:cs="宋体"/>
                <w:sz w:val="24"/>
              </w:rPr>
            </w:pPr>
          </w:p>
        </w:tc>
        <w:tc>
          <w:tcPr>
            <w:tcW w:w="885" w:type="dxa"/>
            <w:vAlign w:val="center"/>
          </w:tcPr>
          <w:p>
            <w:pPr>
              <w:snapToGrid w:val="0"/>
              <w:spacing w:line="460" w:lineRule="exact"/>
              <w:jc w:val="center"/>
              <w:rPr>
                <w:rFonts w:ascii="宋体" w:hAnsi="宋体" w:cs="宋体"/>
                <w:sz w:val="24"/>
              </w:rPr>
            </w:pPr>
          </w:p>
        </w:tc>
        <w:tc>
          <w:tcPr>
            <w:tcW w:w="633" w:type="dxa"/>
            <w:vAlign w:val="center"/>
          </w:tcPr>
          <w:p>
            <w:pPr>
              <w:pStyle w:val="122"/>
              <w:snapToGrid w:val="0"/>
              <w:spacing w:line="460" w:lineRule="exact"/>
              <w:ind w:left="360" w:firstLine="0" w:firstLineChars="0"/>
              <w:rPr>
                <w:rFonts w:ascii="宋体" w:hAnsi="宋体" w:cs="宋体"/>
                <w:sz w:val="24"/>
              </w:rPr>
            </w:pPr>
          </w:p>
        </w:tc>
        <w:tc>
          <w:tcPr>
            <w:tcW w:w="741" w:type="dxa"/>
          </w:tcPr>
          <w:p>
            <w:pPr>
              <w:snapToGrid w:val="0"/>
              <w:spacing w:line="460" w:lineRule="exact"/>
              <w:jc w:val="center"/>
              <w:rPr>
                <w:rFonts w:ascii="宋体" w:hAnsi="宋体" w:cs="宋体"/>
                <w:sz w:val="24"/>
              </w:rPr>
            </w:pPr>
          </w:p>
        </w:tc>
        <w:tc>
          <w:tcPr>
            <w:tcW w:w="1537" w:type="dxa"/>
            <w:vAlign w:val="center"/>
          </w:tcPr>
          <w:p>
            <w:pPr>
              <w:pStyle w:val="122"/>
              <w:snapToGrid w:val="0"/>
              <w:spacing w:line="460" w:lineRule="exact"/>
              <w:ind w:left="360" w:firstLine="0" w:firstLineChars="0"/>
              <w:rPr>
                <w:rFonts w:ascii="宋体" w:hAnsi="宋体" w:cs="宋体"/>
                <w:sz w:val="24"/>
              </w:rPr>
            </w:pPr>
          </w:p>
        </w:tc>
        <w:tc>
          <w:tcPr>
            <w:tcW w:w="1139" w:type="dxa"/>
          </w:tcPr>
          <w:p>
            <w:pPr>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654" w:type="dxa"/>
            <w:gridSpan w:val="10"/>
          </w:tcPr>
          <w:p>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u w:val="single"/>
              </w:rPr>
              <w:t>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654" w:type="dxa"/>
            <w:gridSpan w:val="10"/>
          </w:tcPr>
          <w:p>
            <w:pPr>
              <w:snapToGrid w:val="0"/>
              <w:spacing w:line="460" w:lineRule="exact"/>
              <w:jc w:val="left"/>
              <w:rPr>
                <w:rFonts w:ascii="宋体" w:hAnsi="宋体" w:cs="宋体"/>
                <w:sz w:val="24"/>
              </w:rPr>
            </w:pPr>
            <w:r>
              <w:rPr>
                <w:rFonts w:hint="eastAsia" w:ascii="宋体" w:hAnsi="宋体" w:cs="宋体"/>
                <w:sz w:val="24"/>
              </w:rPr>
              <w:t>交付时间：</w:t>
            </w:r>
          </w:p>
        </w:tc>
      </w:tr>
    </w:tbl>
    <w:p>
      <w:pPr>
        <w:snapToGrid w:val="0"/>
        <w:spacing w:before="50" w:after="50"/>
        <w:jc w:val="left"/>
        <w:rPr>
          <w:rFonts w:ascii="楷体" w:hAnsi="楷体" w:eastAsia="楷体" w:cs="宋体"/>
          <w:b/>
          <w:sz w:val="24"/>
        </w:rPr>
      </w:pPr>
      <w:r>
        <w:rPr>
          <w:rFonts w:hint="eastAsia" w:ascii="楷体" w:hAnsi="楷体" w:eastAsia="楷体" w:cs="宋体"/>
          <w:b/>
          <w:sz w:val="24"/>
        </w:rPr>
        <w:t xml:space="preserve">注： </w:t>
      </w:r>
    </w:p>
    <w:p>
      <w:pPr>
        <w:ind w:firstLine="480" w:firstLineChars="200"/>
        <w:contextualSpacing/>
        <w:jc w:val="left"/>
        <w:rPr>
          <w:rFonts w:ascii="楷体" w:hAnsi="楷体" w:eastAsia="楷体"/>
        </w:rPr>
      </w:pPr>
      <w:r>
        <w:rPr>
          <w:rFonts w:hint="eastAsia" w:ascii="楷体" w:hAnsi="楷体" w:eastAsia="楷体" w:cs="宋体"/>
          <w:sz w:val="24"/>
        </w:rPr>
        <w:t>1. 开标一览表中“货物名称、数量、单位、品牌、型号、生产厂家、产地”必须如实填写完整，定制产品在型号栏中填写“定制”。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其响应文件按无效响应处理。</w:t>
      </w:r>
    </w:p>
    <w:p>
      <w:pPr>
        <w:snapToGrid w:val="0"/>
        <w:spacing w:before="50" w:after="50"/>
        <w:ind w:firstLine="480" w:firstLineChars="200"/>
        <w:jc w:val="left"/>
        <w:rPr>
          <w:rFonts w:ascii="楷体" w:hAnsi="楷体" w:eastAsia="楷体" w:cs="宋体"/>
          <w:sz w:val="24"/>
        </w:rPr>
      </w:pPr>
      <w:r>
        <w:rPr>
          <w:rFonts w:ascii="楷体" w:hAnsi="楷体" w:eastAsia="楷体" w:cs="宋体"/>
          <w:sz w:val="24"/>
        </w:rPr>
        <w:t>2</w:t>
      </w:r>
      <w:r>
        <w:rPr>
          <w:rFonts w:hint="eastAsia" w:ascii="楷体" w:hAnsi="楷体" w:eastAsia="楷体" w:cs="宋体"/>
          <w:sz w:val="24"/>
        </w:rPr>
        <w:t>.</w:t>
      </w:r>
      <w:r>
        <w:rPr>
          <w:rFonts w:hint="eastAsia" w:ascii="楷体" w:hAnsi="楷体" w:eastAsia="楷体" w:cs="宋体"/>
          <w:b/>
          <w:sz w:val="24"/>
        </w:rPr>
        <w:t xml:space="preserve"> 所填写的型号与货物铭牌一致。</w:t>
      </w:r>
    </w:p>
    <w:p>
      <w:pPr>
        <w:snapToGrid w:val="0"/>
        <w:spacing w:before="50" w:after="50"/>
        <w:ind w:firstLine="480" w:firstLineChars="200"/>
        <w:jc w:val="left"/>
        <w:rPr>
          <w:rFonts w:ascii="楷体" w:hAnsi="楷体" w:eastAsia="楷体" w:cs="宋体"/>
          <w:b/>
          <w:sz w:val="24"/>
        </w:rPr>
      </w:pPr>
      <w:r>
        <w:rPr>
          <w:rFonts w:ascii="楷体" w:hAnsi="楷体" w:eastAsia="楷体" w:cs="宋体"/>
          <w:bCs/>
          <w:sz w:val="24"/>
        </w:rPr>
        <w:t>3</w:t>
      </w:r>
      <w:r>
        <w:rPr>
          <w:rFonts w:hint="eastAsia" w:ascii="楷体" w:hAnsi="楷体" w:eastAsia="楷体" w:cs="宋体"/>
          <w:bCs/>
          <w:sz w:val="24"/>
        </w:rPr>
        <w:t>.</w:t>
      </w:r>
      <w:r>
        <w:rPr>
          <w:rFonts w:hint="eastAsia" w:ascii="楷体" w:hAnsi="楷体" w:eastAsia="楷体" w:cs="宋体"/>
          <w:sz w:val="24"/>
        </w:rPr>
        <w:t>报价一经涂改，应在涂改处加盖投标人公章或者由法定代表人或者委托代理人签字或者盖章</w:t>
      </w:r>
      <w:r>
        <w:rPr>
          <w:rFonts w:hint="eastAsia" w:ascii="楷体" w:hAnsi="楷体" w:eastAsia="楷体" w:cs="宋体"/>
          <w:b/>
          <w:sz w:val="24"/>
        </w:rPr>
        <w:t>，否则其投标作无效标处理。</w:t>
      </w:r>
    </w:p>
    <w:p>
      <w:pPr>
        <w:snapToGrid w:val="0"/>
        <w:spacing w:before="50" w:after="50"/>
        <w:ind w:firstLine="482" w:firstLineChars="200"/>
        <w:jc w:val="left"/>
        <w:rPr>
          <w:rFonts w:ascii="楷体" w:hAnsi="楷体" w:eastAsia="楷体" w:cs="宋体"/>
          <w:sz w:val="24"/>
        </w:rPr>
      </w:pPr>
      <w:r>
        <w:rPr>
          <w:rFonts w:ascii="楷体" w:hAnsi="楷体" w:eastAsia="楷体" w:cs="宋体"/>
          <w:b/>
          <w:sz w:val="24"/>
        </w:rPr>
        <w:t>4</w:t>
      </w:r>
      <w:r>
        <w:rPr>
          <w:rFonts w:hint="eastAsia" w:ascii="楷体" w:hAnsi="楷体" w:eastAsia="楷体" w:cs="宋体"/>
          <w:b/>
          <w:sz w:val="24"/>
        </w:rPr>
        <w:t>.</w:t>
      </w:r>
      <w:r>
        <w:rPr>
          <w:rFonts w:ascii="楷体" w:hAnsi="楷体" w:eastAsia="楷体" w:cs="宋体"/>
          <w:sz w:val="24"/>
        </w:rPr>
        <w:t xml:space="preserve"> </w:t>
      </w:r>
      <w:r>
        <w:rPr>
          <w:rFonts w:hint="eastAsia" w:ascii="楷体" w:hAnsi="楷体" w:eastAsia="楷体" w:cs="宋体"/>
          <w:sz w:val="24"/>
        </w:rPr>
        <w:t>投标人的开标一览表必须加盖投标人公章并由法定代表人或者委托代理人签字，</w:t>
      </w:r>
      <w:r>
        <w:rPr>
          <w:rFonts w:hint="eastAsia" w:ascii="楷体" w:hAnsi="楷体" w:eastAsia="楷体" w:cs="宋体"/>
          <w:b/>
          <w:sz w:val="24"/>
        </w:rPr>
        <w:t>否则其投标作无效标处理</w:t>
      </w:r>
      <w:r>
        <w:rPr>
          <w:rFonts w:hint="eastAsia" w:ascii="楷体" w:hAnsi="楷体" w:eastAsia="楷体" w:cs="宋体"/>
          <w:sz w:val="24"/>
        </w:rPr>
        <w:t>。</w:t>
      </w:r>
    </w:p>
    <w:p>
      <w:pPr>
        <w:snapToGrid w:val="0"/>
        <w:spacing w:before="50" w:after="50"/>
        <w:ind w:firstLine="480" w:firstLineChars="200"/>
        <w:jc w:val="left"/>
        <w:rPr>
          <w:rFonts w:ascii="楷体" w:hAnsi="楷体" w:eastAsia="楷体" w:cs="宋体"/>
          <w:sz w:val="24"/>
        </w:rPr>
      </w:pPr>
      <w:r>
        <w:rPr>
          <w:rFonts w:ascii="楷体" w:hAnsi="楷体" w:eastAsia="楷体" w:cs="宋体"/>
          <w:sz w:val="24"/>
        </w:rPr>
        <w:t>5</w:t>
      </w:r>
      <w:r>
        <w:rPr>
          <w:rFonts w:hint="eastAsia" w:ascii="楷体" w:hAnsi="楷体" w:eastAsia="楷体" w:cs="宋体"/>
          <w:sz w:val="24"/>
        </w:rPr>
        <w:t>.招标文件中列明采购专用耗材的，应按招标文件规定的耗材量或者按耗材的常规使用量提供报价。</w:t>
      </w:r>
    </w:p>
    <w:p>
      <w:pPr>
        <w:snapToGrid w:val="0"/>
        <w:spacing w:before="50" w:after="50"/>
        <w:ind w:firstLine="480" w:firstLineChars="200"/>
        <w:jc w:val="left"/>
        <w:rPr>
          <w:rFonts w:ascii="楷体" w:hAnsi="楷体" w:eastAsia="楷体" w:cs="宋体"/>
          <w:sz w:val="24"/>
        </w:rPr>
      </w:pPr>
      <w:r>
        <w:rPr>
          <w:rFonts w:ascii="楷体" w:hAnsi="楷体" w:eastAsia="楷体" w:cs="宋体"/>
          <w:sz w:val="24"/>
        </w:rPr>
        <w:t>6</w:t>
      </w:r>
      <w:r>
        <w:rPr>
          <w:rFonts w:hint="eastAsia" w:ascii="楷体" w:hAnsi="楷体" w:eastAsia="楷体" w:cs="宋体"/>
          <w:sz w:val="24"/>
        </w:rPr>
        <w:t>.如为联合体投标，“投标人名称”处必须列明联合体各方名称，并标注联合体牵头人名称，</w:t>
      </w:r>
      <w:r>
        <w:rPr>
          <w:rFonts w:hint="eastAsia" w:ascii="楷体" w:hAnsi="楷体" w:eastAsia="楷体" w:cs="宋体"/>
          <w:b/>
          <w:sz w:val="24"/>
        </w:rPr>
        <w:t>否则其投标作无效标处理。</w:t>
      </w:r>
    </w:p>
    <w:p>
      <w:pPr>
        <w:snapToGrid w:val="0"/>
        <w:spacing w:before="50" w:after="50"/>
        <w:ind w:firstLine="456" w:firstLineChars="200"/>
        <w:jc w:val="left"/>
        <w:rPr>
          <w:rFonts w:ascii="楷体" w:hAnsi="楷体" w:eastAsia="楷体" w:cs="宋体"/>
          <w:spacing w:val="-6"/>
          <w:sz w:val="24"/>
        </w:rPr>
      </w:pPr>
      <w:r>
        <w:rPr>
          <w:rFonts w:ascii="楷体" w:hAnsi="楷体" w:eastAsia="楷体" w:cs="宋体"/>
          <w:spacing w:val="-6"/>
          <w:sz w:val="24"/>
        </w:rPr>
        <w:t>7</w:t>
      </w:r>
      <w:r>
        <w:rPr>
          <w:rFonts w:hint="eastAsia" w:ascii="楷体" w:hAnsi="楷体" w:eastAsia="楷体" w:cs="宋体"/>
          <w:spacing w:val="-6"/>
          <w:sz w:val="24"/>
        </w:rPr>
        <w:t>.如为联合体投标，盖章处须加盖联合体各方公章，</w:t>
      </w:r>
      <w:r>
        <w:rPr>
          <w:rFonts w:hint="eastAsia" w:ascii="楷体" w:hAnsi="楷体" w:eastAsia="楷体" w:cs="宋体"/>
          <w:b/>
          <w:spacing w:val="-6"/>
          <w:sz w:val="24"/>
        </w:rPr>
        <w:t>否则其投标作无效标处理。</w:t>
      </w:r>
    </w:p>
    <w:p>
      <w:pPr>
        <w:snapToGrid w:val="0"/>
        <w:spacing w:before="50" w:after="50"/>
        <w:ind w:firstLine="480" w:firstLineChars="200"/>
        <w:rPr>
          <w:rFonts w:ascii="楷体" w:hAnsi="楷体" w:eastAsia="楷体" w:cs="宋体"/>
          <w:b/>
          <w:sz w:val="24"/>
        </w:rPr>
      </w:pPr>
      <w:r>
        <w:rPr>
          <w:rFonts w:ascii="楷体" w:hAnsi="楷体" w:eastAsia="楷体" w:cs="宋体"/>
          <w:sz w:val="24"/>
        </w:rPr>
        <w:t>8</w:t>
      </w:r>
      <w:r>
        <w:rPr>
          <w:rFonts w:hint="eastAsia" w:ascii="楷体" w:hAnsi="楷体" w:eastAsia="楷体" w:cs="宋体"/>
          <w:sz w:val="24"/>
        </w:rPr>
        <w:t>.投标人需按本表格式填写，不得自行更改，如有多分标，按分标分别提供开标一览表，必须加盖投标人公章并由法定代表人或者委托代理人签字，</w:t>
      </w:r>
      <w:r>
        <w:rPr>
          <w:rFonts w:hint="eastAsia" w:ascii="楷体" w:hAnsi="楷体" w:eastAsia="楷体" w:cs="宋体"/>
          <w:b/>
          <w:sz w:val="24"/>
        </w:rPr>
        <w:t>否则投标无效。</w:t>
      </w:r>
    </w:p>
    <w:p>
      <w:pPr>
        <w:snapToGrid w:val="0"/>
        <w:spacing w:before="50" w:after="50"/>
        <w:ind w:firstLine="480" w:firstLineChars="200"/>
        <w:rPr>
          <w:rFonts w:ascii="楷体" w:hAnsi="楷体" w:eastAsia="楷体" w:cs="宋体"/>
          <w:sz w:val="24"/>
        </w:rPr>
      </w:pPr>
      <w:r>
        <w:rPr>
          <w:rFonts w:hint="eastAsia" w:ascii="楷体" w:hAnsi="楷体" w:eastAsia="楷体" w:cs="宋体"/>
          <w:sz w:val="24"/>
        </w:rPr>
        <w:t>9.特别提示：采购代理机构将对项目名称和项目编号，中标人名称、地址和中标金额，主要中标标的的名称、规格型号、品牌（如有）、数量、单价等予以公示。</w:t>
      </w:r>
    </w:p>
    <w:p>
      <w:pPr>
        <w:pStyle w:val="2"/>
      </w:pPr>
    </w:p>
    <w:p>
      <w:pPr>
        <w:snapToGrid w:val="0"/>
        <w:spacing w:before="50" w:after="50"/>
        <w:ind w:left="-2" w:leftChars="-1" w:right="-817" w:rightChars="-389"/>
        <w:rPr>
          <w:rFonts w:ascii="宋体" w:hAnsi="宋体" w:cs="宋体"/>
          <w:sz w:val="24"/>
        </w:rPr>
      </w:pPr>
      <w:r>
        <w:rPr>
          <w:rFonts w:hint="eastAsia" w:ascii="宋体" w:hAnsi="宋体" w:cs="宋体"/>
          <w:sz w:val="24"/>
        </w:rPr>
        <w:t xml:space="preserve">法定代表人或者委托代理人（签字）：                    </w:t>
      </w:r>
    </w:p>
    <w:p>
      <w:pPr>
        <w:snapToGrid w:val="0"/>
        <w:spacing w:before="50" w:after="50"/>
        <w:ind w:left="-3" w:leftChars="-15" w:right="-817" w:rightChars="-389" w:hanging="28" w:hangingChars="12"/>
        <w:rPr>
          <w:rFonts w:ascii="宋体" w:hAnsi="宋体" w:cs="宋体"/>
          <w:sz w:val="24"/>
        </w:rPr>
      </w:pPr>
      <w:r>
        <w:rPr>
          <w:rFonts w:hint="eastAsia" w:ascii="宋体" w:hAnsi="宋体" w:cs="宋体"/>
          <w:sz w:val="24"/>
        </w:rPr>
        <w:t>投标人（公章）：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ascii="宋体" w:hAnsi="宋体" w:cs="宋体"/>
          <w:b/>
          <w:sz w:val="28"/>
          <w:szCs w:val="28"/>
        </w:rPr>
      </w:pPr>
      <w:r>
        <w:rPr>
          <w:rFonts w:hint="eastAsia" w:ascii="宋体" w:hAnsi="宋体" w:cs="宋体"/>
          <w:b/>
          <w:bCs/>
          <w:sz w:val="24"/>
        </w:rPr>
        <w:br w:type="page"/>
      </w:r>
      <w:bookmarkStart w:id="148" w:name="_Toc19686837"/>
      <w:r>
        <w:rPr>
          <w:rFonts w:hint="eastAsia" w:ascii="宋体" w:hAnsi="宋体" w:cs="宋体"/>
          <w:b/>
          <w:sz w:val="28"/>
          <w:szCs w:val="28"/>
        </w:rPr>
        <w:t>二、资格证明文件格式</w:t>
      </w:r>
      <w:bookmarkEnd w:id="146"/>
      <w:bookmarkEnd w:id="147"/>
      <w:bookmarkEnd w:id="148"/>
    </w:p>
    <w:p>
      <w:pPr>
        <w:numPr>
          <w:ilvl w:val="2"/>
          <w:numId w:val="5"/>
        </w:numPr>
        <w:snapToGrid w:val="0"/>
        <w:spacing w:before="120" w:beforeLines="50" w:after="50" w:line="360" w:lineRule="auto"/>
        <w:ind w:left="0" w:firstLine="0"/>
        <w:jc w:val="left"/>
        <w:rPr>
          <w:rFonts w:ascii="宋体" w:hAnsi="宋体" w:cs="宋体"/>
          <w:b/>
          <w:sz w:val="24"/>
        </w:rPr>
      </w:pPr>
      <w:r>
        <w:rPr>
          <w:rFonts w:hint="eastAsia" w:ascii="宋体" w:hAnsi="宋体" w:cs="宋体"/>
          <w:b/>
          <w:sz w:val="24"/>
        </w:rPr>
        <w:t xml:space="preserve">资格证明文件封面格式： </w:t>
      </w:r>
    </w:p>
    <w:p>
      <w:pPr>
        <w:snapToGrid w:val="0"/>
        <w:spacing w:before="120" w:beforeLines="50" w:after="50"/>
        <w:rPr>
          <w:rFonts w:ascii="宋体" w:hAnsi="宋体" w:cs="宋体"/>
          <w:bCs/>
          <w:sz w:val="32"/>
          <w:szCs w:val="20"/>
        </w:rPr>
      </w:pPr>
      <w:r>
        <w:rPr>
          <w:rFonts w:hint="eastAsia" w:ascii="宋体" w:hAnsi="宋体" w:cs="宋体"/>
          <w:sz w:val="24"/>
        </w:rPr>
        <w:t xml:space="preserve">                                                   </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
          <w:sz w:val="24"/>
          <w:szCs w:val="20"/>
        </w:rPr>
      </w:pPr>
      <w:r>
        <w:rPr>
          <w:rFonts w:hint="eastAsia" w:ascii="宋体" w:hAnsi="宋体" w:cs="宋体"/>
          <w:b/>
          <w:sz w:val="32"/>
          <w:szCs w:val="32"/>
        </w:rPr>
        <w:t>资 格 证 明 文 件</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ind w:firstLine="1680" w:firstLineChars="600"/>
        <w:rPr>
          <w:rFonts w:ascii="宋体" w:hAnsi="宋体" w:cs="宋体"/>
          <w:bCs/>
          <w:sz w:val="28"/>
          <w:szCs w:val="21"/>
        </w:rPr>
      </w:pPr>
    </w:p>
    <w:p>
      <w:pPr>
        <w:snapToGrid w:val="0"/>
        <w:spacing w:before="120" w:beforeLines="50" w:after="50"/>
        <w:ind w:firstLine="1680" w:firstLineChars="600"/>
        <w:rPr>
          <w:rFonts w:ascii="宋体" w:hAnsi="宋体" w:cs="宋体"/>
          <w:bCs/>
          <w:sz w:val="28"/>
          <w:szCs w:val="21"/>
        </w:rPr>
      </w:pPr>
    </w:p>
    <w:p>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项目名称：</w:t>
      </w:r>
    </w:p>
    <w:p>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项目编号：</w:t>
      </w:r>
    </w:p>
    <w:p>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pPr>
        <w:pStyle w:val="8"/>
        <w:snapToGrid w:val="0"/>
        <w:spacing w:before="50" w:after="50"/>
        <w:ind w:firstLine="1680" w:firstLineChars="600"/>
        <w:rPr>
          <w:rFonts w:ascii="宋体" w:hAnsi="宋体" w:cs="宋体"/>
          <w:bCs/>
          <w:sz w:val="28"/>
          <w:szCs w:val="28"/>
        </w:rPr>
      </w:pPr>
    </w:p>
    <w:p>
      <w:pPr>
        <w:pStyle w:val="8"/>
        <w:snapToGrid w:val="0"/>
        <w:spacing w:before="50" w:after="50"/>
        <w:ind w:firstLine="1680" w:firstLineChars="600"/>
        <w:rPr>
          <w:rFonts w:ascii="宋体" w:hAnsi="宋体" w:cs="宋体"/>
          <w:bCs/>
          <w:sz w:val="28"/>
          <w:szCs w:val="28"/>
        </w:rPr>
      </w:pPr>
    </w:p>
    <w:p>
      <w:pPr>
        <w:snapToGrid w:val="0"/>
        <w:spacing w:before="120" w:beforeLines="50" w:after="50"/>
        <w:ind w:firstLine="1680" w:firstLineChars="600"/>
        <w:jc w:val="center"/>
        <w:rPr>
          <w:rFonts w:ascii="宋体" w:hAnsi="宋体" w:cs="宋体"/>
          <w:sz w:val="28"/>
          <w:szCs w:val="28"/>
        </w:rPr>
      </w:pPr>
      <w:r>
        <w:rPr>
          <w:rFonts w:hint="eastAsia" w:ascii="宋体" w:hAnsi="宋体" w:cs="宋体"/>
          <w:sz w:val="28"/>
          <w:szCs w:val="28"/>
        </w:rPr>
        <w:t>年  月  日</w:t>
      </w:r>
    </w:p>
    <w:p>
      <w:pPr>
        <w:snapToGrid w:val="0"/>
        <w:spacing w:before="120" w:beforeLines="50" w:after="50"/>
        <w:rPr>
          <w:rFonts w:ascii="宋体" w:hAnsi="宋体" w:cs="宋体"/>
          <w:sz w:val="24"/>
          <w:szCs w:val="20"/>
        </w:rPr>
      </w:pPr>
      <w:r>
        <w:rPr>
          <w:rFonts w:hint="eastAsia" w:ascii="宋体" w:hAnsi="宋体" w:cs="宋体"/>
          <w:sz w:val="24"/>
          <w:szCs w:val="20"/>
        </w:rPr>
        <w:t xml:space="preserve"> </w:t>
      </w:r>
    </w:p>
    <w:p>
      <w:pPr>
        <w:snapToGrid w:val="0"/>
        <w:spacing w:before="120" w:beforeLines="50" w:after="50"/>
        <w:rPr>
          <w:rFonts w:ascii="宋体" w:hAnsi="宋体" w:cs="宋体"/>
          <w:sz w:val="24"/>
          <w:szCs w:val="20"/>
        </w:rPr>
      </w:pPr>
    </w:p>
    <w:p>
      <w:pPr>
        <w:numPr>
          <w:ilvl w:val="2"/>
          <w:numId w:val="5"/>
        </w:numPr>
        <w:snapToGrid w:val="0"/>
        <w:spacing w:before="120" w:beforeLines="50" w:after="50" w:line="360" w:lineRule="auto"/>
        <w:ind w:left="0" w:firstLine="0"/>
        <w:jc w:val="left"/>
        <w:rPr>
          <w:rFonts w:ascii="宋体" w:hAnsi="宋体" w:cs="宋体"/>
          <w:sz w:val="24"/>
          <w:szCs w:val="20"/>
        </w:rPr>
      </w:pPr>
      <w:r>
        <w:rPr>
          <w:rFonts w:hint="eastAsia" w:ascii="宋体" w:hAnsi="宋体" w:cs="宋体"/>
          <w:b/>
          <w:bCs/>
          <w:sz w:val="24"/>
        </w:rPr>
        <w:br w:type="page"/>
      </w:r>
      <w:r>
        <w:rPr>
          <w:rFonts w:hint="eastAsia" w:ascii="宋体" w:hAnsi="宋体" w:cs="宋体"/>
          <w:b/>
          <w:bCs/>
          <w:sz w:val="24"/>
        </w:rPr>
        <w:t>资格证明文件目录</w:t>
      </w:r>
    </w:p>
    <w:p>
      <w:pPr>
        <w:snapToGrid w:val="0"/>
        <w:spacing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pPr>
        <w:snapToGrid w:val="0"/>
        <w:spacing w:before="50" w:after="120" w:afterLines="50"/>
        <w:jc w:val="left"/>
        <w:rPr>
          <w:rFonts w:ascii="宋体" w:hAnsi="宋体" w:cs="宋体"/>
          <w:sz w:val="24"/>
        </w:rPr>
      </w:pPr>
    </w:p>
    <w:p>
      <w:pPr>
        <w:snapToGrid w:val="0"/>
        <w:spacing w:before="50" w:after="120" w:afterLines="50"/>
        <w:jc w:val="left"/>
        <w:rPr>
          <w:rFonts w:ascii="宋体" w:hAnsi="宋体" w:cs="宋体"/>
          <w:sz w:val="24"/>
        </w:rPr>
      </w:pPr>
    </w:p>
    <w:p>
      <w:pPr>
        <w:numPr>
          <w:ilvl w:val="2"/>
          <w:numId w:val="5"/>
        </w:numPr>
        <w:snapToGrid w:val="0"/>
        <w:spacing w:before="120" w:beforeLines="50" w:after="50"/>
        <w:ind w:left="0" w:firstLine="0"/>
        <w:jc w:val="left"/>
        <w:rPr>
          <w:rFonts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pPr>
        <w:snapToGrid w:val="0"/>
        <w:spacing w:before="50" w:after="120" w:afterLines="50"/>
        <w:jc w:val="center"/>
        <w:rPr>
          <w:rFonts w:ascii="宋体" w:hAnsi="宋体" w:cs="宋体"/>
          <w:b/>
          <w:sz w:val="28"/>
          <w:szCs w:val="28"/>
        </w:rPr>
      </w:pPr>
    </w:p>
    <w:p>
      <w:pPr>
        <w:snapToGrid w:val="0"/>
        <w:spacing w:before="5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楷体" w:hAnsi="楷体" w:eastAsia="楷体" w:cs="宋体"/>
          <w:sz w:val="24"/>
        </w:rPr>
      </w:pPr>
    </w:p>
    <w:p>
      <w:pPr>
        <w:snapToGrid w:val="0"/>
        <w:spacing w:line="360" w:lineRule="auto"/>
        <w:jc w:val="left"/>
        <w:rPr>
          <w:rFonts w:ascii="楷体" w:hAnsi="楷体" w:eastAsia="楷体" w:cs="宋体"/>
          <w:b/>
          <w:sz w:val="24"/>
        </w:rPr>
      </w:pPr>
      <w:r>
        <w:rPr>
          <w:rFonts w:hint="eastAsia" w:ascii="楷体" w:hAnsi="楷体" w:eastAsia="楷体" w:cs="宋体"/>
          <w:b/>
          <w:sz w:val="24"/>
        </w:rPr>
        <w:t>注：</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2.本表所指的控股关系仅限于直接控股关系，不包括间接的控股关系。公司实际控制人与公司之间的关系不属于本表所指的直接控股关系。</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3.供应商不存在直接控股股东的，则填“无”。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120" w:beforeLines="50" w:after="50" w:line="360" w:lineRule="auto"/>
        <w:ind w:right="480" w:firstLine="5280" w:firstLineChars="2200"/>
        <w:rPr>
          <w:rFonts w:ascii="宋体" w:hAnsi="宋体" w:cs="宋体"/>
          <w:sz w:val="24"/>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jc w:val="center"/>
        <w:rPr>
          <w:rFonts w:ascii="宋体" w:hAnsi="宋体" w:cs="宋体"/>
          <w:b/>
          <w:sz w:val="28"/>
          <w:szCs w:val="28"/>
        </w:rPr>
      </w:pPr>
    </w:p>
    <w:p>
      <w:pPr>
        <w:snapToGrid w:val="0"/>
        <w:spacing w:line="360" w:lineRule="auto"/>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楷体" w:hAnsi="楷体" w:eastAsia="楷体" w:cs="宋体"/>
          <w:b/>
          <w:sz w:val="24"/>
        </w:rPr>
      </w:pPr>
    </w:p>
    <w:p>
      <w:pPr>
        <w:snapToGrid w:val="0"/>
        <w:spacing w:line="360" w:lineRule="auto"/>
        <w:jc w:val="left"/>
        <w:rPr>
          <w:rFonts w:ascii="楷体" w:hAnsi="楷体" w:eastAsia="楷体" w:cs="宋体"/>
          <w:b/>
          <w:sz w:val="24"/>
        </w:rPr>
      </w:pPr>
      <w:r>
        <w:rPr>
          <w:rFonts w:hint="eastAsia" w:ascii="楷体" w:hAnsi="楷体" w:eastAsia="楷体" w:cs="宋体"/>
          <w:b/>
          <w:sz w:val="24"/>
        </w:rPr>
        <w:t>注：</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pPr>
        <w:snapToGrid w:val="0"/>
        <w:spacing w:line="360" w:lineRule="auto"/>
        <w:ind w:firstLine="480" w:firstLineChars="200"/>
        <w:jc w:val="left"/>
        <w:rPr>
          <w:rFonts w:ascii="楷体" w:hAnsi="楷体" w:eastAsia="楷体" w:cs="宋体"/>
          <w:sz w:val="24"/>
        </w:rPr>
      </w:pPr>
      <w:r>
        <w:rPr>
          <w:rFonts w:hint="eastAsia" w:ascii="楷体" w:hAnsi="楷体" w:eastAsia="楷体" w:cs="宋体"/>
          <w:sz w:val="24"/>
        </w:rPr>
        <w:t>3.供应商不存在直接管理关系的，则填“无”。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snapToGrid w:val="0"/>
        <w:spacing w:before="120" w:beforeLines="50" w:after="50" w:line="360" w:lineRule="auto"/>
        <w:ind w:right="720" w:firstLine="240" w:firstLineChars="100"/>
        <w:jc w:val="right"/>
        <w:rPr>
          <w:rFonts w:ascii="宋体" w:hAnsi="宋体" w:cs="宋体"/>
          <w:sz w:val="24"/>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20" w:afterLines="50"/>
        <w:jc w:val="left"/>
        <w:rPr>
          <w:rFonts w:ascii="宋体" w:hAnsi="宋体" w:cs="宋体"/>
          <w:szCs w:val="21"/>
        </w:rPr>
      </w:pPr>
    </w:p>
    <w:p>
      <w:pPr>
        <w:snapToGrid w:val="0"/>
        <w:spacing w:before="120" w:beforeLines="50" w:after="50"/>
        <w:jc w:val="left"/>
        <w:rPr>
          <w:rFonts w:ascii="宋体" w:hAnsi="宋体" w:cs="宋体"/>
          <w:b/>
          <w:sz w:val="24"/>
          <w:szCs w:val="20"/>
        </w:rPr>
      </w:pPr>
    </w:p>
    <w:p>
      <w:pPr>
        <w:numPr>
          <w:ilvl w:val="2"/>
          <w:numId w:val="5"/>
        </w:numPr>
        <w:snapToGrid w:val="0"/>
        <w:spacing w:before="120" w:beforeLines="50" w:after="50"/>
        <w:ind w:left="0" w:firstLine="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投标声明格式</w:t>
      </w:r>
    </w:p>
    <w:p>
      <w:pPr>
        <w:snapToGrid w:val="0"/>
        <w:spacing w:before="50" w:after="120" w:afterLines="50"/>
        <w:jc w:val="left"/>
        <w:rPr>
          <w:rFonts w:ascii="宋体" w:hAnsi="宋体" w:cs="宋体"/>
        </w:rPr>
      </w:pPr>
    </w:p>
    <w:p>
      <w:pPr>
        <w:snapToGrid w:val="0"/>
        <w:spacing w:before="50" w:after="120" w:afterLines="50"/>
        <w:jc w:val="center"/>
        <w:rPr>
          <w:rFonts w:ascii="宋体" w:hAnsi="宋体" w:cs="宋体"/>
          <w:bCs/>
          <w:sz w:val="44"/>
          <w:szCs w:val="44"/>
        </w:rPr>
      </w:pPr>
      <w:r>
        <w:rPr>
          <w:rFonts w:hint="eastAsia" w:ascii="宋体" w:hAnsi="宋体" w:cs="宋体"/>
          <w:bCs/>
          <w:sz w:val="44"/>
          <w:szCs w:val="44"/>
        </w:rPr>
        <w:t>投标声明</w:t>
      </w:r>
    </w:p>
    <w:p>
      <w:pPr>
        <w:snapToGrid w:val="0"/>
        <w:spacing w:before="50" w:after="120" w:afterLines="50"/>
        <w:jc w:val="center"/>
        <w:rPr>
          <w:rFonts w:ascii="宋体" w:hAnsi="宋体" w:cs="宋体"/>
          <w:bCs/>
          <w:sz w:val="44"/>
          <w:szCs w:val="44"/>
        </w:rPr>
      </w:pPr>
    </w:p>
    <w:p>
      <w:pPr>
        <w:spacing w:line="400" w:lineRule="exact"/>
        <w:contextualSpacing/>
        <w:jc w:val="left"/>
        <w:rPr>
          <w:rFonts w:ascii="宋体" w:hAnsi="宋体" w:cs="宋体"/>
          <w:sz w:val="24"/>
        </w:rPr>
      </w:pPr>
      <w:r>
        <w:rPr>
          <w:rFonts w:hint="eastAsia" w:ascii="宋体" w:hAnsi="宋体" w:cs="宋体"/>
          <w:sz w:val="24"/>
        </w:rPr>
        <w:t>（采购人名称）：</w:t>
      </w:r>
    </w:p>
    <w:p>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s="宋体"/>
          <w:sz w:val="24"/>
        </w:rPr>
      </w:pPr>
      <w:r>
        <w:rPr>
          <w:rFonts w:hint="eastAsia" w:ascii="宋体" w:hAnsi="宋体" w:cs="宋体"/>
          <w:sz w:val="24"/>
        </w:rPr>
        <w:t>3. 我方承诺符合《中华人民共和国政府采购法》第二十二条规定：</w:t>
      </w:r>
    </w:p>
    <w:p>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pPr>
        <w:spacing w:line="400" w:lineRule="exact"/>
        <w:ind w:firstLine="480" w:firstLineChars="200"/>
        <w:contextualSpacing/>
        <w:jc w:val="left"/>
        <w:rPr>
          <w:rFonts w:ascii="宋体" w:hAnsi="宋体" w:cs="宋体"/>
          <w:sz w:val="24"/>
        </w:rPr>
      </w:pPr>
      <w:r>
        <w:rPr>
          <w:rFonts w:hint="eastAsia" w:ascii="宋体" w:hAnsi="宋体" w:cs="宋体"/>
          <w:sz w:val="24"/>
        </w:rPr>
        <w:t>4.以上事项如有虚假或者隐瞒，我方愿意承担一切后果，并不再寻求任何旨在减轻或者免除法律责任的辩解。</w:t>
      </w:r>
    </w:p>
    <w:p>
      <w:pPr>
        <w:spacing w:line="400" w:lineRule="exact"/>
        <w:ind w:firstLine="480" w:firstLineChars="200"/>
        <w:contextualSpacing/>
        <w:jc w:val="left"/>
      </w:pPr>
      <w:r>
        <w:rPr>
          <w:rFonts w:ascii="宋体" w:hAnsi="宋体" w:cs="宋体"/>
          <w:sz w:val="24"/>
        </w:rPr>
        <w:t>5</w:t>
      </w:r>
      <w:r>
        <w:rPr>
          <w:rFonts w:hint="eastAsia" w:ascii="宋体" w:hAnsi="宋体" w:cs="宋体"/>
          <w:sz w:val="24"/>
        </w:rPr>
        <w:t>.我方若中标，除非发生不可抗力，承诺与发包方及时签订《合同书》。如果弃标，自愿按照本文件之《投标人须知正文》第3</w:t>
      </w:r>
      <w:r>
        <w:rPr>
          <w:rFonts w:ascii="宋体" w:hAnsi="宋体" w:cs="宋体"/>
          <w:sz w:val="24"/>
        </w:rPr>
        <w:t>0.4</w:t>
      </w:r>
      <w:r>
        <w:rPr>
          <w:rFonts w:hint="eastAsia" w:ascii="宋体" w:hAnsi="宋体" w:cs="宋体"/>
          <w:sz w:val="24"/>
        </w:rPr>
        <w:t>条的要求承担法律责任和失信惩戒。</w:t>
      </w:r>
    </w:p>
    <w:p>
      <w:pPr>
        <w:spacing w:line="400" w:lineRule="exact"/>
        <w:contextualSpacing/>
        <w:jc w:val="left"/>
        <w:rPr>
          <w:rFonts w:ascii="宋体" w:hAnsi="宋体" w:cs="宋体"/>
          <w:sz w:val="24"/>
        </w:rPr>
      </w:pPr>
      <w:r>
        <w:rPr>
          <w:rFonts w:hint="eastAsia" w:ascii="宋体" w:hAnsi="宋体" w:cs="宋体"/>
          <w:sz w:val="24"/>
        </w:rPr>
        <w:t xml:space="preserve">    特此承诺。</w:t>
      </w:r>
    </w:p>
    <w:p>
      <w:pPr>
        <w:spacing w:line="400" w:lineRule="exact"/>
        <w:contextualSpacing/>
        <w:jc w:val="left"/>
        <w:rPr>
          <w:rFonts w:ascii="楷体" w:hAnsi="楷体" w:eastAsia="楷体" w:cs="宋体"/>
          <w:b/>
          <w:sz w:val="24"/>
        </w:rPr>
      </w:pPr>
      <w:r>
        <w:rPr>
          <w:rFonts w:hint="eastAsia" w:ascii="宋体" w:hAnsi="宋体" w:cs="宋体"/>
          <w:b/>
          <w:sz w:val="24"/>
        </w:rPr>
        <w:t xml:space="preserve">   </w:t>
      </w:r>
      <w:r>
        <w:rPr>
          <w:rFonts w:hint="eastAsia" w:ascii="楷体" w:hAnsi="楷体" w:eastAsia="楷体" w:cs="宋体"/>
          <w:b/>
          <w:sz w:val="24"/>
        </w:rPr>
        <w:t xml:space="preserve"> 注：如为联合体投标，盖章处须加盖联合体各方公章并由联合体各方法定代表人分别签字，否则投标无效。</w:t>
      </w:r>
    </w:p>
    <w:p>
      <w:pPr>
        <w:spacing w:line="400" w:lineRule="exact"/>
        <w:contextualSpacing/>
        <w:jc w:val="left"/>
        <w:rPr>
          <w:rFonts w:ascii="宋体" w:hAnsi="宋体" w:cs="宋体"/>
          <w:sz w:val="24"/>
        </w:rPr>
      </w:pPr>
      <w:r>
        <w:rPr>
          <w:rFonts w:hint="eastAsia" w:ascii="楷体" w:hAnsi="楷体" w:eastAsia="楷体" w:cs="宋体"/>
          <w:sz w:val="24"/>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400" w:lineRule="exact"/>
        <w:contextualSpacing/>
        <w:jc w:val="left"/>
        <w:rPr>
          <w:rFonts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spacing w:line="400" w:lineRule="exact"/>
        <w:contextualSpacing/>
        <w:jc w:val="left"/>
        <w:rPr>
          <w:rFonts w:ascii="宋体" w:hAnsi="宋体" w:cs="宋体"/>
        </w:rPr>
      </w:pPr>
      <w:r>
        <w:rPr>
          <w:rFonts w:hint="eastAsia" w:ascii="宋体"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ascii="宋体" w:hAnsi="宋体" w:cs="宋体"/>
          <w:b/>
          <w:sz w:val="28"/>
          <w:szCs w:val="28"/>
        </w:rPr>
      </w:pPr>
      <w:bookmarkStart w:id="149" w:name="_Toc19686838"/>
      <w:r>
        <w:rPr>
          <w:rFonts w:hint="eastAsia" w:ascii="宋体" w:hAnsi="宋体" w:cs="宋体"/>
          <w:b/>
          <w:sz w:val="28"/>
          <w:szCs w:val="28"/>
        </w:rPr>
        <w:br w:type="page"/>
      </w:r>
      <w:r>
        <w:rPr>
          <w:rFonts w:hint="eastAsia" w:ascii="宋体" w:hAnsi="宋体" w:cs="宋体"/>
          <w:b/>
          <w:sz w:val="28"/>
          <w:szCs w:val="28"/>
        </w:rPr>
        <w:t>三、商务文件格式</w:t>
      </w:r>
      <w:bookmarkEnd w:id="149"/>
    </w:p>
    <w:p>
      <w:pPr>
        <w:snapToGrid w:val="0"/>
        <w:spacing w:before="120" w:beforeLines="50" w:after="50" w:line="360" w:lineRule="auto"/>
        <w:jc w:val="left"/>
        <w:rPr>
          <w:rFonts w:ascii="宋体" w:hAnsi="宋体" w:cs="宋体"/>
          <w:b/>
          <w:sz w:val="24"/>
        </w:rPr>
      </w:pPr>
      <w:r>
        <w:rPr>
          <w:rFonts w:hint="eastAsia" w:ascii="宋体" w:hAnsi="宋体" w:cs="宋体"/>
          <w:b/>
          <w:sz w:val="24"/>
        </w:rPr>
        <w:t xml:space="preserve">1.商务文件封面格式： </w:t>
      </w:r>
    </w:p>
    <w:p>
      <w:pPr>
        <w:snapToGrid w:val="0"/>
        <w:spacing w:before="120" w:beforeLines="50" w:after="50"/>
        <w:rPr>
          <w:rFonts w:ascii="宋体" w:hAnsi="宋体" w:cs="宋体"/>
          <w:bCs/>
          <w:sz w:val="32"/>
          <w:szCs w:val="20"/>
        </w:rPr>
      </w:pPr>
      <w:r>
        <w:rPr>
          <w:rFonts w:hint="eastAsia" w:ascii="宋体" w:hAnsi="宋体" w:cs="宋体"/>
          <w:sz w:val="24"/>
        </w:rPr>
        <w:t xml:space="preserve">                                                 </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Cs/>
          <w:sz w:val="32"/>
          <w:szCs w:val="32"/>
        </w:rPr>
      </w:pPr>
      <w:r>
        <w:rPr>
          <w:rFonts w:hint="eastAsia" w:ascii="宋体" w:hAnsi="宋体" w:cs="宋体"/>
          <w:bCs/>
          <w:sz w:val="32"/>
          <w:szCs w:val="32"/>
        </w:rPr>
        <w:t>商  务  文  件</w:t>
      </w:r>
    </w:p>
    <w:p>
      <w:pPr>
        <w:snapToGrid w:val="0"/>
        <w:spacing w:before="120" w:beforeLines="50" w:after="50"/>
        <w:rPr>
          <w:rFonts w:ascii="宋体" w:hAnsi="宋体" w:cs="宋体"/>
          <w:bCs/>
          <w:sz w:val="24"/>
          <w:szCs w:val="20"/>
        </w:rPr>
      </w:pPr>
    </w:p>
    <w:p>
      <w:pPr>
        <w:snapToGrid w:val="0"/>
        <w:spacing w:before="120" w:beforeLines="50" w:after="50"/>
        <w:ind w:firstLine="540" w:firstLineChars="225"/>
        <w:rPr>
          <w:rFonts w:ascii="宋体" w:hAnsi="宋体" w:cs="宋体"/>
          <w:bCs/>
          <w:sz w:val="24"/>
        </w:rPr>
      </w:pPr>
    </w:p>
    <w:p>
      <w:pPr>
        <w:snapToGrid w:val="0"/>
        <w:spacing w:before="120" w:beforeLines="50" w:after="50"/>
        <w:ind w:firstLine="540" w:firstLineChars="225"/>
        <w:rPr>
          <w:rFonts w:ascii="宋体" w:hAnsi="宋体" w:cs="宋体"/>
          <w:bCs/>
          <w:sz w:val="24"/>
        </w:rPr>
      </w:pPr>
    </w:p>
    <w:p>
      <w:pPr>
        <w:snapToGrid w:val="0"/>
        <w:spacing w:before="120" w:beforeLines="50" w:after="50"/>
        <w:ind w:firstLine="1680" w:firstLineChars="600"/>
        <w:rPr>
          <w:rFonts w:ascii="宋体" w:hAnsi="宋体" w:cs="宋体"/>
          <w:bCs/>
          <w:sz w:val="28"/>
          <w:szCs w:val="28"/>
        </w:rPr>
      </w:pPr>
    </w:p>
    <w:p>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项目名称：</w:t>
      </w:r>
    </w:p>
    <w:p>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项目编号：</w:t>
      </w:r>
    </w:p>
    <w:p>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投标人地址：</w:t>
      </w:r>
    </w:p>
    <w:p>
      <w:pPr>
        <w:pStyle w:val="8"/>
        <w:snapToGrid w:val="0"/>
        <w:spacing w:before="50" w:after="50"/>
        <w:ind w:firstLine="1680" w:firstLineChars="600"/>
        <w:rPr>
          <w:rFonts w:ascii="宋体" w:hAnsi="宋体" w:cs="宋体"/>
          <w:bCs/>
          <w:sz w:val="28"/>
          <w:szCs w:val="28"/>
        </w:rPr>
      </w:pPr>
    </w:p>
    <w:p>
      <w:pPr>
        <w:snapToGrid w:val="0"/>
        <w:spacing w:before="120" w:beforeLines="50" w:after="50"/>
        <w:ind w:firstLine="1680" w:firstLineChars="600"/>
        <w:rPr>
          <w:rFonts w:ascii="宋体" w:hAnsi="宋体" w:cs="宋体"/>
          <w:sz w:val="28"/>
          <w:szCs w:val="28"/>
        </w:rPr>
      </w:pPr>
      <w:r>
        <w:rPr>
          <w:rFonts w:hint="eastAsia" w:ascii="宋体" w:hAnsi="宋体" w:cs="宋体"/>
          <w:sz w:val="28"/>
          <w:szCs w:val="28"/>
        </w:rPr>
        <w:t xml:space="preserve">                        年  月  日</w:t>
      </w:r>
    </w:p>
    <w:p>
      <w:pPr>
        <w:snapToGrid w:val="0"/>
        <w:spacing w:before="120" w:beforeLines="50" w:after="50"/>
        <w:rPr>
          <w:rFonts w:ascii="宋体" w:hAnsi="宋体" w:cs="宋体"/>
          <w:sz w:val="24"/>
          <w:szCs w:val="20"/>
        </w:rPr>
      </w:pPr>
      <w:r>
        <w:rPr>
          <w:rFonts w:hint="eastAsia" w:ascii="宋体" w:hAnsi="宋体" w:cs="宋体"/>
          <w:sz w:val="24"/>
          <w:szCs w:val="20"/>
        </w:rPr>
        <w:t xml:space="preserve"> </w:t>
      </w:r>
    </w:p>
    <w:p>
      <w:pPr>
        <w:snapToGrid w:val="0"/>
        <w:spacing w:line="360" w:lineRule="auto"/>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4"/>
        </w:rPr>
        <w:t>2.商务文件目录</w:t>
      </w:r>
    </w:p>
    <w:p>
      <w:pPr>
        <w:snapToGrid w:val="0"/>
        <w:spacing w:before="50" w:after="120" w:afterLines="50" w:line="360" w:lineRule="auto"/>
        <w:ind w:firstLine="480" w:firstLineChars="200"/>
        <w:jc w:val="left"/>
        <w:rPr>
          <w:rFonts w:ascii="宋体" w:hAnsi="宋体" w:cs="宋体"/>
          <w:b/>
          <w:bCs/>
          <w:sz w:val="32"/>
          <w:szCs w:val="32"/>
        </w:rPr>
      </w:pPr>
      <w:r>
        <w:rPr>
          <w:rFonts w:hint="eastAsia" w:ascii="宋体" w:hAnsi="宋体" w:cs="宋体"/>
          <w:sz w:val="24"/>
        </w:rPr>
        <w:t>根据招标文件规定及投标人提供的材料自行编写目录。</w:t>
      </w:r>
    </w:p>
    <w:p>
      <w:pPr>
        <w:snapToGrid w:val="0"/>
        <w:spacing w:before="50" w:after="120" w:afterLines="50"/>
        <w:jc w:val="left"/>
        <w:rPr>
          <w:rFonts w:ascii="宋体" w:hAnsi="宋体" w:cs="宋体"/>
        </w:rPr>
      </w:pPr>
    </w:p>
    <w:p>
      <w:pPr>
        <w:snapToGrid w:val="0"/>
        <w:spacing w:before="120"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pPr>
        <w:snapToGrid w:val="0"/>
        <w:spacing w:before="120" w:beforeLines="50" w:after="50"/>
        <w:jc w:val="left"/>
        <w:rPr>
          <w:rFonts w:ascii="宋体" w:hAnsi="宋体" w:cs="宋体"/>
          <w:b/>
          <w:sz w:val="24"/>
        </w:rPr>
      </w:pPr>
    </w:p>
    <w:p>
      <w:pPr>
        <w:spacing w:line="360" w:lineRule="auto"/>
        <w:ind w:left="420"/>
        <w:contextualSpacing/>
        <w:jc w:val="center"/>
        <w:rPr>
          <w:rFonts w:ascii="宋体" w:hAnsi="宋体" w:cs="宋体"/>
          <w:b/>
          <w:sz w:val="24"/>
        </w:rPr>
      </w:pPr>
      <w:r>
        <w:rPr>
          <w:rFonts w:hint="eastAsia" w:ascii="宋体" w:hAnsi="宋体" w:cs="宋体"/>
          <w:bCs/>
          <w:spacing w:val="-11"/>
          <w:sz w:val="44"/>
          <w:szCs w:val="44"/>
        </w:rPr>
        <w:t>投标人参加本项目无围标串标行为的承诺函</w:t>
      </w:r>
    </w:p>
    <w:p>
      <w:pPr>
        <w:spacing w:line="440" w:lineRule="exact"/>
        <w:contextualSpacing/>
        <w:jc w:val="left"/>
        <w:rPr>
          <w:rFonts w:ascii="宋体" w:hAnsi="宋体" w:cs="宋体"/>
          <w:b/>
          <w:sz w:val="24"/>
        </w:rPr>
      </w:pPr>
      <w:r>
        <w:rPr>
          <w:rFonts w:hint="eastAsia" w:ascii="宋体" w:hAnsi="宋体" w:cs="宋体"/>
          <w:b/>
          <w:sz w:val="24"/>
        </w:rPr>
        <w:t>一、我方承诺无下列相互串通投标的情形：</w:t>
      </w:r>
    </w:p>
    <w:p>
      <w:pPr>
        <w:spacing w:line="440" w:lineRule="exact"/>
        <w:ind w:firstLine="470" w:firstLineChars="196"/>
        <w:contextualSpacing/>
        <w:jc w:val="left"/>
        <w:rPr>
          <w:rFonts w:ascii="宋体" w:hAnsi="宋体" w:cs="宋体"/>
          <w:sz w:val="24"/>
        </w:rPr>
      </w:pPr>
      <w:r>
        <w:rPr>
          <w:rFonts w:hint="eastAsia" w:ascii="宋体" w:hAnsi="宋体" w:cs="宋体"/>
          <w:sz w:val="24"/>
        </w:rPr>
        <w:t>1.不同投标人的投标文件由同一单位或者个人编制；</w:t>
      </w:r>
    </w:p>
    <w:p>
      <w:pPr>
        <w:spacing w:line="44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pPr>
        <w:spacing w:line="44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pPr>
        <w:spacing w:line="44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pPr>
        <w:spacing w:line="44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pPr>
        <w:spacing w:line="44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pPr>
        <w:spacing w:line="440" w:lineRule="exact"/>
        <w:contextualSpacing/>
        <w:jc w:val="left"/>
        <w:rPr>
          <w:rFonts w:ascii="宋体" w:hAnsi="宋体" w:cs="宋体"/>
          <w:sz w:val="24"/>
        </w:rPr>
      </w:pPr>
      <w:r>
        <w:rPr>
          <w:rFonts w:hint="eastAsia" w:ascii="宋体" w:hAnsi="宋体" w:cs="宋体"/>
          <w:b/>
          <w:sz w:val="24"/>
        </w:rPr>
        <w:t>二、我方承诺无下列恶意串通的情形：</w:t>
      </w:r>
    </w:p>
    <w:p>
      <w:pPr>
        <w:spacing w:line="44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pPr>
        <w:spacing w:line="44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pPr>
        <w:spacing w:line="44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pPr>
        <w:spacing w:line="44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pPr>
        <w:spacing w:line="44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pPr>
        <w:pStyle w:val="26"/>
        <w:spacing w:line="440" w:lineRule="exact"/>
        <w:ind w:firstLine="6840" w:firstLineChars="2850"/>
        <w:contextualSpacing/>
        <w:rPr>
          <w:rFonts w:hAnsi="宋体" w:cs="宋体"/>
          <w:sz w:val="24"/>
          <w:szCs w:val="24"/>
        </w:rPr>
      </w:pPr>
    </w:p>
    <w:p>
      <w:pPr>
        <w:pStyle w:val="26"/>
        <w:spacing w:line="440" w:lineRule="exact"/>
        <w:contextualSpacing/>
        <w:jc w:val="center"/>
        <w:rPr>
          <w:rFonts w:hAnsi="宋体" w:cs="宋体"/>
          <w:sz w:val="24"/>
          <w:szCs w:val="24"/>
        </w:rPr>
      </w:pPr>
      <w:r>
        <w:rPr>
          <w:rFonts w:hint="eastAsia" w:hAnsi="宋体" w:cs="宋体"/>
          <w:sz w:val="24"/>
          <w:szCs w:val="24"/>
        </w:rPr>
        <w:t xml:space="preserve">                                    投标人名称（公章）</w:t>
      </w:r>
    </w:p>
    <w:p>
      <w:pPr>
        <w:pStyle w:val="26"/>
        <w:spacing w:line="440" w:lineRule="exact"/>
        <w:contextualSpacing/>
        <w:rPr>
          <w:rFonts w:hAnsi="宋体" w:cs="宋体"/>
          <w:sz w:val="24"/>
        </w:rPr>
      </w:pPr>
      <w:r>
        <w:rPr>
          <w:rFonts w:hint="eastAsia" w:hAnsi="宋体" w:cs="宋体"/>
          <w:sz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napToGrid w:val="0"/>
        <w:spacing w:before="120"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4.法定代表人身份证明</w:t>
      </w:r>
    </w:p>
    <w:p>
      <w:pPr>
        <w:spacing w:before="240" w:beforeLines="100" w:after="120" w:afterLines="50"/>
        <w:ind w:left="540"/>
        <w:jc w:val="center"/>
        <w:rPr>
          <w:rFonts w:ascii="宋体" w:hAnsi="宋体" w:cs="宋体"/>
          <w:bCs/>
          <w:sz w:val="44"/>
          <w:szCs w:val="44"/>
        </w:rPr>
      </w:pPr>
    </w:p>
    <w:p>
      <w:pPr>
        <w:spacing w:before="240" w:beforeLines="100" w:after="120" w:afterLines="50"/>
        <w:ind w:left="540"/>
        <w:jc w:val="center"/>
        <w:rPr>
          <w:rFonts w:ascii="宋体" w:hAnsi="宋体" w:cs="宋体"/>
          <w:bCs/>
          <w:sz w:val="44"/>
          <w:szCs w:val="44"/>
        </w:rPr>
      </w:pPr>
      <w:r>
        <w:rPr>
          <w:rFonts w:hint="eastAsia" w:ascii="宋体" w:hAnsi="宋体" w:cs="宋体"/>
          <w:bCs/>
          <w:sz w:val="44"/>
          <w:szCs w:val="44"/>
        </w:rPr>
        <w:t>法定代表人身份证明</w:t>
      </w:r>
    </w:p>
    <w:p>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w:t>
      </w:r>
    </w:p>
    <w:p>
      <w:pPr>
        <w:spacing w:line="500" w:lineRule="exact"/>
        <w:ind w:left="540"/>
        <w:rPr>
          <w:rFonts w:ascii="宋体" w:hAnsi="宋体" w:cs="宋体"/>
          <w:sz w:val="24"/>
        </w:rPr>
      </w:pPr>
    </w:p>
    <w:p>
      <w:pPr>
        <w:spacing w:line="500" w:lineRule="exact"/>
        <w:ind w:left="540"/>
        <w:jc w:val="right"/>
        <w:rPr>
          <w:rFonts w:ascii="宋体" w:hAnsi="宋体" w:cs="宋体"/>
          <w:sz w:val="24"/>
        </w:rPr>
      </w:pPr>
      <w:r>
        <w:rPr>
          <w:rFonts w:hint="eastAsia" w:ascii="宋体" w:hAnsi="宋体" w:cs="宋体"/>
          <w:sz w:val="24"/>
        </w:rPr>
        <w:t>投标人名称（公章）</w:t>
      </w:r>
    </w:p>
    <w:p>
      <w:pPr>
        <w:spacing w:line="500" w:lineRule="exact"/>
        <w:ind w:left="540"/>
        <w:jc w:val="right"/>
        <w:rPr>
          <w:rFonts w:ascii="宋体" w:hAnsi="宋体" w:cs="宋体"/>
          <w:sz w:val="24"/>
        </w:rPr>
      </w:pPr>
    </w:p>
    <w:p>
      <w:pPr>
        <w:snapToGrid w:val="0"/>
        <w:spacing w:before="120" w:beforeLines="50" w:after="50"/>
        <w:jc w:val="center"/>
        <w:rPr>
          <w:rFonts w:ascii="宋体" w:hAnsi="宋体" w:cs="宋体"/>
          <w:b/>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120" w:beforeLines="50" w:after="50"/>
        <w:jc w:val="left"/>
        <w:rPr>
          <w:rFonts w:ascii="楷体" w:hAnsi="楷体" w:eastAsia="楷体" w:cs="宋体"/>
          <w:b/>
          <w:sz w:val="24"/>
          <w:szCs w:val="20"/>
        </w:rPr>
      </w:pPr>
      <w:r>
        <w:rPr>
          <w:rFonts w:hint="eastAsia" w:ascii="楷体" w:hAnsi="楷体" w:eastAsia="楷体" w:cs="宋体"/>
          <w:sz w:val="24"/>
        </w:rPr>
        <w:t>注：自然人投标的无需提供</w:t>
      </w:r>
    </w:p>
    <w:p>
      <w:pPr>
        <w:snapToGrid w:val="0"/>
        <w:spacing w:before="120" w:beforeLines="50" w:after="50"/>
        <w:jc w:val="left"/>
        <w:rPr>
          <w:rFonts w:ascii="宋体" w:hAnsi="宋体" w:cs="宋体"/>
          <w:b/>
          <w:sz w:val="24"/>
          <w:szCs w:val="20"/>
        </w:rPr>
      </w:pPr>
      <w:r>
        <w:rPr>
          <w:rFonts w:hint="eastAsia" w:ascii="楷体" w:hAnsi="楷体" w:eastAsia="楷体" w:cs="宋体"/>
          <w:b/>
          <w:sz w:val="24"/>
        </w:rPr>
        <w:br w:type="page"/>
      </w:r>
      <w:r>
        <w:rPr>
          <w:rFonts w:hint="eastAsia" w:ascii="宋体" w:hAnsi="宋体" w:cs="宋体"/>
          <w:b/>
          <w:sz w:val="24"/>
        </w:rPr>
        <w:t>5.授权委托书格式</w:t>
      </w:r>
    </w:p>
    <w:p>
      <w:pPr>
        <w:snapToGrid w:val="0"/>
        <w:spacing w:before="120" w:beforeLines="50" w:after="50"/>
        <w:jc w:val="center"/>
        <w:rPr>
          <w:rFonts w:ascii="宋体" w:hAnsi="宋体" w:cs="宋体"/>
          <w:b/>
          <w:sz w:val="44"/>
          <w:szCs w:val="44"/>
        </w:rPr>
      </w:pPr>
    </w:p>
    <w:p>
      <w:pPr>
        <w:spacing w:line="360" w:lineRule="auto"/>
        <w:contextualSpacing/>
        <w:jc w:val="center"/>
        <w:rPr>
          <w:rFonts w:ascii="宋体" w:hAnsi="宋体" w:cs="宋体"/>
          <w:bCs/>
          <w:sz w:val="44"/>
          <w:szCs w:val="44"/>
        </w:rPr>
      </w:pPr>
      <w:r>
        <w:rPr>
          <w:rFonts w:hint="eastAsia" w:ascii="宋体" w:hAnsi="宋体" w:cs="宋体"/>
          <w:bCs/>
          <w:sz w:val="44"/>
          <w:szCs w:val="44"/>
        </w:rPr>
        <w:t>授权委托书</w:t>
      </w:r>
    </w:p>
    <w:p>
      <w:pPr>
        <w:spacing w:line="360" w:lineRule="auto"/>
        <w:contextualSpacing/>
        <w:jc w:val="center"/>
        <w:rPr>
          <w:rFonts w:ascii="宋体" w:hAnsi="宋体" w:cs="宋体"/>
          <w:bCs/>
          <w:sz w:val="32"/>
          <w:szCs w:val="32"/>
        </w:rPr>
      </w:pPr>
      <w:r>
        <w:rPr>
          <w:rFonts w:hint="eastAsia" w:ascii="宋体" w:hAnsi="宋体" w:cs="宋体"/>
          <w:bCs/>
          <w:sz w:val="32"/>
          <w:szCs w:val="32"/>
        </w:rPr>
        <w:t>（非联合体投标格式）</w:t>
      </w:r>
    </w:p>
    <w:p>
      <w:pPr>
        <w:spacing w:line="360" w:lineRule="auto"/>
        <w:contextualSpacing/>
        <w:jc w:val="center"/>
        <w:rPr>
          <w:rFonts w:ascii="宋体" w:hAnsi="宋体" w:cs="宋体"/>
          <w:bCs/>
          <w:sz w:val="24"/>
        </w:rPr>
      </w:pPr>
      <w:r>
        <w:rPr>
          <w:rFonts w:hint="eastAsia" w:ascii="宋体" w:hAnsi="宋体" w:cs="宋体"/>
          <w:bCs/>
          <w:sz w:val="32"/>
          <w:szCs w:val="32"/>
        </w:rPr>
        <w:t>（如有委托时）</w:t>
      </w:r>
    </w:p>
    <w:p>
      <w:pPr>
        <w:spacing w:line="440" w:lineRule="exact"/>
        <w:contextualSpacing/>
        <w:jc w:val="center"/>
        <w:rPr>
          <w:rFonts w:ascii="宋体" w:hAnsi="宋体" w:cs="宋体"/>
          <w:b/>
          <w:sz w:val="24"/>
        </w:rPr>
      </w:pPr>
    </w:p>
    <w:p>
      <w:pPr>
        <w:spacing w:line="440" w:lineRule="exact"/>
        <w:contextualSpacing/>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pPr>
        <w:spacing w:line="440" w:lineRule="exact"/>
        <w:ind w:firstLine="566" w:firstLineChars="236"/>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pPr>
        <w:spacing w:line="440" w:lineRule="exact"/>
        <w:contextualSpacing/>
        <w:rPr>
          <w:rFonts w:ascii="宋体" w:hAnsi="宋体" w:cs="宋体"/>
          <w:sz w:val="24"/>
        </w:rPr>
      </w:pPr>
      <w:r>
        <w:rPr>
          <w:rFonts w:hint="eastAsia" w:ascii="宋体" w:hAnsi="宋体" w:cs="宋体"/>
          <w:sz w:val="24"/>
        </w:rPr>
        <w:t xml:space="preserve">    我方对委托代理人的签字事项负全部责任。</w:t>
      </w:r>
    </w:p>
    <w:p>
      <w:pPr>
        <w:spacing w:line="440" w:lineRule="exact"/>
        <w:ind w:firstLine="480"/>
        <w:contextualSpacing/>
        <w:rPr>
          <w:rFonts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s="宋体"/>
          <w:sz w:val="24"/>
        </w:rPr>
      </w:pPr>
      <w:r>
        <w:rPr>
          <w:rFonts w:hint="eastAsia" w:ascii="宋体" w:hAnsi="宋体" w:cs="宋体"/>
          <w:sz w:val="24"/>
        </w:rPr>
        <w:t>委托代理人无转委托权，特此委托。</w:t>
      </w:r>
    </w:p>
    <w:p>
      <w:pPr>
        <w:spacing w:line="440" w:lineRule="exact"/>
        <w:ind w:firstLine="480"/>
        <w:contextualSpacing/>
        <w:rPr>
          <w:rFonts w:ascii="宋体" w:hAnsi="宋体" w:cs="宋体"/>
          <w:sz w:val="24"/>
        </w:rPr>
      </w:pPr>
      <w:r>
        <w:rPr>
          <w:rFonts w:hint="eastAsia" w:ascii="宋体" w:hAnsi="宋体" w:cs="宋体"/>
          <w:sz w:val="24"/>
        </w:rPr>
        <w:t>附：法定代表人身份证明及委托代理人有效身份证正反面复印件</w:t>
      </w:r>
    </w:p>
    <w:p>
      <w:pPr>
        <w:spacing w:line="440" w:lineRule="exact"/>
        <w:contextualSpacing/>
        <w:rPr>
          <w:rFonts w:ascii="宋体" w:hAnsi="宋体" w:cs="宋体"/>
          <w:sz w:val="24"/>
        </w:rPr>
      </w:pPr>
    </w:p>
    <w:p>
      <w:pPr>
        <w:spacing w:line="440" w:lineRule="exact"/>
        <w:contextualSpacing/>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440" w:lineRule="exact"/>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contextualSpacing/>
        <w:jc w:val="center"/>
        <w:rPr>
          <w:rFonts w:ascii="宋体" w:hAnsi="宋体" w:cs="宋体"/>
          <w:sz w:val="24"/>
        </w:rPr>
      </w:pPr>
      <w:r>
        <w:rPr>
          <w:rFonts w:hint="eastAsia" w:ascii="宋体" w:hAnsi="宋体" w:cs="宋体"/>
          <w:sz w:val="24"/>
        </w:rPr>
        <w:t xml:space="preserve">                                                投标人（公章）：</w:t>
      </w:r>
    </w:p>
    <w:p>
      <w:pPr>
        <w:spacing w:line="440" w:lineRule="exact"/>
        <w:contextualSpacing/>
        <w:jc w:val="center"/>
        <w:rPr>
          <w:rFonts w:ascii="宋体" w:hAnsi="宋体" w:cs="宋体"/>
          <w:sz w:val="24"/>
        </w:rPr>
      </w:pPr>
      <w:r>
        <w:rPr>
          <w:rFonts w:hint="eastAsia" w:ascii="宋体"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40" w:lineRule="exact"/>
        <w:contextualSpacing/>
        <w:rPr>
          <w:rFonts w:ascii="楷体" w:hAnsi="楷体" w:eastAsia="楷体" w:cs="宋体"/>
          <w:b/>
          <w:sz w:val="24"/>
        </w:rPr>
      </w:pPr>
    </w:p>
    <w:p>
      <w:pPr>
        <w:spacing w:line="440" w:lineRule="exact"/>
        <w:contextualSpacing/>
        <w:rPr>
          <w:rFonts w:ascii="楷体" w:hAnsi="楷体" w:eastAsia="楷体" w:cs="宋体"/>
          <w:b/>
          <w:sz w:val="24"/>
        </w:rPr>
      </w:pPr>
      <w:r>
        <w:rPr>
          <w:rFonts w:hint="eastAsia" w:ascii="楷体" w:hAnsi="楷体" w:eastAsia="楷体" w:cs="宋体"/>
          <w:b/>
          <w:sz w:val="24"/>
        </w:rPr>
        <w:t>注：</w:t>
      </w:r>
    </w:p>
    <w:p>
      <w:pPr>
        <w:spacing w:line="440" w:lineRule="exact"/>
        <w:ind w:firstLine="480" w:firstLineChars="200"/>
        <w:contextualSpacing/>
        <w:rPr>
          <w:rFonts w:ascii="楷体" w:hAnsi="楷体" w:eastAsia="楷体" w:cs="宋体"/>
          <w:sz w:val="24"/>
        </w:rPr>
      </w:pPr>
      <w:r>
        <w:rPr>
          <w:rFonts w:hint="eastAsia" w:ascii="楷体" w:hAnsi="楷体" w:eastAsia="楷体" w:cs="宋体"/>
          <w:sz w:val="24"/>
        </w:rPr>
        <w:t>1.</w:t>
      </w:r>
      <w:bookmarkStart w:id="150" w:name="_Hlk65851555"/>
      <w:bookmarkStart w:id="151" w:name="_Hlk65851620"/>
      <w:r>
        <w:rPr>
          <w:rFonts w:hint="eastAsia" w:ascii="楷体" w:hAnsi="楷体" w:eastAsia="楷体" w:cs="宋体"/>
          <w:sz w:val="24"/>
        </w:rPr>
        <w:t>法定代表人必须在授权委托书上亲笔签字或者盖章，</w:t>
      </w:r>
      <w:bookmarkEnd w:id="150"/>
      <w:r>
        <w:rPr>
          <w:rFonts w:hint="eastAsia" w:ascii="楷体" w:hAnsi="楷体" w:eastAsia="楷体" w:cs="宋体"/>
          <w:sz w:val="24"/>
        </w:rPr>
        <w:t>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bookmarkEnd w:id="151"/>
    </w:p>
    <w:p>
      <w:pPr>
        <w:spacing w:line="440" w:lineRule="exact"/>
        <w:ind w:firstLine="480" w:firstLineChars="200"/>
        <w:contextualSpacing/>
        <w:jc w:val="left"/>
        <w:rPr>
          <w:rFonts w:ascii="楷体" w:hAnsi="楷体" w:eastAsia="楷体" w:cs="宋体"/>
          <w:sz w:val="24"/>
        </w:rPr>
      </w:pPr>
      <w:r>
        <w:rPr>
          <w:rFonts w:hint="eastAsia" w:ascii="楷体" w:hAnsi="楷体" w:eastAsia="楷体" w:cs="宋体"/>
          <w:sz w:val="24"/>
        </w:rPr>
        <w:t>2.法人、其他组织投标时“我方”是指“我单位”，自然人投标时“我方”是指“本人”。</w:t>
      </w:r>
    </w:p>
    <w:p>
      <w:pPr>
        <w:snapToGrid w:val="0"/>
        <w:spacing w:before="120" w:beforeLines="50" w:after="50"/>
        <w:ind w:firstLine="566" w:firstLineChars="236"/>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授权委托书</w:t>
      </w:r>
    </w:p>
    <w:p>
      <w:pPr>
        <w:snapToGrid w:val="0"/>
        <w:spacing w:before="120" w:beforeLines="50" w:after="50"/>
        <w:ind w:firstLine="755" w:firstLineChars="236"/>
        <w:jc w:val="center"/>
        <w:rPr>
          <w:rFonts w:ascii="宋体" w:hAnsi="宋体" w:cs="宋体"/>
          <w:sz w:val="32"/>
          <w:szCs w:val="32"/>
        </w:rPr>
      </w:pPr>
      <w:r>
        <w:rPr>
          <w:rFonts w:hint="eastAsia" w:ascii="宋体" w:hAnsi="宋体" w:cs="宋体"/>
          <w:sz w:val="32"/>
          <w:szCs w:val="32"/>
        </w:rPr>
        <w:t>（联合体投标格式）</w:t>
      </w:r>
    </w:p>
    <w:p>
      <w:pPr>
        <w:snapToGrid w:val="0"/>
        <w:spacing w:before="120" w:beforeLines="50" w:after="50"/>
        <w:ind w:firstLine="755" w:firstLineChars="236"/>
        <w:jc w:val="center"/>
        <w:rPr>
          <w:rFonts w:ascii="宋体" w:hAnsi="宋体" w:cs="宋体"/>
          <w:sz w:val="24"/>
        </w:rPr>
      </w:pPr>
      <w:r>
        <w:rPr>
          <w:rFonts w:hint="eastAsia" w:ascii="宋体" w:hAnsi="宋体" w:cs="宋体"/>
          <w:sz w:val="32"/>
          <w:szCs w:val="32"/>
        </w:rPr>
        <w:t>（如有委托时）</w:t>
      </w:r>
    </w:p>
    <w:p>
      <w:pPr>
        <w:spacing w:line="360" w:lineRule="auto"/>
        <w:contextualSpacing/>
        <w:jc w:val="left"/>
        <w:rPr>
          <w:rFonts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566" w:firstLineChars="236"/>
        <w:contextualSpacing/>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pPr>
        <w:spacing w:line="360" w:lineRule="auto"/>
        <w:ind w:firstLine="566" w:firstLineChars="236"/>
        <w:contextualSpacing/>
        <w:rPr>
          <w:rFonts w:ascii="宋体" w:hAnsi="宋体" w:cs="宋体"/>
          <w:sz w:val="24"/>
        </w:rPr>
      </w:pPr>
      <w:r>
        <w:rPr>
          <w:rFonts w:hint="eastAsia" w:ascii="宋体" w:hAnsi="宋体" w:cs="宋体"/>
          <w:sz w:val="24"/>
        </w:rPr>
        <w:t>我方对委托代理人的签字事项负全部责任。</w:t>
      </w:r>
    </w:p>
    <w:p>
      <w:pPr>
        <w:spacing w:line="360" w:lineRule="auto"/>
        <w:ind w:firstLine="566" w:firstLineChars="236"/>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566" w:firstLineChars="236"/>
        <w:contextualSpacing/>
        <w:rPr>
          <w:rFonts w:ascii="宋体" w:hAnsi="宋体" w:cs="宋体"/>
          <w:sz w:val="24"/>
        </w:rPr>
      </w:pPr>
      <w:r>
        <w:rPr>
          <w:rFonts w:hint="eastAsia" w:ascii="宋体" w:hAnsi="宋体" w:cs="宋体"/>
          <w:sz w:val="24"/>
        </w:rPr>
        <w:t>委托代理人无转委托权，特此委托。</w:t>
      </w:r>
    </w:p>
    <w:p>
      <w:pPr>
        <w:spacing w:line="360" w:lineRule="auto"/>
        <w:ind w:firstLine="566" w:firstLineChars="236"/>
        <w:contextualSpacing/>
        <w:rPr>
          <w:rFonts w:ascii="宋体" w:hAnsi="宋体" w:cs="宋体"/>
          <w:sz w:val="24"/>
        </w:rPr>
      </w:pPr>
      <w:r>
        <w:rPr>
          <w:rFonts w:hint="eastAsia" w:ascii="宋体" w:hAnsi="宋体" w:cs="宋体"/>
          <w:sz w:val="24"/>
        </w:rPr>
        <w:t>附：牵头人法定代表人身份证明及委托代理人有效身份证正反面复印件</w:t>
      </w:r>
    </w:p>
    <w:p>
      <w:pPr>
        <w:spacing w:line="360" w:lineRule="auto"/>
        <w:ind w:firstLine="566" w:firstLineChars="236"/>
        <w:contextualSpacing/>
        <w:rPr>
          <w:rFonts w:ascii="宋体" w:hAnsi="宋体" w:cs="宋体"/>
          <w:sz w:val="24"/>
        </w:rPr>
      </w:pPr>
    </w:p>
    <w:p>
      <w:pPr>
        <w:spacing w:line="360" w:lineRule="auto"/>
        <w:ind w:firstLine="566" w:firstLineChars="236"/>
        <w:contextualSpacing/>
        <w:rPr>
          <w:rFonts w:ascii="宋体" w:hAnsi="宋体" w:cs="宋体"/>
          <w:sz w:val="24"/>
        </w:rPr>
      </w:pPr>
      <w:r>
        <w:rPr>
          <w:rFonts w:hint="eastAsia" w:ascii="宋体" w:hAnsi="宋体" w:cs="宋体"/>
          <w:sz w:val="24"/>
        </w:rPr>
        <w:t>牵头人法定代表人（签字）：</w:t>
      </w:r>
    </w:p>
    <w:p>
      <w:pPr>
        <w:spacing w:line="360" w:lineRule="auto"/>
        <w:ind w:firstLine="566" w:firstLineChars="236"/>
        <w:contextualSpacing/>
        <w:rPr>
          <w:rFonts w:ascii="宋体" w:hAnsi="宋体" w:cs="宋体"/>
          <w:sz w:val="24"/>
        </w:rPr>
      </w:pPr>
      <w:r>
        <w:rPr>
          <w:rFonts w:hint="eastAsia" w:ascii="宋体" w:hAnsi="宋体" w:cs="宋体"/>
          <w:sz w:val="24"/>
        </w:rPr>
        <w:t>牵头人（公章）：</w:t>
      </w:r>
    </w:p>
    <w:p>
      <w:pPr>
        <w:spacing w:line="360" w:lineRule="auto"/>
        <w:ind w:firstLine="566" w:firstLineChars="236"/>
        <w:contextualSpacing/>
        <w:rPr>
          <w:rFonts w:ascii="宋体" w:hAnsi="宋体" w:cs="宋体"/>
          <w:sz w:val="24"/>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ind w:firstLine="566" w:firstLineChars="236"/>
        <w:contextualSpacing/>
        <w:rPr>
          <w:rFonts w:ascii="宋体" w:hAnsi="宋体" w:cs="宋体"/>
          <w:sz w:val="24"/>
        </w:rPr>
      </w:pPr>
    </w:p>
    <w:p>
      <w:pPr>
        <w:spacing w:line="360" w:lineRule="auto"/>
        <w:ind w:firstLine="566" w:firstLineChars="236"/>
        <w:contextualSpacing/>
        <w:rPr>
          <w:rFonts w:ascii="宋体" w:hAnsi="宋体" w:cs="宋体"/>
          <w:sz w:val="24"/>
        </w:rPr>
      </w:pPr>
      <w:r>
        <w:rPr>
          <w:rFonts w:hint="eastAsia" w:ascii="宋体" w:hAnsi="宋体" w:cs="宋体"/>
          <w:sz w:val="24"/>
        </w:rPr>
        <w:t>被授权人（签字）：</w:t>
      </w:r>
    </w:p>
    <w:p>
      <w:pPr>
        <w:spacing w:line="360" w:lineRule="auto"/>
        <w:ind w:firstLine="566" w:firstLineChars="236"/>
        <w:contextualSpacing/>
        <w:rPr>
          <w:rFonts w:ascii="宋体" w:hAnsi="宋体" w:cs="宋体"/>
          <w:sz w:val="24"/>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contextualSpacing/>
        <w:rPr>
          <w:rFonts w:ascii="楷体" w:hAnsi="楷体" w:eastAsia="楷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1. 法定代表人必须在授权委托书上亲笔签字或者盖章，委托代理人必须在授权委托书上亲笔签字，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p>
    <w:p>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2.本授权委托书应由联合体牵头人的法定代表人按上述规定签字。</w:t>
      </w:r>
    </w:p>
    <w:p>
      <w:pPr>
        <w:spacing w:line="360" w:lineRule="auto"/>
        <w:ind w:firstLine="480" w:firstLineChars="200"/>
        <w:contextualSpacing/>
        <w:jc w:val="left"/>
        <w:rPr>
          <w:rFonts w:ascii="楷体" w:hAnsi="楷体" w:eastAsia="楷体" w:cs="宋体"/>
          <w:sz w:val="24"/>
        </w:rPr>
      </w:pPr>
      <w:r>
        <w:rPr>
          <w:rFonts w:hint="eastAsia" w:ascii="楷体" w:hAnsi="楷体" w:eastAsia="楷体" w:cs="宋体"/>
          <w:sz w:val="24"/>
        </w:rPr>
        <w:t>3.法人、其他组织投标时“我方”是指“我单位”，自然人投标时“我方”是指“本人”。</w:t>
      </w:r>
    </w:p>
    <w:p>
      <w:pPr>
        <w:snapToGrid w:val="0"/>
        <w:spacing w:before="50" w:after="120" w:afterLines="50" w:line="360" w:lineRule="auto"/>
        <w:ind w:firstLine="480" w:firstLineChars="200"/>
        <w:jc w:val="left"/>
        <w:rPr>
          <w:rFonts w:ascii="宋体" w:hAnsi="宋体" w:cs="宋体"/>
          <w:sz w:val="24"/>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pPr>
        <w:rPr>
          <w:rFonts w:ascii="宋体" w:hAnsi="宋体" w:cs="宋体"/>
          <w:sz w:val="24"/>
        </w:rPr>
      </w:pPr>
    </w:p>
    <w:p>
      <w:pPr>
        <w:rPr>
          <w:rFonts w:ascii="宋体" w:hAnsi="宋体" w:cs="宋体"/>
          <w:b/>
          <w:sz w:val="24"/>
          <w:szCs w:val="20"/>
        </w:rPr>
      </w:pPr>
      <w:r>
        <w:rPr>
          <w:rFonts w:hint="eastAsia" w:ascii="宋体" w:hAnsi="宋体" w:cs="宋体"/>
          <w:b/>
          <w:sz w:val="24"/>
        </w:rPr>
        <w:t>6.商务要求偏离表格式（注：按项目需求表具体项目修改）</w:t>
      </w:r>
    </w:p>
    <w:p>
      <w:pPr>
        <w:snapToGrid w:val="0"/>
        <w:spacing w:before="50"/>
        <w:jc w:val="left"/>
        <w:rPr>
          <w:rFonts w:ascii="宋体" w:hAnsi="宋体" w:cs="宋体"/>
          <w:sz w:val="24"/>
        </w:rPr>
      </w:pPr>
    </w:p>
    <w:p>
      <w:pPr>
        <w:pStyle w:val="26"/>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p>
      <w:pPr>
        <w:snapToGrid w:val="0"/>
        <w:spacing w:before="50"/>
        <w:jc w:val="left"/>
        <w:rPr>
          <w:rFonts w:ascii="宋体" w:hAnsi="宋体" w:cs="宋体"/>
          <w:sz w:val="24"/>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r>
    </w:tbl>
    <w:p>
      <w:pPr>
        <w:pStyle w:val="18"/>
        <w:rPr>
          <w:rFonts w:ascii="楷体" w:hAnsi="楷体" w:eastAsia="楷体" w:cs="宋体"/>
        </w:rPr>
      </w:pPr>
    </w:p>
    <w:p>
      <w:pPr>
        <w:pStyle w:val="18"/>
        <w:rPr>
          <w:rFonts w:ascii="楷体" w:hAnsi="楷体" w:eastAsia="楷体" w:cs="宋体"/>
        </w:rPr>
      </w:pPr>
      <w:r>
        <w:rPr>
          <w:rFonts w:hint="eastAsia" w:ascii="楷体" w:hAnsi="楷体" w:eastAsia="楷体" w:cs="宋体"/>
        </w:rPr>
        <w:t>注：</w:t>
      </w:r>
    </w:p>
    <w:p>
      <w:pPr>
        <w:pStyle w:val="21"/>
        <w:spacing w:line="520" w:lineRule="exact"/>
        <w:ind w:firstLine="480" w:firstLineChars="200"/>
        <w:rPr>
          <w:rFonts w:ascii="楷体" w:hAnsi="楷体" w:eastAsia="楷体" w:cs="宋体"/>
          <w:szCs w:val="32"/>
        </w:rPr>
      </w:pPr>
      <w:r>
        <w:rPr>
          <w:rFonts w:hint="eastAsia" w:ascii="楷体" w:hAnsi="楷体" w:eastAsia="楷体" w:cs="宋体"/>
          <w:sz w:val="24"/>
          <w:szCs w:val="24"/>
        </w:rPr>
        <w:t>1.</w:t>
      </w:r>
      <w:r>
        <w:rPr>
          <w:rFonts w:hint="eastAsia" w:ascii="楷体" w:hAnsi="楷体" w:eastAsia="楷体" w:cs="宋体"/>
        </w:rPr>
        <w:t xml:space="preserve"> </w:t>
      </w:r>
      <w:r>
        <w:rPr>
          <w:rFonts w:hint="eastAsia" w:ascii="楷体" w:hAnsi="楷体" w:eastAsia="楷体" w:cs="宋体"/>
          <w:sz w:val="24"/>
          <w:szCs w:val="24"/>
        </w:rPr>
        <w:t>说明：应对照招标文件“第二章 采购需求”中的商务要求逐条作明确的投标响应，并作出偏离说明。</w:t>
      </w:r>
    </w:p>
    <w:p>
      <w:pPr>
        <w:pStyle w:val="18"/>
        <w:ind w:firstLine="480" w:firstLineChars="200"/>
        <w:rPr>
          <w:rFonts w:ascii="楷体" w:hAnsi="楷体" w:eastAsia="楷体" w:cs="宋体"/>
          <w:b w:val="0"/>
          <w:bCs w:val="0"/>
        </w:rPr>
      </w:pPr>
      <w:r>
        <w:rPr>
          <w:rFonts w:hint="eastAsia" w:ascii="楷体" w:hAnsi="楷体" w:eastAsia="楷体" w:cs="宋体"/>
          <w:b w:val="0"/>
          <w:bCs w:val="0"/>
        </w:rPr>
        <w:t>2.投标人应根据自身的承诺，对照招标文件要求在“偏离说明”中注明“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pPr>
        <w:snapToGrid w:val="0"/>
        <w:spacing w:before="50" w:after="50"/>
        <w:rPr>
          <w:rFonts w:ascii="宋体" w:hAnsi="宋体" w:cs="宋体"/>
          <w:sz w:val="24"/>
        </w:rPr>
      </w:pPr>
    </w:p>
    <w:p>
      <w:pPr>
        <w:snapToGrid w:val="0"/>
        <w:spacing w:before="50" w:after="50"/>
        <w:ind w:firstLine="2400" w:firstLineChars="1000"/>
        <w:rPr>
          <w:rFonts w:ascii="宋体" w:hAnsi="宋体" w:cs="宋体"/>
          <w:sz w:val="24"/>
        </w:rPr>
      </w:pPr>
    </w:p>
    <w:p>
      <w:pPr>
        <w:snapToGrid w:val="0"/>
        <w:spacing w:before="50" w:after="50"/>
        <w:ind w:firstLine="2400" w:firstLineChars="1000"/>
        <w:rPr>
          <w:rFonts w:ascii="宋体" w:hAnsi="宋体" w:cs="宋体"/>
          <w:sz w:val="24"/>
        </w:rPr>
      </w:pPr>
    </w:p>
    <w:p>
      <w:pPr>
        <w:snapToGrid w:val="0"/>
        <w:spacing w:before="50" w:after="50"/>
        <w:ind w:firstLine="2400" w:firstLineChars="1000"/>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120" w:beforeLines="50"/>
        <w:ind w:firstLine="2520" w:firstLineChars="900"/>
        <w:rPr>
          <w:rFonts w:ascii="宋体" w:hAnsi="宋体" w:cs="宋体"/>
          <w:spacing w:val="20"/>
          <w:sz w:val="24"/>
        </w:rPr>
      </w:pPr>
      <w:r>
        <w:rPr>
          <w:rFonts w:hint="eastAsia" w:ascii="宋体" w:hAnsi="宋体" w:cs="宋体"/>
          <w:spacing w:val="20"/>
          <w:sz w:val="24"/>
        </w:rPr>
        <w:t>投标人（公章）：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120" w:beforeLines="50"/>
        <w:ind w:firstLine="2400" w:firstLineChars="1000"/>
        <w:rPr>
          <w:rFonts w:ascii="宋体" w:hAnsi="宋体" w:cs="宋体"/>
          <w:sz w:val="24"/>
          <w:szCs w:val="20"/>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120" w:beforeLines="50" w:after="50"/>
        <w:jc w:val="left"/>
        <w:rPr>
          <w:rFonts w:ascii="宋体" w:hAnsi="宋体" w:cs="宋体"/>
          <w:sz w:val="24"/>
          <w:szCs w:val="20"/>
        </w:rPr>
      </w:pPr>
    </w:p>
    <w:p>
      <w:pPr>
        <w:snapToGrid w:val="0"/>
        <w:spacing w:before="120" w:beforeLines="50" w:after="50"/>
        <w:jc w:val="left"/>
        <w:rPr>
          <w:rFonts w:ascii="宋体" w:hAnsi="宋体" w:cs="宋体"/>
          <w:b/>
          <w:sz w:val="24"/>
        </w:rPr>
      </w:pPr>
      <w:r>
        <w:rPr>
          <w:rFonts w:hint="eastAsia" w:ascii="宋体" w:hAnsi="宋体" w:cs="宋体"/>
          <w:sz w:val="24"/>
          <w:szCs w:val="20"/>
        </w:rPr>
        <w:br w:type="page"/>
      </w:r>
      <w:r>
        <w:rPr>
          <w:rFonts w:hint="eastAsia" w:ascii="宋体" w:hAnsi="宋体" w:cs="宋体"/>
          <w:b/>
          <w:sz w:val="24"/>
        </w:rPr>
        <w:t>7.投标人业绩证明材料</w:t>
      </w:r>
    </w:p>
    <w:p>
      <w:pPr>
        <w:pStyle w:val="36"/>
        <w:snapToGrid w:val="0"/>
        <w:ind w:left="480" w:hanging="480"/>
        <w:rPr>
          <w:rFonts w:ascii="宋体" w:hAnsi="宋体" w:cs="宋体"/>
          <w:sz w:val="24"/>
        </w:rPr>
      </w:pPr>
    </w:p>
    <w:p>
      <w:pPr>
        <w:pStyle w:val="36"/>
        <w:snapToGrid w:val="0"/>
        <w:ind w:left="480" w:hanging="480"/>
        <w:rPr>
          <w:rFonts w:ascii="宋体" w:hAnsi="宋体" w:cs="宋体"/>
          <w:sz w:val="24"/>
        </w:rPr>
      </w:pPr>
      <w:r>
        <w:rPr>
          <w:rFonts w:hint="eastAsia" w:ascii="宋体" w:hAnsi="宋体" w:cs="宋体"/>
          <w:sz w:val="24"/>
        </w:rPr>
        <w:t xml:space="preserve">投标人业绩情况一览表格式： </w:t>
      </w:r>
    </w:p>
    <w:tbl>
      <w:tblPr>
        <w:tblStyle w:val="48"/>
        <w:tblW w:w="91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5"/>
        <w:gridCol w:w="1904"/>
        <w:gridCol w:w="1904"/>
        <w:gridCol w:w="3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2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采购人名称</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项目名称</w:t>
            </w:r>
          </w:p>
        </w:tc>
        <w:tc>
          <w:tcPr>
            <w:tcW w:w="19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合同金额</w:t>
            </w:r>
          </w:p>
          <w:p>
            <w:pPr>
              <w:snapToGrid w:val="0"/>
              <w:spacing w:line="240" w:lineRule="exact"/>
              <w:jc w:val="center"/>
              <w:rPr>
                <w:rFonts w:ascii="宋体" w:hAnsi="宋体" w:cs="宋体"/>
                <w:sz w:val="24"/>
              </w:rPr>
            </w:pPr>
            <w:r>
              <w:rPr>
                <w:rFonts w:hint="eastAsia" w:ascii="宋体" w:hAnsi="宋体" w:cs="宋体"/>
                <w:sz w:val="24"/>
              </w:rPr>
              <w:t>（人民币万元）</w:t>
            </w:r>
          </w:p>
        </w:tc>
        <w:tc>
          <w:tcPr>
            <w:tcW w:w="307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采购人联系人及</w:t>
            </w:r>
          </w:p>
          <w:p>
            <w:pPr>
              <w:snapToGrid w:val="0"/>
              <w:spacing w:line="24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29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307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307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307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307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22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9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307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bl>
    <w:p>
      <w:pPr>
        <w:pStyle w:val="15"/>
        <w:spacing w:before="0" w:after="0" w:line="360" w:lineRule="auto"/>
        <w:contextualSpacing/>
        <w:rPr>
          <w:rFonts w:ascii="宋体" w:hAnsi="宋体" w:eastAsia="宋体" w:cs="宋体"/>
          <w:sz w:val="24"/>
          <w:szCs w:val="24"/>
        </w:rPr>
      </w:pPr>
    </w:p>
    <w:p>
      <w:pPr>
        <w:pStyle w:val="15"/>
        <w:spacing w:before="0" w:after="0" w:line="360" w:lineRule="auto"/>
        <w:contextualSpacing/>
        <w:rPr>
          <w:rFonts w:ascii="楷体" w:hAnsi="楷体" w:eastAsia="楷体" w:cs="宋体"/>
          <w:sz w:val="24"/>
        </w:rPr>
      </w:pPr>
      <w:r>
        <w:rPr>
          <w:rFonts w:hint="eastAsia" w:ascii="楷体" w:hAnsi="楷体" w:eastAsia="楷体" w:cs="宋体"/>
          <w:sz w:val="24"/>
          <w:szCs w:val="24"/>
        </w:rPr>
        <w:t>注：</w:t>
      </w:r>
      <w:r>
        <w:rPr>
          <w:rFonts w:hint="eastAsia" w:ascii="楷体" w:hAnsi="楷体" w:eastAsia="楷体" w:cs="宋体"/>
          <w:sz w:val="24"/>
        </w:rPr>
        <w:t>投标人根据评标标准具体要求附业绩证明材料。</w:t>
      </w:r>
    </w:p>
    <w:p/>
    <w:p>
      <w:pPr>
        <w:pStyle w:val="15"/>
        <w:spacing w:before="0" w:after="0" w:line="360" w:lineRule="auto"/>
        <w:ind w:firstLine="2400" w:firstLineChars="1000"/>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w:t>
      </w:r>
    </w:p>
    <w:p>
      <w:pPr>
        <w:spacing w:line="360" w:lineRule="auto"/>
        <w:ind w:left="2310" w:leftChars="1100" w:right="480" w:firstLine="240" w:firstLineChars="100"/>
        <w:contextualSpacing/>
        <w:jc w:val="left"/>
        <w:rPr>
          <w:rFonts w:ascii="宋体" w:hAnsi="宋体" w:cs="宋体"/>
          <w:sz w:val="24"/>
          <w:szCs w:val="20"/>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ind w:firstLine="480" w:firstLineChars="200"/>
        <w:jc w:val="left"/>
        <w:rPr>
          <w:rFonts w:ascii="宋体" w:hAnsi="宋体" w:cs="宋体"/>
          <w:sz w:val="24"/>
          <w:szCs w:val="20"/>
        </w:rPr>
      </w:pPr>
    </w:p>
    <w:p>
      <w:pPr>
        <w:snapToGrid w:val="0"/>
        <w:spacing w:before="50"/>
        <w:jc w:val="left"/>
        <w:rPr>
          <w:rFonts w:ascii="宋体" w:hAnsi="宋体" w:cs="宋体"/>
          <w:sz w:val="24"/>
        </w:rPr>
      </w:pPr>
    </w:p>
    <w:p>
      <w:pPr>
        <w:snapToGrid w:val="0"/>
        <w:spacing w:before="120" w:beforeLines="50"/>
        <w:rPr>
          <w:rFonts w:ascii="宋体" w:hAnsi="宋体" w:cs="宋体"/>
          <w:sz w:val="24"/>
          <w:szCs w:val="20"/>
        </w:rPr>
        <w:sectPr>
          <w:pgSz w:w="11906" w:h="16838"/>
          <w:pgMar w:top="1417" w:right="1417" w:bottom="1417" w:left="1417" w:header="851" w:footer="567" w:gutter="0"/>
          <w:cols w:space="720" w:num="1"/>
          <w:titlePg/>
          <w:docGrid w:linePitch="312" w:charSpace="0"/>
        </w:sectPr>
      </w:pPr>
    </w:p>
    <w:p>
      <w:pPr>
        <w:rPr>
          <w:rFonts w:ascii="宋体" w:hAnsi="宋体" w:cs="宋体"/>
          <w:b/>
          <w:sz w:val="28"/>
          <w:szCs w:val="28"/>
        </w:rPr>
      </w:pPr>
      <w:r>
        <w:rPr>
          <w:rFonts w:hint="eastAsia" w:ascii="宋体" w:hAnsi="宋体" w:cs="宋体"/>
          <w:b/>
          <w:sz w:val="28"/>
          <w:szCs w:val="28"/>
        </w:rPr>
        <w:t>四、技术文件格式</w:t>
      </w:r>
    </w:p>
    <w:p>
      <w:pPr>
        <w:snapToGrid w:val="0"/>
        <w:spacing w:before="120" w:beforeLines="50" w:after="50"/>
        <w:ind w:left="142"/>
        <w:jc w:val="left"/>
        <w:rPr>
          <w:rFonts w:ascii="宋体" w:hAnsi="宋体" w:cs="宋体"/>
          <w:b/>
          <w:sz w:val="24"/>
        </w:rPr>
      </w:pPr>
      <w:r>
        <w:rPr>
          <w:rFonts w:hint="eastAsia" w:ascii="宋体" w:hAnsi="宋体" w:cs="宋体"/>
          <w:b/>
          <w:sz w:val="24"/>
        </w:rPr>
        <w:t xml:space="preserve">1. 技术文件封面格式： </w:t>
      </w:r>
    </w:p>
    <w:p>
      <w:pPr>
        <w:snapToGrid w:val="0"/>
        <w:spacing w:before="120" w:beforeLines="50" w:after="50"/>
        <w:rPr>
          <w:rFonts w:ascii="宋体" w:hAnsi="宋体" w:cs="宋体"/>
          <w:b/>
          <w:bCs/>
          <w:sz w:val="32"/>
          <w:szCs w:val="20"/>
        </w:rPr>
      </w:pPr>
      <w:r>
        <w:rPr>
          <w:rFonts w:hint="eastAsia" w:ascii="宋体" w:hAnsi="宋体" w:cs="宋体"/>
          <w:sz w:val="24"/>
        </w:rPr>
        <w:t xml:space="preserve">                                                   </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技  术  文  件</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120" w:beforeLines="50" w:after="50" w:line="400" w:lineRule="exact"/>
        <w:ind w:firstLine="360" w:firstLineChars="150"/>
        <w:rPr>
          <w:rFonts w:ascii="宋体" w:hAnsi="宋体" w:cs="宋体"/>
          <w:bCs/>
          <w:sz w:val="24"/>
          <w:szCs w:val="20"/>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ind w:firstLine="645"/>
        <w:jc w:val="center"/>
        <w:rPr>
          <w:rFonts w:ascii="宋体" w:hAnsi="宋体" w:cs="宋体"/>
          <w:sz w:val="24"/>
        </w:rPr>
      </w:pPr>
      <w:r>
        <w:rPr>
          <w:rFonts w:hint="eastAsia" w:ascii="宋体" w:hAnsi="宋体" w:cs="宋体"/>
          <w:sz w:val="24"/>
        </w:rPr>
        <w:t xml:space="preserve">               </w:t>
      </w:r>
    </w:p>
    <w:p>
      <w:pPr>
        <w:snapToGrid w:val="0"/>
        <w:spacing w:before="120" w:beforeLines="50" w:after="50"/>
        <w:ind w:firstLine="645"/>
        <w:jc w:val="center"/>
        <w:rPr>
          <w:rFonts w:ascii="宋体" w:hAnsi="宋体" w:cs="宋体"/>
          <w:sz w:val="24"/>
        </w:rPr>
      </w:pPr>
    </w:p>
    <w:p>
      <w:pPr>
        <w:snapToGrid w:val="0"/>
        <w:spacing w:before="120" w:beforeLines="50" w:after="50"/>
        <w:ind w:firstLine="645"/>
        <w:jc w:val="center"/>
        <w:rPr>
          <w:rFonts w:ascii="宋体" w:hAnsi="宋体" w:cs="宋体"/>
          <w:sz w:val="24"/>
        </w:rPr>
      </w:pPr>
      <w:r>
        <w:rPr>
          <w:rFonts w:hint="eastAsia" w:ascii="宋体" w:hAnsi="宋体" w:cs="宋体"/>
          <w:sz w:val="24"/>
        </w:rPr>
        <w:t>年    月    日</w:t>
      </w:r>
    </w:p>
    <w:p>
      <w:pPr>
        <w:snapToGrid w:val="0"/>
        <w:spacing w:before="120" w:beforeLines="50" w:after="50"/>
        <w:ind w:firstLine="645"/>
        <w:jc w:val="center"/>
        <w:rPr>
          <w:rFonts w:ascii="宋体" w:hAnsi="宋体" w:cs="宋体"/>
          <w:sz w:val="24"/>
          <w:szCs w:val="20"/>
        </w:rPr>
      </w:pPr>
    </w:p>
    <w:p>
      <w:pPr>
        <w:snapToGrid w:val="0"/>
        <w:spacing w:before="120" w:beforeLines="50" w:after="50"/>
        <w:ind w:left="142"/>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2.技术文件目录</w:t>
      </w:r>
    </w:p>
    <w:p>
      <w:pPr>
        <w:snapToGrid w:val="0"/>
        <w:spacing w:before="50" w:after="120" w:afterLines="50"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设备性能配置清单格式</w:t>
      </w:r>
    </w:p>
    <w:p>
      <w:pPr>
        <w:snapToGrid w:val="0"/>
        <w:spacing w:before="120" w:beforeLines="50" w:after="50"/>
        <w:ind w:left="142"/>
        <w:jc w:val="left"/>
        <w:rPr>
          <w:rFonts w:ascii="宋体" w:hAnsi="宋体" w:cs="宋体"/>
          <w:b/>
          <w:sz w:val="24"/>
        </w:rPr>
      </w:pPr>
    </w:p>
    <w:p>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设备性能配置清单</w:t>
      </w:r>
    </w:p>
    <w:p>
      <w:pPr>
        <w:pStyle w:val="26"/>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tbl>
      <w:tblPr>
        <w:tblStyle w:val="48"/>
        <w:tblW w:w="91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92"/>
        <w:gridCol w:w="785"/>
        <w:gridCol w:w="1566"/>
        <w:gridCol w:w="1092"/>
        <w:gridCol w:w="646"/>
        <w:gridCol w:w="673"/>
        <w:gridCol w:w="820"/>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货物名称</w:t>
            </w: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品牌</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型号</w:t>
            </w: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生产厂家</w:t>
            </w:r>
          </w:p>
        </w:tc>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产地</w:t>
            </w:r>
          </w:p>
        </w:tc>
        <w:tc>
          <w:tcPr>
            <w:tcW w:w="6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数量</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单位</w:t>
            </w: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r>
              <w:rPr>
                <w:rFonts w:hint="eastAsia" w:ascii="宋体" w:hAnsi="宋体" w:cs="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c>
          <w:tcPr>
            <w:tcW w:w="6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 w:val="24"/>
              </w:rPr>
            </w:pPr>
          </w:p>
        </w:tc>
      </w:tr>
    </w:tbl>
    <w:p>
      <w:pPr>
        <w:spacing w:line="360" w:lineRule="auto"/>
        <w:contextualSpacing/>
        <w:rPr>
          <w:rFonts w:ascii="宋体" w:hAnsi="宋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备注：</w:t>
      </w:r>
    </w:p>
    <w:p>
      <w:pPr>
        <w:spacing w:line="360" w:lineRule="auto"/>
        <w:ind w:firstLine="480" w:firstLineChars="200"/>
        <w:contextualSpacing/>
        <w:rPr>
          <w:rFonts w:ascii="楷体" w:hAnsi="楷体" w:eastAsia="楷体" w:cs="宋体"/>
          <w:b/>
          <w:sz w:val="24"/>
        </w:rPr>
      </w:pPr>
      <w:r>
        <w:rPr>
          <w:rFonts w:hint="eastAsia" w:ascii="楷体" w:hAnsi="楷体" w:eastAsia="楷体" w:cs="宋体"/>
          <w:sz w:val="24"/>
        </w:rPr>
        <w:t>以上设备性能配置清单中“货物名称、数量及单位、品牌、规格型号、制造商、原产地、参数性能、指标及配置”必须如实填写完整，定制产品在型号栏中填写“定制”。填写有缺漏</w:t>
      </w:r>
      <w:r>
        <w:rPr>
          <w:rFonts w:hint="eastAsia" w:ascii="楷体" w:hAnsi="楷体" w:eastAsia="楷体" w:cs="宋体"/>
          <w:bCs/>
          <w:sz w:val="24"/>
        </w:rPr>
        <w:t>的，</w:t>
      </w:r>
      <w:r>
        <w:rPr>
          <w:rFonts w:hint="eastAsia" w:ascii="楷体" w:hAnsi="楷体" w:eastAsia="楷体" w:cs="宋体"/>
          <w:b/>
          <w:sz w:val="24"/>
        </w:rPr>
        <w:t>作无效投标处理。</w:t>
      </w:r>
      <w:r>
        <w:rPr>
          <w:rFonts w:hint="eastAsia" w:ascii="楷体" w:hAnsi="楷体" w:eastAsia="楷体" w:cs="宋体"/>
          <w:sz w:val="24"/>
        </w:rPr>
        <w:t>货物名称、数量、单位、品牌等必须与“开标一览表”一致，</w:t>
      </w:r>
      <w:r>
        <w:rPr>
          <w:rFonts w:hint="eastAsia" w:ascii="楷体" w:hAnsi="楷体" w:eastAsia="楷体" w:cs="宋体"/>
          <w:b/>
          <w:sz w:val="24"/>
        </w:rPr>
        <w:t>否则按无效投标处理。</w:t>
      </w:r>
    </w:p>
    <w:p>
      <w:pPr>
        <w:spacing w:line="360" w:lineRule="auto"/>
        <w:ind w:firstLine="480" w:firstLineChars="200"/>
        <w:contextualSpacing/>
        <w:rPr>
          <w:rFonts w:ascii="宋体" w:hAnsi="宋体" w:cs="宋体"/>
          <w:sz w:val="24"/>
        </w:rPr>
      </w:pPr>
    </w:p>
    <w:p>
      <w:pPr>
        <w:spacing w:line="360" w:lineRule="auto"/>
        <w:ind w:firstLine="3600" w:firstLineChars="1500"/>
        <w:contextualSpacing/>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pPr>
        <w:spacing w:line="360" w:lineRule="auto"/>
        <w:ind w:firstLine="3640" w:firstLineChars="1300"/>
        <w:contextualSpacing/>
        <w:rPr>
          <w:rFonts w:ascii="宋体" w:hAnsi="宋体" w:cs="宋体"/>
          <w:spacing w:val="20"/>
          <w:sz w:val="24"/>
        </w:rPr>
      </w:pPr>
      <w:r>
        <w:rPr>
          <w:rFonts w:hint="eastAsia" w:ascii="宋体" w:hAnsi="宋体" w:cs="宋体"/>
          <w:spacing w:val="20"/>
          <w:sz w:val="24"/>
        </w:rPr>
        <w:t>投标人（公章）：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50" w:after="120" w:afterLines="50"/>
        <w:ind w:firstLine="3600" w:firstLineChars="1500"/>
        <w:jc w:val="left"/>
        <w:rPr>
          <w:rFonts w:ascii="宋体" w:hAnsi="宋体" w:cs="宋体"/>
          <w:sz w:val="24"/>
          <w:szCs w:val="20"/>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20" w:afterLines="50"/>
        <w:jc w:val="left"/>
        <w:rPr>
          <w:rFonts w:ascii="宋体" w:hAnsi="宋体" w:cs="宋体"/>
          <w:sz w:val="24"/>
          <w:szCs w:val="20"/>
        </w:rPr>
      </w:pP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4. 技术要求偏离表格式</w:t>
      </w:r>
    </w:p>
    <w:p>
      <w:pPr>
        <w:snapToGrid w:val="0"/>
        <w:spacing w:before="120" w:beforeLines="50" w:after="50"/>
        <w:ind w:left="142"/>
        <w:jc w:val="left"/>
        <w:rPr>
          <w:rFonts w:ascii="宋体" w:hAnsi="宋体" w:cs="宋体"/>
          <w:b/>
          <w:sz w:val="24"/>
        </w:rPr>
      </w:pPr>
    </w:p>
    <w:p>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技术要求偏离表</w:t>
      </w:r>
    </w:p>
    <w:p>
      <w:pPr>
        <w:pStyle w:val="26"/>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序号</w:t>
            </w:r>
          </w:p>
        </w:tc>
        <w:tc>
          <w:tcPr>
            <w:tcW w:w="2143"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货物名称</w:t>
            </w:r>
          </w:p>
        </w:tc>
        <w:tc>
          <w:tcPr>
            <w:tcW w:w="1834"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技术要求</w:t>
            </w:r>
          </w:p>
        </w:tc>
        <w:tc>
          <w:tcPr>
            <w:tcW w:w="2181"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投标响应</w:t>
            </w:r>
          </w:p>
        </w:tc>
        <w:tc>
          <w:tcPr>
            <w:tcW w:w="1934"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jc w:val="center"/>
              <w:rPr>
                <w:rFonts w:hAnsi="宋体" w:cs="宋体"/>
                <w:kern w:val="2"/>
                <w:sz w:val="24"/>
                <w:szCs w:val="24"/>
              </w:rPr>
            </w:pPr>
          </w:p>
        </w:tc>
        <w:tc>
          <w:tcPr>
            <w:tcW w:w="2143" w:type="dxa"/>
            <w:vAlign w:val="center"/>
          </w:tcPr>
          <w:p>
            <w:pPr>
              <w:pStyle w:val="26"/>
              <w:spacing w:line="600" w:lineRule="exact"/>
              <w:jc w:val="center"/>
              <w:rPr>
                <w:rFonts w:hAnsi="宋体" w:cs="宋体"/>
                <w:kern w:val="2"/>
                <w:sz w:val="24"/>
                <w:szCs w:val="24"/>
              </w:rPr>
            </w:pPr>
          </w:p>
        </w:tc>
        <w:tc>
          <w:tcPr>
            <w:tcW w:w="1834" w:type="dxa"/>
            <w:vAlign w:val="center"/>
          </w:tcPr>
          <w:p>
            <w:pPr>
              <w:pStyle w:val="26"/>
              <w:spacing w:line="600" w:lineRule="exact"/>
              <w:jc w:val="center"/>
              <w:rPr>
                <w:rFonts w:hAnsi="宋体" w:cs="宋体"/>
                <w:kern w:val="2"/>
                <w:sz w:val="24"/>
                <w:szCs w:val="24"/>
              </w:rPr>
            </w:pPr>
          </w:p>
        </w:tc>
        <w:tc>
          <w:tcPr>
            <w:tcW w:w="2181" w:type="dxa"/>
            <w:vAlign w:val="center"/>
          </w:tcPr>
          <w:p>
            <w:pPr>
              <w:pStyle w:val="26"/>
              <w:spacing w:line="600" w:lineRule="exact"/>
              <w:jc w:val="center"/>
              <w:rPr>
                <w:rFonts w:hAnsi="宋体" w:cs="宋体"/>
                <w:kern w:val="2"/>
                <w:sz w:val="24"/>
                <w:szCs w:val="24"/>
              </w:rPr>
            </w:pPr>
          </w:p>
        </w:tc>
        <w:tc>
          <w:tcPr>
            <w:tcW w:w="1934" w:type="dxa"/>
            <w:vAlign w:val="center"/>
          </w:tcPr>
          <w:p>
            <w:pPr>
              <w:pStyle w:val="26"/>
              <w:spacing w:line="600" w:lineRule="exact"/>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Ansi="宋体" w:cs="宋体"/>
                <w:kern w:val="2"/>
                <w:sz w:val="24"/>
                <w:szCs w:val="24"/>
              </w:rPr>
            </w:pPr>
          </w:p>
        </w:tc>
        <w:tc>
          <w:tcPr>
            <w:tcW w:w="2143" w:type="dxa"/>
          </w:tcPr>
          <w:p>
            <w:pPr>
              <w:pStyle w:val="26"/>
              <w:spacing w:line="600" w:lineRule="exact"/>
              <w:rPr>
                <w:rFonts w:hAnsi="宋体" w:cs="宋体"/>
                <w:kern w:val="2"/>
                <w:sz w:val="24"/>
                <w:szCs w:val="24"/>
              </w:rPr>
            </w:pPr>
          </w:p>
        </w:tc>
        <w:tc>
          <w:tcPr>
            <w:tcW w:w="1834" w:type="dxa"/>
          </w:tcPr>
          <w:p>
            <w:pPr>
              <w:pStyle w:val="26"/>
              <w:spacing w:line="600" w:lineRule="exact"/>
              <w:rPr>
                <w:rFonts w:hAnsi="宋体" w:cs="宋体"/>
                <w:kern w:val="2"/>
                <w:sz w:val="24"/>
                <w:szCs w:val="24"/>
              </w:rPr>
            </w:pPr>
          </w:p>
        </w:tc>
        <w:tc>
          <w:tcPr>
            <w:tcW w:w="2181" w:type="dxa"/>
          </w:tcPr>
          <w:p>
            <w:pPr>
              <w:pStyle w:val="26"/>
              <w:spacing w:line="600" w:lineRule="exact"/>
              <w:rPr>
                <w:rFonts w:hAnsi="宋体" w:cs="宋体"/>
                <w:kern w:val="2"/>
                <w:sz w:val="24"/>
                <w:szCs w:val="24"/>
              </w:rPr>
            </w:pPr>
          </w:p>
        </w:tc>
        <w:tc>
          <w:tcPr>
            <w:tcW w:w="1934" w:type="dxa"/>
          </w:tcPr>
          <w:p>
            <w:pPr>
              <w:pStyle w:val="26"/>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Ansi="宋体" w:cs="宋体"/>
                <w:kern w:val="2"/>
                <w:sz w:val="24"/>
                <w:szCs w:val="24"/>
              </w:rPr>
            </w:pPr>
          </w:p>
        </w:tc>
        <w:tc>
          <w:tcPr>
            <w:tcW w:w="2143" w:type="dxa"/>
          </w:tcPr>
          <w:p>
            <w:pPr>
              <w:pStyle w:val="26"/>
              <w:spacing w:line="600" w:lineRule="exact"/>
              <w:rPr>
                <w:rFonts w:hAnsi="宋体" w:cs="宋体"/>
                <w:kern w:val="2"/>
                <w:sz w:val="24"/>
                <w:szCs w:val="24"/>
              </w:rPr>
            </w:pPr>
          </w:p>
        </w:tc>
        <w:tc>
          <w:tcPr>
            <w:tcW w:w="1834" w:type="dxa"/>
          </w:tcPr>
          <w:p>
            <w:pPr>
              <w:pStyle w:val="26"/>
              <w:spacing w:line="600" w:lineRule="exact"/>
              <w:rPr>
                <w:rFonts w:hAnsi="宋体" w:cs="宋体"/>
                <w:kern w:val="2"/>
                <w:sz w:val="24"/>
                <w:szCs w:val="24"/>
              </w:rPr>
            </w:pPr>
          </w:p>
        </w:tc>
        <w:tc>
          <w:tcPr>
            <w:tcW w:w="2181" w:type="dxa"/>
          </w:tcPr>
          <w:p>
            <w:pPr>
              <w:pStyle w:val="26"/>
              <w:spacing w:line="600" w:lineRule="exact"/>
              <w:rPr>
                <w:rFonts w:hAnsi="宋体" w:cs="宋体"/>
                <w:kern w:val="2"/>
                <w:sz w:val="24"/>
                <w:szCs w:val="24"/>
              </w:rPr>
            </w:pPr>
          </w:p>
        </w:tc>
        <w:tc>
          <w:tcPr>
            <w:tcW w:w="1934" w:type="dxa"/>
          </w:tcPr>
          <w:p>
            <w:pPr>
              <w:pStyle w:val="26"/>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Ansi="宋体" w:cs="宋体"/>
                <w:kern w:val="2"/>
                <w:sz w:val="24"/>
                <w:szCs w:val="24"/>
              </w:rPr>
            </w:pPr>
          </w:p>
        </w:tc>
        <w:tc>
          <w:tcPr>
            <w:tcW w:w="2143" w:type="dxa"/>
          </w:tcPr>
          <w:p>
            <w:pPr>
              <w:pStyle w:val="26"/>
              <w:spacing w:line="600" w:lineRule="exact"/>
              <w:rPr>
                <w:rFonts w:hAnsi="宋体" w:cs="宋体"/>
                <w:kern w:val="2"/>
                <w:sz w:val="24"/>
                <w:szCs w:val="24"/>
              </w:rPr>
            </w:pPr>
          </w:p>
        </w:tc>
        <w:tc>
          <w:tcPr>
            <w:tcW w:w="1834" w:type="dxa"/>
          </w:tcPr>
          <w:p>
            <w:pPr>
              <w:pStyle w:val="26"/>
              <w:spacing w:line="600" w:lineRule="exact"/>
              <w:rPr>
                <w:rFonts w:hAnsi="宋体" w:cs="宋体"/>
                <w:kern w:val="2"/>
                <w:sz w:val="24"/>
                <w:szCs w:val="24"/>
              </w:rPr>
            </w:pPr>
          </w:p>
        </w:tc>
        <w:tc>
          <w:tcPr>
            <w:tcW w:w="2181" w:type="dxa"/>
          </w:tcPr>
          <w:p>
            <w:pPr>
              <w:pStyle w:val="26"/>
              <w:spacing w:line="600" w:lineRule="exact"/>
              <w:rPr>
                <w:rFonts w:hAnsi="宋体" w:cs="宋体"/>
                <w:kern w:val="2"/>
                <w:sz w:val="24"/>
                <w:szCs w:val="24"/>
              </w:rPr>
            </w:pPr>
          </w:p>
        </w:tc>
        <w:tc>
          <w:tcPr>
            <w:tcW w:w="1934" w:type="dxa"/>
          </w:tcPr>
          <w:p>
            <w:pPr>
              <w:pStyle w:val="26"/>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Ansi="宋体" w:cs="宋体"/>
                <w:kern w:val="2"/>
                <w:sz w:val="24"/>
                <w:szCs w:val="24"/>
              </w:rPr>
            </w:pPr>
          </w:p>
        </w:tc>
        <w:tc>
          <w:tcPr>
            <w:tcW w:w="2143" w:type="dxa"/>
          </w:tcPr>
          <w:p>
            <w:pPr>
              <w:pStyle w:val="26"/>
              <w:spacing w:line="600" w:lineRule="exact"/>
              <w:rPr>
                <w:rFonts w:hAnsi="宋体" w:cs="宋体"/>
                <w:kern w:val="2"/>
                <w:sz w:val="24"/>
                <w:szCs w:val="24"/>
              </w:rPr>
            </w:pPr>
          </w:p>
        </w:tc>
        <w:tc>
          <w:tcPr>
            <w:tcW w:w="1834" w:type="dxa"/>
          </w:tcPr>
          <w:p>
            <w:pPr>
              <w:pStyle w:val="26"/>
              <w:spacing w:line="600" w:lineRule="exact"/>
              <w:rPr>
                <w:rFonts w:hAnsi="宋体" w:cs="宋体"/>
                <w:kern w:val="2"/>
                <w:sz w:val="24"/>
                <w:szCs w:val="24"/>
              </w:rPr>
            </w:pPr>
          </w:p>
        </w:tc>
        <w:tc>
          <w:tcPr>
            <w:tcW w:w="2181" w:type="dxa"/>
          </w:tcPr>
          <w:p>
            <w:pPr>
              <w:pStyle w:val="26"/>
              <w:spacing w:line="600" w:lineRule="exact"/>
              <w:rPr>
                <w:rFonts w:hAnsi="宋体" w:cs="宋体"/>
                <w:kern w:val="2"/>
                <w:sz w:val="24"/>
                <w:szCs w:val="24"/>
              </w:rPr>
            </w:pPr>
          </w:p>
        </w:tc>
        <w:tc>
          <w:tcPr>
            <w:tcW w:w="1934" w:type="dxa"/>
          </w:tcPr>
          <w:p>
            <w:pPr>
              <w:pStyle w:val="26"/>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hAnsi="宋体" w:cs="宋体"/>
                <w:kern w:val="2"/>
                <w:sz w:val="24"/>
                <w:szCs w:val="24"/>
              </w:rPr>
            </w:pPr>
          </w:p>
        </w:tc>
        <w:tc>
          <w:tcPr>
            <w:tcW w:w="2143" w:type="dxa"/>
          </w:tcPr>
          <w:p>
            <w:pPr>
              <w:pStyle w:val="26"/>
              <w:spacing w:line="600" w:lineRule="exact"/>
              <w:rPr>
                <w:rFonts w:hAnsi="宋体" w:cs="宋体"/>
                <w:kern w:val="2"/>
                <w:sz w:val="24"/>
                <w:szCs w:val="24"/>
              </w:rPr>
            </w:pPr>
          </w:p>
        </w:tc>
        <w:tc>
          <w:tcPr>
            <w:tcW w:w="1834" w:type="dxa"/>
          </w:tcPr>
          <w:p>
            <w:pPr>
              <w:pStyle w:val="26"/>
              <w:spacing w:line="600" w:lineRule="exact"/>
              <w:rPr>
                <w:rFonts w:hAnsi="宋体" w:cs="宋体"/>
                <w:kern w:val="2"/>
                <w:sz w:val="24"/>
                <w:szCs w:val="24"/>
              </w:rPr>
            </w:pPr>
          </w:p>
        </w:tc>
        <w:tc>
          <w:tcPr>
            <w:tcW w:w="2181" w:type="dxa"/>
          </w:tcPr>
          <w:p>
            <w:pPr>
              <w:pStyle w:val="26"/>
              <w:spacing w:line="600" w:lineRule="exact"/>
              <w:rPr>
                <w:rFonts w:hAnsi="宋体" w:cs="宋体"/>
                <w:kern w:val="2"/>
                <w:sz w:val="24"/>
                <w:szCs w:val="24"/>
              </w:rPr>
            </w:pPr>
          </w:p>
        </w:tc>
        <w:tc>
          <w:tcPr>
            <w:tcW w:w="1934" w:type="dxa"/>
          </w:tcPr>
          <w:p>
            <w:pPr>
              <w:pStyle w:val="26"/>
              <w:spacing w:line="600" w:lineRule="exact"/>
              <w:rPr>
                <w:rFonts w:hAnsi="宋体" w:cs="宋体"/>
                <w:kern w:val="2"/>
                <w:sz w:val="24"/>
                <w:szCs w:val="24"/>
              </w:rPr>
            </w:pPr>
          </w:p>
        </w:tc>
      </w:tr>
    </w:tbl>
    <w:p>
      <w:pPr>
        <w:pStyle w:val="18"/>
        <w:rPr>
          <w:rFonts w:ascii="楷体" w:hAnsi="楷体" w:eastAsia="楷体" w:cs="宋体"/>
        </w:rPr>
      </w:pPr>
      <w:r>
        <w:rPr>
          <w:rFonts w:hint="eastAsia" w:ascii="楷体" w:hAnsi="楷体" w:eastAsia="楷体" w:cs="宋体"/>
        </w:rPr>
        <w:t>注：</w:t>
      </w:r>
    </w:p>
    <w:p>
      <w:pPr>
        <w:pStyle w:val="21"/>
        <w:spacing w:line="360" w:lineRule="auto"/>
        <w:ind w:firstLine="480" w:firstLineChars="200"/>
        <w:rPr>
          <w:rFonts w:ascii="楷体" w:hAnsi="楷体" w:eastAsia="楷体" w:cs="宋体"/>
          <w:szCs w:val="32"/>
        </w:rPr>
      </w:pPr>
      <w:r>
        <w:rPr>
          <w:rFonts w:hint="eastAsia" w:ascii="楷体" w:hAnsi="楷体" w:eastAsia="楷体" w:cs="宋体"/>
          <w:sz w:val="24"/>
          <w:szCs w:val="24"/>
        </w:rPr>
        <w:t>1. 说明：应对照招标文件“第二章 采购需求”中的“技术要求”逐条作明确的投标响应，并作出偏离说明。</w:t>
      </w:r>
    </w:p>
    <w:p>
      <w:pPr>
        <w:pStyle w:val="18"/>
        <w:spacing w:line="360" w:lineRule="auto"/>
        <w:ind w:firstLine="480" w:firstLineChars="200"/>
        <w:rPr>
          <w:rFonts w:ascii="楷体" w:hAnsi="楷体" w:eastAsia="楷体" w:cs="宋体"/>
          <w:b w:val="0"/>
          <w:bCs w:val="0"/>
        </w:rPr>
      </w:pPr>
      <w:r>
        <w:rPr>
          <w:rFonts w:hint="eastAsia" w:ascii="楷体" w:hAnsi="楷体" w:eastAsia="楷体" w:cs="宋体"/>
          <w:b w:val="0"/>
          <w:bCs w:val="0"/>
        </w:rPr>
        <w:t>2.投标人根据投标货物的性能指标，对照招标文件技术要求，在“偏离说明”中注明“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pPr>
        <w:pStyle w:val="21"/>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21"/>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4. 如技术要求偏离表中的投标响应与佐证材料不一致的，以佐证材料为准。</w:t>
      </w:r>
    </w:p>
    <w:p>
      <w:pPr>
        <w:snapToGrid w:val="0"/>
        <w:spacing w:before="50" w:after="50" w:line="360" w:lineRule="auto"/>
        <w:rPr>
          <w:rFonts w:ascii="宋体" w:hAnsi="宋体" w:cs="宋体"/>
          <w:sz w:val="24"/>
        </w:rPr>
      </w:pPr>
    </w:p>
    <w:p>
      <w:pPr>
        <w:snapToGrid w:val="0"/>
        <w:spacing w:before="50" w:after="50" w:line="360" w:lineRule="auto"/>
        <w:ind w:firstLine="2640" w:firstLineChars="1100"/>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50" w:after="50" w:line="360" w:lineRule="auto"/>
        <w:ind w:firstLine="2800" w:firstLineChars="1000"/>
        <w:rPr>
          <w:rFonts w:ascii="宋体" w:hAnsi="宋体" w:cs="宋体"/>
          <w:spacing w:val="20"/>
          <w:sz w:val="24"/>
        </w:rPr>
      </w:pPr>
      <w:r>
        <w:rPr>
          <w:rFonts w:hint="eastAsia" w:ascii="宋体" w:hAnsi="宋体" w:cs="宋体"/>
          <w:spacing w:val="20"/>
          <w:sz w:val="24"/>
        </w:rPr>
        <w:t>投标人（公章）：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50" w:after="50" w:line="360" w:lineRule="auto"/>
        <w:ind w:firstLine="2640" w:firstLineChars="1100"/>
        <w:rPr>
          <w:rFonts w:ascii="宋体" w:hAnsi="宋体" w:cs="宋体"/>
          <w:sz w:val="24"/>
          <w:szCs w:val="20"/>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5. 项目实施人员一览表格式</w:t>
      </w:r>
    </w:p>
    <w:p>
      <w:pPr>
        <w:snapToGrid w:val="0"/>
        <w:spacing w:before="120" w:beforeLines="50" w:after="50"/>
        <w:ind w:left="142"/>
        <w:jc w:val="left"/>
        <w:rPr>
          <w:rFonts w:ascii="宋体" w:hAnsi="宋体" w:cs="宋体"/>
          <w:b/>
          <w:sz w:val="24"/>
        </w:rPr>
      </w:pPr>
    </w:p>
    <w:p>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项目实施人员一览表</w:t>
      </w:r>
    </w:p>
    <w:p>
      <w:pPr>
        <w:pStyle w:val="26"/>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tbl>
      <w:tblPr>
        <w:tblStyle w:val="4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姓名</w:t>
            </w:r>
          </w:p>
        </w:tc>
        <w:tc>
          <w:tcPr>
            <w:tcW w:w="709"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职务</w:t>
            </w:r>
          </w:p>
        </w:tc>
        <w:tc>
          <w:tcPr>
            <w:tcW w:w="1701"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证书编号</w:t>
            </w:r>
          </w:p>
        </w:tc>
        <w:tc>
          <w:tcPr>
            <w:tcW w:w="1698"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参加本单位</w:t>
            </w:r>
          </w:p>
          <w:p>
            <w:pPr>
              <w:snapToGrid w:val="0"/>
              <w:spacing w:before="50" w:after="120" w:afterLines="50"/>
              <w:jc w:val="center"/>
              <w:rPr>
                <w:rFonts w:ascii="宋体" w:hAnsi="宋体" w:cs="宋体"/>
                <w:sz w:val="24"/>
                <w:szCs w:val="20"/>
              </w:rPr>
            </w:pPr>
            <w:r>
              <w:rPr>
                <w:rFonts w:hint="eastAsia" w:ascii="宋体" w:hAnsi="宋体" w:cs="宋体"/>
                <w:sz w:val="24"/>
                <w:szCs w:val="20"/>
              </w:rPr>
              <w:t>工作时间</w:t>
            </w:r>
          </w:p>
        </w:tc>
        <w:tc>
          <w:tcPr>
            <w:tcW w:w="1843" w:type="dxa"/>
            <w:vAlign w:val="center"/>
          </w:tcPr>
          <w:p>
            <w:pPr>
              <w:snapToGrid w:val="0"/>
              <w:spacing w:before="50" w:after="120" w:afterLines="50"/>
              <w:jc w:val="center"/>
              <w:rPr>
                <w:rFonts w:ascii="宋体" w:hAnsi="宋体" w:cs="宋体"/>
                <w:sz w:val="24"/>
                <w:szCs w:val="20"/>
              </w:rPr>
            </w:pPr>
            <w:r>
              <w:rPr>
                <w:rFonts w:hint="eastAsia" w:ascii="宋体" w:hAnsi="宋体" w:cs="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s="宋体"/>
                <w:sz w:val="24"/>
                <w:szCs w:val="20"/>
              </w:rPr>
            </w:pPr>
          </w:p>
        </w:tc>
        <w:tc>
          <w:tcPr>
            <w:tcW w:w="709" w:type="dxa"/>
            <w:vAlign w:val="center"/>
          </w:tcPr>
          <w:p>
            <w:pPr>
              <w:snapToGrid w:val="0"/>
              <w:spacing w:before="50" w:after="120" w:afterLines="50"/>
              <w:jc w:val="center"/>
              <w:rPr>
                <w:rFonts w:ascii="宋体" w:hAnsi="宋体" w:cs="宋体"/>
                <w:sz w:val="24"/>
                <w:szCs w:val="20"/>
              </w:rPr>
            </w:pPr>
          </w:p>
        </w:tc>
        <w:tc>
          <w:tcPr>
            <w:tcW w:w="1701" w:type="dxa"/>
            <w:vAlign w:val="center"/>
          </w:tcPr>
          <w:p>
            <w:pPr>
              <w:snapToGrid w:val="0"/>
              <w:spacing w:before="50" w:after="120" w:afterLines="50"/>
              <w:jc w:val="center"/>
              <w:rPr>
                <w:rFonts w:ascii="宋体" w:hAnsi="宋体" w:cs="宋体"/>
                <w:sz w:val="24"/>
                <w:szCs w:val="20"/>
              </w:rPr>
            </w:pPr>
          </w:p>
        </w:tc>
        <w:tc>
          <w:tcPr>
            <w:tcW w:w="1420" w:type="dxa"/>
            <w:vAlign w:val="center"/>
          </w:tcPr>
          <w:p>
            <w:pPr>
              <w:snapToGrid w:val="0"/>
              <w:spacing w:before="50" w:after="120" w:afterLines="50"/>
              <w:jc w:val="center"/>
              <w:rPr>
                <w:rFonts w:ascii="宋体" w:hAnsi="宋体" w:cs="宋体"/>
                <w:sz w:val="24"/>
                <w:szCs w:val="20"/>
              </w:rPr>
            </w:pPr>
          </w:p>
        </w:tc>
        <w:tc>
          <w:tcPr>
            <w:tcW w:w="1698" w:type="dxa"/>
            <w:vAlign w:val="center"/>
          </w:tcPr>
          <w:p>
            <w:pPr>
              <w:snapToGrid w:val="0"/>
              <w:spacing w:before="50" w:after="120" w:afterLines="50"/>
              <w:jc w:val="center"/>
              <w:rPr>
                <w:rFonts w:ascii="宋体" w:hAnsi="宋体" w:cs="宋体"/>
                <w:sz w:val="24"/>
                <w:szCs w:val="20"/>
              </w:rPr>
            </w:pPr>
          </w:p>
        </w:tc>
        <w:tc>
          <w:tcPr>
            <w:tcW w:w="1843" w:type="dxa"/>
            <w:vAlign w:val="center"/>
          </w:tcPr>
          <w:p>
            <w:pPr>
              <w:snapToGrid w:val="0"/>
              <w:spacing w:before="50" w:after="120" w:afterLines="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s="宋体"/>
                <w:sz w:val="24"/>
                <w:szCs w:val="20"/>
              </w:rPr>
            </w:pPr>
          </w:p>
        </w:tc>
        <w:tc>
          <w:tcPr>
            <w:tcW w:w="709" w:type="dxa"/>
            <w:vAlign w:val="center"/>
          </w:tcPr>
          <w:p>
            <w:pPr>
              <w:snapToGrid w:val="0"/>
              <w:spacing w:before="50" w:after="120" w:afterLines="50"/>
              <w:jc w:val="center"/>
              <w:rPr>
                <w:rFonts w:ascii="宋体" w:hAnsi="宋体" w:cs="宋体"/>
                <w:sz w:val="24"/>
                <w:szCs w:val="20"/>
              </w:rPr>
            </w:pPr>
          </w:p>
        </w:tc>
        <w:tc>
          <w:tcPr>
            <w:tcW w:w="1701" w:type="dxa"/>
            <w:vAlign w:val="center"/>
          </w:tcPr>
          <w:p>
            <w:pPr>
              <w:snapToGrid w:val="0"/>
              <w:spacing w:before="50" w:after="120" w:afterLines="50"/>
              <w:jc w:val="center"/>
              <w:rPr>
                <w:rFonts w:ascii="宋体" w:hAnsi="宋体" w:cs="宋体"/>
                <w:sz w:val="24"/>
                <w:szCs w:val="20"/>
              </w:rPr>
            </w:pPr>
          </w:p>
        </w:tc>
        <w:tc>
          <w:tcPr>
            <w:tcW w:w="1420" w:type="dxa"/>
            <w:vAlign w:val="center"/>
          </w:tcPr>
          <w:p>
            <w:pPr>
              <w:snapToGrid w:val="0"/>
              <w:spacing w:before="50" w:after="120" w:afterLines="50"/>
              <w:jc w:val="center"/>
              <w:rPr>
                <w:rFonts w:ascii="宋体" w:hAnsi="宋体" w:cs="宋体"/>
                <w:sz w:val="24"/>
                <w:szCs w:val="20"/>
              </w:rPr>
            </w:pPr>
          </w:p>
        </w:tc>
        <w:tc>
          <w:tcPr>
            <w:tcW w:w="1698" w:type="dxa"/>
            <w:vAlign w:val="center"/>
          </w:tcPr>
          <w:p>
            <w:pPr>
              <w:snapToGrid w:val="0"/>
              <w:spacing w:before="50" w:after="120" w:afterLines="50"/>
              <w:jc w:val="center"/>
              <w:rPr>
                <w:rFonts w:ascii="宋体" w:hAnsi="宋体" w:cs="宋体"/>
                <w:sz w:val="24"/>
                <w:szCs w:val="20"/>
              </w:rPr>
            </w:pPr>
          </w:p>
        </w:tc>
        <w:tc>
          <w:tcPr>
            <w:tcW w:w="1843" w:type="dxa"/>
            <w:vAlign w:val="center"/>
          </w:tcPr>
          <w:p>
            <w:pPr>
              <w:snapToGrid w:val="0"/>
              <w:spacing w:before="50" w:after="120" w:afterLines="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s="宋体"/>
                <w:sz w:val="24"/>
                <w:szCs w:val="20"/>
              </w:rPr>
            </w:pPr>
          </w:p>
        </w:tc>
        <w:tc>
          <w:tcPr>
            <w:tcW w:w="709" w:type="dxa"/>
            <w:vAlign w:val="center"/>
          </w:tcPr>
          <w:p>
            <w:pPr>
              <w:snapToGrid w:val="0"/>
              <w:spacing w:before="50" w:after="120" w:afterLines="50"/>
              <w:jc w:val="center"/>
              <w:rPr>
                <w:rFonts w:ascii="宋体" w:hAnsi="宋体" w:cs="宋体"/>
                <w:sz w:val="24"/>
                <w:szCs w:val="20"/>
              </w:rPr>
            </w:pPr>
          </w:p>
        </w:tc>
        <w:tc>
          <w:tcPr>
            <w:tcW w:w="1701" w:type="dxa"/>
            <w:vAlign w:val="center"/>
          </w:tcPr>
          <w:p>
            <w:pPr>
              <w:snapToGrid w:val="0"/>
              <w:spacing w:before="50" w:after="120" w:afterLines="50"/>
              <w:jc w:val="center"/>
              <w:rPr>
                <w:rFonts w:ascii="宋体" w:hAnsi="宋体" w:cs="宋体"/>
                <w:sz w:val="24"/>
                <w:szCs w:val="20"/>
              </w:rPr>
            </w:pPr>
          </w:p>
        </w:tc>
        <w:tc>
          <w:tcPr>
            <w:tcW w:w="1420" w:type="dxa"/>
            <w:vAlign w:val="center"/>
          </w:tcPr>
          <w:p>
            <w:pPr>
              <w:snapToGrid w:val="0"/>
              <w:spacing w:before="50" w:after="120" w:afterLines="50"/>
              <w:jc w:val="center"/>
              <w:rPr>
                <w:rFonts w:ascii="宋体" w:hAnsi="宋体" w:cs="宋体"/>
                <w:sz w:val="24"/>
                <w:szCs w:val="20"/>
              </w:rPr>
            </w:pPr>
          </w:p>
        </w:tc>
        <w:tc>
          <w:tcPr>
            <w:tcW w:w="1698" w:type="dxa"/>
            <w:vAlign w:val="center"/>
          </w:tcPr>
          <w:p>
            <w:pPr>
              <w:snapToGrid w:val="0"/>
              <w:spacing w:before="50" w:after="120" w:afterLines="50"/>
              <w:jc w:val="center"/>
              <w:rPr>
                <w:rFonts w:ascii="宋体" w:hAnsi="宋体" w:cs="宋体"/>
                <w:sz w:val="24"/>
                <w:szCs w:val="20"/>
              </w:rPr>
            </w:pPr>
          </w:p>
        </w:tc>
        <w:tc>
          <w:tcPr>
            <w:tcW w:w="1843" w:type="dxa"/>
            <w:vAlign w:val="center"/>
          </w:tcPr>
          <w:p>
            <w:pPr>
              <w:snapToGrid w:val="0"/>
              <w:spacing w:before="50" w:after="120" w:afterLines="50"/>
              <w:jc w:val="center"/>
              <w:rPr>
                <w:rFonts w:ascii="宋体" w:hAnsi="宋体" w:cs="宋体"/>
                <w:sz w:val="24"/>
                <w:szCs w:val="20"/>
              </w:rPr>
            </w:pPr>
          </w:p>
        </w:tc>
      </w:tr>
    </w:tbl>
    <w:p>
      <w:pPr>
        <w:snapToGrid w:val="0"/>
        <w:spacing w:before="50" w:after="120" w:afterLines="50"/>
        <w:jc w:val="left"/>
        <w:rPr>
          <w:rFonts w:ascii="宋体" w:hAnsi="宋体" w:cs="宋体"/>
          <w:sz w:val="24"/>
          <w:szCs w:val="20"/>
        </w:rPr>
      </w:pPr>
    </w:p>
    <w:p>
      <w:pPr>
        <w:spacing w:line="360" w:lineRule="auto"/>
        <w:contextualSpacing/>
        <w:jc w:val="left"/>
        <w:rPr>
          <w:rFonts w:ascii="楷体" w:hAnsi="楷体" w:eastAsia="楷体" w:cs="宋体"/>
          <w:b/>
          <w:sz w:val="24"/>
          <w:szCs w:val="20"/>
        </w:rPr>
      </w:pPr>
      <w:r>
        <w:rPr>
          <w:rFonts w:hint="eastAsia" w:ascii="楷体" w:hAnsi="楷体" w:eastAsia="楷体" w:cs="宋体"/>
          <w:b/>
          <w:sz w:val="24"/>
          <w:szCs w:val="20"/>
        </w:rPr>
        <w:t>注：</w:t>
      </w:r>
    </w:p>
    <w:p>
      <w:pPr>
        <w:spacing w:line="360" w:lineRule="auto"/>
        <w:ind w:firstLine="480" w:firstLineChars="200"/>
        <w:contextualSpacing/>
        <w:jc w:val="left"/>
        <w:rPr>
          <w:rFonts w:ascii="楷体" w:hAnsi="楷体" w:eastAsia="楷体" w:cs="宋体"/>
          <w:sz w:val="24"/>
          <w:szCs w:val="20"/>
        </w:rPr>
      </w:pPr>
      <w:r>
        <w:rPr>
          <w:rFonts w:hint="eastAsia" w:ascii="楷体" w:hAnsi="楷体" w:eastAsia="楷体" w:cs="宋体"/>
          <w:sz w:val="24"/>
          <w:szCs w:val="20"/>
        </w:rPr>
        <w:t>1.在填写时，如本表格不适合投标单位的实际情况，可根据本表格式自行制表填写。</w:t>
      </w:r>
    </w:p>
    <w:p>
      <w:pPr>
        <w:spacing w:line="360" w:lineRule="auto"/>
        <w:ind w:firstLine="480" w:firstLineChars="200"/>
        <w:contextualSpacing/>
        <w:jc w:val="left"/>
        <w:rPr>
          <w:rFonts w:ascii="楷体" w:hAnsi="楷体" w:eastAsia="楷体" w:cs="宋体"/>
          <w:sz w:val="24"/>
          <w:szCs w:val="20"/>
        </w:rPr>
      </w:pPr>
      <w:r>
        <w:rPr>
          <w:rFonts w:hint="eastAsia" w:ascii="楷体" w:hAnsi="楷体" w:eastAsia="楷体" w:cs="宋体"/>
          <w:sz w:val="24"/>
          <w:szCs w:val="20"/>
        </w:rPr>
        <w:t>2.投标人应当附本表所列证书的复印件并加盖投标人公章。</w:t>
      </w:r>
    </w:p>
    <w:p>
      <w:pPr>
        <w:pStyle w:val="2"/>
      </w:pPr>
    </w:p>
    <w:p>
      <w:pPr>
        <w:pStyle w:val="2"/>
      </w:pPr>
    </w:p>
    <w:p>
      <w:pPr>
        <w:spacing w:line="360" w:lineRule="auto"/>
        <w:ind w:firstLine="2880" w:firstLineChars="12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pPr>
        <w:spacing w:line="360" w:lineRule="auto"/>
        <w:ind w:firstLine="2800" w:firstLineChars="1000"/>
        <w:contextualSpacing/>
        <w:jc w:val="left"/>
        <w:rPr>
          <w:rFonts w:ascii="宋体" w:hAnsi="宋体" w:cs="宋体"/>
          <w:spacing w:val="20"/>
          <w:sz w:val="24"/>
        </w:rPr>
      </w:pPr>
      <w:r>
        <w:rPr>
          <w:rFonts w:hint="eastAsia" w:ascii="宋体" w:hAnsi="宋体" w:cs="宋体"/>
          <w:spacing w:val="20"/>
          <w:sz w:val="24"/>
        </w:rPr>
        <w:t>投标人（公章）：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50" w:after="120" w:afterLines="50"/>
        <w:ind w:firstLine="2880" w:firstLineChars="1200"/>
        <w:jc w:val="left"/>
        <w:rPr>
          <w:rFonts w:ascii="宋体" w:hAnsi="宋体" w:cs="宋体"/>
          <w:sz w:val="24"/>
          <w:szCs w:val="20"/>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6. 选配件、专用耗材、售后服务优惠表格式（注：按项目需求表具体项目修改）</w:t>
      </w:r>
    </w:p>
    <w:p>
      <w:pPr>
        <w:snapToGrid w:val="0"/>
        <w:spacing w:before="120" w:beforeLines="50" w:after="50"/>
        <w:ind w:left="142"/>
        <w:jc w:val="left"/>
        <w:rPr>
          <w:rFonts w:ascii="宋体" w:hAnsi="宋体" w:cs="宋体"/>
          <w:b/>
          <w:sz w:val="24"/>
        </w:rPr>
      </w:pPr>
    </w:p>
    <w:p>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选配件、专用耗材、售后服务优惠表</w:t>
      </w:r>
    </w:p>
    <w:p>
      <w:pPr>
        <w:pStyle w:val="26"/>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tbl>
      <w:tblPr>
        <w:tblStyle w:val="48"/>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单价（人民币元）</w:t>
            </w:r>
          </w:p>
        </w:tc>
        <w:tc>
          <w:tcPr>
            <w:tcW w:w="23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bl>
    <w:p>
      <w:pPr>
        <w:spacing w:line="360" w:lineRule="auto"/>
        <w:contextualSpacing/>
        <w:rPr>
          <w:rFonts w:ascii="宋体" w:hAnsi="宋体" w:cs="宋体"/>
          <w:sz w:val="24"/>
        </w:rPr>
      </w:pPr>
    </w:p>
    <w:p>
      <w:pPr>
        <w:spacing w:line="360" w:lineRule="auto"/>
        <w:ind w:firstLine="3600" w:firstLineChars="1500"/>
        <w:contextualSpacing/>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pPr>
        <w:spacing w:line="360" w:lineRule="auto"/>
        <w:ind w:firstLine="3640" w:firstLineChars="1300"/>
        <w:contextualSpacing/>
        <w:rPr>
          <w:rFonts w:ascii="宋体" w:hAnsi="宋体" w:cs="宋体"/>
          <w:spacing w:val="20"/>
          <w:sz w:val="24"/>
        </w:rPr>
      </w:pPr>
      <w:r>
        <w:rPr>
          <w:rFonts w:hint="eastAsia" w:ascii="宋体" w:hAnsi="宋体" w:cs="宋体"/>
          <w:spacing w:val="20"/>
          <w:sz w:val="24"/>
        </w:rPr>
        <w:t>投标人（公章）：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pacing w:line="360" w:lineRule="auto"/>
        <w:ind w:firstLine="3600" w:firstLineChars="1500"/>
        <w:contextualSpacing/>
        <w:rPr>
          <w:rFonts w:ascii="宋体" w:hAnsi="宋体" w:cs="宋体"/>
          <w:sz w:val="24"/>
          <w:szCs w:val="20"/>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ascii="宋体" w:hAnsi="宋体" w:cs="宋体"/>
          <w:spacing w:val="20"/>
          <w:sz w:val="24"/>
          <w:u w:val="single"/>
        </w:rPr>
        <w:t xml:space="preserve"> </w:t>
      </w:r>
    </w:p>
    <w:p>
      <w:pPr>
        <w:snapToGrid w:val="0"/>
        <w:spacing w:before="50" w:after="120" w:afterLines="50"/>
        <w:jc w:val="left"/>
        <w:rPr>
          <w:rFonts w:ascii="宋体" w:hAnsi="宋体" w:cs="宋体"/>
          <w:sz w:val="24"/>
          <w:szCs w:val="20"/>
        </w:rPr>
      </w:pPr>
    </w:p>
    <w:p>
      <w:pPr>
        <w:rPr>
          <w:rFonts w:ascii="宋体" w:hAnsi="宋体" w:cs="宋体"/>
          <w:b/>
          <w:sz w:val="28"/>
          <w:szCs w:val="28"/>
        </w:rPr>
      </w:pPr>
      <w:r>
        <w:rPr>
          <w:rFonts w:hint="eastAsia" w:ascii="宋体" w:hAnsi="宋体" w:cs="宋体"/>
          <w:b/>
          <w:bCs/>
          <w:sz w:val="24"/>
        </w:rPr>
        <w:br w:type="page"/>
      </w:r>
      <w:r>
        <w:rPr>
          <w:rFonts w:hint="eastAsia" w:ascii="宋体" w:hAnsi="宋体" w:cs="宋体"/>
          <w:b/>
          <w:sz w:val="28"/>
          <w:szCs w:val="28"/>
        </w:rPr>
        <w:t>五、其他文书、文件格式</w:t>
      </w:r>
    </w:p>
    <w:p>
      <w:pPr>
        <w:snapToGrid w:val="0"/>
        <w:spacing w:before="120" w:beforeLines="50" w:after="50"/>
        <w:ind w:left="142"/>
        <w:jc w:val="left"/>
        <w:rPr>
          <w:rFonts w:ascii="宋体" w:hAnsi="宋体" w:cs="宋体"/>
          <w:b/>
          <w:spacing w:val="20"/>
          <w:sz w:val="24"/>
        </w:rPr>
      </w:pPr>
      <w:r>
        <w:rPr>
          <w:rFonts w:hint="eastAsia" w:ascii="宋体" w:hAnsi="宋体" w:cs="宋体"/>
          <w:b/>
          <w:spacing w:val="20"/>
          <w:sz w:val="24"/>
        </w:rPr>
        <w:t>1.联合投标协议书格式</w:t>
      </w:r>
    </w:p>
    <w:p>
      <w:pPr>
        <w:snapToGrid w:val="0"/>
        <w:spacing w:before="120" w:beforeLines="50" w:after="50"/>
        <w:ind w:left="142"/>
        <w:jc w:val="left"/>
        <w:rPr>
          <w:rFonts w:ascii="宋体" w:hAnsi="宋体" w:cs="宋体"/>
          <w:b/>
          <w:spacing w:val="20"/>
          <w:sz w:val="24"/>
        </w:rPr>
      </w:pPr>
    </w:p>
    <w:p>
      <w:pPr>
        <w:pStyle w:val="8"/>
        <w:overflowPunct w:val="0"/>
        <w:jc w:val="center"/>
        <w:rPr>
          <w:rFonts w:ascii="宋体" w:hAnsi="宋体" w:cs="宋体"/>
          <w:sz w:val="44"/>
          <w:szCs w:val="44"/>
        </w:rPr>
      </w:pPr>
      <w:r>
        <w:rPr>
          <w:rFonts w:hint="eastAsia" w:ascii="宋体" w:hAnsi="宋体" w:cs="宋体"/>
          <w:sz w:val="44"/>
          <w:szCs w:val="44"/>
        </w:rPr>
        <w:t>联合体协议书</w:t>
      </w:r>
    </w:p>
    <w:p>
      <w:pPr>
        <w:pStyle w:val="8"/>
        <w:overflowPunct w:val="0"/>
        <w:rPr>
          <w:rFonts w:ascii="宋体" w:hAnsi="宋体" w:cs="宋体"/>
          <w:sz w:val="24"/>
        </w:rPr>
      </w:pPr>
    </w:p>
    <w:p>
      <w:pPr>
        <w:pStyle w:val="8"/>
        <w:overflowPunct w:val="0"/>
        <w:spacing w:line="360" w:lineRule="auto"/>
        <w:contextualSpacing/>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（所有成员单位名称）自愿组成</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（联合体名称）联合体，共同参加</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（项</w:t>
      </w:r>
      <w:r>
        <w:rPr>
          <w:rFonts w:hint="eastAsia" w:ascii="宋体" w:hAnsi="宋体" w:cs="宋体"/>
          <w:sz w:val="24"/>
        </w:rPr>
        <w:t>目名称）采购招标项目投标。现就联合体投标事宜订立如下协议。</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（某成员单位名称）为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（联合体名称）牵头人。</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3.联合体牵头人在本项目中签署和盖章的一切文件和处理的一切事宜，联合体各成员均予以承认。 联合体各成员将严格按照招标文件、投标文件和合同的要求全面履行义务，并向甲方承担连带责任。</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5.本协议书自所有成员单位法定代表人或者其委托代理人签字或者盖公章之日起生效，合同履行完毕后自动失效。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份，联合体成员和甲方各执壹份。</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s="宋体"/>
          <w:sz w:val="24"/>
        </w:rPr>
      </w:pPr>
    </w:p>
    <w:p>
      <w:pPr>
        <w:pStyle w:val="8"/>
        <w:overflowPunct w:val="0"/>
        <w:spacing w:line="360" w:lineRule="auto"/>
        <w:ind w:firstLineChars="175"/>
        <w:contextualSpacing/>
        <w:rPr>
          <w:rFonts w:ascii="宋体" w:hAnsi="宋体" w:cs="宋体"/>
          <w:sz w:val="24"/>
        </w:rPr>
      </w:pPr>
      <w:r>
        <w:rPr>
          <w:rFonts w:hint="eastAsia" w:ascii="宋体" w:hAnsi="宋体" w:cs="宋体"/>
          <w:sz w:val="24"/>
        </w:rPr>
        <w:t>联合体牵头人名称（公章）：</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 xml:space="preserve">法定代表人或者其委托代理人（签字）： </w:t>
      </w:r>
      <w:r>
        <w:rPr>
          <w:rFonts w:hint="eastAsia" w:ascii="宋体" w:hAnsi="宋体" w:cs="宋体"/>
          <w:sz w:val="24"/>
        </w:rPr>
        <w:tab/>
      </w:r>
    </w:p>
    <w:p>
      <w:pPr>
        <w:pStyle w:val="8"/>
        <w:overflowPunct w:val="0"/>
        <w:spacing w:line="360" w:lineRule="auto"/>
        <w:ind w:firstLineChars="175"/>
        <w:contextualSpacing/>
        <w:rPr>
          <w:rFonts w:ascii="宋体" w:hAnsi="宋体" w:cs="宋体"/>
          <w:sz w:val="24"/>
        </w:rPr>
      </w:pPr>
    </w:p>
    <w:p>
      <w:pPr>
        <w:pStyle w:val="8"/>
        <w:overflowPunct w:val="0"/>
        <w:spacing w:line="360" w:lineRule="auto"/>
        <w:ind w:firstLineChars="175"/>
        <w:contextualSpacing/>
        <w:rPr>
          <w:rFonts w:ascii="宋体" w:hAnsi="宋体" w:cs="宋体"/>
          <w:sz w:val="24"/>
        </w:rPr>
      </w:pPr>
      <w:r>
        <w:rPr>
          <w:rFonts w:hint="eastAsia" w:ascii="宋体" w:hAnsi="宋体" w:cs="宋体"/>
          <w:sz w:val="24"/>
        </w:rPr>
        <w:t>联合体成员名称（公章）：</w:t>
      </w:r>
    </w:p>
    <w:p>
      <w:pPr>
        <w:pStyle w:val="8"/>
        <w:overflowPunct w:val="0"/>
        <w:spacing w:line="360" w:lineRule="auto"/>
        <w:ind w:firstLineChars="175"/>
        <w:contextualSpacing/>
        <w:rPr>
          <w:rFonts w:ascii="宋体" w:hAnsi="宋体" w:cs="宋体"/>
          <w:sz w:val="24"/>
        </w:rPr>
      </w:pPr>
      <w:r>
        <w:rPr>
          <w:rFonts w:hint="eastAsia" w:ascii="宋体" w:hAnsi="宋体" w:cs="宋体"/>
          <w:sz w:val="24"/>
        </w:rPr>
        <w:t xml:space="preserve">法定代表人或者其委托代理人（签字）： </w:t>
      </w:r>
      <w:r>
        <w:rPr>
          <w:rFonts w:hint="eastAsia" w:ascii="宋体" w:hAnsi="宋体" w:cs="宋体"/>
          <w:sz w:val="24"/>
        </w:rPr>
        <w:tab/>
      </w:r>
    </w:p>
    <w:p>
      <w:pPr>
        <w:pStyle w:val="8"/>
        <w:overflowPunct w:val="0"/>
        <w:spacing w:line="360" w:lineRule="auto"/>
        <w:ind w:firstLineChars="175"/>
        <w:contextualSpacing/>
        <w:rPr>
          <w:rFonts w:ascii="宋体" w:hAnsi="宋体" w:cs="宋体"/>
          <w:sz w:val="24"/>
        </w:rPr>
      </w:pPr>
      <w:r>
        <w:rPr>
          <w:rFonts w:hint="eastAsia" w:ascii="宋体" w:hAnsi="宋体" w:cs="宋体"/>
          <w:sz w:val="24"/>
        </w:rPr>
        <w:t>……</w:t>
      </w:r>
    </w:p>
    <w:p>
      <w:pPr>
        <w:pStyle w:val="8"/>
        <w:overflowPunct w:val="0"/>
        <w:spacing w:line="360" w:lineRule="auto"/>
        <w:ind w:firstLineChars="175"/>
        <w:contextualSpacing/>
        <w:rPr>
          <w:rFonts w:ascii="宋体" w:hAnsi="宋体" w:cs="宋体"/>
          <w:sz w:val="24"/>
        </w:rPr>
      </w:pPr>
    </w:p>
    <w:p>
      <w:pPr>
        <w:snapToGrid w:val="0"/>
        <w:spacing w:before="120" w:beforeLines="50" w:after="50"/>
        <w:ind w:firstLine="4560" w:firstLineChars="1900"/>
        <w:jc w:val="left"/>
        <w:rPr>
          <w:rFonts w:ascii="宋体" w:hAnsi="宋体" w:cs="宋体"/>
        </w:rPr>
      </w:pP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ascii="宋体" w:hAnsi="宋体" w:cs="宋体"/>
          <w:b/>
          <w:sz w:val="24"/>
        </w:rPr>
        <w:br w:type="page"/>
      </w:r>
      <w:r>
        <w:rPr>
          <w:rFonts w:hint="eastAsia" w:ascii="宋体" w:hAnsi="宋体" w:cs="宋体"/>
          <w:b/>
          <w:sz w:val="24"/>
        </w:rPr>
        <w:t xml:space="preserve"> 2.中小企业声明函格式</w:t>
      </w:r>
    </w:p>
    <w:p>
      <w:pPr>
        <w:rPr>
          <w:rFonts w:ascii="宋体" w:hAnsi="宋体" w:cs="宋体"/>
        </w:rPr>
      </w:pPr>
    </w:p>
    <w:p>
      <w:pPr>
        <w:jc w:val="center"/>
        <w:rPr>
          <w:rFonts w:ascii="宋体" w:hAnsi="宋体" w:cs="宋体"/>
          <w:sz w:val="44"/>
          <w:szCs w:val="44"/>
        </w:rPr>
      </w:pPr>
      <w:r>
        <w:rPr>
          <w:rFonts w:hint="eastAsia" w:ascii="宋体" w:hAnsi="宋体" w:cs="宋体"/>
          <w:sz w:val="44"/>
          <w:szCs w:val="44"/>
        </w:rPr>
        <w:t>中小企业声明函（货物）</w:t>
      </w:r>
    </w:p>
    <w:p>
      <w:pPr>
        <w:spacing w:before="2" w:line="500" w:lineRule="exact"/>
        <w:rPr>
          <w:rFonts w:ascii="宋体" w:hAnsi="宋体" w:cs="宋体"/>
          <w:b/>
          <w:bCs/>
          <w:sz w:val="27"/>
          <w:szCs w:val="27"/>
        </w:rPr>
      </w:pPr>
    </w:p>
    <w:p>
      <w:pPr>
        <w:pStyle w:val="19"/>
        <w:spacing w:line="360" w:lineRule="auto"/>
        <w:ind w:left="-426" w:leftChars="-203" w:right="142" w:firstLine="48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pPr>
        <w:pStyle w:val="19"/>
        <w:spacing w:line="360" w:lineRule="auto"/>
        <w:ind w:left="142" w:right="142"/>
        <w:contextualSpacing/>
        <w:rPr>
          <w:rFonts w:ascii="宋体" w:hAnsi="宋体" w:cs="宋体"/>
          <w:kern w:val="24"/>
        </w:rPr>
      </w:pPr>
      <w:r>
        <w:rPr>
          <w:rFonts w:hint="eastAsia" w:ascii="宋体" w:hAnsi="宋体" w:cs="宋体"/>
          <w:kern w:val="24"/>
        </w:rPr>
        <w:t xml:space="preserve">…… </w:t>
      </w:r>
    </w:p>
    <w:p>
      <w:pPr>
        <w:pStyle w:val="19"/>
        <w:spacing w:line="360" w:lineRule="auto"/>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pPr>
        <w:pStyle w:val="19"/>
        <w:spacing w:line="360" w:lineRule="auto"/>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pPr>
        <w:pStyle w:val="19"/>
        <w:spacing w:line="360" w:lineRule="auto"/>
        <w:ind w:left="3960" w:right="1808"/>
        <w:contextualSpacing/>
        <w:rPr>
          <w:rFonts w:ascii="宋体" w:hAnsi="宋体" w:cs="宋体"/>
          <w:kern w:val="24"/>
        </w:rPr>
      </w:pPr>
    </w:p>
    <w:p>
      <w:pPr>
        <w:pStyle w:val="19"/>
        <w:spacing w:line="360" w:lineRule="auto"/>
        <w:ind w:left="3960" w:right="1808"/>
        <w:contextualSpacing/>
        <w:rPr>
          <w:rFonts w:ascii="宋体" w:hAnsi="宋体" w:cs="宋体"/>
          <w:kern w:val="24"/>
        </w:rPr>
      </w:pPr>
      <w:r>
        <w:rPr>
          <w:rFonts w:hint="eastAsia" w:ascii="宋体" w:hAnsi="宋体" w:cs="宋体"/>
          <w:kern w:val="24"/>
        </w:rPr>
        <w:t xml:space="preserve">企业名称（公章）： </w:t>
      </w:r>
    </w:p>
    <w:p>
      <w:pPr>
        <w:pStyle w:val="19"/>
        <w:spacing w:line="360" w:lineRule="auto"/>
        <w:ind w:left="3960" w:right="1808"/>
        <w:contextualSpacing/>
        <w:rPr>
          <w:rFonts w:ascii="宋体" w:hAnsi="宋体" w:cs="宋体"/>
          <w:kern w:val="24"/>
        </w:rPr>
      </w:pPr>
      <w:r>
        <w:rPr>
          <w:rFonts w:hint="eastAsia" w:ascii="宋体"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9"/>
        <w:spacing w:line="360" w:lineRule="auto"/>
        <w:ind w:left="3960" w:right="1808"/>
        <w:contextualSpacing/>
        <w:rPr>
          <w:rFonts w:ascii="宋体" w:hAnsi="宋体" w:cs="宋体"/>
          <w:kern w:val="24"/>
        </w:rPr>
      </w:pPr>
    </w:p>
    <w:p>
      <w:pPr>
        <w:pStyle w:val="19"/>
        <w:spacing w:line="360" w:lineRule="auto"/>
        <w:ind w:left="3960" w:right="1808"/>
        <w:contextualSpacing/>
        <w:rPr>
          <w:rFonts w:ascii="宋体" w:hAnsi="宋体" w:cs="宋体"/>
          <w:kern w:val="24"/>
        </w:rPr>
      </w:pPr>
    </w:p>
    <w:p>
      <w:pPr>
        <w:pStyle w:val="19"/>
        <w:spacing w:line="360" w:lineRule="auto"/>
        <w:ind w:left="-426" w:right="142"/>
        <w:contextualSpacing/>
        <w:rPr>
          <w:rFonts w:ascii="楷体" w:hAnsi="楷体" w:eastAsia="楷体" w:cs="宋体"/>
          <w:b/>
          <w:kern w:val="24"/>
        </w:rPr>
      </w:pPr>
      <w:r>
        <w:rPr>
          <w:rFonts w:hint="eastAsia" w:ascii="楷体" w:hAnsi="楷体" w:eastAsia="楷体" w:cs="宋体"/>
          <w:b/>
          <w:kern w:val="24"/>
        </w:rPr>
        <w:t>注：</w:t>
      </w:r>
    </w:p>
    <w:p>
      <w:pPr>
        <w:pStyle w:val="19"/>
        <w:spacing w:line="360" w:lineRule="auto"/>
        <w:ind w:left="-426" w:right="142" w:firstLine="480" w:firstLineChars="200"/>
        <w:contextualSpacing/>
        <w:rPr>
          <w:rFonts w:ascii="楷体" w:hAnsi="楷体" w:eastAsia="楷体" w:cs="宋体"/>
          <w:kern w:val="24"/>
        </w:rPr>
      </w:pPr>
      <w:r>
        <w:rPr>
          <w:rFonts w:hint="eastAsia" w:ascii="楷体" w:hAnsi="楷体" w:eastAsia="楷体" w:cs="宋体"/>
          <w:kern w:val="24"/>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cs="宋体"/>
          <w:b/>
          <w:sz w:val="24"/>
        </w:rPr>
      </w:pPr>
    </w:p>
    <w:p>
      <w:pPr>
        <w:rPr>
          <w:rFonts w:hAnsi="宋体" w:cs="宋体"/>
          <w:sz w:val="32"/>
          <w:szCs w:val="32"/>
        </w:rPr>
      </w:pPr>
      <w:r>
        <w:rPr>
          <w:rFonts w:hint="eastAsia" w:hAnsi="宋体" w:cs="宋体"/>
          <w:sz w:val="32"/>
          <w:szCs w:val="32"/>
        </w:rPr>
        <w:br w:type="page"/>
      </w:r>
    </w:p>
    <w:p>
      <w:pPr>
        <w:snapToGrid w:val="0"/>
        <w:spacing w:before="120" w:beforeLines="50" w:after="50"/>
        <w:ind w:left="142"/>
        <w:jc w:val="left"/>
        <w:rPr>
          <w:rFonts w:ascii="宋体" w:hAnsi="宋体" w:cs="宋体"/>
          <w:b/>
          <w:sz w:val="24"/>
        </w:rPr>
      </w:pPr>
      <w:r>
        <w:rPr>
          <w:rFonts w:hint="eastAsia" w:ascii="宋体" w:hAnsi="宋体" w:cs="宋体"/>
          <w:b/>
          <w:sz w:val="24"/>
        </w:rPr>
        <w:t>3.残疾人福利性单位声明函格式</w:t>
      </w:r>
    </w:p>
    <w:p>
      <w:pPr>
        <w:spacing w:line="588" w:lineRule="exact"/>
        <w:jc w:val="center"/>
        <w:rPr>
          <w:rFonts w:ascii="宋体" w:hAnsi="宋体" w:cs="宋体"/>
          <w:b/>
          <w:spacing w:val="6"/>
          <w:sz w:val="32"/>
          <w:szCs w:val="32"/>
        </w:rPr>
      </w:pPr>
    </w:p>
    <w:p>
      <w:pPr>
        <w:spacing w:line="588" w:lineRule="exact"/>
        <w:jc w:val="center"/>
        <w:rPr>
          <w:rFonts w:ascii="宋体" w:hAnsi="宋体" w:cs="宋体"/>
          <w:bCs/>
          <w:spacing w:val="6"/>
          <w:sz w:val="44"/>
          <w:szCs w:val="44"/>
        </w:rPr>
      </w:pPr>
      <w:r>
        <w:rPr>
          <w:rFonts w:hint="eastAsia" w:ascii="宋体" w:hAnsi="宋体" w:cs="宋体"/>
          <w:bCs/>
          <w:spacing w:val="6"/>
          <w:sz w:val="44"/>
          <w:szCs w:val="44"/>
        </w:rPr>
        <w:t>残疾人福利性单位声明函</w:t>
      </w:r>
    </w:p>
    <w:p>
      <w:pPr>
        <w:spacing w:line="360" w:lineRule="auto"/>
        <w:contextualSpacing/>
        <w:rPr>
          <w:rFonts w:ascii="宋体" w:hAnsi="宋体" w:cs="宋体"/>
          <w:bCs/>
          <w:spacing w:val="6"/>
          <w:sz w:val="30"/>
          <w:szCs w:val="30"/>
        </w:rPr>
      </w:pPr>
    </w:p>
    <w:p>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504" w:firstLineChars="200"/>
        <w:contextualSpacing/>
        <w:rPr>
          <w:rFonts w:ascii="宋体" w:hAnsi="宋体" w:cs="宋体"/>
          <w:spacing w:val="6"/>
          <w:sz w:val="24"/>
        </w:rPr>
      </w:pPr>
    </w:p>
    <w:p>
      <w:pPr>
        <w:spacing w:line="360" w:lineRule="auto"/>
        <w:ind w:firstLine="504" w:firstLineChars="200"/>
        <w:contextualSpacing/>
        <w:rPr>
          <w:rFonts w:ascii="宋体" w:hAnsi="宋体" w:cs="宋体"/>
          <w:spacing w:val="6"/>
          <w:sz w:val="24"/>
        </w:rPr>
      </w:pPr>
    </w:p>
    <w:p>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单位名称（公章）：</w:t>
      </w:r>
    </w:p>
    <w:p>
      <w:pPr>
        <w:tabs>
          <w:tab w:val="left" w:pos="4860"/>
        </w:tabs>
        <w:spacing w:line="360" w:lineRule="auto"/>
        <w:ind w:right="1560" w:firstLine="480" w:firstLineChars="200"/>
        <w:contextualSpacing/>
        <w:jc w:val="center"/>
        <w:rPr>
          <w:rFonts w:ascii="宋体" w:hAnsi="宋体" w:cs="宋体"/>
          <w:spacing w:val="6"/>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b/>
          <w:sz w:val="24"/>
        </w:rPr>
        <w:t>4.质疑函格式</w:t>
      </w:r>
    </w:p>
    <w:p>
      <w:pPr>
        <w:spacing w:line="360" w:lineRule="auto"/>
        <w:jc w:val="center"/>
        <w:rPr>
          <w:rFonts w:ascii="宋体" w:hAnsi="宋体" w:cs="宋体"/>
          <w:sz w:val="44"/>
          <w:szCs w:val="44"/>
        </w:rPr>
      </w:pPr>
      <w:r>
        <w:rPr>
          <w:rFonts w:hint="eastAsia" w:ascii="宋体" w:hAnsi="宋体" w:cs="宋体"/>
          <w:sz w:val="44"/>
          <w:szCs w:val="44"/>
        </w:rPr>
        <w:t>质疑函</w:t>
      </w:r>
    </w:p>
    <w:p>
      <w:pPr>
        <w:pStyle w:val="26"/>
        <w:snapToGrid w:val="0"/>
        <w:spacing w:line="360" w:lineRule="auto"/>
        <w:ind w:firstLine="482" w:firstLineChars="200"/>
        <w:rPr>
          <w:rFonts w:hAnsi="宋体" w:cs="宋体"/>
          <w:b/>
          <w:bCs/>
          <w:sz w:val="24"/>
          <w:szCs w:val="24"/>
        </w:rPr>
      </w:pPr>
      <w:r>
        <w:rPr>
          <w:rFonts w:hint="eastAsia" w:hAnsi="宋体" w:cs="宋体"/>
          <w:b/>
          <w:bCs/>
          <w:sz w:val="24"/>
          <w:szCs w:val="24"/>
        </w:rPr>
        <w:t>一、质疑供应商基本信息：</w:t>
      </w:r>
    </w:p>
    <w:p>
      <w:pPr>
        <w:pStyle w:val="26"/>
        <w:snapToGrid w:val="0"/>
        <w:spacing w:line="360" w:lineRule="auto"/>
        <w:ind w:firstLine="480" w:firstLineChars="200"/>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pPr>
        <w:pStyle w:val="26"/>
        <w:snapToGrid w:val="0"/>
        <w:spacing w:line="360" w:lineRule="auto"/>
        <w:ind w:firstLine="480" w:firstLineChars="200"/>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360" w:lineRule="auto"/>
        <w:ind w:firstLine="482" w:firstLineChars="200"/>
        <w:rPr>
          <w:rFonts w:hAnsi="宋体" w:cs="宋体"/>
          <w:b/>
          <w:bCs/>
          <w:sz w:val="24"/>
          <w:szCs w:val="24"/>
        </w:rPr>
      </w:pPr>
      <w:r>
        <w:rPr>
          <w:rFonts w:hint="eastAsia" w:hAnsi="宋体" w:cs="宋体"/>
          <w:b/>
          <w:bCs/>
          <w:sz w:val="24"/>
          <w:szCs w:val="24"/>
        </w:rPr>
        <w:t>二、质疑项目基本情况：</w:t>
      </w:r>
    </w:p>
    <w:p>
      <w:pPr>
        <w:pStyle w:val="26"/>
        <w:spacing w:line="360"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sz w:val="24"/>
          <w:szCs w:val="24"/>
        </w:rPr>
        <w:t>质疑事项：</w:t>
      </w:r>
    </w:p>
    <w:p>
      <w:pPr>
        <w:pStyle w:val="26"/>
        <w:spacing w:line="360" w:lineRule="auto"/>
        <w:ind w:left="25" w:leftChars="12" w:firstLine="352" w:firstLineChars="147"/>
        <w:rPr>
          <w:rFonts w:hAnsi="宋体" w:cs="宋体"/>
          <w:sz w:val="24"/>
          <w:szCs w:val="24"/>
        </w:rPr>
      </w:pPr>
      <w:r>
        <w:rPr>
          <w:rFonts w:hint="eastAsia" w:hAnsi="宋体" w:cs="宋体"/>
          <w:sz w:val="24"/>
          <w:szCs w:val="24"/>
        </w:rPr>
        <w:t>□招标文件   招标文件获取日期：</w:t>
      </w:r>
      <w:r>
        <w:rPr>
          <w:rFonts w:hint="eastAsia" w:hAnsi="宋体" w:cs="宋体"/>
          <w:bCs/>
          <w:sz w:val="24"/>
          <w:szCs w:val="24"/>
          <w:u w:val="single"/>
        </w:rPr>
        <w:t xml:space="preserve">                            </w:t>
      </w:r>
    </w:p>
    <w:p>
      <w:pPr>
        <w:pStyle w:val="26"/>
        <w:spacing w:line="360" w:lineRule="auto"/>
        <w:ind w:left="25" w:leftChars="12" w:firstLine="352" w:firstLineChars="147"/>
        <w:rPr>
          <w:rFonts w:hAnsi="宋体" w:cs="宋体"/>
          <w:sz w:val="24"/>
          <w:szCs w:val="24"/>
        </w:rPr>
      </w:pPr>
      <w:r>
        <w:rPr>
          <w:rFonts w:hint="eastAsia" w:hAnsi="宋体" w:cs="宋体"/>
          <w:sz w:val="24"/>
          <w:szCs w:val="24"/>
        </w:rPr>
        <w:t xml:space="preserve">□采购过程   </w:t>
      </w:r>
    </w:p>
    <w:p>
      <w:pPr>
        <w:pStyle w:val="26"/>
        <w:spacing w:line="360" w:lineRule="auto"/>
        <w:ind w:left="25" w:leftChars="12" w:firstLine="352" w:firstLineChars="147"/>
        <w:rPr>
          <w:rFonts w:hAnsi="宋体" w:cs="宋体"/>
          <w:bCs/>
          <w:sz w:val="24"/>
          <w:szCs w:val="24"/>
          <w:u w:val="single"/>
        </w:rPr>
      </w:pPr>
      <w:r>
        <w:rPr>
          <w:rFonts w:hint="eastAsia" w:hAnsi="宋体" w:cs="宋体"/>
          <w:sz w:val="24"/>
          <w:szCs w:val="24"/>
        </w:rPr>
        <w:t xml:space="preserve">□中标结果   </w:t>
      </w:r>
    </w:p>
    <w:p>
      <w:pPr>
        <w:pStyle w:val="26"/>
        <w:spacing w:line="360" w:lineRule="auto"/>
        <w:ind w:left="25" w:leftChars="12" w:firstLine="472" w:firstLineChars="196"/>
        <w:rPr>
          <w:rFonts w:hAnsi="宋体" w:cs="宋体"/>
          <w:b/>
          <w:sz w:val="24"/>
          <w:szCs w:val="24"/>
        </w:rPr>
      </w:pPr>
      <w:r>
        <w:rPr>
          <w:rFonts w:hint="eastAsia" w:hAnsi="宋体" w:cs="宋体"/>
          <w:b/>
          <w:sz w:val="24"/>
          <w:szCs w:val="24"/>
        </w:rPr>
        <w:t>三、质疑事项具体内容</w:t>
      </w:r>
    </w:p>
    <w:p>
      <w:pPr>
        <w:pStyle w:val="26"/>
        <w:spacing w:line="360" w:lineRule="auto"/>
        <w:ind w:left="25" w:leftChars="12" w:firstLine="472" w:firstLineChars="197"/>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p>
    <w:p>
      <w:pPr>
        <w:pStyle w:val="26"/>
        <w:spacing w:line="360" w:lineRule="auto"/>
        <w:ind w:left="25" w:leftChars="12" w:firstLine="472" w:firstLineChars="197"/>
        <w:rPr>
          <w:rFonts w:hAnsi="宋体" w:cs="宋体"/>
          <w:sz w:val="24"/>
          <w:szCs w:val="24"/>
        </w:rPr>
      </w:pPr>
      <w:r>
        <w:rPr>
          <w:rFonts w:hint="eastAsia" w:hAnsi="宋体" w:cs="宋体"/>
          <w:sz w:val="24"/>
          <w:szCs w:val="24"/>
        </w:rPr>
        <w:t>质疑事项2</w:t>
      </w:r>
    </w:p>
    <w:p>
      <w:pPr>
        <w:pStyle w:val="26"/>
        <w:spacing w:line="360" w:lineRule="auto"/>
        <w:ind w:left="25" w:leftChars="12" w:firstLine="472" w:firstLineChars="197"/>
        <w:rPr>
          <w:rFonts w:hAnsi="宋体" w:cs="宋体"/>
          <w:sz w:val="24"/>
          <w:szCs w:val="24"/>
        </w:rPr>
      </w:pPr>
      <w:r>
        <w:rPr>
          <w:rFonts w:hint="eastAsia" w:hAnsi="宋体" w:cs="宋体"/>
          <w:sz w:val="24"/>
          <w:szCs w:val="24"/>
        </w:rPr>
        <w:t>……</w:t>
      </w:r>
    </w:p>
    <w:p>
      <w:pPr>
        <w:pStyle w:val="26"/>
        <w:spacing w:line="360" w:lineRule="auto"/>
        <w:ind w:left="25" w:leftChars="12" w:firstLine="472" w:firstLineChars="197"/>
        <w:rPr>
          <w:rFonts w:hAnsi="宋体" w:cs="宋体"/>
          <w:sz w:val="24"/>
          <w:szCs w:val="24"/>
        </w:rPr>
      </w:pPr>
      <w:r>
        <w:rPr>
          <w:rFonts w:hint="eastAsia" w:hAnsi="宋体" w:cs="宋体"/>
          <w:sz w:val="24"/>
          <w:szCs w:val="24"/>
        </w:rPr>
        <w:t>四、与质疑事项相关的质疑请求：</w:t>
      </w:r>
    </w:p>
    <w:p>
      <w:pPr>
        <w:pStyle w:val="26"/>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6"/>
        <w:spacing w:line="360" w:lineRule="auto"/>
        <w:ind w:left="25" w:leftChars="12" w:firstLine="352" w:firstLineChars="147"/>
        <w:rPr>
          <w:rFonts w:hAnsi="宋体" w:cs="宋体"/>
          <w:sz w:val="24"/>
          <w:szCs w:val="24"/>
        </w:rPr>
      </w:pPr>
    </w:p>
    <w:p>
      <w:pPr>
        <w:pStyle w:val="26"/>
        <w:spacing w:line="360" w:lineRule="auto"/>
        <w:ind w:left="25" w:leftChars="12" w:firstLine="3832" w:firstLineChars="1597"/>
        <w:rPr>
          <w:rFonts w:hAnsi="宋体" w:cs="宋体"/>
          <w:sz w:val="24"/>
          <w:szCs w:val="24"/>
        </w:rPr>
      </w:pPr>
      <w:r>
        <w:rPr>
          <w:rFonts w:hint="eastAsia" w:hAnsi="宋体" w:cs="宋体"/>
          <w:sz w:val="24"/>
          <w:szCs w:val="24"/>
        </w:rPr>
        <w:t xml:space="preserve">签字（签章）：                                       </w:t>
      </w:r>
    </w:p>
    <w:p>
      <w:pPr>
        <w:pStyle w:val="26"/>
        <w:spacing w:line="360" w:lineRule="auto"/>
        <w:ind w:left="25" w:leftChars="12" w:firstLine="3832" w:firstLineChars="1597"/>
        <w:rPr>
          <w:rFonts w:hAnsi="宋体" w:cs="宋体"/>
          <w:sz w:val="24"/>
          <w:szCs w:val="24"/>
        </w:rPr>
      </w:pPr>
      <w:r>
        <w:rPr>
          <w:rFonts w:hint="eastAsia" w:hAnsi="宋体" w:cs="宋体"/>
          <w:sz w:val="24"/>
          <w:szCs w:val="24"/>
        </w:rPr>
        <w:t>公章：</w:t>
      </w:r>
    </w:p>
    <w:p>
      <w:pPr>
        <w:pStyle w:val="26"/>
        <w:snapToGrid w:val="0"/>
        <w:spacing w:line="360" w:lineRule="auto"/>
        <w:ind w:firstLine="3840" w:firstLineChars="1600"/>
        <w:rPr>
          <w:rFonts w:hAnsi="宋体" w:cs="宋体"/>
          <w:b/>
          <w:sz w:val="24"/>
          <w:szCs w:val="24"/>
        </w:rPr>
      </w:pPr>
      <w:r>
        <w:rPr>
          <w:rFonts w:hint="eastAsia" w:hAnsi="宋体" w:cs="宋体"/>
          <w:sz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26"/>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pPr>
        <w:pStyle w:val="26"/>
        <w:spacing w:line="360" w:lineRule="auto"/>
        <w:ind w:left="25" w:leftChars="12" w:firstLine="354" w:firstLineChars="147"/>
        <w:rPr>
          <w:rFonts w:ascii="楷体" w:hAnsi="楷体" w:eastAsia="楷体" w:cs="宋体"/>
          <w:b/>
          <w:bCs/>
          <w:sz w:val="24"/>
          <w:szCs w:val="24"/>
        </w:rPr>
      </w:pPr>
      <w:r>
        <w:rPr>
          <w:rFonts w:hint="eastAsia"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pPr>
        <w:pStyle w:val="26"/>
        <w:spacing w:line="360" w:lineRule="auto"/>
        <w:ind w:left="25" w:leftChars="12" w:firstLine="354" w:firstLineChars="147"/>
        <w:rPr>
          <w:rFonts w:ascii="楷体" w:hAnsi="楷体" w:eastAsia="楷体" w:cs="宋体"/>
          <w:b/>
          <w:sz w:val="24"/>
          <w:szCs w:val="24"/>
        </w:rPr>
      </w:pPr>
      <w:r>
        <w:rPr>
          <w:rFonts w:hint="eastAsia" w:ascii="楷体" w:hAnsi="楷体" w:eastAsia="楷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rPr>
          <w:rFonts w:ascii="楷体" w:hAnsi="楷体" w:eastAsia="楷体" w:cs="宋体"/>
          <w:b/>
          <w:sz w:val="24"/>
          <w:szCs w:val="24"/>
        </w:rPr>
      </w:pPr>
      <w:r>
        <w:rPr>
          <w:rFonts w:hint="eastAsia" w:ascii="楷体" w:hAnsi="楷体" w:eastAsia="楷体" w:cs="宋体"/>
          <w:b/>
          <w:sz w:val="24"/>
          <w:szCs w:val="24"/>
        </w:rPr>
        <w:t>3.质疑函的质疑事项应具体、明确，并有必要的事实依据和法律依据。</w:t>
      </w:r>
    </w:p>
    <w:p>
      <w:pPr>
        <w:pStyle w:val="26"/>
        <w:spacing w:line="360" w:lineRule="auto"/>
        <w:ind w:left="25" w:leftChars="12" w:firstLine="354" w:firstLineChars="147"/>
        <w:rPr>
          <w:rFonts w:ascii="楷体" w:hAnsi="楷体" w:eastAsia="楷体" w:cs="宋体"/>
          <w:b/>
          <w:sz w:val="24"/>
          <w:szCs w:val="24"/>
        </w:rPr>
      </w:pPr>
      <w:r>
        <w:rPr>
          <w:rFonts w:hint="eastAsia" w:ascii="楷体" w:hAnsi="楷体" w:eastAsia="楷体" w:cs="宋体"/>
          <w:b/>
          <w:sz w:val="24"/>
          <w:szCs w:val="24"/>
        </w:rPr>
        <w:t>4.质疑函的质疑请求应与质疑事项相关。</w:t>
      </w:r>
    </w:p>
    <w:p>
      <w:pPr>
        <w:pStyle w:val="26"/>
        <w:spacing w:line="360" w:lineRule="auto"/>
        <w:ind w:left="25" w:leftChars="12" w:firstLine="354" w:firstLineChars="147"/>
        <w:rPr>
          <w:rFonts w:ascii="楷体" w:hAnsi="楷体" w:eastAsia="楷体" w:cs="宋体"/>
          <w:b/>
        </w:rPr>
      </w:pPr>
      <w:r>
        <w:rPr>
          <w:rFonts w:hint="eastAsia" w:ascii="楷体" w:hAnsi="楷体" w:eastAsia="楷体" w:cs="宋体"/>
          <w:b/>
          <w:sz w:val="24"/>
          <w:szCs w:val="24"/>
        </w:rPr>
        <w:t>5.质疑供应商为法人或者其他组织的，质疑函应由法定代表人、主要负责人，或者其授权代表签字或者盖章，并加盖公章。</w:t>
      </w:r>
    </w:p>
    <w:p>
      <w:pPr>
        <w:pStyle w:val="26"/>
        <w:snapToGrid w:val="0"/>
        <w:rPr>
          <w:rFonts w:hAnsi="宋体" w:cs="宋体"/>
          <w:b/>
          <w:sz w:val="24"/>
          <w:szCs w:val="24"/>
        </w:rPr>
      </w:pPr>
    </w:p>
    <w:p>
      <w:pPr>
        <w:spacing w:line="360" w:lineRule="auto"/>
        <w:jc w:val="left"/>
        <w:rPr>
          <w:rFonts w:ascii="宋体" w:hAnsi="宋体" w:cs="宋体"/>
          <w:b/>
          <w:bCs/>
          <w:sz w:val="32"/>
          <w:szCs w:val="32"/>
        </w:rPr>
      </w:pPr>
      <w:r>
        <w:rPr>
          <w:rFonts w:hint="eastAsia" w:ascii="宋体" w:hAnsi="宋体" w:cs="宋体"/>
          <w:sz w:val="44"/>
        </w:rPr>
        <w:br w:type="page"/>
      </w:r>
      <w:r>
        <w:rPr>
          <w:rFonts w:hint="eastAsia" w:ascii="宋体" w:hAnsi="宋体" w:cs="宋体"/>
          <w:b/>
          <w:sz w:val="24"/>
        </w:rPr>
        <w:t>5.投诉书格式</w:t>
      </w:r>
    </w:p>
    <w:p>
      <w:pPr>
        <w:jc w:val="center"/>
        <w:rPr>
          <w:rFonts w:ascii="宋体" w:hAnsi="宋体" w:cs="宋体"/>
          <w:sz w:val="44"/>
          <w:szCs w:val="44"/>
        </w:rPr>
      </w:pPr>
      <w:r>
        <w:rPr>
          <w:rFonts w:hint="eastAsia" w:ascii="宋体" w:hAnsi="宋体" w:cs="宋体"/>
          <w:sz w:val="44"/>
          <w:szCs w:val="44"/>
        </w:rPr>
        <w:t>投诉书</w:t>
      </w:r>
    </w:p>
    <w:p>
      <w:pPr>
        <w:pStyle w:val="26"/>
        <w:snapToGrid w:val="0"/>
        <w:spacing w:line="440" w:lineRule="exact"/>
        <w:ind w:firstLine="482" w:firstLineChars="200"/>
        <w:rPr>
          <w:rFonts w:hAnsi="宋体" w:cs="宋体"/>
          <w:b/>
          <w:bCs/>
          <w:sz w:val="24"/>
          <w:szCs w:val="24"/>
        </w:rPr>
      </w:pPr>
    </w:p>
    <w:p>
      <w:pPr>
        <w:pStyle w:val="26"/>
        <w:snapToGrid w:val="0"/>
        <w:spacing w:line="440" w:lineRule="exact"/>
        <w:ind w:firstLine="482" w:firstLineChars="200"/>
        <w:rPr>
          <w:rFonts w:hAnsi="宋体" w:cs="宋体"/>
          <w:b/>
          <w:bCs/>
          <w:sz w:val="24"/>
          <w:szCs w:val="24"/>
        </w:rPr>
      </w:pPr>
      <w:r>
        <w:rPr>
          <w:rFonts w:hint="eastAsia" w:hAnsi="宋体" w:cs="宋体"/>
          <w:b/>
          <w:bCs/>
          <w:sz w:val="24"/>
          <w:szCs w:val="24"/>
        </w:rPr>
        <w:t>一、投诉相关主体基本情况：</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投标人：</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被投诉人1：</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被投诉人2：</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pPr>
        <w:pStyle w:val="26"/>
        <w:snapToGrid w:val="0"/>
        <w:spacing w:line="440" w:lineRule="exact"/>
        <w:ind w:firstLine="480" w:firstLineChars="200"/>
        <w:jc w:val="left"/>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pPr>
        <w:pStyle w:val="26"/>
        <w:snapToGrid w:val="0"/>
        <w:spacing w:line="440" w:lineRule="exact"/>
        <w:ind w:firstLine="482" w:firstLineChars="200"/>
        <w:rPr>
          <w:rFonts w:hAnsi="宋体" w:cs="宋体"/>
          <w:b/>
          <w:bCs/>
          <w:sz w:val="24"/>
          <w:szCs w:val="24"/>
        </w:rPr>
      </w:pPr>
      <w:r>
        <w:rPr>
          <w:rFonts w:hint="eastAsia" w:hAnsi="宋体" w:cs="宋体"/>
          <w:b/>
          <w:bCs/>
          <w:sz w:val="24"/>
          <w:szCs w:val="24"/>
        </w:rPr>
        <w:t>二、投诉项目基本情况：</w:t>
      </w:r>
    </w:p>
    <w:p>
      <w:pPr>
        <w:pStyle w:val="26"/>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6"/>
        <w:spacing w:line="440" w:lineRule="exact"/>
        <w:ind w:left="25" w:leftChars="12" w:firstLine="472" w:firstLineChars="196"/>
        <w:rPr>
          <w:rFonts w:hAnsi="宋体" w:cs="宋体"/>
          <w:b/>
          <w:sz w:val="24"/>
          <w:szCs w:val="24"/>
        </w:rPr>
      </w:pPr>
      <w:r>
        <w:rPr>
          <w:rFonts w:hint="eastAsia" w:hAnsi="宋体" w:cs="宋体"/>
          <w:b/>
          <w:sz w:val="24"/>
          <w:szCs w:val="24"/>
        </w:rPr>
        <w:t>三、质疑基本情况</w:t>
      </w:r>
    </w:p>
    <w:p>
      <w:pPr>
        <w:pStyle w:val="26"/>
        <w:spacing w:line="440" w:lineRule="exact"/>
        <w:ind w:left="25" w:leftChars="12" w:firstLine="480" w:firstLineChars="200"/>
        <w:rPr>
          <w:rFonts w:hAnsi="宋体" w:cs="宋体"/>
          <w:bCs/>
          <w:sz w:val="24"/>
          <w:szCs w:val="24"/>
          <w:u w:val="single"/>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r>
        <w:rPr>
          <w:rFonts w:hint="eastAsia" w:hAnsi="宋体" w:cs="宋体"/>
          <w:bCs/>
          <w:sz w:val="24"/>
          <w:szCs w:val="24"/>
          <w:u w:val="single"/>
        </w:rPr>
        <w:t xml:space="preserve">                                                                                      </w:t>
      </w:r>
    </w:p>
    <w:p>
      <w:pPr>
        <w:pStyle w:val="26"/>
        <w:spacing w:line="440" w:lineRule="exact"/>
        <w:rPr>
          <w:rFonts w:hAnsi="宋体" w:cs="宋体"/>
          <w:bCs/>
          <w:sz w:val="24"/>
          <w:szCs w:val="24"/>
          <w:u w:val="single"/>
        </w:rPr>
      </w:pPr>
      <w:r>
        <w:rPr>
          <w:rFonts w:hint="eastAsia" w:hAnsi="宋体" w:cs="宋体"/>
          <w:bCs/>
          <w:sz w:val="24"/>
          <w:szCs w:val="24"/>
          <w:u w:val="single"/>
        </w:rPr>
        <w:t xml:space="preserve">                                                                                      </w:t>
      </w:r>
    </w:p>
    <w:p>
      <w:pPr>
        <w:pStyle w:val="26"/>
        <w:spacing w:line="440" w:lineRule="exact"/>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pPr>
        <w:pStyle w:val="26"/>
        <w:spacing w:line="440" w:lineRule="exact"/>
        <w:ind w:left="25" w:leftChars="12" w:firstLine="472" w:firstLineChars="196"/>
        <w:rPr>
          <w:rFonts w:hAnsi="宋体" w:cs="宋体"/>
          <w:b/>
          <w:sz w:val="24"/>
          <w:szCs w:val="24"/>
        </w:rPr>
      </w:pPr>
      <w:r>
        <w:rPr>
          <w:rFonts w:hint="eastAsia" w:hAnsi="宋体" w:cs="宋体"/>
          <w:b/>
          <w:sz w:val="24"/>
          <w:szCs w:val="24"/>
        </w:rPr>
        <w:t>四、投诉事项具体内容</w:t>
      </w:r>
    </w:p>
    <w:p>
      <w:pPr>
        <w:pStyle w:val="26"/>
        <w:spacing w:line="440" w:lineRule="exact"/>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pPr>
        <w:pStyle w:val="26"/>
        <w:spacing w:line="440" w:lineRule="exact"/>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sz w:val="24"/>
          <w:szCs w:val="24"/>
        </w:rPr>
      </w:pPr>
      <w:r>
        <w:rPr>
          <w:rFonts w:hint="eastAsia" w:hAnsi="宋体" w:cs="宋体"/>
          <w:bCs/>
          <w:sz w:val="24"/>
          <w:szCs w:val="24"/>
          <w:u w:val="single"/>
        </w:rPr>
        <w:t xml:space="preserve">                                                                                        </w:t>
      </w:r>
    </w:p>
    <w:p>
      <w:pPr>
        <w:pStyle w:val="26"/>
        <w:spacing w:line="440" w:lineRule="exact"/>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pPr>
        <w:pStyle w:val="26"/>
        <w:spacing w:line="440" w:lineRule="exact"/>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26"/>
        <w:spacing w:line="440" w:lineRule="exact"/>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pPr>
        <w:pStyle w:val="26"/>
        <w:spacing w:line="440" w:lineRule="exact"/>
        <w:ind w:left="25" w:leftChars="12" w:firstLine="472" w:firstLineChars="197"/>
        <w:rPr>
          <w:rFonts w:hAnsi="宋体" w:cs="宋体"/>
          <w:bCs/>
          <w:sz w:val="24"/>
          <w:szCs w:val="24"/>
        </w:rPr>
      </w:pPr>
      <w:r>
        <w:rPr>
          <w:rFonts w:hint="eastAsia" w:hAnsi="宋体" w:cs="宋体"/>
          <w:bCs/>
          <w:sz w:val="24"/>
          <w:szCs w:val="24"/>
        </w:rPr>
        <w:t>……</w:t>
      </w:r>
    </w:p>
    <w:p>
      <w:pPr>
        <w:pStyle w:val="26"/>
        <w:spacing w:line="440" w:lineRule="exact"/>
        <w:ind w:left="25" w:leftChars="12" w:firstLine="472" w:firstLineChars="196"/>
        <w:rPr>
          <w:rFonts w:hAnsi="宋体" w:cs="宋体"/>
          <w:b/>
          <w:sz w:val="24"/>
          <w:szCs w:val="24"/>
        </w:rPr>
      </w:pPr>
      <w:r>
        <w:rPr>
          <w:rFonts w:hint="eastAsia" w:hAnsi="宋体" w:cs="宋体"/>
          <w:b/>
          <w:sz w:val="24"/>
          <w:szCs w:val="24"/>
        </w:rPr>
        <w:t>五、与投诉事项相关的投诉请求：</w:t>
      </w:r>
    </w:p>
    <w:p>
      <w:pPr>
        <w:pStyle w:val="26"/>
        <w:spacing w:line="440" w:lineRule="exact"/>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6"/>
        <w:spacing w:line="440" w:lineRule="exact"/>
        <w:ind w:left="25" w:leftChars="12" w:firstLine="352" w:firstLineChars="147"/>
        <w:rPr>
          <w:rFonts w:hAnsi="宋体" w:cs="宋体"/>
          <w:sz w:val="24"/>
          <w:szCs w:val="24"/>
        </w:rPr>
      </w:pPr>
    </w:p>
    <w:p>
      <w:pPr>
        <w:pStyle w:val="26"/>
        <w:spacing w:line="440" w:lineRule="exact"/>
        <w:ind w:left="25" w:leftChars="12" w:firstLine="5512" w:firstLineChars="2297"/>
        <w:rPr>
          <w:rFonts w:hAnsi="宋体" w:cs="宋体"/>
          <w:sz w:val="24"/>
          <w:szCs w:val="24"/>
        </w:rPr>
      </w:pPr>
      <w:r>
        <w:rPr>
          <w:rFonts w:hint="eastAsia" w:hAnsi="宋体" w:cs="宋体"/>
          <w:sz w:val="24"/>
          <w:szCs w:val="24"/>
        </w:rPr>
        <w:t xml:space="preserve">签字（签章）：                                       </w:t>
      </w:r>
    </w:p>
    <w:p>
      <w:pPr>
        <w:pStyle w:val="26"/>
        <w:spacing w:line="440" w:lineRule="exact"/>
        <w:ind w:left="25" w:leftChars="12" w:firstLine="5512" w:firstLineChars="2297"/>
        <w:rPr>
          <w:rFonts w:hAnsi="宋体" w:cs="宋体"/>
          <w:sz w:val="24"/>
          <w:szCs w:val="24"/>
        </w:rPr>
      </w:pPr>
      <w:r>
        <w:rPr>
          <w:rFonts w:hint="eastAsia" w:hAnsi="宋体" w:cs="宋体"/>
          <w:sz w:val="24"/>
          <w:szCs w:val="24"/>
        </w:rPr>
        <w:t>公章：</w:t>
      </w:r>
    </w:p>
    <w:p>
      <w:pPr>
        <w:pStyle w:val="26"/>
        <w:spacing w:line="440" w:lineRule="exact"/>
        <w:ind w:left="25" w:leftChars="12" w:firstLine="5512" w:firstLineChars="2297"/>
        <w:rPr>
          <w:rFonts w:hAnsi="宋体" w:cs="宋体"/>
          <w:sz w:val="24"/>
          <w:szCs w:val="24"/>
        </w:rPr>
      </w:pPr>
      <w:r>
        <w:rPr>
          <w:rFonts w:hint="eastAsia" w:hAnsi="宋体" w:cs="宋体"/>
          <w:sz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26"/>
        <w:spacing w:line="440" w:lineRule="exact"/>
        <w:ind w:left="25" w:leftChars="12" w:firstLine="472" w:firstLineChars="197"/>
        <w:rPr>
          <w:rFonts w:hAnsi="宋体" w:cs="宋体"/>
          <w:sz w:val="24"/>
          <w:szCs w:val="24"/>
        </w:rPr>
      </w:pPr>
      <w:r>
        <w:rPr>
          <w:rFonts w:hint="eastAsia" w:hAnsi="宋体" w:cs="宋体"/>
          <w:bCs/>
          <w:sz w:val="24"/>
          <w:szCs w:val="24"/>
        </w:rPr>
        <w:t xml:space="preserve">                                                                              </w:t>
      </w:r>
    </w:p>
    <w:p>
      <w:pPr>
        <w:pStyle w:val="26"/>
        <w:snapToGrid w:val="0"/>
        <w:spacing w:line="440" w:lineRule="exact"/>
        <w:rPr>
          <w:rFonts w:ascii="楷体" w:hAnsi="楷体" w:eastAsia="楷体" w:cs="宋体"/>
          <w:b/>
          <w:sz w:val="24"/>
          <w:szCs w:val="24"/>
        </w:rPr>
      </w:pPr>
      <w:r>
        <w:rPr>
          <w:rFonts w:hint="eastAsia" w:ascii="楷体" w:hAnsi="楷体" w:eastAsia="楷体" w:cs="宋体"/>
          <w:b/>
          <w:sz w:val="24"/>
          <w:szCs w:val="24"/>
        </w:rPr>
        <w:t>说明：</w:t>
      </w:r>
    </w:p>
    <w:p>
      <w:pPr>
        <w:pStyle w:val="26"/>
        <w:spacing w:line="440" w:lineRule="exact"/>
        <w:ind w:left="25" w:leftChars="12" w:firstLine="354" w:firstLineChars="147"/>
        <w:rPr>
          <w:rFonts w:ascii="楷体" w:hAnsi="楷体" w:eastAsia="楷体" w:cs="宋体"/>
          <w:b/>
          <w:bCs/>
          <w:sz w:val="24"/>
          <w:szCs w:val="24"/>
        </w:rPr>
      </w:pPr>
      <w:r>
        <w:rPr>
          <w:rFonts w:hint="eastAsia"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pPr>
        <w:pStyle w:val="26"/>
        <w:spacing w:line="440" w:lineRule="exact"/>
        <w:ind w:left="25" w:leftChars="12" w:firstLine="354" w:firstLineChars="147"/>
        <w:rPr>
          <w:rFonts w:ascii="楷体" w:hAnsi="楷体" w:eastAsia="楷体" w:cs="宋体"/>
          <w:b/>
          <w:sz w:val="24"/>
          <w:szCs w:val="24"/>
        </w:rPr>
      </w:pPr>
      <w:r>
        <w:rPr>
          <w:rFonts w:hint="eastAsia"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440" w:lineRule="exact"/>
        <w:ind w:left="25" w:leftChars="12" w:firstLine="354" w:firstLineChars="147"/>
        <w:rPr>
          <w:rFonts w:ascii="楷体" w:hAnsi="楷体" w:eastAsia="楷体" w:cs="宋体"/>
          <w:b/>
          <w:sz w:val="24"/>
          <w:szCs w:val="24"/>
        </w:rPr>
      </w:pPr>
      <w:r>
        <w:rPr>
          <w:rFonts w:hint="eastAsia" w:ascii="楷体" w:hAnsi="楷体" w:eastAsia="楷体" w:cs="宋体"/>
          <w:b/>
          <w:sz w:val="24"/>
          <w:szCs w:val="24"/>
        </w:rPr>
        <w:t>3.投诉书应简要列明质疑事项，质疑函、质疑答复等作为附件材料提供。</w:t>
      </w:r>
    </w:p>
    <w:p>
      <w:pPr>
        <w:pStyle w:val="26"/>
        <w:spacing w:line="440" w:lineRule="exact"/>
        <w:ind w:left="25" w:leftChars="12" w:firstLine="354" w:firstLineChars="147"/>
        <w:rPr>
          <w:rFonts w:ascii="楷体" w:hAnsi="楷体" w:eastAsia="楷体" w:cs="宋体"/>
          <w:b/>
          <w:sz w:val="24"/>
          <w:szCs w:val="24"/>
        </w:rPr>
      </w:pPr>
      <w:r>
        <w:rPr>
          <w:rFonts w:hint="eastAsia" w:ascii="楷体" w:hAnsi="楷体" w:eastAsia="楷体" w:cs="宋体"/>
          <w:b/>
          <w:sz w:val="24"/>
          <w:szCs w:val="24"/>
        </w:rPr>
        <w:t>4.投诉书的投诉事项应具体、明确，并有必要的事实依据和法律依据。</w:t>
      </w:r>
    </w:p>
    <w:p>
      <w:pPr>
        <w:pStyle w:val="26"/>
        <w:spacing w:line="440" w:lineRule="exact"/>
        <w:ind w:left="25" w:leftChars="12" w:firstLine="354" w:firstLineChars="147"/>
        <w:rPr>
          <w:rFonts w:ascii="楷体" w:hAnsi="楷体" w:eastAsia="楷体" w:cs="宋体"/>
          <w:b/>
          <w:sz w:val="24"/>
          <w:szCs w:val="24"/>
        </w:rPr>
      </w:pPr>
      <w:r>
        <w:rPr>
          <w:rFonts w:hint="eastAsia" w:ascii="楷体" w:hAnsi="楷体" w:eastAsia="楷体" w:cs="宋体"/>
          <w:b/>
          <w:sz w:val="24"/>
          <w:szCs w:val="24"/>
        </w:rPr>
        <w:t>5.投诉书的投诉请求应与投诉事项相关。</w:t>
      </w:r>
    </w:p>
    <w:p>
      <w:pPr>
        <w:pStyle w:val="26"/>
        <w:spacing w:line="440" w:lineRule="exact"/>
        <w:ind w:left="25" w:leftChars="12" w:firstLine="354" w:firstLineChars="147"/>
        <w:rPr>
          <w:rFonts w:ascii="楷体" w:hAnsi="楷体" w:eastAsia="楷体" w:cs="宋体"/>
          <w:b/>
        </w:rPr>
      </w:pPr>
      <w:r>
        <w:rPr>
          <w:rFonts w:hint="eastAsia" w:ascii="楷体" w:hAnsi="楷体" w:eastAsia="楷体" w:cs="宋体"/>
          <w:b/>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仿宋简体">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 PAGE   \* MERGEFORMAT </w:instrText>
                          </w:r>
                          <w:r>
                            <w:fldChar w:fldCharType="separate"/>
                          </w:r>
                          <w:r>
                            <w:rPr>
                              <w:lang w:val="zh-CN"/>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rPr>
                        <w:lang w:val="zh-CN"/>
                      </w:rPr>
                      <w:t>78</w:t>
                    </w:r>
                    <w:r>
                      <w:fldChar w:fldCharType="end"/>
                    </w:r>
                  </w:p>
                </w:txbxContent>
              </v:textbox>
            </v:shape>
          </w:pict>
        </mc:Fallback>
      </mc:AlternateContent>
    </w:r>
  </w:p>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PAGE   \* MERGEFORMAT</w:instrText>
                          </w:r>
                          <w:r>
                            <w:fldChar w:fldCharType="separate"/>
                          </w:r>
                          <w:r>
                            <w:rPr>
                              <w:lang w:val="zh-CN"/>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77</w:t>
                    </w:r>
                    <w:r>
                      <w:fldChar w:fldCharType="end"/>
                    </w:r>
                  </w:p>
                </w:txbxContent>
              </v:textbox>
            </v:shape>
          </w:pict>
        </mc:Fallback>
      </mc:AlternateContent>
    </w:r>
  </w:p>
  <w:p>
    <w:pPr>
      <w:pStyle w:val="32"/>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 PAGE   \* MERGEFORMAT </w:instrText>
                          </w:r>
                          <w:r>
                            <w:fldChar w:fldCharType="separate"/>
                          </w:r>
                          <w:r>
                            <w:rPr>
                              <w:lang w:val="zh-CN"/>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rPr>
                        <w:lang w:val="zh-CN"/>
                      </w:rPr>
                      <w:t>90</w:t>
                    </w:r>
                    <w:r>
                      <w:fldChar w:fldCharType="end"/>
                    </w:r>
                  </w:p>
                </w:txbxContent>
              </v:textbox>
            </v:shape>
          </w:pict>
        </mc:Fallback>
      </mc:AlternateContent>
    </w:r>
  </w:p>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F9008B"/>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CFD"/>
    <w:rsid w:val="00027C8B"/>
    <w:rsid w:val="00027CD9"/>
    <w:rsid w:val="00030242"/>
    <w:rsid w:val="00030B06"/>
    <w:rsid w:val="000314EA"/>
    <w:rsid w:val="0003183A"/>
    <w:rsid w:val="00031CDC"/>
    <w:rsid w:val="00032062"/>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C37"/>
    <w:rsid w:val="00077E81"/>
    <w:rsid w:val="000804EF"/>
    <w:rsid w:val="00080558"/>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B91"/>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3C"/>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CAA"/>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950"/>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D4D"/>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A24"/>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37E0F"/>
    <w:rsid w:val="00140082"/>
    <w:rsid w:val="001400C5"/>
    <w:rsid w:val="00140175"/>
    <w:rsid w:val="00140757"/>
    <w:rsid w:val="00140D07"/>
    <w:rsid w:val="0014194E"/>
    <w:rsid w:val="00141A3A"/>
    <w:rsid w:val="00141A7C"/>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287"/>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4A86"/>
    <w:rsid w:val="001857FB"/>
    <w:rsid w:val="00185DA6"/>
    <w:rsid w:val="00185F64"/>
    <w:rsid w:val="00186096"/>
    <w:rsid w:val="001862FE"/>
    <w:rsid w:val="001864AC"/>
    <w:rsid w:val="00186A33"/>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8A8"/>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93D"/>
    <w:rsid w:val="001F2BF9"/>
    <w:rsid w:val="001F3AF2"/>
    <w:rsid w:val="001F4BFC"/>
    <w:rsid w:val="001F6008"/>
    <w:rsid w:val="001F604B"/>
    <w:rsid w:val="001F641B"/>
    <w:rsid w:val="001F6D4D"/>
    <w:rsid w:val="001F78EA"/>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9D6"/>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16E"/>
    <w:rsid w:val="00244365"/>
    <w:rsid w:val="0024459A"/>
    <w:rsid w:val="002446A3"/>
    <w:rsid w:val="00244771"/>
    <w:rsid w:val="00244903"/>
    <w:rsid w:val="00244AFB"/>
    <w:rsid w:val="00244B97"/>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663B"/>
    <w:rsid w:val="00287E20"/>
    <w:rsid w:val="00287EB5"/>
    <w:rsid w:val="0029110F"/>
    <w:rsid w:val="00291492"/>
    <w:rsid w:val="00291527"/>
    <w:rsid w:val="002916B4"/>
    <w:rsid w:val="0029199A"/>
    <w:rsid w:val="00291BBE"/>
    <w:rsid w:val="00291FEB"/>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D51"/>
    <w:rsid w:val="00311B36"/>
    <w:rsid w:val="00311B51"/>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187"/>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BC"/>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4E65"/>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3A3"/>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8FF"/>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1E9"/>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562"/>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727"/>
    <w:rsid w:val="00621803"/>
    <w:rsid w:val="00621A34"/>
    <w:rsid w:val="006220F1"/>
    <w:rsid w:val="00622E22"/>
    <w:rsid w:val="00623E46"/>
    <w:rsid w:val="00624604"/>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9EE"/>
    <w:rsid w:val="00640BF7"/>
    <w:rsid w:val="00640F55"/>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5D6"/>
    <w:rsid w:val="00691742"/>
    <w:rsid w:val="00691DEE"/>
    <w:rsid w:val="00692242"/>
    <w:rsid w:val="0069236E"/>
    <w:rsid w:val="00692704"/>
    <w:rsid w:val="00692E67"/>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657"/>
    <w:rsid w:val="006B7C9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5E7"/>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6CFE"/>
    <w:rsid w:val="00747117"/>
    <w:rsid w:val="007479C2"/>
    <w:rsid w:val="00747B0D"/>
    <w:rsid w:val="00751452"/>
    <w:rsid w:val="007521A5"/>
    <w:rsid w:val="00752E99"/>
    <w:rsid w:val="00753959"/>
    <w:rsid w:val="00753DA8"/>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4576"/>
    <w:rsid w:val="007745DA"/>
    <w:rsid w:val="0077508A"/>
    <w:rsid w:val="00775475"/>
    <w:rsid w:val="00775567"/>
    <w:rsid w:val="00775B4E"/>
    <w:rsid w:val="00775E0D"/>
    <w:rsid w:val="00776343"/>
    <w:rsid w:val="00776416"/>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71F"/>
    <w:rsid w:val="007E5DD7"/>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220F"/>
    <w:rsid w:val="00802597"/>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475"/>
    <w:rsid w:val="00890A7C"/>
    <w:rsid w:val="00890B04"/>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1ADD"/>
    <w:rsid w:val="008A20CA"/>
    <w:rsid w:val="008A239B"/>
    <w:rsid w:val="008A2505"/>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0B"/>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43B"/>
    <w:rsid w:val="00941503"/>
    <w:rsid w:val="0094187D"/>
    <w:rsid w:val="009423ED"/>
    <w:rsid w:val="0094272E"/>
    <w:rsid w:val="00942C90"/>
    <w:rsid w:val="00942F29"/>
    <w:rsid w:val="00942FB6"/>
    <w:rsid w:val="009430E1"/>
    <w:rsid w:val="009434EB"/>
    <w:rsid w:val="00943EA6"/>
    <w:rsid w:val="009443F2"/>
    <w:rsid w:val="009448F2"/>
    <w:rsid w:val="009451E0"/>
    <w:rsid w:val="0094524B"/>
    <w:rsid w:val="00945591"/>
    <w:rsid w:val="009456E3"/>
    <w:rsid w:val="00945759"/>
    <w:rsid w:val="00945925"/>
    <w:rsid w:val="009466E9"/>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C0C"/>
    <w:rsid w:val="009A5D40"/>
    <w:rsid w:val="009A5E10"/>
    <w:rsid w:val="009A6600"/>
    <w:rsid w:val="009A6665"/>
    <w:rsid w:val="009A743F"/>
    <w:rsid w:val="009A74F7"/>
    <w:rsid w:val="009B00F2"/>
    <w:rsid w:val="009B0C1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55"/>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65"/>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634"/>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6006"/>
    <w:rsid w:val="00BB6195"/>
    <w:rsid w:val="00BB61A3"/>
    <w:rsid w:val="00BB67EA"/>
    <w:rsid w:val="00BB707E"/>
    <w:rsid w:val="00BB7568"/>
    <w:rsid w:val="00BB75E4"/>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EF8"/>
    <w:rsid w:val="00BD5F6D"/>
    <w:rsid w:val="00BD6C5E"/>
    <w:rsid w:val="00BD6D43"/>
    <w:rsid w:val="00BD7090"/>
    <w:rsid w:val="00BD7490"/>
    <w:rsid w:val="00BD767F"/>
    <w:rsid w:val="00BD7DA0"/>
    <w:rsid w:val="00BE07D1"/>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E7F"/>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3E0"/>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612D"/>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3C"/>
    <w:rsid w:val="00CE3700"/>
    <w:rsid w:val="00CE3B69"/>
    <w:rsid w:val="00CE4559"/>
    <w:rsid w:val="00CE4B49"/>
    <w:rsid w:val="00CE5118"/>
    <w:rsid w:val="00CE53F5"/>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61D3"/>
    <w:rsid w:val="00D27086"/>
    <w:rsid w:val="00D2775C"/>
    <w:rsid w:val="00D27A4C"/>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829"/>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6"/>
    <w:rsid w:val="00D8103B"/>
    <w:rsid w:val="00D8111B"/>
    <w:rsid w:val="00D81242"/>
    <w:rsid w:val="00D812D2"/>
    <w:rsid w:val="00D81C87"/>
    <w:rsid w:val="00D81CC2"/>
    <w:rsid w:val="00D82C80"/>
    <w:rsid w:val="00D82D02"/>
    <w:rsid w:val="00D82D0F"/>
    <w:rsid w:val="00D834A5"/>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0E1"/>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B8"/>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83E"/>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B67"/>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03B"/>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BA1"/>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1E8"/>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3EA0"/>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DD"/>
    <w:rsid w:val="00F44D6A"/>
    <w:rsid w:val="00F44DB8"/>
    <w:rsid w:val="00F455C0"/>
    <w:rsid w:val="00F45760"/>
    <w:rsid w:val="00F45925"/>
    <w:rsid w:val="00F46BA6"/>
    <w:rsid w:val="00F46C97"/>
    <w:rsid w:val="00F4703E"/>
    <w:rsid w:val="00F4775F"/>
    <w:rsid w:val="00F47824"/>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77BA5"/>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49D"/>
    <w:rsid w:val="00F94609"/>
    <w:rsid w:val="00F94F16"/>
    <w:rsid w:val="00F95182"/>
    <w:rsid w:val="00F957D2"/>
    <w:rsid w:val="00F95D94"/>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195B"/>
    <w:rsid w:val="00FD2315"/>
    <w:rsid w:val="00FD29A7"/>
    <w:rsid w:val="00FD2B15"/>
    <w:rsid w:val="00FD3092"/>
    <w:rsid w:val="00FD3D48"/>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7142"/>
    <w:rsid w:val="00FD750F"/>
    <w:rsid w:val="00FE011C"/>
    <w:rsid w:val="00FE0458"/>
    <w:rsid w:val="00FE07DC"/>
    <w:rsid w:val="00FE08FB"/>
    <w:rsid w:val="00FE1116"/>
    <w:rsid w:val="00FE1AE9"/>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37738D8"/>
    <w:rsid w:val="04272850"/>
    <w:rsid w:val="047B2AA8"/>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2685FCD"/>
    <w:rsid w:val="128D191E"/>
    <w:rsid w:val="12AA2B77"/>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4605E5"/>
    <w:rsid w:val="1AFB2E83"/>
    <w:rsid w:val="1B3121E7"/>
    <w:rsid w:val="1BC305D3"/>
    <w:rsid w:val="1BF679EE"/>
    <w:rsid w:val="1CD55680"/>
    <w:rsid w:val="1D15446A"/>
    <w:rsid w:val="1D321E13"/>
    <w:rsid w:val="1DA717A4"/>
    <w:rsid w:val="1DBC044E"/>
    <w:rsid w:val="1DE70498"/>
    <w:rsid w:val="1EA57C81"/>
    <w:rsid w:val="1F1A3993"/>
    <w:rsid w:val="1F4849CA"/>
    <w:rsid w:val="1F4A101C"/>
    <w:rsid w:val="1F873477"/>
    <w:rsid w:val="1FE25B40"/>
    <w:rsid w:val="20511755"/>
    <w:rsid w:val="20A9456C"/>
    <w:rsid w:val="20B00655"/>
    <w:rsid w:val="21455F84"/>
    <w:rsid w:val="217D4EBE"/>
    <w:rsid w:val="21B10E65"/>
    <w:rsid w:val="22447D7B"/>
    <w:rsid w:val="22552F34"/>
    <w:rsid w:val="232A6D75"/>
    <w:rsid w:val="24131ED5"/>
    <w:rsid w:val="24977600"/>
    <w:rsid w:val="24B831E2"/>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4035F2"/>
    <w:rsid w:val="28553930"/>
    <w:rsid w:val="292F5620"/>
    <w:rsid w:val="297B0CF7"/>
    <w:rsid w:val="2B1B3318"/>
    <w:rsid w:val="2B303A78"/>
    <w:rsid w:val="2B822DA1"/>
    <w:rsid w:val="2BE13903"/>
    <w:rsid w:val="2C3D6859"/>
    <w:rsid w:val="2C6E08C2"/>
    <w:rsid w:val="2D852A2E"/>
    <w:rsid w:val="2E606C4B"/>
    <w:rsid w:val="2EA133AF"/>
    <w:rsid w:val="2EDD2DD9"/>
    <w:rsid w:val="2EED2E72"/>
    <w:rsid w:val="2F723467"/>
    <w:rsid w:val="2F922149"/>
    <w:rsid w:val="2FED5B4B"/>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323FD7"/>
    <w:rsid w:val="495B5688"/>
    <w:rsid w:val="4AD04C95"/>
    <w:rsid w:val="4B5C05B0"/>
    <w:rsid w:val="4B8F3EAC"/>
    <w:rsid w:val="4C12409B"/>
    <w:rsid w:val="4D5601C7"/>
    <w:rsid w:val="4D774028"/>
    <w:rsid w:val="4D84279B"/>
    <w:rsid w:val="4E34228F"/>
    <w:rsid w:val="4EAC5711"/>
    <w:rsid w:val="4EBA57DB"/>
    <w:rsid w:val="4F4E6379"/>
    <w:rsid w:val="4FA87897"/>
    <w:rsid w:val="506C74F2"/>
    <w:rsid w:val="509F276C"/>
    <w:rsid w:val="50AC1958"/>
    <w:rsid w:val="51B2004B"/>
    <w:rsid w:val="51BD7D15"/>
    <w:rsid w:val="52BF6E89"/>
    <w:rsid w:val="539834E7"/>
    <w:rsid w:val="53B80B00"/>
    <w:rsid w:val="53D67233"/>
    <w:rsid w:val="54556AEA"/>
    <w:rsid w:val="55131A57"/>
    <w:rsid w:val="55622629"/>
    <w:rsid w:val="557958E4"/>
    <w:rsid w:val="55CE626F"/>
    <w:rsid w:val="563B4C0B"/>
    <w:rsid w:val="568E4DA2"/>
    <w:rsid w:val="57593CE3"/>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7C65D0"/>
    <w:rsid w:val="5FCB7293"/>
    <w:rsid w:val="600452D7"/>
    <w:rsid w:val="60113A80"/>
    <w:rsid w:val="606478FC"/>
    <w:rsid w:val="60FC6105"/>
    <w:rsid w:val="617B2CF6"/>
    <w:rsid w:val="61FD5876"/>
    <w:rsid w:val="62093465"/>
    <w:rsid w:val="62315204"/>
    <w:rsid w:val="62920206"/>
    <w:rsid w:val="62B8336A"/>
    <w:rsid w:val="62FC582A"/>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69636B4"/>
    <w:rsid w:val="672A0BC3"/>
    <w:rsid w:val="67AF7FBD"/>
    <w:rsid w:val="67B339ED"/>
    <w:rsid w:val="687775B2"/>
    <w:rsid w:val="69392B0D"/>
    <w:rsid w:val="697A2199"/>
    <w:rsid w:val="6A1B14A7"/>
    <w:rsid w:val="6AD32BB4"/>
    <w:rsid w:val="6AE5012B"/>
    <w:rsid w:val="6AF40D47"/>
    <w:rsid w:val="6B241A17"/>
    <w:rsid w:val="6B7636D8"/>
    <w:rsid w:val="6C9853D0"/>
    <w:rsid w:val="6DF30B28"/>
    <w:rsid w:val="6E1148C4"/>
    <w:rsid w:val="6E713CCA"/>
    <w:rsid w:val="6E81596A"/>
    <w:rsid w:val="6E914282"/>
    <w:rsid w:val="6E9C0F6F"/>
    <w:rsid w:val="6F0E4EC3"/>
    <w:rsid w:val="6FCB013A"/>
    <w:rsid w:val="70557737"/>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72207AC"/>
    <w:rsid w:val="77540081"/>
    <w:rsid w:val="77AA57AB"/>
    <w:rsid w:val="781A799C"/>
    <w:rsid w:val="784B4C85"/>
    <w:rsid w:val="793623C2"/>
    <w:rsid w:val="79723BD2"/>
    <w:rsid w:val="79E537AF"/>
    <w:rsid w:val="7AAA36FF"/>
    <w:rsid w:val="7B1538AF"/>
    <w:rsid w:val="7C9C4E59"/>
    <w:rsid w:val="7CF16C56"/>
    <w:rsid w:val="7D1A5E32"/>
    <w:rsid w:val="7D327E74"/>
    <w:rsid w:val="7D391B9A"/>
    <w:rsid w:val="7DFA765C"/>
    <w:rsid w:val="7E2F1D63"/>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libri Light" w:hAnsi="Calibri Light" w:eastAsia="Arial Unicode MS"/>
      <w:b/>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2"/>
    <w:unhideWhenUsed/>
    <w:qFormat/>
    <w:uiPriority w:val="0"/>
    <w:pPr>
      <w:shd w:val="clear" w:color="auto" w:fill="000080"/>
    </w:pPr>
    <w:rPr>
      <w:rFonts w:hint="eastAsia" w:ascii="宋体" w:hAnsi="宋体"/>
      <w:kern w:val="0"/>
      <w:sz w:val="20"/>
      <w:szCs w:val="20"/>
    </w:rPr>
  </w:style>
  <w:style w:type="paragraph" w:styleId="17">
    <w:name w:val="annotation text"/>
    <w:basedOn w:val="1"/>
    <w:link w:val="83"/>
    <w:unhideWhenUsed/>
    <w:qFormat/>
    <w:uiPriority w:val="0"/>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next w:val="20"/>
    <w:link w:val="85"/>
    <w:qFormat/>
    <w:uiPriority w:val="99"/>
    <w:pPr>
      <w:spacing w:line="380" w:lineRule="exact"/>
    </w:pPr>
    <w:rPr>
      <w:kern w:val="0"/>
      <w:sz w:val="24"/>
    </w:rPr>
  </w:style>
  <w:style w:type="paragraph" w:styleId="20">
    <w:name w:val="Body Text First Indent"/>
    <w:basedOn w:val="19"/>
    <w:next w:val="1"/>
    <w:qFormat/>
    <w:uiPriority w:val="0"/>
    <w:pPr>
      <w:spacing w:after="120" w:line="240" w:lineRule="auto"/>
      <w:ind w:firstLine="420" w:firstLineChars="100"/>
    </w:pPr>
    <w:rPr>
      <w:sz w:val="21"/>
    </w:rPr>
  </w:style>
  <w:style w:type="paragraph" w:styleId="21">
    <w:name w:val="Body Text Indent"/>
    <w:basedOn w:val="1"/>
    <w:link w:val="86"/>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
    <w:link w:val="87"/>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88"/>
    <w:qFormat/>
    <w:uiPriority w:val="0"/>
    <w:pPr>
      <w:ind w:left="100" w:leftChars="2500"/>
    </w:pPr>
    <w:rPr>
      <w:rFonts w:ascii="宋体" w:hAnsi="Courier New"/>
      <w:kern w:val="0"/>
      <w:sz w:val="20"/>
      <w:szCs w:val="21"/>
    </w:rPr>
  </w:style>
  <w:style w:type="paragraph" w:styleId="29">
    <w:name w:val="Body Text Indent 2"/>
    <w:basedOn w:val="1"/>
    <w:link w:val="89"/>
    <w:qFormat/>
    <w:uiPriority w:val="0"/>
    <w:pPr>
      <w:ind w:firstLine="630"/>
    </w:pPr>
    <w:rPr>
      <w:kern w:val="0"/>
      <w:sz w:val="32"/>
      <w:szCs w:val="20"/>
    </w:rPr>
  </w:style>
  <w:style w:type="paragraph" w:styleId="30">
    <w:name w:val="endnote text"/>
    <w:basedOn w:val="1"/>
    <w:link w:val="90"/>
    <w:unhideWhenUsed/>
    <w:qFormat/>
    <w:uiPriority w:val="99"/>
    <w:pPr>
      <w:snapToGrid w:val="0"/>
      <w:jc w:val="left"/>
    </w:pPr>
  </w:style>
  <w:style w:type="paragraph" w:styleId="31">
    <w:name w:val="Balloon Text"/>
    <w:basedOn w:val="1"/>
    <w:link w:val="91"/>
    <w:semiHidden/>
    <w:qFormat/>
    <w:uiPriority w:val="0"/>
    <w:rPr>
      <w:kern w:val="0"/>
      <w:sz w:val="18"/>
      <w:szCs w:val="18"/>
    </w:rPr>
  </w:style>
  <w:style w:type="paragraph" w:styleId="32">
    <w:name w:val="footer"/>
    <w:basedOn w:val="1"/>
    <w:link w:val="92"/>
    <w:unhideWhenUsed/>
    <w:qFormat/>
    <w:uiPriority w:val="99"/>
    <w:pPr>
      <w:tabs>
        <w:tab w:val="center" w:pos="4153"/>
        <w:tab w:val="right" w:pos="8306"/>
      </w:tabs>
      <w:snapToGrid w:val="0"/>
      <w:jc w:val="left"/>
    </w:pPr>
    <w:rPr>
      <w:kern w:val="0"/>
      <w:sz w:val="18"/>
      <w:szCs w:val="18"/>
    </w:rPr>
  </w:style>
  <w:style w:type="paragraph" w:styleId="33">
    <w:name w:val="header"/>
    <w:basedOn w:val="1"/>
    <w:link w:val="93"/>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94"/>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5"/>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96"/>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97"/>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98"/>
    <w:unhideWhenUsed/>
    <w:qFormat/>
    <w:uiPriority w:val="99"/>
    <w:rPr>
      <w:b/>
      <w:bCs/>
    </w:rPr>
  </w:style>
  <w:style w:type="paragraph" w:styleId="47">
    <w:name w:val="Body Text First Indent 2"/>
    <w:basedOn w:val="21"/>
    <w:next w:val="1"/>
    <w:qFormat/>
    <w:uiPriority w:val="0"/>
    <w:pPr>
      <w:spacing w:after="120"/>
      <w:ind w:left="420" w:leftChars="200" w:firstLine="420" w:firstLineChars="200"/>
    </w:pPr>
    <w:rPr>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qFormat/>
    <w:uiPriority w:val="99"/>
    <w:rPr>
      <w:color w:val="000000"/>
      <w:u w:val="non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Char1"/>
    <w:basedOn w:val="1"/>
    <w:qFormat/>
    <w:uiPriority w:val="0"/>
    <w:rPr>
      <w:szCs w:val="21"/>
    </w:rPr>
  </w:style>
  <w:style w:type="paragraph" w:customStyle="1" w:styleId="59">
    <w:name w:val="_Style 56"/>
    <w:basedOn w:val="1"/>
    <w:qFormat/>
    <w:uiPriority w:val="34"/>
    <w:pPr>
      <w:ind w:firstLine="420" w:firstLineChars="200"/>
    </w:pPr>
  </w:style>
  <w:style w:type="paragraph" w:customStyle="1" w:styleId="6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3">
    <w:name w:val="纯文本1"/>
    <w:basedOn w:val="1"/>
    <w:qFormat/>
    <w:uiPriority w:val="0"/>
    <w:rPr>
      <w:rFonts w:ascii="宋体" w:hAnsi="Courier New" w:cs="Century"/>
      <w:szCs w:val="21"/>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6">
    <w:name w:val="表格"/>
    <w:basedOn w:val="1"/>
    <w:qFormat/>
    <w:uiPriority w:val="0"/>
    <w:pPr>
      <w:spacing w:line="400" w:lineRule="exact"/>
    </w:pPr>
    <w:rPr>
      <w:sz w:val="24"/>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正文首行缩进两字符"/>
    <w:basedOn w:val="1"/>
    <w:qFormat/>
    <w:uiPriority w:val="0"/>
    <w:pPr>
      <w:spacing w:line="360" w:lineRule="auto"/>
      <w:ind w:firstLine="200" w:firstLineChars="200"/>
    </w:p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列表段落1"/>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标题 1 字符1"/>
    <w:link w:val="3"/>
    <w:qFormat/>
    <w:uiPriority w:val="0"/>
    <w:rPr>
      <w:rFonts w:ascii="Times New Roman" w:hAnsi="Times New Roman" w:eastAsia="宋体" w:cs="Times New Roman"/>
      <w:b/>
      <w:bCs/>
      <w:kern w:val="44"/>
      <w:sz w:val="44"/>
      <w:szCs w:val="44"/>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3 字符"/>
    <w:link w:val="5"/>
    <w:qFormat/>
    <w:uiPriority w:val="0"/>
    <w:rPr>
      <w:rFonts w:ascii="Times New Roman" w:hAnsi="Times New Roman" w:eastAsia="宋体" w:cs="Times New Roman"/>
      <w:b/>
      <w:bCs/>
      <w:sz w:val="32"/>
      <w:szCs w:val="32"/>
    </w:rPr>
  </w:style>
  <w:style w:type="character" w:customStyle="1" w:styleId="77">
    <w:name w:val="标题 5 字符"/>
    <w:link w:val="7"/>
    <w:qFormat/>
    <w:uiPriority w:val="0"/>
    <w:rPr>
      <w:b/>
      <w:kern w:val="2"/>
      <w:sz w:val="28"/>
      <w:szCs w:val="24"/>
    </w:rPr>
  </w:style>
  <w:style w:type="character" w:customStyle="1" w:styleId="78">
    <w:name w:val="标题 6 字符"/>
    <w:link w:val="9"/>
    <w:qFormat/>
    <w:uiPriority w:val="0"/>
    <w:rPr>
      <w:rFonts w:ascii="Arial" w:hAnsi="Arial" w:eastAsia="黑体"/>
      <w:b/>
      <w:kern w:val="2"/>
      <w:sz w:val="24"/>
      <w:szCs w:val="24"/>
    </w:rPr>
  </w:style>
  <w:style w:type="character" w:customStyle="1" w:styleId="79">
    <w:name w:val="标题 7 字符"/>
    <w:link w:val="10"/>
    <w:qFormat/>
    <w:uiPriority w:val="0"/>
    <w:rPr>
      <w:rFonts w:ascii="Times New Roman" w:hAnsi="Times New Roman"/>
      <w:b/>
      <w:kern w:val="2"/>
      <w:sz w:val="24"/>
      <w:szCs w:val="24"/>
    </w:rPr>
  </w:style>
  <w:style w:type="character" w:customStyle="1" w:styleId="80">
    <w:name w:val="标题 8 字符"/>
    <w:link w:val="11"/>
    <w:qFormat/>
    <w:uiPriority w:val="0"/>
    <w:rPr>
      <w:rFonts w:ascii="Arial" w:hAnsi="Arial" w:eastAsia="黑体"/>
      <w:kern w:val="2"/>
      <w:sz w:val="24"/>
      <w:szCs w:val="24"/>
    </w:rPr>
  </w:style>
  <w:style w:type="character" w:customStyle="1" w:styleId="81">
    <w:name w:val="标题 9 字符"/>
    <w:link w:val="12"/>
    <w:qFormat/>
    <w:uiPriority w:val="0"/>
    <w:rPr>
      <w:rFonts w:ascii="Arial" w:hAnsi="Arial" w:eastAsia="黑体"/>
      <w:kern w:val="2"/>
      <w:sz w:val="21"/>
      <w:szCs w:val="24"/>
    </w:rPr>
  </w:style>
  <w:style w:type="character" w:customStyle="1" w:styleId="82">
    <w:name w:val="文档结构图 字符"/>
    <w:link w:val="16"/>
    <w:qFormat/>
    <w:uiPriority w:val="0"/>
    <w:rPr>
      <w:rFonts w:hint="eastAsia" w:ascii="宋体" w:hAnsi="宋体" w:eastAsia="宋体" w:cs="宋体"/>
    </w:rPr>
  </w:style>
  <w:style w:type="character" w:customStyle="1" w:styleId="83">
    <w:name w:val="批注文字 字符2"/>
    <w:link w:val="17"/>
    <w:qFormat/>
    <w:uiPriority w:val="0"/>
    <w:rPr>
      <w:rFonts w:ascii="Times New Roman" w:hAnsi="Times New Roman"/>
      <w:kern w:val="2"/>
      <w:sz w:val="21"/>
      <w:szCs w:val="24"/>
    </w:rPr>
  </w:style>
  <w:style w:type="character" w:customStyle="1" w:styleId="84">
    <w:name w:val="正文文本 3 字符"/>
    <w:link w:val="18"/>
    <w:qFormat/>
    <w:uiPriority w:val="0"/>
    <w:rPr>
      <w:rFonts w:ascii="Times New Roman" w:hAnsi="Times New Roman" w:eastAsia="宋体" w:cs="Times New Roman"/>
      <w:b/>
      <w:bCs/>
      <w:sz w:val="24"/>
      <w:szCs w:val="24"/>
    </w:rPr>
  </w:style>
  <w:style w:type="character" w:customStyle="1" w:styleId="85">
    <w:name w:val="正文文本 字符"/>
    <w:link w:val="19"/>
    <w:qFormat/>
    <w:uiPriority w:val="99"/>
    <w:rPr>
      <w:rFonts w:ascii="Times New Roman" w:hAnsi="Times New Roman" w:eastAsia="宋体" w:cs="Times New Roman"/>
      <w:sz w:val="24"/>
      <w:szCs w:val="24"/>
    </w:rPr>
  </w:style>
  <w:style w:type="character" w:customStyle="1" w:styleId="86">
    <w:name w:val="正文文本缩进 字符1"/>
    <w:link w:val="21"/>
    <w:qFormat/>
    <w:uiPriority w:val="0"/>
    <w:rPr>
      <w:rFonts w:ascii="仿宋_GB2312" w:hAnsi="Times New Roman" w:eastAsia="仿宋_GB2312" w:cs="Times New Roman"/>
      <w:sz w:val="32"/>
      <w:szCs w:val="20"/>
    </w:rPr>
  </w:style>
  <w:style w:type="character" w:customStyle="1" w:styleId="87">
    <w:name w:val="纯文本 字符2"/>
    <w:link w:val="26"/>
    <w:qFormat/>
    <w:uiPriority w:val="0"/>
    <w:rPr>
      <w:rFonts w:ascii="宋体" w:hAnsi="Courier New" w:eastAsia="宋体" w:cs="Courier New"/>
      <w:szCs w:val="21"/>
    </w:rPr>
  </w:style>
  <w:style w:type="character" w:customStyle="1" w:styleId="88">
    <w:name w:val="日期 字符"/>
    <w:link w:val="28"/>
    <w:qFormat/>
    <w:uiPriority w:val="0"/>
    <w:rPr>
      <w:rFonts w:ascii="宋体" w:hAnsi="Courier New" w:eastAsia="宋体" w:cs="Courier New"/>
      <w:szCs w:val="21"/>
    </w:rPr>
  </w:style>
  <w:style w:type="character" w:customStyle="1" w:styleId="89">
    <w:name w:val="正文文本缩进 2 字符"/>
    <w:link w:val="29"/>
    <w:qFormat/>
    <w:uiPriority w:val="0"/>
    <w:rPr>
      <w:rFonts w:ascii="Times New Roman" w:hAnsi="Times New Roman" w:eastAsia="宋体" w:cs="Times New Roman"/>
      <w:sz w:val="32"/>
      <w:szCs w:val="20"/>
    </w:rPr>
  </w:style>
  <w:style w:type="character" w:customStyle="1" w:styleId="90">
    <w:name w:val="尾注文本 字符"/>
    <w:link w:val="30"/>
    <w:semiHidden/>
    <w:qFormat/>
    <w:uiPriority w:val="99"/>
    <w:rPr>
      <w:rFonts w:ascii="Times New Roman" w:hAnsi="Times New Roman"/>
      <w:kern w:val="2"/>
      <w:sz w:val="21"/>
      <w:szCs w:val="24"/>
    </w:rPr>
  </w:style>
  <w:style w:type="character" w:customStyle="1" w:styleId="91">
    <w:name w:val="批注框文本 字符"/>
    <w:link w:val="31"/>
    <w:semiHidden/>
    <w:qFormat/>
    <w:uiPriority w:val="0"/>
    <w:rPr>
      <w:rFonts w:ascii="Times New Roman" w:hAnsi="Times New Roman" w:eastAsia="宋体" w:cs="Times New Roman"/>
      <w:sz w:val="18"/>
      <w:szCs w:val="18"/>
    </w:rPr>
  </w:style>
  <w:style w:type="character" w:customStyle="1" w:styleId="92">
    <w:name w:val="页脚 字符1"/>
    <w:link w:val="32"/>
    <w:qFormat/>
    <w:uiPriority w:val="99"/>
    <w:rPr>
      <w:sz w:val="18"/>
      <w:szCs w:val="18"/>
    </w:rPr>
  </w:style>
  <w:style w:type="character" w:customStyle="1" w:styleId="93">
    <w:name w:val="页眉 字符"/>
    <w:link w:val="33"/>
    <w:qFormat/>
    <w:uiPriority w:val="99"/>
    <w:rPr>
      <w:rFonts w:ascii="Times New Roman" w:hAnsi="Times New Roman"/>
      <w:kern w:val="2"/>
      <w:sz w:val="18"/>
      <w:szCs w:val="18"/>
    </w:rPr>
  </w:style>
  <w:style w:type="character" w:customStyle="1" w:styleId="94">
    <w:name w:val="脚注文本 字符"/>
    <w:link w:val="37"/>
    <w:semiHidden/>
    <w:qFormat/>
    <w:uiPriority w:val="99"/>
    <w:rPr>
      <w:rFonts w:ascii="Times New Roman" w:hAnsi="Times New Roman"/>
      <w:kern w:val="2"/>
      <w:sz w:val="18"/>
      <w:szCs w:val="18"/>
    </w:rPr>
  </w:style>
  <w:style w:type="character" w:customStyle="1" w:styleId="95">
    <w:name w:val="正文文本缩进 3 字符"/>
    <w:link w:val="39"/>
    <w:qFormat/>
    <w:uiPriority w:val="0"/>
    <w:rPr>
      <w:rFonts w:ascii="Times New Roman" w:hAnsi="Times New Roman" w:eastAsia="宋体" w:cs="Times New Roman"/>
      <w:sz w:val="16"/>
      <w:szCs w:val="16"/>
    </w:rPr>
  </w:style>
  <w:style w:type="character" w:customStyle="1" w:styleId="96">
    <w:name w:val="正文文本 2 字符"/>
    <w:link w:val="42"/>
    <w:qFormat/>
    <w:uiPriority w:val="0"/>
    <w:rPr>
      <w:rFonts w:ascii="Times New Roman" w:hAnsi="Times New Roman" w:eastAsia="宋体" w:cs="Times New Roman"/>
      <w:szCs w:val="24"/>
    </w:rPr>
  </w:style>
  <w:style w:type="character" w:customStyle="1" w:styleId="97">
    <w:name w:val="标题 字符"/>
    <w:link w:val="45"/>
    <w:qFormat/>
    <w:uiPriority w:val="10"/>
    <w:rPr>
      <w:rFonts w:ascii="Cambria" w:hAnsi="Cambria" w:cs="Times New Roman"/>
      <w:b/>
      <w:bCs/>
      <w:kern w:val="2"/>
      <w:sz w:val="32"/>
      <w:szCs w:val="32"/>
    </w:rPr>
  </w:style>
  <w:style w:type="character" w:customStyle="1" w:styleId="98">
    <w:name w:val="批注主题 字符"/>
    <w:link w:val="46"/>
    <w:semiHidden/>
    <w:qFormat/>
    <w:uiPriority w:val="99"/>
    <w:rPr>
      <w:rFonts w:ascii="Times New Roman" w:hAnsi="Times New Roman"/>
      <w:b/>
      <w:bCs/>
      <w:kern w:val="2"/>
      <w:sz w:val="21"/>
      <w:szCs w:val="24"/>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批注文字 字符"/>
    <w:qFormat/>
    <w:uiPriority w:val="0"/>
    <w:rPr>
      <w:rFonts w:ascii="Times New Roman" w:hAnsi="Times New Roman"/>
      <w:kern w:val="2"/>
      <w:sz w:val="21"/>
      <w:szCs w:val="24"/>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纯文本 字符"/>
    <w:qFormat/>
    <w:uiPriority w:val="0"/>
    <w:rPr>
      <w:rFonts w:ascii="宋体" w:hAnsi="Courier New" w:eastAsia="宋体" w:cs="Courier New"/>
      <w:szCs w:val="21"/>
    </w:rPr>
  </w:style>
  <w:style w:type="character" w:customStyle="1" w:styleId="113">
    <w:name w:val="headline-content4"/>
    <w:qFormat/>
    <w:uiPriority w:val="0"/>
  </w:style>
  <w:style w:type="character" w:customStyle="1" w:styleId="11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5">
    <w:name w:val="正文文本缩进 字符"/>
    <w:qFormat/>
    <w:uiPriority w:val="0"/>
    <w:rPr>
      <w:rFonts w:ascii="仿宋_GB2312" w:hAnsi="Times New Roman" w:eastAsia="仿宋_GB2312" w:cs="Times New Roman"/>
      <w:sz w:val="32"/>
      <w:szCs w:val="20"/>
    </w:rPr>
  </w:style>
  <w:style w:type="character" w:customStyle="1" w:styleId="116">
    <w:name w:val="页脚 字符"/>
    <w:qFormat/>
    <w:uiPriority w:val="99"/>
  </w:style>
  <w:style w:type="character" w:customStyle="1" w:styleId="117">
    <w:name w:val="标题 1 Char1"/>
    <w:qFormat/>
    <w:uiPriority w:val="0"/>
    <w:rPr>
      <w:rFonts w:eastAsia="宋体"/>
      <w:b/>
      <w:bCs/>
      <w:kern w:val="44"/>
      <w:sz w:val="44"/>
      <w:szCs w:val="44"/>
      <w:lang w:val="en-US" w:eastAsia="zh-CN" w:bidi="ar-SA"/>
    </w:rPr>
  </w:style>
  <w:style w:type="character" w:customStyle="1" w:styleId="118">
    <w:name w:val="font31"/>
    <w:qFormat/>
    <w:uiPriority w:val="0"/>
    <w:rPr>
      <w:rFonts w:ascii="方正书宋_GBK" w:hAnsi="方正书宋_GBK" w:eastAsia="方正书宋_GBK" w:cs="方正书宋_GBK"/>
      <w:color w:val="000000"/>
      <w:sz w:val="21"/>
      <w:szCs w:val="21"/>
      <w:u w:val="none"/>
    </w:rPr>
  </w:style>
  <w:style w:type="character" w:customStyle="1" w:styleId="119">
    <w:name w:val="font61"/>
    <w:qFormat/>
    <w:uiPriority w:val="0"/>
    <w:rPr>
      <w:rFonts w:hint="default" w:ascii="Times New Roman" w:hAnsi="Times New Roman" w:cs="Times New Roman"/>
      <w:color w:val="000000"/>
      <w:sz w:val="21"/>
      <w:szCs w:val="21"/>
      <w:u w:val="none"/>
    </w:rPr>
  </w:style>
  <w:style w:type="character" w:customStyle="1" w:styleId="120">
    <w:name w:val="font11"/>
    <w:qFormat/>
    <w:uiPriority w:val="0"/>
    <w:rPr>
      <w:rFonts w:hint="eastAsia" w:ascii="宋体" w:hAnsi="宋体" w:eastAsia="宋体" w:cs="宋体"/>
      <w:color w:val="000000"/>
      <w:sz w:val="21"/>
      <w:szCs w:val="21"/>
      <w:u w:val="none"/>
    </w:rPr>
  </w:style>
  <w:style w:type="table" w:customStyle="1" w:styleId="12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2">
    <w:name w:val="List Paragraph"/>
    <w:basedOn w:val="1"/>
    <w:qFormat/>
    <w:uiPriority w:val="34"/>
    <w:pPr>
      <w:ind w:firstLine="420" w:firstLineChars="200"/>
    </w:pPr>
    <w:rPr>
      <w:szCs w:val="22"/>
    </w:rPr>
  </w:style>
  <w:style w:type="character" w:customStyle="1" w:styleId="123">
    <w:name w:val="font51"/>
    <w:qFormat/>
    <w:uiPriority w:val="0"/>
    <w:rPr>
      <w:rFonts w:hint="default" w:ascii="Times New Roman" w:hAnsi="Times New Roman" w:cs="Times New Roman"/>
      <w:b/>
      <w:color w:val="000000"/>
      <w:sz w:val="18"/>
      <w:szCs w:val="18"/>
      <w:u w:val="none"/>
    </w:rPr>
  </w:style>
  <w:style w:type="paragraph" w:customStyle="1" w:styleId="124">
    <w:name w:val="列表段落2"/>
    <w:basedOn w:val="1"/>
    <w:qFormat/>
    <w:uiPriority w:val="0"/>
    <w:pPr>
      <w:ind w:firstLine="420" w:firstLineChars="200"/>
    </w:pPr>
    <w:rPr>
      <w:rFonts w:ascii="Calibri" w:hAnsi="Calibri"/>
      <w:szCs w:val="22"/>
    </w:rPr>
  </w:style>
  <w:style w:type="character" w:customStyle="1" w:styleId="125">
    <w:name w:val="font21"/>
    <w:qFormat/>
    <w:uiPriority w:val="0"/>
    <w:rPr>
      <w:rFonts w:hint="eastAsia" w:ascii="Courier New" w:hAnsi="Courier New" w:eastAsia="Courier New" w:cs="Courier New"/>
      <w:color w:val="000000"/>
      <w:sz w:val="28"/>
      <w:szCs w:val="28"/>
      <w:u w:val="none"/>
    </w:rPr>
  </w:style>
  <w:style w:type="character" w:customStyle="1" w:styleId="126">
    <w:name w:val="font41"/>
    <w:qFormat/>
    <w:uiPriority w:val="0"/>
    <w:rPr>
      <w:rFonts w:hint="eastAsia" w:ascii="黑体" w:hAnsi="宋体" w:eastAsia="黑体" w:cs="黑体"/>
      <w:color w:val="000000"/>
      <w:sz w:val="18"/>
      <w:szCs w:val="18"/>
      <w:u w:val="none"/>
    </w:rPr>
  </w:style>
  <w:style w:type="paragraph" w:customStyle="1" w:styleId="1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纯文本 Char2"/>
    <w:qFormat/>
    <w:uiPriority w:val="0"/>
    <w:rPr>
      <w:rFonts w:ascii="宋体" w:hAnsi="Courier New" w:eastAsia="宋体" w:cs="Courier New"/>
      <w:szCs w:val="21"/>
    </w:rPr>
  </w:style>
  <w:style w:type="paragraph" w:customStyle="1" w:styleId="13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92</Pages>
  <Words>47807</Words>
  <Characters>51358</Characters>
  <Lines>428</Lines>
  <Paragraphs>120</Paragraphs>
  <TotalTime>9</TotalTime>
  <ScaleCrop>false</ScaleCrop>
  <LinksUpToDate>false</LinksUpToDate>
  <CharactersWithSpaces>57544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2023-07-29T13:39:00Z</dcterms:created>
  <dc:creator>KWZB</dc:creator>
  <cp:lastModifiedBy>FROM</cp:lastModifiedBy>
  <cp:lastPrinted>2022-09-05T02:15:00Z</cp:lastPrinted>
  <dcterms:modified xsi:type="dcterms:W3CDTF">2023-08-10T08:31:28Z</dcterms:modified>
  <dc:title>公开招标采购文件范本</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11AC6817B19743A4ADB266700F14C09F_13</vt:lpwstr>
  </property>
  <property fmtid="{D5CDD505-2E9C-101B-9397-08002B2CF9AE}" pid="4" name="commondata">
    <vt:lpwstr>eyJoZGlkIjoiZDBiOGZhYWQ5NWI3MDgyYTM5NWU2ZGE3NmNjNDlmOGQifQ==</vt:lpwstr>
  </property>
</Properties>
</file>