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rPr>
          <w:color w:val="auto"/>
          <w:highlight w:val="none"/>
        </w:rPr>
      </w:pPr>
    </w:p>
    <w:p>
      <w:pPr>
        <w:jc w:val="center"/>
        <w:rPr>
          <w:rFonts w:ascii="宋体" w:hAnsi="宋体" w:cs="宋体"/>
          <w:color w:val="auto"/>
          <w:highlight w:val="none"/>
        </w:rPr>
      </w:pPr>
      <w:r>
        <w:rPr>
          <w:rFonts w:hint="eastAsia" w:ascii="宋体" w:hAnsi="宋体" w:cs="宋体"/>
          <w:color w:val="auto"/>
          <w:highlight w:val="none"/>
        </w:rPr>
        <w:drawing>
          <wp:inline distT="0" distB="0" distL="114300" distR="114300">
            <wp:extent cx="893445" cy="932815"/>
            <wp:effectExtent l="0" t="0" r="1905" b="635"/>
            <wp:docPr id="2"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科文名片"/>
                    <pic:cNvPicPr>
                      <a:picLocks noChangeAspect="1"/>
                    </pic:cNvPicPr>
                  </pic:nvPicPr>
                  <pic:blipFill>
                    <a:blip r:embed="rId10" cstate="print"/>
                    <a:stretch>
                      <a:fillRect/>
                    </a:stretch>
                  </pic:blipFill>
                  <pic:spPr>
                    <a:xfrm>
                      <a:off x="0" y="0"/>
                      <a:ext cx="893445" cy="932815"/>
                    </a:xfrm>
                    <a:prstGeom prst="rect">
                      <a:avLst/>
                    </a:prstGeom>
                    <a:noFill/>
                    <a:ln w="9525">
                      <a:noFill/>
                    </a:ln>
                  </pic:spPr>
                </pic:pic>
              </a:graphicData>
            </a:graphic>
          </wp:inline>
        </w:drawing>
      </w:r>
    </w:p>
    <w:p>
      <w:pPr>
        <w:jc w:val="center"/>
        <w:rPr>
          <w:rFonts w:ascii="宋体" w:hAnsi="宋体" w:cs="宋体"/>
          <w:color w:val="auto"/>
          <w:highlight w:val="none"/>
        </w:rPr>
      </w:pPr>
    </w:p>
    <w:p>
      <w:pPr>
        <w:pStyle w:val="15"/>
        <w:ind w:firstLine="5"/>
        <w:jc w:val="center"/>
        <w:rPr>
          <w:rFonts w:hAnsi="宋体" w:cs="宋体"/>
          <w:color w:val="auto"/>
          <w:sz w:val="96"/>
          <w:szCs w:val="96"/>
          <w:highlight w:val="none"/>
        </w:rPr>
      </w:pPr>
      <w:r>
        <w:rPr>
          <w:rFonts w:hAnsi="宋体" w:cs="宋体"/>
          <w:b/>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594360</wp:posOffset>
                </wp:positionV>
                <wp:extent cx="53721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75pt;margin-top:46.8pt;height:0pt;width:423pt;z-index:251660288;mso-width-relative:page;mso-height-relative:page;" filled="f" stroked="t" coordsize="21600,21600" o:gfxdata="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QJGt1wAAAAgBAAAPAAAAAAAAAAEAIAAAACIAAABkcnMvZG93bnJldi54bWxQSwECFAAUAAAA&#10;CACHTuJAqBTjhe8BAADnAwAADgAAAAAAAAABACAAAAAmAQAAZHJzL2Uyb0RvYy54bWxQSwUGAAAA&#10;AAYABgBZAQAAhwUAAAAA&#10;">
                <v:fill on="f" focussize="0,0"/>
                <v:stroke weight="1pt" color="#000000" joinstyle="round"/>
                <v:imagedata o:title=""/>
                <o:lock v:ext="edit" aspectratio="f"/>
              </v:line>
            </w:pict>
          </mc:Fallback>
        </mc:AlternateContent>
      </w:r>
      <w:r>
        <w:rPr>
          <w:rFonts w:hint="eastAsia" w:hAnsi="宋体" w:cs="宋体"/>
          <w:color w:val="auto"/>
          <w:sz w:val="52"/>
          <w:highlight w:val="none"/>
        </w:rPr>
        <w:t>广 西 科 文 招 标 有 限 公 司</w:t>
      </w:r>
    </w:p>
    <w:p>
      <w:pPr>
        <w:snapToGrid w:val="0"/>
        <w:spacing w:beforeLines="50"/>
        <w:jc w:val="center"/>
        <w:rPr>
          <w:rFonts w:ascii="宋体" w:hAnsi="宋体" w:cs="宋体"/>
          <w:color w:val="auto"/>
          <w:sz w:val="120"/>
          <w:szCs w:val="120"/>
          <w:highlight w:val="none"/>
        </w:rPr>
      </w:pPr>
    </w:p>
    <w:p>
      <w:pPr>
        <w:snapToGrid w:val="0"/>
        <w:spacing w:beforeLines="50"/>
        <w:jc w:val="center"/>
        <w:rPr>
          <w:rFonts w:ascii="宋体" w:hAnsi="宋体" w:cs="宋体"/>
          <w:color w:val="auto"/>
          <w:sz w:val="120"/>
          <w:szCs w:val="120"/>
          <w:highlight w:val="none"/>
        </w:rPr>
      </w:pPr>
      <w:r>
        <w:rPr>
          <w:rFonts w:hint="eastAsia" w:ascii="宋体" w:hAnsi="宋体" w:cs="宋体"/>
          <w:color w:val="auto"/>
          <w:sz w:val="120"/>
          <w:szCs w:val="120"/>
          <w:highlight w:val="none"/>
        </w:rPr>
        <w:t>招 标 文 件</w:t>
      </w:r>
    </w:p>
    <w:p>
      <w:pPr>
        <w:pStyle w:val="15"/>
        <w:snapToGrid w:val="0"/>
        <w:jc w:val="center"/>
        <w:rPr>
          <w:color w:val="auto"/>
          <w:highlight w:val="none"/>
        </w:rPr>
      </w:pPr>
      <w:r>
        <w:rPr>
          <w:rFonts w:hint="eastAsia" w:hAnsi="宋体" w:cs="宋体"/>
          <w:color w:val="auto"/>
          <w:sz w:val="30"/>
          <w:szCs w:val="30"/>
          <w:highlight w:val="none"/>
        </w:rPr>
        <w:t>（</w:t>
      </w:r>
      <w:r>
        <w:rPr>
          <w:rFonts w:hint="eastAsia" w:hAnsi="宋体"/>
          <w:color w:val="auto"/>
          <w:highlight w:val="none"/>
        </w:rPr>
        <w:t>全流程电子化评标</w:t>
      </w:r>
      <w:r>
        <w:rPr>
          <w:rFonts w:hint="eastAsia" w:hAnsi="宋体" w:cs="宋体"/>
          <w:color w:val="auto"/>
          <w:sz w:val="30"/>
          <w:szCs w:val="30"/>
          <w:highlight w:val="none"/>
        </w:rPr>
        <w:t>）</w:t>
      </w:r>
    </w:p>
    <w:p>
      <w:pPr>
        <w:pStyle w:val="22"/>
        <w:ind w:firstLine="210"/>
        <w:rPr>
          <w:color w:val="auto"/>
          <w:highlight w:val="none"/>
        </w:rPr>
      </w:pPr>
    </w:p>
    <w:p>
      <w:pPr>
        <w:pStyle w:val="15"/>
        <w:snapToGrid w:val="0"/>
        <w:spacing w:line="480" w:lineRule="auto"/>
        <w:jc w:val="center"/>
        <w:rPr>
          <w:rFonts w:hAnsi="宋体" w:eastAsia="宋体" w:cs="宋体"/>
          <w:b/>
          <w:bCs/>
          <w:color w:val="auto"/>
          <w:w w:val="95"/>
          <w:sz w:val="30"/>
          <w:szCs w:val="30"/>
          <w:highlight w:val="none"/>
        </w:rPr>
      </w:pPr>
      <w:r>
        <w:rPr>
          <w:rFonts w:hint="eastAsia" w:hAnsi="宋体" w:cs="宋体"/>
          <w:b/>
          <w:bCs/>
          <w:color w:val="auto"/>
          <w:w w:val="95"/>
          <w:sz w:val="30"/>
          <w:szCs w:val="30"/>
          <w:highlight w:val="none"/>
        </w:rPr>
        <w:t>项目名称：803工程智能化项目货物及配套设备采购</w:t>
      </w:r>
    </w:p>
    <w:p>
      <w:pPr>
        <w:pStyle w:val="15"/>
        <w:snapToGrid w:val="0"/>
        <w:spacing w:line="480" w:lineRule="auto"/>
        <w:jc w:val="center"/>
        <w:rPr>
          <w:rFonts w:hint="eastAsia" w:hAnsi="宋体" w:cs="宋体" w:eastAsiaTheme="minorEastAsia"/>
          <w:b/>
          <w:bCs/>
          <w:color w:val="auto"/>
          <w:w w:val="95"/>
          <w:sz w:val="30"/>
          <w:szCs w:val="30"/>
          <w:highlight w:val="none"/>
          <w:lang w:eastAsia="zh-CN"/>
        </w:rPr>
      </w:pPr>
      <w:r>
        <w:rPr>
          <w:rFonts w:hint="eastAsia" w:hAnsi="宋体" w:cs="宋体"/>
          <w:b/>
          <w:bCs/>
          <w:color w:val="auto"/>
          <w:w w:val="95"/>
          <w:sz w:val="30"/>
          <w:szCs w:val="30"/>
          <w:highlight w:val="none"/>
        </w:rPr>
        <w:t>项目编号：</w:t>
      </w:r>
      <w:r>
        <w:rPr>
          <w:rFonts w:hint="eastAsia" w:hAnsi="宋体" w:cs="宋体"/>
          <w:b/>
          <w:bCs/>
          <w:color w:val="auto"/>
          <w:w w:val="95"/>
          <w:sz w:val="30"/>
          <w:szCs w:val="30"/>
          <w:highlight w:val="none"/>
          <w:lang w:eastAsia="zh-CN"/>
        </w:rPr>
        <w:t>GXZC2023-G1-002123-KWZB</w:t>
      </w:r>
    </w:p>
    <w:p>
      <w:pPr>
        <w:pStyle w:val="15"/>
        <w:snapToGrid w:val="0"/>
        <w:spacing w:line="360" w:lineRule="auto"/>
        <w:ind w:firstLine="1977" w:firstLineChars="691"/>
        <w:rPr>
          <w:rFonts w:hAnsi="宋体" w:cs="宋体"/>
          <w:b/>
          <w:bCs/>
          <w:color w:val="auto"/>
          <w:w w:val="95"/>
          <w:sz w:val="30"/>
          <w:szCs w:val="30"/>
          <w:highlight w:val="none"/>
        </w:rPr>
      </w:pPr>
    </w:p>
    <w:p>
      <w:pPr>
        <w:pStyle w:val="6"/>
        <w:rPr>
          <w:color w:val="auto"/>
          <w:highlight w:val="none"/>
        </w:rPr>
      </w:pPr>
    </w:p>
    <w:p>
      <w:pPr>
        <w:pStyle w:val="15"/>
        <w:snapToGrid w:val="0"/>
        <w:spacing w:line="360" w:lineRule="auto"/>
        <w:jc w:val="center"/>
        <w:rPr>
          <w:rFonts w:hAnsi="宋体" w:eastAsia="宋体" w:cs="宋体"/>
          <w:b/>
          <w:bCs/>
          <w:color w:val="auto"/>
          <w:w w:val="95"/>
          <w:sz w:val="30"/>
          <w:szCs w:val="30"/>
          <w:highlight w:val="none"/>
        </w:rPr>
      </w:pPr>
      <w:r>
        <w:rPr>
          <w:rFonts w:hint="eastAsia" w:hAnsi="宋体" w:cs="宋体"/>
          <w:b/>
          <w:bCs/>
          <w:color w:val="auto"/>
          <w:w w:val="95"/>
          <w:sz w:val="30"/>
          <w:szCs w:val="30"/>
          <w:highlight w:val="none"/>
        </w:rPr>
        <w:t>采 购 人：广西壮族自治区公安厅</w:t>
      </w:r>
    </w:p>
    <w:p>
      <w:pPr>
        <w:pStyle w:val="15"/>
        <w:snapToGrid w:val="0"/>
        <w:spacing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采购代理机构：广西科文招标有限公司</w:t>
      </w:r>
    </w:p>
    <w:p>
      <w:pPr>
        <w:pStyle w:val="15"/>
        <w:snapToGrid w:val="0"/>
        <w:spacing w:line="360" w:lineRule="auto"/>
        <w:jc w:val="center"/>
        <w:rPr>
          <w:rFonts w:hAnsi="宋体" w:cs="宋体"/>
          <w:b/>
          <w:bCs/>
          <w:color w:val="auto"/>
          <w:w w:val="95"/>
          <w:sz w:val="30"/>
          <w:szCs w:val="30"/>
          <w:highlight w:val="none"/>
        </w:rPr>
      </w:pPr>
    </w:p>
    <w:p>
      <w:pPr>
        <w:pStyle w:val="15"/>
        <w:snapToGrid w:val="0"/>
        <w:spacing w:line="360" w:lineRule="auto"/>
        <w:jc w:val="center"/>
        <w:rPr>
          <w:rFonts w:hAnsi="宋体" w:eastAsia="宋体" w:cs="宋体"/>
          <w:color w:val="auto"/>
          <w:szCs w:val="20"/>
          <w:highlight w:val="none"/>
        </w:rPr>
      </w:pPr>
      <w:r>
        <w:rPr>
          <w:rFonts w:hint="eastAsia" w:hAnsi="宋体" w:cs="宋体"/>
          <w:b/>
          <w:bCs/>
          <w:color w:val="auto"/>
          <w:w w:val="95"/>
          <w:sz w:val="30"/>
          <w:szCs w:val="30"/>
          <w:highlight w:val="none"/>
        </w:rPr>
        <w:t>2023年</w:t>
      </w:r>
      <w:r>
        <w:rPr>
          <w:rFonts w:hint="eastAsia" w:hAnsi="宋体" w:cs="宋体"/>
          <w:b/>
          <w:bCs/>
          <w:color w:val="auto"/>
          <w:w w:val="95"/>
          <w:sz w:val="30"/>
          <w:szCs w:val="30"/>
          <w:highlight w:val="none"/>
          <w:lang w:val="en-US" w:eastAsia="zh-CN"/>
        </w:rPr>
        <w:t>7</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13</w:t>
      </w:r>
      <w:r>
        <w:rPr>
          <w:rFonts w:hint="eastAsia" w:hAnsi="宋体" w:cs="宋体"/>
          <w:b/>
          <w:bCs/>
          <w:color w:val="auto"/>
          <w:w w:val="95"/>
          <w:sz w:val="30"/>
          <w:szCs w:val="30"/>
          <w:highlight w:val="none"/>
        </w:rPr>
        <w:t>日</w:t>
      </w:r>
    </w:p>
    <w:p>
      <w:pPr>
        <w:spacing w:line="360" w:lineRule="auto"/>
        <w:jc w:val="center"/>
        <w:rPr>
          <w:rFonts w:ascii="宋体" w:hAnsi="宋体" w:cs="宋体"/>
          <w:b/>
          <w:color w:val="auto"/>
          <w:sz w:val="52"/>
          <w:szCs w:val="52"/>
          <w:highlight w:val="none"/>
        </w:rPr>
      </w:pPr>
    </w:p>
    <w:p>
      <w:pPr>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目  录</w:t>
      </w:r>
    </w:p>
    <w:p>
      <w:pPr>
        <w:spacing w:line="360" w:lineRule="auto"/>
        <w:jc w:val="center"/>
        <w:rPr>
          <w:rFonts w:ascii="宋体" w:hAnsi="宋体" w:cs="宋体"/>
          <w:b/>
          <w:color w:val="auto"/>
          <w:sz w:val="52"/>
          <w:szCs w:val="52"/>
          <w:highlight w:val="none"/>
        </w:rPr>
      </w:pPr>
    </w:p>
    <w:p>
      <w:pPr>
        <w:pStyle w:val="19"/>
        <w:tabs>
          <w:tab w:val="left" w:pos="1260"/>
        </w:tabs>
        <w:spacing w:line="480" w:lineRule="auto"/>
        <w:ind w:left="1260" w:leftChars="600" w:firstLine="0" w:firstLineChars="0"/>
        <w:rPr>
          <w:rFonts w:cs="宋体"/>
          <w:b w:val="0"/>
          <w:bCs w:val="0"/>
          <w:caps w:val="0"/>
          <w:color w:val="auto"/>
          <w:szCs w:val="28"/>
          <w:highlight w:val="none"/>
        </w:rPr>
      </w:pPr>
      <w:r>
        <w:rPr>
          <w:rFonts w:hint="eastAsia" w:cs="宋体"/>
          <w:b w:val="0"/>
          <w:color w:val="auto"/>
          <w:sz w:val="32"/>
          <w:szCs w:val="32"/>
          <w:highlight w:val="none"/>
        </w:rPr>
        <w:fldChar w:fldCharType="begin"/>
      </w:r>
      <w:r>
        <w:rPr>
          <w:rFonts w:hint="eastAsia" w:cs="宋体"/>
          <w:b w:val="0"/>
          <w:color w:val="auto"/>
          <w:sz w:val="32"/>
          <w:szCs w:val="32"/>
          <w:highlight w:val="none"/>
        </w:rPr>
        <w:instrText xml:space="preserve"> TOC \o "1-2" \h \z \u </w:instrText>
      </w:r>
      <w:r>
        <w:rPr>
          <w:rFonts w:hint="eastAsia" w:cs="宋体"/>
          <w:b w:val="0"/>
          <w:color w:val="auto"/>
          <w:sz w:val="32"/>
          <w:szCs w:val="32"/>
          <w:highlight w:val="none"/>
        </w:rPr>
        <w:fldChar w:fldCharType="separate"/>
      </w:r>
      <w:r>
        <w:rPr>
          <w:color w:val="auto"/>
          <w:highlight w:val="none"/>
        </w:rPr>
        <w:fldChar w:fldCharType="begin"/>
      </w:r>
      <w:r>
        <w:rPr>
          <w:color w:val="auto"/>
          <w:highlight w:val="none"/>
        </w:rPr>
        <w:instrText xml:space="preserve"> HYPERLINK \l "_Toc74320800" </w:instrText>
      </w:r>
      <w:r>
        <w:rPr>
          <w:color w:val="auto"/>
          <w:highlight w:val="none"/>
        </w:rPr>
        <w:fldChar w:fldCharType="separate"/>
      </w:r>
      <w:r>
        <w:rPr>
          <w:rStyle w:val="28"/>
          <w:rFonts w:hint="eastAsia" w:cs="宋体"/>
          <w:color w:val="auto"/>
          <w:sz w:val="32"/>
          <w:szCs w:val="32"/>
          <w:highlight w:val="none"/>
        </w:rPr>
        <w:t>第一章  招标公告</w:t>
      </w:r>
      <w:r>
        <w:rPr>
          <w:rStyle w:val="28"/>
          <w:rFonts w:hint="eastAsia" w:cs="宋体"/>
          <w:color w:val="auto"/>
          <w:sz w:val="32"/>
          <w:szCs w:val="32"/>
          <w:highlight w:val="none"/>
        </w:rPr>
        <w:fldChar w:fldCharType="end"/>
      </w:r>
      <w:r>
        <w:rPr>
          <w:rStyle w:val="28"/>
          <w:rFonts w:hint="eastAsia" w:cs="宋体"/>
          <w:color w:val="auto"/>
          <w:sz w:val="32"/>
          <w:szCs w:val="32"/>
          <w:highlight w:val="none"/>
        </w:rPr>
        <w:t xml:space="preserve">                   001</w:t>
      </w:r>
    </w:p>
    <w:p>
      <w:pPr>
        <w:pStyle w:val="19"/>
        <w:tabs>
          <w:tab w:val="left" w:pos="1260"/>
        </w:tabs>
        <w:spacing w:line="480" w:lineRule="auto"/>
        <w:ind w:left="1260" w:leftChars="600" w:firstLine="0" w:firstLineChars="0"/>
        <w:rPr>
          <w:rFonts w:cs="宋体"/>
          <w:b w:val="0"/>
          <w:bCs w:val="0"/>
          <w:caps w:val="0"/>
          <w:color w:val="auto"/>
          <w:szCs w:val="28"/>
          <w:highlight w:val="none"/>
        </w:rPr>
      </w:pPr>
      <w:r>
        <w:rPr>
          <w:color w:val="auto"/>
          <w:highlight w:val="none"/>
        </w:rPr>
        <w:fldChar w:fldCharType="begin"/>
      </w:r>
      <w:r>
        <w:rPr>
          <w:color w:val="auto"/>
          <w:highlight w:val="none"/>
        </w:rPr>
        <w:instrText xml:space="preserve"> HYPERLINK \l "_Toc74320801" </w:instrText>
      </w:r>
      <w:r>
        <w:rPr>
          <w:color w:val="auto"/>
          <w:highlight w:val="none"/>
        </w:rPr>
        <w:fldChar w:fldCharType="separate"/>
      </w:r>
      <w:r>
        <w:rPr>
          <w:rStyle w:val="28"/>
          <w:rFonts w:hint="eastAsia" w:cs="宋体"/>
          <w:color w:val="auto"/>
          <w:sz w:val="32"/>
          <w:szCs w:val="32"/>
          <w:highlight w:val="none"/>
        </w:rPr>
        <w:t>第二章  采购需求</w:t>
      </w:r>
      <w:r>
        <w:rPr>
          <w:rStyle w:val="28"/>
          <w:rFonts w:hint="eastAsia" w:cs="宋体"/>
          <w:color w:val="auto"/>
          <w:sz w:val="32"/>
          <w:szCs w:val="32"/>
          <w:highlight w:val="none"/>
        </w:rPr>
        <w:fldChar w:fldCharType="end"/>
      </w:r>
      <w:r>
        <w:rPr>
          <w:rStyle w:val="28"/>
          <w:rFonts w:hint="eastAsia" w:cs="宋体"/>
          <w:color w:val="auto"/>
          <w:sz w:val="32"/>
          <w:szCs w:val="32"/>
          <w:highlight w:val="none"/>
        </w:rPr>
        <w:t xml:space="preserve">                   005 </w:t>
      </w:r>
    </w:p>
    <w:p>
      <w:pPr>
        <w:pStyle w:val="19"/>
        <w:tabs>
          <w:tab w:val="left" w:pos="1260"/>
        </w:tabs>
        <w:spacing w:line="480" w:lineRule="auto"/>
        <w:ind w:left="1260" w:leftChars="600" w:firstLine="0" w:firstLineChars="0"/>
        <w:rPr>
          <w:rFonts w:hint="eastAsia" w:cs="宋体" w:eastAsiaTheme="minorEastAsia"/>
          <w:b w:val="0"/>
          <w:bCs w:val="0"/>
          <w:caps w:val="0"/>
          <w:color w:val="auto"/>
          <w:szCs w:val="28"/>
          <w:highlight w:val="none"/>
          <w:lang w:eastAsia="zh-CN"/>
        </w:rPr>
      </w:pPr>
      <w:r>
        <w:rPr>
          <w:color w:val="auto"/>
          <w:highlight w:val="none"/>
        </w:rPr>
        <w:fldChar w:fldCharType="begin"/>
      </w:r>
      <w:r>
        <w:rPr>
          <w:color w:val="auto"/>
          <w:highlight w:val="none"/>
        </w:rPr>
        <w:instrText xml:space="preserve"> HYPERLINK \l "_Toc74320802" </w:instrText>
      </w:r>
      <w:r>
        <w:rPr>
          <w:color w:val="auto"/>
          <w:highlight w:val="none"/>
        </w:rPr>
        <w:fldChar w:fldCharType="separate"/>
      </w:r>
      <w:r>
        <w:rPr>
          <w:rStyle w:val="28"/>
          <w:rFonts w:hint="eastAsia" w:cs="宋体"/>
          <w:color w:val="auto"/>
          <w:sz w:val="32"/>
          <w:szCs w:val="32"/>
          <w:highlight w:val="none"/>
        </w:rPr>
        <w:t>第三章  投标人须</w:t>
      </w:r>
      <w:bookmarkStart w:id="0" w:name="_Hlt79572744"/>
      <w:bookmarkStart w:id="1" w:name="_Hlt79572745"/>
      <w:r>
        <w:rPr>
          <w:rStyle w:val="28"/>
          <w:rFonts w:hint="eastAsia" w:cs="宋体"/>
          <w:color w:val="auto"/>
          <w:sz w:val="32"/>
          <w:szCs w:val="32"/>
          <w:highlight w:val="none"/>
        </w:rPr>
        <w:t>知</w:t>
      </w:r>
      <w:bookmarkEnd w:id="0"/>
      <w:bookmarkEnd w:id="1"/>
      <w:r>
        <w:rPr>
          <w:rStyle w:val="28"/>
          <w:rFonts w:hint="eastAsia" w:cs="宋体"/>
          <w:color w:val="auto"/>
          <w:sz w:val="32"/>
          <w:szCs w:val="32"/>
          <w:highlight w:val="none"/>
        </w:rPr>
        <w:fldChar w:fldCharType="end"/>
      </w:r>
      <w:r>
        <w:rPr>
          <w:rStyle w:val="28"/>
          <w:rFonts w:hint="eastAsia" w:cs="宋体"/>
          <w:color w:val="auto"/>
          <w:sz w:val="32"/>
          <w:szCs w:val="32"/>
          <w:highlight w:val="none"/>
        </w:rPr>
        <w:t xml:space="preserve">                 03</w:t>
      </w:r>
      <w:r>
        <w:rPr>
          <w:rStyle w:val="28"/>
          <w:rFonts w:hint="eastAsia" w:cs="宋体"/>
          <w:color w:val="auto"/>
          <w:sz w:val="32"/>
          <w:szCs w:val="32"/>
          <w:highlight w:val="none"/>
          <w:lang w:val="en-US" w:eastAsia="zh-CN"/>
        </w:rPr>
        <w:t>2</w:t>
      </w:r>
    </w:p>
    <w:p>
      <w:pPr>
        <w:pStyle w:val="19"/>
        <w:tabs>
          <w:tab w:val="left" w:pos="1260"/>
        </w:tabs>
        <w:spacing w:line="480" w:lineRule="auto"/>
        <w:ind w:left="1260" w:leftChars="600" w:firstLine="0" w:firstLineChars="0"/>
        <w:rPr>
          <w:rFonts w:hint="default" w:cs="宋体" w:eastAsiaTheme="minorEastAsia"/>
          <w:b w:val="0"/>
          <w:bCs w:val="0"/>
          <w:caps w:val="0"/>
          <w:color w:val="auto"/>
          <w:szCs w:val="28"/>
          <w:highlight w:val="none"/>
          <w:lang w:val="en-US" w:eastAsia="zh-CN"/>
        </w:rPr>
      </w:pPr>
      <w:r>
        <w:rPr>
          <w:color w:val="auto"/>
          <w:highlight w:val="none"/>
        </w:rPr>
        <w:fldChar w:fldCharType="begin"/>
      </w:r>
      <w:r>
        <w:rPr>
          <w:color w:val="auto"/>
          <w:highlight w:val="none"/>
        </w:rPr>
        <w:instrText xml:space="preserve"> HYPERLINK \l "_Toc74320803" </w:instrText>
      </w:r>
      <w:r>
        <w:rPr>
          <w:color w:val="auto"/>
          <w:highlight w:val="none"/>
        </w:rPr>
        <w:fldChar w:fldCharType="separate"/>
      </w:r>
      <w:r>
        <w:rPr>
          <w:rStyle w:val="28"/>
          <w:rFonts w:hint="eastAsia" w:cs="宋体"/>
          <w:color w:val="auto"/>
          <w:sz w:val="32"/>
          <w:szCs w:val="32"/>
          <w:highlight w:val="none"/>
        </w:rPr>
        <w:t>第四章  评标方</w:t>
      </w:r>
      <w:bookmarkStart w:id="2" w:name="_Hlt82186273"/>
      <w:bookmarkStart w:id="3" w:name="_Hlt82186274"/>
      <w:r>
        <w:rPr>
          <w:rStyle w:val="28"/>
          <w:rFonts w:hint="eastAsia" w:cs="宋体"/>
          <w:color w:val="auto"/>
          <w:sz w:val="32"/>
          <w:szCs w:val="32"/>
          <w:highlight w:val="none"/>
        </w:rPr>
        <w:t>法</w:t>
      </w:r>
      <w:bookmarkEnd w:id="2"/>
      <w:bookmarkEnd w:id="3"/>
      <w:r>
        <w:rPr>
          <w:rStyle w:val="28"/>
          <w:rFonts w:hint="eastAsia" w:cs="宋体"/>
          <w:color w:val="auto"/>
          <w:sz w:val="32"/>
          <w:szCs w:val="32"/>
          <w:highlight w:val="none"/>
        </w:rPr>
        <w:t>及评标标准</w:t>
      </w:r>
      <w:r>
        <w:rPr>
          <w:rStyle w:val="28"/>
          <w:rFonts w:hint="eastAsia" w:cs="宋体"/>
          <w:color w:val="auto"/>
          <w:sz w:val="32"/>
          <w:szCs w:val="32"/>
          <w:highlight w:val="none"/>
        </w:rPr>
        <w:fldChar w:fldCharType="end"/>
      </w:r>
      <w:r>
        <w:rPr>
          <w:rStyle w:val="28"/>
          <w:rFonts w:hint="eastAsia" w:cs="宋体"/>
          <w:color w:val="auto"/>
          <w:sz w:val="32"/>
          <w:szCs w:val="32"/>
          <w:highlight w:val="none"/>
        </w:rPr>
        <w:t xml:space="preserve">         0</w:t>
      </w:r>
      <w:r>
        <w:rPr>
          <w:rStyle w:val="28"/>
          <w:rFonts w:hint="eastAsia" w:cs="宋体"/>
          <w:color w:val="auto"/>
          <w:sz w:val="32"/>
          <w:szCs w:val="32"/>
          <w:highlight w:val="none"/>
          <w:lang w:val="en-US" w:eastAsia="zh-CN"/>
        </w:rPr>
        <w:t>57</w:t>
      </w:r>
    </w:p>
    <w:p>
      <w:pPr>
        <w:pStyle w:val="19"/>
        <w:tabs>
          <w:tab w:val="left" w:pos="1260"/>
        </w:tabs>
        <w:spacing w:line="480" w:lineRule="auto"/>
        <w:ind w:left="1260" w:leftChars="600" w:firstLine="0" w:firstLineChars="0"/>
        <w:rPr>
          <w:rFonts w:hint="default" w:cs="宋体" w:eastAsiaTheme="minorEastAsia"/>
          <w:b w:val="0"/>
          <w:bCs w:val="0"/>
          <w:caps w:val="0"/>
          <w:color w:val="auto"/>
          <w:szCs w:val="28"/>
          <w:highlight w:val="none"/>
          <w:lang w:val="en-US" w:eastAsia="zh-CN"/>
        </w:rPr>
      </w:pPr>
      <w:r>
        <w:rPr>
          <w:color w:val="auto"/>
          <w:highlight w:val="none"/>
        </w:rPr>
        <w:fldChar w:fldCharType="begin"/>
      </w:r>
      <w:r>
        <w:rPr>
          <w:color w:val="auto"/>
          <w:highlight w:val="none"/>
        </w:rPr>
        <w:instrText xml:space="preserve"> HYPERLINK \l "_Toc74320804" </w:instrText>
      </w:r>
      <w:r>
        <w:rPr>
          <w:color w:val="auto"/>
          <w:highlight w:val="none"/>
        </w:rPr>
        <w:fldChar w:fldCharType="separate"/>
      </w:r>
      <w:r>
        <w:rPr>
          <w:rStyle w:val="28"/>
          <w:rFonts w:hint="eastAsia" w:cs="宋体"/>
          <w:color w:val="auto"/>
          <w:sz w:val="32"/>
          <w:szCs w:val="32"/>
          <w:highlight w:val="none"/>
        </w:rPr>
        <w:t>第五章  拟签订的合同文本</w:t>
      </w:r>
      <w:r>
        <w:rPr>
          <w:rStyle w:val="28"/>
          <w:rFonts w:hint="eastAsia" w:cs="宋体"/>
          <w:color w:val="auto"/>
          <w:sz w:val="32"/>
          <w:szCs w:val="32"/>
          <w:highlight w:val="none"/>
        </w:rPr>
        <w:fldChar w:fldCharType="end"/>
      </w:r>
      <w:r>
        <w:rPr>
          <w:rStyle w:val="28"/>
          <w:rFonts w:hint="eastAsia" w:cs="宋体"/>
          <w:color w:val="auto"/>
          <w:sz w:val="32"/>
          <w:szCs w:val="32"/>
          <w:highlight w:val="none"/>
        </w:rPr>
        <w:t xml:space="preserve">           0</w:t>
      </w:r>
      <w:r>
        <w:rPr>
          <w:rStyle w:val="28"/>
          <w:rFonts w:hint="eastAsia" w:cs="宋体"/>
          <w:color w:val="auto"/>
          <w:sz w:val="32"/>
          <w:szCs w:val="32"/>
          <w:highlight w:val="none"/>
          <w:lang w:val="en-US" w:eastAsia="zh-CN"/>
        </w:rPr>
        <w:t>68</w:t>
      </w:r>
    </w:p>
    <w:p>
      <w:pPr>
        <w:pStyle w:val="19"/>
        <w:tabs>
          <w:tab w:val="left" w:pos="1260"/>
        </w:tabs>
        <w:spacing w:line="480" w:lineRule="auto"/>
        <w:ind w:left="1260" w:leftChars="600" w:firstLine="0" w:firstLineChars="0"/>
        <w:rPr>
          <w:rFonts w:hint="default" w:cs="宋体" w:eastAsiaTheme="minorEastAsia"/>
          <w:b w:val="0"/>
          <w:bCs w:val="0"/>
          <w:caps w:val="0"/>
          <w:color w:val="auto"/>
          <w:szCs w:val="28"/>
          <w:highlight w:val="none"/>
          <w:lang w:val="en-US" w:eastAsia="zh-CN"/>
        </w:rPr>
      </w:pPr>
      <w:r>
        <w:rPr>
          <w:color w:val="auto"/>
          <w:highlight w:val="none"/>
        </w:rPr>
        <w:fldChar w:fldCharType="begin"/>
      </w:r>
      <w:r>
        <w:rPr>
          <w:color w:val="auto"/>
          <w:highlight w:val="none"/>
        </w:rPr>
        <w:instrText xml:space="preserve"> HYPERLINK \l "_Toc74320805" </w:instrText>
      </w:r>
      <w:r>
        <w:rPr>
          <w:color w:val="auto"/>
          <w:highlight w:val="none"/>
        </w:rPr>
        <w:fldChar w:fldCharType="separate"/>
      </w:r>
      <w:r>
        <w:rPr>
          <w:rStyle w:val="28"/>
          <w:rFonts w:hint="eastAsia" w:cs="宋体"/>
          <w:color w:val="auto"/>
          <w:sz w:val="32"/>
          <w:szCs w:val="32"/>
          <w:highlight w:val="none"/>
        </w:rPr>
        <w:t>第六章　投标文件格式</w:t>
      </w:r>
      <w:r>
        <w:rPr>
          <w:rStyle w:val="28"/>
          <w:rFonts w:hint="eastAsia" w:cs="宋体"/>
          <w:color w:val="auto"/>
          <w:sz w:val="32"/>
          <w:szCs w:val="32"/>
          <w:highlight w:val="none"/>
        </w:rPr>
        <w:fldChar w:fldCharType="end"/>
      </w:r>
      <w:r>
        <w:rPr>
          <w:rStyle w:val="28"/>
          <w:rFonts w:hint="eastAsia" w:cs="宋体"/>
          <w:color w:val="auto"/>
          <w:sz w:val="32"/>
          <w:szCs w:val="32"/>
          <w:highlight w:val="none"/>
        </w:rPr>
        <w:t xml:space="preserve">               0</w:t>
      </w:r>
      <w:r>
        <w:rPr>
          <w:rStyle w:val="28"/>
          <w:rFonts w:hint="eastAsia" w:cs="宋体"/>
          <w:color w:val="auto"/>
          <w:sz w:val="32"/>
          <w:szCs w:val="32"/>
          <w:highlight w:val="none"/>
          <w:lang w:val="en-US" w:eastAsia="zh-CN"/>
        </w:rPr>
        <w:t>76</w:t>
      </w:r>
    </w:p>
    <w:p>
      <w:pPr>
        <w:tabs>
          <w:tab w:val="left" w:pos="1260"/>
        </w:tabs>
        <w:spacing w:beforeLines="50" w:line="480" w:lineRule="auto"/>
        <w:ind w:left="1260" w:leftChars="600"/>
        <w:rPr>
          <w:rFonts w:ascii="宋体" w:hAnsi="宋体" w:cs="宋体"/>
          <w:color w:val="auto"/>
          <w:sz w:val="32"/>
          <w:szCs w:val="32"/>
          <w:highlight w:val="none"/>
        </w:rPr>
      </w:pPr>
      <w:r>
        <w:rPr>
          <w:rFonts w:hint="eastAsia" w:ascii="宋体" w:hAnsi="宋体" w:cs="宋体"/>
          <w:b/>
          <w:color w:val="auto"/>
          <w:sz w:val="32"/>
          <w:szCs w:val="32"/>
          <w:highlight w:val="none"/>
        </w:rPr>
        <w:fldChar w:fldCharType="end"/>
      </w:r>
    </w:p>
    <w:p>
      <w:pPr>
        <w:spacing w:beforeLines="50" w:line="480" w:lineRule="auto"/>
        <w:ind w:firstLine="1890" w:firstLineChars="525"/>
        <w:rPr>
          <w:rFonts w:ascii="宋体" w:hAnsi="宋体" w:cs="宋体"/>
          <w:color w:val="auto"/>
          <w:sz w:val="36"/>
          <w:szCs w:val="32"/>
          <w:highlight w:val="none"/>
        </w:rPr>
      </w:pPr>
    </w:p>
    <w:p>
      <w:pPr>
        <w:spacing w:line="480" w:lineRule="auto"/>
        <w:ind w:firstLine="1260" w:firstLineChars="525"/>
        <w:rPr>
          <w:rFonts w:ascii="宋体" w:hAnsi="宋体" w:cs="宋体"/>
          <w:color w:val="auto"/>
          <w:sz w:val="24"/>
          <w:szCs w:val="32"/>
          <w:highlight w:val="none"/>
        </w:rPr>
      </w:pPr>
    </w:p>
    <w:p>
      <w:pPr>
        <w:spacing w:beforeLines="50" w:line="480" w:lineRule="exact"/>
        <w:rPr>
          <w:rFonts w:ascii="宋体" w:hAnsi="宋体" w:cs="宋体"/>
          <w:color w:val="auto"/>
          <w:sz w:val="30"/>
          <w:highlight w:val="none"/>
        </w:rPr>
      </w:pPr>
    </w:p>
    <w:p>
      <w:pPr>
        <w:spacing w:beforeLines="50" w:line="480" w:lineRule="exact"/>
        <w:rPr>
          <w:rFonts w:ascii="宋体" w:hAnsi="宋体" w:cs="宋体"/>
          <w:color w:val="auto"/>
          <w:sz w:val="30"/>
          <w:highlight w:val="none"/>
        </w:rPr>
      </w:pPr>
    </w:p>
    <w:p>
      <w:pPr>
        <w:pStyle w:val="10"/>
        <w:rPr>
          <w:rFonts w:ascii="宋体" w:hAnsi="宋体" w:cs="宋体"/>
          <w:b/>
          <w:bCs/>
          <w:color w:val="auto"/>
          <w:highlight w:val="none"/>
        </w:rPr>
      </w:pPr>
      <w:bookmarkStart w:id="4" w:name="_Toc254970630"/>
      <w:bookmarkStart w:id="5" w:name="_Toc254970489"/>
    </w:p>
    <w:p>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sectPr>
          <w:footerReference r:id="rId3" w:type="default"/>
          <w:pgSz w:w="11906" w:h="16838"/>
          <w:pgMar w:top="1134" w:right="1134" w:bottom="1134" w:left="1134" w:header="720" w:footer="720" w:gutter="0"/>
          <w:cols w:space="720" w:num="1"/>
          <w:docGrid w:type="lines" w:linePitch="331" w:charSpace="0"/>
        </w:sectPr>
      </w:pPr>
      <w:bookmarkStart w:id="6" w:name="_Toc74320800"/>
    </w:p>
    <w:p>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highlight w:val="none"/>
        </w:rPr>
        <w:t>第一章</w:t>
      </w:r>
      <w:bookmarkEnd w:id="4"/>
      <w:bookmarkEnd w:id="5"/>
      <w:bookmarkStart w:id="7" w:name="_Toc28359001"/>
      <w:bookmarkStart w:id="8" w:name="_Toc35393789"/>
      <w:r>
        <w:rPr>
          <w:rFonts w:hint="eastAsia" w:ascii="宋体" w:hAnsi="宋体" w:cs="宋体"/>
          <w:color w:val="auto"/>
          <w:highlight w:val="none"/>
        </w:rPr>
        <w:t xml:space="preserve"> 招标公告</w:t>
      </w:r>
      <w:bookmarkEnd w:id="6"/>
      <w:bookmarkEnd w:id="7"/>
      <w:bookmarkEnd w:id="8"/>
    </w:p>
    <w:p>
      <w:pPr>
        <w:rPr>
          <w:rFonts w:ascii="宋体" w:hAnsi="宋体" w:cs="宋体"/>
          <w:color w:val="auto"/>
          <w:highlight w:val="none"/>
        </w:rPr>
      </w:pPr>
    </w:p>
    <w:p>
      <w:pPr>
        <w:pStyle w:val="15"/>
        <w:spacing w:line="500" w:lineRule="exact"/>
        <w:jc w:val="center"/>
        <w:rPr>
          <w:rFonts w:hAnsi="宋体" w:cs="宋体"/>
          <w:b/>
          <w:color w:val="auto"/>
          <w:sz w:val="36"/>
          <w:szCs w:val="36"/>
          <w:highlight w:val="none"/>
        </w:rPr>
      </w:pPr>
      <w:r>
        <w:rPr>
          <w:rFonts w:hint="eastAsia" w:hAnsi="宋体" w:cs="宋体"/>
          <w:b/>
          <w:color w:val="auto"/>
          <w:sz w:val="36"/>
          <w:szCs w:val="36"/>
          <w:highlight w:val="none"/>
        </w:rPr>
        <w:t>广西科文招标有限公司</w:t>
      </w:r>
    </w:p>
    <w:p>
      <w:pPr>
        <w:pStyle w:val="3"/>
        <w:tabs>
          <w:tab w:val="left" w:pos="0"/>
          <w:tab w:val="left" w:pos="3165"/>
          <w:tab w:val="center" w:pos="4153"/>
        </w:tabs>
        <w:autoSpaceDE w:val="0"/>
        <w:autoSpaceDN w:val="0"/>
        <w:adjustRightInd w:val="0"/>
        <w:spacing w:before="0" w:after="0" w:line="500" w:lineRule="exact"/>
        <w:jc w:val="center"/>
        <w:rPr>
          <w:rFonts w:ascii="宋体" w:hAnsi="宋体" w:cs="宋体"/>
          <w:bCs w:val="0"/>
          <w:color w:val="auto"/>
          <w:kern w:val="2"/>
          <w:sz w:val="36"/>
          <w:szCs w:val="36"/>
          <w:highlight w:val="none"/>
        </w:rPr>
      </w:pPr>
      <w:r>
        <w:rPr>
          <w:rFonts w:hint="eastAsia" w:ascii="宋体" w:hAnsi="宋体" w:cs="宋体"/>
          <w:bCs w:val="0"/>
          <w:color w:val="auto"/>
          <w:kern w:val="2"/>
          <w:sz w:val="36"/>
          <w:szCs w:val="36"/>
          <w:highlight w:val="none"/>
        </w:rPr>
        <w:t>803工程智能化项目货物及配套设备采购</w:t>
      </w:r>
    </w:p>
    <w:p>
      <w:pPr>
        <w:pStyle w:val="3"/>
        <w:tabs>
          <w:tab w:val="left" w:pos="0"/>
          <w:tab w:val="left" w:pos="3165"/>
          <w:tab w:val="center" w:pos="4153"/>
        </w:tabs>
        <w:autoSpaceDE w:val="0"/>
        <w:autoSpaceDN w:val="0"/>
        <w:adjustRightInd w:val="0"/>
        <w:spacing w:before="0" w:after="0" w:line="500" w:lineRule="exact"/>
        <w:jc w:val="center"/>
        <w:rPr>
          <w:rFonts w:ascii="宋体" w:hAnsi="宋体" w:cs="宋体"/>
          <w:color w:val="auto"/>
          <w:szCs w:val="21"/>
          <w:highlight w:val="none"/>
        </w:rPr>
      </w:pPr>
      <w:r>
        <w:rPr>
          <w:rFonts w:hint="eastAsia" w:ascii="宋体" w:hAnsi="宋体" w:cs="宋体"/>
          <w:bCs w:val="0"/>
          <w:color w:val="auto"/>
          <w:kern w:val="2"/>
          <w:sz w:val="36"/>
          <w:szCs w:val="36"/>
          <w:highlight w:val="none"/>
        </w:rPr>
        <w:t>（</w:t>
      </w:r>
      <w:r>
        <w:rPr>
          <w:rFonts w:hint="eastAsia" w:ascii="宋体" w:hAnsi="宋体" w:cs="宋体"/>
          <w:bCs w:val="0"/>
          <w:color w:val="auto"/>
          <w:kern w:val="2"/>
          <w:sz w:val="36"/>
          <w:szCs w:val="36"/>
          <w:highlight w:val="none"/>
          <w:lang w:eastAsia="zh-CN"/>
        </w:rPr>
        <w:t>GXZC2023-G1-002123-KWZB</w:t>
      </w:r>
      <w:r>
        <w:rPr>
          <w:rFonts w:hint="eastAsia" w:ascii="宋体" w:hAnsi="宋体" w:cs="宋体"/>
          <w:bCs w:val="0"/>
          <w:color w:val="auto"/>
          <w:kern w:val="2"/>
          <w:sz w:val="36"/>
          <w:szCs w:val="36"/>
          <w:highlight w:val="none"/>
        </w:rPr>
        <w:t>）招标公告</w:t>
      </w:r>
    </w:p>
    <w:p>
      <w:pPr>
        <w:spacing w:line="360" w:lineRule="auto"/>
        <w:rPr>
          <w:rFonts w:ascii="宋体" w:hAnsi="宋体" w:cs="宋体"/>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803工程智能化项目货物及配套设备采购</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bCs/>
          <w:color w:val="auto"/>
          <w:sz w:val="24"/>
          <w:highlight w:val="none"/>
          <w:lang w:eastAsia="zh-CN"/>
        </w:rPr>
        <w:t>2023年8月3日09时00分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p>
    <w:p>
      <w:pPr>
        <w:spacing w:line="360" w:lineRule="auto"/>
        <w:rPr>
          <w:rFonts w:ascii="宋体" w:hAnsi="宋体" w:cs="宋体"/>
          <w:b/>
          <w:bCs/>
          <w:color w:val="auto"/>
          <w:sz w:val="24"/>
          <w:highlight w:val="none"/>
        </w:rPr>
      </w:pPr>
      <w:bookmarkStart w:id="9" w:name="_Toc35393621"/>
      <w:bookmarkStart w:id="10" w:name="_Toc35393790"/>
      <w:bookmarkStart w:id="11" w:name="_Toc28359002"/>
      <w:bookmarkStart w:id="12" w:name="_Toc28359079"/>
      <w:bookmarkStart w:id="13" w:name="_Hlk24379207"/>
      <w:r>
        <w:rPr>
          <w:rFonts w:hint="eastAsia" w:ascii="宋体" w:hAnsi="宋体" w:cs="宋体"/>
          <w:b/>
          <w:bCs/>
          <w:color w:val="auto"/>
          <w:sz w:val="24"/>
          <w:highlight w:val="none"/>
        </w:rPr>
        <w:t>一、项目基本情况</w:t>
      </w:r>
      <w:bookmarkEnd w:id="9"/>
      <w:bookmarkEnd w:id="10"/>
      <w:bookmarkEnd w:id="11"/>
      <w:bookmarkEnd w:id="12"/>
    </w:p>
    <w:p>
      <w:pPr>
        <w:spacing w:line="360" w:lineRule="auto"/>
        <w:ind w:firstLine="480" w:firstLineChars="2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GXZC2023-G1-002123-KWZB</w:t>
      </w:r>
    </w:p>
    <w:p>
      <w:pPr>
        <w:spacing w:line="360" w:lineRule="auto"/>
        <w:ind w:firstLine="480" w:firstLineChars="200"/>
        <w:rPr>
          <w:rFonts w:ascii="宋体" w:hAnsi="宋体" w:eastAsia="宋体" w:cs="宋体"/>
          <w:bCs/>
          <w:color w:val="auto"/>
          <w:sz w:val="24"/>
          <w:highlight w:val="none"/>
        </w:rPr>
      </w:pPr>
      <w:r>
        <w:rPr>
          <w:rFonts w:hint="eastAsia" w:ascii="宋体" w:hAnsi="宋体" w:cs="宋体"/>
          <w:color w:val="auto"/>
          <w:sz w:val="24"/>
          <w:highlight w:val="none"/>
        </w:rPr>
        <w:t>项目名称：</w:t>
      </w:r>
      <w:bookmarkEnd w:id="13"/>
      <w:r>
        <w:rPr>
          <w:rFonts w:hint="eastAsia" w:ascii="宋体" w:hAnsi="宋体" w:cs="宋体"/>
          <w:bCs/>
          <w:color w:val="auto"/>
          <w:sz w:val="24"/>
          <w:highlight w:val="none"/>
        </w:rPr>
        <w:t>803工程智能化项目货物及配套设备采购</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预算金额：1601.18万元</w:t>
      </w:r>
    </w:p>
    <w:p>
      <w:pP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最高限价：同采购预算</w:t>
      </w:r>
    </w:p>
    <w:p>
      <w:pPr>
        <w:spacing w:line="360" w:lineRule="auto"/>
        <w:ind w:firstLine="480" w:firstLineChars="200"/>
        <w:rPr>
          <w:rFonts w:ascii="宋体" w:hAnsi="宋体" w:cs="宋体"/>
          <w:bCs/>
          <w:color w:val="auto"/>
          <w:sz w:val="24"/>
          <w:highlight w:val="none"/>
        </w:rPr>
      </w:pPr>
      <w:r>
        <w:rPr>
          <w:rFonts w:hint="eastAsia" w:ascii="宋体" w:hAnsi="宋体" w:eastAsia="宋体" w:cs="宋体"/>
          <w:color w:val="auto"/>
          <w:sz w:val="24"/>
          <w:highlight w:val="none"/>
        </w:rPr>
        <w:t>采购需求：</w:t>
      </w:r>
    </w:p>
    <w:tbl>
      <w:tblPr>
        <w:tblStyle w:val="23"/>
        <w:tblW w:w="92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5590"/>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5590" w:type="dxa"/>
            <w:shd w:val="clear" w:color="auto" w:fill="auto"/>
            <w:vAlign w:val="bottom"/>
          </w:tcPr>
          <w:p>
            <w:pPr>
              <w:widowControl/>
              <w:jc w:val="center"/>
              <w:textAlignment w:val="bottom"/>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系统名称</w:t>
            </w:r>
          </w:p>
        </w:tc>
        <w:tc>
          <w:tcPr>
            <w:tcW w:w="2751" w:type="dxa"/>
            <w:shd w:val="clear" w:color="auto" w:fill="auto"/>
            <w:vAlign w:val="bottom"/>
          </w:tcPr>
          <w:p>
            <w:pPr>
              <w:widowControl/>
              <w:jc w:val="center"/>
              <w:textAlignment w:val="bottom"/>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综合布线系统</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通信指挥系统</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室外管网</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250.26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信息引导及发布系统管线</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多媒体教室系统管线</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6</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公共广播系统管线</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26.94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7</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建筑设备监控系统管线</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39.63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8</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建筑能效监管系统管线</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9</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视频安防监控系统管线</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42.36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10</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出入口控制系统管线</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11</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入侵报警系统管线</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12</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13#体育馆B枪械库管线</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13</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会议系统管线</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14</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周界防范系统</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8"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15</w:t>
            </w:r>
          </w:p>
        </w:tc>
        <w:tc>
          <w:tcPr>
            <w:tcW w:w="5590"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其他系统（预备费）</w:t>
            </w:r>
          </w:p>
        </w:tc>
        <w:tc>
          <w:tcPr>
            <w:tcW w:w="2751" w:type="dxa"/>
            <w:shd w:val="clear" w:color="auto" w:fill="auto"/>
            <w:vAlign w:val="bottom"/>
          </w:tcPr>
          <w:p>
            <w:pPr>
              <w:widowControl/>
              <w:jc w:val="center"/>
              <w:textAlignment w:val="bottom"/>
              <w:rPr>
                <w:rFonts w:ascii="宋体" w:hAnsi="宋体" w:eastAsia="宋体" w:cs="宋体"/>
                <w:color w:val="auto"/>
                <w:sz w:val="24"/>
                <w:highlight w:val="none"/>
              </w:rPr>
            </w:pPr>
            <w:r>
              <w:rPr>
                <w:rFonts w:hint="eastAsia" w:ascii="宋体" w:hAnsi="宋体" w:eastAsia="宋体" w:cs="宋体"/>
                <w:color w:val="auto"/>
                <w:kern w:val="0"/>
                <w:sz w:val="24"/>
                <w:highlight w:val="none"/>
              </w:rPr>
              <w:t>31.4</w:t>
            </w:r>
          </w:p>
        </w:tc>
      </w:tr>
    </w:tbl>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合同履行期限：详见商务条款</w:t>
      </w:r>
      <w:r>
        <w:rPr>
          <w:rFonts w:hint="eastAsia" w:ascii="宋体" w:hAnsi="宋体" w:cs="宋体"/>
          <w:bCs/>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本项目是否接受联合体投标：否。</w:t>
      </w:r>
    </w:p>
    <w:p>
      <w:pPr>
        <w:spacing w:line="360" w:lineRule="auto"/>
        <w:rPr>
          <w:rFonts w:ascii="宋体" w:hAnsi="宋体" w:cs="宋体"/>
          <w:b/>
          <w:bCs/>
          <w:color w:val="auto"/>
          <w:sz w:val="24"/>
          <w:highlight w:val="none"/>
        </w:rPr>
      </w:pPr>
      <w:bookmarkStart w:id="14" w:name="_Toc35393791"/>
      <w:bookmarkStart w:id="15" w:name="_Toc35393622"/>
      <w:bookmarkStart w:id="16" w:name="_Toc28359080"/>
      <w:bookmarkStart w:id="17" w:name="_Toc28359003"/>
      <w:r>
        <w:rPr>
          <w:rFonts w:hint="eastAsia" w:ascii="宋体" w:hAnsi="宋体" w:cs="宋体"/>
          <w:b/>
          <w:bCs/>
          <w:color w:val="auto"/>
          <w:sz w:val="24"/>
          <w:highlight w:val="none"/>
        </w:rPr>
        <w:t>二、申请人的资格要求：</w:t>
      </w:r>
      <w:bookmarkEnd w:id="14"/>
      <w:bookmarkEnd w:id="15"/>
      <w:bookmarkEnd w:id="16"/>
      <w:bookmarkEnd w:id="17"/>
    </w:p>
    <w:p>
      <w:pPr>
        <w:spacing w:line="360" w:lineRule="auto"/>
        <w:ind w:firstLine="480" w:firstLineChars="200"/>
        <w:rPr>
          <w:rFonts w:ascii="宋体" w:hAnsi="宋体" w:cs="宋体"/>
          <w:color w:val="auto"/>
          <w:sz w:val="24"/>
          <w:highlight w:val="none"/>
        </w:rPr>
      </w:pPr>
      <w:bookmarkStart w:id="18" w:name="_Hlk51746371"/>
      <w:r>
        <w:rPr>
          <w:rFonts w:hint="eastAsia" w:ascii="宋体" w:hAnsi="宋体" w:cs="宋体"/>
          <w:color w:val="auto"/>
          <w:sz w:val="24"/>
          <w:highlight w:val="none"/>
        </w:rPr>
        <w:t>1、满足《中华人民共和国政府采购法》第二十二条规定；</w:t>
      </w:r>
    </w:p>
    <w:p>
      <w:pPr>
        <w:spacing w:line="360" w:lineRule="auto"/>
        <w:ind w:firstLine="480" w:firstLineChars="200"/>
        <w:rPr>
          <w:rFonts w:ascii="宋体" w:hAnsi="宋体"/>
          <w:color w:val="auto"/>
          <w:sz w:val="24"/>
          <w:highlight w:val="none"/>
        </w:rPr>
      </w:pPr>
      <w:bookmarkStart w:id="19" w:name="_Toc28359004"/>
      <w:bookmarkStart w:id="20" w:name="_Toc28359081"/>
      <w:r>
        <w:rPr>
          <w:rFonts w:hint="eastAsia" w:ascii="宋体" w:hAnsi="宋体" w:cs="宋体"/>
          <w:color w:val="auto"/>
          <w:sz w:val="24"/>
          <w:highlight w:val="none"/>
        </w:rPr>
        <w:t>2、落实政府采购政策需满足的资格要求：</w:t>
      </w:r>
      <w:r>
        <w:rPr>
          <w:rFonts w:hint="eastAsia" w:ascii="宋体" w:hAnsi="宋体"/>
          <w:color w:val="auto"/>
          <w:sz w:val="24"/>
          <w:highlight w:val="none"/>
        </w:rPr>
        <w:t>非专门面向中小企业采购的项目；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bookmarkEnd w:id="18"/>
      <w:r>
        <w:rPr>
          <w:rFonts w:hint="eastAsia" w:ascii="宋体" w:hAnsi="宋体" w:cs="宋体"/>
          <w:color w:val="auto"/>
          <w:sz w:val="24"/>
          <w:highlight w:val="none"/>
        </w:rPr>
        <w:t>投标人须具备电子与智能化工程专业承包一级或通信工程施工总承包二级及以上资质。</w:t>
      </w:r>
    </w:p>
    <w:p>
      <w:pPr>
        <w:spacing w:line="360" w:lineRule="auto"/>
        <w:rPr>
          <w:rFonts w:ascii="宋体" w:hAnsi="宋体" w:cs="宋体"/>
          <w:b/>
          <w:bCs/>
          <w:color w:val="auto"/>
          <w:sz w:val="24"/>
          <w:highlight w:val="none"/>
        </w:rPr>
      </w:pPr>
      <w:bookmarkStart w:id="21" w:name="_Toc35393623"/>
      <w:bookmarkStart w:id="22" w:name="_Toc35393792"/>
      <w:r>
        <w:rPr>
          <w:rFonts w:hint="eastAsia" w:ascii="宋体" w:hAnsi="宋体" w:cs="宋体"/>
          <w:b/>
          <w:bCs/>
          <w:color w:val="auto"/>
          <w:sz w:val="24"/>
          <w:highlight w:val="none"/>
        </w:rPr>
        <w:t>三、获取招标文件</w:t>
      </w:r>
      <w:bookmarkEnd w:id="19"/>
      <w:bookmarkEnd w:id="20"/>
      <w:bookmarkEnd w:id="21"/>
      <w:bookmarkEnd w:id="22"/>
    </w:p>
    <w:p>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时间：2023年</w:t>
      </w:r>
      <w:r>
        <w:rPr>
          <w:rFonts w:hint="eastAsia" w:ascii="宋体" w:hAnsi="宋体" w:cs="宋体"/>
          <w:bCs/>
          <w:color w:val="auto"/>
          <w:kern w:val="0"/>
          <w:sz w:val="24"/>
          <w:highlight w:val="none"/>
          <w:lang w:val="en-US" w:eastAsia="zh-CN"/>
        </w:rPr>
        <w:t>7</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13</w:t>
      </w:r>
      <w:r>
        <w:rPr>
          <w:rFonts w:hint="eastAsia" w:ascii="宋体" w:hAnsi="宋体" w:cs="宋体"/>
          <w:bCs/>
          <w:color w:val="auto"/>
          <w:kern w:val="0"/>
          <w:sz w:val="24"/>
          <w:highlight w:val="none"/>
        </w:rPr>
        <w:t>日</w:t>
      </w:r>
      <w:r>
        <w:rPr>
          <w:rFonts w:ascii="宋体" w:hAnsi="宋体" w:cs="宋体"/>
          <w:color w:val="auto"/>
          <w:sz w:val="24"/>
          <w:highlight w:val="none"/>
        </w:rPr>
        <w:t>至</w:t>
      </w:r>
      <w:r>
        <w:rPr>
          <w:rFonts w:hint="eastAsia" w:ascii="宋体" w:hAnsi="宋体" w:cs="宋体"/>
          <w:color w:val="auto"/>
          <w:sz w:val="24"/>
          <w:highlight w:val="none"/>
        </w:rPr>
        <w:t>2023</w:t>
      </w:r>
      <w:r>
        <w:rPr>
          <w:rFonts w:ascii="宋体" w:hAnsi="宋体" w:cs="宋体"/>
          <w:color w:val="auto"/>
          <w:sz w:val="24"/>
          <w:highlight w:val="none"/>
        </w:rPr>
        <w:t>年</w:t>
      </w:r>
      <w:r>
        <w:rPr>
          <w:rFonts w:hint="eastAsia" w:ascii="宋体" w:hAnsi="宋体" w:cs="宋体"/>
          <w:color w:val="auto"/>
          <w:sz w:val="24"/>
          <w:highlight w:val="none"/>
          <w:lang w:val="en-US" w:eastAsia="zh-CN"/>
        </w:rPr>
        <w:t>7</w:t>
      </w:r>
      <w:r>
        <w:rPr>
          <w:rFonts w:ascii="宋体" w:hAnsi="宋体" w:cs="宋体"/>
          <w:color w:val="auto"/>
          <w:sz w:val="24"/>
          <w:highlight w:val="none"/>
        </w:rPr>
        <w:t>月</w:t>
      </w:r>
      <w:r>
        <w:rPr>
          <w:rFonts w:hint="eastAsia" w:ascii="宋体" w:hAnsi="宋体" w:cs="宋体"/>
          <w:color w:val="auto"/>
          <w:sz w:val="24"/>
          <w:highlight w:val="none"/>
          <w:lang w:val="en-US" w:eastAsia="zh-CN"/>
        </w:rPr>
        <w:t>20</w:t>
      </w:r>
      <w:r>
        <w:rPr>
          <w:rFonts w:ascii="宋体" w:hAnsi="宋体" w:cs="宋体"/>
          <w:color w:val="auto"/>
          <w:sz w:val="24"/>
          <w:highlight w:val="none"/>
        </w:rPr>
        <w:t>日</w:t>
      </w:r>
      <w:r>
        <w:rPr>
          <w:rFonts w:hint="eastAsia" w:ascii="宋体" w:hAnsi="宋体" w:cs="宋体"/>
          <w:color w:val="auto"/>
          <w:sz w:val="24"/>
          <w:highlight w:val="none"/>
        </w:rPr>
        <w:t>，</w:t>
      </w:r>
      <w:r>
        <w:rPr>
          <w:rFonts w:ascii="宋体" w:hAnsi="宋体" w:cs="宋体"/>
          <w:color w:val="auto"/>
          <w:sz w:val="24"/>
          <w:highlight w:val="none"/>
        </w:rPr>
        <w:t>每天上午00</w:t>
      </w:r>
      <w:r>
        <w:rPr>
          <w:rFonts w:hint="eastAsia" w:ascii="宋体" w:hAnsi="宋体" w:cs="宋体"/>
          <w:color w:val="auto"/>
          <w:sz w:val="24"/>
          <w:highlight w:val="none"/>
        </w:rPr>
        <w:t>:</w:t>
      </w:r>
      <w:r>
        <w:rPr>
          <w:rFonts w:ascii="宋体" w:hAnsi="宋体" w:cs="宋体"/>
          <w:color w:val="auto"/>
          <w:sz w:val="24"/>
          <w:highlight w:val="none"/>
        </w:rPr>
        <w:t>00至12</w:t>
      </w:r>
      <w:r>
        <w:rPr>
          <w:rFonts w:hint="eastAsia" w:ascii="宋体" w:hAnsi="宋体" w:cs="宋体"/>
          <w:color w:val="auto"/>
          <w:sz w:val="24"/>
          <w:highlight w:val="none"/>
        </w:rPr>
        <w:t>:</w:t>
      </w:r>
      <w:r>
        <w:rPr>
          <w:rFonts w:ascii="宋体" w:hAnsi="宋体" w:cs="宋体"/>
          <w:color w:val="auto"/>
          <w:sz w:val="24"/>
          <w:highlight w:val="none"/>
        </w:rPr>
        <w:t>00 ，下午12</w:t>
      </w:r>
      <w:r>
        <w:rPr>
          <w:rFonts w:hint="eastAsia" w:ascii="宋体" w:hAnsi="宋体" w:cs="宋体"/>
          <w:color w:val="auto"/>
          <w:sz w:val="24"/>
          <w:highlight w:val="none"/>
        </w:rPr>
        <w:t>:</w:t>
      </w:r>
      <w:r>
        <w:rPr>
          <w:rFonts w:ascii="宋体" w:hAnsi="宋体" w:cs="宋体"/>
          <w:color w:val="auto"/>
          <w:sz w:val="24"/>
          <w:highlight w:val="none"/>
        </w:rPr>
        <w:t>00至23</w:t>
      </w:r>
      <w:r>
        <w:rPr>
          <w:rFonts w:hint="eastAsia" w:ascii="宋体" w:hAnsi="宋体" w:cs="宋体"/>
          <w:color w:val="auto"/>
          <w:sz w:val="24"/>
          <w:highlight w:val="none"/>
        </w:rPr>
        <w:t>:</w:t>
      </w:r>
      <w:r>
        <w:rPr>
          <w:rFonts w:ascii="宋体" w:hAnsi="宋体" w:cs="宋体"/>
          <w:color w:val="auto"/>
          <w:sz w:val="24"/>
          <w:highlight w:val="none"/>
        </w:rPr>
        <w:t>59</w:t>
      </w:r>
      <w:r>
        <w:rPr>
          <w:rFonts w:hint="eastAsia" w:ascii="宋体" w:hAnsi="宋体" w:cs="宋体"/>
          <w:color w:val="auto"/>
          <w:sz w:val="24"/>
          <w:highlight w:val="none"/>
        </w:rPr>
        <w:t>（北京时间，法定节假日除外）</w:t>
      </w:r>
    </w:p>
    <w:p>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地点：“政采云”平台（http：//www.zcygov.cn）</w:t>
      </w:r>
    </w:p>
    <w:p>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bCs/>
          <w:color w:val="auto"/>
          <w:kern w:val="0"/>
          <w:sz w:val="24"/>
          <w:highlight w:val="none"/>
        </w:rPr>
        <w:t>“政采云”平台（http：//www.zcygov.cn）下载招标文件（操作路径：登录“政采云”平台-项目采购-获取采购文件-找到本项目-点击“申请获取采购文件”），电子投标文件制作需要基于“政采云”平台获取的招标文件编制。</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kern w:val="0"/>
          <w:sz w:val="24"/>
          <w:highlight w:val="none"/>
        </w:rPr>
        <w:t>售价：0元。</w:t>
      </w:r>
    </w:p>
    <w:p>
      <w:pPr>
        <w:spacing w:line="360" w:lineRule="auto"/>
        <w:rPr>
          <w:rFonts w:ascii="宋体" w:hAnsi="宋体" w:cs="宋体"/>
          <w:b/>
          <w:bCs/>
          <w:color w:val="auto"/>
          <w:sz w:val="24"/>
          <w:highlight w:val="none"/>
        </w:rPr>
      </w:pPr>
      <w:bookmarkStart w:id="23" w:name="_Toc28359082"/>
      <w:bookmarkStart w:id="24" w:name="_Toc28359005"/>
      <w:bookmarkStart w:id="25" w:name="_Toc35393793"/>
      <w:bookmarkStart w:id="26" w:name="_Toc35393624"/>
      <w:r>
        <w:rPr>
          <w:rFonts w:hint="eastAsia" w:ascii="宋体" w:hAnsi="宋体" w:cs="宋体"/>
          <w:b/>
          <w:bCs/>
          <w:color w:val="auto"/>
          <w:sz w:val="24"/>
          <w:highlight w:val="none"/>
        </w:rPr>
        <w:t>四、提交投标文件</w:t>
      </w:r>
      <w:bookmarkEnd w:id="23"/>
      <w:bookmarkEnd w:id="24"/>
      <w:r>
        <w:rPr>
          <w:rFonts w:hint="eastAsia" w:ascii="宋体" w:hAnsi="宋体" w:cs="宋体"/>
          <w:b/>
          <w:bCs/>
          <w:color w:val="auto"/>
          <w:sz w:val="24"/>
          <w:highlight w:val="none"/>
        </w:rPr>
        <w:t>截止时间、开标时间和地点</w:t>
      </w:r>
      <w:bookmarkEnd w:id="25"/>
      <w:bookmarkEnd w:id="26"/>
    </w:p>
    <w:p>
      <w:pPr>
        <w:spacing w:line="360" w:lineRule="auto"/>
        <w:ind w:firstLine="480" w:firstLineChars="200"/>
        <w:rPr>
          <w:rFonts w:ascii="宋体" w:hAnsi="宋体" w:cs="宋体"/>
          <w:color w:val="auto"/>
          <w:sz w:val="24"/>
          <w:highlight w:val="none"/>
        </w:rPr>
      </w:pPr>
      <w:bookmarkStart w:id="27" w:name="_Toc28359084"/>
      <w:bookmarkStart w:id="28" w:name="_Toc35393794"/>
      <w:bookmarkStart w:id="29" w:name="_Toc35393625"/>
      <w:bookmarkStart w:id="30" w:name="_Toc28359007"/>
      <w:r>
        <w:rPr>
          <w:rFonts w:hint="eastAsia" w:ascii="宋体" w:hAnsi="宋体" w:cs="宋体"/>
          <w:color w:val="auto"/>
          <w:sz w:val="24"/>
          <w:highlight w:val="none"/>
        </w:rPr>
        <w:t>1、截止时间、开标时间：</w:t>
      </w:r>
      <w:r>
        <w:rPr>
          <w:rFonts w:hint="eastAsia" w:ascii="宋体" w:hAnsi="宋体" w:cs="宋体"/>
          <w:color w:val="auto"/>
          <w:sz w:val="24"/>
          <w:highlight w:val="none"/>
          <w:lang w:eastAsia="zh-CN"/>
        </w:rPr>
        <w:t>2023年8月3日09时00分</w:t>
      </w:r>
      <w:r>
        <w:rPr>
          <w:rFonts w:hint="eastAsia" w:ascii="宋体" w:hAnsi="宋体" w:cs="宋体"/>
          <w:color w:val="auto"/>
          <w:sz w:val="24"/>
          <w:highlight w:val="none"/>
        </w:rPr>
        <w:t>（北京时间）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2、地点：本项目将在“政采云”平台电子开标大厅解密、开标。</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7"/>
      <w:bookmarkEnd w:id="28"/>
      <w:bookmarkEnd w:id="29"/>
      <w:bookmarkEnd w:id="30"/>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spacing w:line="360" w:lineRule="auto"/>
        <w:rPr>
          <w:rFonts w:ascii="宋体" w:hAnsi="宋体" w:eastAsia="宋体" w:cs="宋体"/>
          <w:color w:val="auto"/>
          <w:sz w:val="24"/>
          <w:highlight w:val="none"/>
        </w:rPr>
      </w:pPr>
      <w:bookmarkStart w:id="31" w:name="_Toc35393795"/>
      <w:bookmarkStart w:id="32" w:name="_Toc35393626"/>
      <w:r>
        <w:rPr>
          <w:rFonts w:hint="eastAsia" w:ascii="宋体" w:hAnsi="宋体" w:cs="宋体"/>
          <w:b/>
          <w:bCs/>
          <w:color w:val="auto"/>
          <w:sz w:val="24"/>
          <w:highlight w:val="none"/>
        </w:rPr>
        <w:t>六、</w:t>
      </w:r>
      <w:bookmarkEnd w:id="31"/>
      <w:bookmarkEnd w:id="32"/>
      <w:r>
        <w:rPr>
          <w:rFonts w:hint="eastAsia" w:ascii="宋体" w:hAnsi="宋体" w:cs="宋体"/>
          <w:b/>
          <w:bCs/>
          <w:color w:val="auto"/>
          <w:kern w:val="0"/>
          <w:sz w:val="24"/>
          <w:highlight w:val="none"/>
        </w:rPr>
        <w:t>投标保证金</w:t>
      </w:r>
      <w:bookmarkStart w:id="33" w:name="_Hlk37429674"/>
      <w:r>
        <w:rPr>
          <w:rFonts w:hint="eastAsia" w:ascii="宋体" w:hAnsi="宋体" w:cs="宋体"/>
          <w:color w:val="auto"/>
          <w:sz w:val="24"/>
          <w:highlight w:val="none"/>
        </w:rPr>
        <w:t>：16万元整（</w:t>
      </w:r>
      <w:r>
        <w:rPr>
          <w:rFonts w:hint="eastAsia" w:ascii="宋体" w:hAnsi="宋体" w:cs="宋体"/>
          <w:color w:val="auto"/>
          <w:sz w:val="24"/>
          <w:highlight w:val="none"/>
          <w:lang w:val="en-US" w:eastAsia="zh-CN"/>
        </w:rPr>
        <w:t>银行</w:t>
      </w:r>
      <w:r>
        <w:rPr>
          <w:rFonts w:hint="eastAsia" w:ascii="宋体" w:hAnsi="宋体" w:cs="宋体"/>
          <w:color w:val="auto"/>
          <w:sz w:val="24"/>
          <w:highlight w:val="none"/>
        </w:rPr>
        <w:t>转账或银行保函等非现金形式）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保证金专用银行账号：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开户名称：广西科文招标有限公司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开户银行：广西北部湾银行南宁分行营业部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银行账号：0101012090615689</w:t>
      </w:r>
    </w:p>
    <w:p>
      <w:pPr>
        <w:numPr>
          <w:ilvl w:val="0"/>
          <w:numId w:val="2"/>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其他补充事宜：</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2、根据财政部《关于在政府采购活动中查询及使用信用记录有关问题的通知》（财库〔2016〕125号）的规定，对在“信用中国”网站(www.creditchina.gov.cn) 、中国政府采购网(www.ccgp.gov.cn)被列入失信被执行人、</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、政府采购严重违法失信行为记录名单及其他不符合《中华人民共和国政府采购法》第二十二条规定条件的供应商，不得参与政府采购活动。</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3、网上查询地址：中国政府采购网（www.ccgp.gov.cn）、广西政府采购网（zfcg.gxzf.gov.cn）。</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（6）扶持不发达地区和少数民族地区政策</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5、投标注意事项：</w:t>
      </w:r>
    </w:p>
    <w:p>
      <w:pPr>
        <w:widowControl/>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cs="宋体"/>
          <w:b/>
          <w:color w:val="auto"/>
          <w:sz w:val="24"/>
          <w:highlight w:val="none"/>
        </w:rPr>
        <w:t>供应商在“政采云”平台提交电子版投标文件时，请填写参加远程开标活动经办人联系方式。</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highlight w:val="none"/>
        </w:rPr>
        <w:t>https://service.zcygov.cn/#/knowledges/tree?tag=AG1DtGwBFdiHxlNdhY0r</w:t>
      </w:r>
      <w:r>
        <w:rPr>
          <w:rFonts w:hint="eastAsia" w:ascii="宋体" w:hAnsi="宋体" w:cs="宋体"/>
          <w:color w:val="auto"/>
          <w:sz w:val="24"/>
          <w:highlight w:val="none"/>
        </w:rPr>
        <w:fldChar w:fldCharType="end"/>
      </w:r>
      <w:r>
        <w:rPr>
          <w:rFonts w:hint="eastAsia" w:ascii="宋体" w:hAnsi="宋体" w:cs="宋体"/>
          <w:color w:val="auto"/>
          <w:sz w:val="24"/>
          <w:highlight w:val="none"/>
        </w:rPr>
        <w:t>；及时完成CA申领和绑定（见广西壮族自治区政府采购网—办事服务—下载专区-政采云CA证书办理操作指南）。</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（4）为确保网上操作合法、有效和安全，请投标人确保在电子投标过程中能够对相关数据电文进行加密和使用电子签章，妥善保管CA数字证书并使用有效的CA数字证书参与整个采购活动。</w:t>
      </w:r>
    </w:p>
    <w:p>
      <w:pPr>
        <w:widowControl/>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6、CA证书在线解密：供应商投标时，需携带制作投标文件时用来加</w:t>
      </w:r>
      <w:r>
        <w:rPr>
          <w:rFonts w:hint="eastAsia" w:ascii="宋体" w:hAnsi="宋体" w:cs="宋体"/>
          <w:color w:val="auto"/>
          <w:kern w:val="0"/>
          <w:sz w:val="24"/>
          <w:highlight w:val="none"/>
        </w:rPr>
        <w:t>密的有效数字证书（CA认证）登录“政采云”平台电子开标大厅现场按规定时间对加密的投标文件进行解密，否则后果自负。</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7、若对项目采购电子交易系统操作有疑问，可登录“政采云”平台（https://www.zcygov.cn/），点击右侧咨询小采，获取采小蜜智能服务管家帮助，或拨打政采云服务热线</w:t>
      </w:r>
      <w:r>
        <w:rPr>
          <w:rFonts w:hint="eastAsia" w:ascii="宋体" w:hAnsi="宋体" w:cs="宋体"/>
          <w:color w:val="auto"/>
          <w:kern w:val="0"/>
          <w:sz w:val="24"/>
          <w:highlight w:val="none"/>
          <w:lang w:val="en-US" w:eastAsia="zh-CN"/>
        </w:rPr>
        <w:t>95763</w:t>
      </w:r>
      <w:r>
        <w:rPr>
          <w:rFonts w:hint="eastAsia" w:ascii="宋体" w:hAnsi="宋体" w:cs="宋体"/>
          <w:color w:val="auto"/>
          <w:kern w:val="0"/>
          <w:sz w:val="24"/>
          <w:highlight w:val="none"/>
        </w:rPr>
        <w:t>获取热线服务帮助。</w:t>
      </w:r>
      <w:bookmarkEnd w:id="33"/>
    </w:p>
    <w:p>
      <w:pPr>
        <w:spacing w:line="360" w:lineRule="auto"/>
        <w:rPr>
          <w:rFonts w:ascii="宋体" w:hAnsi="宋体" w:cs="宋体"/>
          <w:b/>
          <w:bCs/>
          <w:color w:val="auto"/>
          <w:sz w:val="24"/>
          <w:highlight w:val="none"/>
        </w:rPr>
      </w:pPr>
      <w:bookmarkStart w:id="34" w:name="_Toc35393796"/>
      <w:bookmarkStart w:id="35" w:name="_Toc28359008"/>
      <w:bookmarkStart w:id="36" w:name="_Toc35393627"/>
      <w:bookmarkStart w:id="37" w:name="_Toc28359085"/>
      <w:r>
        <w:rPr>
          <w:rFonts w:hint="eastAsia" w:ascii="宋体" w:hAnsi="宋体" w:cs="宋体"/>
          <w:b/>
          <w:bCs/>
          <w:color w:val="auto"/>
          <w:sz w:val="24"/>
          <w:highlight w:val="none"/>
        </w:rPr>
        <w:t>八、对本次招标提出询问，请按以下方式联系。</w:t>
      </w:r>
      <w:bookmarkEnd w:id="34"/>
      <w:bookmarkEnd w:id="35"/>
      <w:bookmarkEnd w:id="36"/>
      <w:bookmarkEnd w:id="37"/>
    </w:p>
    <w:p>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 xml:space="preserve">名 称：广西壮族自治区公安厅        </w:t>
      </w:r>
    </w:p>
    <w:p>
      <w:pPr>
        <w:spacing w:line="360" w:lineRule="auto"/>
        <w:ind w:firstLine="648" w:firstLineChars="270"/>
        <w:jc w:val="left"/>
        <w:rPr>
          <w:rFonts w:ascii="宋体" w:hAnsi="宋体" w:eastAsia="宋体" w:cs="宋体"/>
          <w:color w:val="auto"/>
          <w:sz w:val="24"/>
          <w:highlight w:val="none"/>
        </w:rPr>
      </w:pPr>
      <w:r>
        <w:rPr>
          <w:rFonts w:hint="eastAsia" w:ascii="宋体" w:hAnsi="宋体" w:cs="宋体"/>
          <w:color w:val="auto"/>
          <w:sz w:val="24"/>
          <w:highlight w:val="none"/>
        </w:rPr>
        <w:t>地址：南宁市青秀区佛子岭路1号</w:t>
      </w:r>
    </w:p>
    <w:p>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联系人：何定海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0771-</w:t>
      </w:r>
      <w:r>
        <w:rPr>
          <w:rFonts w:hint="eastAsia" w:ascii="宋体" w:hAnsi="宋体" w:cs="宋体"/>
          <w:color w:val="auto"/>
          <w:sz w:val="24"/>
          <w:highlight w:val="none"/>
        </w:rPr>
        <w:t>2893177 　　　</w:t>
      </w:r>
    </w:p>
    <w:p>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2、采购代理机构信息</w:t>
      </w:r>
    </w:p>
    <w:p>
      <w:pPr>
        <w:spacing w:line="360" w:lineRule="auto"/>
        <w:ind w:firstLine="648" w:firstLineChars="270"/>
        <w:rPr>
          <w:rFonts w:ascii="宋体" w:hAnsi="宋体" w:cs="宋体"/>
          <w:color w:val="auto"/>
          <w:sz w:val="24"/>
          <w:highlight w:val="none"/>
        </w:rPr>
      </w:pPr>
      <w:r>
        <w:rPr>
          <w:rFonts w:hint="eastAsia" w:ascii="宋体" w:hAnsi="宋体" w:cs="宋体"/>
          <w:color w:val="auto"/>
          <w:sz w:val="24"/>
          <w:highlight w:val="none"/>
        </w:rPr>
        <w:t>名 称：广西科文招标有限公司</w:t>
      </w:r>
    </w:p>
    <w:p>
      <w:pPr>
        <w:spacing w:line="360" w:lineRule="auto"/>
        <w:ind w:firstLine="648" w:firstLineChars="270"/>
        <w:rPr>
          <w:rFonts w:ascii="宋体" w:hAnsi="宋体" w:cs="宋体"/>
          <w:color w:val="auto"/>
          <w:sz w:val="24"/>
          <w:highlight w:val="none"/>
        </w:rPr>
      </w:pPr>
      <w:r>
        <w:rPr>
          <w:rFonts w:hint="eastAsia" w:ascii="宋体" w:hAnsi="宋体" w:cs="宋体"/>
          <w:color w:val="auto"/>
          <w:sz w:val="24"/>
          <w:highlight w:val="none"/>
        </w:rPr>
        <w:t>地　址：广西南宁市民族大道141号中鼎万象东方D区五层</w:t>
      </w:r>
    </w:p>
    <w:p>
      <w:pPr>
        <w:spacing w:line="360" w:lineRule="auto"/>
        <w:ind w:firstLine="648" w:firstLineChars="270"/>
        <w:rPr>
          <w:rFonts w:ascii="宋体" w:hAnsi="宋体" w:cs="宋体"/>
          <w:color w:val="auto"/>
          <w:sz w:val="24"/>
          <w:highlight w:val="none"/>
        </w:rPr>
      </w:pPr>
      <w:bookmarkStart w:id="38" w:name="_Toc28359087"/>
      <w:bookmarkStart w:id="39" w:name="_Toc28359010"/>
      <w:r>
        <w:rPr>
          <w:rFonts w:hint="eastAsia" w:ascii="宋体" w:hAnsi="宋体" w:cs="宋体"/>
          <w:color w:val="auto"/>
          <w:sz w:val="24"/>
          <w:highlight w:val="none"/>
        </w:rPr>
        <w:t>联系人：梁伟贞   联系电话：0771-2023650    传真：0771-2023997</w:t>
      </w:r>
    </w:p>
    <w:p>
      <w:pPr>
        <w:spacing w:line="360" w:lineRule="auto"/>
        <w:ind w:firstLine="648" w:firstLineChars="270"/>
        <w:rPr>
          <w:rFonts w:ascii="宋体" w:hAnsi="宋体" w:cs="宋体"/>
          <w:color w:val="auto"/>
          <w:sz w:val="24"/>
          <w:highlight w:val="none"/>
        </w:rPr>
      </w:pPr>
      <w:r>
        <w:rPr>
          <w:rFonts w:hint="eastAsia" w:ascii="宋体" w:hAnsi="宋体" w:cs="宋体"/>
          <w:color w:val="auto"/>
          <w:sz w:val="24"/>
          <w:highlight w:val="none"/>
        </w:rPr>
        <w:t>3、项目联系方式</w:t>
      </w:r>
      <w:bookmarkEnd w:id="38"/>
      <w:bookmarkEnd w:id="39"/>
    </w:p>
    <w:p>
      <w:pPr>
        <w:spacing w:line="360" w:lineRule="auto"/>
        <w:ind w:left="420" w:leftChars="200" w:firstLine="218" w:firstLineChars="91"/>
        <w:rPr>
          <w:rFonts w:ascii="宋体" w:hAnsi="宋体" w:cs="宋体"/>
          <w:color w:val="auto"/>
          <w:sz w:val="24"/>
          <w:highlight w:val="none"/>
        </w:rPr>
      </w:pPr>
      <w:r>
        <w:rPr>
          <w:rFonts w:hint="eastAsia" w:ascii="宋体" w:hAnsi="宋体" w:cs="宋体"/>
          <w:color w:val="auto"/>
          <w:sz w:val="24"/>
          <w:highlight w:val="none"/>
        </w:rPr>
        <w:t>项目联系人：梁伟贞   电　话：0771-2023650</w:t>
      </w:r>
    </w:p>
    <w:p>
      <w:pPr>
        <w:spacing w:line="360" w:lineRule="auto"/>
        <w:jc w:val="right"/>
        <w:rPr>
          <w:rFonts w:ascii="宋体" w:hAnsi="宋体" w:cs="宋体"/>
          <w:color w:val="auto"/>
          <w:sz w:val="24"/>
          <w:highlight w:val="none"/>
        </w:rPr>
      </w:pPr>
      <w:r>
        <w:rPr>
          <w:rFonts w:hint="eastAsia" w:ascii="宋体" w:hAnsi="宋体" w:cs="宋体"/>
          <w:color w:val="auto"/>
          <w:sz w:val="24"/>
          <w:highlight w:val="none"/>
        </w:rPr>
        <w:t>招标代理机构：广西科文招标有限公司</w:t>
      </w:r>
    </w:p>
    <w:p>
      <w:pPr>
        <w:wordWrap w:val="0"/>
        <w:snapToGrid w:val="0"/>
        <w:spacing w:line="360" w:lineRule="auto"/>
        <w:ind w:left="238"/>
        <w:jc w:val="right"/>
        <w:rPr>
          <w:rFonts w:ascii="宋体" w:hAnsi="宋体" w:cs="宋体"/>
          <w:color w:val="auto"/>
          <w:sz w:val="24"/>
          <w:highlight w:val="none"/>
        </w:rPr>
      </w:pPr>
      <w:r>
        <w:rPr>
          <w:rFonts w:hint="eastAsia" w:ascii="宋体" w:hAnsi="宋体" w:cs="宋体"/>
          <w:color w:val="auto"/>
          <w:sz w:val="24"/>
          <w:highlight w:val="none"/>
        </w:rPr>
        <w:t>2023年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 xml:space="preserve">日 </w:t>
      </w:r>
    </w:p>
    <w:p>
      <w:pPr>
        <w:wordWrap w:val="0"/>
        <w:snapToGrid w:val="0"/>
        <w:spacing w:line="360" w:lineRule="auto"/>
        <w:ind w:left="238"/>
        <w:jc w:val="right"/>
        <w:rPr>
          <w:rFonts w:ascii="宋体" w:hAnsi="宋体" w:cs="宋体"/>
          <w:color w:val="auto"/>
          <w:sz w:val="24"/>
          <w:highlight w:val="none"/>
        </w:rPr>
      </w:pPr>
      <w:r>
        <w:rPr>
          <w:rFonts w:hint="eastAsia" w:ascii="宋体" w:hAnsi="宋体" w:cs="宋体"/>
          <w:color w:val="auto"/>
          <w:sz w:val="24"/>
          <w:highlight w:val="none"/>
        </w:rPr>
        <w:t xml:space="preserve"> </w:t>
      </w:r>
    </w:p>
    <w:p>
      <w:pPr>
        <w:rPr>
          <w:rFonts w:ascii="宋体" w:hAnsi="宋体" w:cs="宋体"/>
          <w:color w:val="auto"/>
          <w:highlight w:val="none"/>
        </w:rPr>
      </w:pPr>
      <w:bookmarkStart w:id="40" w:name="_Toc74320801"/>
      <w:r>
        <w:rPr>
          <w:rFonts w:hint="eastAsia" w:ascii="宋体" w:hAnsi="宋体" w:cs="宋体"/>
          <w:color w:val="auto"/>
          <w:highlight w:val="none"/>
        </w:rPr>
        <w:br w:type="page"/>
      </w:r>
    </w:p>
    <w:p>
      <w:pPr>
        <w:pStyle w:val="3"/>
        <w:spacing w:line="240" w:lineRule="auto"/>
        <w:jc w:val="center"/>
        <w:rPr>
          <w:rFonts w:ascii="宋体" w:hAnsi="宋体" w:cs="宋体"/>
          <w:color w:val="auto"/>
          <w:highlight w:val="none"/>
        </w:rPr>
      </w:pPr>
      <w:r>
        <w:rPr>
          <w:rFonts w:hint="eastAsia" w:ascii="宋体" w:hAnsi="宋体" w:cs="宋体"/>
          <w:color w:val="auto"/>
          <w:highlight w:val="none"/>
        </w:rPr>
        <w:t>第二章  采购需求</w:t>
      </w:r>
      <w:bookmarkEnd w:id="40"/>
    </w:p>
    <w:p>
      <w:pPr>
        <w:spacing w:line="360" w:lineRule="auto"/>
        <w:ind w:left="-10" w:leftChars="-5" w:right="2" w:rightChars="1" w:firstLine="480" w:firstLineChars="200"/>
        <w:rPr>
          <w:bCs/>
          <w:color w:val="auto"/>
          <w:sz w:val="24"/>
          <w:highlight w:val="none"/>
        </w:rPr>
      </w:pPr>
      <w:bookmarkStart w:id="41" w:name="_Toc254970631"/>
      <w:bookmarkStart w:id="42" w:name="_Toc254970490"/>
      <w:r>
        <w:rPr>
          <w:rFonts w:hint="eastAsia"/>
          <w:bCs/>
          <w:color w:val="auto"/>
          <w:sz w:val="24"/>
          <w:highlight w:val="none"/>
        </w:rPr>
        <w:t>说明：</w:t>
      </w:r>
    </w:p>
    <w:p>
      <w:pPr>
        <w:spacing w:line="360" w:lineRule="auto"/>
        <w:ind w:left="-10" w:leftChars="-5" w:right="2" w:rightChars="1" w:firstLine="480" w:firstLineChars="200"/>
        <w:rPr>
          <w:bCs/>
          <w:color w:val="auto"/>
          <w:sz w:val="24"/>
          <w:highlight w:val="none"/>
        </w:rPr>
      </w:pPr>
      <w:r>
        <w:rPr>
          <w:bCs/>
          <w:color w:val="auto"/>
          <w:sz w:val="24"/>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pPr>
        <w:spacing w:line="360" w:lineRule="auto"/>
        <w:ind w:left="-10" w:leftChars="-5" w:right="2" w:rightChars="1" w:firstLine="480" w:firstLineChars="200"/>
        <w:rPr>
          <w:bCs/>
          <w:color w:val="auto"/>
          <w:sz w:val="24"/>
          <w:highlight w:val="none"/>
        </w:rPr>
      </w:pPr>
      <w:r>
        <w:rPr>
          <w:bCs/>
          <w:color w:val="auto"/>
          <w:sz w:val="24"/>
          <w:highlight w:val="none"/>
        </w:rPr>
        <w:t>2、凡在“技术要求”中表述为“标配”或“标准配置”的设备，投标人应在投标设备性能配置清单中将其标配参数详细列明。</w:t>
      </w:r>
    </w:p>
    <w:p>
      <w:pPr>
        <w:spacing w:line="360" w:lineRule="auto"/>
        <w:ind w:left="-10" w:leftChars="-5" w:right="2" w:rightChars="1" w:firstLine="480" w:firstLineChars="200"/>
        <w:rPr>
          <w:bCs/>
          <w:color w:val="auto"/>
          <w:sz w:val="24"/>
          <w:highlight w:val="none"/>
        </w:rPr>
      </w:pPr>
      <w:r>
        <w:rPr>
          <w:bCs/>
          <w:color w:val="auto"/>
          <w:sz w:val="24"/>
          <w:highlight w:val="none"/>
        </w:rPr>
        <w:t>3、根据《财政部发展改革委生态环境部市场监管总局关于调整优化节能产品、环境标志产品政府采购执行机制的通知》（财库〔2019〕9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bCs/>
          <w:color w:val="auto"/>
          <w:sz w:val="24"/>
          <w:highlight w:val="none"/>
        </w:rPr>
        <w:t>★</w:t>
      </w:r>
      <w:r>
        <w:rPr>
          <w:bCs/>
          <w:color w:val="auto"/>
          <w:sz w:val="24"/>
          <w:highlight w:val="none"/>
        </w:rPr>
        <w:t>”的（详见本章后附的节能产品政府采购品目清单），投标人的投标货物必须使用政府强制采购的节能产品，否则投标文件作无效处理。</w:t>
      </w:r>
    </w:p>
    <w:p>
      <w:pPr>
        <w:spacing w:line="360" w:lineRule="auto"/>
        <w:ind w:left="-10" w:leftChars="-5" w:right="2" w:rightChars="1" w:firstLine="480" w:firstLineChars="200"/>
        <w:rPr>
          <w:bCs/>
          <w:color w:val="auto"/>
          <w:sz w:val="24"/>
          <w:highlight w:val="none"/>
        </w:rPr>
      </w:pPr>
      <w:r>
        <w:rPr>
          <w:bCs/>
          <w:color w:val="auto"/>
          <w:sz w:val="24"/>
          <w:highlight w:val="none"/>
        </w:rPr>
        <w:t>4、如投标人投标产品存在侵犯他人的知识产权或者专利成果行为的，由投标人自行承担相应法律责任。</w:t>
      </w:r>
    </w:p>
    <w:p>
      <w:pPr>
        <w:spacing w:line="360" w:lineRule="auto"/>
        <w:ind w:left="-10" w:leftChars="-5" w:right="2" w:rightChars="1" w:firstLine="480" w:firstLineChars="200"/>
        <w:rPr>
          <w:bCs/>
          <w:color w:val="auto"/>
          <w:sz w:val="24"/>
          <w:highlight w:val="none"/>
        </w:rPr>
      </w:pPr>
      <w:r>
        <w:rPr>
          <w:bCs/>
          <w:color w:val="auto"/>
          <w:sz w:val="24"/>
          <w:highlight w:val="none"/>
        </w:rPr>
        <w:t>5、“实质性要求”是指招标文件中已经指明不满足则投标无效的条款，或者不能负偏离的条款，或者采购需求中带“</w:t>
      </w:r>
      <w:r>
        <w:rPr>
          <w:rFonts w:hint="eastAsia"/>
          <w:bCs/>
          <w:color w:val="auto"/>
          <w:sz w:val="24"/>
          <w:highlight w:val="none"/>
        </w:rPr>
        <w:t>▲</w:t>
      </w:r>
      <w:r>
        <w:rPr>
          <w:bCs/>
          <w:color w:val="auto"/>
          <w:sz w:val="24"/>
          <w:highlight w:val="none"/>
        </w:rPr>
        <w:t>”的条款。</w:t>
      </w:r>
    </w:p>
    <w:p>
      <w:pPr>
        <w:spacing w:line="360" w:lineRule="auto"/>
        <w:ind w:left="-10" w:leftChars="-5" w:right="2" w:rightChars="1" w:firstLine="480" w:firstLineChars="200"/>
        <w:rPr>
          <w:bCs/>
          <w:color w:val="auto"/>
          <w:sz w:val="24"/>
          <w:highlight w:val="none"/>
        </w:rPr>
      </w:pPr>
      <w:r>
        <w:rPr>
          <w:bCs/>
          <w:color w:val="auto"/>
          <w:sz w:val="24"/>
          <w:highlight w:val="none"/>
        </w:rPr>
        <w:t>6、</w:t>
      </w:r>
      <w:r>
        <w:rPr>
          <w:rFonts w:hint="eastAsia"/>
          <w:bCs/>
          <w:color w:val="auto"/>
          <w:sz w:val="24"/>
          <w:highlight w:val="none"/>
        </w:rPr>
        <w:t>主要技术参数及性能（配置）要求中，</w:t>
      </w:r>
      <w:r>
        <w:rPr>
          <w:rFonts w:hint="eastAsia" w:ascii="宋体" w:hAnsi="宋体" w:eastAsia="宋体" w:cs="宋体"/>
          <w:color w:val="auto"/>
          <w:kern w:val="0"/>
          <w:sz w:val="24"/>
          <w:highlight w:val="none"/>
        </w:rPr>
        <w:t>综合布线系统所有参数不允许负偏离，其他各系统参数不</w:t>
      </w:r>
      <w:r>
        <w:rPr>
          <w:bCs/>
          <w:color w:val="auto"/>
          <w:sz w:val="24"/>
          <w:highlight w:val="none"/>
        </w:rPr>
        <w:t>带“</w:t>
      </w:r>
      <w:r>
        <w:rPr>
          <w:rFonts w:hint="eastAsia"/>
          <w:bCs/>
          <w:color w:val="auto"/>
          <w:sz w:val="24"/>
          <w:highlight w:val="none"/>
        </w:rPr>
        <w:t>▲</w:t>
      </w:r>
      <w:r>
        <w:rPr>
          <w:bCs/>
          <w:color w:val="auto"/>
          <w:sz w:val="24"/>
          <w:highlight w:val="none"/>
        </w:rPr>
        <w:t>”</w:t>
      </w:r>
      <w:r>
        <w:rPr>
          <w:rFonts w:hint="eastAsia"/>
          <w:bCs/>
          <w:color w:val="auto"/>
          <w:sz w:val="24"/>
          <w:highlight w:val="none"/>
        </w:rPr>
        <w:t>非</w:t>
      </w:r>
      <w:r>
        <w:rPr>
          <w:bCs/>
          <w:color w:val="auto"/>
          <w:sz w:val="24"/>
          <w:highlight w:val="none"/>
        </w:rPr>
        <w:t>实质性要求</w:t>
      </w:r>
      <w:r>
        <w:rPr>
          <w:rFonts w:hint="eastAsia"/>
          <w:bCs/>
          <w:color w:val="auto"/>
          <w:sz w:val="24"/>
          <w:highlight w:val="none"/>
        </w:rPr>
        <w:t>允许负偏离的条款数为10项，超过10项负偏离的投标无效。</w:t>
      </w:r>
    </w:p>
    <w:p>
      <w:pPr>
        <w:spacing w:line="360" w:lineRule="auto"/>
        <w:ind w:left="-10" w:leftChars="-5" w:right="2" w:rightChars="1" w:firstLine="480" w:firstLineChars="200"/>
        <w:rPr>
          <w:bCs/>
          <w:color w:val="auto"/>
          <w:sz w:val="24"/>
          <w:highlight w:val="none"/>
        </w:rPr>
      </w:pPr>
      <w:r>
        <w:rPr>
          <w:rFonts w:hint="eastAsia"/>
          <w:bCs/>
          <w:color w:val="auto"/>
          <w:sz w:val="24"/>
          <w:highlight w:val="none"/>
        </w:rPr>
        <w:t>7、</w:t>
      </w:r>
      <w:r>
        <w:rPr>
          <w:bCs/>
          <w:color w:val="auto"/>
          <w:sz w:val="24"/>
          <w:highlight w:val="none"/>
        </w:rPr>
        <w:t>投标人应根据自身实际情况如实响应招标文件，不得仅将招标文件内容简单复制粘贴作为投标响应，否则投标文件作无效处理（定制采购不适用本条款）。</w:t>
      </w:r>
    </w:p>
    <w:p>
      <w:pPr>
        <w:spacing w:line="360" w:lineRule="auto"/>
        <w:ind w:left="-10" w:leftChars="-5" w:right="2" w:rightChars="1" w:firstLine="480" w:firstLineChars="200"/>
        <w:rPr>
          <w:bCs/>
          <w:color w:val="auto"/>
          <w:sz w:val="24"/>
          <w:highlight w:val="none"/>
        </w:rPr>
      </w:pPr>
      <w:r>
        <w:rPr>
          <w:rFonts w:hint="eastAsia"/>
          <w:bCs/>
          <w:color w:val="auto"/>
          <w:sz w:val="24"/>
          <w:highlight w:val="none"/>
        </w:rPr>
        <w:t>8、</w:t>
      </w:r>
      <w:r>
        <w:rPr>
          <w:bCs/>
          <w:color w:val="auto"/>
          <w:sz w:val="24"/>
          <w:highlight w:val="none"/>
        </w:rPr>
        <w:t>项目所属行业：工业</w:t>
      </w:r>
    </w:p>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bookmarkEnd w:id="41"/>
    <w:bookmarkEnd w:id="42"/>
    <w:tbl>
      <w:tblPr>
        <w:tblStyle w:val="23"/>
        <w:tblW w:w="9677" w:type="dxa"/>
        <w:jc w:val="center"/>
        <w:tblLayout w:type="fixed"/>
        <w:tblCellMar>
          <w:top w:w="0" w:type="dxa"/>
          <w:left w:w="0" w:type="dxa"/>
          <w:bottom w:w="0" w:type="dxa"/>
          <w:right w:w="0" w:type="dxa"/>
        </w:tblCellMar>
      </w:tblPr>
      <w:tblGrid>
        <w:gridCol w:w="749"/>
        <w:gridCol w:w="862"/>
        <w:gridCol w:w="785"/>
        <w:gridCol w:w="733"/>
        <w:gridCol w:w="1017"/>
        <w:gridCol w:w="5531"/>
      </w:tblGrid>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bookmarkStart w:id="43" w:name="_Toc74320802"/>
            <w:r>
              <w:rPr>
                <w:rFonts w:hint="eastAsia" w:ascii="宋体" w:hAnsi="宋体" w:eastAsia="宋体" w:cs="宋体"/>
                <w:color w:val="auto"/>
                <w:kern w:val="0"/>
                <w:sz w:val="24"/>
                <w:szCs w:val="24"/>
                <w:highlight w:val="none"/>
              </w:rPr>
              <w:t>项号</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项目名称</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计量单位</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采购标的名称</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主要技术参数及性能（配置）要求</w:t>
            </w:r>
          </w:p>
        </w:tc>
      </w:tr>
      <w:tr>
        <w:tblPrEx>
          <w:tblCellMar>
            <w:top w:w="0" w:type="dxa"/>
            <w:left w:w="0" w:type="dxa"/>
            <w:bottom w:w="0" w:type="dxa"/>
            <w:right w:w="0" w:type="dxa"/>
          </w:tblCellMar>
        </w:tblPrEx>
        <w:trPr>
          <w:trHeight w:val="347"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▲综合布线系统</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3404</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单口非屏蔽信息插座</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模块：</w:t>
            </w:r>
          </w:p>
          <w:p>
            <w:pPr>
              <w:widowControl/>
              <w:numPr>
                <w:ilvl w:val="255"/>
                <w:numId w:val="0"/>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1）满足或超过如TIA/EIA568-C和ISO/IEC 11801:2002第二版中所规定的6类关于传输硬件的传输要求， 向下与5E、5和3类跳线和电缆兼容。投标文件中须提供具有资质的第三方检测机构出具的真实有效的六类信道测试报告。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能够作为模块化配线的选择或作为模块化的电信信息口，带宽不少于250Mhz，支持高速、高带宽的应用。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 IDC端接采用线对分离设计和更宽的导体导入位置，配有防止污染和确保连接的端接盖帽。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自带彩色的标识标签以确保准确的安装，达到UL94V0的阻燃标准。</w:t>
            </w:r>
          </w:p>
          <w:p>
            <w:pPr>
              <w:widowControl/>
              <w:numPr>
                <w:ilvl w:val="255"/>
                <w:numId w:val="0"/>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2.面板：</w:t>
            </w:r>
          </w:p>
          <w:p>
            <w:pPr>
              <w:widowControl/>
              <w:numPr>
                <w:ilvl w:val="255"/>
                <w:numId w:val="0"/>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材料符合UL 94-V0，单口</w:t>
            </w:r>
          </w:p>
          <w:p>
            <w:pPr>
              <w:widowControl/>
              <w:spacing w:line="240" w:lineRule="auto"/>
              <w:jc w:val="left"/>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 86型平面面板</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自带弹压式防尘盖</w:t>
            </w:r>
          </w:p>
          <w:p>
            <w:pPr>
              <w:widowControl/>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4) 隐藏式螺钉设计，含标签盖板等附件</w:t>
            </w:r>
          </w:p>
        </w:tc>
      </w:tr>
      <w:tr>
        <w:tblPrEx>
          <w:tblCellMar>
            <w:top w:w="0" w:type="dxa"/>
            <w:left w:w="0" w:type="dxa"/>
            <w:bottom w:w="0" w:type="dxa"/>
            <w:right w:w="0" w:type="dxa"/>
          </w:tblCellMar>
        </w:tblPrEx>
        <w:trPr>
          <w:trHeight w:val="146"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2335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双口非屏蔽信息插座</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255"/>
                <w:numId w:val="0"/>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1.模块：</w:t>
            </w:r>
          </w:p>
          <w:p>
            <w:pPr>
              <w:widowControl/>
              <w:numPr>
                <w:ilvl w:val="255"/>
                <w:numId w:val="0"/>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1）满足或超过如TIA/EIA568-C和ISO/IEC 11801:2002第二版中所规定的6类关于传输硬件的传输要求， 向下与5E、5和3类跳线和电缆兼容。投标文件中须提供具有资质的第三方检测机构出具的真实有效的六类信道测试报告。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能够作为模块化配线的选择或作为模块化的电信信息口，带宽不少于250Mhz，支持高速、高带宽的应用。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 IDC端接采用线对分离设计和更宽的导体导入位置，配有防止污染和确保连接的端接盖帽。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自带彩色的标识标签以确保准确的安装，达到UL94V0的阻燃标准。</w:t>
            </w:r>
          </w:p>
          <w:p>
            <w:pPr>
              <w:widowControl/>
              <w:numPr>
                <w:ilvl w:val="255"/>
                <w:numId w:val="0"/>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2.面板：</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材料符合UL 94-V0，双口</w:t>
            </w:r>
          </w:p>
          <w:p>
            <w:pPr>
              <w:widowControl/>
              <w:spacing w:line="240" w:lineRule="auto"/>
              <w:jc w:val="left"/>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 86型平面面板</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自带弹压式防尘盖</w:t>
            </w:r>
          </w:p>
          <w:p>
            <w:pPr>
              <w:widowControl/>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4) 隐藏式螺钉设计，含标签盖板等附件</w:t>
            </w:r>
          </w:p>
        </w:tc>
      </w:tr>
      <w:tr>
        <w:tblPrEx>
          <w:tblCellMar>
            <w:top w:w="0" w:type="dxa"/>
            <w:left w:w="0" w:type="dxa"/>
            <w:bottom w:w="0" w:type="dxa"/>
            <w:right w:w="0" w:type="dxa"/>
          </w:tblCellMar>
        </w:tblPrEx>
        <w:trPr>
          <w:trHeight w:val="146"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单口屏蔽信息插座</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4"/>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模块：</w:t>
            </w:r>
          </w:p>
          <w:p>
            <w:pPr>
              <w:widowControl/>
              <w:numPr>
                <w:ilvl w:val="255"/>
                <w:numId w:val="0"/>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满足或超过如TIA/EIA568-C和ISO/IEC 11801:2002第二版中所规定的屏蔽6类关于传输硬件的传输要求， 向下与5E、5和3类跳线和电缆兼容。投标文件中须提供具有资质的第三方检测机构出具的真实有效的六类信道测试报告。</w:t>
            </w:r>
          </w:p>
          <w:p>
            <w:pPr>
              <w:widowControl/>
              <w:numPr>
                <w:ilvl w:val="255"/>
                <w:numId w:val="0"/>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2.面板：</w:t>
            </w:r>
          </w:p>
          <w:p>
            <w:pPr>
              <w:widowControl/>
              <w:numPr>
                <w:ilvl w:val="255"/>
                <w:numId w:val="0"/>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材料符合UL 94-V0，单口</w:t>
            </w:r>
          </w:p>
          <w:p>
            <w:pPr>
              <w:widowControl/>
              <w:spacing w:line="240" w:lineRule="auto"/>
              <w:jc w:val="left"/>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 86型平面面板</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自带弹压式防尘盖</w:t>
            </w:r>
          </w:p>
          <w:p>
            <w:pPr>
              <w:widowControl/>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4) 隐藏式螺钉设计，含标签盖板等附件</w:t>
            </w:r>
          </w:p>
        </w:tc>
      </w:tr>
      <w:tr>
        <w:tblPrEx>
          <w:tblCellMar>
            <w:top w:w="0" w:type="dxa"/>
            <w:left w:w="0" w:type="dxa"/>
            <w:bottom w:w="0" w:type="dxa"/>
            <w:right w:w="0" w:type="dxa"/>
          </w:tblCellMar>
        </w:tblPrEx>
        <w:trPr>
          <w:trHeight w:val="376"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344345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六类非屏蔽双绞线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5"/>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线缆结构要求：单铜芯硬线，中间带十字支撑架。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标准：YD/T 1019 6类、ANSI/TIA-568.2-D Cat6和ISO/IEC 11801 Class E。</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3)单根导体100米最大电阻：≤7.5Ω，投标文件中须提供具有资质的第三方检测机构出具的真实有效的报告证明。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多连接电气性能：支持带中继点的90米以内ANSI/TIA-568-2.D-2018标准的Cat6类信道和Cat6类链路 ，投标文件中须提供具有资质的第三方检测机构出具的真实有效的报告证明。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 工作频率最大：250MHz。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 护套材料：LSZH阻燃护套，投标文件中须提供具有资质的第三方检测机构出具的真实有效的报告证明和认证证书。</w:t>
            </w:r>
          </w:p>
          <w:p>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参考品牌：</w:t>
            </w:r>
            <w:r>
              <w:rPr>
                <w:rFonts w:hint="eastAsia" w:ascii="宋体" w:hAnsi="宋体" w:eastAsia="宋体" w:cs="宋体"/>
                <w:color w:val="auto"/>
                <w:kern w:val="0"/>
                <w:sz w:val="24"/>
                <w:szCs w:val="24"/>
                <w:highlight w:val="none"/>
                <w:lang w:eastAsia="zh-CN"/>
              </w:rPr>
              <w:t>罗格朗、秋叶原、清华同方、赛格或符合技术参数要求的同等及以上品牌</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610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六类屏蔽双绞线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满足TIA/EIA-568 Cat.6，ISO 11801 Class EA 标准;</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性能：90米以上的六类信道链路支持4连接，投标文件中须提供具有资质的第三方检测机构出具的真实有效的测试报告；</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支持机柜间的5米短链路连接，投标文件中须提供具有资质的第三方检测机构出具的真实有效的测试报告；</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带宽 250Mhz </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中间十字填充骨架</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护套直径7.0-7.5mm</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外皮：CMR或国家同等标准阻燃，投标文件中须提供具有资质的第三方检测机构出具的真实有效的测试报告；</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工作温度：-20度到60度。</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49180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PVC管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14754</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凿槽及恢复</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凿槽及恢复及垃圾处理等</w:t>
            </w:r>
          </w:p>
        </w:tc>
      </w:tr>
      <w:tr>
        <w:tblPrEx>
          <w:tblCellMar>
            <w:top w:w="0" w:type="dxa"/>
            <w:left w:w="0" w:type="dxa"/>
            <w:bottom w:w="0" w:type="dxa"/>
            <w:right w:w="0" w:type="dxa"/>
          </w:tblCellMar>
        </w:tblPrEx>
        <w:trPr>
          <w:trHeight w:val="20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418</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24口六类非屏蔽配线架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24端口6类非屏蔽配线架，4组6口模块电路板设计，19英寸机架式</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模块插座: 750 插接，打线端口: 200 次端接，</w:t>
            </w:r>
          </w:p>
          <w:p>
            <w:pPr>
              <w:widowControl/>
              <w:spacing w:line="240" w:lineRule="auto"/>
              <w:jc w:val="left"/>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配线架满配24个散装模块，模块组可自由拆卸，方便端接及维护管理</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5）不含耦合器、尾纤、模块</w:t>
            </w:r>
          </w:p>
        </w:tc>
      </w:tr>
      <w:tr>
        <w:tblPrEx>
          <w:tblCellMar>
            <w:top w:w="0" w:type="dxa"/>
            <w:left w:w="0" w:type="dxa"/>
            <w:bottom w:w="0" w:type="dxa"/>
            <w:right w:w="0" w:type="dxa"/>
          </w:tblCellMar>
        </w:tblPrEx>
        <w:trPr>
          <w:trHeight w:val="23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条</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8265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六类非屏蔽跳线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1）所有跳线应超出TIA/EIA 以及 ISO/IEC 6类/E级规格要求。</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2）所有跳线应向后与5类及 5E 类系统兼容。</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3）跳线应包括反阻碍功能，该功能可在移动或重新安装过程中防止阻碍。</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4）导体线规：24AWG,多股铜芯绞合的软跳线设计，外径：5.97mm。</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r>
      <w:tr>
        <w:tblPrEx>
          <w:tblCellMar>
            <w:top w:w="0" w:type="dxa"/>
            <w:left w:w="0" w:type="dxa"/>
            <w:bottom w:w="0" w:type="dxa"/>
            <w:right w:w="0" w:type="dxa"/>
          </w:tblCellMar>
        </w:tblPrEx>
        <w:trPr>
          <w:trHeight w:val="17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24口六类屏蔽配线架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40" w:lineRule="auto"/>
              <w:jc w:val="left"/>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24端口6类屏蔽配线架，4组6口模块电路板设计，19英寸机架式</w:t>
            </w:r>
          </w:p>
          <w:p>
            <w:pPr>
              <w:widowControl/>
              <w:spacing w:line="240" w:lineRule="auto"/>
              <w:jc w:val="left"/>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模块插座: 750 插接，打线端口: 200 次端接，</w:t>
            </w:r>
          </w:p>
          <w:p>
            <w:pPr>
              <w:widowControl/>
              <w:spacing w:line="240" w:lineRule="auto"/>
              <w:jc w:val="left"/>
              <w:textAlignment w:val="top"/>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配线架满配24个散装模块，模块组可自由拆卸，方便端接及维护管理</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条</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六类屏蔽跳线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规格：六类屏蔽4对RJ45至RJ45跳线</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应用标准：满足或超过ISO/IEC 11801，ANSI/TIA-568中所规定的CAT.6类要求</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导体线径：26 AWG</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认证：投标文件中须提供具有资质的第三方检测机构出具的基于ANSI/TIA-568.2-D-2018标准的单体跳线测试报告</w:t>
            </w:r>
            <w:r>
              <w:rPr>
                <w:rFonts w:hint="eastAsia" w:ascii="宋体" w:hAnsi="宋体" w:eastAsia="宋体" w:cs="宋体"/>
                <w:b w:val="0"/>
                <w:bCs w:val="0"/>
                <w:color w:val="auto"/>
                <w:sz w:val="24"/>
                <w:highlight w:val="none"/>
                <w:u w:val="none"/>
                <w:lang w:val="en-US" w:eastAsia="zh-CN"/>
              </w:rPr>
              <w:t>或基于国内同等及以上</w:t>
            </w:r>
            <w:r>
              <w:rPr>
                <w:rFonts w:hint="eastAsia" w:ascii="宋体" w:hAnsi="宋体" w:eastAsia="宋体" w:cs="宋体"/>
                <w:b w:val="0"/>
                <w:bCs w:val="0"/>
                <w:color w:val="auto"/>
                <w:sz w:val="24"/>
                <w:highlight w:val="none"/>
                <w:u w:val="none"/>
              </w:rPr>
              <w:t>标准的单体跳线测试报告</w:t>
            </w:r>
          </w:p>
        </w:tc>
      </w:tr>
      <w:tr>
        <w:tblPrEx>
          <w:tblCellMar>
            <w:top w:w="0" w:type="dxa"/>
            <w:left w:w="0" w:type="dxa"/>
            <w:bottom w:w="0" w:type="dxa"/>
            <w:right w:w="0" w:type="dxa"/>
          </w:tblCellMar>
        </w:tblPrEx>
        <w:trPr>
          <w:trHeight w:val="20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482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12对光纤配线架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配线架规格：12口光纤配线架空架；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支持3个LC适配器面板安装，最大72芯LC熔接</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支持缓冲层为250um及900um的光纤</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 附带光纤的盘绕、固定和现场组装所需的管理部件</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 可增配不占机柜任何U空间的配线架前端理线架安装，保护跳线实现标签标注</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482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光纤耦合器面板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1)模块化设计，即插即用</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2)包含6个双工LC单模耦合器</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3)支持12/24芯光纤</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条</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5784</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尾纤</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9/125µm，900µm紧套管型光纤OS2</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连接器采用陶瓷插芯，带防尘塞</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长度2米,单芯双头，剪开分2根LC尾纤熔接</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 插入损耗≤0.3dB，回波损耗≥50dB</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110型25对配线架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110语音配线架，最大支持20个5对110语音模块安装</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安装方式：标准机柜安装</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3）不含耦合器、尾纤、模块</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110接线模块</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5对110语音模块</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条</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1665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110-RJ45跳线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2米110-RJ45语音跳线</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418</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理线架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1U理线架，全金属，黑色，方便跳线管理</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83</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42U机柜</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600x600，含PDU</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屏蔽机柜</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40" w:lineRule="auto"/>
              <w:jc w:val="left"/>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700x700，含PDU</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带温湿度检测单元、带效能自动监测单元。光纤波导管不少于6条、网络波导管不少于9条。</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浪涌保护器</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最大放电电流Imax：20/40/70/80/100/120/160kA.cQC（中国质量认证中心）认证</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老化/劣化热脱扣装置，避免短路起火现象安全储备保护功能</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遥信触点TS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工作状态指示</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具有共模/差模保护</w:t>
            </w:r>
          </w:p>
        </w:tc>
      </w:tr>
      <w:tr>
        <w:tblPrEx>
          <w:tblCellMar>
            <w:top w:w="0" w:type="dxa"/>
            <w:left w:w="0" w:type="dxa"/>
            <w:bottom w:w="0" w:type="dxa"/>
            <w:right w:w="0" w:type="dxa"/>
          </w:tblCellMar>
        </w:tblPrEx>
        <w:trPr>
          <w:trHeight w:val="40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90000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12芯室内单模光纤</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1）单模 9/125 µm ，6芯或12芯。</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2）符合ITUG.657.A1的抗弯曲标准，在线缆外皮打印“G657A1”字样，投标文件中须提供具有资质的第三方检测机构出具的真实有效的证明材料。</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3）室内主干型光缆，自带芳纶纱（凯芙拉）保护层，光缆最大抗拉力≥660N，最大抗压力≥10 N/mm,投标文件中须提供投标产品制造商真实的官网截图或彩页资料。</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4）最大光纤损耗：0.4 dB/km @ 1310 nm，0.3 dB/km @ 1550 nm。</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56000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3类25对UTP线缆</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符合TIA/EIA 568C Cat 3和ISO 11801 Class C标准，规格：25对</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2)CMR</w:t>
            </w:r>
            <w:r>
              <w:rPr>
                <w:rFonts w:hint="eastAsia" w:ascii="宋体" w:hAnsi="宋体" w:eastAsia="宋体" w:cs="宋体"/>
                <w:color w:val="auto"/>
                <w:sz w:val="24"/>
                <w:szCs w:val="24"/>
                <w:highlight w:val="none"/>
              </w:rPr>
              <w:t>或国家同等标准</w:t>
            </w:r>
            <w:r>
              <w:rPr>
                <w:rFonts w:hint="eastAsia" w:ascii="宋体" w:hAnsi="宋体" w:eastAsia="宋体" w:cs="宋体"/>
                <w:color w:val="auto"/>
                <w:kern w:val="0"/>
                <w:sz w:val="24"/>
                <w:szCs w:val="24"/>
                <w:highlight w:val="none"/>
              </w:rPr>
              <w:t>阻燃等级，带宽1－16MHz</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 运行温度：-20°－60°C</w:t>
            </w:r>
          </w:p>
        </w:tc>
      </w:tr>
      <w:tr>
        <w:tblPrEx>
          <w:tblCellMar>
            <w:top w:w="0" w:type="dxa"/>
            <w:left w:w="0" w:type="dxa"/>
            <w:bottom w:w="0" w:type="dxa"/>
            <w:right w:w="0" w:type="dxa"/>
          </w:tblCellMar>
        </w:tblPrEx>
        <w:trPr>
          <w:trHeight w:val="23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248</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24对光纤配线架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1)配线架规格：24口光纤配线架空架；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支持3个LC适配器面板安装，最大72芯LC熔接</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支持缓冲层为250um及900um的光纤</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 附带光纤的盘绕、固定和现场组装所需的管理部件</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 可增配不占机柜任何U空间的配线架前端理线架安装，保护跳线实现标签标注</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496</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光纤耦合器面板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1)模块化设计，即插即用</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2)包含6个双工LC单模耦合器</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3)支持12/24芯光纤</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条</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5952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尾纤（含熔芯）</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9/125µm，900µm紧套管型光纤OS2</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连接器采用陶瓷插芯，带防尘塞</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长度2米,单芯双头，剪开分2根LC尾纤熔接</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 插入损耗≤0.3dB，回波损耗≥50dB</w:t>
            </w:r>
          </w:p>
        </w:tc>
      </w:tr>
      <w:tr>
        <w:tblPrEx>
          <w:tblCellMar>
            <w:top w:w="0" w:type="dxa"/>
            <w:left w:w="0" w:type="dxa"/>
            <w:bottom w:w="0" w:type="dxa"/>
            <w:right w:w="0" w:type="dxa"/>
          </w:tblCellMar>
        </w:tblPrEx>
        <w:trPr>
          <w:trHeight w:val="577"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27</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12芯室内单模光纤</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1）单模 9/125 µm ，6芯或12芯。</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2）符合ITU G.657.A1的抗弯曲标准，在线缆外皮打印“G657A1”字样，投标文件中须提供具有资质的第三方检测机构出具的真实有效的证明材料。</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3）室内主干型光缆，自带芳纶纱（凯芙拉）保护层，光缆最大抗拉力≥660N，最大抗压力≥10 N/mm,投标文件中须提供投标产品制造商真实的官网截图或彩页资料。</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4）最大光纤损耗：0.4 dB/km @ 1310 nm，0.3 dB/km @ 1550 nm。</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该项数量暂估，按实际用量支出</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110型100对配线架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110语音配线架，最大支持20个5对110语音模块安装</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安装方式：标准机柜安装</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3）不含耦合器、尾纤、模块</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110接线模块</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5对110语音模块</w:t>
            </w:r>
          </w:p>
        </w:tc>
      </w:tr>
      <w:tr>
        <w:tblPrEx>
          <w:tblCellMar>
            <w:top w:w="0" w:type="dxa"/>
            <w:left w:w="0" w:type="dxa"/>
            <w:bottom w:w="0" w:type="dxa"/>
            <w:right w:w="0" w:type="dxa"/>
          </w:tblCellMar>
        </w:tblPrEx>
        <w:trPr>
          <w:trHeight w:val="23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24对光纤配线架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1)配线架规格：24口光纤配线架空架；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支持3个LC适配器面板安装，最大72芯LC熔接</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支持缓冲层为250um及900um的光纤</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 附带光纤的盘绕、固定和现场组装所需的管理部件</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 可增配不占机柜任何U空间的配线架前端理线架安装，保护跳线实现标签标注</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31</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64</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光纤耦合器面板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1)模块化设计，即插即用</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2)包含6个双工LC单模耦合器</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3)支持12/24芯光纤</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条</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768</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尾纤（单模，含熔芯）</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9/125µm，900µm紧套管型光纤OS2</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连接器采用陶瓷插芯，带防尘塞</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长度2米,单芯双头，剪开分2根LC尾纤熔接</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 插入损耗≤0.3dB，回波损耗≥50dB</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金属线槽</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300x100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桥架厚度</w:t>
            </w:r>
            <w:r>
              <w:rPr>
                <w:rStyle w:val="27"/>
                <w:rFonts w:hint="eastAsia" w:ascii="宋体" w:hAnsi="宋体" w:eastAsia="宋体" w:cs="宋体"/>
                <w:i w:val="0"/>
                <w:color w:val="auto"/>
                <w:sz w:val="24"/>
                <w:szCs w:val="24"/>
                <w:highlight w:val="none"/>
                <w:shd w:val="clear" w:color="auto" w:fill="FFFFFF"/>
              </w:rPr>
              <w:t>δ</w:t>
            </w:r>
            <w:r>
              <w:rPr>
                <w:rFonts w:hint="eastAsia" w:ascii="宋体" w:hAnsi="宋体" w:eastAsia="宋体" w:cs="宋体"/>
                <w:color w:val="auto"/>
                <w:sz w:val="24"/>
                <w:szCs w:val="24"/>
                <w:highlight w:val="none"/>
              </w:rPr>
              <w:t>51.5</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含盖板、三通、弯头等金属配件</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金属线槽</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I200x100</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桥架厚度</w:t>
            </w:r>
            <w:r>
              <w:rPr>
                <w:rStyle w:val="27"/>
                <w:rFonts w:hint="eastAsia" w:ascii="宋体" w:hAnsi="宋体" w:eastAsia="宋体" w:cs="宋体"/>
                <w:i w:val="0"/>
                <w:color w:val="auto"/>
                <w:sz w:val="24"/>
                <w:szCs w:val="24"/>
                <w:highlight w:val="none"/>
                <w:shd w:val="clear" w:color="auto" w:fill="FFFFFF"/>
              </w:rPr>
              <w:t>δ</w:t>
            </w:r>
            <w:r>
              <w:rPr>
                <w:rFonts w:hint="eastAsia" w:ascii="宋体" w:hAnsi="宋体" w:eastAsia="宋体" w:cs="宋体"/>
                <w:color w:val="auto"/>
                <w:sz w:val="24"/>
                <w:szCs w:val="24"/>
                <w:highlight w:val="none"/>
              </w:rPr>
              <w:t>1.2</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含盖板、三通、弯头等金属配件</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Kg</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5469.32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金属线槽支架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手工除锈、刷防锈漆、调和漆各两遍</w:t>
            </w:r>
          </w:p>
        </w:tc>
      </w:tr>
      <w:tr>
        <w:tblPrEx>
          <w:tblCellMar>
            <w:top w:w="0" w:type="dxa"/>
            <w:left w:w="0" w:type="dxa"/>
            <w:bottom w:w="0" w:type="dxa"/>
            <w:right w:w="0" w:type="dxa"/>
          </w:tblCellMar>
        </w:tblPrEx>
        <w:trPr>
          <w:trHeight w:val="749"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36</w:t>
            </w:r>
          </w:p>
        </w:tc>
        <w:tc>
          <w:tcPr>
            <w:tcW w:w="8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通信指挥系统</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350兆数字集群基站（八载频）</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基站必须接入广西公安厅的PDT数字交换控制中心，无需客户提供任何条件(除链路外)，确保广西公安厅网管终端能对接入的基站进行参数设定、状态监控、以及远程更改参数、升级等功能，交换控制中心位于广西公安厅通信机房；</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2、设备包括：数字信道机、基站控制器、分路器、合路器、天线等设备组成；</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3、控制器、电源、控制信道等关键模块支持热备份功能，</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4、支持E1/IP组网，支持双链路冗余备份方式；</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5、基站集成度高；</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6、长短信息功能：系统支持调度台和PDT终端互相收发450个以上汉字（双字节，含标点符号）的长短信，并要求以单条方式编辑和显示。</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7、基站发生故障后，可以将故障问题直接通过短信的方式发到管理员手机上，如链路故障、供电故障等。</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8、单呼建立时间：</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（1）单基站：300毫秒；</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（2）跨基站：350毫秒。</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9、组呼建立时间：</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（1）单基站：260毫秒；</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（2）跨基站：300毫秒。</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10、通讯指挥系统相关配套设备所需的空间（2平米场所），含搭建、防雨、装修、避雷等功能。</w:t>
            </w:r>
          </w:p>
        </w:tc>
      </w:tr>
      <w:tr>
        <w:tblPrEx>
          <w:tblCellMar>
            <w:top w:w="0" w:type="dxa"/>
            <w:left w:w="0" w:type="dxa"/>
            <w:bottom w:w="0" w:type="dxa"/>
            <w:right w:w="0" w:type="dxa"/>
          </w:tblCellMar>
        </w:tblPrEx>
        <w:trPr>
          <w:trHeight w:val="49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37</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350兆数字对讲机</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1、频率范围：350-400MHz；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2、信道容量：≥1024；</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3、组群：≥64（每组群≥128个组）；</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4、信道间隔：12.5KHz/20KHz/25KHz；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5、频率稳定度：≤±0.5ppm；</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6、重量（带标配电池和天线）：≤350g；</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7、音频响应：+1～-3dB；</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8、音频失真：≤3%；</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9、数字接收灵敏度：≤0.22μV/BER5%；</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10、邻道选择性：≥60dB@12.5kHz、70dB@20/25kHz；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11、互调：≥65dB@12.5/20/25kHz；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12、杂散响应抑制：≥70dB@12.5/20/25kHz；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13、阻塞：≥84dB；</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14、交流声与噪声：≥40dB@12.5kHz、≥43dB@20KHz、≥45dB@25kHz；</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15、防尘防水：≥IP67；</w:t>
            </w:r>
          </w:p>
        </w:tc>
      </w:tr>
      <w:tr>
        <w:tblPrEx>
          <w:tblCellMar>
            <w:top w:w="0" w:type="dxa"/>
            <w:left w:w="0" w:type="dxa"/>
            <w:bottom w:w="0" w:type="dxa"/>
            <w:right w:w="0" w:type="dxa"/>
          </w:tblCellMar>
        </w:tblPrEx>
        <w:trPr>
          <w:trHeight w:val="20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38</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馈线HCAAYZ-50-12</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特性阻抗：50±1Ω；速度系数：88%；电容：76 pF/m；最大使用频率：8.8 GHZ；额定功率峰值： 58 KW；内导体直流电阻：1.62Ω/Km；外导体直流电阻：2.08Ω/Km；绝缘介电强度：6000 DC.V；最大电压驻波比：≤1.15；三阶交调：≥155 dBc；平均功率：VSWR 1.0；环境温度：40℃，内导体温度100℃；每百米线缆信号最大衰减4.75dB。</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39</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PVC管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40</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浪涌保护器</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20管径</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最大放电电流Imax：20/40/70/80/100/120/160kA.cQC（中国质量认证中心）认证</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老化/劣化热脱扣装置，避免短路起火现象，安全储备保护功能</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遥信触点TS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工作状态指示</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具有共模/差模保护</w:t>
            </w:r>
          </w:p>
        </w:tc>
      </w:tr>
      <w:tr>
        <w:tblPrEx>
          <w:tblCellMar>
            <w:top w:w="0" w:type="dxa"/>
            <w:left w:w="0" w:type="dxa"/>
            <w:bottom w:w="0" w:type="dxa"/>
            <w:right w:w="0" w:type="dxa"/>
          </w:tblCellMar>
        </w:tblPrEx>
        <w:trPr>
          <w:trHeight w:val="347"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41</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铁塔（含防雷接地）</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配套系统使用标准钢架铁塔</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1、铁塔为40米高架，分为5段，铁塔A段10.9米，规格D400/D554.2；铁塔B段10.9米，规格D528.1/D682.3；铁塔C段10.9米，D645.3/D799.6；铁塔D段10.9米，D755.8/D910；避雷针0.9米。</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2、本塔体共设4层天线支架，下部2层支架，每层3根抱杆，上部2层支架，每层6根抱杆，设计可承受的基本风压为0.45kN/㎡，每面天线挡风面积0.5㎡。</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3、塔体钢板采用ASTM A572 Gr65板材，塔筒采用套接连接，法兰盘材料为Q345B，其他附属构件为Q235B材料。</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42</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机柜</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600x600 12U机柜，含pdu</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43</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空调</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5P柜式空调</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外机尺寸约：宽946（990）mm；高810mm；深420mm 电压/频率：380V/50Hz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外机重量约：75kg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内机重量约：54kg</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内机尺寸约：宽585mm；高1830mm；深405mm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循环风量：2050m3/h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适用面积：54-80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制冷量：12110W </w:t>
            </w:r>
          </w:p>
        </w:tc>
      </w:tr>
      <w:tr>
        <w:tblPrEx>
          <w:tblCellMar>
            <w:top w:w="0" w:type="dxa"/>
            <w:left w:w="0" w:type="dxa"/>
            <w:bottom w:w="0" w:type="dxa"/>
            <w:right w:w="0" w:type="dxa"/>
          </w:tblCellMar>
        </w:tblPrEx>
        <w:trPr>
          <w:trHeight w:val="38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44</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配电柜</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详见系统图</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1.手动控制方式：启动按键/旋钮</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2.自动控制方式：控制软件，多功能卡，远程</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3.功率容量（KVA）：30KW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4.输入接线方式：3相4线&amp;地线</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5.输入电压（V）：380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6.输入频率（HZ）：50/60</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7.输出接线方式：单相两线+地线，要均匀接入LED显示屏</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8.输出电压（V）：交流220V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9.输出分路：9路，单相交流220V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10.分路开关容量（A）：40A，单相</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45</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电源线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WDZ-YJY-5*6mm²</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46</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加湿器</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加湿量 6kg/h </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电压/频率 220V/50Hz 功率 600W </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适用面积 50~100㎡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产品尺寸约：长208mm；宽208mm；高288mm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噪音：38db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水箱容量：4.5L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额定加湿量：350ml/h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产品净重：1.6kg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加湿档位：4档及以上</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操控方式：旋钮式</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加湿方式：有雾</w:t>
            </w:r>
          </w:p>
        </w:tc>
      </w:tr>
      <w:tr>
        <w:tblPrEx>
          <w:tblCellMar>
            <w:top w:w="0" w:type="dxa"/>
            <w:left w:w="0" w:type="dxa"/>
            <w:bottom w:w="0" w:type="dxa"/>
            <w:right w:w="0" w:type="dxa"/>
          </w:tblCellMar>
        </w:tblPrEx>
        <w:trPr>
          <w:trHeight w:val="146"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47</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年</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无线专用网络通信租赁</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100兆/年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点对点，从项目建设地点到南宁市内指定地点。</w:t>
            </w:r>
          </w:p>
        </w:tc>
      </w:tr>
      <w:tr>
        <w:tblPrEx>
          <w:tblCellMar>
            <w:top w:w="0" w:type="dxa"/>
            <w:left w:w="0" w:type="dxa"/>
            <w:bottom w:w="0" w:type="dxa"/>
            <w:right w:w="0" w:type="dxa"/>
          </w:tblCellMar>
        </w:tblPrEx>
        <w:trPr>
          <w:trHeight w:val="2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48</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ups不间断电源</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1容量30KVA，输出功率因数为0.9-1;</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2.设备净重约180kg；</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3.额定输入电压:380/400/415VAC，三相四线；</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4、蓄电池，12V200AH，配置1组电池，每组30只电池，按24KW负载计算后备2小时。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5.电池柜每个电池柜可安装30个12V200AH蓄电池，标准配置电池内部连接电缆及空气开关。</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6.输入电压范围 ，228～475V，系统效率高达95.8%；</w:t>
            </w:r>
          </w:p>
        </w:tc>
      </w:tr>
      <w:tr>
        <w:tblPrEx>
          <w:tblCellMar>
            <w:top w:w="0" w:type="dxa"/>
            <w:left w:w="0" w:type="dxa"/>
            <w:bottom w:w="0" w:type="dxa"/>
            <w:right w:w="0" w:type="dxa"/>
          </w:tblCellMar>
        </w:tblPrEx>
        <w:trPr>
          <w:trHeight w:val="69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49</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地面主站卫星天线（三轴电动）</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 射频性能指标 </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带有电动伺服机构，具备自动寻星功能。</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工作频率 发射：13.75~14.5GHz；接收10.95~12.75 GHz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天线增益 发射：54.5dBi；接收53.5dBi</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驻波比 发射：1.25:1；接收：1.25:1</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接口型式 WR-75</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收发隔离 85 dB</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交叉极化隔离 发射：35dB；接收：35dB</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▲投标文件中须提供本产品具备国产卫星运营商出具的卫星入网许可证或卫星入网许可证明文件。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机械特性</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主面直径 4.5米</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方位旋转范围 ±55°，连续细调</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俯仰旋转范围 5°~90°，连续细调</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跟踪方式 支持手动/电动/自动</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重量 ≤1200kg</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环境特性</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工作风速 72 km/h ~97km/h</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生存风速 200km/h</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环境温度 -50℃~60℃</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相对湿度 0%~100%</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抗震能力 0.3 G ￠ s（水平），0.15 G ￠ s（垂直）</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天线伺服控制系统</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含控制器及室外电源箱等附件</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1.跟踪精度优于接收频段十分之一半功率波束宽度（RMS）</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2.天线位置读出Az：0.000°～359.99°El：-180.000°～180.000° POL:-180.0°～180.0°</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3.位置读出分辨率AZ/EL：0.001° POL：0.1°</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4.天线控制工作方式 步进跟踪 记忆跟踪 位置预置 扫描 手动操作 待机</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5.天线控制单元ACU远控接口 RS232/422接口、网口</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6.电源要求 天线控制单元：单相 220V（士10%），50Hz（±5%）天线驱动单元：三相380V（士10%），50Hz（士5%）</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7.功耗天线控制单元：150W；天线驱动单元：4KW。</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8.驱动电机功率三相交流电机：方位、俯仰：最大1.5KW；三相交流电机：极化：最大 370W；</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9.其他支持2路线圆切换功能10.外形尺寸天线控制单元含控制器及室外电源箱等附件</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51</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天线基础</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固定混凝土基础或钢结构承重基础</w:t>
            </w:r>
          </w:p>
        </w:tc>
      </w:tr>
      <w:tr>
        <w:tblPrEx>
          <w:tblCellMar>
            <w:top w:w="0" w:type="dxa"/>
            <w:left w:w="0" w:type="dxa"/>
            <w:bottom w:w="0" w:type="dxa"/>
            <w:right w:w="0" w:type="dxa"/>
          </w:tblCellMar>
        </w:tblPrEx>
        <w:trPr>
          <w:trHeight w:val="577"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52</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卫星功率放大器</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发射频率：14.0 - 14.5 GHz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中频频率：950 - 1450 MHz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外部参考：0 MHz, 0 ± 5 dBm</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饱和输出功率：46.5 dBm</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额定输出功率：46dBm</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小信号增益：70 dB</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增益稳定度（固定频率）：±1.5 dB</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增益可调范围：20 dB (步进：0.1 dB)</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▲投标产品必须具备《无线电发射设备型号核准证》，投标文件中须提供真实有效的证书扫描件。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供电范围：+36 ~ +72 VDC</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功耗-额定输出功率：≤150 W           </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射频驻波比：1.25:1 </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中频驻波比：1.5:1</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监控接头：PT02E-14-12P，支持RS-485、以太网（Telnet）</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工作温度：-40 ~ +60 ℃  </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相对湿度：0 - 100% (冷凝) </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支持1:1热备</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热备切换方式: 自动/手动/远程</w:t>
            </w:r>
          </w:p>
        </w:tc>
      </w:tr>
      <w:tr>
        <w:tblPrEx>
          <w:tblCellMar>
            <w:top w:w="0" w:type="dxa"/>
            <w:left w:w="0" w:type="dxa"/>
            <w:bottom w:w="0" w:type="dxa"/>
            <w:right w:w="0" w:type="dxa"/>
          </w:tblCellMar>
        </w:tblPrEx>
        <w:trPr>
          <w:trHeight w:val="26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53</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分合路器</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类型：1分4分路器</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频率范围：850~2150MHz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插损：≤ 0.8dB  （850~2150MHz）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驻波：≤1.6 : 1(850~2150MHz)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隔离：≥18 dB(850~2150MHz)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工作温度：-30 to+70℃</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接口类型：N型头</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接口：单口过10M+DC、其余接口隔直，10M衰减≤-25~30dB)</w:t>
            </w:r>
          </w:p>
        </w:tc>
      </w:tr>
      <w:tr>
        <w:tblPrEx>
          <w:tblCellMar>
            <w:top w:w="0" w:type="dxa"/>
            <w:left w:w="0" w:type="dxa"/>
            <w:bottom w:w="0" w:type="dxa"/>
            <w:right w:w="0" w:type="dxa"/>
          </w:tblCellMar>
        </w:tblPrEx>
        <w:trPr>
          <w:trHeight w:val="376"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54</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低噪声放大器</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输入频率：12.25~12.75GHz；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输出频率：950~1450MHz；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输入接口：WR75波段接口，带密封槽；</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输出接口：N型接头（50Ω）；</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噪声系数：0.8dB；</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线性增益：60dB；</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频率稳定度：±1ppm；</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增益：60dB（典型值）；</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本振频率：11.3GHz；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电源：工作电压：+24 VDC (12 to 24 VDC)；工作电流：250mA最大；</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 -40℃~+60℃。</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防护等级：IP65</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支持1:1热备</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备份支持模式：自动/手动</w:t>
            </w:r>
          </w:p>
        </w:tc>
      </w:tr>
      <w:tr>
        <w:tblPrEx>
          <w:tblCellMar>
            <w:top w:w="0" w:type="dxa"/>
            <w:left w:w="0" w:type="dxa"/>
            <w:bottom w:w="0" w:type="dxa"/>
            <w:right w:w="0" w:type="dxa"/>
          </w:tblCellMar>
        </w:tblPrEx>
        <w:trPr>
          <w:trHeight w:val="49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55</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业务调制解调器</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1.▲与公安部卫星通信系统兼容，实现互联互通；</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2.中频频率：950MHz～1750MHz；</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3.▲数据速率：32kbps～10Mbps（投标文件中须提供具有资质的第三方检测机构出具的测试报告复印件）；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4.技术体制：FDMA/SCPC;</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5.▲调制解调方式：支持BPSK、QPSK、8PSK调制解调方式（投标文件中须提供具有资质的第三方检测机构出具的测试报告复印件）；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6.信道编译码：LDPC；</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7.▲支持IP协议加速（投标文件中须提供具有资质的第三方检测机构出具的测试报告复印件）；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8.数据接口类型：LAN；</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9.输出杂散：优于-50dBc/4kHz； </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10.监控：具备本地参数设置、状态显示功能，具备远程监控功能，远控接口支持LAN/RS232/RS485可选</w:t>
            </w:r>
          </w:p>
        </w:tc>
      </w:tr>
      <w:tr>
        <w:tblPrEx>
          <w:tblCellMar>
            <w:top w:w="0" w:type="dxa"/>
            <w:left w:w="0" w:type="dxa"/>
            <w:bottom w:w="0" w:type="dxa"/>
            <w:right w:w="0" w:type="dxa"/>
          </w:tblCellMar>
        </w:tblPrEx>
        <w:trPr>
          <w:trHeight w:val="43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56</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远端地球站网管单元</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1.▲与公安部网管系统兼容，实现网管统一接入和控制；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2.支持telnet 或 SSH远程登录； </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3.支持以太网、RS232或RS485串口、USB等多种数据接口；</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4.支持Web形式的人机接口；</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6.管理：支持SSH、Web浏览器</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7.硬件指标：</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CPU：Intel系列双核，主频2.0GHZ以上</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内存：3GB以上</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硬盘：50GB以上</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操作系统：Linux，CentOS7.0</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接口：≥6个10/100/1000Mbps自适应网口</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≥1个RS232或RS485接口  </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≥2个USB3.0接口 </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≥2个USB2.0接口 </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57</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线缆接头接插件等</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含射频线缆、音视频线缆、电源线缆、配套接插件等辅材</w:t>
            </w:r>
          </w:p>
        </w:tc>
      </w:tr>
      <w:tr>
        <w:tblPrEx>
          <w:tblCellMar>
            <w:top w:w="0" w:type="dxa"/>
            <w:left w:w="0" w:type="dxa"/>
            <w:bottom w:w="0" w:type="dxa"/>
            <w:right w:w="0" w:type="dxa"/>
          </w:tblCellMar>
        </w:tblPrEx>
        <w:trPr>
          <w:trHeight w:val="83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58</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高清音视频编解码器</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1.▲与公安部卫星通信系统兼容，实现互联互通；</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2.视频编解码器为编码/解码一体设备，采用硬件编解码；</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3.▲H.265编码标准实时切换，解码自适应（投标文件中须提供具有资质的第三方检测机构出具的测试报告复印件）；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4.支持字幕叠加功能；</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5.▲具有组播通信功能（投标文件中须提供具有资质的第三方检测机构出具的测试报告复印件）；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6.具有双网口，业务网口、控制网口；</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7.▲在IP网络丢包率30%情况下，双向图像传输流畅无马赛克，音频清晰流畅（投标文件中须提供具有资质的第三方检测机构出具的测试报告复印件）；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8.▲2台编解码器直连的情况下，编码、解码造成的延时不超过400ms（投标文件中须提供具有资质的第三方检测机构出具的测试报告复印件）；</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9.支持液晶/按键、Web控制方式；</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a)视频编码</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1路视频编码，视频编码标准：H.265；最高分辨率不低于1920×1080@60p；</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视频编码输入接口：支持CVBS接口，支持HD-SDI接口，支持DVI接口。</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高清输入信号：最高分辨率不低于1920×1080@60p，CVBS输入信号：PAL、NTSC。 </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b)音频编码</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1路音频编码；支持MPEG-4 AAC-LC等标准；</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音频编码输入：有模拟音频输入接口。 </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c)视频解码</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1路视频解码， H.265解码自适应；</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视频解码输出接口：支持CVBS接口，支持HD-SDI接口，支持DVI接口。 </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d)音频解码</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1路音频解码；音频输出接口：1路模拟非平衡有源立体声； </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e)码流传输</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业务网络接口：100/1000BASE-T网口，RJ45，支持单播和组播；</w:t>
            </w:r>
          </w:p>
        </w:tc>
      </w:tr>
      <w:tr>
        <w:tblPrEx>
          <w:tblCellMar>
            <w:top w:w="0" w:type="dxa"/>
            <w:left w:w="0" w:type="dxa"/>
            <w:bottom w:w="0" w:type="dxa"/>
            <w:right w:w="0" w:type="dxa"/>
          </w:tblCellMar>
        </w:tblPrEx>
        <w:trPr>
          <w:trHeight w:val="2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59</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路由器（定制）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1.4GE Combo口+2SFP；</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2.MAC地址32k；</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3.支持端口聚合;</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4.支持组播VLAN;</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5.支持PIM-SM,PIM-DM;</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6.支持IGMP Snooping v1/v2/v3;</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7.支持IPv4/IPv6静态路由;</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8.支持RIPv1/v2，RIPng;</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9.支持OSPFv1/v2，OSPFv3;</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10.支持VRRP/VRRPv3</w:t>
            </w:r>
          </w:p>
        </w:tc>
      </w:tr>
      <w:tr>
        <w:tblPrEx>
          <w:tblCellMar>
            <w:top w:w="0" w:type="dxa"/>
            <w:left w:w="0" w:type="dxa"/>
            <w:bottom w:w="0" w:type="dxa"/>
            <w:right w:w="0" w:type="dxa"/>
          </w:tblCellMar>
        </w:tblPrEx>
        <w:trPr>
          <w:trHeight w:val="17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业务（网络）交换机</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1.不小于16个10/100/1000Base-T自适应以太网端口;</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2.支持端口聚合;</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3.支持组播VLAN;</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4.支持IGMP Snooping v1/v2/v3;</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5.支持RRPP</w:t>
            </w:r>
          </w:p>
        </w:tc>
      </w:tr>
      <w:tr>
        <w:tblPrEx>
          <w:tblCellMar>
            <w:top w:w="0" w:type="dxa"/>
            <w:left w:w="0" w:type="dxa"/>
            <w:bottom w:w="0" w:type="dxa"/>
            <w:right w:w="0" w:type="dxa"/>
          </w:tblCellMar>
        </w:tblPrEx>
        <w:trPr>
          <w:trHeight w:val="17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61</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管控（网络）交换机</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1.不小于16个10/100/1000Base-T自适应以太网端口;</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2.支持端口聚合;</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3.支持组播VLAN;</w:t>
            </w:r>
          </w:p>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4.支持IGMP Snooping v1/v2/v3;</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5.支持RRPP</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62</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VOIP语音网关（定制）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▲与公安部卫星通信系统兼容</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提供WEB管理、telnet命令行、Console管理、所有管理方式同时提供中英文两种界面</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63</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卫星便携系统站</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含0.8米全自动便携天线、功放、LNB、卫星调制解调器、锂电池</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天线口径：等效口径0.75m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数据速率：64kbps~22Mbps</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调制方式：BPSK、QPSK、8PSK、16APSK2.5dB（1/2 QPSK Pe=1*10-6）</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信噪比：5.8dB（3/4 8PSK Pe=1*10-6）</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扩频倍数：1、2、4、8、16</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工作频段上行：14.0~14.5GHz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发射电平：-55~-5dBm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发射电平分辨率：0.1dB</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接口：射频接口x2、以太网x1、WIFI X1 </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供电方式：90~264V AC，47~63Hz或锂电池供电直流供电电压：24V DC</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含0.8米全自动便携天线、功放、LNB、卫星调制解调器、锂电池</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64</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专用手持终端</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▲与卫星便携站对接，作为前端采集音视频用</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使用脉冲定位技术、重量约220g、0LED显示屏</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65</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专用调度台（含软件）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实现卫星便携站的前端采集终端的音视频调度</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支持对新增中继台、对讲机设备的监控和管理，实现调度人员和一线人员通讯</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66</w:t>
            </w:r>
          </w:p>
        </w:tc>
        <w:tc>
          <w:tcPr>
            <w:tcW w:w="8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业务调制解调器</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▲与广西公安厅卫星主站互联互通</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1.中频频率：950MHz～1750MHz；</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2.数据速率：32kbps～10Mbps（须提供有资质的第三方检测机构出具的 测试报告复印件）；</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3.技术体制：FDMA/SCPC；</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4.调制解调方式：支持BPSK、QPSK、8PSK调制解调方式（须提供有资质的第三方检测机构出具的测试报告复印件）；</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5.信道编译码：LDPC；</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6.支持IP协议加速（须提供有资质的第三方检测机构出具的测试报告复印件）；</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7.数据接口类型：LAN；</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8.输出杂散：优于-50dBc/4kHz；</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9.监控：具备本地参数设置、状态显示功能，具备远程监控功能，远控接口支持LAN/RS232/RS485可选</w:t>
            </w:r>
          </w:p>
          <w:p>
            <w:pPr>
              <w:widowControl/>
              <w:spacing w:line="240" w:lineRule="auto"/>
              <w:jc w:val="left"/>
              <w:textAlignment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67</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室外管网</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177</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手孔</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弱电手孔</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700x900x1300mm</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C15 混凝土底板</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井壁采用机制砖，M5水泥砂浆砌筑，井壁内外抹1：2.5水泥砂浆20 厚</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C25盖板、井座</w:t>
            </w:r>
          </w:p>
          <w:p>
            <w:pPr>
              <w:widowControl/>
              <w:spacing w:line="240" w:lineRule="auto"/>
              <w:jc w:val="left"/>
              <w:textAlignment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68</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人井</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1200x1200x1500mm</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C15 混凝土底板</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井壁采用机制砖，M5水泥砂浆砌筑，井壁内外抹1：2.5水泥砂浆20 厚</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C25盖板、井座</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m³</w:t>
            </w:r>
          </w:p>
          <w:p>
            <w:pPr>
              <w:widowControl/>
              <w:spacing w:line="240" w:lineRule="auto"/>
              <w:jc w:val="center"/>
              <w:textAlignment w:val="center"/>
              <w:rPr>
                <w:rFonts w:hint="eastAsia" w:ascii="宋体" w:hAnsi="宋体" w:eastAsia="宋体" w:cs="宋体"/>
                <w:color w:val="auto"/>
                <w:kern w:val="0"/>
                <w:sz w:val="24"/>
                <w:szCs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7233.50</w:t>
            </w:r>
          </w:p>
          <w:p>
            <w:pPr>
              <w:widowControl/>
              <w:spacing w:line="240" w:lineRule="auto"/>
              <w:jc w:val="center"/>
              <w:textAlignment w:val="center"/>
              <w:rPr>
                <w:rFonts w:hint="eastAsia" w:ascii="宋体" w:hAnsi="宋体" w:eastAsia="宋体" w:cs="宋体"/>
                <w:color w:val="auto"/>
                <w:kern w:val="0"/>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挖沟槽土方</w:t>
            </w:r>
          </w:p>
          <w:p>
            <w:pPr>
              <w:widowControl/>
              <w:spacing w:line="240" w:lineRule="auto"/>
              <w:jc w:val="center"/>
              <w:textAlignment w:val="center"/>
              <w:rPr>
                <w:rFonts w:hint="eastAsia" w:ascii="宋体" w:hAnsi="宋体" w:eastAsia="宋体" w:cs="宋体"/>
                <w:color w:val="auto"/>
                <w:kern w:val="0"/>
                <w:sz w:val="24"/>
                <w:szCs w:val="24"/>
                <w:highlight w:val="none"/>
              </w:rPr>
            </w:pP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土石类别：按地质勘查报告综合考虑，含场内运输，不因土石方类别、运距、弃（取）土费施工机械及措施变更等原因变化综合单价</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m2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281.31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管道基础</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300*100 厚度100</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m³</w:t>
            </w:r>
          </w:p>
          <w:p>
            <w:pPr>
              <w:widowControl/>
              <w:spacing w:line="240" w:lineRule="auto"/>
              <w:jc w:val="center"/>
              <w:textAlignment w:val="center"/>
              <w:rPr>
                <w:rFonts w:hint="eastAsia" w:ascii="宋体" w:hAnsi="宋体" w:eastAsia="宋体" w:cs="宋体"/>
                <w:color w:val="auto"/>
                <w:sz w:val="24"/>
                <w:szCs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59.51</w:t>
            </w:r>
          </w:p>
          <w:p>
            <w:pPr>
              <w:widowControl/>
              <w:spacing w:line="240" w:lineRule="auto"/>
              <w:jc w:val="center"/>
              <w:textAlignment w:val="center"/>
              <w:rPr>
                <w:rFonts w:hint="eastAsia" w:ascii="宋体" w:hAnsi="宋体" w:eastAsia="宋体" w:cs="宋体"/>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C15混凝土包封</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C15混凝土包封</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m³</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375.08</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回填砂（砂砾石）</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回填砂厚度100</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m³</w:t>
            </w:r>
          </w:p>
          <w:p>
            <w:pPr>
              <w:widowControl/>
              <w:spacing w:line="240" w:lineRule="auto"/>
              <w:jc w:val="center"/>
              <w:textAlignment w:val="center"/>
              <w:rPr>
                <w:rFonts w:hint="eastAsia" w:ascii="宋体" w:hAnsi="宋体" w:eastAsia="宋体" w:cs="宋体"/>
                <w:color w:val="auto"/>
                <w:sz w:val="24"/>
                <w:szCs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5109.52</w:t>
            </w:r>
          </w:p>
          <w:p>
            <w:pPr>
              <w:widowControl/>
              <w:spacing w:line="240" w:lineRule="auto"/>
              <w:jc w:val="center"/>
              <w:textAlignment w:val="center"/>
              <w:rPr>
                <w:rFonts w:hint="eastAsia" w:ascii="宋体" w:hAnsi="宋体" w:eastAsia="宋体" w:cs="宋体"/>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回填方</w:t>
            </w:r>
          </w:p>
          <w:p>
            <w:pPr>
              <w:widowControl/>
              <w:spacing w:line="240" w:lineRule="auto"/>
              <w:jc w:val="center"/>
              <w:textAlignment w:val="center"/>
              <w:rPr>
                <w:rFonts w:hint="eastAsia" w:ascii="宋体" w:hAnsi="宋体" w:eastAsia="宋体" w:cs="宋体"/>
                <w:color w:val="auto"/>
                <w:sz w:val="24"/>
                <w:szCs w:val="24"/>
                <w:highlight w:val="none"/>
              </w:rPr>
            </w:pP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密实度要求：符合设计要求的密实度</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填方材料品种：符合设计要求的合格土质</w:t>
            </w:r>
          </w:p>
          <w:p>
            <w:pPr>
              <w:pStyle w:val="21"/>
              <w:widowControl/>
              <w:spacing w:beforeAutospacing="0" w:afterAutospacing="0"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填方来源、运距：利用方，含场内运输。</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19430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室外电力管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PVC-U  110</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含开挖及恢复</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24270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7孔梅花管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7xPE32</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焊接钢管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SC110</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77</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2710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焊接钢管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SC125</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78</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信息引导及发布系统管线</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2135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六类非屏蔽双绞线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6"/>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线缆结构要求：单铜芯硬线，中间带十字支撑架。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标准：YD/T 1019 6类、ANSI/TIA-568.2-D Cat6和ISO/IEC 11801 Class E。</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3)单根导体100米最大电阻：≤7.5Ω，投标文件中须提供具有资质的第三方检测机构出具的真实有效的报告证明。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多连接电气性能：支持带中继点的90米以内ANSI/TIA-568-2.D-2018标准的Cat6类信道和Cat6类链路 ，投标文件中须提供具有资质的第三方检测机构出具的真实有效的报告证明。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 工作频率最大：250MHz。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 护套材料：LSZH阻燃护套，投标文件中须提供具有资质的第三方检测机构出具的真实有效的报告证明和认证证书。</w:t>
            </w:r>
          </w:p>
          <w:p>
            <w:pPr>
              <w:widowControl/>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参考品牌：</w:t>
            </w:r>
            <w:r>
              <w:rPr>
                <w:rFonts w:hint="eastAsia" w:ascii="宋体" w:hAnsi="宋体" w:eastAsia="宋体" w:cs="宋体"/>
                <w:color w:val="auto"/>
                <w:kern w:val="0"/>
                <w:sz w:val="24"/>
                <w:szCs w:val="24"/>
                <w:highlight w:val="none"/>
                <w:lang w:eastAsia="zh-CN"/>
              </w:rPr>
              <w:t>罗格朗、秋叶原、清华同方、赛格或符合技术参数要求的同等及以上品牌</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条</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56</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HDMI线缆</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5米HDMI线</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PVC管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tc>
      </w:tr>
      <w:tr>
        <w:tblPrEx>
          <w:tblCellMar>
            <w:top w:w="0" w:type="dxa"/>
            <w:left w:w="0" w:type="dxa"/>
            <w:bottom w:w="0" w:type="dxa"/>
            <w:right w:w="0" w:type="dxa"/>
          </w:tblCellMar>
        </w:tblPrEx>
        <w:trPr>
          <w:trHeight w:val="40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多媒体教室系统管线</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15860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六类非屏蔽双绞线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7"/>
              </w:num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线缆结构要求：单铜芯硬线，中间带十字支撑架。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 标准：YD/T 1019 6类、ANSI/TIA-568.2-D Cat6和ISO/IEC 11801 Class E。</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3)单根导体100米最大电阻：≤7.5Ω，投标文件中须提供具有资质的第三方检测机构出具的真实有效的报告证明。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  多连接电气性能：支持带中继点的90米以内ANSI/TIA-568-2.D-2018标准的Cat6类信道和Cat6类链路 ，投标文件中须提供具有资质的第三方检测机构出具的真实有效的报告证明。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 工作频率最大：250MHz。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 护套材料：LSZH阻燃护套，投标文件中须提供具有资质的第三方检测机构出具的真实有效的报告证明和认证证书。</w:t>
            </w:r>
          </w:p>
          <w:p>
            <w:pPr>
              <w:pStyle w:val="12"/>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参考品牌：</w:t>
            </w:r>
            <w:r>
              <w:rPr>
                <w:rFonts w:hint="eastAsia" w:ascii="宋体" w:hAnsi="宋体" w:eastAsia="宋体" w:cs="宋体"/>
                <w:color w:val="auto"/>
                <w:sz w:val="24"/>
                <w:szCs w:val="24"/>
                <w:highlight w:val="none"/>
                <w:lang w:eastAsia="zh-CN"/>
              </w:rPr>
              <w:t>罗格朗、秋叶原、清华同方、赛格或符合技术参数要求的同等及以上品牌</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公共广播系统管线</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室内音箱线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RVV2*1.0</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w:t>
            </w:r>
          </w:p>
        </w:tc>
        <w:tc>
          <w:tcPr>
            <w:tcW w:w="8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6069</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室内音箱线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RVV2*1.5</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6706</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室外音箱线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RVV2*2.5</w:t>
            </w:r>
          </w:p>
        </w:tc>
      </w:tr>
      <w:tr>
        <w:tblPrEx>
          <w:tblCellMar>
            <w:top w:w="0" w:type="dxa"/>
            <w:left w:w="0" w:type="dxa"/>
            <w:bottom w:w="0" w:type="dxa"/>
            <w:right w:w="0" w:type="dxa"/>
          </w:tblCellMar>
        </w:tblPrEx>
        <w:trPr>
          <w:trHeight w:val="40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六类非屏蔽双绞线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8"/>
              </w:num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线缆结构要求：单铜芯硬线，中间带十字支撑架。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 标准：YD/T 1019 6类、ANSI/TIA-568.2-D Cat6和ISO/IEC 11801 Class E。</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3)单根导体100米最大电阻：≤7.5Ω，投标文件中须提供具有资质的第三方检测机构出具的真实有效的报告证明。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  多连接电气性能：支持带中继点的90米以内ANSI/TIA-568-2.D-2018标准的Cat6类信道和Cat6类链路 ，投标文件中须提供具有资质的第三方检测机构出具的真实有效的报告证明。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 工作频率最大：250MHz。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 护套材料：LSZH阻燃护套，投标文件中须提供具有资质的第三方检测机构出具的真实有效的报告证明和认证证书。</w:t>
            </w:r>
          </w:p>
          <w:p>
            <w:pPr>
              <w:pStyle w:val="12"/>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参考品牌：</w:t>
            </w:r>
            <w:r>
              <w:rPr>
                <w:rFonts w:hint="eastAsia" w:ascii="宋体" w:hAnsi="宋体" w:eastAsia="宋体" w:cs="宋体"/>
                <w:color w:val="auto"/>
                <w:sz w:val="24"/>
                <w:szCs w:val="24"/>
                <w:highlight w:val="none"/>
                <w:lang w:eastAsia="zh-CN"/>
              </w:rPr>
              <w:t>罗格朗、秋叶原、清华同方、赛格或符合技术参数要求的同等及以上品牌</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13405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JDG管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建筑设备监控系统管线</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1532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控制电缆 RVV2*1.0</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RVV2*1.0</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1224</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控制电缆 RVV4*1.0</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RVV4*1.0</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9885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控制电缆 RVVP4*1.0</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RVVP4*1.0</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控制电缆 RVVP6*1.0</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RVVP6*1.0</w:t>
            </w:r>
          </w:p>
        </w:tc>
      </w:tr>
      <w:tr>
        <w:tblPrEx>
          <w:tblCellMar>
            <w:top w:w="0" w:type="dxa"/>
            <w:left w:w="0" w:type="dxa"/>
            <w:bottom w:w="0" w:type="dxa"/>
            <w:right w:w="0" w:type="dxa"/>
          </w:tblCellMar>
        </w:tblPrEx>
        <w:trPr>
          <w:trHeight w:val="1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9622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控制电缆 RVV10*1.0</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RVV10*1.0</w:t>
            </w:r>
          </w:p>
        </w:tc>
      </w:tr>
      <w:tr>
        <w:tblPrEx>
          <w:tblCellMar>
            <w:top w:w="0" w:type="dxa"/>
            <w:left w:w="0" w:type="dxa"/>
            <w:bottom w:w="0" w:type="dxa"/>
            <w:right w:w="0" w:type="dxa"/>
          </w:tblCellMar>
        </w:tblPrEx>
        <w:trPr>
          <w:trHeight w:val="40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3660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六类非屏蔽双绞线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9"/>
              </w:num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线缆结构要求：单铜芯硬线，中间带十字支撑架。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 标准：YD/T 1019 6类、ANSI/TIA-568.2-D Cat6和ISO/IEC 11801 Class E。</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3)单根导体100米最大电阻：≤7.5Ω，投标文件中须提供具有资质的第三方检测机构出具的真实有效的报告证明。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  多连接电气性能：支持带中继点的90米以内ANSI/TIA-568-2.D-2018标准的Cat6类信道和Cat6类链路 ，投标文件中须提供具有资质的第三方检测机构出具的真实有效的报告证明。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 工作频率最大：250MHz。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 护套材料：LSZH阻燃护套，投标文件中须提供具有资质的第三方检测机构出具的真实有效的报告证明和认证证书。</w:t>
            </w:r>
          </w:p>
          <w:p>
            <w:pPr>
              <w:pStyle w:val="12"/>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参考品牌：</w:t>
            </w:r>
            <w:r>
              <w:rPr>
                <w:rFonts w:hint="eastAsia" w:ascii="宋体" w:hAnsi="宋体" w:eastAsia="宋体" w:cs="宋体"/>
                <w:color w:val="auto"/>
                <w:sz w:val="24"/>
                <w:szCs w:val="24"/>
                <w:highlight w:val="none"/>
                <w:lang w:eastAsia="zh-CN"/>
              </w:rPr>
              <w:t>罗格朗、秋叶原、清华同方、赛格或符合技术参数要求的同等及以上品牌</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2040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PVC管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建筑能效监管系统管线</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1540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线缆</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RVV2*1.0</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5080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线缆</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RVV4*1.0</w:t>
            </w:r>
          </w:p>
        </w:tc>
      </w:tr>
      <w:tr>
        <w:tblPrEx>
          <w:tblCellMar>
            <w:top w:w="0" w:type="dxa"/>
            <w:left w:w="0" w:type="dxa"/>
            <w:bottom w:w="0" w:type="dxa"/>
            <w:right w:w="0" w:type="dxa"/>
          </w:tblCellMar>
        </w:tblPrEx>
        <w:trPr>
          <w:trHeight w:val="29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m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610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六类非屏蔽双绞线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0"/>
              </w:num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线缆结构要求：单铜芯硬线，中间带十字支撑架。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 标准：YD/T 1019 6类、ANSI/TIA-568.2-D Cat6和ISO/IEC 11801 Class E。</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3)单根导体100米最大电阻：≤7.5Ω，投标文件中须提供具有资质的第三方检测机构出具的真实有效的报告证明。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  多连接电气性能：支持带中继点的90米以内ANSI/TIA-568-2.D-2018标准的Cat6类信道和Cat6类链路 ，投标文件中须提供具有资质的第三方检测机构出具的真实有效的报告证明。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 工作频率最大：250MHz。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 护套材料：LSZH阻燃护套，投标文件中须提供具有资质的第三方检测机构出具的真实有效的报告证明和认证证书。</w:t>
            </w:r>
          </w:p>
          <w:p>
            <w:pPr>
              <w:pStyle w:val="12"/>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参考品牌：</w:t>
            </w:r>
            <w:r>
              <w:rPr>
                <w:rFonts w:hint="eastAsia" w:ascii="宋体" w:hAnsi="宋体" w:eastAsia="宋体" w:cs="宋体"/>
                <w:color w:val="auto"/>
                <w:sz w:val="24"/>
                <w:szCs w:val="24"/>
                <w:highlight w:val="none"/>
                <w:lang w:eastAsia="zh-CN"/>
              </w:rPr>
              <w:t>罗格朗、秋叶原、清华同方、赛格或符合技术参数要求的同等及以上品牌</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97</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2136</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PVC管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98</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视频安防监控系统管线</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GYXTW-4芯室外单模光缆</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GYXTW-4芯室外单模光缆</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780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设备电源线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两芯电源线RVV2*1.0</w:t>
            </w:r>
          </w:p>
        </w:tc>
      </w:tr>
      <w:tr>
        <w:tblPrEx>
          <w:tblCellMar>
            <w:top w:w="0" w:type="dxa"/>
            <w:left w:w="0" w:type="dxa"/>
            <w:bottom w:w="0" w:type="dxa"/>
            <w:right w:w="0" w:type="dxa"/>
          </w:tblCellMar>
        </w:tblPrEx>
        <w:trPr>
          <w:trHeight w:val="40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22875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六类非屏蔽双绞线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1"/>
              </w:num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线缆结构要求：单铜芯硬线，中间带十字支撑架。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 标准：YD/T 1019 6类、ANSI/TIA-568.2-D Cat6和ISO/IEC 11801 Class E。</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3)单根导体100米最大电阻：≤7.5Ω，投标文件中须提供具有资质的第三方检测机构出具的真实有效的报告证明。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  多连接电气性能：支持带中继点的90米以内ANSI/TIA-568-2.D-2018标准的Cat6类信道和Cat6类链路 ，投标文件中须提供具有资质的第三方检测机构出具的真实有效的报告证明。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 工作频率最大：250MHz。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 护套材料：LSZH阻燃护套，投标文件中须提供具有资质的第三方检测机构出具的真实有效的报告证明和认证证书。</w:t>
            </w:r>
          </w:p>
          <w:p>
            <w:pPr>
              <w:pStyle w:val="12"/>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参考品牌：</w:t>
            </w:r>
            <w:r>
              <w:rPr>
                <w:rFonts w:hint="eastAsia" w:ascii="宋体" w:hAnsi="宋体" w:eastAsia="宋体" w:cs="宋体"/>
                <w:color w:val="auto"/>
                <w:sz w:val="24"/>
                <w:szCs w:val="24"/>
                <w:highlight w:val="none"/>
                <w:lang w:eastAsia="zh-CN"/>
              </w:rPr>
              <w:t>罗格朗、秋叶原、清华同方、赛格或符合技术参数要求的同等及以上品牌</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5680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PVC管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出入口控制系统管线</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13985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信号线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 2*1.0mm2</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2780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信号线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 4*1.0mm2</w:t>
            </w:r>
          </w:p>
        </w:tc>
      </w:tr>
      <w:tr>
        <w:tblPrEx>
          <w:tblCellMar>
            <w:top w:w="0" w:type="dxa"/>
            <w:left w:w="0" w:type="dxa"/>
            <w:bottom w:w="0" w:type="dxa"/>
            <w:right w:w="0" w:type="dxa"/>
          </w:tblCellMar>
        </w:tblPrEx>
        <w:trPr>
          <w:trHeight w:val="40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22875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六类非屏蔽双绞线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2"/>
              </w:num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线缆结构要求：单铜芯硬线，中间带十字支撑架。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 标准：YD/T 1019 6类、ANSI/TIA-568.2-D Cat6和ISO/IEC 11801 Class E。</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3)单根导体100米最大电阻：≤7.5Ω，投标文件中须提供具有资质的第三方检测机构出具的真实有效的报告证明。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  多连接电气性能：支持带中继点的90米以内ANSI/TIA-568-2.D-2018标准的Cat6类信道和Cat6类链路 ，投标文件中须提供具有资质的第三方检测机构出具的真实有效的报告证明。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 工作频率最大：250MHz。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 护套材料：LSZH阻燃护套，投标文件中须提供具有资质的第三方检测机构出具的真实有效的报告证明和认证证书。</w:t>
            </w:r>
          </w:p>
          <w:p>
            <w:pPr>
              <w:pStyle w:val="12"/>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参考品牌：</w:t>
            </w:r>
            <w:r>
              <w:rPr>
                <w:rFonts w:hint="eastAsia" w:ascii="宋体" w:hAnsi="宋体" w:eastAsia="宋体" w:cs="宋体"/>
                <w:color w:val="auto"/>
                <w:sz w:val="24"/>
                <w:szCs w:val="24"/>
                <w:highlight w:val="none"/>
                <w:lang w:eastAsia="zh-CN"/>
              </w:rPr>
              <w:t>罗格朗、秋叶原、清华同方、赛格或符合技术参数要求的同等及以上品牌</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3705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JDG管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入侵报警系统管线</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1850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电源线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RVV-2x1.0</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860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JDG管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13#体育馆B枪械库管线</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36</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电源线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RVV-2x1.0</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PVC管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会议系统管线</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音频连接线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5米音频连接线：6.35话筒插头-卡侬头（公）</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音频连接线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1.8米音频连接线：卡侬头（母）-卡侬头（公）</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音频连接线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5米音频连接线：卡侬头（母）-卡侬头（公）</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音频连接线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5米音频连接线：6.35话筒插头-6.35话筒插头</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音频连接线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5米音频连接线：3.5（耳机插头）-6.35话筒插头</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音频连接线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5米音频连接线：3.5（耳机插头）-双6.35话筒插头</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103</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话筒线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麦克风线，带屏蔽护套线2×0.5mm²</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音箱线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专业音箱线2*4.0mm²</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RVVP2x1.0</w:t>
            </w:r>
          </w:p>
        </w:tc>
      </w:tr>
      <w:tr>
        <w:tblPrEx>
          <w:tblCellMar>
            <w:top w:w="0" w:type="dxa"/>
            <w:left w:w="0" w:type="dxa"/>
            <w:bottom w:w="0" w:type="dxa"/>
            <w:right w:w="0" w:type="dxa"/>
          </w:tblCellMar>
        </w:tblPrEx>
        <w:trPr>
          <w:trHeight w:val="40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915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六类非屏蔽双绞线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255"/>
                <w:numId w:val="0"/>
              </w:numPr>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线缆结构要求：单铜芯硬线，中间带十字支撑架。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标准：YD/T 1019 6类、ANSI/TIA-568.2-D Cat6和ISO/IEC 11801 Class E。</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3)单根导体100米最大电阻：≤7.5Ω，投标文件中须提供具有资质的第三方检测机构出具的真实有效的报告证明。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多连接电气性能：支持带中继点的90米以内ANSI/TIA-568-2.D-2018标准的Cat6类信道和Cat6类链路 ，投标文件中须提供具有资质的第三方检测机构出具的真实有效的报告证明。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 工作频率最大：250MHz。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 护套材料：LSZH阻燃护套，投标文件中须提供具有资质的第三方检测机构出具的真实有效的报告证明和认证证书。</w:t>
            </w:r>
          </w:p>
          <w:p>
            <w:pPr>
              <w:widowControl/>
              <w:spacing w:line="24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参考品牌：</w:t>
            </w:r>
            <w:r>
              <w:rPr>
                <w:rFonts w:hint="eastAsia" w:ascii="宋体" w:hAnsi="宋体" w:eastAsia="宋体" w:cs="宋体"/>
                <w:color w:val="auto"/>
                <w:kern w:val="0"/>
                <w:sz w:val="24"/>
                <w:szCs w:val="24"/>
                <w:highlight w:val="none"/>
                <w:lang w:eastAsia="zh-CN"/>
              </w:rPr>
              <w:t>罗格朗、秋叶原、清华同方、赛格或符合技术参数要求的同等及以上品牌</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天线延长线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50Ω同轴，馈线50-5-1</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金属桥架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桥架300*100，含支架等配套五金材料，桥架厚度δ1.5</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kg</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51.99</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金属桥架</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300x100支架</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手工除锈、刷防锈漆、调和漆各两遍</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PVC管</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20管径</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34</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话筒线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麦克风线，带屏蔽护套线2×0.5mm²</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音箱线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专业音箱线2*2.5mm²</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34</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话筒线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带屏蔽护套线2×0.5mm²</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p>
        </w:tc>
        <w:tc>
          <w:tcPr>
            <w:tcW w:w="86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38</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音箱线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专业音箱线2*2.5mm²</w:t>
            </w:r>
          </w:p>
        </w:tc>
      </w:tr>
      <w:tr>
        <w:tblPrEx>
          <w:tblCellMar>
            <w:top w:w="0" w:type="dxa"/>
            <w:left w:w="0" w:type="dxa"/>
            <w:bottom w:w="0" w:type="dxa"/>
            <w:right w:w="0"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86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周界防范系统</w:t>
            </w: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p>
            <w:pPr>
              <w:widowControl/>
              <w:spacing w:line="240" w:lineRule="auto"/>
              <w:jc w:val="center"/>
              <w:textAlignment w:val="center"/>
              <w:rPr>
                <w:rFonts w:hint="eastAsia" w:ascii="宋体" w:hAnsi="宋体" w:eastAsia="宋体" w:cs="宋体"/>
                <w:color w:val="auto"/>
                <w:kern w:val="0"/>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音频、视频及脉冲分配器</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线制/双防区脉冲主机/显示每个防区的工作电压值/电压值可无级调控/显示每个防区的工作电流值/防区报警显示/实时监控每个防区情况/脉冲频率可调控/报警响应时间调控/继电器报警输出时间可调控/采用4.3寸真彩屏设计/内置拨码式单地址码模块，自带拨码开关，使用多防区时无须另外增加地址码模块，可以直接接入485总线与中心控制设备通信。</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w:t>
            </w:r>
          </w:p>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4线制双防区脉冲主机：1台/避雷器：2个/室外声光报警器：2个/涂塑主机防雨箱：1个</w:t>
            </w:r>
          </w:p>
        </w:tc>
      </w:tr>
      <w:tr>
        <w:tblPrEx>
          <w:tblCellMar>
            <w:top w:w="0" w:type="dxa"/>
            <w:left w:w="0" w:type="dxa"/>
            <w:bottom w:w="0" w:type="dxa"/>
            <w:right w:w="0" w:type="dxa"/>
          </w:tblCellMar>
        </w:tblPrEx>
        <w:trPr>
          <w:trHeight w:val="90" w:hRule="atLeast"/>
          <w:jc w:val="center"/>
        </w:trPr>
        <w:tc>
          <w:tcPr>
            <w:tcW w:w="7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862" w:type="dxa"/>
            <w:vMerge w:val="continue"/>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11200.00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20#合金线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widowControl/>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优良导电率，抗氧化、耐腐蚀，去火功能，多股，每100米一欧姆阻值，400m一盘</w:t>
            </w:r>
          </w:p>
        </w:tc>
      </w:tr>
      <w:tr>
        <w:tblPrEx>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130</w:t>
            </w:r>
          </w:p>
        </w:tc>
        <w:tc>
          <w:tcPr>
            <w:tcW w:w="862"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其他系统（预备费）</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管线</w:t>
            </w:r>
          </w:p>
        </w:tc>
        <w:tc>
          <w:tcPr>
            <w:tcW w:w="5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智能卡应用系统、停车场管理系统、访客管理系统等图纸中不能明确的管线费用。按实际用量测算，超出</w:t>
            </w:r>
            <w:r>
              <w:rPr>
                <w:rFonts w:hint="eastAsia" w:ascii="宋体" w:hAnsi="宋体" w:eastAsia="宋体" w:cs="宋体"/>
                <w:sz w:val="24"/>
                <w:szCs w:val="24"/>
                <w:lang w:val="en-US" w:eastAsia="zh-CN"/>
              </w:rPr>
              <w:t>本单项中标价</w:t>
            </w:r>
            <w:r>
              <w:rPr>
                <w:rFonts w:hint="eastAsia" w:ascii="宋体" w:hAnsi="宋体" w:eastAsia="宋体" w:cs="宋体"/>
                <w:color w:val="auto"/>
                <w:sz w:val="24"/>
                <w:szCs w:val="24"/>
                <w:highlight w:val="none"/>
              </w:rPr>
              <w:t>的按</w:t>
            </w:r>
            <w:r>
              <w:rPr>
                <w:rFonts w:hint="eastAsia" w:ascii="宋体" w:hAnsi="宋体" w:eastAsia="宋体" w:cs="宋体"/>
                <w:sz w:val="24"/>
                <w:szCs w:val="24"/>
                <w:lang w:val="en-US" w:eastAsia="zh-CN"/>
              </w:rPr>
              <w:t>本单项中标价</w:t>
            </w:r>
            <w:r>
              <w:rPr>
                <w:rFonts w:hint="eastAsia" w:ascii="宋体" w:hAnsi="宋体" w:eastAsia="宋体" w:cs="宋体"/>
                <w:color w:val="auto"/>
                <w:sz w:val="24"/>
                <w:szCs w:val="24"/>
                <w:highlight w:val="none"/>
              </w:rPr>
              <w:t>支付。</w:t>
            </w:r>
          </w:p>
        </w:tc>
      </w:tr>
      <w:tr>
        <w:tblPrEx>
          <w:tblCellMar>
            <w:top w:w="0" w:type="dxa"/>
            <w:left w:w="0" w:type="dxa"/>
            <w:bottom w:w="0" w:type="dxa"/>
            <w:right w:w="0" w:type="dxa"/>
          </w:tblCellMar>
        </w:tblPrEx>
        <w:trPr>
          <w:trHeight w:val="90" w:hRule="atLeast"/>
          <w:jc w:val="center"/>
        </w:trPr>
        <w:tc>
          <w:tcPr>
            <w:tcW w:w="9677"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商务条款</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交货时间及地点</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1.交货时间：签订合同之日起30日内完成设备到货并完成到货验收，到货后60天内完成综合布线和设备安装调试并通过初验；</w:t>
            </w:r>
          </w:p>
          <w:p>
            <w:pPr>
              <w:tabs>
                <w:tab w:val="left" w:pos="7140"/>
              </w:tabs>
              <w:spacing w:line="240" w:lineRule="auto"/>
              <w:ind w:left="105" w:leftChars="50" w:right="105" w:rightChars="5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2.交货地点：广西壮族自治区采购人指定地点。</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进度要求</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1.在项目实施全过程中，中标人须按时提供包括周报、月报和项目例会等进度及质量控制汇报材料，确保双方能及时了解项目实施信息。</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投标文件中提供项目进度及质量的承诺书并加盖电子公章，若项目实际实施过程中，中标人不能按进度及质量承诺开展，采购人将按合同约定的违约条款（设备每延迟一天到货，扣除合同金额的0.2%。综合布线和安装调试每延迟一天完成，扣除合同金额的0.2%）进行追责。</w:t>
            </w:r>
          </w:p>
          <w:p>
            <w:pPr>
              <w:pStyle w:val="12"/>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实施过程中，须按照全过程监理单位、咨询单位的要求开展施工，包括但不限于到货盘点、货物存放、施工维护、操作安全、工单处理、进展总结、质检验收等方面的安排，以及与土建、装修等其它专业工程界面对接协调相关事宜，配合土建施工单位开展工程修复等的相关工作。</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实施要求</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1.中标人负责所提供硬件的采购、运输、现场安装（含材料）、调测（含所需工具）、仪表、上线、验收和开通。</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2.公安网、互联网、智能网、视频专网接线盒或模块用不同颜色加以区分。</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安装、调试达到技术要求规定的指标并测试通过后，可进行初验；中标人提前提交验收申请及相关验收材料给采购人，初验后启动试运行。当试运行满1个月，所有性能指标持续达到采购人技术要求，并且系统无故障时可进行系统终验。</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4.本项目所涉及软件产品，维保期内需免费升级至最新版本。</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采购标的验收标准</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1.要求所有投标产品、零部件、备品配件都全部是全新的、未经改装的、合格的、满足本项目技术需求及要求的货物，完全符合国家有关质量安全标准。坚决不允许提供替代品牌或假冒伪劣产品。</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2.调试验收过程中所产生的一切费用均由中标人承担。</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验收时由采购人或邀请有资质的第三方机构对照招标文件的功能目标及技术指标全面核对检验并出具检测报告，费用由中标人支付。对所有要求出具的证明文件的原件进行核查，如不符合招标文件的技术需求及要求以及提供虚假承诺的，按相关规定做退货处理及违约处理，中标人承担所有责任和费用，采购人有权解除合同并保留进一步追究责任的权利。</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4.本项目须严格执行国家、地方及行业相关验收标准及规范。</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5.所供货物不能涉及任何法律纠纷。</w:t>
            </w:r>
          </w:p>
          <w:p>
            <w:pPr>
              <w:tabs>
                <w:tab w:val="left" w:pos="420"/>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6.当满足以下条件时，采购人才向中标人签发货物验收报告：</w:t>
            </w:r>
          </w:p>
          <w:p>
            <w:pPr>
              <w:tabs>
                <w:tab w:val="left" w:pos="420"/>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（1）中标人已按照合同规定提供了全部产品及完整的技术资料。</w:t>
            </w:r>
          </w:p>
          <w:p>
            <w:pPr>
              <w:tabs>
                <w:tab w:val="left" w:pos="420"/>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（2）货物各项参数完全符合《主要技术参数及性能（配置）要求》的要求，单项及整体性能均满足要求，符合国家、地方及行业相关验收标准及规范。</w:t>
            </w:r>
          </w:p>
          <w:p>
            <w:pPr>
              <w:pStyle w:val="31"/>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（3）集成、调试且试运行完毕完全满足交付使用条件。</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质保期</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国家有关产品“三包”规定执行“三包”，质量保证期3年，自验收合格之日起计。标的清单中有特别提出质保年限要求的，按清单中要求的质保年限。若产品生产厂家免费质保期超过此年限的，按厂家规定执行。</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2.质保期内免费提供2名运维人员驻场服务，免费上门、免费维修、免费更换配件。</w:t>
            </w:r>
            <w:r>
              <w:rPr>
                <w:rFonts w:hint="eastAsia" w:ascii="宋体" w:hAnsi="宋体" w:eastAsia="宋体" w:cs="宋体"/>
                <w:color w:val="auto"/>
                <w:sz w:val="24"/>
                <w:szCs w:val="24"/>
                <w:highlight w:val="none"/>
                <w:lang w:val="en-US" w:eastAsia="zh-CN"/>
              </w:rPr>
              <w:t>签收合格投入使用后的</w:t>
            </w:r>
            <w:r>
              <w:rPr>
                <w:rFonts w:hint="eastAsia" w:ascii="宋体" w:hAnsi="宋体" w:eastAsia="宋体" w:cs="宋体"/>
                <w:color w:val="auto"/>
                <w:sz w:val="24"/>
                <w:szCs w:val="24"/>
                <w:highlight w:val="none"/>
              </w:rPr>
              <w:t>前3个月内，出现非人为操作失误的重大故障，中标人免费换货。质保期满前1个月内中标人负责一次免费全面检查。</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3.质保期满后，终身维护，且以优惠价格提供维修和备件更换，且免除一切手续费。</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售后服务及其他要求</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质保期内，中标人应提供灵活、多样的通信手段（包括但不限于场地、设备及人员、专用服务电话），提供7*24小时的响应服务，保证在任何时候采购人人员都能及时找到中标人的服务人员。如遇驻场人员无法解决的问题或采购人认为需要，中标人的技术人员应在12小时内赶到现场支持。</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2.所供设备出现问题时，其响应时间不超过15分钟，一般故障处理时间不大于2小时；特殊情况下，故障修复时间不大于24小时。</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3.供应商应提供排除故障响应的具体流程。</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4.供应商应在技术建议书中说明技术指导和技术支持的范围和程度，供应商应提供技术服务流程，技术服务内容和价格清单。</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培训要求</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1.培训讲师应为网络布线、网络基站建设等方面的相关从业专家，提供培训咨询服务。</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2.培训内容包括用户现场技术培训、不少于50人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次的课程培训（包括设备使用培训、各类设备操作技能等）；提供相关设备说明书、管理和配置指南手册、使用手册和故障定位/排除指南手册。</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3.中标人须根据本次招标内容提供全面、详细的培训方案和培训计划，提供有经验的授课教师和标准化的培训课程。</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4.中标人负责提供包括培训教材、培训课程等相关费用。</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知识产权要求</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1.中标人须保证采购人对所提供的硬件和文档资料享有合法的使用权。</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2.中标人须保证采购人在使用过程中不受到第三方关于侵犯专利权等知识产权的指控。任何第三方如果提出指控，中标人须与第三方交涉并承担可能发生的一切法律责任和费用。</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保密要求</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须遵守知识产权与安全保密有关规定，中标人必须承诺对本项目技术文件以及由采购人提供的所有内部资料、技术文档和信息予以保密；未经采购人书面许可，不得以任何形式向第三方透露本项目标书以及本项目的任何内容；如采购人要求，中标人必须按照采购人的要求签订相关的保密协议。</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加强本项目资料的保密管控，必须针对本项目全生命周期涉及的纸质、声音、影像、图像、电子等各种形态资料及其载体的保密管控措施，记录资料由生成到销毁整个生命周期内的使用日志，并根据实际工作情况及时对制度进行调整，资料保密管理制度的建立和修订需得到采购人方的同意后方可实行。</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廉洁承诺</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投标人在投标文件中附上《廉洁承诺书》，做出不向采购人工作人员行贿等承诺，未在投标文件中附上《廉洁承诺书》的可视为投标无效。</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廉政责任</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合同签订前，中标人负责人、经办人和采购人共同签署《广西壮族自治区公安厅机关政府采购项目廉政责任承诺书》。</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报价要求</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1.本项目为交钥匙项目，报价包括：</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（1）货物的价格：包括货款、杂配件、安装调试费、系统集成费、验收费等；</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（2）货物的标准附件、备品备件、专用工具的价格等；</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（3）运输、拆装、调试、培训、技术支持、废料处置、售后服务及安装所需的相关未列的费用；</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（4）配套服务：包括设计费、施工费、验收费；</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（5）与土建单位产生的配合费</w:t>
            </w:r>
            <w:r>
              <w:rPr>
                <w:rFonts w:hint="eastAsia" w:ascii="宋体" w:hAnsi="宋体" w:eastAsia="宋体" w:cs="宋体"/>
                <w:color w:val="auto"/>
                <w:sz w:val="24"/>
                <w:szCs w:val="24"/>
                <w:highlight w:val="none"/>
                <w:lang w:eastAsia="zh-CN"/>
              </w:rPr>
              <w:t>；</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招标代理服务费、保险费和各项税金。</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注：中标人自行考虑完成项目所需的辅材、杂配件等数量，投标报价中包含全部内容，采购人不再另行支付额外费用。</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2.中标人负责工人人身、设备安全责任，验收前，设备丢失自行负责。</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3.中标人中标后，需对采购人提供的设计图纸进一步优化，且必须经过采购人审定通过后方可实施。</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履约保证金收取及退付</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31"/>
              <w:tabs>
                <w:tab w:val="left" w:pos="7140"/>
              </w:tabs>
              <w:spacing w:line="240" w:lineRule="auto"/>
              <w:ind w:left="105" w:leftChars="50" w:right="105" w:rightChars="5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1.履约保证金金额：依据投标文件中的中小企业声明函，中标人为中小微企业的，履约保证金为合同金额的2%；中标人为大型企业的，履约保证金为合同金额的5%；</w:t>
            </w:r>
            <w:r>
              <w:rPr>
                <w:rFonts w:hint="eastAsia" w:ascii="宋体" w:hAnsi="宋体" w:eastAsia="宋体" w:cs="宋体"/>
                <w:b/>
                <w:color w:val="auto"/>
                <w:sz w:val="24"/>
                <w:szCs w:val="24"/>
                <w:highlight w:val="none"/>
              </w:rPr>
              <w:t>签订合同前须交至指定账户，否则不予签订合同。</w:t>
            </w:r>
          </w:p>
          <w:p>
            <w:pPr>
              <w:pStyle w:val="31"/>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2.履约保证金递交方式：银行转账或者银行出具的保函等非现金方式。</w:t>
            </w:r>
          </w:p>
          <w:p>
            <w:pPr>
              <w:pStyle w:val="31"/>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3.履约保证金退付方式、时间及条件：</w:t>
            </w:r>
          </w:p>
          <w:p>
            <w:pPr>
              <w:pStyle w:val="31"/>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（1）中标人若不能完全履行合同，如发生未按期交付、怠工、人员不足、货不对版等违约情形的，履约保证金不予退还；</w:t>
            </w:r>
          </w:p>
          <w:p>
            <w:pPr>
              <w:pStyle w:val="31"/>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（2）中标人若完全履行合同，在项目验收合格后，中标人凭履约保证金财务凭证到采购人财务部门办理无息退还手续。</w:t>
            </w:r>
          </w:p>
          <w:p>
            <w:pPr>
              <w:pStyle w:val="31"/>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4.备注：</w:t>
            </w:r>
          </w:p>
          <w:p>
            <w:pPr>
              <w:pStyle w:val="31"/>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（1）保函的覆盖时间原则上要覆盖质保期。</w:t>
            </w:r>
          </w:p>
          <w:p>
            <w:pPr>
              <w:pStyle w:val="31"/>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（2）履约保证金不足额缴纳的，或银行出具的保函额度不足的或者保函有效期不足的，不予签订合同。</w:t>
            </w:r>
          </w:p>
          <w:p>
            <w:pPr>
              <w:pStyle w:val="31"/>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（3）采用银行出具的保函的，必须为无条件保函，否则不予签订合同。</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付款方式</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分三阶段付款：</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第一阶段：货物进场双方现场清点完毕后支付35%合同款；</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第二阶段：项目整体通过采购人验收后支付60%合同款；</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第三阶段：项目验收合格且平稳运行满12个月后支付5%合同款。</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每次付款前，中标人须开具合法有效的增值税发票给采购人。</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产品说明</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本项目货物不接受进口产品（即通过中国海关报关验放进入中国境内且产自关境外的产品）参与投标，如有此类产品参与投标的做无效标处理。</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核心产品</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六类非屏蔽双绞线</w:t>
            </w:r>
          </w:p>
        </w:tc>
      </w:tr>
      <w:tr>
        <w:tblPrEx>
          <w:tblCellMar>
            <w:top w:w="0" w:type="dxa"/>
            <w:left w:w="0" w:type="dxa"/>
            <w:bottom w:w="0" w:type="dxa"/>
            <w:right w:w="0" w:type="dxa"/>
          </w:tblCellMar>
        </w:tblPrEx>
        <w:trPr>
          <w:trHeight w:val="90" w:hRule="atLeast"/>
          <w:jc w:val="center"/>
        </w:trPr>
        <w:tc>
          <w:tcPr>
            <w:tcW w:w="23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现场考察</w:t>
            </w:r>
          </w:p>
        </w:tc>
        <w:tc>
          <w:tcPr>
            <w:tcW w:w="7281" w:type="dxa"/>
            <w:gridSpan w:val="3"/>
            <w:tcBorders>
              <w:top w:val="single" w:color="auto" w:sz="4" w:space="0"/>
              <w:left w:val="single" w:color="auto" w:sz="4" w:space="0"/>
              <w:bottom w:val="single" w:color="auto" w:sz="4" w:space="0"/>
              <w:right w:val="single" w:color="auto" w:sz="4" w:space="0"/>
            </w:tcBorders>
            <w:shd w:val="clear" w:color="auto" w:fill="auto"/>
          </w:tcPr>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1、为提高投标人对项目实际情况的了解，确保报价及方案的充分性和合理性，投标人可自愿参与采购人组织的现场考察，费用及交通自理。</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2、请考察代表携带针对本项目的授权委托书原件、个人有效身份证原件，现场核查。</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3、时间：</w:t>
            </w:r>
            <w:r>
              <w:rPr>
                <w:rFonts w:hint="eastAsia" w:ascii="宋体" w:hAnsi="宋体" w:eastAsia="宋体" w:cs="宋体"/>
                <w:color w:val="auto"/>
                <w:sz w:val="24"/>
                <w:szCs w:val="24"/>
                <w:highlight w:val="none"/>
                <w:lang w:val="en-US" w:eastAsia="zh-CN"/>
              </w:rPr>
              <w:t>2023年7月25日10时00分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时30分进行签到，逾期的视为不参与现场考察。</w:t>
            </w:r>
          </w:p>
          <w:p>
            <w:pPr>
              <w:tabs>
                <w:tab w:val="left" w:pos="7140"/>
              </w:tabs>
              <w:spacing w:line="240" w:lineRule="auto"/>
              <w:ind w:left="105" w:leftChars="50" w:right="105" w:rightChars="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集中地点：</w:t>
            </w:r>
            <w:r>
              <w:rPr>
                <w:rFonts w:hint="eastAsia" w:ascii="宋体" w:hAnsi="宋体" w:eastAsia="宋体" w:cs="宋体"/>
                <w:color w:val="auto"/>
                <w:sz w:val="24"/>
                <w:szCs w:val="24"/>
                <w:highlight w:val="none"/>
                <w:lang w:val="en-US" w:eastAsia="zh-CN"/>
              </w:rPr>
              <w:t>803基地</w:t>
            </w:r>
          </w:p>
          <w:p>
            <w:pPr>
              <w:tabs>
                <w:tab w:val="left" w:pos="7140"/>
              </w:tabs>
              <w:spacing w:line="240" w:lineRule="auto"/>
              <w:ind w:left="105" w:leftChars="50"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highlight w:val="none"/>
              </w:rPr>
              <w:t>何定海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0771-</w:t>
            </w:r>
            <w:r>
              <w:rPr>
                <w:rFonts w:hint="eastAsia" w:ascii="宋体" w:hAnsi="宋体" w:cs="宋体"/>
                <w:color w:val="auto"/>
                <w:sz w:val="24"/>
                <w:highlight w:val="none"/>
              </w:rPr>
              <w:t>2893177</w:t>
            </w:r>
            <w:r>
              <w:rPr>
                <w:rFonts w:hint="eastAsia" w:ascii="宋体" w:hAnsi="宋体" w:eastAsia="宋体" w:cs="宋体"/>
                <w:color w:val="auto"/>
                <w:sz w:val="24"/>
                <w:szCs w:val="24"/>
                <w:highlight w:val="none"/>
              </w:rPr>
              <w:t xml:space="preserve">    </w:t>
            </w:r>
          </w:p>
        </w:tc>
      </w:tr>
    </w:tbl>
    <w:p>
      <w:pPr>
        <w:rPr>
          <w:rFonts w:ascii="微软雅黑" w:hAnsi="微软雅黑" w:eastAsia="微软雅黑" w:cs="微软雅黑"/>
          <w:color w:val="auto"/>
          <w:sz w:val="32"/>
          <w:szCs w:val="32"/>
          <w:highlight w:val="none"/>
        </w:rPr>
      </w:pPr>
    </w:p>
    <w:p>
      <w:pPr>
        <w:rPr>
          <w:rFonts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br w:type="page"/>
      </w:r>
    </w:p>
    <w:p>
      <w:pPr>
        <w:rPr>
          <w:rFonts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pPr>
        <w:spacing w:before="7"/>
        <w:rPr>
          <w:rFonts w:ascii="Arial Unicode MS" w:hAnsi="Arial Unicode MS" w:eastAsia="Arial Unicode MS" w:cs="Arial Unicode MS"/>
          <w:color w:val="auto"/>
          <w:sz w:val="17"/>
          <w:szCs w:val="17"/>
          <w:highlight w:val="none"/>
        </w:rPr>
      </w:pPr>
    </w:p>
    <w:p>
      <w:pPr>
        <w:spacing w:line="528" w:lineRule="exact"/>
        <w:ind w:left="22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节能产品政府采购品目清单</w:t>
      </w:r>
    </w:p>
    <w:tbl>
      <w:tblPr>
        <w:tblStyle w:val="23"/>
        <w:tblW w:w="9220" w:type="dxa"/>
        <w:tblInd w:w="93" w:type="dxa"/>
        <w:tblLayout w:type="fixed"/>
        <w:tblCellMar>
          <w:top w:w="0" w:type="dxa"/>
          <w:left w:w="108" w:type="dxa"/>
          <w:bottom w:w="0" w:type="dxa"/>
          <w:right w:w="108" w:type="dxa"/>
        </w:tblCellMar>
      </w:tblPr>
      <w:tblGrid>
        <w:gridCol w:w="589"/>
        <w:gridCol w:w="1296"/>
        <w:gridCol w:w="1776"/>
        <w:gridCol w:w="1776"/>
        <w:gridCol w:w="3783"/>
      </w:tblGrid>
      <w:tr>
        <w:tblPrEx>
          <w:tblCellMar>
            <w:top w:w="0" w:type="dxa"/>
            <w:left w:w="108" w:type="dxa"/>
            <w:bottom w:w="0" w:type="dxa"/>
            <w:right w:w="108" w:type="dxa"/>
          </w:tblCellMar>
        </w:tblPrEx>
        <w:trPr>
          <w:trHeight w:val="555" w:hRule="atLeast"/>
        </w:trPr>
        <w:tc>
          <w:tcPr>
            <w:tcW w:w="589" w:type="dxa"/>
            <w:tcBorders>
              <w:top w:val="single" w:color="000000" w:sz="8" w:space="0"/>
              <w:left w:val="single" w:color="000000" w:sz="8" w:space="0"/>
              <w:bottom w:val="nil"/>
              <w:right w:val="single" w:color="000000" w:sz="8" w:space="0"/>
            </w:tcBorders>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品目序号</w:t>
            </w:r>
          </w:p>
        </w:tc>
        <w:tc>
          <w:tcPr>
            <w:tcW w:w="4848"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名称</w:t>
            </w:r>
          </w:p>
        </w:tc>
        <w:tc>
          <w:tcPr>
            <w:tcW w:w="3783" w:type="dxa"/>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依据的标准</w:t>
            </w:r>
          </w:p>
        </w:tc>
      </w:tr>
      <w:tr>
        <w:tblPrEx>
          <w:tblCellMar>
            <w:top w:w="0" w:type="dxa"/>
            <w:left w:w="108" w:type="dxa"/>
            <w:bottom w:w="0" w:type="dxa"/>
            <w:right w:w="108" w:type="dxa"/>
          </w:tblCellMar>
        </w:tblPrEx>
        <w:trPr>
          <w:trHeight w:val="495" w:hRule="atLeast"/>
        </w:trPr>
        <w:tc>
          <w:tcPr>
            <w:tcW w:w="589"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296"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A020101计算机设备</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★A02010104台式计算机</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58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★A02010105便携式计算机</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《微型计算机能效限定值及能效等级》（GB28380）</w:t>
            </w:r>
          </w:p>
        </w:tc>
      </w:tr>
      <w:tr>
        <w:tblPrEx>
          <w:tblCellMar>
            <w:top w:w="0" w:type="dxa"/>
            <w:left w:w="108" w:type="dxa"/>
            <w:bottom w:w="0" w:type="dxa"/>
            <w:right w:w="108" w:type="dxa"/>
          </w:tblCellMar>
        </w:tblPrEx>
        <w:trPr>
          <w:trHeight w:val="735" w:hRule="atLeast"/>
        </w:trPr>
        <w:tc>
          <w:tcPr>
            <w:tcW w:w="58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★A02010107平板式微型计算机</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589"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296"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A020106输入输出设备</w:t>
            </w:r>
          </w:p>
        </w:tc>
        <w:tc>
          <w:tcPr>
            <w:tcW w:w="1776"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A02010601打印设备</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A0201060101喷墨打印机</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58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77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★A0201060102激光打印机</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58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77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★A0201060104针式打印机</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58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A02010604显示设备</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★A0201060401液晶显示器</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《计算机显示器能效限定值及能效等级》（GB21520）</w:t>
            </w:r>
          </w:p>
        </w:tc>
      </w:tr>
      <w:tr>
        <w:tblPrEx>
          <w:tblCellMar>
            <w:top w:w="0" w:type="dxa"/>
            <w:left w:w="108" w:type="dxa"/>
            <w:bottom w:w="0" w:type="dxa"/>
            <w:right w:w="108" w:type="dxa"/>
          </w:tblCellMar>
        </w:tblPrEx>
        <w:trPr>
          <w:trHeight w:val="975" w:hRule="atLeast"/>
        </w:trPr>
        <w:tc>
          <w:tcPr>
            <w:tcW w:w="58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A02010609图形图像输入设备</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A0201060901扫描仪</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A020202投影仪</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《投影机能效限定值及能效等级》（GB32028）</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A020204多功能一体机</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A020519泵</w:t>
            </w:r>
          </w:p>
        </w:tc>
        <w:tc>
          <w:tcPr>
            <w:tcW w:w="1776" w:type="dxa"/>
            <w:tcBorders>
              <w:top w:val="nil"/>
              <w:left w:val="nil"/>
              <w:bottom w:val="single" w:color="auto" w:sz="4"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A02051901离心泵</w:t>
            </w:r>
          </w:p>
        </w:tc>
        <w:tc>
          <w:tcPr>
            <w:tcW w:w="1776" w:type="dxa"/>
            <w:tcBorders>
              <w:top w:val="nil"/>
              <w:left w:val="nil"/>
              <w:bottom w:val="single" w:color="auto" w:sz="4"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auto" w:sz="4"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《清水离心泵能效限定值及节能评价值》（GB19762）</w:t>
            </w:r>
          </w:p>
        </w:tc>
      </w:tr>
      <w:tr>
        <w:tblPrEx>
          <w:tblCellMar>
            <w:top w:w="0" w:type="dxa"/>
            <w:left w:w="108" w:type="dxa"/>
            <w:bottom w:w="0" w:type="dxa"/>
            <w:right w:w="108" w:type="dxa"/>
          </w:tblCellMar>
        </w:tblPrEx>
        <w:trPr>
          <w:trHeight w:val="735" w:hRule="atLeast"/>
        </w:trPr>
        <w:tc>
          <w:tcPr>
            <w:tcW w:w="5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A020523制冷空调设备</w:t>
            </w:r>
          </w:p>
        </w:tc>
        <w:tc>
          <w:tcPr>
            <w:tcW w:w="17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★A02052301制冷压缩机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冷水机组</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水源热泵机组</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《水（地）源热泵机组能效限定值及能效等级》（GB30721）</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溴化锂吸收式冷水机组</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★A02052305空调机组</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多联式空调（热泵）机组(制冷量&gt;14000W)</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单元式空气调节机(制冷量&gt;14000W</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★A02052309专用制冷、空调设备</w:t>
            </w:r>
          </w:p>
        </w:tc>
        <w:tc>
          <w:tcPr>
            <w:tcW w:w="1776"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机房空调</w:t>
            </w:r>
          </w:p>
        </w:tc>
        <w:tc>
          <w:tcPr>
            <w:tcW w:w="3783" w:type="dxa"/>
            <w:tcBorders>
              <w:top w:val="single" w:color="auto" w:sz="4" w:space="0"/>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《单元式空气调节机能效限定值及能效等级》（GB19576）</w:t>
            </w:r>
          </w:p>
        </w:tc>
      </w:tr>
      <w:tr>
        <w:tblPrEx>
          <w:tblCellMar>
            <w:top w:w="0" w:type="dxa"/>
            <w:left w:w="108" w:type="dxa"/>
            <w:bottom w:w="0" w:type="dxa"/>
            <w:right w:w="108" w:type="dxa"/>
          </w:tblCellMar>
        </w:tblPrEx>
        <w:trPr>
          <w:trHeight w:val="735" w:hRule="atLeast"/>
        </w:trPr>
        <w:tc>
          <w:tcPr>
            <w:tcW w:w="589"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A02052399其他制冷空调设备</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冷却塔</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A020601电机</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A020602变压器</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配电变压器</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《三相配电变压器能效限定值及能效等级》（GB20052）</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★A020609镇流器</w:t>
            </w:r>
          </w:p>
        </w:tc>
        <w:tc>
          <w:tcPr>
            <w:tcW w:w="1776" w:type="dxa"/>
            <w:tcBorders>
              <w:top w:val="nil"/>
              <w:left w:val="nil"/>
              <w:bottom w:val="single" w:color="auto" w:sz="4"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管型荧光灯镇流器</w:t>
            </w:r>
          </w:p>
        </w:tc>
        <w:tc>
          <w:tcPr>
            <w:tcW w:w="1776" w:type="dxa"/>
            <w:tcBorders>
              <w:top w:val="nil"/>
              <w:left w:val="nil"/>
              <w:bottom w:val="single" w:color="auto" w:sz="4"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auto" w:sz="4"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《管形荧光灯镇流器能效限定值及能效等级》（GB17896）</w:t>
            </w:r>
          </w:p>
        </w:tc>
      </w:tr>
      <w:tr>
        <w:tblPrEx>
          <w:tblCellMar>
            <w:top w:w="0" w:type="dxa"/>
            <w:left w:w="108" w:type="dxa"/>
            <w:bottom w:w="0" w:type="dxa"/>
            <w:right w:w="108" w:type="dxa"/>
          </w:tblCellMar>
        </w:tblPrEx>
        <w:trPr>
          <w:trHeight w:val="495" w:hRule="atLeast"/>
        </w:trPr>
        <w:tc>
          <w:tcPr>
            <w:tcW w:w="5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A020618生活用电器</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A0206180101电冰箱</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《家用电冰箱耗电量限定值及能效等级》（GB 12021.2）</w:t>
            </w:r>
          </w:p>
        </w:tc>
      </w:tr>
      <w:tr>
        <w:tblPrEx>
          <w:tblCellMar>
            <w:top w:w="0" w:type="dxa"/>
            <w:left w:w="108" w:type="dxa"/>
            <w:bottom w:w="0" w:type="dxa"/>
            <w:right w:w="108" w:type="dxa"/>
          </w:tblCellMar>
        </w:tblPrEx>
        <w:trPr>
          <w:trHeight w:val="97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★A0206180203空调机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房间空气调节器</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多联式空调（热泵）机组（制冷量≤ 14000W）</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单元式空气调节机(制冷量≤14000W)</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A0206180301洗衣机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《电动洗衣机能效水效限定值及等级》（GB12021.4）</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A02061808热水器</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★电热水器</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《储水式电热水器能效限定值及能效等级》（GB21519）</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燃气热水器</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热泵热水器</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《热泵热水机（器）能效限定值及能效等级》（GB29541）</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太阳能热水系统</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《家用太阳能热水系统能效限定值及能效等级》（GB26969）</w:t>
            </w:r>
          </w:p>
        </w:tc>
      </w:tr>
      <w:tr>
        <w:tblPrEx>
          <w:tblCellMar>
            <w:top w:w="0" w:type="dxa"/>
            <w:left w:w="108" w:type="dxa"/>
            <w:bottom w:w="0" w:type="dxa"/>
            <w:right w:w="108" w:type="dxa"/>
          </w:tblCellMar>
        </w:tblPrEx>
        <w:trPr>
          <w:trHeight w:val="495" w:hRule="atLeast"/>
        </w:trPr>
        <w:tc>
          <w:tcPr>
            <w:tcW w:w="5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A020619照明设备</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★普通照明用双端荧光灯</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LED道路/隧道照明产品</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LED筒灯</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普通照明用非定向自镇流LED灯</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★A020910电视设备</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A02091001普通电视设备（电视机）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《平板电视能效限定值及能效等级》（GB24850）</w:t>
            </w:r>
          </w:p>
        </w:tc>
      </w:tr>
      <w:tr>
        <w:tblPrEx>
          <w:tblCellMar>
            <w:top w:w="0" w:type="dxa"/>
            <w:left w:w="108" w:type="dxa"/>
            <w:bottom w:w="0" w:type="dxa"/>
            <w:right w:w="108" w:type="dxa"/>
          </w:tblCellMar>
        </w:tblPrEx>
        <w:trPr>
          <w:trHeight w:val="975"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★A020911视频设备</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A02091107视频监控设备</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监视器</w:t>
            </w:r>
          </w:p>
        </w:tc>
        <w:tc>
          <w:tcPr>
            <w:tcW w:w="37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589" w:type="dxa"/>
            <w:tcBorders>
              <w:top w:val="single" w:color="auto" w:sz="4"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296"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A031210饮食炊事机械</w:t>
            </w:r>
          </w:p>
        </w:tc>
        <w:tc>
          <w:tcPr>
            <w:tcW w:w="1776"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商用燃气灶具</w:t>
            </w:r>
          </w:p>
        </w:tc>
        <w:tc>
          <w:tcPr>
            <w:tcW w:w="1776"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《商用燃气灶具能效限定值及能效等级》（GB30531）</w:t>
            </w:r>
          </w:p>
        </w:tc>
      </w:tr>
      <w:tr>
        <w:tblPrEx>
          <w:tblCellMar>
            <w:top w:w="0" w:type="dxa"/>
            <w:left w:w="108" w:type="dxa"/>
            <w:bottom w:w="0" w:type="dxa"/>
            <w:right w:w="108" w:type="dxa"/>
          </w:tblCellMar>
        </w:tblPrEx>
        <w:trPr>
          <w:trHeight w:val="285" w:hRule="atLeast"/>
        </w:trPr>
        <w:tc>
          <w:tcPr>
            <w:tcW w:w="589" w:type="dxa"/>
            <w:vMerge w:val="restart"/>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2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★A060805便器</w:t>
            </w: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坐便器</w:t>
            </w: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《坐便器水效限定值及水效等级》（GB25502）</w:t>
            </w:r>
          </w:p>
        </w:tc>
      </w:tr>
      <w:tr>
        <w:tblPrEx>
          <w:tblCellMar>
            <w:top w:w="0" w:type="dxa"/>
            <w:left w:w="108" w:type="dxa"/>
            <w:bottom w:w="0" w:type="dxa"/>
            <w:right w:w="108" w:type="dxa"/>
          </w:tblCellMar>
        </w:tblPrEx>
        <w:trPr>
          <w:trHeight w:val="495" w:hRule="atLeast"/>
        </w:trPr>
        <w:tc>
          <w:tcPr>
            <w:tcW w:w="58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4"/>
                <w:highlight w:val="none"/>
              </w:rPr>
            </w:pPr>
          </w:p>
        </w:tc>
        <w:tc>
          <w:tcPr>
            <w:tcW w:w="129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24"/>
                <w:highlight w:val="none"/>
              </w:rPr>
            </w:pP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蹲便器</w:t>
            </w: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《蹲便器用水效率限定值及用水效率等级》（GB30717）</w:t>
            </w:r>
          </w:p>
        </w:tc>
      </w:tr>
      <w:tr>
        <w:tblPrEx>
          <w:tblCellMar>
            <w:top w:w="0" w:type="dxa"/>
            <w:left w:w="108" w:type="dxa"/>
            <w:bottom w:w="0" w:type="dxa"/>
            <w:right w:w="108" w:type="dxa"/>
          </w:tblCellMar>
        </w:tblPrEx>
        <w:trPr>
          <w:trHeight w:val="495" w:hRule="atLeast"/>
        </w:trPr>
        <w:tc>
          <w:tcPr>
            <w:tcW w:w="58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4"/>
                <w:highlight w:val="none"/>
              </w:rPr>
            </w:pPr>
          </w:p>
        </w:tc>
        <w:tc>
          <w:tcPr>
            <w:tcW w:w="129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24"/>
                <w:highlight w:val="none"/>
              </w:rPr>
            </w:pP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小便器</w:t>
            </w: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《小便器用水效率限定值及用水效率等级》（GB28377）</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★A060806水嘴</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《水嘴用水效率限定值及用水效率等级》（GB 25501）</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A060807便器冲洗阀</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《便器冲洗阀用水效率限定值及用水效率等级》（GB28379）</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A060810淋浴器</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783"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《淋浴器用水效率限定值及用水效率等级》（GB28378）</w:t>
            </w:r>
          </w:p>
        </w:tc>
      </w:tr>
    </w:tbl>
    <w:p>
      <w:pPr>
        <w:pStyle w:val="12"/>
        <w:ind w:firstLine="408"/>
        <w:rPr>
          <w:rFonts w:hAnsi="宋体" w:eastAsia="宋体" w:cs="宋体"/>
          <w:color w:val="auto"/>
          <w:sz w:val="24"/>
          <w:szCs w:val="24"/>
          <w:highlight w:val="none"/>
        </w:rPr>
      </w:pPr>
      <w:r>
        <w:rPr>
          <w:rFonts w:hint="eastAsia" w:hAnsi="宋体" w:eastAsia="宋体" w:cs="宋体"/>
          <w:color w:val="auto"/>
          <w:spacing w:val="-3"/>
          <w:sz w:val="24"/>
          <w:szCs w:val="24"/>
          <w:highlight w:val="none"/>
        </w:rPr>
        <w:t>注：1.节能产品认证应依据相关国家标准的最新版本，依据国家标准中二级能效（水效）</w:t>
      </w:r>
      <w:r>
        <w:rPr>
          <w:rFonts w:hint="eastAsia" w:hAnsi="宋体" w:eastAsia="宋体" w:cs="宋体"/>
          <w:color w:val="auto"/>
          <w:sz w:val="24"/>
          <w:szCs w:val="24"/>
          <w:highlight w:val="none"/>
        </w:rPr>
        <w:t>指标。</w:t>
      </w:r>
    </w:p>
    <w:p>
      <w:pPr>
        <w:pStyle w:val="12"/>
        <w:rPr>
          <w:rFonts w:hAnsi="宋体" w:eastAsia="宋体" w:cs="宋体"/>
          <w:color w:val="auto"/>
          <w:sz w:val="24"/>
          <w:szCs w:val="24"/>
          <w:highlight w:val="none"/>
        </w:rPr>
      </w:pPr>
      <w:r>
        <w:rPr>
          <w:rFonts w:hint="eastAsia" w:hAnsi="宋体" w:eastAsia="宋体" w:cs="宋体"/>
          <w:color w:val="auto"/>
          <w:sz w:val="24"/>
          <w:szCs w:val="24"/>
          <w:highlight w:val="none"/>
        </w:rPr>
        <w:t xml:space="preserve">    2.以“★”标注的为政府强制采购产品。</w:t>
      </w:r>
    </w:p>
    <w:p>
      <w:pPr>
        <w:pStyle w:val="15"/>
        <w:jc w:val="left"/>
        <w:rPr>
          <w:rFonts w:hAnsi="宋体" w:cs="宋体"/>
          <w:color w:val="auto"/>
          <w:sz w:val="24"/>
          <w:szCs w:val="24"/>
          <w:highlight w:val="none"/>
        </w:rPr>
      </w:pPr>
      <w:r>
        <w:rPr>
          <w:rFonts w:hint="eastAsia" w:hAnsi="宋体" w:cs="宋体"/>
          <w:color w:val="auto"/>
          <w:sz w:val="24"/>
          <w:szCs w:val="24"/>
          <w:highlight w:val="none"/>
        </w:rPr>
        <w:t>附件2：</w:t>
      </w:r>
    </w:p>
    <w:p>
      <w:pPr>
        <w:spacing w:line="528" w:lineRule="exact"/>
        <w:ind w:left="22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中小微企业划型标准</w:t>
      </w:r>
    </w:p>
    <w:tbl>
      <w:tblPr>
        <w:tblStyle w:val="23"/>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行业名称</w:t>
            </w:r>
          </w:p>
        </w:tc>
        <w:tc>
          <w:tcPr>
            <w:tcW w:w="163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指标名称</w:t>
            </w:r>
          </w:p>
        </w:tc>
        <w:tc>
          <w:tcPr>
            <w:tcW w:w="107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计量单位</w:t>
            </w:r>
          </w:p>
        </w:tc>
        <w:tc>
          <w:tcPr>
            <w:tcW w:w="191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中型</w:t>
            </w:r>
          </w:p>
        </w:tc>
        <w:tc>
          <w:tcPr>
            <w:tcW w:w="169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小型</w:t>
            </w:r>
          </w:p>
        </w:tc>
        <w:tc>
          <w:tcPr>
            <w:tcW w:w="109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微型</w:t>
            </w:r>
          </w:p>
        </w:tc>
      </w:tr>
      <w:tr>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农、林、牧、渔</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50≤Y＜500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2000≤Y＜40000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建筑业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6000≤Y＜80000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300≤Y＜6000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5000≤Z＜80000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300≤Z＜5000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Z＜300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批发业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20≤X＜200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5≤X＜20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X＜5</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5000≤Y＜40000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零售业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10≤X＜50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100≤Y＜500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交通运输业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200≤Y＜3000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仓储业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邮政业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住宿业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餐饮业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信息传输业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软件和信息技术服务业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房地产开发经营</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1000≤Y＜200000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物业管理</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租赁和商务服务业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8000≤Z＜120000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100≤Z＜8000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其他未列明行业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bl>
    <w:p>
      <w:pPr>
        <w:ind w:firstLine="600" w:firstLineChars="250"/>
        <w:rPr>
          <w:rFonts w:ascii="宋体" w:hAnsi="宋体" w:cs="宋体"/>
          <w:color w:val="auto"/>
          <w:sz w:val="24"/>
          <w:highlight w:val="none"/>
        </w:rPr>
      </w:pPr>
      <w:r>
        <w:rPr>
          <w:rFonts w:hint="eastAsia" w:ascii="宋体" w:hAnsi="宋体" w:cs="宋体"/>
          <w:color w:val="auto"/>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cs="宋体"/>
          <w:color w:val="auto"/>
          <w:sz w:val="24"/>
          <w:highlight w:val="none"/>
        </w:rPr>
        <w:sectPr>
          <w:footerReference r:id="rId4" w:type="default"/>
          <w:pgSz w:w="11906" w:h="16838"/>
          <w:pgMar w:top="1134" w:right="1134" w:bottom="1134" w:left="1134" w:header="720" w:footer="720" w:gutter="0"/>
          <w:pgNumType w:start="1"/>
          <w:cols w:space="720" w:num="1"/>
          <w:docGrid w:type="lines" w:linePitch="331" w:charSpace="0"/>
        </w:sectPr>
      </w:pPr>
    </w:p>
    <w:p>
      <w:pPr>
        <w:pStyle w:val="3"/>
        <w:spacing w:line="360" w:lineRule="auto"/>
        <w:jc w:val="center"/>
        <w:rPr>
          <w:rFonts w:ascii="宋体" w:hAnsi="宋体" w:cs="宋体"/>
          <w:color w:val="auto"/>
          <w:highlight w:val="none"/>
        </w:rPr>
      </w:pPr>
      <w:r>
        <w:rPr>
          <w:rFonts w:hint="eastAsia" w:ascii="宋体" w:hAnsi="宋体" w:cs="宋体"/>
          <w:color w:val="auto"/>
          <w:highlight w:val="none"/>
        </w:rPr>
        <w:t>第三章  投标人须知</w:t>
      </w:r>
      <w:bookmarkEnd w:id="43"/>
    </w:p>
    <w:p>
      <w:pPr>
        <w:spacing w:line="360" w:lineRule="auto"/>
        <w:jc w:val="center"/>
        <w:rPr>
          <w:rFonts w:ascii="宋体" w:hAnsi="宋体" w:cs="宋体"/>
          <w:color w:val="auto"/>
          <w:sz w:val="36"/>
          <w:szCs w:val="36"/>
          <w:highlight w:val="none"/>
        </w:rPr>
      </w:pPr>
      <w:bookmarkStart w:id="44" w:name="_Toc254970526"/>
      <w:bookmarkStart w:id="45" w:name="_Toc254970667"/>
      <w:r>
        <w:rPr>
          <w:rFonts w:hint="eastAsia" w:ascii="宋体" w:hAnsi="宋体" w:cs="宋体"/>
          <w:color w:val="auto"/>
          <w:sz w:val="36"/>
          <w:szCs w:val="36"/>
          <w:highlight w:val="none"/>
        </w:rPr>
        <w:t>投标人须知前附表</w:t>
      </w:r>
      <w:bookmarkEnd w:id="44"/>
      <w:bookmarkEnd w:id="45"/>
    </w:p>
    <w:p>
      <w:pPr>
        <w:jc w:val="center"/>
        <w:rPr>
          <w:rFonts w:ascii="宋体" w:hAnsi="宋体" w:cs="宋体"/>
          <w:color w:val="auto"/>
          <w:sz w:val="36"/>
          <w:szCs w:val="36"/>
          <w:highlight w:val="none"/>
        </w:rPr>
      </w:pPr>
    </w:p>
    <w:tbl>
      <w:tblPr>
        <w:tblStyle w:val="23"/>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46" w:name="_9.2"/>
            <w:bookmarkEnd w:id="46"/>
            <w:bookmarkStart w:id="47" w:name="_5"/>
            <w:bookmarkEnd w:id="47"/>
            <w:bookmarkStart w:id="48" w:name="_8.1"/>
            <w:bookmarkEnd w:id="48"/>
            <w:r>
              <w:rPr>
                <w:rFonts w:hint="eastAsia" w:ascii="宋体" w:hAnsi="宋体" w:cs="宋体"/>
                <w:color w:val="auto"/>
                <w:sz w:val="24"/>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宋体"/>
                <w:color w:val="auto"/>
                <w:sz w:val="24"/>
                <w:highlight w:val="none"/>
              </w:rPr>
            </w:pPr>
            <w:r>
              <w:rPr>
                <w:rFonts w:hint="eastAsia" w:ascii="宋体" w:hAnsi="宋体" w:cs="宋体"/>
                <w:color w:val="auto"/>
                <w:sz w:val="24"/>
                <w:highlight w:val="none"/>
              </w:rPr>
              <w:t>本项目是否接受联合体投标：否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 w:val="24"/>
                <w:highlight w:val="none"/>
              </w:rPr>
            </w:pPr>
            <w:bookmarkStart w:id="49" w:name="_Hlk54105293"/>
            <w:r>
              <w:rPr>
                <w:rFonts w:hint="eastAsia" w:ascii="宋体" w:hAnsi="宋体" w:cs="宋体"/>
                <w:color w:val="auto"/>
                <w:sz w:val="24"/>
                <w:highlight w:val="none"/>
              </w:rPr>
              <w:t>如接受联合体投标，</w:t>
            </w:r>
            <w:bookmarkEnd w:id="49"/>
            <w:r>
              <w:rPr>
                <w:rFonts w:hint="eastAsia" w:ascii="宋体" w:hAnsi="宋体" w:cs="宋体"/>
                <w:color w:val="auto"/>
                <w:sz w:val="24"/>
                <w:highlight w:val="none"/>
              </w:rPr>
              <w:t>联合体投标要求如下：</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1、两个以上供应商可以组成一个投标联合体，以一个投标人的身份共同参加投标，联合体投标人的名称应统一按“XXX 公司与 XXX 公司的联合体”的规则填写。</w:t>
            </w:r>
            <w:r>
              <w:rPr>
                <w:rFonts w:hint="eastAsia" w:ascii="宋体" w:hAnsi="宋体" w:cs="宋体"/>
                <w:color w:val="auto"/>
                <w:sz w:val="24"/>
                <w:highlight w:val="none"/>
              </w:rPr>
              <w:tab/>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s="宋体"/>
                <w:color w:val="auto"/>
                <w:sz w:val="24"/>
                <w:highlight w:val="none"/>
              </w:rPr>
              <w:tab/>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4、以联合体形式参加政府采购活动的，联合体各方不得再单独参加或者与其他投标人另外组成联合体参加同一合同项下的政府采购活动，否则与之相关的投标文件作废。</w:t>
            </w:r>
            <w:r>
              <w:rPr>
                <w:rFonts w:hint="eastAsia" w:ascii="宋体" w:hAnsi="宋体" w:cs="宋体"/>
                <w:color w:val="auto"/>
                <w:sz w:val="24"/>
                <w:highlight w:val="none"/>
              </w:rPr>
              <w:tab/>
            </w:r>
            <w:r>
              <w:rPr>
                <w:rFonts w:hint="eastAsia" w:ascii="宋体" w:hAnsi="宋体" w:cs="宋体"/>
                <w:color w:val="auto"/>
                <w:sz w:val="24"/>
                <w:highlight w:val="none"/>
              </w:rPr>
              <w:tab/>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5、联合体中有同类资质的投标人按照联合体分工承担相同工作的，应当按照资质等级较低的投标人确定资质等级。</w:t>
            </w:r>
            <w:r>
              <w:rPr>
                <w:rFonts w:hint="eastAsia" w:ascii="宋体" w:hAnsi="宋体" w:cs="宋体"/>
                <w:color w:val="auto"/>
                <w:sz w:val="24"/>
                <w:highlight w:val="none"/>
              </w:rPr>
              <w:tab/>
            </w:r>
            <w:r>
              <w:rPr>
                <w:rFonts w:hint="eastAsia" w:ascii="宋体" w:hAnsi="宋体" w:cs="宋体"/>
                <w:color w:val="auto"/>
                <w:sz w:val="24"/>
                <w:highlight w:val="none"/>
              </w:rPr>
              <w:tab/>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6、联合体投标业绩、履约能力按照联合体各方其中较高的一方认定并计算（招标文件另有规定的除外）。</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7、联合体各方均应按照招标文件的规定提交资格证明文件。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本项目不允许分包。</w:t>
            </w:r>
          </w:p>
          <w:p>
            <w:pPr>
              <w:pStyle w:val="1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本项目允许分包：</w:t>
            </w:r>
          </w:p>
          <w:p>
            <w:pPr>
              <w:pStyle w:val="10"/>
              <w:spacing w:line="360" w:lineRule="auto"/>
              <w:rPr>
                <w:rFonts w:ascii="宋体" w:hAnsi="宋体" w:cs="宋体"/>
                <w:color w:val="auto"/>
                <w:sz w:val="24"/>
                <w:highlight w:val="none"/>
                <w:u w:val="single"/>
              </w:rPr>
            </w:pPr>
            <w:r>
              <w:rPr>
                <w:rFonts w:hint="eastAsia" w:ascii="宋体" w:hAnsi="宋体" w:cs="宋体"/>
                <w:color w:val="auto"/>
                <w:sz w:val="24"/>
                <w:highlight w:val="none"/>
              </w:rPr>
              <w:t>分包内容：</w:t>
            </w:r>
            <w:r>
              <w:rPr>
                <w:rFonts w:hint="eastAsia" w:ascii="宋体" w:hAnsi="宋体" w:cs="宋体"/>
                <w:color w:val="auto"/>
                <w:sz w:val="24"/>
                <w:highlight w:val="none"/>
                <w:u w:val="single"/>
              </w:rPr>
              <w:t>/</w:t>
            </w:r>
          </w:p>
          <w:p>
            <w:pPr>
              <w:pStyle w:val="10"/>
              <w:spacing w:line="360" w:lineRule="auto"/>
              <w:jc w:val="both"/>
              <w:rPr>
                <w:rFonts w:ascii="宋体" w:hAnsi="宋体" w:cs="宋体"/>
                <w:color w:val="auto"/>
                <w:sz w:val="24"/>
                <w:highlight w:val="none"/>
                <w:u w:val="single"/>
              </w:rPr>
            </w:pPr>
            <w:r>
              <w:rPr>
                <w:rFonts w:hint="eastAsia" w:ascii="宋体" w:hAnsi="宋体" w:cs="宋体"/>
                <w:color w:val="auto"/>
                <w:sz w:val="24"/>
                <w:highlight w:val="none"/>
              </w:rPr>
              <w:t>分包金额或者比例：</w:t>
            </w:r>
            <w:r>
              <w:rPr>
                <w:rFonts w:hint="eastAsia" w:ascii="宋体" w:hAnsi="宋体" w:cs="宋体"/>
                <w:color w:val="auto"/>
                <w:sz w:val="24"/>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保期长优先、交货期短优先、故障响应时间短优先的顺序依次确定。</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采用综合评分法的采购项目，提供相同品牌产品（非单一产品采购项目的，指核心产品）的不同投标人评审得分相同时，按照下列方式确定一个投标人获得中标人推荐资格：评标委员会按投标报价低的原则确定，投标报价相同的按综合评分中技术水平、售后服务、履约能力、政策功能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89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11.5</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本项目是否组织现场考察：详见商务条款。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本项目不组织召开开标前答疑会。</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本项目组织召开开标前答疑会：详见商务条款。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50" w:name="_13.1"/>
            <w:bookmarkEnd w:id="50"/>
            <w:r>
              <w:rPr>
                <w:rFonts w:hint="eastAsia" w:ascii="宋体" w:hAnsi="宋体" w:cs="宋体"/>
                <w:color w:val="auto"/>
                <w:sz w:val="24"/>
                <w:highlight w:val="none"/>
              </w:rPr>
              <w:t>13.</w:t>
            </w:r>
            <w:bookmarkStart w:id="51" w:name="_Hlt19632543"/>
            <w:r>
              <w:rPr>
                <w:rFonts w:hint="eastAsia" w:ascii="宋体" w:hAnsi="宋体" w:cs="宋体"/>
                <w:color w:val="auto"/>
                <w:sz w:val="24"/>
                <w:highlight w:val="none"/>
              </w:rPr>
              <w:t>1</w:t>
            </w:r>
            <w:bookmarkEnd w:id="51"/>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报价文件：</w:t>
            </w:r>
          </w:p>
          <w:p>
            <w:pPr>
              <w:autoSpaceDE w:val="0"/>
              <w:autoSpaceDN w:val="0"/>
              <w:snapToGrid w:val="0"/>
              <w:spacing w:line="360" w:lineRule="auto"/>
              <w:textAlignment w:val="bottom"/>
              <w:rPr>
                <w:rFonts w:ascii="宋体" w:hAnsi="宋体" w:cs="宋体"/>
                <w:b/>
                <w:bCs/>
                <w:color w:val="auto"/>
                <w:sz w:val="24"/>
                <w:highlight w:val="none"/>
              </w:rPr>
            </w:pPr>
            <w:r>
              <w:rPr>
                <w:rFonts w:hint="eastAsia" w:ascii="宋体" w:hAnsi="宋体" w:cs="宋体"/>
                <w:color w:val="auto"/>
                <w:sz w:val="24"/>
                <w:highlight w:val="none"/>
              </w:rPr>
              <w:t>1、投标函（格式后附）；</w:t>
            </w:r>
            <w:r>
              <w:rPr>
                <w:rFonts w:hint="eastAsia" w:ascii="宋体" w:hAnsi="宋体" w:cs="宋体"/>
                <w:b/>
                <w:bCs/>
                <w:color w:val="auto"/>
                <w:sz w:val="24"/>
                <w:highlight w:val="none"/>
              </w:rPr>
              <w:t>（必须提供，否则按无效投标处理）</w:t>
            </w:r>
          </w:p>
          <w:p>
            <w:pPr>
              <w:autoSpaceDE w:val="0"/>
              <w:autoSpaceDN w:val="0"/>
              <w:snapToGrid w:val="0"/>
              <w:spacing w:line="360" w:lineRule="auto"/>
              <w:textAlignment w:val="bottom"/>
              <w:rPr>
                <w:rFonts w:ascii="宋体" w:hAnsi="宋体" w:cs="宋体"/>
                <w:b/>
                <w:bCs/>
                <w:color w:val="auto"/>
                <w:sz w:val="24"/>
                <w:highlight w:val="none"/>
              </w:rPr>
            </w:pPr>
            <w:bookmarkStart w:id="52" w:name="_Hlk71299233"/>
            <w:r>
              <w:rPr>
                <w:rFonts w:hint="eastAsia" w:ascii="宋体" w:hAnsi="宋体" w:cs="宋体"/>
                <w:color w:val="auto"/>
                <w:sz w:val="24"/>
                <w:highlight w:val="none"/>
              </w:rPr>
              <w:t>2、开标一览表</w:t>
            </w:r>
            <w:bookmarkEnd w:id="52"/>
            <w:r>
              <w:rPr>
                <w:rFonts w:hint="eastAsia" w:ascii="宋体" w:hAnsi="宋体" w:cs="宋体"/>
                <w:color w:val="auto"/>
                <w:sz w:val="24"/>
                <w:highlight w:val="none"/>
              </w:rPr>
              <w:t>（格式后附）；</w:t>
            </w:r>
            <w:r>
              <w:rPr>
                <w:rFonts w:hint="eastAsia" w:ascii="宋体" w:hAnsi="宋体" w:cs="宋体"/>
                <w:b/>
                <w:bCs/>
                <w:color w:val="auto"/>
                <w:sz w:val="24"/>
                <w:highlight w:val="none"/>
              </w:rPr>
              <w:t xml:space="preserve"> （必须提供，否则按无效投标处理）</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3、中小企业声明函（格式后附）；</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4、投标人针对报价需要说明的其他文件和说明（格式自拟）。</w:t>
            </w:r>
          </w:p>
          <w:p>
            <w:pPr>
              <w:autoSpaceDE w:val="0"/>
              <w:autoSpaceDN w:val="0"/>
              <w:snapToGrid w:val="0"/>
              <w:spacing w:line="360" w:lineRule="auto"/>
              <w:textAlignment w:val="bottom"/>
              <w:rPr>
                <w:color w:val="auto"/>
                <w:highlight w:val="none"/>
              </w:rPr>
            </w:pPr>
            <w:r>
              <w:rPr>
                <w:rFonts w:hint="eastAsia" w:ascii="宋体" w:hAnsi="宋体" w:cs="宋体"/>
                <w:color w:val="auto"/>
                <w:sz w:val="24"/>
                <w:highlight w:val="none"/>
              </w:rPr>
              <w:t>注：投标函、开标一览表必须由法定代表人或者委托代理人在规定签章处逐一签字并加盖投标人公章，否则按无效投标处理。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360" w:lineRule="auto"/>
              <w:rPr>
                <w:rFonts w:ascii="宋体" w:hAnsi="宋体" w:cs="宋体"/>
                <w:color w:val="auto"/>
                <w:sz w:val="24"/>
                <w:highlight w:val="none"/>
              </w:rPr>
            </w:pPr>
            <w:bookmarkStart w:id="53" w:name="_13.2"/>
            <w:bookmarkEnd w:id="53"/>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资格证明文件：</w:t>
            </w:r>
          </w:p>
          <w:p>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 w:val="24"/>
                <w:highlight w:val="none"/>
              </w:rPr>
              <w:t>（必须提供，否则投标文件按无效投标处理）</w:t>
            </w:r>
          </w:p>
          <w:p>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2、投标人依法缴纳税收的相关材料（投标截止之日前半年内连续三个月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cs="宋体"/>
                <w:b/>
                <w:color w:val="auto"/>
                <w:sz w:val="24"/>
                <w:highlight w:val="none"/>
              </w:rPr>
              <w:t>（必须提供，否则按无效投标处理）</w:t>
            </w:r>
          </w:p>
          <w:p>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3、投标人依法缴纳社会保障资金的相关材料[投标截止之日前半年内连续三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 w:val="24"/>
                <w:highlight w:val="none"/>
              </w:rPr>
              <w:t>（必须提供，否则按无效投标处理）</w:t>
            </w:r>
          </w:p>
          <w:p>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4、投标人财务状况报告【提供2021年</w:t>
            </w:r>
            <w:r>
              <w:rPr>
                <w:rFonts w:hint="eastAsia" w:ascii="宋体" w:hAnsi="宋体" w:cs="宋体"/>
                <w:color w:val="auto"/>
                <w:sz w:val="24"/>
                <w:highlight w:val="none"/>
                <w:lang w:val="en-US" w:eastAsia="zh-CN"/>
              </w:rPr>
              <w:t>或2022年</w:t>
            </w:r>
            <w:r>
              <w:rPr>
                <w:rFonts w:hint="eastAsia" w:ascii="宋体" w:hAnsi="宋体" w:cs="宋体"/>
                <w:color w:val="auto"/>
                <w:sz w:val="24"/>
                <w:highlight w:val="none"/>
              </w:rPr>
              <w:t>财务状况报</w:t>
            </w:r>
            <w:r>
              <w:rPr>
                <w:rFonts w:hint="eastAsia" w:ascii="宋体" w:hAnsi="宋体" w:cs="宋体"/>
                <w:color w:val="auto"/>
                <w:sz w:val="24"/>
                <w:highlight w:val="none"/>
              </w:rPr>
              <w:t>告复印件；供应商成立不满一年的应按提供首次响应文件提交截止时间上一个月的财务</w:t>
            </w:r>
            <w:r>
              <w:rPr>
                <w:rFonts w:hint="eastAsia" w:ascii="宋体" w:hAnsi="宋体"/>
                <w:color w:val="auto"/>
                <w:sz w:val="24"/>
                <w:highlight w:val="none"/>
              </w:rPr>
              <w:t>状况报告复印件；财务状况报告包括资产负债表、利润表、现金流量表、所有者权益变动表（如有）及其附注，以下称“四/三表一注”</w:t>
            </w:r>
            <w:r>
              <w:rPr>
                <w:rFonts w:hint="eastAsia" w:ascii="宋体" w:hAnsi="宋体" w:cs="宋体"/>
                <w:color w:val="auto"/>
                <w:sz w:val="24"/>
                <w:highlight w:val="none"/>
              </w:rPr>
              <w:t>】；</w:t>
            </w:r>
            <w:r>
              <w:rPr>
                <w:rFonts w:hint="eastAsia" w:ascii="宋体" w:hAnsi="宋体" w:cs="宋体"/>
                <w:b/>
                <w:color w:val="auto"/>
                <w:sz w:val="24"/>
                <w:highlight w:val="none"/>
              </w:rPr>
              <w:t>（除自然人外必须提供，否则按无效投标处理）</w:t>
            </w:r>
          </w:p>
          <w:p>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5、投标人直接控股、管理关系信息表（格式后附）；</w:t>
            </w:r>
            <w:r>
              <w:rPr>
                <w:rFonts w:hint="eastAsia" w:ascii="宋体" w:hAnsi="宋体" w:cs="宋体"/>
                <w:b/>
                <w:color w:val="auto"/>
                <w:sz w:val="24"/>
                <w:highlight w:val="none"/>
              </w:rPr>
              <w:t>（必须提供，否则按无效投标处理）</w:t>
            </w:r>
          </w:p>
          <w:p>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6、投标声明（格式后附）；</w:t>
            </w:r>
            <w:r>
              <w:rPr>
                <w:rFonts w:hint="eastAsia" w:ascii="宋体" w:hAnsi="宋体" w:cs="宋体"/>
                <w:b/>
                <w:color w:val="auto"/>
                <w:sz w:val="24"/>
                <w:highlight w:val="none"/>
              </w:rPr>
              <w:t>（必须提供，否则按无效投标处理）</w:t>
            </w:r>
          </w:p>
          <w:p>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7、联合体协议书（格式后附）；</w:t>
            </w:r>
            <w:r>
              <w:rPr>
                <w:rFonts w:hint="eastAsia" w:ascii="宋体" w:hAnsi="宋体" w:cs="宋体"/>
                <w:b/>
                <w:color w:val="auto"/>
                <w:sz w:val="24"/>
                <w:highlight w:val="none"/>
              </w:rPr>
              <w:t>（联合体投标时必须提供，否则按无效投标处理）</w:t>
            </w:r>
          </w:p>
          <w:p>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8、公告中的特定资格要求及特定条件的资格证明材料；</w:t>
            </w:r>
            <w:r>
              <w:rPr>
                <w:rFonts w:hint="eastAsia" w:ascii="宋体" w:hAnsi="宋体" w:cs="宋体"/>
                <w:b/>
                <w:color w:val="auto"/>
                <w:sz w:val="24"/>
                <w:highlight w:val="none"/>
              </w:rPr>
              <w:t>（公告中如有则必须提供，否则按无效投标处理）</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9、除招标文件规定必须提供以外，投标人认为需要提供的其他证明材料。</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1、以上标明“必须提供”的材料属于复印件的，必须加盖投标人公章，否则按无效投标处理。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2、投标声明必须由法定代表人在规定签章处签字并加盖投标人公章，否则按无效投标处理。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3、投标人直接控股、管理关系信息表必须由法定代表人或者委托代理人在规定签章处签字并加盖投标人公章，否则按无效投标处理。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4、联合体投标时，第1-5项资格证明文件联合体各方均必须分别提供，联合体各方分别盖章，否则按无效投标处理。</w:t>
            </w:r>
          </w:p>
          <w:p>
            <w:pPr>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5、分公司参加投标的，应当取得总公司授权，否则按无效投标处理。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360" w:lineRule="auto"/>
              <w:rPr>
                <w:rFonts w:ascii="宋体" w:hAnsi="宋体" w:cs="宋体"/>
                <w:color w:val="auto"/>
                <w:sz w:val="24"/>
                <w:highlight w:val="none"/>
              </w:rPr>
            </w:pPr>
            <w:bookmarkStart w:id="54" w:name="_13.3"/>
            <w:bookmarkEnd w:id="54"/>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商务文件：</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1、无串通投标行为的承诺函（格式后附）；（</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2、投标保证金提交凭证；（</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3、法定代表人身份证明及法定代表人有效身份证正反面复印件（格式后附）；（</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4、授权委托书及委托代理人有效身份证正反面复印件（格式后附）；（</w:t>
            </w:r>
            <w:r>
              <w:rPr>
                <w:rFonts w:hint="eastAsia" w:ascii="宋体" w:hAnsi="宋体" w:cs="宋体"/>
                <w:b/>
                <w:color w:val="auto"/>
                <w:sz w:val="24"/>
                <w:highlight w:val="none"/>
              </w:rPr>
              <w:t>委托时必须提供，否则按无效投标处理</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5、商务要求偏离表（格式后附）；（</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6、售后服务承诺（格式自拟）；（</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7、投标人情况介绍（格式自拟）；</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8、联合体协议书（格式后附）；（</w:t>
            </w:r>
            <w:r>
              <w:rPr>
                <w:rFonts w:hint="eastAsia" w:ascii="宋体" w:hAnsi="宋体" w:cs="宋体"/>
                <w:b/>
                <w:color w:val="auto"/>
                <w:sz w:val="24"/>
                <w:highlight w:val="none"/>
              </w:rPr>
              <w:t>联合体投标时必须提供，否则按无效投标处理</w:t>
            </w:r>
            <w:r>
              <w:rPr>
                <w:rFonts w:hint="eastAsia" w:ascii="宋体" w:hAnsi="宋体" w:cs="宋体"/>
                <w:color w:val="auto"/>
                <w:sz w:val="24"/>
                <w:highlight w:val="none"/>
              </w:rPr>
              <w:t>）</w:t>
            </w:r>
          </w:p>
          <w:p>
            <w:pPr>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9、除招标文件规定必须提供以外，投标人认为需要提供的其他证明材料（格式自拟）。（投标人根据“第二章 采购需求”及“第四章 评标方法及评标标准”提供有关证明材料）。</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注：以上标明“必须提供”的材料属于复印件的，必须加盖投标人公章，否则按无效投标处理。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bookmarkStart w:id="55" w:name="_13.4"/>
            <w:bookmarkEnd w:id="55"/>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技术文件：</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1、设备性能配置清单（格式后附）；（</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2、技术要求偏离表（格式后附）；（</w:t>
            </w:r>
            <w:r>
              <w:rPr>
                <w:rFonts w:hint="eastAsia" w:ascii="宋体" w:hAnsi="宋体" w:cs="宋体"/>
                <w:b/>
                <w:color w:val="auto"/>
                <w:sz w:val="24"/>
                <w:highlight w:val="none"/>
              </w:rPr>
              <w:t>必须提供，否则按无效投标处理</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3、供货方案（格式自拟）[项目前期准备、项目实施计划（项目实施人员一览表（格式后附）、技术服务、技术培训的内容和措施）]；（</w:t>
            </w:r>
            <w:r>
              <w:rPr>
                <w:rFonts w:hint="eastAsia" w:ascii="宋体" w:hAnsi="宋体" w:cs="宋体"/>
                <w:b/>
                <w:color w:val="auto"/>
                <w:sz w:val="24"/>
                <w:highlight w:val="none"/>
              </w:rPr>
              <w:t>采购需求中要求必须提供时必须提供，否则按无效投标处理</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4、对本项目系统总体要求的理解。包括：功能说明、性能指标及设备选型说明（质量、性能、价格、外观、体积等方面进行比较和选择的理由及过程，格式自拟）；</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产品出厂标准、质量检测报告[其中有精度要求的仪器设备类政府采购项目，应当要求投标人提供精度数据（国家认可的有资质的第三方检测机构出具的检测报告复印件或者由采购人在投标前组织的实测获得）]；（</w:t>
            </w:r>
            <w:r>
              <w:rPr>
                <w:rFonts w:hint="eastAsia" w:ascii="宋体" w:hAnsi="宋体" w:cs="宋体"/>
                <w:b/>
                <w:color w:val="auto"/>
                <w:sz w:val="24"/>
                <w:highlight w:val="none"/>
              </w:rPr>
              <w:t>采购需求中要求必须提供时必须提供，否则按无效投标处理</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6、优惠条件：投标人承诺给予招标人的各种优惠条件，包括售后服务、备品备件、专用耗材等方面的优惠；投标人不得给予赠品或者与采购无关的其他商品、服务；</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7、投标人对本项目的合理化建议和改进措施（格式自拟）；</w:t>
            </w:r>
          </w:p>
          <w:p>
            <w:pPr>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8、除招标文件规定必须提供以外，投标人需要说明的其他文件和说明（格式自拟）。</w:t>
            </w:r>
          </w:p>
          <w:p>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注：以上标明“必须提供”的材料属于复印件的，必须加盖投标人公章，否则按无效投标</w:t>
            </w:r>
            <w:r>
              <w:rPr>
                <w:rFonts w:hint="eastAsia" w:ascii="宋体" w:hAnsi="宋体" w:cs="宋体"/>
                <w:b/>
                <w:color w:val="auto"/>
                <w:sz w:val="24"/>
                <w:highlight w:val="none"/>
              </w:rPr>
              <w:t>处理</w:t>
            </w:r>
            <w:r>
              <w:rPr>
                <w:rFonts w:hint="eastAsia" w:ascii="宋体" w:hAnsi="宋体" w:cs="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56" w:name="_13.5"/>
            <w:bookmarkEnd w:id="56"/>
            <w:bookmarkStart w:id="57" w:name="_16.2"/>
            <w:bookmarkEnd w:id="57"/>
            <w:r>
              <w:rPr>
                <w:rFonts w:hint="eastAsia" w:ascii="宋体" w:hAnsi="宋体" w:cs="宋体"/>
                <w:color w:val="auto"/>
                <w:sz w:val="24"/>
                <w:highlight w:val="none"/>
              </w:rPr>
              <w:t>16</w:t>
            </w:r>
            <w:bookmarkStart w:id="58" w:name="_Hlt19693759"/>
            <w:bookmarkStart w:id="59" w:name="_Hlt19693758"/>
            <w:bookmarkStart w:id="60" w:name="_Hlt19194066"/>
            <w:bookmarkStart w:id="61" w:name="_Hlt19194067"/>
            <w:r>
              <w:rPr>
                <w:rFonts w:hint="eastAsia" w:ascii="宋体" w:hAnsi="宋体" w:cs="宋体"/>
                <w:color w:val="auto"/>
                <w:sz w:val="24"/>
                <w:highlight w:val="none"/>
              </w:rPr>
              <w:t>.</w:t>
            </w:r>
            <w:bookmarkEnd w:id="58"/>
            <w:bookmarkEnd w:id="59"/>
            <w:bookmarkEnd w:id="60"/>
            <w:bookmarkEnd w:id="61"/>
            <w:r>
              <w:rPr>
                <w:rFonts w:hint="eastAsia" w:ascii="宋体" w:hAnsi="宋体" w:cs="宋体"/>
                <w:color w:val="auto"/>
                <w:sz w:val="24"/>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ascii="宋体" w:hAnsi="宋体" w:cs="宋体"/>
                <w:b/>
                <w:i/>
                <w:color w:val="auto"/>
                <w:sz w:val="24"/>
                <w:highlight w:val="none"/>
              </w:rPr>
              <w:t>（采购需求另有约定的，按其约定。）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62" w:name="_17.1"/>
            <w:bookmarkEnd w:id="62"/>
            <w:r>
              <w:rPr>
                <w:rFonts w:hint="eastAsia" w:ascii="宋体" w:hAnsi="宋体" w:cs="宋体"/>
                <w:color w:val="auto"/>
                <w:sz w:val="24"/>
                <w:highlight w:val="none"/>
              </w:rPr>
              <w:t>17.2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投标有效期：投标截止之日起90天内。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63" w:name="_18"/>
            <w:bookmarkEnd w:id="63"/>
            <w:r>
              <w:rPr>
                <w:rFonts w:hint="eastAsia" w:ascii="宋体" w:hAnsi="宋体" w:cs="宋体"/>
                <w:color w:val="auto"/>
                <w:sz w:val="24"/>
                <w:highlight w:val="none"/>
              </w:rPr>
              <w:t>18.1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本项目不收取投标保证金。</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本项目收取投标保证金，具体金额及账户详见招标公告</w:t>
            </w:r>
            <w:r>
              <w:rPr>
                <w:rFonts w:hint="eastAsia" w:ascii="宋体" w:hAnsi="宋体" w:cs="宋体"/>
                <w:color w:val="auto"/>
                <w:kern w:val="0"/>
                <w:sz w:val="24"/>
                <w:highlight w:val="none"/>
              </w:rPr>
              <w:t>。</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投标保证金的交纳方式：银行转账或者银行出具的保函，禁止采用现钞方式。采用银行转账方式的，在投标截止时间前交至指定账户并且到账；采用保函等方式的，在投标截止时间前，投标人必须递交保函原件。否则视为无效投标保证金。</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相关要求：</w:t>
            </w:r>
          </w:p>
          <w:p>
            <w:pPr>
              <w:pStyle w:val="10"/>
              <w:spacing w:line="360" w:lineRule="auto"/>
              <w:rPr>
                <w:rFonts w:ascii="宋体" w:hAnsi="宋体" w:cs="宋体"/>
                <w:color w:val="auto"/>
                <w:sz w:val="24"/>
                <w:highlight w:val="none"/>
              </w:rPr>
            </w:pPr>
            <w:r>
              <w:rPr>
                <w:rFonts w:hint="eastAsia" w:ascii="宋体" w:hAnsi="宋体" w:cs="宋体"/>
                <w:color w:val="auto"/>
                <w:sz w:val="24"/>
                <w:highlight w:val="none"/>
              </w:rPr>
              <w:t>1、投标保证金采用银行转账交纳方式的，在投标截止时间前交至指定账户并且到账，投标人应将银行转账底单的复印件作为投标保证金提交凭证，放置于商务文件中，</w:t>
            </w:r>
            <w:r>
              <w:rPr>
                <w:rFonts w:hint="eastAsia" w:ascii="宋体" w:hAnsi="宋体" w:cs="宋体"/>
                <w:b/>
                <w:color w:val="auto"/>
                <w:sz w:val="24"/>
                <w:highlight w:val="none"/>
              </w:rPr>
              <w:t>否则投标无效</w:t>
            </w:r>
            <w:r>
              <w:rPr>
                <w:rFonts w:hint="eastAsia" w:ascii="宋体" w:hAnsi="宋体" w:cs="宋体"/>
                <w:color w:val="auto"/>
                <w:sz w:val="24"/>
                <w:highlight w:val="none"/>
              </w:rPr>
              <w:t>。</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2、投标保证金采用</w:t>
            </w:r>
            <w:r>
              <w:rPr>
                <w:rFonts w:hint="eastAsia" w:ascii="宋体" w:hAnsi="宋体" w:cs="宋体"/>
                <w:color w:val="auto"/>
                <w:kern w:val="0"/>
                <w:sz w:val="24"/>
                <w:highlight w:val="none"/>
              </w:rPr>
              <w:t>银行转账或者银行出具的保函</w:t>
            </w:r>
            <w:r>
              <w:rPr>
                <w:rFonts w:hint="eastAsia" w:ascii="宋体" w:hAnsi="宋体" w:cs="宋体"/>
                <w:color w:val="auto"/>
                <w:sz w:val="24"/>
                <w:highlight w:val="none"/>
              </w:rPr>
              <w:t>交纳方式的，投标人应将</w:t>
            </w:r>
            <w:r>
              <w:rPr>
                <w:rFonts w:hint="eastAsia" w:ascii="宋体" w:hAnsi="宋体" w:cs="宋体"/>
                <w:color w:val="auto"/>
                <w:kern w:val="0"/>
                <w:sz w:val="24"/>
                <w:highlight w:val="none"/>
              </w:rPr>
              <w:t>银行转账记录或者银行出具的保函</w:t>
            </w:r>
            <w:r>
              <w:rPr>
                <w:rFonts w:hint="eastAsia" w:ascii="宋体" w:hAnsi="宋体" w:cs="宋体"/>
                <w:color w:val="auto"/>
                <w:sz w:val="24"/>
                <w:highlight w:val="none"/>
              </w:rPr>
              <w:t>的复印件作为投标保证金提交凭证，放置于商务文件中，</w:t>
            </w:r>
            <w:r>
              <w:rPr>
                <w:rFonts w:hint="eastAsia" w:ascii="宋体" w:hAnsi="宋体" w:cs="宋体"/>
                <w:b/>
                <w:color w:val="auto"/>
                <w:sz w:val="24"/>
                <w:highlight w:val="none"/>
              </w:rPr>
              <w:t>否则投标无效</w:t>
            </w:r>
            <w:r>
              <w:rPr>
                <w:rFonts w:hint="eastAsia" w:ascii="宋体" w:hAnsi="宋体" w:cs="宋体"/>
                <w:color w:val="auto"/>
                <w:sz w:val="24"/>
                <w:highlight w:val="none"/>
              </w:rPr>
              <w:t>。</w:t>
            </w:r>
            <w:r>
              <w:rPr>
                <w:rFonts w:hint="eastAsia" w:ascii="宋体" w:hAnsi="宋体" w:cs="宋体"/>
                <w:b/>
                <w:color w:val="auto"/>
                <w:sz w:val="24"/>
                <w:highlight w:val="none"/>
              </w:rPr>
              <w:t>投标人必须在投标截止时间前将</w:t>
            </w:r>
            <w:r>
              <w:rPr>
                <w:rFonts w:hint="eastAsia" w:ascii="宋体" w:hAnsi="宋体" w:cs="宋体"/>
                <w:color w:val="auto"/>
                <w:kern w:val="0"/>
                <w:sz w:val="24"/>
                <w:highlight w:val="none"/>
              </w:rPr>
              <w:t>银行出具的保函</w:t>
            </w:r>
            <w:r>
              <w:rPr>
                <w:rFonts w:hint="eastAsia" w:ascii="宋体" w:hAnsi="宋体" w:cs="宋体"/>
                <w:b/>
                <w:color w:val="auto"/>
                <w:sz w:val="24"/>
                <w:highlight w:val="none"/>
              </w:rPr>
              <w:t>原件提交给采购代理机构，由采购代理机构向投标人出具回执，并妥善保管。</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3、投标人为联合体的，可以由联合体中的一方或者多方共同交纳投标保证金，其交纳的保证金对联合体各方均具有约束力。</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备注：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1、投标保证金在投标截止时间后提交的，或者不按规定交纳方式交纳的，或者未足额交纳的（包含保函额度不足的），视为无效投标保证金。</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2、投标人采用现钞方式或者从个人账户（自然人投标除外）转出的投标保证金，视为无效投标保证金。</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3、保函有效期低于投标有效期的，视为无效投标保证金。</w:t>
            </w:r>
          </w:p>
          <w:p>
            <w:pPr>
              <w:snapToGrid w:val="0"/>
              <w:spacing w:line="360" w:lineRule="auto"/>
              <w:rPr>
                <w:rFonts w:ascii="宋体" w:hAnsi="宋体" w:cs="宋体"/>
                <w:b/>
                <w:color w:val="auto"/>
                <w:sz w:val="24"/>
                <w:highlight w:val="none"/>
              </w:rPr>
            </w:pPr>
            <w:r>
              <w:rPr>
                <w:rFonts w:hint="eastAsia" w:ascii="宋体" w:hAnsi="宋体" w:cs="宋体"/>
                <w:bCs/>
                <w:color w:val="auto"/>
                <w:sz w:val="24"/>
                <w:highlight w:val="none"/>
              </w:rPr>
              <w:t>4、采用银行出具保函的，必须为无条件保函，否则视为无效投标保证金。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64" w:name="_19.2"/>
            <w:bookmarkEnd w:id="64"/>
            <w:r>
              <w:rPr>
                <w:rFonts w:hint="eastAsia" w:ascii="宋体" w:hAnsi="宋体" w:cs="宋体"/>
                <w:color w:val="auto"/>
                <w:sz w:val="24"/>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投标文件应按报价文件、资格证明文件、商务文件、技术文件分别编制，并按“政采云”平台的要求编制、加密、上传。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电子投标文件应在制作完成后，投标人应按“政采云”平台的要求进行加密，并在规定时间内解密，否则，由此产生的后果由投标人自行负责。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65" w:name="_21.1"/>
            <w:bookmarkEnd w:id="65"/>
            <w:r>
              <w:rPr>
                <w:rFonts w:hint="eastAsia" w:ascii="宋体" w:hAnsi="宋体" w:cs="宋体"/>
                <w:color w:val="auto"/>
                <w:sz w:val="24"/>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1、投标截止时间：详见招标公告</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66" w:name="_23"/>
            <w:bookmarkEnd w:id="66"/>
            <w:r>
              <w:rPr>
                <w:rFonts w:hint="eastAsia" w:ascii="宋体" w:hAnsi="宋体" w:cs="宋体"/>
                <w:color w:val="auto"/>
                <w:sz w:val="24"/>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1、开标时间：详见招标公告</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bCs/>
                <w:color w:val="auto"/>
                <w:sz w:val="24"/>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bCs/>
                <w:color w:val="auto"/>
                <w:sz w:val="24"/>
                <w:highlight w:val="none"/>
              </w:rPr>
              <w:t>“政采云”平台按开标时间自动提取所有投标文件。采购代理机构依托“政采云”平台向各投标人发出电子加密投标文件【开始解密】通知，由投标人进行投标文件解密。</w:t>
            </w:r>
            <w:r>
              <w:rPr>
                <w:rFonts w:hint="eastAsia" w:ascii="宋体" w:hAnsi="宋体" w:cs="宋体"/>
                <w:b/>
                <w:bCs/>
                <w:color w:val="auto"/>
                <w:sz w:val="24"/>
                <w:highlight w:val="none"/>
              </w:rPr>
              <w:t>投标人的法定代表人或其委托代理人须携带加密时所用的CA锁准时登录到“政采云”平台电子开标大厅签到</w:t>
            </w:r>
            <w:r>
              <w:rPr>
                <w:rFonts w:hint="eastAsia" w:ascii="宋体" w:hAnsi="宋体" w:cs="宋体"/>
                <w:b/>
                <w:color w:val="auto"/>
                <w:sz w:val="24"/>
                <w:highlight w:val="none"/>
              </w:rPr>
              <w:t>并在发起解密</w:t>
            </w:r>
            <w:r>
              <w:rPr>
                <w:rFonts w:hint="eastAsia" w:ascii="宋体" w:hAnsi="宋体" w:cs="宋体"/>
                <w:b/>
                <w:bCs/>
                <w:color w:val="auto"/>
                <w:sz w:val="24"/>
                <w:highlight w:val="none"/>
              </w:rPr>
              <w:t>通知</w:t>
            </w:r>
            <w:r>
              <w:rPr>
                <w:rFonts w:hint="eastAsia" w:ascii="宋体" w:hAnsi="宋体" w:cs="宋体"/>
                <w:b/>
                <w:color w:val="auto"/>
                <w:sz w:val="24"/>
                <w:highlight w:val="none"/>
              </w:rPr>
              <w:t>之时起30分钟内完成</w:t>
            </w:r>
            <w:r>
              <w:rPr>
                <w:rFonts w:hint="eastAsia" w:ascii="宋体" w:hAnsi="宋体" w:cs="宋体"/>
                <w:b/>
                <w:bCs/>
                <w:color w:val="auto"/>
                <w:sz w:val="24"/>
                <w:highlight w:val="none"/>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67" w:name="_25.3"/>
            <w:bookmarkEnd w:id="67"/>
            <w:r>
              <w:rPr>
                <w:rFonts w:hint="eastAsia" w:ascii="宋体" w:hAnsi="宋体" w:cs="宋体"/>
                <w:color w:val="auto"/>
                <w:sz w:val="24"/>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8"/>
                <w:rFonts w:hint="eastAsia" w:ascii="宋体" w:hAnsi="宋体" w:cs="宋体"/>
                <w:color w:val="auto"/>
                <w:sz w:val="24"/>
                <w:highlight w:val="none"/>
              </w:rPr>
              <w:t>www.ccgp.gov.cn</w:t>
            </w:r>
            <w:r>
              <w:rPr>
                <w:rStyle w:val="28"/>
                <w:rFonts w:hint="eastAsia" w:ascii="宋体" w:hAnsi="宋体" w:cs="宋体"/>
                <w:color w:val="auto"/>
                <w:sz w:val="24"/>
                <w:highlight w:val="none"/>
              </w:rPr>
              <w:fldChar w:fldCharType="end"/>
            </w:r>
            <w:r>
              <w:rPr>
                <w:rFonts w:hint="eastAsia" w:ascii="宋体" w:hAnsi="宋体" w:cs="宋体"/>
                <w:color w:val="auto"/>
                <w:sz w:val="24"/>
                <w:highlight w:val="none"/>
              </w:rPr>
              <w:t>）。</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信用查询截止时点：资格审查结束前。</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查询记录和证据留存方式：将查询网站中的查询记录截图并作为评审资料保存。</w:t>
            </w: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信用信息使用规则：根据财政部《关于在政府采购活动中查询及使用信用记录有关问题的通知》（财库〔2016〕125号）的规定，对在“信用中国”网站(www.creditchina.gov.cn)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68" w:name="_26"/>
            <w:bookmarkEnd w:id="68"/>
            <w:r>
              <w:rPr>
                <w:rFonts w:hint="eastAsia" w:ascii="宋体" w:hAnsi="宋体" w:cs="宋体"/>
                <w:color w:val="auto"/>
                <w:sz w:val="24"/>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评标委员会的人数：7人。（采购项目符合下列情形之一的，评标委员会成员人数应当为7人以上单数：1.采购预算金额在1000万元以上；2.技术复杂；3.社会影响较大。）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69" w:name="_28.3"/>
            <w:bookmarkEnd w:id="69"/>
            <w:r>
              <w:rPr>
                <w:rFonts w:hint="eastAsia" w:ascii="宋体" w:hAnsi="宋体" w:cs="宋体"/>
                <w:color w:val="auto"/>
                <w:sz w:val="24"/>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70" w:name="_29.2.2（2）"/>
            <w:bookmarkEnd w:id="70"/>
            <w:r>
              <w:rPr>
                <w:rFonts w:hint="eastAsia" w:ascii="宋体" w:hAnsi="宋体" w:cs="宋体"/>
                <w:color w:val="auto"/>
                <w:sz w:val="24"/>
                <w:highlight w:val="none"/>
              </w:rPr>
              <w:t>29.2</w:t>
            </w:r>
          </w:p>
        </w:tc>
        <w:tc>
          <w:tcPr>
            <w:tcW w:w="8708" w:type="dxa"/>
            <w:tcBorders>
              <w:top w:val="single" w:color="auto" w:sz="4" w:space="0"/>
              <w:left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商务要求评审中允许负偏离的条款数为</w:t>
            </w:r>
            <w:r>
              <w:rPr>
                <w:rFonts w:ascii="宋体" w:hAnsi="宋体" w:cs="宋体"/>
                <w:color w:val="auto"/>
                <w:sz w:val="24"/>
                <w:highlight w:val="none"/>
                <w:u w:val="single"/>
              </w:rPr>
              <w:t>0</w:t>
            </w:r>
            <w:r>
              <w:rPr>
                <w:rFonts w:hint="eastAsia" w:ascii="宋体" w:hAnsi="宋体" w:cs="宋体"/>
                <w:color w:val="auto"/>
                <w:sz w:val="24"/>
                <w:highlight w:val="none"/>
              </w:rPr>
              <w:t>项。</w:t>
            </w:r>
          </w:p>
          <w:p>
            <w:pPr>
              <w:snapToGrid w:val="0"/>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技术要求评审中允许负偏离的条款数为</w:t>
            </w:r>
            <w:r>
              <w:rPr>
                <w:rFonts w:hint="eastAsia" w:ascii="宋体" w:hAnsi="宋体" w:cs="宋体"/>
                <w:color w:val="auto"/>
                <w:sz w:val="24"/>
                <w:highlight w:val="none"/>
                <w:u w:val="none"/>
              </w:rPr>
              <w:t>：</w:t>
            </w:r>
            <w:r>
              <w:rPr>
                <w:rFonts w:hint="eastAsia" w:ascii="宋体" w:hAnsi="宋体" w:eastAsia="宋体" w:cs="宋体"/>
                <w:color w:val="auto"/>
                <w:kern w:val="0"/>
                <w:sz w:val="24"/>
                <w:highlight w:val="none"/>
              </w:rPr>
              <w:t>综合布线系统所有参数不允许负偏离，其他各系统参数不</w:t>
            </w:r>
            <w:r>
              <w:rPr>
                <w:bCs/>
                <w:color w:val="auto"/>
                <w:sz w:val="24"/>
                <w:highlight w:val="none"/>
              </w:rPr>
              <w:t>带“</w:t>
            </w:r>
            <w:r>
              <w:rPr>
                <w:rFonts w:hint="eastAsia"/>
                <w:bCs/>
                <w:color w:val="auto"/>
                <w:sz w:val="24"/>
                <w:highlight w:val="none"/>
              </w:rPr>
              <w:t>▲</w:t>
            </w:r>
            <w:r>
              <w:rPr>
                <w:bCs/>
                <w:color w:val="auto"/>
                <w:sz w:val="24"/>
                <w:highlight w:val="none"/>
              </w:rPr>
              <w:t>”</w:t>
            </w:r>
            <w:r>
              <w:rPr>
                <w:rFonts w:hint="eastAsia"/>
                <w:bCs/>
                <w:color w:val="auto"/>
                <w:sz w:val="24"/>
                <w:highlight w:val="none"/>
              </w:rPr>
              <w:t>非</w:t>
            </w:r>
            <w:r>
              <w:rPr>
                <w:bCs/>
                <w:color w:val="auto"/>
                <w:sz w:val="24"/>
                <w:highlight w:val="none"/>
              </w:rPr>
              <w:t>实质性要求</w:t>
            </w:r>
            <w:r>
              <w:rPr>
                <w:rFonts w:hint="eastAsia"/>
                <w:bCs/>
                <w:color w:val="auto"/>
                <w:sz w:val="24"/>
                <w:highlight w:val="none"/>
              </w:rPr>
              <w:t>允许负偏离的条款数为10项，超过10项负偏离的投标无效</w:t>
            </w:r>
            <w:r>
              <w:rPr>
                <w:rFonts w:hint="eastAsia"/>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8708" w:type="dxa"/>
            <w:tcBorders>
              <w:top w:val="single" w:color="auto" w:sz="4" w:space="0"/>
              <w:left w:val="single" w:color="auto" w:sz="4" w:space="0"/>
              <w:right w:val="single" w:color="auto" w:sz="4" w:space="0"/>
            </w:tcBorders>
            <w:vAlign w:val="center"/>
          </w:tcPr>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中标候选人推荐数量：3家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采用综合评分法的采购项目，采购人确定中标人时，出现中标候选人并列的情形，采购人按以下的方式确定中标人：按综合评分中技术水平、售后服务、履约能力、政策功能得分高低依次确定。</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采用最低评标价法的采购项目，采购人确定中标人时，出现中标候选人并列的情形，采购人按以下的方式确定中标人：按节能环保优先、技术指标高优先、质保期长优先、交货期短优先、故障响应时间短优先的顺序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71" w:name="_39.1"/>
            <w:bookmarkEnd w:id="71"/>
            <w:r>
              <w:rPr>
                <w:rFonts w:hint="eastAsia" w:ascii="宋体" w:hAnsi="宋体" w:cs="宋体"/>
                <w:color w:val="auto"/>
                <w:sz w:val="24"/>
                <w:highlight w:val="none"/>
              </w:rPr>
              <w:t>35.1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本项目不收取履约保证金。</w:t>
            </w:r>
          </w:p>
          <w:p>
            <w:pPr>
              <w:pStyle w:val="1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本项目收取履约保证金：详见商务条款（注：履约保证金不超过政府采购合同金额的</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履约保证金递交方式：银行转账或者银行出具的保函等非现金方式。</w:t>
            </w:r>
          </w:p>
          <w:p>
            <w:pPr>
              <w:autoSpaceDE w:val="0"/>
              <w:autoSpaceDN w:val="0"/>
              <w:snapToGrid w:val="0"/>
              <w:spacing w:line="360" w:lineRule="auto"/>
              <w:textAlignment w:val="bottom"/>
              <w:rPr>
                <w:rFonts w:ascii="宋体" w:hAnsi="宋体" w:cs="宋体"/>
                <w:color w:val="auto"/>
                <w:sz w:val="24"/>
                <w:highlight w:val="none"/>
                <w:u w:val="single"/>
              </w:rPr>
            </w:pPr>
            <w:r>
              <w:rPr>
                <w:rFonts w:hint="eastAsia" w:ascii="宋体" w:hAnsi="宋体" w:cs="宋体"/>
                <w:color w:val="auto"/>
                <w:sz w:val="24"/>
                <w:highlight w:val="none"/>
              </w:rPr>
              <w:t>履约保证金退付方式、时间及条件详见商务条款。</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备注：</w:t>
            </w:r>
          </w:p>
          <w:p>
            <w:pPr>
              <w:spacing w:line="360" w:lineRule="auto"/>
              <w:jc w:val="left"/>
              <w:rPr>
                <w:rFonts w:ascii="宋体" w:hAnsi="宋体" w:cs="宋体"/>
                <w:b/>
                <w:color w:val="auto"/>
                <w:sz w:val="24"/>
                <w:highlight w:val="none"/>
              </w:rPr>
            </w:pPr>
            <w:r>
              <w:rPr>
                <w:rFonts w:hint="eastAsia" w:ascii="宋体" w:hAnsi="宋体" w:cs="宋体"/>
                <w:color w:val="auto"/>
                <w:sz w:val="24"/>
                <w:highlight w:val="none"/>
              </w:rPr>
              <w:t>1</w:t>
            </w:r>
            <w:bookmarkStart w:id="72" w:name="_Hlk54170335"/>
            <w:r>
              <w:rPr>
                <w:rFonts w:hint="eastAsia" w:ascii="宋体" w:hAnsi="宋体" w:cs="宋体"/>
                <w:color w:val="auto"/>
                <w:sz w:val="24"/>
                <w:highlight w:val="none"/>
              </w:rPr>
              <w:t>、</w:t>
            </w:r>
            <w:r>
              <w:rPr>
                <w:rFonts w:hint="eastAsia" w:ascii="宋体" w:hAnsi="宋体" w:cs="宋体"/>
                <w:b/>
                <w:color w:val="auto"/>
                <w:sz w:val="24"/>
                <w:highlight w:val="none"/>
              </w:rPr>
              <w:t>根据《桂财采〔2022〕30号 广西壮族自治区财政厅关于进一步发挥政府采购政策功能促进企业发展的通知》规定，采购文件要求中标或者成交供应商提交履约保证金的，履约保证金数额不得超过政府采购合同金额的5%，对中小企业收取的履约保证金数额不得超过政府采购合同金额的2%。</w:t>
            </w:r>
          </w:p>
          <w:bookmarkEnd w:id="72"/>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3、采用银行出具的保函的，必须为无条件保函，否则不予签订合同。</w:t>
            </w:r>
          </w:p>
          <w:p>
            <w:pPr>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73" w:name="_40.1"/>
            <w:bookmarkEnd w:id="73"/>
            <w:r>
              <w:rPr>
                <w:rFonts w:hint="eastAsia" w:ascii="宋体" w:hAnsi="宋体" w:cs="宋体"/>
                <w:color w:val="auto"/>
                <w:sz w:val="24"/>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签订合同携带的证明材料： </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1、委托代理人负责签订合同的，须携带授权委托书及委托代理人身份证原件等其他资格证件。</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38.2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接收质疑函方式：以纸质书面形式</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质疑联系部门及联系方式：广西科文招标有限公司，</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质疑联系人：梁伟贞       联系电话：0771-2023650，</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通讯地址：广西南宁市民族大道141号中鼎万象东方D区五层</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现场提交质疑办理业务时间：工作日，上午8:00-12:00；下午15:00-18：00（北京时间）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bookmarkStart w:id="74" w:name="_42"/>
            <w:bookmarkEnd w:id="74"/>
            <w:bookmarkStart w:id="75" w:name="_41"/>
            <w:bookmarkEnd w:id="75"/>
            <w:bookmarkStart w:id="76" w:name="_Hlt17709148"/>
            <w:r>
              <w:rPr>
                <w:rFonts w:hint="eastAsia" w:ascii="宋体" w:hAnsi="宋体" w:cs="宋体"/>
                <w:color w:val="auto"/>
                <w:sz w:val="24"/>
                <w:highlight w:val="none"/>
              </w:rPr>
              <w:t>3</w:t>
            </w:r>
            <w:bookmarkEnd w:id="76"/>
            <w:r>
              <w:rPr>
                <w:rFonts w:hint="eastAsia" w:ascii="宋体" w:hAnsi="宋体" w:cs="宋体"/>
                <w:color w:val="auto"/>
                <w:sz w:val="24"/>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pPr>
              <w:pStyle w:val="15"/>
              <w:snapToGrid w:val="0"/>
              <w:spacing w:line="360" w:lineRule="auto"/>
              <w:rPr>
                <w:rFonts w:hAnsi="宋体" w:cs="宋体"/>
                <w:color w:val="auto"/>
                <w:sz w:val="24"/>
                <w:szCs w:val="24"/>
                <w:highlight w:val="none"/>
              </w:rPr>
            </w:pPr>
            <w:r>
              <w:rPr>
                <w:rFonts w:hint="eastAsia" w:hAnsi="宋体" w:cs="宋体"/>
                <w:color w:val="auto"/>
                <w:sz w:val="24"/>
                <w:szCs w:val="24"/>
                <w:highlight w:val="none"/>
              </w:rPr>
              <w:t>1、采购代理服务费支付方式：本项目的招标代理服务费按以下收费标准向中标人收取，领取中标通知书前，中标人应向采购代理机构一次付清招标代理服务费，否则采购代理机构有权不予以办理。</w:t>
            </w:r>
          </w:p>
          <w:p>
            <w:pPr>
              <w:pStyle w:val="15"/>
              <w:snapToGrid w:val="0"/>
              <w:spacing w:line="360" w:lineRule="auto"/>
              <w:rPr>
                <w:rFonts w:hAnsi="宋体" w:cs="宋体"/>
                <w:color w:val="auto"/>
                <w:sz w:val="24"/>
                <w:szCs w:val="24"/>
                <w:highlight w:val="none"/>
              </w:rPr>
            </w:pPr>
            <w:r>
              <w:rPr>
                <w:rFonts w:hint="eastAsia" w:hAnsi="宋体" w:cs="宋体"/>
                <w:color w:val="auto"/>
                <w:sz w:val="24"/>
                <w:szCs w:val="24"/>
                <w:highlight w:val="none"/>
              </w:rPr>
              <w:t>2、采购代理服务费收取标准：</w:t>
            </w:r>
          </w:p>
          <w:p>
            <w:pPr>
              <w:pStyle w:val="15"/>
              <w:snapToGrid w:val="0"/>
              <w:spacing w:line="360" w:lineRule="auto"/>
              <w:rPr>
                <w:rFonts w:hAnsi="宋体" w:cs="宋体"/>
                <w:color w:val="auto"/>
                <w:sz w:val="24"/>
                <w:szCs w:val="24"/>
                <w:highlight w:val="none"/>
              </w:rPr>
            </w:pPr>
            <w:r>
              <w:rPr>
                <w:rFonts w:hint="eastAsia" w:hAnsi="宋体" w:cs="宋体"/>
                <w:color w:val="auto"/>
                <w:sz w:val="24"/>
                <w:szCs w:val="24"/>
                <w:highlight w:val="none"/>
              </w:rPr>
              <w:t>以中标金额为计费额，按本须知正文第39.2条规定的收费计算标准货物招标采用差额定率累进法计算出收费基准价格，采购代理服务费收费以收费基准价格由采购代理机构向中标人收取。</w:t>
            </w:r>
          </w:p>
          <w:p>
            <w:pPr>
              <w:pStyle w:val="15"/>
              <w:snapToGrid w:val="0"/>
              <w:spacing w:line="360" w:lineRule="auto"/>
              <w:rPr>
                <w:rFonts w:hAnsi="宋体" w:cs="宋体"/>
                <w:color w:val="auto"/>
                <w:kern w:val="2"/>
                <w:sz w:val="24"/>
                <w:szCs w:val="24"/>
                <w:highlight w:val="none"/>
              </w:rPr>
            </w:pPr>
            <w:r>
              <w:rPr>
                <w:rFonts w:hint="eastAsia" w:hAnsi="宋体" w:cs="宋体"/>
                <w:color w:val="auto"/>
                <w:kern w:val="2"/>
                <w:sz w:val="24"/>
                <w:szCs w:val="24"/>
                <w:highlight w:val="none"/>
              </w:rPr>
              <w:t xml:space="preserve">3、代理服务费收费专用银行账户名称： </w:t>
            </w:r>
          </w:p>
          <w:p>
            <w:pPr>
              <w:pStyle w:val="15"/>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开户名称：广西科文招标有限公司南宁五分公司</w:t>
            </w:r>
          </w:p>
          <w:p>
            <w:pPr>
              <w:pStyle w:val="15"/>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开户银行：广西北部湾银行股份有限公司南宁市云景支行</w:t>
            </w:r>
          </w:p>
          <w:p>
            <w:pPr>
              <w:spacing w:line="360" w:lineRule="auto"/>
              <w:rPr>
                <w:rFonts w:hAnsi="宋体" w:cs="宋体"/>
                <w:color w:val="auto"/>
                <w:sz w:val="24"/>
                <w:highlight w:val="none"/>
              </w:rPr>
            </w:pPr>
            <w:r>
              <w:rPr>
                <w:rFonts w:hint="eastAsia" w:hAnsi="宋体" w:cs="宋体"/>
                <w:color w:val="auto"/>
                <w:sz w:val="24"/>
                <w:highlight w:val="none"/>
              </w:rPr>
              <w:t>银行账号：805030220200001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pPr>
              <w:pStyle w:val="1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1、本招标文件中描述投标人的“公章”是指根据我国对公章的管理规定，用投标人法定主体行为名称制作的印章</w:t>
            </w:r>
            <w:r>
              <w:rPr>
                <w:rFonts w:hint="eastAsia" w:hAnsi="宋体" w:cs="宋体"/>
                <w:color w:val="auto"/>
                <w:sz w:val="24"/>
                <w:szCs w:val="24"/>
                <w:highlight w:val="none"/>
              </w:rPr>
              <w:t>（含电子印章）</w:t>
            </w:r>
            <w:r>
              <w:rPr>
                <w:rFonts w:hint="eastAsia" w:hAnsi="宋体" w:cs="宋体"/>
                <w:bCs/>
                <w:color w:val="auto"/>
                <w:sz w:val="24"/>
                <w:szCs w:val="24"/>
                <w:highlight w:val="none"/>
              </w:rPr>
              <w:t>，除本招标文件有特殊规定外，投标人的财务章、部门章、分公司章、工会章、合同章、投标专用章、业务专用章及银行的转账章、现金收讫章、现金付讫章等其他形式印章均不能代替公章。</w:t>
            </w:r>
          </w:p>
          <w:p>
            <w:pPr>
              <w:pStyle w:val="1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3、本招标文件中描述投标人的“签字”是指投标人的法定代表人或者委托代理人</w:t>
            </w:r>
            <w:r>
              <w:rPr>
                <w:rFonts w:hint="eastAsia" w:hAnsi="宋体" w:cs="宋体"/>
                <w:color w:val="auto"/>
                <w:sz w:val="24"/>
                <w:szCs w:val="24"/>
                <w:highlight w:val="none"/>
              </w:rPr>
              <w:t>在文件规定签署处签名（含电子签名）的行为，私章、印鉴等其他形式均不能代替签字</w:t>
            </w:r>
            <w:r>
              <w:rPr>
                <w:rFonts w:hint="eastAsia" w:hAnsi="宋体" w:cs="宋体"/>
                <w:bCs/>
                <w:color w:val="auto"/>
                <w:sz w:val="24"/>
                <w:szCs w:val="24"/>
                <w:highlight w:val="none"/>
              </w:rPr>
              <w:t>。</w:t>
            </w:r>
          </w:p>
          <w:p>
            <w:pPr>
              <w:pStyle w:val="1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4、自然人投标的，招标文件规定盖公章处由自然人摁手指指印。</w:t>
            </w:r>
          </w:p>
          <w:p>
            <w:pPr>
              <w:spacing w:line="360" w:lineRule="auto"/>
              <w:jc w:val="left"/>
              <w:rPr>
                <w:rFonts w:ascii="宋体" w:hAnsi="宋体" w:cs="宋体"/>
                <w:color w:val="auto"/>
                <w:sz w:val="24"/>
                <w:highlight w:val="none"/>
              </w:rPr>
            </w:pPr>
            <w:r>
              <w:rPr>
                <w:rFonts w:hint="eastAsia" w:ascii="宋体" w:hAnsi="宋体" w:cs="宋体"/>
                <w:bCs/>
                <w:color w:val="auto"/>
                <w:sz w:val="24"/>
                <w:highlight w:val="none"/>
              </w:rPr>
              <w:t>5、本招标文件所称的“以上”“以下”“以内”“届满”，包括本数；所称的“不满”“超过”“以外”，不包括本数。</w:t>
            </w:r>
          </w:p>
        </w:tc>
      </w:tr>
    </w:tbl>
    <w:p>
      <w:pPr>
        <w:snapToGrid w:val="0"/>
        <w:rPr>
          <w:rFonts w:ascii="宋体" w:hAnsi="宋体" w:cs="宋体"/>
          <w:color w:val="auto"/>
          <w:sz w:val="24"/>
          <w:szCs w:val="20"/>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投标人须知正文</w:t>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一、总  则</w:t>
      </w:r>
    </w:p>
    <w:p>
      <w:pPr>
        <w:pStyle w:val="7"/>
        <w:keepNext w:val="0"/>
        <w:keepLines w:val="0"/>
        <w:spacing w:before="0" w:after="0" w:line="360" w:lineRule="auto"/>
        <w:ind w:left="420" w:leftChars="200"/>
        <w:rPr>
          <w:rFonts w:ascii="宋体" w:hAnsi="宋体" w:cs="宋体"/>
          <w:color w:val="auto"/>
          <w:sz w:val="24"/>
          <w:highlight w:val="none"/>
        </w:rPr>
      </w:pPr>
      <w:bookmarkStart w:id="77" w:name="_Toc254970668"/>
      <w:bookmarkStart w:id="78" w:name="_Toc254970527"/>
      <w:r>
        <w:rPr>
          <w:rFonts w:hint="eastAsia" w:ascii="宋体" w:hAnsi="宋体" w:cs="宋体"/>
          <w:color w:val="auto"/>
          <w:sz w:val="24"/>
          <w:highlight w:val="none"/>
        </w:rPr>
        <w:t>1.适用范围</w:t>
      </w:r>
      <w:bookmarkEnd w:id="77"/>
      <w:bookmarkEnd w:id="78"/>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1.2本招标文件</w:t>
      </w:r>
      <w:r>
        <w:rPr>
          <w:rFonts w:hint="eastAsia" w:ascii="宋体" w:hAnsi="宋体" w:cs="宋体"/>
          <w:color w:val="auto"/>
          <w:spacing w:val="-6"/>
          <w:sz w:val="24"/>
          <w:highlight w:val="none"/>
        </w:rPr>
        <w:t>适用于本项目的所有采购程序和环节（法律、法规另有规定的，从其规定）。</w:t>
      </w:r>
    </w:p>
    <w:p>
      <w:pPr>
        <w:pStyle w:val="7"/>
        <w:keepNext w:val="0"/>
        <w:keepLines w:val="0"/>
        <w:spacing w:before="0" w:after="0" w:line="360" w:lineRule="auto"/>
        <w:ind w:left="420" w:leftChars="200"/>
        <w:rPr>
          <w:rFonts w:ascii="宋体" w:hAnsi="宋体" w:cs="宋体"/>
          <w:color w:val="auto"/>
          <w:sz w:val="24"/>
          <w:highlight w:val="none"/>
        </w:rPr>
      </w:pPr>
      <w:bookmarkStart w:id="79" w:name="_Toc254970528"/>
      <w:bookmarkStart w:id="80" w:name="_Toc254970669"/>
      <w:r>
        <w:rPr>
          <w:rFonts w:hint="eastAsia" w:ascii="宋体" w:hAnsi="宋体" w:cs="宋体"/>
          <w:color w:val="auto"/>
          <w:sz w:val="24"/>
          <w:highlight w:val="none"/>
        </w:rPr>
        <w:t>2.定义</w:t>
      </w:r>
      <w:bookmarkEnd w:id="79"/>
      <w:bookmarkEnd w:id="80"/>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2.1“采购人”是指依法进行政府采购的国家机关、事业单位、团体组织。</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2.2“采购代理机构”是指政府采购集中采购机构和集中采购机构以外的采购代理机构。</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2.3“供应商”是指向采购人提供货物、工程或者服务的法人、其他组织或者自然人。</w:t>
      </w:r>
    </w:p>
    <w:p>
      <w:pPr>
        <w:pStyle w:val="8"/>
        <w:spacing w:line="360" w:lineRule="auto"/>
        <w:ind w:left="420" w:leftChars="200" w:firstLine="0"/>
        <w:rPr>
          <w:rFonts w:ascii="宋体" w:hAnsi="宋体" w:cs="宋体"/>
          <w:color w:val="auto"/>
          <w:sz w:val="24"/>
          <w:szCs w:val="24"/>
          <w:highlight w:val="none"/>
        </w:rPr>
      </w:pPr>
      <w:r>
        <w:rPr>
          <w:rFonts w:hint="eastAsia" w:ascii="宋体" w:hAnsi="宋体" w:cs="宋体"/>
          <w:color w:val="auto"/>
          <w:sz w:val="24"/>
          <w:szCs w:val="24"/>
          <w:highlight w:val="none"/>
        </w:rPr>
        <w:t>2.4“投标人”是指响应招标、参加投标竞争的法人、其他组织或者自然人。</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2.5“货物”是指各种形态和种类的物品，包括原材料、燃料、设备、产品等。</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2.6“售后服务” 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2.7“书面形式”是指合同书、信件和数据电文（包括电报、电传、传真、电子数据交换和电子邮件）等可以有形地表现所载内容的形式。</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2.8“实质性要求”是指招标文件中已经指明不满足则投标无效的条款，或者不能负偏离的条款，或者采购需求中带“▲”的条款。</w:t>
      </w:r>
    </w:p>
    <w:p>
      <w:pPr>
        <w:snapToGrid w:val="0"/>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2.9 “正偏离”，是指投标文件对招标文件“采购需求”中有关条款作出的响应优于条款要求并有利于采购人的情形。</w:t>
      </w:r>
    </w:p>
    <w:p>
      <w:pPr>
        <w:snapToGrid w:val="0"/>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2.10“负偏离”，是指投标文件对招标文件“采购需求”中有关条款作出的响应不满足条款要求，导致采购人要求不能得到满足的情形。</w:t>
      </w:r>
    </w:p>
    <w:p>
      <w:pPr>
        <w:snapToGrid w:val="0"/>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2.11“允许负偏离的条款”是指采购需求中的不属于“实质性要求”的条款。</w:t>
      </w:r>
      <w:bookmarkStart w:id="81" w:name="_Toc254970670"/>
      <w:bookmarkStart w:id="82" w:name="_Toc254970529"/>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81"/>
      <w:bookmarkEnd w:id="82"/>
      <w:r>
        <w:rPr>
          <w:rFonts w:hint="eastAsia" w:ascii="宋体" w:hAnsi="宋体" w:cs="宋体"/>
          <w:color w:val="auto"/>
          <w:sz w:val="24"/>
          <w:highlight w:val="none"/>
        </w:rPr>
        <w:t>投标人的资格要求</w:t>
      </w:r>
    </w:p>
    <w:p>
      <w:pPr>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投标人的资格要求详见“投标人须知前附表”。</w:t>
      </w:r>
    </w:p>
    <w:p>
      <w:pPr>
        <w:pStyle w:val="7"/>
        <w:keepNext w:val="0"/>
        <w:keepLines w:val="0"/>
        <w:spacing w:before="0" w:after="0" w:line="360" w:lineRule="auto"/>
        <w:ind w:left="420" w:leftChars="200"/>
        <w:rPr>
          <w:rFonts w:ascii="宋体" w:hAnsi="宋体" w:cs="宋体"/>
          <w:color w:val="auto"/>
          <w:sz w:val="24"/>
          <w:highlight w:val="none"/>
        </w:rPr>
      </w:pPr>
      <w:bookmarkStart w:id="83" w:name="_Toc254970530"/>
      <w:bookmarkStart w:id="84" w:name="_Toc254970671"/>
      <w:r>
        <w:rPr>
          <w:rFonts w:hint="eastAsia" w:ascii="宋体" w:hAnsi="宋体" w:cs="宋体"/>
          <w:color w:val="auto"/>
          <w:sz w:val="24"/>
          <w:highlight w:val="none"/>
        </w:rPr>
        <w:t>4.投标委托</w:t>
      </w:r>
      <w:bookmarkEnd w:id="83"/>
      <w:bookmarkEnd w:id="84"/>
    </w:p>
    <w:p>
      <w:pPr>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投标人代表参加投标活动过程中必须提供个人有效身份证件。如投标人代表不是法定代表人，须持有授权委托书（按第六章要求格式填写）。</w:t>
      </w:r>
    </w:p>
    <w:p>
      <w:pPr>
        <w:pStyle w:val="7"/>
        <w:keepNext w:val="0"/>
        <w:keepLines w:val="0"/>
        <w:spacing w:before="0" w:after="0" w:line="360" w:lineRule="auto"/>
        <w:ind w:left="420" w:leftChars="200"/>
        <w:rPr>
          <w:rFonts w:ascii="宋体" w:hAnsi="宋体" w:cs="宋体"/>
          <w:color w:val="auto"/>
          <w:sz w:val="24"/>
          <w:highlight w:val="none"/>
        </w:rPr>
      </w:pPr>
      <w:bookmarkStart w:id="85" w:name="_5.投标费用"/>
      <w:bookmarkEnd w:id="85"/>
      <w:bookmarkStart w:id="86" w:name="_Toc254970672"/>
      <w:bookmarkStart w:id="87" w:name="_Toc254970531"/>
      <w:r>
        <w:rPr>
          <w:rFonts w:hint="eastAsia" w:ascii="宋体" w:hAnsi="宋体" w:cs="宋体"/>
          <w:color w:val="auto"/>
          <w:sz w:val="24"/>
          <w:highlight w:val="none"/>
        </w:rPr>
        <w:t>5.投标费用</w:t>
      </w:r>
      <w:bookmarkEnd w:id="86"/>
      <w:bookmarkEnd w:id="87"/>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6.1本项目是否接受联合体投标，详见“投标人须知前附表”。</w:t>
      </w:r>
    </w:p>
    <w:p>
      <w:pPr>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6.2如接受联合体投标，联合体投标要求详见“投标人须知前附表”。</w:t>
      </w:r>
    </w:p>
    <w:p>
      <w:pPr>
        <w:pStyle w:val="7"/>
        <w:keepNext w:val="0"/>
        <w:keepLines w:val="0"/>
        <w:spacing w:before="0" w:after="0" w:line="360" w:lineRule="auto"/>
        <w:ind w:firstLine="484" w:firstLineChars="202"/>
        <w:rPr>
          <w:rFonts w:ascii="宋体" w:hAnsi="宋体" w:cs="宋体"/>
          <w:color w:val="auto"/>
          <w:sz w:val="24"/>
          <w:highlight w:val="none"/>
        </w:rPr>
      </w:pPr>
      <w:r>
        <w:rPr>
          <w:rFonts w:hint="eastAsia" w:ascii="宋体" w:hAnsi="宋体" w:cs="宋体"/>
          <w:b w:val="0"/>
          <w:bCs/>
          <w:color w:val="auto"/>
          <w:sz w:val="24"/>
          <w:highlight w:val="none"/>
        </w:rPr>
        <w:t xml:space="preserve">6.3 </w:t>
      </w:r>
      <w:bookmarkStart w:id="88" w:name="_Hlk65857072"/>
      <w:r>
        <w:rPr>
          <w:rFonts w:hint="eastAsia" w:ascii="宋体" w:hAnsi="宋体" w:cs="宋体"/>
          <w:b w:val="0"/>
          <w:bCs/>
          <w:color w:val="auto"/>
          <w:sz w:val="24"/>
          <w:highlight w:val="none"/>
        </w:rPr>
        <w:t>根据《政府采购促进中小企业发展管理办法》（财库〔2020〕46号）及《关于进一步加大政府采购支持中小企业力度的通知》（财库〔2022〕19号 ）的规定，大中型企业与小微企业组成联合体或者大中型企业向小微企业分包的，评审优惠6%。政府采购工程的价格评审优惠按照财库〔2020〕46号文件的规定执行，用扣除后的价格参加评审。</w:t>
      </w:r>
      <w:bookmarkEnd w:id="88"/>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pPr>
        <w:pStyle w:val="7"/>
        <w:keepNext w:val="0"/>
        <w:keepLines w:val="0"/>
        <w:numPr>
          <w:ilvl w:val="0"/>
          <w:numId w:val="0"/>
        </w:numPr>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7.1本项目不允许转包。</w:t>
      </w:r>
    </w:p>
    <w:p>
      <w:pPr>
        <w:pStyle w:val="7"/>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7"/>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ascii="宋体" w:hAnsi="宋体" w:cs="宋体"/>
          <w:color w:val="auto"/>
          <w:sz w:val="24"/>
          <w:highlight w:val="none"/>
        </w:rPr>
      </w:pPr>
      <w:bookmarkStart w:id="89" w:name="_Toc254970532"/>
      <w:bookmarkStart w:id="90" w:name="_Toc254970673"/>
      <w:r>
        <w:rPr>
          <w:rFonts w:hint="eastAsia" w:ascii="宋体" w:hAnsi="宋体" w:cs="宋体"/>
          <w:color w:val="auto"/>
          <w:sz w:val="24"/>
          <w:highlight w:val="none"/>
        </w:rPr>
        <w:t>8.特别说明</w:t>
      </w:r>
      <w:bookmarkEnd w:id="89"/>
      <w:bookmarkEnd w:id="90"/>
    </w:p>
    <w:p>
      <w:pPr>
        <w:pStyle w:val="7"/>
        <w:keepNext w:val="0"/>
        <w:keepLines w:val="0"/>
        <w:spacing w:before="0" w:after="0" w:line="360" w:lineRule="auto"/>
        <w:ind w:firstLine="480" w:firstLineChars="200"/>
        <w:rPr>
          <w:rFonts w:ascii="宋体" w:hAnsi="宋体" w:cs="宋体"/>
          <w:b w:val="0"/>
          <w:color w:val="auto"/>
          <w:sz w:val="24"/>
          <w:highlight w:val="none"/>
        </w:rPr>
      </w:pPr>
      <w:bookmarkStart w:id="91" w:name="_8.1提供相同品牌产品且通过资格审查、符合性审查的不同投标人参加同一合"/>
      <w:bookmarkEnd w:id="91"/>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HYPERLINK  \l "_8.1" </w:instrText>
      </w:r>
      <w:r>
        <w:rPr>
          <w:rFonts w:hint="eastAsia" w:ascii="宋体" w:hAnsi="宋体" w:cs="宋体"/>
          <w:b w:val="0"/>
          <w:color w:val="auto"/>
          <w:sz w:val="24"/>
          <w:highlight w:val="none"/>
        </w:rPr>
        <w:fldChar w:fldCharType="separate"/>
      </w:r>
      <w:r>
        <w:rPr>
          <w:rFonts w:hint="eastAsia" w:ascii="宋体" w:hAnsi="宋体" w:cs="宋体"/>
          <w:b w:val="0"/>
          <w:color w:val="auto"/>
          <w:sz w:val="24"/>
          <w:highlight w:val="none"/>
        </w:rPr>
        <w:t>8.1</w:t>
      </w:r>
      <w:r>
        <w:rPr>
          <w:rFonts w:hint="eastAsia" w:ascii="宋体" w:hAnsi="宋体" w:cs="宋体"/>
          <w:b w:val="0"/>
          <w:color w:val="auto"/>
          <w:sz w:val="24"/>
          <w:highlight w:val="none"/>
        </w:rPr>
        <w:fldChar w:fldCharType="end"/>
      </w:r>
      <w:r>
        <w:rPr>
          <w:rFonts w:hint="eastAsia" w:ascii="宋体" w:hAnsi="宋体" w:cs="宋体"/>
          <w:b w:val="0"/>
          <w:color w:val="auto"/>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4"/>
          <w:highlight w:val="none"/>
        </w:rPr>
        <w:t>其他投标无效。</w:t>
      </w:r>
    </w:p>
    <w:p>
      <w:pPr>
        <w:pStyle w:val="7"/>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非单一产品采购项目，多家投标人提供的核心产品品牌相同的，</w:t>
      </w:r>
      <w:r>
        <w:rPr>
          <w:rFonts w:hint="eastAsia" w:hAnsi="宋体" w:cs="宋体"/>
          <w:color w:val="auto"/>
          <w:sz w:val="24"/>
          <w:szCs w:val="24"/>
          <w:highlight w:val="none"/>
        </w:rPr>
        <w:t>按前两款规定处理</w:t>
      </w:r>
      <w:r>
        <w:rPr>
          <w:rFonts w:hint="eastAsia" w:hAnsi="宋体" w:cs="宋体"/>
          <w:color w:val="auto"/>
          <w:kern w:val="2"/>
          <w:sz w:val="24"/>
          <w:szCs w:val="24"/>
          <w:highlight w:val="none"/>
        </w:rPr>
        <w:t>。</w:t>
      </w:r>
    </w:p>
    <w:p>
      <w:pPr>
        <w:pStyle w:val="7"/>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7"/>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 xml:space="preserve"> 8.3投标人应仔细阅读招标文件的所有内容，按照招标文件的要求提交投标文件，并对所提供的全部资料的真实性承担法律责任。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 xml:space="preserve"> 8.4投标人在投标活动中提供任何虚假材料，将报监管部门查处；中标后发现的，中标人须依法赔偿采购人，且民事赔偿并不免除违法投标人的行政与刑事责任。</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pPr>
        <w:pStyle w:val="7"/>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9.1在政府采购活动中，采购人员及相关人员与供应商有下列利害关系之一的，应当回避：</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（1）参加采购活动前3年内与供应商存在劳动关系；</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（2）参加采购活动前3年内担任供应商的董事、监事；</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（3）参加采购活动前3年内是供应商的控股股东或者实际控制人；</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（4）与供应商的法定代表人或者负责人有夫妻、直系血亲、三代以内旁系血亲或者近姻亲关系；</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（5）与供应商有其他可能影响政府采购活动公平、公正进行的关系。</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9.2有下列情形之一的视为投标人相互串通投标，投标文件将被视为无效：</w:t>
      </w:r>
    </w:p>
    <w:p>
      <w:pPr>
        <w:pStyle w:val="15"/>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 xml:space="preserve">（1）不同投标人的投标文件由同一单位或者个人编制； </w:t>
      </w:r>
    </w:p>
    <w:p>
      <w:pPr>
        <w:pStyle w:val="15"/>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（2）不同投标人委托同一单位或者个人办理投标事宜；</w:t>
      </w:r>
    </w:p>
    <w:p>
      <w:pPr>
        <w:pStyle w:val="15"/>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（3）不同的投标人的投标文件载明的项目管理员为同一个人；</w:t>
      </w:r>
    </w:p>
    <w:p>
      <w:pPr>
        <w:pStyle w:val="15"/>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（4）不同投标人的投标文件异常一致或者投标报价呈规律性差异；</w:t>
      </w:r>
    </w:p>
    <w:p>
      <w:pPr>
        <w:pStyle w:val="15"/>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（5）不同投标人的投标文件相互混装；</w:t>
      </w:r>
    </w:p>
    <w:p>
      <w:pPr>
        <w:pStyle w:val="15"/>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（6）不同投标人的投标保证金从同一单位或者个人账户转出。</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9.3供应商有下列情形之一的，属于恶意串通行为，将报同级监督管理部门：</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（1）供应商直接或者间接从采购人或者采购代理机构处获得其他供应商的相关信息并修改其投标文件或者响应文件；</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（2）供应商按照采购人或者采购代理机构的授意撤换、修改投标文件或者响应文件；</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（3）供应商之间协商报价、技术方案等投标文件或者响应文件的实质性内容；</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（4）属于同一集团、协会、商会等组织成员的供应商按照该组织要求协同参加政府采购活动；</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（6）供应商之间商定部分供应商放弃参加政府采购活动或者放弃中标；</w:t>
      </w:r>
    </w:p>
    <w:p>
      <w:pPr>
        <w:pStyle w:val="15"/>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（7）供应商与采购人或者采购代理机构之间、供应商相互之间，为谋求特定供应商中标或者排斥其他供应商的其他串通行为。</w:t>
      </w:r>
    </w:p>
    <w:p>
      <w:pPr>
        <w:pStyle w:val="15"/>
        <w:snapToGrid w:val="0"/>
        <w:spacing w:line="360" w:lineRule="auto"/>
        <w:ind w:left="2" w:leftChars="1" w:firstLine="422" w:firstLineChars="200"/>
        <w:rPr>
          <w:rFonts w:hAnsi="宋体" w:cs="宋体"/>
          <w:b/>
          <w:color w:val="auto"/>
          <w:kern w:val="2"/>
          <w:sz w:val="21"/>
          <w:highlight w:val="none"/>
        </w:rPr>
      </w:pPr>
    </w:p>
    <w:p>
      <w:pPr>
        <w:pStyle w:val="5"/>
        <w:keepNext w:val="0"/>
        <w:keepLines w:val="0"/>
        <w:jc w:val="center"/>
        <w:rPr>
          <w:rFonts w:ascii="宋体" w:hAnsi="宋体" w:cs="宋体"/>
          <w:color w:val="auto"/>
          <w:highlight w:val="none"/>
        </w:rPr>
      </w:pPr>
      <w:bookmarkStart w:id="92" w:name="_Toc254970675"/>
      <w:bookmarkStart w:id="93" w:name="_Toc254970534"/>
      <w:r>
        <w:rPr>
          <w:rFonts w:hint="eastAsia" w:ascii="宋体" w:hAnsi="宋体" w:cs="宋体"/>
          <w:color w:val="auto"/>
          <w:highlight w:val="none"/>
        </w:rPr>
        <w:t>二、招标文件</w:t>
      </w:r>
      <w:bookmarkEnd w:id="92"/>
      <w:bookmarkEnd w:id="93"/>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（1）招标公告；</w:t>
      </w:r>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 xml:space="preserve">（2）采购需求； </w:t>
      </w:r>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（3）投标人须知；</w:t>
      </w:r>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（4）评标方法及评标标准；</w:t>
      </w:r>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（5）拟签订的合同文本；</w:t>
      </w:r>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（6）投标文件格式。</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pPr>
        <w:pStyle w:val="7"/>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7"/>
        <w:keepNext w:val="0"/>
        <w:keepLines w:val="0"/>
        <w:numPr>
          <w:ilvl w:val="0"/>
          <w:numId w:val="0"/>
        </w:numPr>
        <w:spacing w:before="0" w:after="0" w:line="360" w:lineRule="auto"/>
        <w:ind w:firstLine="480" w:firstLineChars="200"/>
        <w:rPr>
          <w:rFonts w:ascii="宋体" w:hAnsi="宋体" w:cs="宋体"/>
          <w:color w:val="auto"/>
          <w:sz w:val="24"/>
          <w:highlight w:val="none"/>
        </w:rPr>
      </w:pPr>
      <w:r>
        <w:rPr>
          <w:rFonts w:hint="eastAsia" w:ascii="宋体" w:hAnsi="宋体" w:cs="宋体"/>
          <w:b w:val="0"/>
          <w:color w:val="auto"/>
          <w:sz w:val="24"/>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11.3采购人和采购代理机构可以视采购具体情况，变更投标截止时间和开标时间，并在原公告发布媒体上发布更正公告。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11.4招标文件澄清、答复、修改、补充的内容为招标文件的组成部分。</w:t>
      </w:r>
      <w:r>
        <w:rPr>
          <w:rFonts w:hint="eastAsia" w:ascii="宋体" w:hAnsi="宋体" w:cs="宋体"/>
          <w:b/>
          <w:color w:val="auto"/>
          <w:sz w:val="24"/>
          <w:highlight w:val="none"/>
        </w:rPr>
        <w:t>当招标文件与招标文件的澄清、答复、修改、补充通知就同一内容的表述不一致时，以最后发出的文件为准。</w:t>
      </w:r>
    </w:p>
    <w:p>
      <w:pPr>
        <w:pStyle w:val="15"/>
        <w:snapToGrid w:val="0"/>
        <w:spacing w:line="360" w:lineRule="auto"/>
        <w:ind w:firstLine="480" w:firstLineChars="200"/>
        <w:rPr>
          <w:rFonts w:hAnsi="宋体" w:cs="宋体"/>
          <w:color w:val="auto"/>
          <w:sz w:val="21"/>
          <w:highlight w:val="none"/>
        </w:rPr>
      </w:pPr>
      <w:r>
        <w:rPr>
          <w:rFonts w:hint="eastAsia" w:hAnsi="宋体" w:cs="宋体"/>
          <w:color w:val="auto"/>
          <w:sz w:val="24"/>
          <w:szCs w:val="24"/>
          <w:highlight w:val="none"/>
        </w:rPr>
        <w:t>11.</w:t>
      </w:r>
      <w:bookmarkStart w:id="94" w:name="_Hlk53134511"/>
      <w:r>
        <w:rPr>
          <w:rFonts w:hint="eastAsia" w:hAnsi="宋体" w:cs="宋体"/>
          <w:color w:val="auto"/>
          <w:sz w:val="24"/>
          <w:szCs w:val="24"/>
          <w:highlight w:val="none"/>
        </w:rPr>
        <w:t>5采购人或者采购代理机构可以在招标文件提供期限截止后，组织已获取招标文件的潜在投标人现场考察或者召开开标前答疑会，具体详见“投标人须知前附表”。</w:t>
      </w:r>
    </w:p>
    <w:bookmarkEnd w:id="94"/>
    <w:p>
      <w:pPr>
        <w:pStyle w:val="15"/>
        <w:snapToGrid w:val="0"/>
        <w:spacing w:line="360" w:lineRule="auto"/>
        <w:ind w:firstLine="420" w:firstLineChars="200"/>
        <w:rPr>
          <w:rFonts w:hAnsi="宋体" w:cs="宋体"/>
          <w:color w:val="auto"/>
          <w:sz w:val="21"/>
          <w:highlight w:val="none"/>
        </w:rPr>
      </w:pPr>
    </w:p>
    <w:p>
      <w:pPr>
        <w:pStyle w:val="5"/>
        <w:keepNext w:val="0"/>
        <w:keepLines w:val="0"/>
        <w:jc w:val="center"/>
        <w:rPr>
          <w:rFonts w:ascii="宋体" w:hAnsi="宋体" w:cs="宋体"/>
          <w:color w:val="auto"/>
          <w:highlight w:val="none"/>
        </w:rPr>
      </w:pPr>
      <w:bookmarkStart w:id="95" w:name="_Toc254970535"/>
      <w:bookmarkStart w:id="96" w:name="_Toc254970676"/>
      <w:r>
        <w:rPr>
          <w:rFonts w:hint="eastAsia" w:ascii="宋体" w:hAnsi="宋体" w:cs="宋体"/>
          <w:color w:val="auto"/>
          <w:highlight w:val="none"/>
        </w:rPr>
        <w:t>三、投标文件的编制</w:t>
      </w:r>
      <w:bookmarkEnd w:id="95"/>
      <w:bookmarkEnd w:id="96"/>
    </w:p>
    <w:p>
      <w:pPr>
        <w:pStyle w:val="7"/>
        <w:keepNext w:val="0"/>
        <w:keepLines w:val="0"/>
        <w:spacing w:before="0" w:after="0" w:line="360" w:lineRule="auto"/>
        <w:ind w:left="420" w:leftChars="200"/>
        <w:rPr>
          <w:rFonts w:ascii="宋体" w:hAnsi="宋体" w:cs="宋体"/>
          <w:color w:val="auto"/>
          <w:sz w:val="24"/>
          <w:highlight w:val="none"/>
        </w:rPr>
      </w:pPr>
      <w:bookmarkStart w:id="97" w:name="_Toc254970677"/>
      <w:bookmarkStart w:id="98" w:name="_Toc254970536"/>
      <w:r>
        <w:rPr>
          <w:rFonts w:hint="eastAsia" w:ascii="宋体" w:hAnsi="宋体" w:cs="宋体"/>
          <w:color w:val="auto"/>
          <w:sz w:val="24"/>
          <w:highlight w:val="none"/>
        </w:rPr>
        <w:t>12.投标文件的编制原则</w:t>
      </w:r>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7"/>
      <w:bookmarkEnd w:id="98"/>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13.1投标文件由报价文件、资格证明文件、商务文件、技术文件四部分组成。</w:t>
      </w:r>
    </w:p>
    <w:p>
      <w:pPr>
        <w:pStyle w:val="7"/>
        <w:keepNext w:val="0"/>
        <w:keepLines w:val="0"/>
        <w:spacing w:before="0" w:after="0" w:line="360" w:lineRule="auto"/>
        <w:ind w:left="420" w:leftChars="200"/>
        <w:rPr>
          <w:rFonts w:ascii="宋体" w:hAnsi="宋体" w:cs="宋体"/>
          <w:b w:val="0"/>
          <w:color w:val="auto"/>
          <w:sz w:val="24"/>
          <w:highlight w:val="none"/>
        </w:rPr>
      </w:pPr>
      <w:bookmarkStart w:id="99" w:name="_13.1报价文件:_具体材料见“投标人须知前附表”。"/>
      <w:bookmarkEnd w:id="99"/>
      <w:r>
        <w:rPr>
          <w:rFonts w:hint="eastAsia" w:ascii="宋体" w:hAnsi="宋体" w:cs="宋体"/>
          <w:b w:val="0"/>
          <w:color w:val="auto"/>
          <w:sz w:val="24"/>
          <w:highlight w:val="none"/>
        </w:rPr>
        <w:t>（1）报价文件： 具体材料见“投标人须知前附表”。</w:t>
      </w:r>
    </w:p>
    <w:p>
      <w:pPr>
        <w:pStyle w:val="7"/>
        <w:keepNext w:val="0"/>
        <w:keepLines w:val="0"/>
        <w:spacing w:before="0" w:after="0" w:line="360" w:lineRule="auto"/>
        <w:ind w:left="420" w:leftChars="200"/>
        <w:rPr>
          <w:rFonts w:ascii="宋体" w:hAnsi="宋体" w:cs="宋体"/>
          <w:b w:val="0"/>
          <w:color w:val="auto"/>
          <w:sz w:val="24"/>
          <w:highlight w:val="none"/>
        </w:rPr>
      </w:pPr>
      <w:bookmarkStart w:id="100" w:name="_13.2资格证明文件：具体材料见“投标人须知前附表”。"/>
      <w:bookmarkEnd w:id="100"/>
      <w:r>
        <w:rPr>
          <w:rFonts w:hint="eastAsia" w:ascii="宋体" w:hAnsi="宋体" w:cs="宋体"/>
          <w:b w:val="0"/>
          <w:color w:val="auto"/>
          <w:sz w:val="24"/>
          <w:highlight w:val="none"/>
        </w:rPr>
        <w:t>（2）资格证明文件：具体材料见“投标人须知前附表”。</w:t>
      </w:r>
    </w:p>
    <w:p>
      <w:pPr>
        <w:pStyle w:val="7"/>
        <w:keepNext w:val="0"/>
        <w:keepLines w:val="0"/>
        <w:spacing w:before="0" w:after="0" w:line="360" w:lineRule="auto"/>
        <w:ind w:left="420" w:leftChars="200"/>
        <w:rPr>
          <w:rFonts w:ascii="宋体" w:hAnsi="宋体" w:cs="宋体"/>
          <w:b w:val="0"/>
          <w:color w:val="auto"/>
          <w:sz w:val="24"/>
          <w:highlight w:val="none"/>
        </w:rPr>
      </w:pPr>
      <w:bookmarkStart w:id="101" w:name="_13.3商务文件:_具体材料见“投标人须知前附表”。"/>
      <w:bookmarkEnd w:id="101"/>
      <w:r>
        <w:rPr>
          <w:rFonts w:hint="eastAsia" w:ascii="宋体" w:hAnsi="宋体" w:cs="宋体"/>
          <w:b w:val="0"/>
          <w:color w:val="auto"/>
          <w:sz w:val="24"/>
          <w:highlight w:val="none"/>
        </w:rPr>
        <w:t>（3）商务文件：具体材料见“投标人须知前附表”。</w:t>
      </w:r>
    </w:p>
    <w:p>
      <w:pPr>
        <w:pStyle w:val="7"/>
        <w:keepNext w:val="0"/>
        <w:keepLines w:val="0"/>
        <w:spacing w:before="0" w:after="0" w:line="360" w:lineRule="auto"/>
        <w:ind w:left="420" w:leftChars="200"/>
        <w:rPr>
          <w:rFonts w:ascii="宋体" w:hAnsi="宋体" w:cs="宋体"/>
          <w:b w:val="0"/>
          <w:color w:val="auto"/>
          <w:sz w:val="24"/>
          <w:highlight w:val="none"/>
        </w:rPr>
      </w:pPr>
      <w:bookmarkStart w:id="102" w:name="_13.4技术文件：具体材料见“投标人须知前附表”。"/>
      <w:bookmarkEnd w:id="102"/>
      <w:r>
        <w:rPr>
          <w:rFonts w:hint="eastAsia" w:ascii="宋体" w:hAnsi="宋体" w:cs="宋体"/>
          <w:b w:val="0"/>
          <w:color w:val="auto"/>
          <w:sz w:val="24"/>
          <w:highlight w:val="none"/>
        </w:rPr>
        <w:t>（4）技术文件：具体材料见“投标人须知前附表”。</w:t>
      </w:r>
      <w:bookmarkStart w:id="103" w:name="_13.5投标文件电子版：具体材料见“投标人须知前附表”。"/>
      <w:bookmarkEnd w:id="103"/>
    </w:p>
    <w:p>
      <w:pPr>
        <w:pStyle w:val="7"/>
        <w:keepNext w:val="0"/>
        <w:keepLines w:val="0"/>
        <w:spacing w:before="0" w:after="0" w:line="360" w:lineRule="auto"/>
        <w:ind w:left="420" w:leftChars="200"/>
        <w:rPr>
          <w:rFonts w:ascii="宋体" w:hAnsi="宋体" w:cs="宋体"/>
          <w:color w:val="auto"/>
          <w:sz w:val="24"/>
          <w:highlight w:val="none"/>
        </w:rPr>
      </w:pPr>
      <w:bookmarkStart w:id="104" w:name="_Toc254970537"/>
      <w:bookmarkStart w:id="105" w:name="_Toc254970678"/>
      <w:r>
        <w:rPr>
          <w:rFonts w:hint="eastAsia" w:ascii="宋体" w:hAnsi="宋体" w:cs="宋体"/>
          <w:color w:val="auto"/>
          <w:sz w:val="24"/>
          <w:highlight w:val="none"/>
        </w:rPr>
        <w:t>14.投标文件的语言及计量</w:t>
      </w:r>
      <w:bookmarkEnd w:id="104"/>
      <w:bookmarkEnd w:id="105"/>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14.1语言文字</w:t>
      </w:r>
    </w:p>
    <w:p>
      <w:pPr>
        <w:pStyle w:val="7"/>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14.2投标计量单位</w:t>
      </w:r>
    </w:p>
    <w:p>
      <w:pPr>
        <w:pStyle w:val="7"/>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pPr>
        <w:pStyle w:val="15"/>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ascii="宋体" w:hAnsi="宋体" w:cs="宋体"/>
          <w:color w:val="auto"/>
          <w:sz w:val="24"/>
          <w:highlight w:val="none"/>
        </w:rPr>
      </w:pPr>
      <w:bookmarkStart w:id="106" w:name="_Toc254970679"/>
      <w:bookmarkStart w:id="107" w:name="_Toc254970538"/>
      <w:r>
        <w:rPr>
          <w:rFonts w:hint="eastAsia" w:ascii="宋体" w:hAnsi="宋体" w:cs="宋体"/>
          <w:color w:val="auto"/>
          <w:sz w:val="24"/>
          <w:highlight w:val="none"/>
        </w:rPr>
        <w:t>16.投标报价</w:t>
      </w:r>
      <w:bookmarkEnd w:id="106"/>
      <w:bookmarkEnd w:id="107"/>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16.1投标报价应按“第六章　投标文件格式”中“开标一览表”格式填写。</w:t>
      </w:r>
    </w:p>
    <w:p>
      <w:pPr>
        <w:pStyle w:val="7"/>
        <w:keepNext w:val="0"/>
        <w:keepLines w:val="0"/>
        <w:spacing w:before="0" w:after="0" w:line="360" w:lineRule="auto"/>
        <w:ind w:left="420" w:leftChars="200"/>
        <w:rPr>
          <w:rFonts w:ascii="宋体" w:hAnsi="宋体" w:cs="宋体"/>
          <w:b w:val="0"/>
          <w:color w:val="auto"/>
          <w:sz w:val="24"/>
          <w:highlight w:val="none"/>
        </w:rPr>
      </w:pPr>
      <w:bookmarkStart w:id="108" w:name="_16.2投标报价具体定义见投标人须知前附表。"/>
      <w:bookmarkEnd w:id="108"/>
      <w:r>
        <w:rPr>
          <w:rFonts w:hint="eastAsia" w:ascii="宋体" w:hAnsi="宋体" w:cs="宋体"/>
          <w:b w:val="0"/>
          <w:color w:val="auto"/>
          <w:sz w:val="24"/>
          <w:highlight w:val="none"/>
        </w:rPr>
        <w:t>16.2投标报价具体包括内容详见“投标人须知前附表”。</w:t>
      </w:r>
    </w:p>
    <w:p>
      <w:pPr>
        <w:pStyle w:val="7"/>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16.3投标人必须就所投每个分标的全部内容分别作完整唯一总价报价，不得存在漏项报价；投标人必须就所投分标的单项内容作唯一报价。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pPr>
        <w:pStyle w:val="7"/>
        <w:keepNext w:val="0"/>
        <w:keepLines w:val="0"/>
        <w:spacing w:before="0" w:after="0" w:line="360" w:lineRule="auto"/>
        <w:ind w:firstLine="480" w:firstLineChars="200"/>
        <w:rPr>
          <w:rFonts w:ascii="宋体" w:hAnsi="宋体" w:cs="宋体"/>
          <w:b w:val="0"/>
          <w:color w:val="auto"/>
          <w:sz w:val="24"/>
          <w:highlight w:val="none"/>
        </w:rPr>
      </w:pPr>
      <w:bookmarkStart w:id="109" w:name="_17.1投标有效期应按“投标人须知中的前附表”规定的期限。"/>
      <w:bookmarkEnd w:id="109"/>
      <w:r>
        <w:rPr>
          <w:rFonts w:hint="eastAsia" w:ascii="宋体" w:hAnsi="宋体" w:cs="宋体"/>
          <w:b w:val="0"/>
          <w:color w:val="auto"/>
          <w:sz w:val="24"/>
          <w:highlight w:val="none"/>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17.2</w:t>
      </w:r>
      <w:bookmarkStart w:id="110" w:name="_Toc254970681"/>
      <w:bookmarkStart w:id="111" w:name="_Toc254970540"/>
      <w:r>
        <w:rPr>
          <w:rFonts w:hint="eastAsia" w:ascii="宋体" w:hAnsi="宋体" w:cs="宋体"/>
          <w:b w:val="0"/>
          <w:color w:val="auto"/>
          <w:sz w:val="24"/>
          <w:highlight w:val="none"/>
        </w:rPr>
        <w:t xml:space="preserve"> 投标有效期应按规定的期限作出承诺，具体详见“投标人须知前附表”。</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17.3投标人的投标文件在投标有效期内均保持有效。</w:t>
      </w:r>
      <w:bookmarkEnd w:id="110"/>
      <w:bookmarkEnd w:id="111"/>
    </w:p>
    <w:p>
      <w:pPr>
        <w:pStyle w:val="7"/>
        <w:keepNext w:val="0"/>
        <w:keepLines w:val="0"/>
        <w:spacing w:before="0" w:after="0" w:line="360" w:lineRule="auto"/>
        <w:ind w:left="420" w:leftChars="200"/>
        <w:rPr>
          <w:rFonts w:ascii="宋体" w:hAnsi="宋体" w:cs="宋体"/>
          <w:color w:val="auto"/>
          <w:sz w:val="24"/>
          <w:highlight w:val="none"/>
        </w:rPr>
      </w:pPr>
      <w:bookmarkStart w:id="112" w:name="_18.投标保证金"/>
      <w:bookmarkEnd w:id="112"/>
      <w:bookmarkStart w:id="113" w:name="_Toc254970682"/>
      <w:bookmarkStart w:id="114" w:name="_Toc254970541"/>
      <w:r>
        <w:rPr>
          <w:rFonts w:hint="eastAsia" w:ascii="宋体" w:hAnsi="宋体" w:cs="宋体"/>
          <w:color w:val="auto"/>
          <w:sz w:val="24"/>
          <w:highlight w:val="none"/>
        </w:rPr>
        <w:t>18.投标保证金</w:t>
      </w:r>
      <w:bookmarkEnd w:id="113"/>
      <w:bookmarkEnd w:id="114"/>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18.1投标人须按“投标人须知前附表” 的规定提交投标保证金。</w:t>
      </w:r>
    </w:p>
    <w:p>
      <w:pPr>
        <w:pStyle w:val="7"/>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18.2投标保证金的退还</w:t>
      </w:r>
    </w:p>
    <w:p>
      <w:pPr>
        <w:pStyle w:val="7"/>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 xml:space="preserve">未中标人的投标保证金自中标通知书发出之日起4个工作日内退还；中标人的投标保证金自政府采购合同签订之日起4个工作日内退还。 </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18.3除逾期退还投标保证金和终止招标的情形以外，投标保证金不计息。</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 xml:space="preserve">18.4投标人有下列情形之一的，投标保证金将不予退还： </w:t>
      </w:r>
    </w:p>
    <w:p>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（1）投标人在投标有效期内撤销投标文件的；</w:t>
      </w:r>
    </w:p>
    <w:p>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（2）未按规定提交履约保证金的；</w:t>
      </w:r>
    </w:p>
    <w:p>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（3）投标人在投标过程中弄虚作假，提供虚假材料的；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（4）中标人无正当理由不与采购人签订合同的；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（5）投标人出现本章第9.2、9.3情形的；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（6）法律法规规定的其他情形。</w:t>
      </w:r>
    </w:p>
    <w:p>
      <w:pPr>
        <w:pStyle w:val="7"/>
        <w:keepNext w:val="0"/>
        <w:keepLines w:val="0"/>
        <w:spacing w:before="0" w:after="0" w:line="360" w:lineRule="auto"/>
        <w:ind w:left="420" w:leftChars="200"/>
        <w:rPr>
          <w:rFonts w:ascii="宋体" w:hAnsi="宋体" w:cs="宋体"/>
          <w:color w:val="auto"/>
          <w:sz w:val="24"/>
          <w:highlight w:val="none"/>
        </w:rPr>
      </w:pPr>
      <w:bookmarkStart w:id="115" w:name="_Toc254970683"/>
      <w:bookmarkStart w:id="116" w:name="_Toc254970542"/>
      <w:r>
        <w:rPr>
          <w:rFonts w:hint="eastAsia" w:ascii="宋体" w:hAnsi="宋体" w:cs="宋体"/>
          <w:color w:val="auto"/>
          <w:sz w:val="24"/>
          <w:highlight w:val="none"/>
        </w:rPr>
        <w:t>19.投标文件的</w:t>
      </w:r>
      <w:bookmarkEnd w:id="115"/>
      <w:bookmarkEnd w:id="116"/>
      <w:r>
        <w:rPr>
          <w:rFonts w:hint="eastAsia" w:ascii="宋体" w:hAnsi="宋体" w:cs="宋体"/>
          <w:color w:val="auto"/>
          <w:sz w:val="24"/>
          <w:highlight w:val="none"/>
        </w:rPr>
        <w:t>编制</w:t>
      </w:r>
    </w:p>
    <w:p>
      <w:pPr>
        <w:pStyle w:val="7"/>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7"/>
        <w:keepNext w:val="0"/>
        <w:keepLines w:val="0"/>
        <w:numPr>
          <w:ilvl w:val="0"/>
          <w:numId w:val="0"/>
        </w:numPr>
        <w:spacing w:before="0" w:after="0" w:line="360" w:lineRule="auto"/>
        <w:ind w:firstLine="480" w:firstLineChars="200"/>
        <w:rPr>
          <w:rFonts w:ascii="宋体" w:hAnsi="宋体" w:cs="宋体"/>
          <w:b w:val="0"/>
          <w:color w:val="auto"/>
          <w:sz w:val="24"/>
          <w:highlight w:val="none"/>
        </w:rPr>
      </w:pPr>
      <w:bookmarkStart w:id="117" w:name="_19.2投标文件应按报价文件、资格证明文件、商务文件、技术文件分别编制"/>
      <w:bookmarkEnd w:id="117"/>
      <w:r>
        <w:rPr>
          <w:rFonts w:hint="eastAsia" w:ascii="宋体" w:hAnsi="宋体" w:cs="宋体"/>
          <w:b w:val="0"/>
          <w:color w:val="auto"/>
          <w:sz w:val="24"/>
          <w:highlight w:val="none"/>
        </w:rPr>
        <w:t>19.2投标文件应按报价文件、资格证明文件、商务文件、技术文件分别编制电子文件，并按“政采云”平台的要求编制、加密、上传。</w:t>
      </w:r>
    </w:p>
    <w:p>
      <w:pPr>
        <w:pStyle w:val="7"/>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19.</w:t>
      </w:r>
      <w:bookmarkStart w:id="118" w:name="_Hlk65832616"/>
      <w:r>
        <w:rPr>
          <w:rFonts w:hint="eastAsia" w:ascii="宋体" w:hAnsi="宋体" w:cs="宋体"/>
          <w:b w:val="0"/>
          <w:color w:val="auto"/>
          <w:sz w:val="24"/>
          <w:highlight w:val="none"/>
        </w:rPr>
        <w:t>3投标文件须由投标人在规定位置盖公章并签字</w:t>
      </w:r>
      <w:bookmarkStart w:id="119" w:name="_Hlk65832569"/>
      <w:r>
        <w:rPr>
          <w:rFonts w:hint="eastAsia" w:ascii="宋体" w:hAnsi="宋体" w:cs="宋体"/>
          <w:b w:val="0"/>
          <w:color w:val="auto"/>
          <w:sz w:val="24"/>
          <w:highlight w:val="none"/>
        </w:rPr>
        <w:t>（具体以投标人须知前附表或投标文件格式规定为准）</w:t>
      </w:r>
      <w:bookmarkEnd w:id="118"/>
      <w:bookmarkEnd w:id="119"/>
      <w:r>
        <w:rPr>
          <w:rFonts w:hint="eastAsia" w:ascii="宋体" w:hAnsi="宋体" w:cs="宋体"/>
          <w:b w:val="0"/>
          <w:color w:val="auto"/>
          <w:sz w:val="24"/>
          <w:highlight w:val="none"/>
        </w:rPr>
        <w:t>，</w:t>
      </w:r>
      <w:r>
        <w:rPr>
          <w:rFonts w:hint="eastAsia" w:ascii="宋体" w:hAnsi="宋体" w:cs="宋体"/>
          <w:bCs/>
          <w:color w:val="auto"/>
          <w:sz w:val="24"/>
          <w:highlight w:val="none"/>
        </w:rPr>
        <w:t>否则按无效投标处理</w:t>
      </w:r>
      <w:r>
        <w:rPr>
          <w:rFonts w:hint="eastAsia" w:ascii="宋体" w:hAnsi="宋体" w:cs="宋体"/>
          <w:b w:val="0"/>
          <w:color w:val="auto"/>
          <w:sz w:val="24"/>
          <w:highlight w:val="none"/>
        </w:rPr>
        <w:t>。</w:t>
      </w:r>
    </w:p>
    <w:p>
      <w:pPr>
        <w:pStyle w:val="7"/>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19.4投标文件中标注的投标人名称应与主体资格证明（如营业执照、事业单位法人证书、执业许可证、自然人身份证等）及公章一致，</w:t>
      </w:r>
      <w:r>
        <w:rPr>
          <w:rFonts w:hint="eastAsia" w:ascii="宋体" w:hAnsi="宋体" w:cs="宋体"/>
          <w:color w:val="auto"/>
          <w:sz w:val="24"/>
          <w:highlight w:val="none"/>
        </w:rPr>
        <w:t>否则按无效投标处理</w:t>
      </w:r>
      <w:r>
        <w:rPr>
          <w:rFonts w:hint="eastAsia" w:ascii="宋体" w:hAnsi="宋体" w:cs="宋体"/>
          <w:b w:val="0"/>
          <w:color w:val="auto"/>
          <w:sz w:val="24"/>
          <w:highlight w:val="none"/>
        </w:rPr>
        <w:t>。</w:t>
      </w:r>
    </w:p>
    <w:p>
      <w:pPr>
        <w:pStyle w:val="7"/>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20.投标文件的加密、解密</w:t>
      </w:r>
    </w:p>
    <w:p>
      <w:pPr>
        <w:pStyle w:val="7"/>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20.1电子投标文件编制完成后，投标人应按“政采云”平台的要求进行加密，并在规定时间内解密，否则，由此产生的后果由投标人自行负责。</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pPr>
        <w:pStyle w:val="7"/>
        <w:keepNext w:val="0"/>
        <w:keepLines w:val="0"/>
        <w:numPr>
          <w:ilvl w:val="0"/>
          <w:numId w:val="0"/>
        </w:numPr>
        <w:spacing w:before="0" w:after="0" w:line="360" w:lineRule="auto"/>
        <w:ind w:firstLine="480" w:firstLineChars="200"/>
        <w:rPr>
          <w:rFonts w:ascii="宋体" w:hAnsi="宋体" w:cs="宋体"/>
          <w:b w:val="0"/>
          <w:color w:val="auto"/>
          <w:sz w:val="24"/>
          <w:highlight w:val="none"/>
        </w:rPr>
      </w:pPr>
      <w:bookmarkStart w:id="120" w:name="_21.1投标人必须在“投标人须知中的前附表”规定的投标文件接收时间和投"/>
      <w:bookmarkEnd w:id="120"/>
      <w:r>
        <w:rPr>
          <w:rFonts w:hint="eastAsia" w:ascii="宋体" w:hAnsi="宋体" w:cs="宋体"/>
          <w:b w:val="0"/>
          <w:color w:val="auto"/>
          <w:sz w:val="24"/>
          <w:highlight w:val="none"/>
        </w:rPr>
        <w:t>21.1投标人必须在“投标人须知前附表”规定的投标文件接收时间和投标地点提交投标文件。</w:t>
      </w:r>
    </w:p>
    <w:p>
      <w:pPr>
        <w:pStyle w:val="7"/>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pPr>
        <w:pStyle w:val="7"/>
        <w:keepNext w:val="0"/>
        <w:keepLines w:val="0"/>
        <w:numPr>
          <w:ilvl w:val="0"/>
          <w:numId w:val="0"/>
        </w:numPr>
        <w:spacing w:before="0" w:after="0" w:line="360" w:lineRule="auto"/>
        <w:ind w:firstLine="480" w:firstLineChars="200"/>
        <w:jc w:val="left"/>
        <w:rPr>
          <w:rFonts w:ascii="宋体" w:hAnsi="宋体" w:cs="宋体"/>
          <w:b w:val="0"/>
          <w:color w:val="auto"/>
          <w:sz w:val="24"/>
          <w:highlight w:val="none"/>
        </w:rPr>
      </w:pPr>
      <w:r>
        <w:rPr>
          <w:rFonts w:hint="eastAsia" w:ascii="宋体" w:hAnsi="宋体" w:cs="宋体"/>
          <w:b w:val="0"/>
          <w:color w:val="auto"/>
          <w:sz w:val="24"/>
          <w:highlight w:val="none"/>
        </w:rPr>
        <w:t>21.3未在规定时间内上传或者未按“政采云”平台的要求编制、加密的电子投标文件，“政采云”平台将拒收。</w:t>
      </w:r>
    </w:p>
    <w:p>
      <w:pPr>
        <w:pStyle w:val="8"/>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21.4电子投标文件提交方式见“招标公告”中“四、提交投标文件截止时间、开标时间和地点”</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pPr>
        <w:snapToGrid w:val="0"/>
        <w:spacing w:line="360" w:lineRule="auto"/>
        <w:ind w:firstLine="420"/>
        <w:jc w:val="left"/>
        <w:rPr>
          <w:rFonts w:ascii="宋体" w:hAnsi="宋体" w:cs="宋体"/>
          <w:color w:val="auto"/>
          <w:sz w:val="24"/>
          <w:highlight w:val="none"/>
        </w:rPr>
      </w:pPr>
      <w:bookmarkStart w:id="121" w:name="_Toc254970684"/>
      <w:bookmarkStart w:id="122" w:name="_Toc254970543"/>
      <w:r>
        <w:rPr>
          <w:rFonts w:hint="eastAsia" w:ascii="宋体" w:hAnsi="宋体" w:cs="宋体"/>
          <w:color w:val="auto"/>
          <w:sz w:val="24"/>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bookmarkEnd w:id="121"/>
      <w:bookmarkEnd w:id="122"/>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22.2在投标截止时间止提交投标文件的投标人不足3家时，不得开标，采购代理机构将根据“政采云”平台的操作将电子版投标文件退回，除此之外采购人和采购代理机构对已提交的投标文件概不退回。</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 投标人在投标截止时间后书面通知采购人、采购代理机构撤销投标文件的，将根据本须知正文18.4的规定不予退还其投标保证金。</w:t>
      </w:r>
    </w:p>
    <w:p>
      <w:pPr>
        <w:pStyle w:val="14"/>
        <w:snapToGrid w:val="0"/>
        <w:spacing w:line="360" w:lineRule="auto"/>
        <w:ind w:firstLine="845"/>
        <w:rPr>
          <w:rFonts w:ascii="宋体" w:hAnsi="宋体" w:eastAsia="宋体" w:cs="宋体"/>
          <w:snapToGrid w:val="0"/>
          <w:color w:val="auto"/>
          <w:sz w:val="24"/>
          <w:szCs w:val="24"/>
          <w:highlight w:val="none"/>
        </w:rPr>
      </w:pPr>
    </w:p>
    <w:p>
      <w:pPr>
        <w:pStyle w:val="5"/>
        <w:keepNext w:val="0"/>
        <w:keepLines w:val="0"/>
        <w:jc w:val="center"/>
        <w:rPr>
          <w:rFonts w:ascii="宋体" w:hAnsi="宋体" w:cs="宋体"/>
          <w:color w:val="auto"/>
          <w:highlight w:val="none"/>
        </w:rPr>
      </w:pPr>
      <w:bookmarkStart w:id="123" w:name="_Toc254970685"/>
      <w:bookmarkStart w:id="124" w:name="_Toc254970544"/>
      <w:r>
        <w:rPr>
          <w:rFonts w:hint="eastAsia" w:ascii="宋体" w:hAnsi="宋体" w:cs="宋体"/>
          <w:color w:val="auto"/>
          <w:highlight w:val="none"/>
        </w:rPr>
        <w:t>四、开    标</w:t>
      </w:r>
      <w:bookmarkEnd w:id="123"/>
      <w:bookmarkEnd w:id="124"/>
    </w:p>
    <w:p>
      <w:pPr>
        <w:pStyle w:val="7"/>
        <w:keepNext w:val="0"/>
        <w:keepLines w:val="0"/>
        <w:spacing w:before="0" w:after="0" w:line="360" w:lineRule="auto"/>
        <w:ind w:left="420" w:leftChars="200"/>
        <w:rPr>
          <w:rFonts w:ascii="宋体" w:hAnsi="宋体" w:cs="宋体"/>
          <w:color w:val="auto"/>
          <w:sz w:val="24"/>
          <w:highlight w:val="none"/>
        </w:rPr>
      </w:pPr>
      <w:bookmarkStart w:id="125" w:name="_23.开标时间和地点"/>
      <w:bookmarkEnd w:id="125"/>
      <w:r>
        <w:rPr>
          <w:rFonts w:hint="eastAsia" w:ascii="宋体" w:hAnsi="宋体" w:cs="宋体"/>
          <w:color w:val="auto"/>
          <w:sz w:val="24"/>
          <w:highlight w:val="none"/>
        </w:rPr>
        <w:t>23.开标时间和地点</w:t>
      </w:r>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23.1开标时间及地点详见“投标人须知前附表”</w:t>
      </w:r>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23.2如投标人成功解密投标文件，但未在“政采云”电子开标大厅参加开标的，视同认可开标过程和结果，由此产生的后果由投标人自行负责。成功解密投标文件的投标人不足3家的，不得开标。</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bCs/>
          <w:color w:val="auto"/>
          <w:sz w:val="24"/>
          <w:highlight w:val="none"/>
        </w:rPr>
        <w:t>24.1</w:t>
      </w:r>
      <w:r>
        <w:rPr>
          <w:rFonts w:hint="eastAsia" w:ascii="宋体" w:hAnsi="宋体" w:cs="宋体"/>
          <w:color w:val="auto"/>
          <w:kern w:val="0"/>
          <w:sz w:val="24"/>
          <w:highlight w:val="none"/>
        </w:rPr>
        <w:t>开标形式：</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24.2开标程序：</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（1）解密电子投标文件。“政采云”平台按开标时间自动提取所有投标文件。采购代理机构依托“政采云”平台向各投标人发出电子加密投标文件【开始解密】通知，由投标人进行投标文件解密。</w:t>
      </w:r>
      <w:r>
        <w:rPr>
          <w:rFonts w:hint="eastAsia" w:ascii="宋体" w:hAnsi="宋体" w:cs="宋体"/>
          <w:b/>
          <w:bCs/>
          <w:color w:val="auto"/>
          <w:sz w:val="24"/>
          <w:highlight w:val="none"/>
        </w:rPr>
        <w:t>投标人的法定代表人或其委托代理人须携带加密时所用的CA锁准时登录到“政采云”平台电子开标大厅签到</w:t>
      </w:r>
      <w:r>
        <w:rPr>
          <w:rFonts w:hint="eastAsia" w:ascii="宋体" w:hAnsi="宋体" w:cs="宋体"/>
          <w:b/>
          <w:color w:val="auto"/>
          <w:sz w:val="24"/>
          <w:highlight w:val="none"/>
        </w:rPr>
        <w:t>并在发起解密</w:t>
      </w:r>
      <w:r>
        <w:rPr>
          <w:rFonts w:hint="eastAsia" w:ascii="宋体" w:hAnsi="宋体" w:cs="宋体"/>
          <w:b/>
          <w:bCs/>
          <w:color w:val="auto"/>
          <w:sz w:val="24"/>
          <w:highlight w:val="none"/>
        </w:rPr>
        <w:t>通知</w:t>
      </w:r>
      <w:r>
        <w:rPr>
          <w:rFonts w:hint="eastAsia" w:ascii="宋体" w:hAnsi="宋体" w:cs="宋体"/>
          <w:b/>
          <w:color w:val="auto"/>
          <w:sz w:val="24"/>
          <w:highlight w:val="none"/>
        </w:rPr>
        <w:t>之时起30分钟内完成</w:t>
      </w:r>
      <w:r>
        <w:rPr>
          <w:rFonts w:hint="eastAsia" w:ascii="宋体" w:hAnsi="宋体" w:cs="宋体"/>
          <w:b/>
          <w:bCs/>
          <w:color w:val="auto"/>
          <w:sz w:val="24"/>
          <w:highlight w:val="none"/>
        </w:rPr>
        <w:t>对电子投标文件解密。投标文件未按时解密的，视为无效投标。</w:t>
      </w:r>
      <w:r>
        <w:rPr>
          <w:rFonts w:hint="eastAsia" w:ascii="宋体" w:hAnsi="宋体" w:cs="宋体"/>
          <w:bCs/>
          <w:color w:val="auto"/>
          <w:sz w:val="24"/>
          <w:highlight w:val="none"/>
        </w:rPr>
        <w:t>（解密异常情况处理：详见本章29.4 电子交易活动的中止。</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（2）电子唱标。投标文件解密结束，各投标供应商报价均在“政采云”平台远程不见面开标大厅展示；</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（3）签署电子《政府采购活动现场确认声明书》。通过邮件形式在远程不见面开标大厅发送各投标人签署电子《政府采购活动现场确认声明书》。</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（6）开标结束。</w:t>
      </w:r>
    </w:p>
    <w:p>
      <w:pPr>
        <w:autoSpaceDE w:val="0"/>
        <w:autoSpaceDN w:val="0"/>
        <w:adjustRightIn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特别说明：如遇“政采云”平台电子化开标或评审程序调整的，按调整后执行。</w:t>
      </w:r>
    </w:p>
    <w:p>
      <w:pPr>
        <w:pStyle w:val="15"/>
        <w:snapToGrid w:val="0"/>
        <w:spacing w:line="360" w:lineRule="auto"/>
        <w:ind w:left="689" w:leftChars="228" w:hanging="210" w:hangingChars="100"/>
        <w:rPr>
          <w:rFonts w:hAnsi="宋体" w:cs="宋体"/>
          <w:color w:val="auto"/>
          <w:sz w:val="21"/>
          <w:highlight w:val="none"/>
        </w:rPr>
      </w:pPr>
    </w:p>
    <w:p>
      <w:pPr>
        <w:pStyle w:val="5"/>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pPr>
        <w:pStyle w:val="7"/>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25.1开标结束后，采购人或者采购代理机构依法对投标人的资格进行审查。</w:t>
      </w:r>
    </w:p>
    <w:p>
      <w:pPr>
        <w:pStyle w:val="7"/>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25.2资格审查标准为本招标文件中载明对投标人资格要求的条件。本项目资格审查采用合格制，凡符合招标文件规定的投标人资格要求的投标人均通过资格审查。</w:t>
      </w:r>
    </w:p>
    <w:p>
      <w:pPr>
        <w:pStyle w:val="7"/>
        <w:keepNext w:val="0"/>
        <w:keepLines w:val="0"/>
        <w:numPr>
          <w:ilvl w:val="0"/>
          <w:numId w:val="0"/>
        </w:numPr>
        <w:spacing w:before="0" w:after="0" w:line="360" w:lineRule="auto"/>
        <w:ind w:firstLine="482" w:firstLineChars="200"/>
        <w:rPr>
          <w:rFonts w:ascii="宋体" w:hAnsi="宋体" w:cs="宋体"/>
          <w:color w:val="auto"/>
          <w:sz w:val="24"/>
          <w:highlight w:val="none"/>
        </w:rPr>
      </w:pPr>
      <w:bookmarkStart w:id="126" w:name="_25.3_投标人有下列情形之一的，资格审查不通过而导致其投标无效："/>
      <w:bookmarkEnd w:id="126"/>
      <w:r>
        <w:rPr>
          <w:rFonts w:hint="eastAsia" w:ascii="宋体" w:hAnsi="宋体" w:cs="宋体"/>
          <w:color w:val="auto"/>
          <w:sz w:val="24"/>
          <w:highlight w:val="none"/>
        </w:rPr>
        <w:t>25.3 投标人有下列情形之一的，资格审查不通过，作无效投标处理：</w:t>
      </w:r>
    </w:p>
    <w:p>
      <w:pPr>
        <w:pStyle w:val="1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（1）未按招标文件规定的方式获取本招标文件的投标人；</w:t>
      </w:r>
    </w:p>
    <w:p>
      <w:pPr>
        <w:pStyle w:val="1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（2）不具备招标文件中规定的资格要求的；</w:t>
      </w:r>
    </w:p>
    <w:p>
      <w:pPr>
        <w:pStyle w:val="1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（3）在“信用中国”网站（www.creditchina.gov.cn） 、中国政府采购网（www.ccgp.gov.cn）被列入失信被执行人、</w:t>
      </w:r>
      <w:r>
        <w:rPr>
          <w:rFonts w:hint="eastAsia" w:hAnsi="宋体" w:cs="宋体"/>
          <w:b/>
          <w:color w:val="auto"/>
          <w:sz w:val="24"/>
          <w:szCs w:val="24"/>
          <w:highlight w:val="none"/>
          <w:lang w:eastAsia="zh-CN"/>
        </w:rPr>
        <w:t>重大税收违法失信主体</w:t>
      </w:r>
      <w:r>
        <w:rPr>
          <w:rFonts w:hint="eastAsia" w:hAnsi="宋体" w:cs="宋体"/>
          <w:b/>
          <w:color w:val="auto"/>
          <w:sz w:val="24"/>
          <w:szCs w:val="24"/>
          <w:highlight w:val="none"/>
        </w:rPr>
        <w:t>、政府采购严重违法失信行为记录名单及其他不符合《中华人民共和国政府采购法》第二十二条规定条件的；（注：其中信用查询规则见“投标人须知前附表”）</w:t>
      </w:r>
    </w:p>
    <w:p>
      <w:pPr>
        <w:pStyle w:val="1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1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（5）投标文件中的资格证明文件缺少任一项“投标人须知前附表”资格证明文件规定“必须提供”的文件资料的；</w:t>
      </w:r>
    </w:p>
    <w:p>
      <w:pPr>
        <w:pStyle w:val="15"/>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（6）投标文件中的资格证明文件出现任一项不符合“投标人须知前附表”资格证明文件规定“必须提供”的文件资料要求或者无效的。</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color w:val="auto"/>
          <w:sz w:val="24"/>
          <w:highlight w:val="none"/>
        </w:rPr>
        <w:t>25.4合格投标人不足3家的，不得评标。</w:t>
      </w:r>
    </w:p>
    <w:p>
      <w:pPr>
        <w:pStyle w:val="15"/>
        <w:snapToGrid w:val="0"/>
        <w:spacing w:line="360" w:lineRule="auto"/>
        <w:ind w:left="719" w:leftChars="228" w:hanging="240" w:hangingChars="100"/>
        <w:rPr>
          <w:rFonts w:hAnsi="宋体" w:cs="宋体"/>
          <w:color w:val="auto"/>
          <w:sz w:val="24"/>
          <w:szCs w:val="24"/>
          <w:highlight w:val="none"/>
        </w:rPr>
      </w:pPr>
    </w:p>
    <w:p>
      <w:pPr>
        <w:pStyle w:val="5"/>
        <w:keepNext w:val="0"/>
        <w:keepLines w:val="0"/>
        <w:jc w:val="center"/>
        <w:rPr>
          <w:rFonts w:ascii="宋体" w:hAnsi="宋体" w:cs="宋体"/>
          <w:color w:val="auto"/>
          <w:highlight w:val="none"/>
        </w:rPr>
      </w:pPr>
      <w:r>
        <w:rPr>
          <w:rFonts w:hint="eastAsia" w:ascii="宋体" w:hAnsi="宋体" w:cs="宋体"/>
          <w:color w:val="auto"/>
          <w:highlight w:val="none"/>
        </w:rPr>
        <w:t>六、评   标</w:t>
      </w:r>
    </w:p>
    <w:p>
      <w:pPr>
        <w:pStyle w:val="7"/>
        <w:keepNext w:val="0"/>
        <w:keepLines w:val="0"/>
        <w:spacing w:before="0" w:after="0" w:line="360" w:lineRule="auto"/>
        <w:ind w:left="420" w:leftChars="200"/>
        <w:rPr>
          <w:rFonts w:ascii="宋体" w:hAnsi="宋体" w:cs="宋体"/>
          <w:color w:val="auto"/>
          <w:sz w:val="24"/>
          <w:highlight w:val="none"/>
        </w:rPr>
      </w:pPr>
      <w:bookmarkStart w:id="127" w:name="_26.组建评标委员会"/>
      <w:bookmarkEnd w:id="127"/>
      <w:r>
        <w:rPr>
          <w:rFonts w:hint="eastAsia" w:ascii="宋体" w:hAnsi="宋体" w:cs="宋体"/>
          <w:color w:val="auto"/>
          <w:sz w:val="24"/>
          <w:highlight w:val="none"/>
        </w:rPr>
        <w:t>26.组建评标委员会</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评标委员会由采购人代表和评审专家组成，具体人数详见“投标人须知前附表”，其中评审专家不得少于成员总数的三分之二。</w:t>
      </w:r>
    </w:p>
    <w:p>
      <w:pPr>
        <w:pStyle w:val="15"/>
        <w:snapToGrid w:val="0"/>
        <w:spacing w:line="360" w:lineRule="auto"/>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参加过采购项目前期咨询论证的专家，不得参加该采购项目的评审活动。</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评标委员会以“第四章 评标方法和评标标准”为依据对投标文件进行评审，没有规定的方法、评审因素和标准，不作为评标依据。</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28.2</w:t>
      </w:r>
      <w:bookmarkStart w:id="128" w:name="_28.3评标方法。本项目将按须知前附表规定的评标办法进行评标，具体评标"/>
      <w:bookmarkEnd w:id="128"/>
      <w:r>
        <w:rPr>
          <w:rFonts w:hint="eastAsia" w:hAnsi="宋体" w:cs="宋体"/>
          <w:color w:val="auto"/>
          <w:sz w:val="24"/>
          <w:szCs w:val="24"/>
          <w:highlight w:val="none"/>
        </w:rPr>
        <w:t>评委表决。评标委员会成员对需要共同认定的事项存在争议的，应当按照少数服从多数的原则作出结论。</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28.4评标过程的监控。本项目评标过程实行全程录音、录像监控，</w:t>
      </w:r>
      <w:r>
        <w:rPr>
          <w:rFonts w:hint="eastAsia" w:hAnsi="宋体" w:cs="宋体"/>
          <w:b/>
          <w:bCs/>
          <w:color w:val="auto"/>
          <w:sz w:val="24"/>
          <w:szCs w:val="24"/>
          <w:highlight w:val="none"/>
        </w:rPr>
        <w:t>投标人在评标过程中所进行的试图影响评标结果的不公正活动，可能导致其投标无效</w:t>
      </w:r>
      <w:r>
        <w:rPr>
          <w:rFonts w:hint="eastAsia" w:hAnsi="宋体" w:cs="宋体"/>
          <w:color w:val="auto"/>
          <w:sz w:val="24"/>
          <w:szCs w:val="24"/>
          <w:highlight w:val="none"/>
        </w:rPr>
        <w:t>。</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29.评标方法及中标候选人推荐</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29.1本项目的评标方法详见“投标人须知前附表”。</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29.2 中标候选人推荐数量详见“投标人须知前附表”。</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29.3评标委员会将按照“第四章 评标方法和评标标准”规定的方法、评审因素、标准和程序对投标文件进行评审。</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29.4电子交易活动的中止。采购过程中出现以下情形，导致电子交易平台无法正常运行，或者无法保证电子交易的公平、公正和安全时，采购代理机构可中止电子交易活动：</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（1）电子交易平台发生故障而无法登录访问的； </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（2）电子交易平台应用或数据库出现错误，不能进行正常操作的；</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（3）电子交易平台发现严重安全漏洞，有潜在泄密危险的；</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（4）病毒发作导致不能进行正常操作的； </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（4）其他无法保证电子交易的公平、公正和安全的情况。</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29.5出现以上情形，不影响采购公平、公正性的，采购代理机构可以待上述情形消除后继续组织电子交易活动；影响或可能影响采购公平、公正性的，经采购代理机构确认后，应当重新采购。</w:t>
      </w:r>
    </w:p>
    <w:p>
      <w:pPr>
        <w:pStyle w:val="15"/>
        <w:snapToGrid w:val="0"/>
        <w:spacing w:line="360" w:lineRule="auto"/>
        <w:rPr>
          <w:rFonts w:hAnsi="宋体" w:cs="宋体"/>
          <w:color w:val="auto"/>
          <w:sz w:val="24"/>
          <w:szCs w:val="24"/>
          <w:highlight w:val="none"/>
        </w:rPr>
      </w:pPr>
    </w:p>
    <w:p>
      <w:pPr>
        <w:pStyle w:val="5"/>
        <w:keepNext w:val="0"/>
        <w:keepLines w:val="0"/>
        <w:jc w:val="center"/>
        <w:rPr>
          <w:rFonts w:ascii="宋体" w:hAnsi="宋体" w:cs="宋体"/>
          <w:color w:val="auto"/>
          <w:highlight w:val="none"/>
        </w:rPr>
      </w:pPr>
      <w:bookmarkStart w:id="129" w:name="_Toc254970546"/>
      <w:bookmarkStart w:id="130" w:name="_Toc254970687"/>
      <w:r>
        <w:rPr>
          <w:rFonts w:hint="eastAsia" w:ascii="宋体" w:hAnsi="宋体" w:cs="宋体"/>
          <w:color w:val="auto"/>
          <w:highlight w:val="none"/>
        </w:rPr>
        <w:t>七、</w:t>
      </w:r>
      <w:bookmarkEnd w:id="129"/>
      <w:bookmarkEnd w:id="130"/>
      <w:r>
        <w:rPr>
          <w:rFonts w:hint="eastAsia" w:ascii="宋体" w:hAnsi="宋体" w:cs="宋体"/>
          <w:color w:val="auto"/>
          <w:highlight w:val="none"/>
        </w:rPr>
        <w:t>中标和合同</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30 确定中标人</w:t>
      </w:r>
    </w:p>
    <w:p>
      <w:pPr>
        <w:pStyle w:val="7"/>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30.3出现下列情形之一的，应予废标：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（1）符合专业条件的供应商或者对招标文件作实质响应的供应商不足三家的；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（4）因重大变故，采购任务取消的。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废标后，采购人应当将废标理由通知所有投标人。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31. 结果公告</w:t>
      </w:r>
    </w:p>
    <w:p>
      <w:pPr>
        <w:pStyle w:val="7"/>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31.1采购人或者采购代理机构应当自中标人确定之日起2个工作日内，在省级以上财政部门指定的媒体上公告中标结果，招标文件应当随中标结果同时公告。</w:t>
      </w:r>
      <w:r>
        <w:rPr>
          <w:rFonts w:hint="eastAsia" w:ascii="宋体" w:hAnsi="宋体" w:cs="宋体"/>
          <w:color w:val="auto"/>
          <w:sz w:val="24"/>
          <w:highlight w:val="none"/>
        </w:rPr>
        <w:t>采购人或者采购代理发出中标通知书前，应当对中标人信用进行查询，对列入失信被执行人、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b w:val="0"/>
          <w:color w:val="auto"/>
          <w:sz w:val="24"/>
          <w:highlight w:val="none"/>
        </w:rPr>
        <w:t>排名第二的中标候选人因前款规定的同样原因被取消中标资格的，采购人可以确定排名第三的中标候选人为中标人，以此类推。以上信息查询记录及相关证据与采购文件一并保存。</w:t>
      </w:r>
    </w:p>
    <w:p>
      <w:pPr>
        <w:pStyle w:val="7"/>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31.2中标供应商享受《政府采购促进中小企业发展管理办法》（财库〔2020〕46号）规定的中小企业扶持政策的，采购人、采购代理机构应当随中标结果公开中标供应商的《中小企业声明函》。</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pPr>
        <w:pStyle w:val="7"/>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采购代理机构无义务向未中标的投标人解释未中标原因和退还投标文件。</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合同将授予被确定实质上响应招标文件要求，具备履行合同能力的中标人（招标文件另有约定多名中标人的除外）。</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pPr>
        <w:pStyle w:val="7"/>
        <w:keepNext w:val="0"/>
        <w:keepLines w:val="0"/>
        <w:spacing w:before="0" w:after="0" w:line="360" w:lineRule="auto"/>
        <w:ind w:firstLine="360" w:firstLineChars="150"/>
        <w:rPr>
          <w:rFonts w:ascii="宋体" w:hAnsi="宋体" w:cs="宋体"/>
          <w:b w:val="0"/>
          <w:color w:val="auto"/>
          <w:sz w:val="24"/>
          <w:highlight w:val="none"/>
        </w:rPr>
      </w:pPr>
      <w:bookmarkStart w:id="131" w:name="_39.1中标人须于签订合同前按本须知前附表规定的金额转账或电汇到指定账"/>
      <w:bookmarkEnd w:id="131"/>
      <w:r>
        <w:rPr>
          <w:rFonts w:hint="eastAsia" w:ascii="宋体" w:hAnsi="宋体" w:cs="宋体"/>
          <w:b w:val="0"/>
          <w:color w:val="auto"/>
          <w:sz w:val="24"/>
          <w:highlight w:val="none"/>
        </w:rPr>
        <w:t xml:space="preserve"> 35.1 履约保证金的金额、提交方式、退付的时间和条件详见 “投标人须知前附表”。中标人未按规定提交履约保证金的，视为拒绝与采购人签订合同。</w:t>
      </w:r>
    </w:p>
    <w:p>
      <w:pPr>
        <w:pStyle w:val="7"/>
        <w:keepNext w:val="0"/>
        <w:keepLines w:val="0"/>
        <w:spacing w:before="0" w:after="0" w:line="360" w:lineRule="auto"/>
        <w:ind w:firstLine="361" w:firstLineChars="15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val="0"/>
          <w:bCs/>
          <w:color w:val="auto"/>
          <w:sz w:val="24"/>
          <w:highlight w:val="none"/>
        </w:rPr>
        <w:t>35.2在履约保证金退还日期前，若中标人的开户名称、开户银行、帐号有变动的，请以书面形式通知履约保证金收取单位，否则由此产生的后果由中标人自行承担。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pPr>
        <w:pStyle w:val="7"/>
        <w:keepNext w:val="0"/>
        <w:keepLines w:val="0"/>
        <w:spacing w:before="0" w:after="0" w:line="360" w:lineRule="auto"/>
        <w:ind w:firstLine="360" w:firstLineChars="150"/>
        <w:rPr>
          <w:rFonts w:ascii="宋体" w:hAnsi="宋体" w:cs="宋体"/>
          <w:b w:val="0"/>
          <w:bCs/>
          <w:color w:val="auto"/>
          <w:sz w:val="24"/>
          <w:highlight w:val="none"/>
        </w:rPr>
      </w:pPr>
      <w:bookmarkStart w:id="132" w:name="_40.1投标人接到中标通知书后，按须知前附表规定向采购人出示相关资格证"/>
      <w:bookmarkEnd w:id="132"/>
      <w:r>
        <w:rPr>
          <w:rFonts w:hint="eastAsia" w:ascii="宋体" w:hAnsi="宋体" w:cs="宋体"/>
          <w:b w:val="0"/>
          <w:color w:val="auto"/>
          <w:sz w:val="24"/>
          <w:highlight w:val="none"/>
        </w:rPr>
        <w:t xml:space="preserve"> 36.1投标人领取中标通知书（书面或电子）后，按“投标人须知前附表”规定向采购人出示相关证明材料，经采购人核验合格后方可签订采购合同（书面或电子）。</w:t>
      </w:r>
      <w:r>
        <w:rPr>
          <w:rFonts w:hint="eastAsia" w:ascii="宋体" w:hAnsi="宋体" w:cs="宋体"/>
          <w:b w:val="0"/>
          <w:bCs/>
          <w:color w:val="auto"/>
          <w:sz w:val="24"/>
          <w:highlight w:val="none"/>
        </w:rPr>
        <w:t>如中标人为联合体的，联合体各方应当共同与采购人签订采购合同，就采购合同约定的事项对采购人承担连带责任。</w:t>
      </w:r>
    </w:p>
    <w:p>
      <w:pPr>
        <w:pStyle w:val="7"/>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36.2签订合同时间：按中标通知书规定的时间与采购人签订合同（最长不能超过25日）。</w:t>
      </w:r>
    </w:p>
    <w:p>
      <w:pPr>
        <w:pStyle w:val="7"/>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36.3中标人拒绝与采购人签订合同的，按照本须知正文第30.4条的规定执行。</w:t>
      </w:r>
    </w:p>
    <w:p>
      <w:pPr>
        <w:pStyle w:val="7"/>
        <w:keepNext w:val="0"/>
        <w:keepLines w:val="0"/>
        <w:spacing w:before="0" w:after="0" w:line="360" w:lineRule="auto"/>
        <w:ind w:left="420" w:leftChars="200"/>
        <w:rPr>
          <w:rFonts w:ascii="宋体" w:hAnsi="宋体" w:cs="宋体"/>
          <w:color w:val="auto"/>
          <w:sz w:val="24"/>
          <w:highlight w:val="none"/>
        </w:rPr>
      </w:pPr>
      <w:bookmarkStart w:id="133" w:name="_41.政府采购合同公告"/>
      <w:bookmarkEnd w:id="133"/>
      <w:r>
        <w:rPr>
          <w:rFonts w:hint="eastAsia" w:ascii="宋体" w:hAnsi="宋体" w:cs="宋体"/>
          <w:color w:val="auto"/>
          <w:sz w:val="24"/>
          <w:highlight w:val="none"/>
        </w:rPr>
        <w:t>37.政府采购合同公告</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pPr>
        <w:pStyle w:val="8"/>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38.1供应商对政府采购活动事项有疑问的，可以向采购人提出询问，采购人或者采购代理机构应当在3个工作日内对供应商依法提出的询问作出答复，但答复的内容不得涉及商业秘密。</w:t>
      </w:r>
    </w:p>
    <w:p>
      <w:pPr>
        <w:pStyle w:val="7"/>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（1）对可以质疑的招标文件提出质疑的，为收到招标文件之日或者招标文件公告期限届满之日；</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（2）对采购过程提出质疑的，为各采购程序环节结束之日；</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color w:val="auto"/>
          <w:sz w:val="24"/>
          <w:szCs w:val="24"/>
          <w:highlight w:val="none"/>
        </w:rPr>
        <w:t>（3）对中标结果提出质疑的，为中标结果公告期限届满之日。</w:t>
      </w:r>
    </w:p>
    <w:p>
      <w:pPr>
        <w:pStyle w:val="7"/>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38.3 </w:t>
      </w:r>
      <w:r>
        <w:rPr>
          <w:rFonts w:hint="eastAsia" w:ascii="宋体" w:hAnsi="宋体" w:cs="宋体"/>
          <w:bCs/>
          <w:color w:val="auto"/>
          <w:sz w:val="24"/>
          <w:highlight w:val="none"/>
        </w:rPr>
        <w:t>供应商提出质疑应当提交质疑函和必要的证明材料，针对同一采购程序环节的质疑必须在法定质疑期内一次性提出。质疑函应当包括下列内容（质疑函格式后附）：</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（1）供应商的姓名或者名称、地址、邮编、联系人及联系电话；</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（2）质疑项目的名称、编号；</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（3）具体、明确的质疑事项和与质疑事项相关的请求；</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（4）事实依据；</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（5）必要的法律依据；</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（6）提出质疑的日期。</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供应商为自然人的，应当由本人签字；供应商为法人或者其他组织的，应当由法定代表人、主要负责人，或者其委托代理人签字或者盖章，并加盖公章。</w:t>
      </w:r>
    </w:p>
    <w:p>
      <w:pPr>
        <w:pStyle w:val="7"/>
        <w:keepNext w:val="0"/>
        <w:keepLines w:val="0"/>
        <w:snapToGrid w:val="0"/>
        <w:spacing w:before="0" w:after="0" w:line="360" w:lineRule="auto"/>
        <w:ind w:firstLine="480" w:firstLineChars="200"/>
        <w:rPr>
          <w:rFonts w:ascii="宋体" w:hAnsi="宋体" w:cs="宋体"/>
          <w:b w:val="0"/>
          <w:bCs/>
          <w:color w:val="auto"/>
          <w:sz w:val="24"/>
          <w:highlight w:val="none"/>
        </w:rPr>
      </w:pPr>
      <w:r>
        <w:rPr>
          <w:rFonts w:hint="eastAsia" w:ascii="宋体" w:hAnsi="宋体" w:cs="宋体"/>
          <w:b w:val="0"/>
          <w:color w:val="auto"/>
          <w:sz w:val="24"/>
          <w:highlight w:val="none"/>
        </w:rPr>
        <w:t>3</w:t>
      </w:r>
      <w:r>
        <w:rPr>
          <w:rFonts w:hint="eastAsia" w:ascii="宋体" w:hAnsi="宋体" w:cs="宋体"/>
          <w:b w:val="0"/>
          <w:bCs/>
          <w:color w:val="auto"/>
          <w:sz w:val="24"/>
          <w:highlight w:val="none"/>
        </w:rPr>
        <w:t>8.4采购人、采购代理机构认为供应商质疑不成立，或者成立但未对中标结果构成影响的，继续开展采购活动；认为供应商质疑成立且影响或者可能影响中标结果的，按照下列情况处理：</w:t>
      </w:r>
    </w:p>
    <w:p>
      <w:pPr>
        <w:pStyle w:val="1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　　（1）对招标文件提出的质疑，依法通过澄清或者修改可以继续开展采购活动的，澄清或者修改招标文件后继续开展采购活动；否则应当修改招标文件后重新开展采购活动。</w:t>
      </w:r>
    </w:p>
    <w:p>
      <w:pPr>
        <w:pStyle w:val="15"/>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　　（2）对采购过程、中标结果提出的质疑，合格供应商符合法定数量时，可以从合格的中标候选人中另行确定中标供应商的，应当依法另行确定中标供应商；否则应当重新开展采购活动。</w:t>
      </w:r>
    </w:p>
    <w:p>
      <w:pPr>
        <w:pStyle w:val="15"/>
        <w:snapToGrid w:val="0"/>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质疑答复导致中标结果改变的，采购人或者采购代理机构应当将有关情况书面报告本级财政部门。</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4" w:name="_八、其他事项"/>
      <w:bookmarkEnd w:id="134"/>
    </w:p>
    <w:p>
      <w:pPr>
        <w:pStyle w:val="15"/>
        <w:snapToGrid w:val="0"/>
        <w:spacing w:line="360" w:lineRule="auto"/>
        <w:ind w:firstLine="480" w:firstLineChars="200"/>
        <w:rPr>
          <w:rFonts w:hAnsi="宋体" w:cs="宋体"/>
          <w:color w:val="auto"/>
          <w:sz w:val="24"/>
          <w:szCs w:val="24"/>
          <w:highlight w:val="none"/>
        </w:rPr>
      </w:pPr>
    </w:p>
    <w:p>
      <w:pPr>
        <w:pStyle w:val="5"/>
        <w:keepNext w:val="0"/>
        <w:keepLines w:val="0"/>
        <w:jc w:val="center"/>
        <w:rPr>
          <w:rFonts w:ascii="宋体" w:hAnsi="宋体" w:cs="宋体"/>
          <w:color w:val="auto"/>
          <w:highlight w:val="none"/>
        </w:rPr>
      </w:pPr>
      <w:r>
        <w:rPr>
          <w:rFonts w:hint="eastAsia" w:ascii="宋体" w:hAnsi="宋体" w:cs="宋体"/>
          <w:color w:val="auto"/>
          <w:highlight w:val="none"/>
        </w:rPr>
        <w:t>八、其他事项</w:t>
      </w:r>
    </w:p>
    <w:p>
      <w:pPr>
        <w:pStyle w:val="7"/>
        <w:keepNext w:val="0"/>
        <w:keepLines w:val="0"/>
        <w:spacing w:before="0" w:after="0" w:line="360" w:lineRule="auto"/>
        <w:ind w:left="420" w:leftChars="200"/>
        <w:rPr>
          <w:rFonts w:ascii="宋体" w:hAnsi="宋体" w:cs="宋体"/>
          <w:color w:val="auto"/>
          <w:sz w:val="24"/>
          <w:highlight w:val="none"/>
        </w:rPr>
      </w:pPr>
      <w:bookmarkStart w:id="135" w:name="_42.代理服务费"/>
      <w:bookmarkEnd w:id="135"/>
      <w:r>
        <w:rPr>
          <w:rFonts w:hint="eastAsia" w:ascii="宋体" w:hAnsi="宋体" w:cs="宋体"/>
          <w:color w:val="auto"/>
          <w:sz w:val="24"/>
          <w:highlight w:val="none"/>
        </w:rPr>
        <w:t>39.代理服务费</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39.1代理服务收取标准及缴费账户详见“投标人须知前附表”，投标人为联合体的，可以由联合体中的一方或者多方共同交纳代理服务费。</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39.2代理服务收费标准：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费率</w:t>
            </w:r>
          </w:p>
          <w:p>
            <w:pPr>
              <w:spacing w:line="360" w:lineRule="auto"/>
              <w:rPr>
                <w:rFonts w:ascii="宋体" w:hAnsi="宋体" w:cs="宋体"/>
                <w:color w:val="auto"/>
                <w:sz w:val="24"/>
                <w:highlight w:val="none"/>
              </w:rPr>
            </w:pPr>
            <w:r>
              <w:rPr>
                <w:rFonts w:hint="eastAsia" w:ascii="宋体" w:hAnsi="宋体" w:cs="宋体"/>
                <w:color w:val="auto"/>
                <w:sz w:val="24"/>
                <w:highlight w:val="none"/>
              </w:rPr>
              <w:t>中标金额</w:t>
            </w:r>
          </w:p>
        </w:tc>
        <w:tc>
          <w:tcPr>
            <w:tcW w:w="1659" w:type="dxa"/>
            <w:vAlign w:val="center"/>
          </w:tcPr>
          <w:p>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8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165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100万元以下</w:t>
            </w:r>
          </w:p>
        </w:tc>
        <w:tc>
          <w:tcPr>
            <w:tcW w:w="165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1687"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1659"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100～500万元</w:t>
            </w:r>
          </w:p>
        </w:tc>
        <w:tc>
          <w:tcPr>
            <w:tcW w:w="1659"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1687"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0.8%</w:t>
            </w:r>
          </w:p>
        </w:tc>
        <w:tc>
          <w:tcPr>
            <w:tcW w:w="1659"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500～1000万元</w:t>
            </w:r>
          </w:p>
        </w:tc>
        <w:tc>
          <w:tcPr>
            <w:tcW w:w="165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0.8%</w:t>
            </w:r>
          </w:p>
        </w:tc>
        <w:tc>
          <w:tcPr>
            <w:tcW w:w="1687"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0.45%</w:t>
            </w:r>
          </w:p>
        </w:tc>
        <w:tc>
          <w:tcPr>
            <w:tcW w:w="1659"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1000～5000万元</w:t>
            </w:r>
          </w:p>
        </w:tc>
        <w:tc>
          <w:tcPr>
            <w:tcW w:w="1659"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0.5%</w:t>
            </w:r>
          </w:p>
        </w:tc>
        <w:tc>
          <w:tcPr>
            <w:tcW w:w="1687"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0.25%</w:t>
            </w:r>
          </w:p>
        </w:tc>
        <w:tc>
          <w:tcPr>
            <w:tcW w:w="1659"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5000万元～1亿元</w:t>
            </w:r>
          </w:p>
        </w:tc>
        <w:tc>
          <w:tcPr>
            <w:tcW w:w="1659"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0.25%</w:t>
            </w:r>
          </w:p>
        </w:tc>
        <w:tc>
          <w:tcPr>
            <w:tcW w:w="1687"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0.1%</w:t>
            </w:r>
          </w:p>
        </w:tc>
        <w:tc>
          <w:tcPr>
            <w:tcW w:w="1659"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kern w:val="0"/>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1～5亿元</w:t>
            </w:r>
          </w:p>
        </w:tc>
        <w:tc>
          <w:tcPr>
            <w:tcW w:w="1659"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0.05%</w:t>
            </w:r>
          </w:p>
        </w:tc>
        <w:tc>
          <w:tcPr>
            <w:tcW w:w="168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0.05%</w:t>
            </w:r>
          </w:p>
        </w:tc>
        <w:tc>
          <w:tcPr>
            <w:tcW w:w="165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5～10亿元</w:t>
            </w:r>
          </w:p>
        </w:tc>
        <w:tc>
          <w:tcPr>
            <w:tcW w:w="1659" w:type="dxa"/>
            <w:vAlign w:val="center"/>
          </w:tcPr>
          <w:p>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0.035%</w:t>
            </w:r>
          </w:p>
        </w:tc>
        <w:tc>
          <w:tcPr>
            <w:tcW w:w="168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0.035%</w:t>
            </w:r>
          </w:p>
        </w:tc>
        <w:tc>
          <w:tcPr>
            <w:tcW w:w="1659" w:type="dxa"/>
            <w:vAlign w:val="center"/>
          </w:tcPr>
          <w:p>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10～50亿元</w:t>
            </w:r>
          </w:p>
        </w:tc>
        <w:tc>
          <w:tcPr>
            <w:tcW w:w="1659" w:type="dxa"/>
            <w:vAlign w:val="center"/>
          </w:tcPr>
          <w:p>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0.008%</w:t>
            </w:r>
          </w:p>
        </w:tc>
        <w:tc>
          <w:tcPr>
            <w:tcW w:w="1687"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0.008%</w:t>
            </w:r>
          </w:p>
        </w:tc>
        <w:tc>
          <w:tcPr>
            <w:tcW w:w="1659" w:type="dxa"/>
            <w:vAlign w:val="center"/>
          </w:tcPr>
          <w:p>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50～100亿元</w:t>
            </w:r>
          </w:p>
        </w:tc>
        <w:tc>
          <w:tcPr>
            <w:tcW w:w="165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0.006%</w:t>
            </w:r>
          </w:p>
        </w:tc>
        <w:tc>
          <w:tcPr>
            <w:tcW w:w="1687"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0.006%</w:t>
            </w:r>
          </w:p>
        </w:tc>
        <w:tc>
          <w:tcPr>
            <w:tcW w:w="1659" w:type="dxa"/>
            <w:vAlign w:val="center"/>
          </w:tcPr>
          <w:p>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100亿以上</w:t>
            </w:r>
          </w:p>
        </w:tc>
        <w:tc>
          <w:tcPr>
            <w:tcW w:w="165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0.004%</w:t>
            </w:r>
          </w:p>
        </w:tc>
        <w:tc>
          <w:tcPr>
            <w:tcW w:w="1687" w:type="dxa"/>
            <w:vAlign w:val="center"/>
          </w:tcPr>
          <w:p>
            <w:pPr>
              <w:spacing w:line="360" w:lineRule="auto"/>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0.004%</w:t>
            </w:r>
          </w:p>
        </w:tc>
        <w:tc>
          <w:tcPr>
            <w:tcW w:w="1659" w:type="dxa"/>
            <w:vAlign w:val="center"/>
          </w:tcPr>
          <w:p>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（1）按本表费率计算的收费为采购代理的收费基准价格；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（2）采购代理收费按差额定率累进法计算。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例如：某货物采购代理业务中标金额或者暂定价为200万元，计算采购代理收费额如下：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100 万元×l.5 ％＝ 1.5 万元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200 － 100 ）万元 ×1.1％＝1.1万元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合计收费＝ 1.5+1.1＝ 2.6 （万元）</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pPr>
        <w:pStyle w:val="15"/>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40.1本招标文件解释规则详见“投标人须知前附表”。</w:t>
      </w:r>
    </w:p>
    <w:p>
      <w:pPr>
        <w:pStyle w:val="15"/>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40.2 其他事项详见“投标人须知前附表”。</w:t>
      </w:r>
    </w:p>
    <w:p>
      <w:pPr>
        <w:pStyle w:val="15"/>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40.3</w:t>
      </w:r>
      <w:bookmarkStart w:id="136" w:name="_Hlk65857140"/>
      <w:r>
        <w:rPr>
          <w:rFonts w:hint="eastAsia" w:hAnsi="宋体" w:cs="宋体"/>
          <w:color w:val="auto"/>
          <w:sz w:val="24"/>
          <w:szCs w:val="24"/>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5"/>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（1）在货物采购项目中，货物由中小企业制造，即货物由中小企业生产且使用该中小企业商号或者注册商标，不对其中涉及的工程承建商和服务的承接商作出要求；</w:t>
      </w:r>
    </w:p>
    <w:p>
      <w:pPr>
        <w:pStyle w:val="15"/>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（2）在工程采购项目中，工程由中小企业承建，即工程施工单位为中小企业，不对其中涉及的货物的制造商和服务的承接商作出要求；</w:t>
      </w:r>
    </w:p>
    <w:p>
      <w:pPr>
        <w:pStyle w:val="15"/>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5"/>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15"/>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依据本招标文件规定享受扶持政策获得政府采购合同的，小微企业不得将合同分包给大中型企业，中型企业不得将合同分包给大型企业。</w:t>
      </w:r>
      <w:bookmarkEnd w:id="136"/>
    </w:p>
    <w:p>
      <w:pPr>
        <w:pStyle w:val="12"/>
        <w:spacing w:line="360" w:lineRule="auto"/>
        <w:ind w:left="579" w:leftChars="114" w:hanging="340" w:hangingChars="100"/>
        <w:rPr>
          <w:rFonts w:hAnsi="宋体" w:cs="宋体"/>
          <w:color w:val="auto"/>
          <w:highlight w:val="none"/>
        </w:rPr>
      </w:pPr>
      <w:r>
        <w:rPr>
          <w:rFonts w:hint="eastAsia" w:hAnsi="宋体" w:cs="宋体"/>
          <w:color w:val="auto"/>
          <w:highlight w:val="none"/>
        </w:rPr>
        <w:br w:type="page"/>
      </w:r>
    </w:p>
    <w:p>
      <w:pPr>
        <w:pStyle w:val="12"/>
        <w:ind w:left="579" w:leftChars="114" w:hanging="340" w:hangingChars="100"/>
        <w:rPr>
          <w:rFonts w:hAnsi="宋体" w:cs="宋体"/>
          <w:color w:val="auto"/>
          <w:highlight w:val="none"/>
        </w:rPr>
      </w:pPr>
    </w:p>
    <w:p>
      <w:pPr>
        <w:pStyle w:val="12"/>
        <w:ind w:left="579" w:leftChars="114" w:hanging="340" w:hangingChars="100"/>
        <w:rPr>
          <w:rFonts w:hAnsi="宋体" w:cs="宋体"/>
          <w:color w:val="auto"/>
          <w:highlight w:val="none"/>
        </w:rPr>
      </w:pPr>
    </w:p>
    <w:p>
      <w:pPr>
        <w:pStyle w:val="12"/>
        <w:ind w:left="579" w:leftChars="114" w:hanging="340" w:hangingChars="100"/>
        <w:rPr>
          <w:rFonts w:hAnsi="宋体" w:cs="宋体"/>
          <w:color w:val="auto"/>
          <w:highlight w:val="none"/>
        </w:rPr>
      </w:pPr>
    </w:p>
    <w:p>
      <w:pPr>
        <w:pStyle w:val="15"/>
        <w:snapToGrid w:val="0"/>
        <w:spacing w:before="120" w:after="120"/>
        <w:rPr>
          <w:rFonts w:hAnsi="宋体" w:cs="宋体"/>
          <w:color w:val="auto"/>
          <w:highlight w:val="none"/>
        </w:rPr>
      </w:pPr>
    </w:p>
    <w:p>
      <w:pPr>
        <w:pStyle w:val="15"/>
        <w:snapToGrid w:val="0"/>
        <w:spacing w:before="120" w:after="120"/>
        <w:rPr>
          <w:rFonts w:hAnsi="宋体" w:cs="宋体"/>
          <w:color w:val="auto"/>
          <w:highlight w:val="none"/>
        </w:rPr>
      </w:pPr>
    </w:p>
    <w:p>
      <w:pPr>
        <w:pStyle w:val="15"/>
        <w:snapToGrid w:val="0"/>
        <w:spacing w:before="120" w:after="120"/>
        <w:rPr>
          <w:rFonts w:hAnsi="宋体" w:cs="宋体"/>
          <w:color w:val="auto"/>
          <w:highlight w:val="none"/>
        </w:rPr>
      </w:pPr>
    </w:p>
    <w:p>
      <w:pPr>
        <w:pStyle w:val="15"/>
        <w:snapToGrid w:val="0"/>
        <w:spacing w:before="120" w:after="120"/>
        <w:rPr>
          <w:rFonts w:hAnsi="宋体" w:cs="宋体"/>
          <w:color w:val="auto"/>
          <w:highlight w:val="none"/>
        </w:rPr>
      </w:pPr>
    </w:p>
    <w:p>
      <w:pPr>
        <w:pStyle w:val="15"/>
        <w:snapToGrid w:val="0"/>
        <w:spacing w:before="120" w:after="120"/>
        <w:rPr>
          <w:rFonts w:hAnsi="宋体" w:cs="宋体"/>
          <w:color w:val="auto"/>
          <w:highlight w:val="none"/>
        </w:rPr>
      </w:pPr>
    </w:p>
    <w:p>
      <w:pPr>
        <w:pStyle w:val="15"/>
        <w:snapToGrid w:val="0"/>
        <w:spacing w:before="120" w:after="120"/>
        <w:rPr>
          <w:rFonts w:hAnsi="宋体" w:cs="宋体"/>
          <w:color w:val="auto"/>
          <w:highlight w:val="none"/>
        </w:rPr>
      </w:pPr>
    </w:p>
    <w:p>
      <w:pPr>
        <w:pStyle w:val="15"/>
        <w:snapToGrid w:val="0"/>
        <w:spacing w:before="120" w:after="120"/>
        <w:rPr>
          <w:rFonts w:hAnsi="宋体" w:cs="宋体"/>
          <w:color w:val="auto"/>
          <w:highlight w:val="none"/>
        </w:rPr>
      </w:pPr>
    </w:p>
    <w:p>
      <w:pPr>
        <w:pStyle w:val="15"/>
        <w:snapToGrid w:val="0"/>
        <w:spacing w:before="120" w:after="120"/>
        <w:rPr>
          <w:rFonts w:hAnsi="宋体" w:cs="宋体"/>
          <w:color w:val="auto"/>
          <w:highlight w:val="none"/>
        </w:rPr>
      </w:pPr>
    </w:p>
    <w:p>
      <w:pPr>
        <w:pStyle w:val="15"/>
        <w:snapToGrid w:val="0"/>
        <w:spacing w:before="120" w:after="120"/>
        <w:rPr>
          <w:rFonts w:hAnsi="宋体" w:cs="宋体"/>
          <w:color w:val="auto"/>
          <w:highlight w:val="none"/>
        </w:rPr>
      </w:pPr>
    </w:p>
    <w:p>
      <w:pPr>
        <w:pStyle w:val="3"/>
        <w:jc w:val="center"/>
        <w:rPr>
          <w:rFonts w:ascii="宋体" w:hAnsi="宋体" w:cs="宋体"/>
          <w:color w:val="auto"/>
          <w:highlight w:val="none"/>
        </w:rPr>
      </w:pPr>
      <w:bookmarkStart w:id="137" w:name="_Toc254970689"/>
      <w:bookmarkStart w:id="138" w:name="_Toc330456896"/>
      <w:bookmarkStart w:id="139" w:name="_Toc74320803"/>
      <w:bookmarkStart w:id="140" w:name="_Toc254970548"/>
      <w:r>
        <w:rPr>
          <w:rFonts w:hint="eastAsia" w:ascii="宋体" w:hAnsi="宋体" w:cs="宋体"/>
          <w:color w:val="auto"/>
          <w:highlight w:val="none"/>
        </w:rPr>
        <w:t>第四章  评标方法及评标标准</w:t>
      </w:r>
      <w:bookmarkEnd w:id="137"/>
      <w:bookmarkEnd w:id="138"/>
      <w:bookmarkEnd w:id="139"/>
      <w:bookmarkEnd w:id="140"/>
    </w:p>
    <w:p>
      <w:pPr>
        <w:pStyle w:val="15"/>
        <w:spacing w:before="120" w:after="120"/>
        <w:outlineLvl w:val="0"/>
        <w:rPr>
          <w:rFonts w:hAnsi="宋体" w:cs="宋体"/>
          <w:b/>
          <w:color w:val="auto"/>
          <w:highlight w:val="none"/>
        </w:rPr>
      </w:pPr>
      <w:bookmarkStart w:id="141" w:name="_Toc254970549"/>
      <w:bookmarkEnd w:id="141"/>
      <w:bookmarkStart w:id="142" w:name="_Toc254970690"/>
      <w:bookmarkEnd w:id="142"/>
    </w:p>
    <w:p>
      <w:pPr>
        <w:pStyle w:val="15"/>
        <w:spacing w:before="120" w:after="120"/>
        <w:outlineLvl w:val="0"/>
        <w:rPr>
          <w:rFonts w:hAnsi="宋体" w:cs="宋体"/>
          <w:bCs/>
          <w:color w:val="auto"/>
          <w:sz w:val="32"/>
          <w:szCs w:val="32"/>
          <w:highlight w:val="none"/>
        </w:rPr>
      </w:pPr>
    </w:p>
    <w:p>
      <w:pPr>
        <w:pStyle w:val="15"/>
        <w:spacing w:before="120" w:after="120"/>
        <w:outlineLvl w:val="0"/>
        <w:rPr>
          <w:rFonts w:hAnsi="宋体" w:cs="宋体"/>
          <w:bCs/>
          <w:color w:val="auto"/>
          <w:sz w:val="32"/>
          <w:szCs w:val="32"/>
          <w:highlight w:val="none"/>
        </w:rPr>
      </w:pPr>
    </w:p>
    <w:p>
      <w:pPr>
        <w:pStyle w:val="15"/>
        <w:spacing w:before="120" w:after="120"/>
        <w:outlineLvl w:val="0"/>
        <w:rPr>
          <w:rFonts w:hAnsi="宋体" w:cs="宋体"/>
          <w:bCs/>
          <w:color w:val="auto"/>
          <w:sz w:val="32"/>
          <w:szCs w:val="32"/>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pStyle w:val="15"/>
        <w:spacing w:line="360" w:lineRule="exact"/>
        <w:rPr>
          <w:rFonts w:hAnsi="宋体" w:cs="宋体"/>
          <w:b/>
          <w:color w:val="auto"/>
          <w:sz w:val="24"/>
          <w:highlight w:val="none"/>
        </w:rPr>
      </w:pPr>
    </w:p>
    <w:p>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color w:val="auto"/>
          <w:sz w:val="30"/>
          <w:szCs w:val="30"/>
          <w:highlight w:val="none"/>
        </w:rPr>
        <w:t>一、评标方法</w:t>
      </w:r>
    </w:p>
    <w:p>
      <w:pPr>
        <w:pStyle w:val="15"/>
        <w:spacing w:line="360" w:lineRule="auto"/>
        <w:ind w:firstLine="420"/>
        <w:rPr>
          <w:rFonts w:hAnsi="宋体" w:cs="宋体"/>
          <w:color w:val="auto"/>
          <w:sz w:val="24"/>
          <w:szCs w:val="24"/>
          <w:highlight w:val="none"/>
        </w:rPr>
      </w:pPr>
      <w:r>
        <w:rPr>
          <w:rFonts w:hint="eastAsia" w:hAnsi="宋体" w:cs="宋体"/>
          <w:color w:val="auto"/>
          <w:sz w:val="24"/>
          <w:szCs w:val="24"/>
          <w:highlight w:val="none"/>
        </w:rPr>
        <w:sym w:font="Wingdings" w:char="00FE"/>
      </w:r>
      <w:r>
        <w:rPr>
          <w:rFonts w:hint="eastAsia" w:hAnsi="宋体" w:cs="宋体"/>
          <w:color w:val="auto"/>
          <w:sz w:val="24"/>
          <w:szCs w:val="24"/>
          <w:highlight w:val="none"/>
        </w:rPr>
        <w:t>综合评分法，是指投标文件满足招标文件全部实质性要求，且按照评审因素的量化指标评审得分最高的投标人为中标候选人的评标方法。</w:t>
      </w:r>
    </w:p>
    <w:p>
      <w:pPr>
        <w:pStyle w:val="15"/>
        <w:spacing w:line="360" w:lineRule="auto"/>
        <w:ind w:firstLine="420"/>
        <w:rPr>
          <w:rFonts w:hAnsi="宋体" w:cs="宋体"/>
          <w:color w:val="auto"/>
          <w:sz w:val="24"/>
          <w:szCs w:val="24"/>
          <w:highlight w:val="none"/>
        </w:rPr>
      </w:pPr>
      <w:r>
        <w:rPr>
          <w:rFonts w:hint="eastAsia" w:hAnsi="宋体" w:cs="宋体"/>
          <w:color w:val="auto"/>
          <w:sz w:val="24"/>
          <w:szCs w:val="24"/>
          <w:highlight w:val="none"/>
        </w:rPr>
        <w:t>最低评标价法，是指投标文件满足招标文件全部实质性要求，且投标报价最低的投标人为中标候选人的评标方法。</w:t>
      </w:r>
    </w:p>
    <w:p>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二、评标程序</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1.符合性审查</w:t>
      </w:r>
    </w:p>
    <w:p>
      <w:pPr>
        <w:pStyle w:val="15"/>
        <w:snapToGrid w:val="0"/>
        <w:spacing w:line="360" w:lineRule="auto"/>
        <w:ind w:left="1" w:firstLine="420"/>
        <w:rPr>
          <w:rFonts w:hAnsi="宋体" w:cs="宋体"/>
          <w:b/>
          <w:color w:val="auto"/>
          <w:kern w:val="2"/>
          <w:sz w:val="24"/>
          <w:szCs w:val="24"/>
          <w:highlight w:val="none"/>
        </w:rPr>
      </w:pPr>
      <w:r>
        <w:rPr>
          <w:rFonts w:hint="eastAsia" w:hAnsi="宋体" w:cs="宋体"/>
          <w:b/>
          <w:color w:val="auto"/>
          <w:kern w:val="2"/>
          <w:sz w:val="24"/>
          <w:szCs w:val="24"/>
          <w:highlight w:val="none"/>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2.符合性审查不通过而导致投标无效的情形</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2.1在报价评审时，如发现下列情形之一的，将被视为投标无效：</w:t>
      </w:r>
    </w:p>
    <w:p>
      <w:pPr>
        <w:pStyle w:val="8"/>
        <w:numPr>
          <w:ilvl w:val="0"/>
          <w:numId w:val="13"/>
        </w:numPr>
        <w:spacing w:line="360" w:lineRule="auto"/>
        <w:ind w:firstLine="422"/>
        <w:rPr>
          <w:rFonts w:ascii="宋体" w:hAnsi="宋体" w:cs="宋体"/>
          <w:b/>
          <w:color w:val="auto"/>
          <w:sz w:val="24"/>
          <w:szCs w:val="24"/>
          <w:highlight w:val="none"/>
        </w:rPr>
      </w:pPr>
      <w:r>
        <w:rPr>
          <w:rFonts w:hint="eastAsia" w:ascii="宋体" w:hAnsi="宋体" w:cs="宋体"/>
          <w:b/>
          <w:color w:val="auto"/>
          <w:spacing w:val="-6"/>
          <w:sz w:val="24"/>
          <w:szCs w:val="24"/>
          <w:highlight w:val="none"/>
        </w:rPr>
        <w:t>报价文件</w:t>
      </w:r>
      <w:r>
        <w:rPr>
          <w:rFonts w:hint="eastAsia" w:ascii="宋体" w:hAnsi="宋体" w:cs="宋体"/>
          <w:b/>
          <w:color w:val="auto"/>
          <w:sz w:val="24"/>
          <w:szCs w:val="24"/>
          <w:highlight w:val="none"/>
        </w:rPr>
        <w:t>未提供“投标人须知前附表”第13.1条规定中“必须提供”的文件资料的；</w:t>
      </w:r>
    </w:p>
    <w:p>
      <w:pPr>
        <w:pStyle w:val="8"/>
        <w:numPr>
          <w:ilvl w:val="0"/>
          <w:numId w:val="13"/>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未采用人民币报价的；</w:t>
      </w:r>
    </w:p>
    <w:p>
      <w:pPr>
        <w:pStyle w:val="8"/>
        <w:numPr>
          <w:ilvl w:val="0"/>
          <w:numId w:val="13"/>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各分标报价超出招标文件相应分标规定最高限价，或者超出相应分标采购预算金额的；</w:t>
      </w:r>
    </w:p>
    <w:p>
      <w:pPr>
        <w:pStyle w:val="8"/>
        <w:numPr>
          <w:ilvl w:val="0"/>
          <w:numId w:val="13"/>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8"/>
        <w:numPr>
          <w:ilvl w:val="0"/>
          <w:numId w:val="13"/>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修正后的报价，投标人不确认的；</w:t>
      </w:r>
    </w:p>
    <w:p>
      <w:pPr>
        <w:pStyle w:val="8"/>
        <w:numPr>
          <w:ilvl w:val="0"/>
          <w:numId w:val="13"/>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投标人属于本章第5.1条（2）或者第5.2条（2）项情形的；</w:t>
      </w:r>
    </w:p>
    <w:p>
      <w:pPr>
        <w:pStyle w:val="8"/>
        <w:numPr>
          <w:ilvl w:val="0"/>
          <w:numId w:val="13"/>
        </w:numPr>
        <w:spacing w:line="360" w:lineRule="auto"/>
        <w:ind w:firstLine="422"/>
        <w:rPr>
          <w:rFonts w:ascii="宋体" w:hAnsi="宋体" w:cs="宋体"/>
          <w:b/>
          <w:color w:val="auto"/>
          <w:sz w:val="24"/>
          <w:szCs w:val="24"/>
          <w:highlight w:val="none"/>
        </w:rPr>
      </w:pPr>
      <w:r>
        <w:rPr>
          <w:rFonts w:hint="eastAsia" w:ascii="宋体" w:hAnsi="宋体" w:cs="宋体"/>
          <w:b/>
          <w:color w:val="auto"/>
          <w:spacing w:val="-6"/>
          <w:sz w:val="24"/>
          <w:szCs w:val="24"/>
          <w:highlight w:val="none"/>
        </w:rPr>
        <w:t>报价文件</w:t>
      </w:r>
      <w:r>
        <w:rPr>
          <w:rFonts w:hint="eastAsia" w:ascii="宋体" w:hAnsi="宋体" w:cs="宋体"/>
          <w:b/>
          <w:color w:val="auto"/>
          <w:sz w:val="24"/>
          <w:szCs w:val="24"/>
          <w:highlight w:val="none"/>
        </w:rPr>
        <w:t>响应的标的数量及单位与招标文件要求实质性不一致的。</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2.2在商务评审时，如发现下列情形之一的，将被视为投标无效：</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投标文件未按招标文件要求签署、盖章的；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委托代理人未能出具有效身份证或者出具的身份证与授权委托书中的信息不符的；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为无效投标保证金的或者未按照招标文件的规定提交投标保证金的；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投标文件未提供“投标人须知前附表”第13.1条规定中“必须提供”或者“委托时必须提供”的文件资料的；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商务要求评审允许负偏离的条款数超过“投标人须知前附表”规定项数的；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投标文件的实质性内容未使用中文表述、使用计量单位不符合招标文件要求的；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投标文件中的文件资料因填写不齐全或者内容虚假或者出现其他情形而导致被评标委员会认定无效的；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属于投标人须知正文第9.2条情形的；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投标文件标注的项目名称或者项目编号与招标文件标注的项目名称或者项目编号不一致的；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招标文件明确不允许分包，投标文件拟分包的；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未响应招标文件实质性要求的；</w:t>
      </w:r>
    </w:p>
    <w:p>
      <w:pPr>
        <w:numPr>
          <w:ilvl w:val="0"/>
          <w:numId w:val="14"/>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法律、法规和招标文件规定的其他无效情形。</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2.3在技术评审时，如发现下列情形之一的，将被视为投标无效：</w:t>
      </w:r>
    </w:p>
    <w:p>
      <w:pPr>
        <w:pStyle w:val="14"/>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（1）技术要求评审允许负偏离的条款数超过“投标人须知前附表”规定项数的；</w:t>
      </w:r>
    </w:p>
    <w:p>
      <w:pPr>
        <w:pStyle w:val="14"/>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（2）投标文件未提供“投标人须知前附表”第13.1条规定中“必须提供”的文件资料的；</w:t>
      </w:r>
    </w:p>
    <w:p>
      <w:pPr>
        <w:pStyle w:val="14"/>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（3）虚假投标，或者出现其他情形而导致被评标委员会认定无效的；</w:t>
      </w:r>
    </w:p>
    <w:p>
      <w:pPr>
        <w:pStyle w:val="14"/>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w:t>
      </w:r>
      <w:bookmarkStart w:id="143" w:name="_Hlk71706244"/>
      <w:r>
        <w:rPr>
          <w:rFonts w:hint="eastAsia" w:ascii="宋体" w:hAnsi="宋体" w:eastAsia="宋体" w:cs="宋体"/>
          <w:b/>
          <w:color w:val="auto"/>
          <w:kern w:val="2"/>
          <w:sz w:val="24"/>
          <w:szCs w:val="24"/>
          <w:highlight w:val="none"/>
        </w:rPr>
        <w:t>招标文件未载明允许提供备选（替代）投标方案或明确不允许提供备选（替代）投标方案时，投标人提供了备选（替代）投标方案的；</w:t>
      </w:r>
      <w:bookmarkEnd w:id="143"/>
    </w:p>
    <w:p>
      <w:pPr>
        <w:pStyle w:val="14"/>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（5）未响应招标文件实质性要求的。</w:t>
      </w:r>
    </w:p>
    <w:p>
      <w:pPr>
        <w:pStyle w:val="14"/>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2.4通过符合性审查的投标人不足3家，评标委员会不得继续评标，并出具评标报告。</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3.澄清补正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4.投标文件修正</w:t>
      </w:r>
    </w:p>
    <w:p>
      <w:pPr>
        <w:pStyle w:val="7"/>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 xml:space="preserve">4.1投标文件报价出现前后不一致的，按照下列规定修正： </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（1）投标文件中开标一览表（报价表）内容与投标文件中相应内容不一致的，以开标一览表（报价表）为准；</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pPr>
        <w:pStyle w:val="1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同时出现两种以上不一致的，按照以上（1）-（4）规定的顺序修正。修正后的报价经投标人确认后产生约束力，投标人不确认的，</w:t>
      </w:r>
      <w:r>
        <w:rPr>
          <w:rFonts w:hint="eastAsia" w:hAnsi="宋体" w:cs="宋体"/>
          <w:b/>
          <w:color w:val="auto"/>
          <w:kern w:val="2"/>
          <w:sz w:val="24"/>
          <w:szCs w:val="24"/>
          <w:highlight w:val="none"/>
        </w:rPr>
        <w:t>其投标无效</w:t>
      </w:r>
      <w:r>
        <w:rPr>
          <w:rFonts w:hint="eastAsia" w:hAnsi="宋体" w:cs="宋体"/>
          <w:color w:val="auto"/>
          <w:sz w:val="24"/>
          <w:szCs w:val="24"/>
          <w:highlight w:val="none"/>
        </w:rPr>
        <w:t>。</w:t>
      </w:r>
    </w:p>
    <w:p>
      <w:pPr>
        <w:pStyle w:val="7"/>
        <w:keepNext w:val="0"/>
        <w:keepLines w:val="0"/>
        <w:spacing w:before="0" w:after="0" w:line="360" w:lineRule="auto"/>
        <w:rPr>
          <w:rFonts w:ascii="宋体" w:hAnsi="宋体" w:cs="宋体"/>
          <w:b w:val="0"/>
          <w:color w:val="auto"/>
          <w:sz w:val="24"/>
          <w:highlight w:val="none"/>
        </w:rPr>
      </w:pPr>
      <w:r>
        <w:rPr>
          <w:rFonts w:hint="eastAsia" w:ascii="宋体" w:hAnsi="宋体" w:cs="宋体"/>
          <w:b w:val="0"/>
          <w:color w:val="auto"/>
          <w:sz w:val="24"/>
          <w:highlight w:val="none"/>
        </w:rPr>
        <w:t xml:space="preserve">    4.2经投标人确认修正后的报价若超过采购预算金额或者最高限价，</w:t>
      </w:r>
      <w:r>
        <w:rPr>
          <w:rFonts w:hint="eastAsia" w:ascii="宋体" w:hAnsi="宋体" w:cs="宋体"/>
          <w:color w:val="auto"/>
          <w:sz w:val="24"/>
          <w:highlight w:val="none"/>
        </w:rPr>
        <w:t>投标人的投标文件作无效投标处理</w:t>
      </w:r>
      <w:r>
        <w:rPr>
          <w:rFonts w:hint="eastAsia" w:ascii="宋体" w:hAnsi="宋体" w:cs="宋体"/>
          <w:b w:val="0"/>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4.3经投标人确认修正后的报价作为签订合同的依据，并以此报价计算价格分。</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5.比较与评价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5.1采用综合评分法的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（1）评标委员会按照招标文件中规定的评标方法及评标标准，对符合性审查合格的投标文件进行商务和技术评估，综合比较与评价。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（2）评标委员会独立对每个投标人的投标文件进行评价，并汇总每个投标人的得分。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 w:val="24"/>
          <w:highlight w:val="none"/>
        </w:rPr>
        <w:t>投标人不能证明其报价合理性的，评标委员会将其作为无效投标处理</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（3）评标委员会按照招标文件中规定的评标方法和标准计算各投标人的报价得分。在计算过程中，不得去掉最高报价或者最低报价。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（4）各投标人的得分为所有评委的有效评分的算术平均数。</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（5）评标委员会按照招标文件中的规定推荐中标候选人。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5.2采用</w:t>
      </w:r>
      <w:r>
        <w:rPr>
          <w:rFonts w:hint="eastAsia" w:ascii="宋体" w:hAnsi="宋体" w:cs="宋体"/>
          <w:color w:val="auto"/>
          <w:sz w:val="24"/>
          <w:szCs w:val="32"/>
          <w:highlight w:val="none"/>
        </w:rPr>
        <w:t>最低评标价法</w:t>
      </w:r>
      <w:r>
        <w:rPr>
          <w:rFonts w:hint="eastAsia" w:ascii="宋体" w:hAnsi="宋体" w:cs="宋体"/>
          <w:color w:val="auto"/>
          <w:sz w:val="24"/>
          <w:highlight w:val="none"/>
        </w:rPr>
        <w:t>的</w:t>
      </w:r>
    </w:p>
    <w:p>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（1）评标委员会按照招标文件中规定的评标方法及评标标准，对符合性审查合格的投标文件报价进行比较。</w:t>
      </w:r>
    </w:p>
    <w:p>
      <w:pPr>
        <w:snapToGrid w:val="0"/>
        <w:spacing w:line="360" w:lineRule="auto"/>
        <w:ind w:firstLine="460" w:firstLineChars="202"/>
        <w:jc w:val="left"/>
        <w:rPr>
          <w:rFonts w:ascii="宋体" w:hAnsi="宋体" w:cs="宋体"/>
          <w:color w:val="auto"/>
          <w:spacing w:val="-6"/>
          <w:sz w:val="24"/>
          <w:highlight w:val="none"/>
        </w:rPr>
      </w:pPr>
      <w:r>
        <w:rPr>
          <w:rFonts w:hint="eastAsia" w:ascii="宋体" w:hAnsi="宋体" w:cs="宋体"/>
          <w:color w:val="auto"/>
          <w:spacing w:val="-6"/>
          <w:sz w:val="24"/>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pacing w:val="-6"/>
          <w:sz w:val="24"/>
          <w:highlight w:val="none"/>
        </w:rPr>
        <w:t>投标人不能证明其报价合理性的，评标委员会将其作为无效投标处理</w:t>
      </w:r>
      <w:r>
        <w:rPr>
          <w:rFonts w:hint="eastAsia" w:ascii="宋体" w:hAnsi="宋体" w:cs="宋体"/>
          <w:color w:val="auto"/>
          <w:spacing w:val="-6"/>
          <w:sz w:val="24"/>
          <w:highlight w:val="none"/>
        </w:rPr>
        <w:t>。</w:t>
      </w:r>
    </w:p>
    <w:p>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（3）评标委员会按照招标文件中的规定推荐中标候选人。</w:t>
      </w:r>
    </w:p>
    <w:p>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三、评标标准</w:t>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综合评分法</w:t>
      </w:r>
    </w:p>
    <w:p>
      <w:pPr>
        <w:pStyle w:val="15"/>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注：1.计分方法按四舍五入取至百分位；</w:t>
      </w:r>
    </w:p>
    <w:p>
      <w:pPr>
        <w:rPr>
          <w:color w:val="auto"/>
          <w:highlight w:val="none"/>
        </w:rPr>
      </w:pPr>
      <w:r>
        <w:rPr>
          <w:rFonts w:hint="eastAsia" w:hAnsi="宋体" w:cs="宋体"/>
          <w:bCs/>
          <w:color w:val="auto"/>
          <w:sz w:val="24"/>
          <w:highlight w:val="none"/>
        </w:rPr>
        <w:t xml:space="preserve">    2.因落实政府采购政策进行价格调整的，以调整后的价格计算评标基准价和投标报价。</w:t>
      </w:r>
    </w:p>
    <w:p>
      <w:pPr>
        <w:pStyle w:val="31"/>
        <w:rPr>
          <w:color w:val="auto"/>
          <w:highlight w:val="none"/>
        </w:rPr>
      </w:pP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87"/>
        <w:gridCol w:w="1200"/>
        <w:gridCol w:w="6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43" w:type="dxa"/>
            <w:gridSpan w:val="2"/>
            <w:vAlign w:val="center"/>
          </w:tcPr>
          <w:p>
            <w:pPr>
              <w:adjustRightInd w:val="0"/>
              <w:spacing w:line="360" w:lineRule="auto"/>
              <w:jc w:val="center"/>
              <w:textAlignment w:val="baseline"/>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00" w:type="dxa"/>
            <w:vAlign w:val="center"/>
          </w:tcPr>
          <w:p>
            <w:pPr>
              <w:adjustRightInd w:val="0"/>
              <w:spacing w:line="360" w:lineRule="auto"/>
              <w:jc w:val="center"/>
              <w:textAlignment w:val="baseline"/>
              <w:rPr>
                <w:rFonts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6157" w:type="dxa"/>
            <w:vAlign w:val="center"/>
          </w:tcPr>
          <w:p>
            <w:pPr>
              <w:adjustRightInd w:val="0"/>
              <w:spacing w:line="360" w:lineRule="auto"/>
              <w:jc w:val="center"/>
              <w:textAlignment w:val="baseline"/>
              <w:rPr>
                <w:rFonts w:ascii="宋体" w:hAnsi="宋体" w:eastAsia="宋体" w:cs="宋体"/>
                <w:b/>
                <w:color w:val="auto"/>
                <w:sz w:val="24"/>
                <w:highlight w:val="none"/>
              </w:rPr>
            </w:pPr>
            <w:r>
              <w:rPr>
                <w:rFonts w:hint="eastAsia" w:ascii="宋体" w:hAnsi="宋体" w:eastAsia="宋体" w:cs="宋体"/>
                <w:b/>
                <w:color w:val="auto"/>
                <w:sz w:val="24"/>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jc w:val="center"/>
        </w:trPr>
        <w:tc>
          <w:tcPr>
            <w:tcW w:w="456" w:type="dxa"/>
            <w:vAlign w:val="center"/>
          </w:tcPr>
          <w:p>
            <w:pPr>
              <w:adjustRightInd w:val="0"/>
              <w:spacing w:line="360" w:lineRule="auto"/>
              <w:jc w:val="center"/>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187" w:type="dxa"/>
            <w:vAlign w:val="center"/>
          </w:tcPr>
          <w:p>
            <w:pPr>
              <w:adjustRightInd w:val="0"/>
              <w:spacing w:line="360" w:lineRule="auto"/>
              <w:jc w:val="center"/>
              <w:textAlignment w:val="baseline"/>
              <w:rPr>
                <w:rFonts w:ascii="宋体" w:hAnsi="宋体" w:eastAsia="宋体" w:cs="宋体"/>
                <w:b/>
                <w:bCs/>
                <w:color w:val="auto"/>
                <w:sz w:val="24"/>
                <w:highlight w:val="none"/>
              </w:rPr>
            </w:pPr>
            <w:r>
              <w:rPr>
                <w:rFonts w:hint="eastAsia" w:ascii="宋体" w:hAnsi="宋体" w:eastAsia="宋体" w:cs="宋体"/>
                <w:b/>
                <w:bCs/>
                <w:color w:val="auto"/>
                <w:sz w:val="24"/>
                <w:highlight w:val="none"/>
              </w:rPr>
              <w:t>价格分</w:t>
            </w:r>
          </w:p>
          <w:p>
            <w:pPr>
              <w:adjustRightInd w:val="0"/>
              <w:spacing w:line="360" w:lineRule="auto"/>
              <w:jc w:val="center"/>
              <w:textAlignment w:val="baseline"/>
              <w:rPr>
                <w:rFonts w:ascii="宋体" w:hAnsi="宋体" w:eastAsia="宋体" w:cs="宋体"/>
                <w:b/>
                <w:bCs/>
                <w:color w:val="auto"/>
                <w:sz w:val="24"/>
                <w:highlight w:val="none"/>
              </w:rPr>
            </w:pPr>
            <w:r>
              <w:rPr>
                <w:rFonts w:hint="eastAsia" w:ascii="宋体" w:hAnsi="宋体" w:eastAsia="宋体" w:cs="宋体"/>
                <w:b/>
                <w:bCs/>
                <w:color w:val="auto"/>
                <w:sz w:val="24"/>
                <w:highlight w:val="none"/>
              </w:rPr>
              <w:t>（满分</w:t>
            </w:r>
            <w:r>
              <w:rPr>
                <w:rFonts w:hint="eastAsia" w:ascii="宋体" w:hAnsi="宋体" w:eastAsia="宋体" w:cs="宋体"/>
                <w:b/>
                <w:bCs/>
                <w:color w:val="auto"/>
                <w:sz w:val="24"/>
                <w:highlight w:val="none"/>
                <w:u w:val="single"/>
              </w:rPr>
              <w:t>3</w:t>
            </w:r>
            <w:r>
              <w:rPr>
                <w:rFonts w:hint="eastAsia" w:ascii="宋体" w:hAnsi="宋体" w:eastAsia="宋体" w:cs="宋体"/>
                <w:b/>
                <w:bCs/>
                <w:color w:val="auto"/>
                <w:sz w:val="24"/>
                <w:highlight w:val="none"/>
                <w:u w:val="single"/>
                <w:lang w:val="en-US" w:eastAsia="zh-CN"/>
              </w:rPr>
              <w:t>5</w:t>
            </w:r>
            <w:r>
              <w:rPr>
                <w:rFonts w:hint="eastAsia" w:ascii="宋体" w:hAnsi="宋体" w:eastAsia="宋体" w:cs="宋体"/>
                <w:b/>
                <w:bCs/>
                <w:color w:val="auto"/>
                <w:sz w:val="24"/>
                <w:highlight w:val="none"/>
              </w:rPr>
              <w:t>分）</w:t>
            </w:r>
          </w:p>
        </w:tc>
        <w:tc>
          <w:tcPr>
            <w:tcW w:w="1200" w:type="dxa"/>
            <w:vAlign w:val="center"/>
          </w:tcPr>
          <w:p>
            <w:pPr>
              <w:adjustRightInd w:val="0"/>
              <w:spacing w:line="360" w:lineRule="auto"/>
              <w:jc w:val="center"/>
              <w:textAlignment w:val="baseline"/>
              <w:rPr>
                <w:rFonts w:ascii="宋体" w:hAnsi="宋体" w:eastAsia="宋体" w:cs="宋体"/>
                <w:b/>
                <w:bCs/>
                <w:color w:val="auto"/>
                <w:sz w:val="24"/>
                <w:highlight w:val="none"/>
              </w:rPr>
            </w:pPr>
            <w:r>
              <w:rPr>
                <w:rFonts w:hint="eastAsia" w:ascii="宋体" w:hAnsi="宋体" w:eastAsia="宋体" w:cs="宋体"/>
                <w:b/>
                <w:bCs/>
                <w:color w:val="auto"/>
                <w:sz w:val="24"/>
                <w:highlight w:val="none"/>
              </w:rPr>
              <w:t>投标报价</w:t>
            </w:r>
          </w:p>
        </w:tc>
        <w:tc>
          <w:tcPr>
            <w:tcW w:w="6157" w:type="dxa"/>
            <w:vAlign w:val="center"/>
          </w:tcPr>
          <w:p>
            <w:pPr>
              <w:snapToGrid w:val="0"/>
              <w:spacing w:line="360" w:lineRule="auto"/>
              <w:ind w:firstLine="266" w:firstLineChars="11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（1）评标报价为投标人的投标报价进行政策性扣除后的价格，评标报价只是作为评标时使用。最终中标人的中标金额等于投标报价。</w:t>
            </w:r>
          </w:p>
          <w:p>
            <w:pPr>
              <w:snapToGrid w:val="0"/>
              <w:spacing w:line="360" w:lineRule="auto"/>
              <w:ind w:firstLine="266" w:firstLineChars="11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（2）政策性扣除计算方法。</w:t>
            </w:r>
          </w:p>
          <w:p>
            <w:pPr>
              <w:snapToGrid w:val="0"/>
              <w:spacing w:line="360" w:lineRule="auto"/>
              <w:ind w:firstLine="266" w:firstLineChars="11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政府采购促进中小企业发展管理办法》的规定，投标人属于《政府采购促进中小企业发展管理办法》及《广西壮族自治区财政厅关于进一步发挥政府采购政策功能促进企业发展的通知》（桂财采〔2022〕30号）规定的小微企业的，对投标报价给予20%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pPr>
              <w:snapToGrid w:val="0"/>
              <w:spacing w:line="360" w:lineRule="auto"/>
              <w:ind w:firstLine="266" w:firstLineChars="11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snapToGrid w:val="0"/>
              <w:spacing w:line="360" w:lineRule="auto"/>
              <w:ind w:firstLine="266" w:firstLineChars="11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ind w:firstLine="266" w:firstLineChars="11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（5）满足招标文件要求且评标报价最低的评标报价为评标基准价，其价格分为满分。</w:t>
            </w:r>
          </w:p>
          <w:p>
            <w:pPr>
              <w:snapToGrid w:val="0"/>
              <w:spacing w:line="360" w:lineRule="auto"/>
              <w:ind w:firstLine="266" w:firstLineChars="11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（6）价格分计算公式：        </w:t>
            </w:r>
          </w:p>
          <w:p>
            <w:pPr>
              <w:snapToGrid w:val="0"/>
              <w:spacing w:line="360" w:lineRule="auto"/>
              <w:ind w:firstLine="266" w:firstLineChars="11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价格分=（评标基准价／评标报价）×3</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pPr>
              <w:adjustRightInd w:val="0"/>
              <w:snapToGrid w:val="0"/>
              <w:spacing w:line="360" w:lineRule="auto"/>
              <w:jc w:val="center"/>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187" w:type="dxa"/>
            <w:vMerge w:val="restart"/>
            <w:vAlign w:val="center"/>
          </w:tcPr>
          <w:p>
            <w:pPr>
              <w:adjustRightInd w:val="0"/>
              <w:snapToGrid w:val="0"/>
              <w:spacing w:line="360" w:lineRule="auto"/>
              <w:ind w:left="-105" w:leftChars="-50" w:right="-105" w:rightChars="-50"/>
              <w:jc w:val="center"/>
              <w:textAlignment w:val="baseline"/>
              <w:rPr>
                <w:rFonts w:ascii="宋体" w:hAnsi="宋体" w:eastAsia="宋体" w:cs="宋体"/>
                <w:b/>
                <w:bCs/>
                <w:color w:val="auto"/>
                <w:sz w:val="24"/>
                <w:highlight w:val="none"/>
              </w:rPr>
            </w:pPr>
            <w:r>
              <w:rPr>
                <w:rFonts w:hint="eastAsia" w:ascii="宋体" w:hAnsi="宋体" w:eastAsia="宋体" w:cs="宋体"/>
                <w:b/>
                <w:bCs/>
                <w:color w:val="auto"/>
                <w:sz w:val="24"/>
                <w:highlight w:val="none"/>
              </w:rPr>
              <w:t>技术分</w:t>
            </w:r>
          </w:p>
          <w:p>
            <w:pPr>
              <w:adjustRightInd w:val="0"/>
              <w:snapToGrid w:val="0"/>
              <w:spacing w:line="360" w:lineRule="auto"/>
              <w:ind w:left="-105" w:leftChars="-50" w:right="-105" w:rightChars="-50"/>
              <w:jc w:val="center"/>
              <w:textAlignment w:val="baseline"/>
              <w:rPr>
                <w:rFonts w:ascii="宋体" w:hAnsi="宋体" w:eastAsia="宋体" w:cs="宋体"/>
                <w:b/>
                <w:color w:val="auto"/>
                <w:spacing w:val="-18"/>
                <w:sz w:val="24"/>
                <w:highlight w:val="none"/>
              </w:rPr>
            </w:pP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满分</w:t>
            </w:r>
            <w:r>
              <w:rPr>
                <w:rFonts w:hint="eastAsia" w:ascii="宋体" w:hAnsi="宋体" w:eastAsia="宋体" w:cs="宋体"/>
                <w:b/>
                <w:color w:val="auto"/>
                <w:sz w:val="24"/>
                <w:highlight w:val="none"/>
                <w:u w:val="single"/>
                <w:lang w:val="en-US" w:eastAsia="zh-CN"/>
              </w:rPr>
              <w:t>46</w:t>
            </w:r>
            <w:r>
              <w:rPr>
                <w:rFonts w:hint="eastAsia" w:ascii="宋体" w:hAnsi="宋体" w:eastAsia="宋体" w:cs="宋体"/>
                <w:b/>
                <w:color w:val="auto"/>
                <w:sz w:val="24"/>
                <w:highlight w:val="none"/>
              </w:rPr>
              <w:t>分</w:t>
            </w:r>
            <w:r>
              <w:rPr>
                <w:rFonts w:hint="eastAsia" w:ascii="宋体" w:hAnsi="宋体" w:eastAsia="宋体" w:cs="宋体"/>
                <w:b/>
                <w:bCs/>
                <w:color w:val="auto"/>
                <w:sz w:val="24"/>
                <w:highlight w:val="none"/>
              </w:rPr>
              <w:t>）</w:t>
            </w:r>
          </w:p>
        </w:tc>
        <w:tc>
          <w:tcPr>
            <w:tcW w:w="1200" w:type="dxa"/>
            <w:vAlign w:val="center"/>
          </w:tcPr>
          <w:p>
            <w:pPr>
              <w:widowControl/>
              <w:spacing w:line="360" w:lineRule="auto"/>
              <w:jc w:val="center"/>
              <w:rPr>
                <w:rFonts w:ascii="宋体" w:hAnsi="宋体" w:eastAsia="宋体" w:cs="宋体"/>
                <w:b/>
                <w:color w:val="auto"/>
                <w:sz w:val="24"/>
                <w:szCs w:val="24"/>
                <w:highlight w:val="none"/>
              </w:rPr>
            </w:pPr>
            <w:r>
              <w:rPr>
                <w:rFonts w:hint="default" w:ascii="宋体" w:hAnsi="宋体" w:eastAsia="宋体" w:cs="宋体"/>
                <w:b/>
                <w:color w:val="auto"/>
                <w:kern w:val="0"/>
                <w:sz w:val="24"/>
                <w:szCs w:val="24"/>
                <w:highlight w:val="none"/>
                <w:lang w:val="en-US"/>
              </w:rPr>
              <w:t>项目实施</w:t>
            </w:r>
            <w:r>
              <w:rPr>
                <w:rFonts w:hint="eastAsia" w:ascii="宋体" w:hAnsi="宋体" w:eastAsia="宋体" w:cs="宋体"/>
                <w:b/>
                <w:color w:val="auto"/>
                <w:kern w:val="0"/>
                <w:sz w:val="24"/>
                <w:szCs w:val="24"/>
                <w:highlight w:val="none"/>
              </w:rPr>
              <w:t>方案</w:t>
            </w:r>
          </w:p>
          <w:p>
            <w:pPr>
              <w:widowControl/>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（满分1</w:t>
            </w:r>
            <w:r>
              <w:rPr>
                <w:rFonts w:hint="eastAsia" w:ascii="宋体" w:hAnsi="宋体" w:eastAsia="宋体" w:cs="宋体"/>
                <w:b/>
                <w:color w:val="auto"/>
                <w:kern w:val="0"/>
                <w:sz w:val="24"/>
                <w:szCs w:val="24"/>
                <w:highlight w:val="none"/>
                <w:lang w:val="en-US" w:eastAsia="zh-CN"/>
              </w:rPr>
              <w:t>8</w:t>
            </w:r>
            <w:r>
              <w:rPr>
                <w:rFonts w:hint="eastAsia" w:ascii="宋体" w:hAnsi="宋体" w:eastAsia="宋体" w:cs="宋体"/>
                <w:b/>
                <w:color w:val="auto"/>
                <w:kern w:val="0"/>
                <w:sz w:val="24"/>
                <w:szCs w:val="24"/>
                <w:highlight w:val="none"/>
              </w:rPr>
              <w:t>分）</w:t>
            </w:r>
          </w:p>
        </w:tc>
        <w:tc>
          <w:tcPr>
            <w:tcW w:w="6157" w:type="dxa"/>
            <w:vAlign w:val="center"/>
          </w:tcPr>
          <w:p>
            <w:pPr>
              <w:pStyle w:val="21"/>
              <w:keepNext w:val="0"/>
              <w:keepLines w:val="0"/>
              <w:widowControl/>
              <w:suppressLineNumbers w:val="0"/>
              <w:spacing w:before="0" w:beforeAutospacing="0" w:after="0" w:afterAutospacing="0" w:line="360" w:lineRule="auto"/>
              <w:ind w:right="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档（6分）：提供详细的项目设计思路、关键里程碑等做描述详细，供货方案、施工方案、安装调试计划、进度计划及保障措施、验收方案，进度时间要求具体到天和人员配置。机具、材料、劳务团队进退场计划合理、安全和文明施工方案详细科学。</w:t>
            </w:r>
            <w:r>
              <w:rPr>
                <w:rFonts w:hint="default" w:ascii="宋体" w:hAnsi="宋体" w:eastAsia="宋体" w:cs="宋体"/>
                <w:bCs/>
                <w:color w:val="auto"/>
                <w:kern w:val="2"/>
                <w:sz w:val="24"/>
                <w:szCs w:val="24"/>
                <w:highlight w:val="none"/>
                <w:lang w:val="en-US" w:eastAsia="zh-CN" w:bidi="ar-SA"/>
              </w:rPr>
              <w:t>提供核心产品采用的规范标准及优势说明，承诺100％端口检测率实作一次合格率达100％，线缆和端口、设备标签粘贴率100％。</w:t>
            </w:r>
          </w:p>
          <w:p>
            <w:pPr>
              <w:pStyle w:val="21"/>
              <w:keepNext w:val="0"/>
              <w:keepLines w:val="0"/>
              <w:widowControl/>
              <w:suppressLineNumbers w:val="0"/>
              <w:spacing w:before="0" w:beforeAutospacing="0" w:after="0" w:afterAutospacing="0" w:line="360" w:lineRule="auto"/>
              <w:ind w:right="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档（12分）：在满足一档的基础上，方案能对项目建设总体目标、各系统功能、技术实现方式和措施和流程进行正确的描述，从土建、装修和本项目实施的节点进行详细分析，编制货物安装过程中与土建项目、装修工程的配合与对接方案，并编制交叉施工质量进度保障措施。</w:t>
            </w:r>
            <w:r>
              <w:rPr>
                <w:rFonts w:hint="default" w:ascii="宋体" w:hAnsi="宋体" w:eastAsia="宋体" w:cs="宋体"/>
                <w:bCs/>
                <w:color w:val="auto"/>
                <w:kern w:val="2"/>
                <w:sz w:val="24"/>
                <w:szCs w:val="24"/>
                <w:highlight w:val="none"/>
                <w:lang w:val="en-US" w:eastAsia="zh-CN" w:bidi="ar-SA"/>
              </w:rPr>
              <w:t>提供的线缆和端口根据不同网络采用不同的颜色线缆和端口进行区分</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en-US" w:eastAsia="zh-CN" w:bidi="ar-SA"/>
              </w:rPr>
              <w:t>标签用颜色区分不同网络</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en-US" w:eastAsia="zh-CN" w:bidi="ar-SA"/>
              </w:rPr>
              <w:t>承诺100％端口检测率分别在安装时和验收前各检测一次及以上合格率达100％，线缆和端口、设备标签粘贴率100％。</w:t>
            </w:r>
          </w:p>
          <w:p>
            <w:pPr>
              <w:pStyle w:val="21"/>
              <w:keepNext w:val="0"/>
              <w:keepLines w:val="0"/>
              <w:widowControl/>
              <w:suppressLineNumbers w:val="0"/>
              <w:spacing w:before="0" w:beforeAutospacing="0" w:after="0" w:afterAutospacing="0" w:line="360" w:lineRule="auto"/>
              <w:ind w:right="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三档（18分）：在满足上二档的基础上，科学分析汇总项目建设过程的难点和重点，编制难重点专项实施方案；</w:t>
            </w:r>
            <w:r>
              <w:rPr>
                <w:rFonts w:hint="default" w:ascii="宋体" w:hAnsi="宋体" w:eastAsia="宋体" w:cs="宋体"/>
                <w:bCs/>
                <w:color w:val="auto"/>
                <w:kern w:val="2"/>
                <w:sz w:val="24"/>
                <w:szCs w:val="24"/>
                <w:highlight w:val="none"/>
                <w:lang w:val="en-US" w:eastAsia="zh-CN" w:bidi="ar-SA"/>
              </w:rPr>
              <w:t>分析不同走线方法优缺点及注意事项，</w:t>
            </w:r>
            <w:r>
              <w:rPr>
                <w:rFonts w:hint="eastAsia" w:ascii="宋体" w:hAnsi="宋体" w:eastAsia="宋体" w:cs="宋体"/>
                <w:bCs/>
                <w:color w:val="auto"/>
                <w:kern w:val="2"/>
                <w:sz w:val="24"/>
                <w:szCs w:val="24"/>
                <w:highlight w:val="none"/>
                <w:lang w:val="en-US" w:eastAsia="zh-CN" w:bidi="ar-SA"/>
              </w:rPr>
              <w:t>提供假如</w:t>
            </w:r>
            <w:r>
              <w:rPr>
                <w:rFonts w:hint="default" w:ascii="宋体" w:hAnsi="宋体" w:eastAsia="宋体" w:cs="宋体"/>
                <w:bCs/>
                <w:color w:val="auto"/>
                <w:kern w:val="2"/>
                <w:sz w:val="24"/>
                <w:szCs w:val="24"/>
                <w:highlight w:val="none"/>
                <w:lang w:val="en-US" w:eastAsia="zh-CN" w:bidi="ar-SA"/>
              </w:rPr>
              <w:t>在二期建设中配合并提供不足端口时借用其他网络</w:t>
            </w:r>
            <w:r>
              <w:rPr>
                <w:rFonts w:hint="eastAsia" w:ascii="宋体" w:hAnsi="宋体" w:eastAsia="宋体" w:cs="宋体"/>
                <w:bCs/>
                <w:color w:val="auto"/>
                <w:kern w:val="2"/>
                <w:sz w:val="24"/>
                <w:szCs w:val="24"/>
                <w:highlight w:val="none"/>
                <w:lang w:val="en-US" w:eastAsia="zh-CN" w:bidi="ar-SA"/>
              </w:rPr>
              <w:t>冗</w:t>
            </w:r>
            <w:r>
              <w:rPr>
                <w:rFonts w:hint="default" w:ascii="宋体" w:hAnsi="宋体" w:eastAsia="宋体" w:cs="宋体"/>
                <w:bCs/>
                <w:color w:val="auto"/>
                <w:kern w:val="2"/>
                <w:sz w:val="24"/>
                <w:szCs w:val="24"/>
                <w:highlight w:val="none"/>
                <w:lang w:val="en-US" w:eastAsia="zh-CN" w:bidi="ar-SA"/>
              </w:rPr>
              <w:t>余端口的方案，总结曾经历过的经验教训</w:t>
            </w:r>
            <w:r>
              <w:rPr>
                <w:rFonts w:hint="eastAsia" w:ascii="宋体" w:hAnsi="宋体" w:eastAsia="宋体" w:cs="宋体"/>
                <w:bCs/>
                <w:color w:val="auto"/>
                <w:kern w:val="2"/>
                <w:sz w:val="24"/>
                <w:szCs w:val="24"/>
                <w:highlight w:val="none"/>
                <w:lang w:val="en-US" w:eastAsia="zh-CN" w:bidi="ar-SA"/>
              </w:rPr>
              <w:t>，编制本项目建设的合理优化建议和突发情况下的应急预案等。</w:t>
            </w:r>
            <w:r>
              <w:rPr>
                <w:rFonts w:hint="default" w:ascii="宋体" w:hAnsi="宋体" w:eastAsia="宋体" w:cs="宋体"/>
                <w:bCs/>
                <w:color w:val="auto"/>
                <w:kern w:val="2"/>
                <w:sz w:val="24"/>
                <w:szCs w:val="24"/>
                <w:highlight w:val="none"/>
                <w:lang w:val="en-US" w:eastAsia="zh-CN" w:bidi="ar-SA"/>
              </w:rPr>
              <w:t>提供线、头、口制作工艺及分析优缺点，分析所供产品容易出现的故障点、原因、故障率等及排除方法</w:t>
            </w:r>
            <w:r>
              <w:rPr>
                <w:rFonts w:hint="eastAsia" w:ascii="宋体" w:hAnsi="宋体" w:eastAsia="宋体" w:cs="宋体"/>
                <w:bCs/>
                <w:color w:val="auto"/>
                <w:kern w:val="2"/>
                <w:sz w:val="24"/>
                <w:szCs w:val="24"/>
                <w:highlight w:val="none"/>
                <w:lang w:val="en-US" w:eastAsia="zh-CN" w:bidi="ar-SA"/>
              </w:rPr>
              <w:t>。</w:t>
            </w:r>
          </w:p>
          <w:p>
            <w:pPr>
              <w:pStyle w:val="21"/>
              <w:keepNext w:val="0"/>
              <w:keepLines w:val="0"/>
              <w:widowControl/>
              <w:suppressLineNumbers w:val="0"/>
              <w:spacing w:before="0" w:beforeAutospacing="0" w:after="0" w:afterAutospacing="0" w:line="360" w:lineRule="auto"/>
              <w:ind w:right="0"/>
              <w:rPr>
                <w:rFonts w:hint="eastAsia"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方案中须提供投标人加盖公章和法定代表人签字的承诺函，未提供或不满足上述评分档的不得分。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adjustRightInd w:val="0"/>
              <w:snapToGrid w:val="0"/>
              <w:spacing w:line="360" w:lineRule="auto"/>
              <w:jc w:val="center"/>
              <w:textAlignment w:val="baseline"/>
              <w:rPr>
                <w:rFonts w:ascii="宋体" w:hAnsi="宋体" w:eastAsia="宋体" w:cs="宋体"/>
                <w:color w:val="auto"/>
                <w:sz w:val="24"/>
                <w:highlight w:val="none"/>
              </w:rPr>
            </w:pPr>
          </w:p>
        </w:tc>
        <w:tc>
          <w:tcPr>
            <w:tcW w:w="1187" w:type="dxa"/>
            <w:vMerge w:val="continue"/>
            <w:vAlign w:val="center"/>
          </w:tcPr>
          <w:p>
            <w:pPr>
              <w:adjustRightInd w:val="0"/>
              <w:snapToGrid w:val="0"/>
              <w:spacing w:line="360" w:lineRule="auto"/>
              <w:ind w:left="-105" w:leftChars="-50" w:right="-105" w:rightChars="-50"/>
              <w:jc w:val="center"/>
              <w:textAlignment w:val="baseline"/>
              <w:rPr>
                <w:rFonts w:ascii="宋体" w:hAnsi="宋体" w:eastAsia="宋体" w:cs="宋体"/>
                <w:b/>
                <w:bCs/>
                <w:color w:val="auto"/>
                <w:sz w:val="24"/>
                <w:highlight w:val="none"/>
              </w:rPr>
            </w:pPr>
          </w:p>
        </w:tc>
        <w:tc>
          <w:tcPr>
            <w:tcW w:w="1200" w:type="dxa"/>
            <w:vAlign w:val="center"/>
          </w:tcPr>
          <w:p>
            <w:pPr>
              <w:widowControl/>
              <w:snapToGrid w:val="0"/>
              <w:spacing w:line="360" w:lineRule="auto"/>
              <w:jc w:val="center"/>
              <w:rPr>
                <w:rFonts w:ascii="宋体" w:hAnsi="宋体" w:eastAsia="宋体" w:cs="宋体"/>
                <w:b/>
                <w:color w:val="auto"/>
                <w:kern w:val="0"/>
                <w:sz w:val="24"/>
                <w:highlight w:val="none"/>
              </w:rPr>
            </w:pPr>
            <w:r>
              <w:rPr>
                <w:rFonts w:hint="eastAsia" w:ascii="宋体" w:hAnsi="宋体" w:eastAsia="宋体" w:cs="宋体"/>
                <w:b/>
                <w:color w:val="auto"/>
                <w:sz w:val="24"/>
                <w:highlight w:val="none"/>
              </w:rPr>
              <w:t>项目团队人员配置分</w:t>
            </w:r>
            <w:r>
              <w:rPr>
                <w:rFonts w:hint="eastAsia" w:ascii="宋体" w:hAnsi="宋体" w:eastAsia="宋体" w:cs="宋体"/>
                <w:b/>
                <w:color w:val="auto"/>
                <w:kern w:val="0"/>
                <w:sz w:val="24"/>
                <w:highlight w:val="none"/>
              </w:rPr>
              <w:t>（满分</w:t>
            </w:r>
            <w:r>
              <w:rPr>
                <w:rFonts w:hint="eastAsia" w:ascii="宋体" w:hAnsi="宋体" w:eastAsia="宋体" w:cs="宋体"/>
                <w:b/>
                <w:color w:val="auto"/>
                <w:kern w:val="0"/>
                <w:sz w:val="24"/>
                <w:highlight w:val="none"/>
                <w:lang w:val="en-US" w:eastAsia="zh-CN"/>
              </w:rPr>
              <w:t>20</w:t>
            </w:r>
            <w:r>
              <w:rPr>
                <w:rFonts w:hint="eastAsia" w:ascii="宋体" w:hAnsi="宋体" w:eastAsia="宋体" w:cs="宋体"/>
                <w:b/>
                <w:color w:val="auto"/>
                <w:kern w:val="0"/>
                <w:sz w:val="24"/>
                <w:highlight w:val="none"/>
              </w:rPr>
              <w:t>分）</w:t>
            </w:r>
          </w:p>
        </w:tc>
        <w:tc>
          <w:tcPr>
            <w:tcW w:w="6157" w:type="dxa"/>
            <w:vAlign w:val="center"/>
          </w:tcPr>
          <w:p>
            <w:pPr>
              <w:widowControl/>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w:t>
            </w:r>
          </w:p>
          <w:p>
            <w:pPr>
              <w:widowControl/>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拟投入的项目负责人具有注册一级建造师（建筑工程、通信与广电工程专业或机电专业）证书或高级工程师（通信工程、电气工程或计算机专业）资格证书的，每项得1.5分，满分3分。</w:t>
            </w:r>
          </w:p>
          <w:p>
            <w:pPr>
              <w:widowControl/>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2．技术负责人</w:t>
            </w:r>
          </w:p>
          <w:p>
            <w:pPr>
              <w:widowControl/>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拟投入的技术负责人具有注册一级建造师（建筑工程、通信与广电工程专业或机电专业）证书或高级工程师（通信工程、电气工程或计算机专业）资格证书的，每项得1.5分，满分3分。</w:t>
            </w:r>
          </w:p>
          <w:p>
            <w:pPr>
              <w:widowControl/>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3．团队成员（项目负责人、技术负责人除外）</w:t>
            </w:r>
          </w:p>
          <w:p>
            <w:pPr>
              <w:widowControl/>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团队成员中具有安全员、</w:t>
            </w:r>
            <w:r>
              <w:rPr>
                <w:rFonts w:hint="eastAsia" w:ascii="宋体" w:hAnsi="宋体" w:eastAsia="宋体" w:cs="宋体"/>
                <w:color w:val="auto"/>
                <w:sz w:val="24"/>
                <w:highlight w:val="none"/>
                <w:lang w:val="en-US" w:eastAsia="zh-CN"/>
              </w:rPr>
              <w:t>造价师</w:t>
            </w:r>
            <w:r>
              <w:rPr>
                <w:rFonts w:hint="eastAsia" w:ascii="宋体" w:hAnsi="宋体" w:eastAsia="宋体" w:cs="宋体"/>
                <w:color w:val="auto"/>
                <w:sz w:val="24"/>
                <w:highlight w:val="none"/>
              </w:rPr>
              <w:t>、质量员、资料员等专业资格认证，每提供一个专业资格证书得0.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分，满分</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（一人多证只能认可一个证书）。团队成员中的工程技术人员（施工员）具有通信工程专业或机电工程专业本科及以上学历或通信工程、电气工程或计算机专业中级职称，每人得0.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分，满分</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；团队成员中的工程技术人员（施工员）具有通信工程专业或机电工程专业本科及以上学历或通信工程、电气工程或计算机专业高级职称或一级建造师，每提供一个加0.5分，满分</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。（一人多证只能认可一个证书）。中级职称和高级职称一人只计算一次。</w:t>
            </w:r>
          </w:p>
          <w:p>
            <w:pPr>
              <w:widowControl/>
              <w:snapToGrid w:val="0"/>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注：投标文件中提供投入本项目人员的职称证和社保证明（投标截止日期前半年内连续三个月的缴纳社保证明，从成立之日起到投标文件提交截止时间止不足三月的只需提供从成立之日起的依法缴纳社会保障资金的相应证明文件）材料的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adjustRightInd w:val="0"/>
              <w:snapToGrid w:val="0"/>
              <w:spacing w:line="360" w:lineRule="auto"/>
              <w:jc w:val="center"/>
              <w:textAlignment w:val="baseline"/>
              <w:rPr>
                <w:rFonts w:ascii="宋体" w:hAnsi="宋体" w:eastAsia="宋体" w:cs="宋体"/>
                <w:color w:val="auto"/>
                <w:sz w:val="24"/>
                <w:highlight w:val="none"/>
              </w:rPr>
            </w:pPr>
          </w:p>
        </w:tc>
        <w:tc>
          <w:tcPr>
            <w:tcW w:w="1187" w:type="dxa"/>
            <w:vMerge w:val="continue"/>
          </w:tcPr>
          <w:p>
            <w:pPr>
              <w:adjustRightInd w:val="0"/>
              <w:snapToGrid w:val="0"/>
              <w:spacing w:line="360" w:lineRule="auto"/>
              <w:jc w:val="center"/>
              <w:textAlignment w:val="baseline"/>
              <w:rPr>
                <w:rFonts w:ascii="宋体" w:hAnsi="宋体" w:eastAsia="宋体" w:cs="宋体"/>
                <w:color w:val="auto"/>
                <w:sz w:val="24"/>
                <w:highlight w:val="none"/>
              </w:rPr>
            </w:pPr>
          </w:p>
        </w:tc>
        <w:tc>
          <w:tcPr>
            <w:tcW w:w="1200" w:type="dxa"/>
            <w:tcMar>
              <w:left w:w="57" w:type="dxa"/>
              <w:right w:w="57" w:type="dxa"/>
            </w:tcMar>
            <w:vAlign w:val="center"/>
          </w:tcPr>
          <w:p>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售后服务能力（8分）</w:t>
            </w:r>
          </w:p>
        </w:tc>
        <w:tc>
          <w:tcPr>
            <w:tcW w:w="6157" w:type="dxa"/>
            <w:vAlign w:val="center"/>
          </w:tcPr>
          <w:p>
            <w:pPr>
              <w:pStyle w:val="31"/>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档4分：投标人分别提供的质保期内及质保期外的售后服务方案及承诺，健全售后服务体系，售后服务响应机制、维护维修方案和措施合理，售后服务人员配备合理（售后服务团队中至少5人，其中通信工程专业1人、电气工程专业1人、计算机专业1人）</w:t>
            </w:r>
          </w:p>
          <w:p>
            <w:pPr>
              <w:pStyle w:val="31"/>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档8分：在满足上一档的基础上，编制替代品方案和承诺。能提供系统运行维保维护日常措施，分析系统运行过程中可能出现的问题并编制针对性的解决措施与预防措施。售后服务人员配备充足（售后服务团队中至少7人，其中通信工程中级或以上职称1人、电气工程中级或以上职称1人、计算机专业中级或以上职称1人）。</w:t>
            </w:r>
          </w:p>
          <w:p>
            <w:pPr>
              <w:pStyle w:val="31"/>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提供相关人员的社保证明（投标截止日期前半年内连续三个月的缴纳社保证明，从成立之日起到投标文件提交截止时间止不足三月的只需提供从成立之日起的依法缴纳社会保障资金的相应证明文件）和专业职称证书并加盖公章证明文件，不提供或者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187" w:type="dxa"/>
            <w:vMerge w:val="restart"/>
            <w:vAlign w:val="center"/>
          </w:tcPr>
          <w:p>
            <w:pPr>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商务分</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满分</w:t>
            </w:r>
            <w:r>
              <w:rPr>
                <w:rFonts w:hint="eastAsia" w:ascii="宋体" w:hAnsi="宋体" w:eastAsia="宋体" w:cs="宋体"/>
                <w:b/>
                <w:color w:val="auto"/>
                <w:sz w:val="24"/>
                <w:highlight w:val="none"/>
                <w:u w:val="single"/>
              </w:rPr>
              <w:t>1</w:t>
            </w:r>
            <w:r>
              <w:rPr>
                <w:rFonts w:hint="eastAsia" w:ascii="宋体" w:hAnsi="宋体" w:eastAsia="宋体" w:cs="宋体"/>
                <w:b/>
                <w:color w:val="auto"/>
                <w:sz w:val="24"/>
                <w:highlight w:val="none"/>
                <w:u w:val="single"/>
                <w:lang w:val="en-US" w:eastAsia="zh-CN"/>
              </w:rPr>
              <w:t>9</w:t>
            </w:r>
            <w:r>
              <w:rPr>
                <w:rFonts w:hint="eastAsia" w:ascii="宋体" w:hAnsi="宋体" w:eastAsia="宋体" w:cs="宋体"/>
                <w:b/>
                <w:color w:val="auto"/>
                <w:sz w:val="24"/>
                <w:highlight w:val="none"/>
              </w:rPr>
              <w:t>分</w:t>
            </w:r>
            <w:r>
              <w:rPr>
                <w:rFonts w:hint="eastAsia" w:ascii="宋体" w:hAnsi="宋体" w:eastAsia="宋体" w:cs="宋体"/>
                <w:b/>
                <w:bCs/>
                <w:color w:val="auto"/>
                <w:sz w:val="24"/>
                <w:highlight w:val="none"/>
              </w:rPr>
              <w:t>）</w:t>
            </w:r>
          </w:p>
        </w:tc>
        <w:tc>
          <w:tcPr>
            <w:tcW w:w="1200" w:type="dxa"/>
            <w:vAlign w:val="center"/>
          </w:tcPr>
          <w:p>
            <w:pPr>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信誉分</w:t>
            </w:r>
          </w:p>
          <w:p>
            <w:pPr>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（满分</w:t>
            </w:r>
            <w:r>
              <w:rPr>
                <w:rFonts w:hint="eastAsia" w:ascii="宋体" w:hAnsi="宋体" w:eastAsia="宋体" w:cs="宋体"/>
                <w:b/>
                <w:color w:val="auto"/>
                <w:sz w:val="24"/>
                <w:highlight w:val="none"/>
                <w:u w:val="single"/>
                <w:lang w:val="en-US" w:eastAsia="zh-CN"/>
              </w:rPr>
              <w:t>5</w:t>
            </w:r>
            <w:r>
              <w:rPr>
                <w:rFonts w:hint="eastAsia" w:ascii="宋体" w:hAnsi="宋体" w:eastAsia="宋体" w:cs="宋体"/>
                <w:b/>
                <w:color w:val="auto"/>
                <w:sz w:val="24"/>
                <w:highlight w:val="none"/>
              </w:rPr>
              <w:t>分）</w:t>
            </w:r>
          </w:p>
        </w:tc>
        <w:tc>
          <w:tcPr>
            <w:tcW w:w="6157" w:type="dxa"/>
          </w:tcPr>
          <w:p>
            <w:pPr>
              <w:spacing w:line="360" w:lineRule="auto"/>
              <w:ind w:firstLine="420"/>
              <w:rPr>
                <w:rFonts w:ascii="宋体" w:hAnsi="宋体" w:eastAsia="宋体" w:cs="宋体"/>
                <w:color w:val="auto"/>
                <w:sz w:val="24"/>
                <w:highlight w:val="none"/>
              </w:rPr>
            </w:pPr>
            <w:r>
              <w:rPr>
                <w:rFonts w:hint="eastAsia" w:ascii="宋体" w:hAnsi="宋体" w:eastAsia="宋体" w:cs="宋体"/>
                <w:color w:val="auto"/>
                <w:sz w:val="24"/>
                <w:highlight w:val="none"/>
              </w:rPr>
              <w:t>投标人具备质量管理体系认证证书ISO9001、环境管理体系认证证书ISO14001、职业健康安全管理体系认证证书ISO45001、信息安全管理体系认证证书ISO27001、信息技术服务管理体系认证证书ISO20000，每提供一个有效期内的证书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分，满分</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分；（投标文件中需提供证书复印件加盖投标人公章，否则不得分）。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snapToGrid w:val="0"/>
              <w:spacing w:line="360" w:lineRule="auto"/>
              <w:jc w:val="center"/>
              <w:rPr>
                <w:rFonts w:ascii="宋体" w:hAnsi="宋体" w:eastAsia="宋体" w:cs="宋体"/>
                <w:color w:val="auto"/>
                <w:sz w:val="24"/>
                <w:highlight w:val="none"/>
              </w:rPr>
            </w:pPr>
            <w:bookmarkStart w:id="154" w:name="_GoBack" w:colFirst="2" w:colLast="3"/>
          </w:p>
        </w:tc>
        <w:tc>
          <w:tcPr>
            <w:tcW w:w="1187" w:type="dxa"/>
            <w:vMerge w:val="continue"/>
            <w:vAlign w:val="center"/>
          </w:tcPr>
          <w:p>
            <w:pPr>
              <w:snapToGrid w:val="0"/>
              <w:spacing w:line="360" w:lineRule="auto"/>
              <w:jc w:val="center"/>
              <w:rPr>
                <w:rFonts w:ascii="宋体" w:hAnsi="宋体" w:eastAsia="宋体" w:cs="宋体"/>
                <w:b/>
                <w:color w:val="auto"/>
                <w:sz w:val="24"/>
                <w:highlight w:val="none"/>
              </w:rPr>
            </w:pPr>
          </w:p>
        </w:tc>
        <w:tc>
          <w:tcPr>
            <w:tcW w:w="1200" w:type="dxa"/>
            <w:vAlign w:val="center"/>
          </w:tcPr>
          <w:p>
            <w:pPr>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业绩分</w:t>
            </w:r>
          </w:p>
          <w:p>
            <w:pPr>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（满分</w:t>
            </w:r>
            <w:r>
              <w:rPr>
                <w:rFonts w:hint="eastAsia" w:ascii="宋体" w:hAnsi="宋体" w:eastAsia="宋体" w:cs="宋体"/>
                <w:b/>
                <w:color w:val="auto"/>
                <w:sz w:val="24"/>
                <w:highlight w:val="none"/>
                <w:u w:val="single"/>
              </w:rPr>
              <w:t>1</w:t>
            </w:r>
            <w:r>
              <w:rPr>
                <w:rFonts w:hint="eastAsia" w:ascii="宋体" w:hAnsi="宋体" w:eastAsia="宋体" w:cs="宋体"/>
                <w:b/>
                <w:color w:val="auto"/>
                <w:sz w:val="24"/>
                <w:highlight w:val="none"/>
                <w:u w:val="single"/>
                <w:lang w:val="en-US" w:eastAsia="zh-CN"/>
              </w:rPr>
              <w:t>2</w:t>
            </w:r>
            <w:r>
              <w:rPr>
                <w:rFonts w:hint="eastAsia" w:ascii="宋体" w:hAnsi="宋体" w:eastAsia="宋体" w:cs="宋体"/>
                <w:b/>
                <w:color w:val="auto"/>
                <w:sz w:val="24"/>
                <w:highlight w:val="none"/>
              </w:rPr>
              <w:t>分）</w:t>
            </w:r>
          </w:p>
        </w:tc>
        <w:tc>
          <w:tcPr>
            <w:tcW w:w="6157" w:type="dxa"/>
          </w:tcPr>
          <w:p>
            <w:pPr>
              <w:spacing w:line="360" w:lineRule="auto"/>
              <w:ind w:firstLine="420"/>
              <w:rPr>
                <w:rFonts w:ascii="宋体" w:hAnsi="宋体" w:eastAsia="宋体" w:cs="宋体"/>
                <w:color w:val="auto"/>
                <w:sz w:val="24"/>
                <w:highlight w:val="none"/>
              </w:rPr>
            </w:pPr>
            <w:r>
              <w:rPr>
                <w:rFonts w:hint="eastAsia" w:ascii="宋体" w:hAnsi="宋体" w:eastAsia="宋体" w:cs="宋体"/>
                <w:bCs/>
                <w:color w:val="auto"/>
                <w:kern w:val="0"/>
                <w:sz w:val="24"/>
                <w:highlight w:val="none"/>
              </w:rPr>
              <w:t>投标人自2019年以来完成智能化综合布线（供货带安装）项目业绩的</w:t>
            </w:r>
            <w:r>
              <w:rPr>
                <w:rFonts w:hint="eastAsia" w:ascii="宋体" w:hAnsi="宋体" w:eastAsia="宋体" w:cs="宋体"/>
                <w:bCs/>
                <w:color w:val="auto"/>
                <w:kern w:val="0"/>
                <w:sz w:val="24"/>
                <w:highlight w:val="none"/>
              </w:rPr>
              <w:t>，每个项目得2分；同一个编号的项目有两个或两个以上的分标中标（成交）的只算一次，满分</w:t>
            </w:r>
            <w:r>
              <w:rPr>
                <w:rFonts w:hint="eastAsia" w:ascii="宋体" w:hAnsi="宋体" w:eastAsia="宋体" w:cs="宋体"/>
                <w:bCs/>
                <w:color w:val="auto"/>
                <w:kern w:val="0"/>
                <w:sz w:val="24"/>
                <w:highlight w:val="none"/>
                <w:lang w:val="en-US" w:eastAsia="zh-CN"/>
              </w:rPr>
              <w:t>12</w:t>
            </w:r>
            <w:r>
              <w:rPr>
                <w:rFonts w:hint="eastAsia" w:ascii="宋体" w:hAnsi="宋体" w:eastAsia="宋体" w:cs="宋体"/>
                <w:bCs/>
                <w:color w:val="auto"/>
                <w:kern w:val="0"/>
                <w:sz w:val="24"/>
                <w:highlight w:val="none"/>
              </w:rPr>
              <w:t>分。（投标文件中提供中标（成交）通知书、签订的合同及验收证明作为加分依据，缺一不可）。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snapToGrid w:val="0"/>
              <w:spacing w:line="360" w:lineRule="auto"/>
              <w:jc w:val="center"/>
              <w:rPr>
                <w:rFonts w:ascii="宋体" w:hAnsi="宋体" w:eastAsia="宋体" w:cs="宋体"/>
                <w:color w:val="auto"/>
                <w:sz w:val="24"/>
                <w:highlight w:val="none"/>
              </w:rPr>
            </w:pPr>
          </w:p>
        </w:tc>
        <w:tc>
          <w:tcPr>
            <w:tcW w:w="1187" w:type="dxa"/>
            <w:vMerge w:val="continue"/>
            <w:vAlign w:val="center"/>
          </w:tcPr>
          <w:p>
            <w:pPr>
              <w:snapToGrid w:val="0"/>
              <w:spacing w:line="360" w:lineRule="auto"/>
              <w:jc w:val="center"/>
              <w:rPr>
                <w:rFonts w:ascii="宋体" w:hAnsi="宋体" w:eastAsia="宋体" w:cs="宋体"/>
                <w:b/>
                <w:color w:val="auto"/>
                <w:sz w:val="24"/>
                <w:highlight w:val="none"/>
              </w:rPr>
            </w:pPr>
          </w:p>
        </w:tc>
        <w:tc>
          <w:tcPr>
            <w:tcW w:w="1200" w:type="dxa"/>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政策功能分（满分2分）</w:t>
            </w:r>
          </w:p>
        </w:tc>
        <w:tc>
          <w:tcPr>
            <w:tcW w:w="6157" w:type="dxa"/>
          </w:tcPr>
          <w:p>
            <w:pPr>
              <w:numPr>
                <w:ilvl w:val="255"/>
                <w:numId w:val="0"/>
              </w:num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1）投标产品为政府采购节能产品的，每1项产品得0.2分，满分1分（适用于非强制采购节能产品，以有效的政府采购节能产品认证证书复印件为准，投标产品需清晰反映在证书上）。</w:t>
            </w:r>
          </w:p>
          <w:p>
            <w:pPr>
              <w:numPr>
                <w:ilvl w:val="255"/>
                <w:numId w:val="0"/>
              </w:numPr>
              <w:spacing w:line="360" w:lineRule="auto"/>
              <w:rPr>
                <w:rFonts w:ascii="宋体" w:hAnsi="宋体" w:eastAsia="宋体" w:cs="宋体"/>
                <w:bCs/>
                <w:color w:val="auto"/>
                <w:kern w:val="0"/>
                <w:sz w:val="24"/>
                <w:highlight w:val="none"/>
              </w:rPr>
            </w:pPr>
            <w:r>
              <w:rPr>
                <w:rFonts w:hint="eastAsia" w:ascii="宋体" w:hAnsi="宋体" w:eastAsia="宋体" w:cs="宋体"/>
                <w:bCs/>
                <w:color w:val="auto"/>
                <w:sz w:val="24"/>
                <w:highlight w:val="none"/>
              </w:rPr>
              <w:t>2）投标产品为政府采购环境标志产品的，每1项产品得0.2分，满分1分（以有效的政府采购环境标志产品认证证书复印件为准，投标产品需清晰反映在证书上）。</w:t>
            </w:r>
          </w:p>
        </w:tc>
      </w:tr>
      <w:bookmark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000" w:type="dxa"/>
            <w:gridSpan w:val="4"/>
            <w:vAlign w:val="center"/>
          </w:tcPr>
          <w:p>
            <w:pPr>
              <w:pStyle w:val="15"/>
              <w:snapToGrid w:val="0"/>
              <w:spacing w:line="360" w:lineRule="auto"/>
              <w:rPr>
                <w:rFonts w:hAnsi="宋体" w:eastAsia="宋体" w:cs="宋体"/>
                <w:b/>
                <w:bCs/>
                <w:color w:val="auto"/>
                <w:sz w:val="24"/>
                <w:szCs w:val="24"/>
                <w:highlight w:val="none"/>
              </w:rPr>
            </w:pPr>
            <w:r>
              <w:rPr>
                <w:rFonts w:hint="eastAsia" w:hAnsi="宋体" w:eastAsia="宋体" w:cs="宋体"/>
                <w:b/>
                <w:bCs/>
                <w:color w:val="auto"/>
                <w:sz w:val="24"/>
                <w:szCs w:val="24"/>
                <w:highlight w:val="none"/>
              </w:rPr>
              <w:t>总得分=1+2+3</w:t>
            </w:r>
          </w:p>
        </w:tc>
      </w:tr>
    </w:tbl>
    <w:p>
      <w:pPr>
        <w:pStyle w:val="31"/>
        <w:rPr>
          <w:color w:val="auto"/>
          <w:highlight w:val="none"/>
        </w:rPr>
      </w:pPr>
    </w:p>
    <w:p>
      <w:pPr>
        <w:pStyle w:val="31"/>
        <w:rPr>
          <w:color w:val="auto"/>
          <w:highlight w:val="none"/>
        </w:rPr>
      </w:pPr>
    </w:p>
    <w:p>
      <w:pPr>
        <w:pStyle w:val="31"/>
        <w:rPr>
          <w:color w:val="auto"/>
          <w:highlight w:val="none"/>
        </w:rPr>
      </w:pPr>
    </w:p>
    <w:p>
      <w:pPr>
        <w:rPr>
          <w:color w:val="auto"/>
          <w:highlight w:val="none"/>
        </w:rPr>
      </w:pPr>
      <w:r>
        <w:rPr>
          <w:color w:val="auto"/>
          <w:highlight w:val="none"/>
        </w:rPr>
        <w:br w:type="page"/>
      </w:r>
    </w:p>
    <w:p>
      <w:pPr>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四、中标候选人推荐原则</w:t>
      </w:r>
    </w:p>
    <w:p>
      <w:pPr>
        <w:pStyle w:val="15"/>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（一）综合评分法</w:t>
      </w:r>
    </w:p>
    <w:p>
      <w:pPr>
        <w:pStyle w:val="1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pPr>
        <w:pStyle w:val="15"/>
        <w:spacing w:line="360" w:lineRule="auto"/>
        <w:ind w:firstLine="480" w:firstLineChars="200"/>
        <w:contextualSpacing/>
        <w:rPr>
          <w:rFonts w:hAnsi="宋体" w:cs="宋体"/>
          <w:color w:val="auto"/>
          <w:sz w:val="24"/>
          <w:szCs w:val="24"/>
          <w:highlight w:val="none"/>
        </w:rPr>
      </w:pPr>
    </w:p>
    <w:p>
      <w:pPr>
        <w:pStyle w:val="15"/>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（二）最低评标价法</w:t>
      </w:r>
    </w:p>
    <w:p>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评标委员会按照评标价从低到高排序并推荐中标候选人，评标价相同的并列。投标文件满足招标文件全部实质性要求且评标价最低的投标人为排名第一的中标候选人。</w:t>
      </w:r>
    </w:p>
    <w:p>
      <w:pPr>
        <w:spacing w:beforeLines="50" w:afterLines="50" w:line="360" w:lineRule="auto"/>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pStyle w:val="4"/>
        <w:keepNext w:val="0"/>
        <w:keepLines w:val="0"/>
        <w:jc w:val="center"/>
        <w:rPr>
          <w:rFonts w:ascii="宋体" w:hAnsi="宋体" w:eastAsia="宋体" w:cs="宋体"/>
          <w:color w:val="auto"/>
          <w:highlight w:val="none"/>
        </w:rPr>
      </w:pPr>
    </w:p>
    <w:p>
      <w:pPr>
        <w:pStyle w:val="4"/>
        <w:keepNext w:val="0"/>
        <w:keepLines w:val="0"/>
        <w:jc w:val="center"/>
        <w:rPr>
          <w:rFonts w:ascii="宋体" w:hAnsi="宋体" w:eastAsia="宋体" w:cs="宋体"/>
          <w:color w:val="auto"/>
          <w:highlight w:val="none"/>
        </w:rPr>
      </w:pPr>
    </w:p>
    <w:p>
      <w:pPr>
        <w:pStyle w:val="3"/>
        <w:jc w:val="center"/>
        <w:rPr>
          <w:rFonts w:ascii="宋体" w:hAnsi="宋体" w:cs="宋体"/>
          <w:color w:val="auto"/>
          <w:highlight w:val="none"/>
        </w:rPr>
      </w:pPr>
      <w:bookmarkStart w:id="144" w:name="_Toc74320804"/>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jc w:val="center"/>
        <w:rPr>
          <w:rFonts w:ascii="宋体" w:hAnsi="宋体" w:cs="宋体"/>
          <w:color w:val="auto"/>
          <w:highlight w:val="none"/>
        </w:rPr>
      </w:pPr>
      <w:r>
        <w:rPr>
          <w:rFonts w:hint="eastAsia" w:ascii="宋体" w:hAnsi="宋体" w:cs="宋体"/>
          <w:color w:val="auto"/>
          <w:highlight w:val="none"/>
        </w:rPr>
        <w:t>第五章  拟签订的合同文本</w:t>
      </w:r>
      <w:bookmarkEnd w:id="144"/>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spacing w:line="360" w:lineRule="auto"/>
        <w:ind w:firstLine="640" w:firstLineChars="200"/>
        <w:rPr>
          <w:rFonts w:ascii="宋体" w:hAnsi="宋体" w:cs="宋体"/>
          <w:color w:val="auto"/>
          <w:sz w:val="24"/>
          <w:highlight w:val="none"/>
        </w:rPr>
      </w:pPr>
      <w:r>
        <w:rPr>
          <w:rFonts w:hint="eastAsia" w:ascii="宋体" w:hAnsi="宋体" w:cs="宋体"/>
          <w:bCs/>
          <w:color w:val="auto"/>
          <w:sz w:val="32"/>
          <w:szCs w:val="32"/>
          <w:highlight w:val="none"/>
        </w:rPr>
        <w:br w:type="page"/>
      </w:r>
      <w:bookmarkStart w:id="145" w:name="_Hlk55381736"/>
      <w:r>
        <w:rPr>
          <w:rFonts w:hint="eastAsia" w:ascii="宋体" w:hAnsi="宋体" w:cs="宋体"/>
          <w:b/>
          <w:color w:val="auto"/>
          <w:sz w:val="24"/>
          <w:highlight w:val="none"/>
        </w:rPr>
        <w:t xml:space="preserve">一般货物类（参考）： </w:t>
      </w:r>
    </w:p>
    <w:p>
      <w:pPr>
        <w:snapToGrid w:val="0"/>
        <w:spacing w:line="360" w:lineRule="auto"/>
        <w:jc w:val="center"/>
        <w:rPr>
          <w:rFonts w:ascii="宋体" w:hAnsi="宋体" w:cs="宋体"/>
          <w:b/>
          <w:bCs/>
          <w:color w:val="auto"/>
          <w:sz w:val="36"/>
          <w:szCs w:val="36"/>
          <w:highlight w:val="none"/>
        </w:rPr>
      </w:pPr>
    </w:p>
    <w:p>
      <w:pPr>
        <w:snapToGrid w:val="0"/>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《广西壮族自治区政府采购合同》</w:t>
      </w:r>
    </w:p>
    <w:p>
      <w:pPr>
        <w:snapToGrid w:val="0"/>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文本</w:t>
      </w:r>
    </w:p>
    <w:p>
      <w:pPr>
        <w:snapToGrid w:val="0"/>
        <w:spacing w:line="360" w:lineRule="auto"/>
        <w:ind w:right="480" w:firstLine="6000" w:firstLineChars="2500"/>
        <w:rPr>
          <w:rFonts w:ascii="宋体" w:hAnsi="宋体" w:cs="宋体"/>
          <w:bCs/>
          <w:color w:val="auto"/>
          <w:sz w:val="24"/>
          <w:highlight w:val="none"/>
          <w:u w:val="single"/>
        </w:rPr>
      </w:pPr>
      <w:r>
        <w:rPr>
          <w:rFonts w:hint="eastAsia" w:ascii="宋体" w:hAnsi="宋体" w:cs="宋体"/>
          <w:bCs/>
          <w:color w:val="auto"/>
          <w:sz w:val="24"/>
          <w:highlight w:val="none"/>
        </w:rPr>
        <w:t>合同编号：</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pacing w:val="-20"/>
          <w:sz w:val="24"/>
          <w:highlight w:val="none"/>
        </w:rPr>
        <w:t>采 购 计 划 号</w:t>
      </w:r>
      <w:r>
        <w:rPr>
          <w:rFonts w:hint="eastAsia" w:ascii="宋体" w:hAnsi="宋体" w:cs="宋体"/>
          <w:color w:val="auto"/>
          <w:sz w:val="24"/>
          <w:highlight w:val="none"/>
          <w:u w:val="single"/>
        </w:rPr>
        <w:t xml:space="preserve">             </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供 应 商（乙方）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pacing w:val="-20"/>
          <w:sz w:val="24"/>
          <w:highlight w:val="none"/>
        </w:rPr>
        <w:t>招  标  编  号</w:t>
      </w:r>
      <w:r>
        <w:rPr>
          <w:rFonts w:hint="eastAsia" w:ascii="宋体" w:hAnsi="宋体" w:cs="宋体"/>
          <w:color w:val="auto"/>
          <w:sz w:val="24"/>
          <w:highlight w:val="none"/>
          <w:u w:val="single"/>
        </w:rPr>
        <w:t xml:space="preserve">             </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签  订  地  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 订 时 间</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本合同为中小企业预留合同：</w:t>
      </w:r>
      <w:r>
        <w:rPr>
          <w:rFonts w:hint="eastAsia" w:ascii="宋体" w:hAnsi="宋体" w:cs="宋体"/>
          <w:color w:val="auto"/>
          <w:sz w:val="24"/>
          <w:highlight w:val="none"/>
          <w:u w:val="single"/>
        </w:rPr>
        <w:t>（是/否）</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根据《中华人民共和国政府采购法》、《中华人民共和国民法典》等法律、法规规定，按照招标文件（采购文件）规定条款和中标（成交）供应商承诺，甲乙双方签订本合同。</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第一条　合同标的</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1.供货一览表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33"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产品名称</w:t>
            </w:r>
          </w:p>
        </w:tc>
        <w:tc>
          <w:tcPr>
            <w:tcW w:w="1059"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商标品牌</w:t>
            </w:r>
          </w:p>
        </w:tc>
        <w:tc>
          <w:tcPr>
            <w:tcW w:w="1233"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10"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生产厂家</w:t>
            </w:r>
          </w:p>
        </w:tc>
        <w:tc>
          <w:tcPr>
            <w:tcW w:w="908"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668"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947"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单  价</w:t>
            </w:r>
          </w:p>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（元）</w:t>
            </w:r>
          </w:p>
        </w:tc>
        <w:tc>
          <w:tcPr>
            <w:tcW w:w="1189"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金  额</w:t>
            </w:r>
          </w:p>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233" w:type="dxa"/>
            <w:vAlign w:val="center"/>
          </w:tcPr>
          <w:p>
            <w:pPr>
              <w:snapToGrid w:val="0"/>
              <w:spacing w:line="360" w:lineRule="auto"/>
              <w:jc w:val="center"/>
              <w:rPr>
                <w:rFonts w:ascii="宋体" w:hAnsi="宋体" w:eastAsia="宋体" w:cs="宋体"/>
                <w:color w:val="auto"/>
                <w:sz w:val="24"/>
                <w:highlight w:val="none"/>
              </w:rPr>
            </w:pPr>
          </w:p>
        </w:tc>
        <w:tc>
          <w:tcPr>
            <w:tcW w:w="1059" w:type="dxa"/>
            <w:vAlign w:val="center"/>
          </w:tcPr>
          <w:p>
            <w:pPr>
              <w:snapToGrid w:val="0"/>
              <w:spacing w:line="360" w:lineRule="auto"/>
              <w:jc w:val="center"/>
              <w:rPr>
                <w:rFonts w:ascii="宋体" w:hAnsi="宋体" w:eastAsia="宋体" w:cs="宋体"/>
                <w:color w:val="auto"/>
                <w:sz w:val="24"/>
                <w:highlight w:val="none"/>
              </w:rPr>
            </w:pPr>
          </w:p>
        </w:tc>
        <w:tc>
          <w:tcPr>
            <w:tcW w:w="1233" w:type="dxa"/>
            <w:vAlign w:val="center"/>
          </w:tcPr>
          <w:p>
            <w:pPr>
              <w:snapToGrid w:val="0"/>
              <w:spacing w:line="360" w:lineRule="auto"/>
              <w:jc w:val="center"/>
              <w:rPr>
                <w:rFonts w:ascii="宋体" w:hAnsi="宋体" w:eastAsia="宋体" w:cs="宋体"/>
                <w:color w:val="auto"/>
                <w:sz w:val="24"/>
                <w:highlight w:val="none"/>
              </w:rPr>
            </w:pPr>
          </w:p>
        </w:tc>
        <w:tc>
          <w:tcPr>
            <w:tcW w:w="1210" w:type="dxa"/>
          </w:tcPr>
          <w:p>
            <w:pPr>
              <w:snapToGrid w:val="0"/>
              <w:spacing w:line="360" w:lineRule="auto"/>
              <w:jc w:val="center"/>
              <w:rPr>
                <w:rFonts w:ascii="宋体" w:hAnsi="宋体" w:eastAsia="宋体" w:cs="宋体"/>
                <w:color w:val="auto"/>
                <w:sz w:val="24"/>
                <w:highlight w:val="none"/>
              </w:rPr>
            </w:pPr>
          </w:p>
        </w:tc>
        <w:tc>
          <w:tcPr>
            <w:tcW w:w="908" w:type="dxa"/>
          </w:tcPr>
          <w:p>
            <w:pPr>
              <w:snapToGrid w:val="0"/>
              <w:spacing w:line="360" w:lineRule="auto"/>
              <w:jc w:val="center"/>
              <w:rPr>
                <w:rFonts w:ascii="宋体" w:hAnsi="宋体" w:eastAsia="宋体" w:cs="宋体"/>
                <w:color w:val="auto"/>
                <w:sz w:val="24"/>
                <w:highlight w:val="none"/>
              </w:rPr>
            </w:pPr>
          </w:p>
        </w:tc>
        <w:tc>
          <w:tcPr>
            <w:tcW w:w="668" w:type="dxa"/>
          </w:tcPr>
          <w:p>
            <w:pPr>
              <w:snapToGrid w:val="0"/>
              <w:spacing w:line="360" w:lineRule="auto"/>
              <w:jc w:val="center"/>
              <w:rPr>
                <w:rFonts w:ascii="宋体" w:hAnsi="宋体" w:eastAsia="宋体" w:cs="宋体"/>
                <w:color w:val="auto"/>
                <w:sz w:val="24"/>
                <w:highlight w:val="none"/>
              </w:rPr>
            </w:pPr>
          </w:p>
        </w:tc>
        <w:tc>
          <w:tcPr>
            <w:tcW w:w="947" w:type="dxa"/>
            <w:vAlign w:val="center"/>
          </w:tcPr>
          <w:p>
            <w:pPr>
              <w:snapToGrid w:val="0"/>
              <w:spacing w:line="360" w:lineRule="auto"/>
              <w:jc w:val="center"/>
              <w:rPr>
                <w:rFonts w:ascii="宋体" w:hAnsi="宋体" w:eastAsia="宋体" w:cs="宋体"/>
                <w:color w:val="auto"/>
                <w:sz w:val="24"/>
                <w:highlight w:val="none"/>
              </w:rPr>
            </w:pPr>
          </w:p>
        </w:tc>
        <w:tc>
          <w:tcPr>
            <w:tcW w:w="1189" w:type="dxa"/>
            <w:vAlign w:val="center"/>
          </w:tcPr>
          <w:p>
            <w:pPr>
              <w:snapToGrid w:val="0"/>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233" w:type="dxa"/>
            <w:vAlign w:val="center"/>
          </w:tcPr>
          <w:p>
            <w:pPr>
              <w:snapToGrid w:val="0"/>
              <w:spacing w:line="360" w:lineRule="auto"/>
              <w:jc w:val="center"/>
              <w:rPr>
                <w:rFonts w:ascii="宋体" w:hAnsi="宋体" w:eastAsia="宋体" w:cs="宋体"/>
                <w:color w:val="auto"/>
                <w:sz w:val="24"/>
                <w:highlight w:val="none"/>
              </w:rPr>
            </w:pPr>
          </w:p>
        </w:tc>
        <w:tc>
          <w:tcPr>
            <w:tcW w:w="1059" w:type="dxa"/>
            <w:vAlign w:val="center"/>
          </w:tcPr>
          <w:p>
            <w:pPr>
              <w:snapToGrid w:val="0"/>
              <w:spacing w:line="360" w:lineRule="auto"/>
              <w:jc w:val="center"/>
              <w:rPr>
                <w:rFonts w:ascii="宋体" w:hAnsi="宋体" w:eastAsia="宋体" w:cs="宋体"/>
                <w:color w:val="auto"/>
                <w:sz w:val="24"/>
                <w:highlight w:val="none"/>
              </w:rPr>
            </w:pPr>
          </w:p>
        </w:tc>
        <w:tc>
          <w:tcPr>
            <w:tcW w:w="1233" w:type="dxa"/>
            <w:vAlign w:val="center"/>
          </w:tcPr>
          <w:p>
            <w:pPr>
              <w:snapToGrid w:val="0"/>
              <w:spacing w:line="360" w:lineRule="auto"/>
              <w:jc w:val="center"/>
              <w:rPr>
                <w:rFonts w:ascii="宋体" w:hAnsi="宋体" w:eastAsia="宋体" w:cs="宋体"/>
                <w:color w:val="auto"/>
                <w:sz w:val="24"/>
                <w:highlight w:val="none"/>
              </w:rPr>
            </w:pPr>
          </w:p>
        </w:tc>
        <w:tc>
          <w:tcPr>
            <w:tcW w:w="1210" w:type="dxa"/>
          </w:tcPr>
          <w:p>
            <w:pPr>
              <w:snapToGrid w:val="0"/>
              <w:spacing w:line="360" w:lineRule="auto"/>
              <w:jc w:val="center"/>
              <w:rPr>
                <w:rFonts w:ascii="宋体" w:hAnsi="宋体" w:eastAsia="宋体" w:cs="宋体"/>
                <w:color w:val="auto"/>
                <w:sz w:val="24"/>
                <w:highlight w:val="none"/>
              </w:rPr>
            </w:pPr>
          </w:p>
        </w:tc>
        <w:tc>
          <w:tcPr>
            <w:tcW w:w="908" w:type="dxa"/>
          </w:tcPr>
          <w:p>
            <w:pPr>
              <w:snapToGrid w:val="0"/>
              <w:spacing w:line="360" w:lineRule="auto"/>
              <w:jc w:val="center"/>
              <w:rPr>
                <w:rFonts w:ascii="宋体" w:hAnsi="宋体" w:eastAsia="宋体" w:cs="宋体"/>
                <w:color w:val="auto"/>
                <w:sz w:val="24"/>
                <w:highlight w:val="none"/>
              </w:rPr>
            </w:pPr>
          </w:p>
        </w:tc>
        <w:tc>
          <w:tcPr>
            <w:tcW w:w="668" w:type="dxa"/>
          </w:tcPr>
          <w:p>
            <w:pPr>
              <w:snapToGrid w:val="0"/>
              <w:spacing w:line="360" w:lineRule="auto"/>
              <w:jc w:val="center"/>
              <w:rPr>
                <w:rFonts w:ascii="宋体" w:hAnsi="宋体" w:eastAsia="宋体" w:cs="宋体"/>
                <w:color w:val="auto"/>
                <w:sz w:val="24"/>
                <w:highlight w:val="none"/>
              </w:rPr>
            </w:pPr>
          </w:p>
        </w:tc>
        <w:tc>
          <w:tcPr>
            <w:tcW w:w="947" w:type="dxa"/>
            <w:vAlign w:val="center"/>
          </w:tcPr>
          <w:p>
            <w:pPr>
              <w:snapToGrid w:val="0"/>
              <w:spacing w:line="360" w:lineRule="auto"/>
              <w:jc w:val="center"/>
              <w:rPr>
                <w:rFonts w:ascii="宋体" w:hAnsi="宋体" w:eastAsia="宋体" w:cs="宋体"/>
                <w:color w:val="auto"/>
                <w:sz w:val="24"/>
                <w:highlight w:val="none"/>
              </w:rPr>
            </w:pPr>
          </w:p>
        </w:tc>
        <w:tc>
          <w:tcPr>
            <w:tcW w:w="1189" w:type="dxa"/>
            <w:vAlign w:val="center"/>
          </w:tcPr>
          <w:p>
            <w:pPr>
              <w:snapToGrid w:val="0"/>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233" w:type="dxa"/>
            <w:vAlign w:val="center"/>
          </w:tcPr>
          <w:p>
            <w:pPr>
              <w:snapToGrid w:val="0"/>
              <w:spacing w:line="360" w:lineRule="auto"/>
              <w:jc w:val="center"/>
              <w:rPr>
                <w:rFonts w:ascii="宋体" w:hAnsi="宋体" w:eastAsia="宋体" w:cs="宋体"/>
                <w:color w:val="auto"/>
                <w:sz w:val="24"/>
                <w:highlight w:val="none"/>
              </w:rPr>
            </w:pPr>
          </w:p>
        </w:tc>
        <w:tc>
          <w:tcPr>
            <w:tcW w:w="1059" w:type="dxa"/>
            <w:vAlign w:val="center"/>
          </w:tcPr>
          <w:p>
            <w:pPr>
              <w:snapToGrid w:val="0"/>
              <w:spacing w:line="360" w:lineRule="auto"/>
              <w:jc w:val="center"/>
              <w:rPr>
                <w:rFonts w:ascii="宋体" w:hAnsi="宋体" w:eastAsia="宋体" w:cs="宋体"/>
                <w:color w:val="auto"/>
                <w:sz w:val="24"/>
                <w:highlight w:val="none"/>
              </w:rPr>
            </w:pPr>
          </w:p>
        </w:tc>
        <w:tc>
          <w:tcPr>
            <w:tcW w:w="1233" w:type="dxa"/>
            <w:vAlign w:val="center"/>
          </w:tcPr>
          <w:p>
            <w:pPr>
              <w:snapToGrid w:val="0"/>
              <w:spacing w:line="360" w:lineRule="auto"/>
              <w:jc w:val="center"/>
              <w:rPr>
                <w:rFonts w:ascii="宋体" w:hAnsi="宋体" w:eastAsia="宋体" w:cs="宋体"/>
                <w:color w:val="auto"/>
                <w:sz w:val="24"/>
                <w:highlight w:val="none"/>
              </w:rPr>
            </w:pPr>
          </w:p>
        </w:tc>
        <w:tc>
          <w:tcPr>
            <w:tcW w:w="1210" w:type="dxa"/>
          </w:tcPr>
          <w:p>
            <w:pPr>
              <w:snapToGrid w:val="0"/>
              <w:spacing w:line="360" w:lineRule="auto"/>
              <w:jc w:val="center"/>
              <w:rPr>
                <w:rFonts w:ascii="宋体" w:hAnsi="宋体" w:eastAsia="宋体" w:cs="宋体"/>
                <w:color w:val="auto"/>
                <w:sz w:val="24"/>
                <w:highlight w:val="none"/>
              </w:rPr>
            </w:pPr>
          </w:p>
        </w:tc>
        <w:tc>
          <w:tcPr>
            <w:tcW w:w="908" w:type="dxa"/>
          </w:tcPr>
          <w:p>
            <w:pPr>
              <w:snapToGrid w:val="0"/>
              <w:spacing w:line="360" w:lineRule="auto"/>
              <w:jc w:val="center"/>
              <w:rPr>
                <w:rFonts w:ascii="宋体" w:hAnsi="宋体" w:eastAsia="宋体" w:cs="宋体"/>
                <w:color w:val="auto"/>
                <w:sz w:val="24"/>
                <w:highlight w:val="none"/>
              </w:rPr>
            </w:pPr>
          </w:p>
        </w:tc>
        <w:tc>
          <w:tcPr>
            <w:tcW w:w="668" w:type="dxa"/>
          </w:tcPr>
          <w:p>
            <w:pPr>
              <w:snapToGrid w:val="0"/>
              <w:spacing w:line="360" w:lineRule="auto"/>
              <w:jc w:val="center"/>
              <w:rPr>
                <w:rFonts w:ascii="宋体" w:hAnsi="宋体" w:eastAsia="宋体" w:cs="宋体"/>
                <w:color w:val="auto"/>
                <w:sz w:val="24"/>
                <w:highlight w:val="none"/>
              </w:rPr>
            </w:pPr>
          </w:p>
        </w:tc>
        <w:tc>
          <w:tcPr>
            <w:tcW w:w="947" w:type="dxa"/>
            <w:vAlign w:val="center"/>
          </w:tcPr>
          <w:p>
            <w:pPr>
              <w:snapToGrid w:val="0"/>
              <w:spacing w:line="360" w:lineRule="auto"/>
              <w:jc w:val="center"/>
              <w:rPr>
                <w:rFonts w:ascii="宋体" w:hAnsi="宋体" w:eastAsia="宋体" w:cs="宋体"/>
                <w:color w:val="auto"/>
                <w:sz w:val="24"/>
                <w:highlight w:val="none"/>
              </w:rPr>
            </w:pPr>
          </w:p>
        </w:tc>
        <w:tc>
          <w:tcPr>
            <w:tcW w:w="1189" w:type="dxa"/>
            <w:vAlign w:val="center"/>
          </w:tcPr>
          <w:p>
            <w:pPr>
              <w:snapToGrid w:val="0"/>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56" w:type="dxa"/>
            <w:gridSpan w:val="9"/>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人民币合计金额（大写）                          （小写）                 </w:t>
            </w:r>
          </w:p>
        </w:tc>
      </w:tr>
    </w:tbl>
    <w:p>
      <w:pPr>
        <w:snapToGrid w:val="0"/>
        <w:spacing w:line="360" w:lineRule="auto"/>
        <w:ind w:right="42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2.合同合计金额包括货物价款，备件、专用工具、安装、调试、检验、技术培训及技术资料和包装、运输等全部费用。</w:t>
      </w:r>
    </w:p>
    <w:p>
      <w:pPr>
        <w:snapToGrid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第二条　质量要求</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第三条　权利保证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1.乙方应保证所提供货物在使用时不会侵犯任何第三方的专利权、商标权、工业设计权或者其他权利。</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2.乙方应按招标文件规定或者投标文件承诺的时间向甲方提供使用货物的有关技术资料。</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4.乙方保证将要交付的货物的所有权完全属于乙方且无任何抵押、质押、查封等产权瑕疵。</w:t>
      </w:r>
    </w:p>
    <w:p>
      <w:pPr>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第四条　包装和运输</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2.货物的运输方式：</w:t>
      </w:r>
      <w:r>
        <w:rPr>
          <w:rFonts w:hint="eastAsia" w:ascii="宋体" w:hAnsi="宋体" w:eastAsia="宋体" w:cs="宋体"/>
          <w:color w:val="auto"/>
          <w:sz w:val="24"/>
          <w:highlight w:val="none"/>
          <w:u w:val="single"/>
        </w:rPr>
        <w:t>由乙方负责。</w:t>
      </w:r>
    </w:p>
    <w:p>
      <w:pPr>
        <w:snapToGrid w:val="0"/>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3.乙方负责货物运输，货物运输合理损耗及计算方法：</w:t>
      </w:r>
      <w:r>
        <w:rPr>
          <w:rFonts w:hint="eastAsia" w:ascii="宋体" w:hAnsi="宋体" w:eastAsia="宋体" w:cs="宋体"/>
          <w:color w:val="auto"/>
          <w:sz w:val="24"/>
          <w:highlight w:val="none"/>
          <w:u w:val="single"/>
        </w:rPr>
        <w:t>甲方不</w:t>
      </w:r>
      <w:r>
        <w:rPr>
          <w:rFonts w:hint="eastAsia" w:ascii="宋体" w:hAnsi="宋体" w:eastAsia="宋体" w:cs="宋体"/>
          <w:color w:val="auto"/>
          <w:sz w:val="24"/>
          <w:highlight w:val="none"/>
          <w:u w:val="single"/>
          <w:lang w:val="en-US" w:eastAsia="zh-CN"/>
        </w:rPr>
        <w:t>接受</w:t>
      </w:r>
      <w:r>
        <w:rPr>
          <w:rFonts w:hint="eastAsia" w:ascii="宋体" w:hAnsi="宋体" w:eastAsia="宋体" w:cs="宋体"/>
          <w:color w:val="auto"/>
          <w:sz w:val="24"/>
          <w:highlight w:val="none"/>
          <w:u w:val="single"/>
        </w:rPr>
        <w:t>损耗。</w:t>
      </w:r>
    </w:p>
    <w:p>
      <w:pPr>
        <w:snapToGrid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第五条　交付和验收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1.交付时间：</w:t>
      </w:r>
      <w:r>
        <w:rPr>
          <w:rFonts w:hint="eastAsia" w:ascii="宋体" w:hAnsi="宋体" w:eastAsia="宋体" w:cs="宋体"/>
          <w:color w:val="auto"/>
          <w:sz w:val="24"/>
          <w:highlight w:val="none"/>
          <w:u w:val="single"/>
        </w:rPr>
        <w:t>签订合同之日起30日内完成设备到货并完成到货验收，到货后60天内完成综合布线和设备安装调试并通过初验</w:t>
      </w:r>
      <w:r>
        <w:rPr>
          <w:rFonts w:hint="eastAsia" w:ascii="宋体" w:hAnsi="宋体" w:eastAsia="宋体" w:cs="宋体"/>
          <w:color w:val="auto"/>
          <w:sz w:val="24"/>
          <w:highlight w:val="none"/>
        </w:rPr>
        <w:t>；交付地点：</w:t>
      </w:r>
      <w:r>
        <w:rPr>
          <w:rFonts w:hint="eastAsia" w:ascii="宋体" w:hAnsi="宋体" w:eastAsia="宋体" w:cs="宋体"/>
          <w:color w:val="auto"/>
          <w:sz w:val="24"/>
          <w:highlight w:val="none"/>
          <w:u w:val="single"/>
        </w:rPr>
        <w:t xml:space="preserve">甲方指定地点 </w:t>
      </w:r>
      <w:r>
        <w:rPr>
          <w:rFonts w:hint="eastAsia" w:ascii="宋体" w:hAnsi="宋体" w:eastAsia="宋体" w:cs="宋体"/>
          <w:color w:val="auto"/>
          <w:sz w:val="24"/>
          <w:highlight w:val="none"/>
        </w:rPr>
        <w:t>。</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2.乙方提供不符合招标文件规定或者投标文件承诺的和本合同规定的货物，甲方有权拒绝接受。</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4.甲方应当在到货（安装、调试完）后七个工作日内进行验收，</w:t>
      </w:r>
      <w:r>
        <w:rPr>
          <w:rFonts w:hint="eastAsia" w:ascii="宋体" w:hAnsi="宋体" w:eastAsia="宋体" w:cs="宋体"/>
          <w:color w:val="auto"/>
          <w:sz w:val="24"/>
          <w:highlight w:val="none"/>
          <w:lang w:val="en-US" w:eastAsia="zh-CN"/>
        </w:rPr>
        <w:t>无正当理由</w:t>
      </w:r>
      <w:r>
        <w:rPr>
          <w:rFonts w:hint="eastAsia" w:ascii="宋体" w:hAnsi="宋体" w:eastAsia="宋体" w:cs="宋体"/>
          <w:color w:val="auto"/>
          <w:sz w:val="24"/>
          <w:highlight w:val="none"/>
        </w:rPr>
        <w:t>逾期不验收的，乙方可视同验收合格。验收合格后由甲乙双方签署货物验收单并加盖采购人公章，甲乙双方各执一份。</w:t>
      </w:r>
      <w:r>
        <w:rPr>
          <w:rFonts w:hint="eastAsia"/>
        </w:rPr>
        <w:t>甲方仅对产品的数量和外观进行检验，并不因此减轻或免除乙方所应承担的质量保证责任。</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6.甲方对验收有异议的，在验收后五个工作日内以书面形式向乙方提出，乙方应自收到甲方书面异议后</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日内及时予以解决。</w:t>
      </w:r>
    </w:p>
    <w:p>
      <w:pPr>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第六条　安装和培训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1.甲方应提供必要安装条件（如场地、电源、水源等）。</w:t>
      </w:r>
    </w:p>
    <w:p>
      <w:pPr>
        <w:snapToGrid w:val="0"/>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2.乙方投标文件承诺负责甲方有关人员的培训。培训时间、地点：</w:t>
      </w:r>
      <w:r>
        <w:rPr>
          <w:rFonts w:hint="eastAsia" w:ascii="宋体" w:hAnsi="宋体" w:eastAsia="宋体" w:cs="宋体"/>
          <w:color w:val="auto"/>
          <w:sz w:val="24"/>
          <w:highlight w:val="none"/>
          <w:u w:val="single"/>
          <w:lang w:val="en-US" w:eastAsia="zh-CN"/>
        </w:rPr>
        <w:t>由甲方指定</w:t>
      </w:r>
      <w:r>
        <w:rPr>
          <w:rFonts w:hint="eastAsia" w:ascii="宋体" w:hAnsi="宋体" w:eastAsia="宋体" w:cs="宋体"/>
          <w:color w:val="auto"/>
          <w:sz w:val="24"/>
          <w:highlight w:val="none"/>
          <w:u w:val="single"/>
        </w:rPr>
        <w:t>。</w:t>
      </w:r>
    </w:p>
    <w:p>
      <w:pPr>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第七条  售后服务、保修期</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1.乙方应按照国家有关法律法规和“三包”规定以及本合同所附的《服务承诺》，为甲方提供售后服务。</w:t>
      </w:r>
    </w:p>
    <w:p>
      <w:pPr>
        <w:snapToGrid w:val="0"/>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2.货物保修期：</w:t>
      </w:r>
      <w:r>
        <w:rPr>
          <w:rFonts w:hint="eastAsia" w:ascii="宋体" w:hAnsi="宋体" w:eastAsia="宋体" w:cs="宋体"/>
          <w:color w:val="auto"/>
          <w:sz w:val="24"/>
          <w:highlight w:val="none"/>
          <w:u w:val="single"/>
        </w:rPr>
        <w:t>按国家有关产品“三包”规定执行“三包”，质量保证期3年，自验收合格之日起计。标的清单中有特别提出质保年限要求的，按清单中要求的质保年限。若产品生产厂家免费质保期超过此年限的，按厂家规定执行。</w:t>
      </w:r>
    </w:p>
    <w:p>
      <w:pPr>
        <w:snapToGrid w:val="0"/>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3.乙方提供的服务承诺和售后服务及保修期责任等其它具体约定事项。（见合同附件）</w:t>
      </w:r>
    </w:p>
    <w:p>
      <w:pPr>
        <w:snapToGrid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第八条　付款方式</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bCs/>
          <w:color w:val="auto"/>
          <w:sz w:val="24"/>
          <w:szCs w:val="24"/>
          <w:highlight w:val="none"/>
        </w:rPr>
        <w:t>1</w:t>
      </w:r>
      <w:r>
        <w:rPr>
          <w:rFonts w:hint="eastAsia" w:hAnsi="宋体" w:eastAsia="宋体" w:cs="宋体"/>
          <w:color w:val="auto"/>
          <w:sz w:val="24"/>
          <w:szCs w:val="24"/>
          <w:highlight w:val="none"/>
        </w:rPr>
        <w:t>.当采购数量与实际使用数量不一致时，乙方应根据实际使用量供货，合同的最终结算金额按实际使用量乘以成交单价进行计算，但不得超出合同价的10%。</w:t>
      </w:r>
    </w:p>
    <w:p>
      <w:pPr>
        <w:pStyle w:val="15"/>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hAnsi="宋体" w:eastAsia="宋体" w:cs="宋体"/>
          <w:bCs/>
          <w:color w:val="auto"/>
          <w:sz w:val="24"/>
          <w:szCs w:val="24"/>
          <w:highlight w:val="none"/>
          <w:u w:val="single"/>
        </w:rPr>
        <w:t>2.</w:t>
      </w:r>
      <w:r>
        <w:rPr>
          <w:rFonts w:hint="eastAsia" w:hAnsi="宋体" w:eastAsia="宋体" w:cs="宋体"/>
          <w:color w:val="auto"/>
          <w:sz w:val="24"/>
          <w:szCs w:val="24"/>
          <w:highlight w:val="none"/>
          <w:u w:val="single"/>
        </w:rPr>
        <w:t>付款方式</w:t>
      </w:r>
      <w:r>
        <w:rPr>
          <w:rFonts w:hint="eastAsia" w:hAnsi="宋体" w:eastAsia="宋体" w:cs="宋体"/>
          <w:color w:val="auto"/>
          <w:sz w:val="24"/>
          <w:szCs w:val="24"/>
          <w:highlight w:val="none"/>
          <w:u w:val="single"/>
          <w:lang w:eastAsia="zh-CN"/>
        </w:rPr>
        <w:t>：</w:t>
      </w:r>
      <w:r>
        <w:rPr>
          <w:rFonts w:hint="eastAsia" w:ascii="宋体" w:hAnsi="宋体" w:eastAsia="宋体" w:cs="宋体"/>
          <w:color w:val="auto"/>
          <w:sz w:val="24"/>
          <w:highlight w:val="none"/>
          <w:u w:val="single"/>
        </w:rPr>
        <w:t>分三阶段付</w:t>
      </w:r>
      <w:r>
        <w:rPr>
          <w:rFonts w:hint="eastAsia" w:ascii="宋体" w:hAnsi="宋体" w:eastAsia="宋体" w:cs="宋体"/>
          <w:color w:val="auto"/>
          <w:sz w:val="24"/>
          <w:szCs w:val="24"/>
          <w:highlight w:val="none"/>
          <w:u w:val="single"/>
        </w:rPr>
        <w:t>款</w:t>
      </w:r>
      <w:r>
        <w:rPr>
          <w:rFonts w:hint="eastAsia" w:hAnsi="宋体" w:eastAsia="宋体" w:cs="宋体"/>
          <w:color w:val="auto"/>
          <w:sz w:val="24"/>
          <w:szCs w:val="24"/>
          <w:highlight w:val="none"/>
          <w:u w:val="single"/>
          <w:lang w:eastAsia="zh-CN"/>
        </w:rPr>
        <w:t>。</w:t>
      </w:r>
    </w:p>
    <w:p>
      <w:pPr>
        <w:pStyle w:val="15"/>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第一阶段：货物进场双方现场清点完毕后支付35%合同款；</w:t>
      </w:r>
    </w:p>
    <w:p>
      <w:pPr>
        <w:pStyle w:val="15"/>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第二阶段：项目整体通过</w:t>
      </w:r>
      <w:r>
        <w:rPr>
          <w:rFonts w:hint="eastAsia" w:hAnsi="宋体" w:eastAsia="宋体"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rPr>
        <w:t>验收后支付60%合同款；</w:t>
      </w:r>
    </w:p>
    <w:p>
      <w:pPr>
        <w:pStyle w:val="15"/>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第三阶段：项目验收合格且平稳运行满12个月后支付5%合同款。</w:t>
      </w:r>
    </w:p>
    <w:p>
      <w:pPr>
        <w:pStyle w:val="15"/>
        <w:snapToGrid w:val="0"/>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每次付款前，</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须开具合法有效的增值税发票给</w:t>
      </w:r>
      <w:r>
        <w:rPr>
          <w:rFonts w:hint="eastAsia" w:ascii="宋体" w:hAnsi="宋体" w:eastAsia="宋体"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rPr>
        <w:t>。</w:t>
      </w:r>
    </w:p>
    <w:p>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第九条　履约保证金</w:t>
      </w:r>
    </w:p>
    <w:p>
      <w:pPr>
        <w:pStyle w:val="15"/>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履约保证金金额：按中标金额的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或5%</w:t>
      </w:r>
      <w:r>
        <w:rPr>
          <w:rFonts w:hint="eastAsia" w:ascii="宋体" w:hAnsi="宋体" w:eastAsia="宋体" w:cs="宋体"/>
          <w:color w:val="auto"/>
          <w:sz w:val="24"/>
          <w:szCs w:val="24"/>
          <w:highlight w:val="none"/>
        </w:rPr>
        <w:t>（依据</w:t>
      </w:r>
      <w:r>
        <w:rPr>
          <w:rFonts w:hint="eastAsia" w:ascii="宋体" w:hAnsi="宋体" w:cs="宋体"/>
          <w:color w:val="auto"/>
          <w:sz w:val="24"/>
          <w:szCs w:val="24"/>
          <w:highlight w:val="none"/>
        </w:rPr>
        <w:t>投标文件中的中小企业声明函，</w:t>
      </w:r>
      <w:r>
        <w:rPr>
          <w:rFonts w:hint="eastAsia" w:hAnsi="宋体" w:cs="宋体"/>
          <w:color w:val="auto"/>
          <w:sz w:val="24"/>
          <w:szCs w:val="24"/>
          <w:highlight w:val="none"/>
          <w:lang w:val="en-US" w:eastAsia="zh-CN"/>
        </w:rPr>
        <w:t>乙方</w:t>
      </w:r>
      <w:r>
        <w:rPr>
          <w:rFonts w:hint="eastAsia" w:ascii="宋体" w:hAnsi="宋体" w:cs="宋体"/>
          <w:color w:val="auto"/>
          <w:sz w:val="24"/>
          <w:szCs w:val="24"/>
          <w:highlight w:val="none"/>
        </w:rPr>
        <w:t>为中小微企业的，履约保证金为合同金额的2%；</w:t>
      </w:r>
      <w:r>
        <w:rPr>
          <w:rFonts w:hint="eastAsia" w:hAnsi="宋体" w:cs="宋体"/>
          <w:color w:val="auto"/>
          <w:sz w:val="24"/>
          <w:szCs w:val="24"/>
          <w:highlight w:val="none"/>
          <w:lang w:val="en-US" w:eastAsia="zh-CN"/>
        </w:rPr>
        <w:t>乙方</w:t>
      </w:r>
      <w:r>
        <w:rPr>
          <w:rFonts w:hint="eastAsia" w:ascii="宋体" w:hAnsi="宋体" w:cs="宋体"/>
          <w:color w:val="auto"/>
          <w:sz w:val="24"/>
          <w:szCs w:val="24"/>
          <w:highlight w:val="none"/>
        </w:rPr>
        <w:t>为大型企业的，履约保证金为合同金额的5%</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履约保证金递交方式：支票、汇票、本票或者金融、担保机构出具的保函等非现金方式。</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履约保证金退付方式、时间及条件：</w:t>
      </w:r>
      <w:r>
        <w:rPr>
          <w:rFonts w:hint="eastAsia" w:ascii="宋体" w:hAnsi="宋体" w:eastAsia="宋体" w:cs="宋体"/>
          <w:color w:val="auto"/>
          <w:sz w:val="24"/>
          <w:highlight w:val="none"/>
          <w:lang w:val="en-US" w:eastAsia="zh-CN"/>
        </w:rPr>
        <w:t>（1）乙方若不能完全履行合同，如发生未按期交付、怠工、人员不足、货不对版等违约情形的，履约保证金不予退还；</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（2）乙方若完全履行合同，在项目验收合格后，乙方凭履约保证金财务凭证到甲方财务部门办理无息退还手续。</w:t>
      </w:r>
    </w:p>
    <w:p>
      <w:pPr>
        <w:autoSpaceDE w:val="0"/>
        <w:autoSpaceDN w:val="0"/>
        <w:snapToGrid w:val="0"/>
        <w:spacing w:line="360" w:lineRule="auto"/>
        <w:ind w:firstLine="484" w:firstLineChars="202"/>
        <w:textAlignment w:val="bottom"/>
        <w:rPr>
          <w:rFonts w:ascii="宋体" w:hAnsi="宋体" w:eastAsia="宋体" w:cs="宋体"/>
          <w:color w:val="auto"/>
          <w:sz w:val="24"/>
          <w:highlight w:val="none"/>
        </w:rPr>
      </w:pPr>
      <w:r>
        <w:rPr>
          <w:rFonts w:hint="eastAsia" w:ascii="宋体" w:hAnsi="宋体" w:eastAsia="宋体" w:cs="宋体"/>
          <w:color w:val="auto"/>
          <w:sz w:val="24"/>
          <w:highlight w:val="none"/>
        </w:rPr>
        <w:t>签订合同后，如</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不按双方签订的合同规定履约，则其全部履约保证金</w:t>
      </w:r>
      <w:r>
        <w:rPr>
          <w:rFonts w:hint="eastAsia" w:ascii="宋体" w:hAnsi="宋体" w:eastAsia="宋体" w:cs="宋体"/>
          <w:color w:val="auto"/>
          <w:sz w:val="24"/>
          <w:highlight w:val="none"/>
          <w:lang w:val="en-US" w:eastAsia="zh-CN"/>
        </w:rPr>
        <w:t>不予退还</w:t>
      </w:r>
      <w:r>
        <w:rPr>
          <w:rFonts w:hint="eastAsia" w:ascii="宋体" w:hAnsi="宋体" w:eastAsia="宋体" w:cs="宋体"/>
          <w:color w:val="auto"/>
          <w:sz w:val="24"/>
          <w:highlight w:val="none"/>
        </w:rPr>
        <w:t>，履约保证金不足以赔偿损失的，按实际损失赔偿。</w:t>
      </w:r>
    </w:p>
    <w:p>
      <w:pPr>
        <w:snapToGrid w:val="0"/>
        <w:spacing w:line="360" w:lineRule="auto"/>
        <w:ind w:left="-61" w:firstLine="514"/>
        <w:rPr>
          <w:rFonts w:ascii="宋体" w:hAnsi="宋体" w:eastAsia="宋体" w:cs="宋体"/>
          <w:b/>
          <w:color w:val="auto"/>
          <w:sz w:val="24"/>
          <w:highlight w:val="none"/>
        </w:rPr>
      </w:pPr>
      <w:r>
        <w:rPr>
          <w:rFonts w:hint="eastAsia" w:ascii="宋体" w:hAnsi="宋体" w:eastAsia="宋体" w:cs="宋体"/>
          <w:b/>
          <w:color w:val="auto"/>
          <w:sz w:val="24"/>
          <w:highlight w:val="none"/>
        </w:rPr>
        <w:t>第十条  税费</w:t>
      </w:r>
    </w:p>
    <w:p>
      <w:pPr>
        <w:snapToGrid w:val="0"/>
        <w:spacing w:line="360" w:lineRule="auto"/>
        <w:ind w:left="-61" w:firstLine="514"/>
        <w:rPr>
          <w:rFonts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本合同执行中相关的一切税费均由乙方负担，合同另有约定的除外。</w:t>
      </w:r>
    </w:p>
    <w:p>
      <w:pPr>
        <w:snapToGrid w:val="0"/>
        <w:spacing w:line="360" w:lineRule="auto"/>
        <w:ind w:left="-61" w:firstLine="514"/>
        <w:rPr>
          <w:rFonts w:ascii="宋体" w:hAnsi="宋体" w:eastAsia="宋体" w:cs="宋体"/>
          <w:color w:val="auto"/>
          <w:sz w:val="24"/>
          <w:highlight w:val="none"/>
        </w:rPr>
      </w:pPr>
      <w:r>
        <w:rPr>
          <w:rFonts w:hint="eastAsia" w:ascii="宋体" w:hAnsi="宋体" w:eastAsia="宋体" w:cs="宋体"/>
          <w:b/>
          <w:color w:val="auto"/>
          <w:sz w:val="24"/>
          <w:highlight w:val="none"/>
        </w:rPr>
        <w:t>第十一条  质量保证及售后服务</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bCs/>
          <w:color w:val="auto"/>
          <w:sz w:val="24"/>
          <w:szCs w:val="24"/>
          <w:highlight w:val="none"/>
        </w:rPr>
        <w:t>1.</w:t>
      </w:r>
      <w:r>
        <w:rPr>
          <w:rFonts w:hint="eastAsia" w:hAnsi="宋体" w:eastAsia="宋体" w:cs="宋体"/>
          <w:color w:val="auto"/>
          <w:sz w:val="24"/>
          <w:szCs w:val="24"/>
          <w:highlight w:val="none"/>
        </w:rPr>
        <w:t>乙方应按招标文件规定的产品名称、商标品牌、生产厂家、规格型号、技术参数、质量标准向甲方提供未经使用的全新产品。不符合要求的，根据实际情况，经双方协商，可按以下办法处理：</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（1）更换：由乙方承担所发生的全部费用。</w:t>
      </w:r>
    </w:p>
    <w:p>
      <w:pPr>
        <w:pStyle w:val="15"/>
        <w:snapToGrid w:val="0"/>
        <w:spacing w:line="360" w:lineRule="auto"/>
        <w:ind w:firstLine="420"/>
        <w:rPr>
          <w:rFonts w:hAnsi="宋体" w:eastAsia="宋体" w:cs="宋体"/>
          <w:color w:val="auto"/>
          <w:sz w:val="24"/>
          <w:szCs w:val="24"/>
          <w:highlight w:val="none"/>
        </w:rPr>
      </w:pPr>
      <w:r>
        <w:rPr>
          <w:rFonts w:hint="eastAsia" w:hAnsi="宋体" w:eastAsia="宋体" w:cs="宋体"/>
          <w:color w:val="auto"/>
          <w:sz w:val="24"/>
          <w:szCs w:val="24"/>
          <w:highlight w:val="none"/>
        </w:rPr>
        <w:t>（2）贬值处理：由甲乙双方合议定价。</w:t>
      </w:r>
    </w:p>
    <w:p>
      <w:pPr>
        <w:pStyle w:val="15"/>
        <w:snapToGrid w:val="0"/>
        <w:spacing w:line="360" w:lineRule="auto"/>
        <w:ind w:firstLine="420"/>
        <w:rPr>
          <w:rFonts w:hAnsi="宋体" w:eastAsia="宋体" w:cs="宋体"/>
          <w:color w:val="auto"/>
          <w:sz w:val="24"/>
          <w:szCs w:val="24"/>
          <w:highlight w:val="none"/>
        </w:rPr>
      </w:pPr>
      <w:r>
        <w:rPr>
          <w:rFonts w:hint="eastAsia" w:hAnsi="宋体" w:eastAsia="宋体" w:cs="宋体"/>
          <w:color w:val="auto"/>
          <w:sz w:val="24"/>
          <w:szCs w:val="24"/>
          <w:highlight w:val="none"/>
        </w:rPr>
        <w:t>（3）退货处理：乙方应退还甲方支付的合同款，同时应承担该货物的直接费用（运输、保险、检验、货款利息及银行手续费等）。</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2.如在使用过程中发生质量问题，乙方在接到甲方通知后到达甲方现场处理的时间</w:t>
      </w:r>
      <w:r>
        <w:rPr>
          <w:rFonts w:hint="eastAsia" w:hAnsi="宋体" w:eastAsia="宋体" w:cs="宋体"/>
          <w:color w:val="auto"/>
          <w:sz w:val="24"/>
          <w:szCs w:val="24"/>
          <w:highlight w:val="none"/>
          <w:u w:val="single"/>
          <w:lang w:val="en-US" w:eastAsia="zh-CN"/>
        </w:rPr>
        <w:t>12</w:t>
      </w:r>
      <w:r>
        <w:rPr>
          <w:rFonts w:hint="eastAsia" w:hAnsi="宋体" w:eastAsia="宋体" w:cs="宋体"/>
          <w:color w:val="auto"/>
          <w:sz w:val="24"/>
          <w:szCs w:val="24"/>
          <w:highlight w:val="none"/>
        </w:rPr>
        <w:t>小时内。</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3.在保修期内，乙方应对货物出现的质量及安全问题负责处理解决并承担一切费用。</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4.上述的货物保修期为</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rPr>
        <w:t>年，因人为因素出现的故障不在免费保修范围内。超过保修期的机器设备，终生维修，维修时只收部件成本费。</w:t>
      </w:r>
    </w:p>
    <w:p>
      <w:pPr>
        <w:snapToGrid w:val="0"/>
        <w:spacing w:line="360" w:lineRule="auto"/>
        <w:ind w:left="-61" w:firstLine="514"/>
        <w:rPr>
          <w:rFonts w:ascii="宋体" w:hAnsi="宋体" w:eastAsia="宋体" w:cs="宋体"/>
          <w:color w:val="auto"/>
          <w:sz w:val="24"/>
          <w:highlight w:val="none"/>
        </w:rPr>
      </w:pPr>
      <w:r>
        <w:rPr>
          <w:rFonts w:hint="eastAsia" w:ascii="宋体" w:hAnsi="宋体" w:eastAsia="宋体" w:cs="宋体"/>
          <w:b/>
          <w:color w:val="auto"/>
          <w:sz w:val="24"/>
          <w:highlight w:val="none"/>
        </w:rPr>
        <w:t>第十二条  调试和验收（本条款适用于甲方自行验收，委托第三方验收的另行规定）</w:t>
      </w:r>
    </w:p>
    <w:p>
      <w:pPr>
        <w:pStyle w:val="15"/>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2.乙方交货前应对产品作出全面检查和对验收文件进行整理，并列出清单，作为甲方收货验收和使用的技术条件依据，检验的结果应随货物交甲方。</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3.甲方对乙方提供的货物在使用前进行调试时，乙方需负责安装并培训甲方的使用操作人员，并协助甲方一起调试，直到符合技术要求，甲方才做最终验收。</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4.对技术复杂的货物，甲方应请国家认可的专业检测机构参与初步验收及最终验收，并由其出具质量检测报告。</w:t>
      </w:r>
    </w:p>
    <w:p>
      <w:pPr>
        <w:snapToGrid w:val="0"/>
        <w:spacing w:line="360" w:lineRule="auto"/>
        <w:ind w:left="-61" w:firstLine="514"/>
        <w:rPr>
          <w:rFonts w:ascii="宋体" w:hAnsi="宋体" w:eastAsia="宋体" w:cs="宋体"/>
          <w:color w:val="auto"/>
          <w:sz w:val="24"/>
          <w:highlight w:val="none"/>
        </w:rPr>
      </w:pPr>
      <w:r>
        <w:rPr>
          <w:rFonts w:hint="eastAsia" w:ascii="宋体" w:hAnsi="宋体" w:eastAsia="宋体" w:cs="宋体"/>
          <w:color w:val="auto"/>
          <w:sz w:val="24"/>
          <w:highlight w:val="none"/>
        </w:rPr>
        <w:t>5. 验收时乙方必须在现场，验收完毕后作出验收结果报告；验收费用按招标文件约定承担方负责。</w:t>
      </w:r>
    </w:p>
    <w:p>
      <w:pPr>
        <w:pStyle w:val="15"/>
        <w:snapToGrid w:val="0"/>
        <w:spacing w:line="360" w:lineRule="auto"/>
        <w:ind w:firstLine="472" w:firstLineChars="196"/>
        <w:rPr>
          <w:rFonts w:hAnsi="宋体" w:eastAsia="宋体" w:cs="宋体"/>
          <w:b/>
          <w:color w:val="auto"/>
          <w:sz w:val="24"/>
          <w:szCs w:val="24"/>
          <w:highlight w:val="none"/>
        </w:rPr>
      </w:pPr>
      <w:r>
        <w:rPr>
          <w:rFonts w:hint="eastAsia" w:hAnsi="宋体" w:eastAsia="宋体" w:cs="宋体"/>
          <w:b/>
          <w:color w:val="auto"/>
          <w:sz w:val="24"/>
          <w:szCs w:val="24"/>
          <w:highlight w:val="none"/>
        </w:rPr>
        <w:t>第十三条  货物包装、发运及运输</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1.乙方应在货物发运前对其进行满足运输距离、防潮、防震、防锈和防破损装卸等要求包装，以保证货物安全运达甲方指定地点。</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 使用说明书（货物属于进口产品的，供货时应同时附上中文使用说明书）、质量检验证明书、随配附件和工具以及清单一并附于货物内。</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3.乙方在货物发运手续办理完毕后二十四小时内或者货到甲方四十八小时前通知甲方，以准备接货。</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4.货物在交付甲方前发生的风险均由乙方负责。</w:t>
      </w:r>
    </w:p>
    <w:p>
      <w:pPr>
        <w:pStyle w:val="15"/>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5.货物在规</w:t>
      </w:r>
      <w:r>
        <w:rPr>
          <w:rFonts w:hint="eastAsia" w:hAnsi="宋体" w:eastAsia="宋体" w:cs="宋体"/>
          <w:color w:val="auto"/>
          <w:spacing w:val="-8"/>
          <w:sz w:val="24"/>
          <w:szCs w:val="24"/>
          <w:highlight w:val="none"/>
        </w:rPr>
        <w:t>定的交付期限内由乙方送达甲方指定的地点视为交付，乙方同时需通知甲方货物已送达。</w:t>
      </w:r>
    </w:p>
    <w:p>
      <w:pPr>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第十四条　违约责任</w:t>
      </w:r>
    </w:p>
    <w:p>
      <w:pPr>
        <w:pStyle w:val="15"/>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5"/>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2.乙方提供的货物如侵犯了第三方合法权益而引发的任何纠纷或者诉讼，均由乙方负责交涉并承担全部责任。若甲方因此遭受损失的，乙方除返还全部货款并按合同总价款的</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rPr>
        <w:t>%向甲方支付违约金外，还应赔偿甲方因此而遭受的全部损失。</w:t>
      </w:r>
    </w:p>
    <w:p>
      <w:pPr>
        <w:pStyle w:val="15"/>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3.因包装、运输引起的货物损坏，按质量不合格处罚。</w:t>
      </w:r>
    </w:p>
    <w:p>
      <w:pPr>
        <w:pStyle w:val="15"/>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4.甲方无故延期验收、乙方逾期交付使用的，每天向对方偿付</w:t>
      </w:r>
      <w:r>
        <w:rPr>
          <w:rFonts w:hint="eastAsia" w:hAnsi="宋体" w:eastAsia="宋体" w:cs="宋体"/>
          <w:color w:val="auto"/>
          <w:sz w:val="24"/>
          <w:szCs w:val="24"/>
          <w:highlight w:val="none"/>
          <w:lang w:val="en-US" w:eastAsia="zh-CN"/>
        </w:rPr>
        <w:t>合同金</w:t>
      </w:r>
      <w:r>
        <w:rPr>
          <w:rFonts w:hint="eastAsia" w:hAnsi="宋体" w:eastAsia="宋体" w:cs="宋体"/>
          <w:color w:val="auto"/>
          <w:sz w:val="24"/>
          <w:szCs w:val="24"/>
          <w:highlight w:val="none"/>
        </w:rPr>
        <w:t>额</w:t>
      </w:r>
      <w:r>
        <w:rPr>
          <w:rFonts w:hint="eastAsia" w:hAnsi="宋体" w:eastAsia="宋体" w:cs="宋体"/>
          <w:color w:val="auto"/>
          <w:sz w:val="24"/>
          <w:szCs w:val="24"/>
          <w:highlight w:val="none"/>
          <w:lang w:val="en-US" w:eastAsia="zh-CN"/>
        </w:rPr>
        <w:t>2</w:t>
      </w:r>
      <w:r>
        <w:rPr>
          <w:rFonts w:hint="eastAsia" w:hAnsi="宋体" w:eastAsia="宋体" w:cs="宋体"/>
          <w:color w:val="auto"/>
          <w:sz w:val="24"/>
          <w:szCs w:val="24"/>
          <w:highlight w:val="none"/>
        </w:rPr>
        <w:t>‰违约金，但违约金累计不得超过</w:t>
      </w:r>
      <w:r>
        <w:rPr>
          <w:rFonts w:hint="eastAsia" w:hAnsi="宋体" w:eastAsia="宋体" w:cs="宋体"/>
          <w:color w:val="auto"/>
          <w:sz w:val="24"/>
          <w:szCs w:val="24"/>
          <w:highlight w:val="none"/>
          <w:lang w:val="en-US" w:eastAsia="zh-CN"/>
        </w:rPr>
        <w:t>合同金</w:t>
      </w:r>
      <w:r>
        <w:rPr>
          <w:rFonts w:hint="eastAsia" w:hAnsi="宋体" w:eastAsia="宋体" w:cs="宋体"/>
          <w:color w:val="auto"/>
          <w:sz w:val="24"/>
          <w:szCs w:val="24"/>
          <w:highlight w:val="none"/>
        </w:rPr>
        <w:t>额5%，超过</w:t>
      </w:r>
      <w:r>
        <w:rPr>
          <w:rFonts w:hint="eastAsia" w:hAnsi="宋体" w:eastAsia="宋体" w:cs="宋体"/>
          <w:color w:val="auto"/>
          <w:sz w:val="24"/>
          <w:szCs w:val="24"/>
          <w:highlight w:val="none"/>
          <w:lang w:val="en-US" w:eastAsia="zh-CN"/>
        </w:rPr>
        <w:t>10</w:t>
      </w:r>
      <w:r>
        <w:rPr>
          <w:rFonts w:hint="eastAsia" w:hAnsi="宋体" w:eastAsia="宋体" w:cs="宋体"/>
          <w:color w:val="auto"/>
          <w:sz w:val="24"/>
          <w:szCs w:val="24"/>
          <w:highlight w:val="none"/>
        </w:rPr>
        <w:t>天对方有权解除合同，违约方承担因此给对方造成经济损失；甲方延期付货款的，每天向乙方偿付</w:t>
      </w:r>
      <w:r>
        <w:rPr>
          <w:rFonts w:hint="eastAsia" w:hAnsi="宋体" w:eastAsia="宋体" w:cs="宋体"/>
          <w:color w:val="auto"/>
          <w:sz w:val="24"/>
          <w:szCs w:val="24"/>
          <w:highlight w:val="none"/>
          <w:lang w:val="en-US" w:eastAsia="zh-CN"/>
        </w:rPr>
        <w:t>合同金额2</w:t>
      </w:r>
      <w:r>
        <w:rPr>
          <w:rFonts w:hint="eastAsia" w:hAnsi="宋体" w:eastAsia="宋体" w:cs="宋体"/>
          <w:color w:val="auto"/>
          <w:sz w:val="24"/>
          <w:szCs w:val="24"/>
          <w:highlight w:val="none"/>
        </w:rPr>
        <w:t>‰滞纳金，但滞纳金累计不得超过</w:t>
      </w:r>
      <w:r>
        <w:rPr>
          <w:rFonts w:hint="eastAsia" w:hAnsi="宋体" w:eastAsia="宋体" w:cs="宋体"/>
          <w:color w:val="auto"/>
          <w:sz w:val="24"/>
          <w:szCs w:val="24"/>
          <w:highlight w:val="none"/>
          <w:lang w:val="en-US" w:eastAsia="zh-CN"/>
        </w:rPr>
        <w:t>合同金</w:t>
      </w:r>
      <w:r>
        <w:rPr>
          <w:rFonts w:hint="eastAsia" w:hAnsi="宋体" w:eastAsia="宋体" w:cs="宋体"/>
          <w:color w:val="auto"/>
          <w:sz w:val="24"/>
          <w:szCs w:val="24"/>
          <w:highlight w:val="none"/>
        </w:rPr>
        <w:t>额5%。甲方无故延期退付履约保证金的，每天向对方偿付未退付履约保证金</w:t>
      </w:r>
      <w:r>
        <w:rPr>
          <w:rFonts w:hint="eastAsia" w:hAnsi="宋体" w:eastAsia="宋体" w:cs="宋体"/>
          <w:color w:val="auto"/>
          <w:sz w:val="24"/>
          <w:szCs w:val="24"/>
          <w:highlight w:val="none"/>
          <w:lang w:val="en-US" w:eastAsia="zh-CN"/>
        </w:rPr>
        <w:t>2</w:t>
      </w:r>
      <w:r>
        <w:rPr>
          <w:rFonts w:hint="eastAsia" w:hAnsi="宋体" w:eastAsia="宋体" w:cs="宋体"/>
          <w:color w:val="auto"/>
          <w:sz w:val="24"/>
          <w:szCs w:val="24"/>
          <w:highlight w:val="none"/>
        </w:rPr>
        <w:t>‰的违约金。</w:t>
      </w:r>
    </w:p>
    <w:p>
      <w:pPr>
        <w:pStyle w:val="15"/>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 乙方未按本合同和投标文件中规定的服务承诺提供售后服务的，乙方应按本合同合计金额 5%向甲方支付违约金。</w:t>
      </w:r>
    </w:p>
    <w:p>
      <w:pPr>
        <w:pStyle w:val="15"/>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6. 乙方提供的货物在质量保证期内，因设计、工艺或者材料的缺陷和其它质量原因造成的问题，由乙方负责，费用从余款或者履约保证金中扣除，不足另补。</w:t>
      </w:r>
    </w:p>
    <w:p>
      <w:pPr>
        <w:pStyle w:val="15"/>
        <w:snapToGrid w:val="0"/>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rPr>
        <w:t>如乙方违反合同约定的保密义务，每违反一次收取合同总价款0.2%的违约金，累计不超过合同总价款的</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rPr>
        <w:t>%，违约金不足以弥补甲方实际损失的，还应支付赔偿金。</w:t>
      </w:r>
    </w:p>
    <w:p>
      <w:pPr>
        <w:pStyle w:val="15"/>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8</w:t>
      </w:r>
      <w:r>
        <w:rPr>
          <w:rFonts w:hint="eastAsia" w:hAnsi="宋体" w:eastAsia="宋体" w:cs="宋体"/>
          <w:color w:val="auto"/>
          <w:sz w:val="24"/>
          <w:szCs w:val="24"/>
          <w:highlight w:val="none"/>
        </w:rPr>
        <w:t>. 甲乙双方有其它违约行为的，由违约方向对方支付违约内容涉及货款额的5%，违约内容涉及货款额的5%不足以赔偿经济损失的按实际赔偿。</w:t>
      </w:r>
    </w:p>
    <w:p>
      <w:pPr>
        <w:pStyle w:val="15"/>
        <w:snapToGrid w:val="0"/>
        <w:spacing w:line="360" w:lineRule="auto"/>
        <w:ind w:firstLine="480" w:firstLineChars="200"/>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经济损失是指一方因此而遭受的全部经济损失（包括但不限于直接损失、间接损失及实现债权的费用，如诉讼费、律师费、差旅费、调查费、财产保全责任险保险费等）。</w:t>
      </w:r>
    </w:p>
    <w:p>
      <w:pPr>
        <w:pStyle w:val="15"/>
        <w:snapToGrid w:val="0"/>
        <w:spacing w:line="360" w:lineRule="auto"/>
        <w:ind w:firstLine="482" w:firstLineChars="200"/>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第十五条  不可抗力事件处理</w:t>
      </w:r>
    </w:p>
    <w:p>
      <w:pPr>
        <w:pStyle w:val="15"/>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1.在合同有效期内，任何一方因不可抗力事件导致不能履行合同，则合同履行期可延长，其延长期与不可抗力影响期相同。</w:t>
      </w:r>
    </w:p>
    <w:p>
      <w:pPr>
        <w:pStyle w:val="15"/>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2.不可抗力事件发生后，应立即通知对方，并寄送有关权威机构出具的证明。</w:t>
      </w:r>
    </w:p>
    <w:p>
      <w:pPr>
        <w:pStyle w:val="15"/>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3.不可抗力事件延续一百二十天以上，双方应通过友好协商，确定是否继续履行合同。</w:t>
      </w:r>
    </w:p>
    <w:p>
      <w:pPr>
        <w:snapToGrid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第十六条  合同争议解决</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 因履行本合同引起的或者与本合同有关的争议，甲乙双方应首先通过友好协商解决，如果协商不能解决，可向甲方所在地有管辖权的人民法院提起诉讼。</w:t>
      </w:r>
    </w:p>
    <w:p>
      <w:pPr>
        <w:snapToGrid w:val="0"/>
        <w:spacing w:line="360" w:lineRule="auto"/>
        <w:ind w:left="-61" w:firstLine="514"/>
        <w:rPr>
          <w:rFonts w:ascii="宋体" w:hAnsi="宋体" w:eastAsia="宋体" w:cs="宋体"/>
          <w:color w:val="auto"/>
          <w:sz w:val="24"/>
          <w:highlight w:val="none"/>
        </w:rPr>
      </w:pPr>
      <w:r>
        <w:rPr>
          <w:rFonts w:hint="eastAsia" w:ascii="宋体" w:hAnsi="宋体" w:eastAsia="宋体" w:cs="宋体"/>
          <w:color w:val="auto"/>
          <w:sz w:val="24"/>
          <w:highlight w:val="none"/>
        </w:rPr>
        <w:t>3.诉讼期间，本合同继续履行。</w:t>
      </w:r>
    </w:p>
    <w:p>
      <w:pPr>
        <w:pStyle w:val="15"/>
        <w:snapToGrid w:val="0"/>
        <w:spacing w:line="360" w:lineRule="auto"/>
        <w:ind w:firstLine="472" w:firstLineChars="196"/>
        <w:rPr>
          <w:rFonts w:hAnsi="宋体" w:eastAsia="宋体" w:cs="宋体"/>
          <w:b/>
          <w:color w:val="auto"/>
          <w:sz w:val="24"/>
          <w:szCs w:val="24"/>
          <w:highlight w:val="none"/>
        </w:rPr>
      </w:pPr>
      <w:r>
        <w:rPr>
          <w:rFonts w:hint="eastAsia" w:hAnsi="宋体" w:eastAsia="宋体" w:cs="宋体"/>
          <w:b/>
          <w:color w:val="auto"/>
          <w:sz w:val="24"/>
          <w:szCs w:val="24"/>
          <w:highlight w:val="none"/>
        </w:rPr>
        <w:t>第十七条  合同生效及其它</w:t>
      </w:r>
    </w:p>
    <w:p>
      <w:pPr>
        <w:pStyle w:val="15"/>
        <w:snapToGrid w:val="0"/>
        <w:spacing w:line="360" w:lineRule="auto"/>
        <w:ind w:firstLine="480" w:firstLineChars="200"/>
        <w:rPr>
          <w:rFonts w:hAnsi="宋体" w:eastAsia="宋体" w:cs="宋体"/>
          <w:b w:val="0"/>
          <w:bCs/>
          <w:color w:val="auto"/>
          <w:sz w:val="24"/>
          <w:szCs w:val="24"/>
          <w:highlight w:val="none"/>
        </w:rPr>
      </w:pPr>
      <w:r>
        <w:rPr>
          <w:rFonts w:hint="eastAsia" w:hAnsi="宋体" w:eastAsia="宋体" w:cs="宋体"/>
          <w:b w:val="0"/>
          <w:bCs/>
          <w:color w:val="auto"/>
          <w:sz w:val="24"/>
          <w:szCs w:val="24"/>
          <w:highlight w:val="none"/>
        </w:rPr>
        <w:t>1. 合同经双方法定代表人或者委托代理人签字并加盖单位公章后生效（委托代理人签字的需后附授权委托书，格式自拟）。</w:t>
      </w:r>
    </w:p>
    <w:p>
      <w:pPr>
        <w:pStyle w:val="15"/>
        <w:snapToGrid w:val="0"/>
        <w:spacing w:line="360" w:lineRule="auto"/>
        <w:ind w:left="420" w:leftChars="200"/>
        <w:rPr>
          <w:rFonts w:hAnsi="宋体" w:eastAsia="宋体" w:cs="宋体"/>
          <w:b w:val="0"/>
          <w:bCs/>
          <w:color w:val="auto"/>
          <w:sz w:val="24"/>
          <w:szCs w:val="24"/>
          <w:highlight w:val="none"/>
        </w:rPr>
      </w:pPr>
      <w:r>
        <w:rPr>
          <w:rFonts w:hint="eastAsia" w:hAnsi="宋体" w:eastAsia="宋体" w:cs="宋体"/>
          <w:b w:val="0"/>
          <w:bCs/>
          <w:color w:val="auto"/>
          <w:sz w:val="24"/>
          <w:szCs w:val="24"/>
          <w:highlight w:val="none"/>
        </w:rPr>
        <w:t>2.本合同未尽事宜，遵照《中华人民共和国民法典》有关条文执行。</w:t>
      </w:r>
    </w:p>
    <w:p>
      <w:pPr>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第十八条　合同的变更、终止与转让</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除《中华人民共和国政府采购法》第五十条规定的情形外，本合同一经签订，甲乙双方不得擅自变更、中止或者终止。</w:t>
      </w:r>
    </w:p>
    <w:p>
      <w:pPr>
        <w:snapToGrid w:val="0"/>
        <w:spacing w:line="360" w:lineRule="auto"/>
        <w:ind w:left="-61" w:firstLine="514"/>
        <w:rPr>
          <w:rFonts w:ascii="宋体" w:hAnsi="宋体" w:eastAsia="宋体" w:cs="宋体"/>
          <w:color w:val="auto"/>
          <w:sz w:val="24"/>
          <w:highlight w:val="none"/>
        </w:rPr>
      </w:pPr>
      <w:r>
        <w:rPr>
          <w:rFonts w:hint="eastAsia" w:ascii="宋体" w:hAnsi="宋体" w:eastAsia="宋体" w:cs="宋体"/>
          <w:color w:val="auto"/>
          <w:sz w:val="24"/>
          <w:highlight w:val="none"/>
        </w:rPr>
        <w:t>2. 乙方不得擅自转让（无进口资格的供应商委托进口货物除外）其应履行的合同义务。</w:t>
      </w:r>
    </w:p>
    <w:p>
      <w:pPr>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第十九条　</w:t>
      </w:r>
      <w:r>
        <w:rPr>
          <w:rFonts w:hint="eastAsia" w:ascii="宋体" w:hAnsi="宋体" w:eastAsia="宋体" w:cs="宋体"/>
          <w:color w:val="auto"/>
          <w:spacing w:val="-2"/>
          <w:kern w:val="0"/>
          <w:sz w:val="24"/>
          <w:highlight w:val="none"/>
        </w:rPr>
        <w:t>本</w:t>
      </w:r>
      <w:r>
        <w:rPr>
          <w:rFonts w:hint="eastAsia" w:ascii="宋体" w:hAnsi="宋体" w:eastAsia="宋体" w:cs="宋体"/>
          <w:color w:val="auto"/>
          <w:kern w:val="0"/>
          <w:sz w:val="24"/>
          <w:highlight w:val="none"/>
        </w:rPr>
        <w:t>合同书</w:t>
      </w:r>
      <w:r>
        <w:rPr>
          <w:rFonts w:hint="eastAsia" w:ascii="宋体" w:hAnsi="宋体" w:eastAsia="宋体" w:cs="宋体"/>
          <w:color w:val="auto"/>
          <w:spacing w:val="-2"/>
          <w:kern w:val="0"/>
          <w:sz w:val="24"/>
          <w:highlight w:val="none"/>
        </w:rPr>
        <w:t>与</w:t>
      </w:r>
      <w:r>
        <w:rPr>
          <w:rFonts w:hint="eastAsia" w:ascii="宋体" w:hAnsi="宋体" w:eastAsia="宋体" w:cs="宋体"/>
          <w:color w:val="auto"/>
          <w:kern w:val="0"/>
          <w:sz w:val="24"/>
          <w:highlight w:val="none"/>
        </w:rPr>
        <w:t>下</w:t>
      </w:r>
      <w:r>
        <w:rPr>
          <w:rFonts w:hint="eastAsia" w:ascii="宋体" w:hAnsi="宋体" w:eastAsia="宋体" w:cs="宋体"/>
          <w:color w:val="auto"/>
          <w:spacing w:val="-2"/>
          <w:kern w:val="0"/>
          <w:sz w:val="24"/>
          <w:highlight w:val="none"/>
        </w:rPr>
        <w:t>列</w:t>
      </w:r>
      <w:r>
        <w:rPr>
          <w:rFonts w:hint="eastAsia" w:ascii="宋体" w:hAnsi="宋体" w:eastAsia="宋体" w:cs="宋体"/>
          <w:color w:val="auto"/>
          <w:kern w:val="0"/>
          <w:sz w:val="24"/>
          <w:highlight w:val="none"/>
        </w:rPr>
        <w:t>文</w:t>
      </w:r>
      <w:r>
        <w:rPr>
          <w:rFonts w:hint="eastAsia" w:ascii="宋体" w:hAnsi="宋体" w:eastAsia="宋体" w:cs="宋体"/>
          <w:color w:val="auto"/>
          <w:spacing w:val="-2"/>
          <w:kern w:val="0"/>
          <w:sz w:val="24"/>
          <w:highlight w:val="none"/>
        </w:rPr>
        <w:t>件一</w:t>
      </w:r>
      <w:r>
        <w:rPr>
          <w:rFonts w:hint="eastAsia" w:ascii="宋体" w:hAnsi="宋体" w:eastAsia="宋体" w:cs="宋体"/>
          <w:color w:val="auto"/>
          <w:kern w:val="0"/>
          <w:sz w:val="24"/>
          <w:highlight w:val="none"/>
        </w:rPr>
        <w:t>起构</w:t>
      </w:r>
      <w:r>
        <w:rPr>
          <w:rFonts w:hint="eastAsia" w:ascii="宋体" w:hAnsi="宋体" w:eastAsia="宋体" w:cs="宋体"/>
          <w:color w:val="auto"/>
          <w:spacing w:val="-2"/>
          <w:kern w:val="0"/>
          <w:sz w:val="24"/>
          <w:highlight w:val="none"/>
        </w:rPr>
        <w:t>成</w:t>
      </w:r>
      <w:r>
        <w:rPr>
          <w:rFonts w:hint="eastAsia" w:ascii="宋体" w:hAnsi="宋体" w:eastAsia="宋体" w:cs="宋体"/>
          <w:color w:val="auto"/>
          <w:kern w:val="0"/>
          <w:sz w:val="24"/>
          <w:highlight w:val="none"/>
        </w:rPr>
        <w:t>合</w:t>
      </w:r>
      <w:r>
        <w:rPr>
          <w:rFonts w:hint="eastAsia" w:ascii="宋体" w:hAnsi="宋体" w:eastAsia="宋体" w:cs="宋体"/>
          <w:color w:val="auto"/>
          <w:spacing w:val="-2"/>
          <w:kern w:val="0"/>
          <w:sz w:val="24"/>
          <w:highlight w:val="none"/>
        </w:rPr>
        <w:t>同</w:t>
      </w:r>
      <w:r>
        <w:rPr>
          <w:rFonts w:hint="eastAsia" w:ascii="宋体" w:hAnsi="宋体" w:eastAsia="宋体" w:cs="宋体"/>
          <w:color w:val="auto"/>
          <w:kern w:val="0"/>
          <w:sz w:val="24"/>
          <w:highlight w:val="none"/>
        </w:rPr>
        <w:t>文</w:t>
      </w:r>
      <w:r>
        <w:rPr>
          <w:rFonts w:hint="eastAsia" w:ascii="宋体" w:hAnsi="宋体" w:eastAsia="宋体" w:cs="宋体"/>
          <w:color w:val="auto"/>
          <w:spacing w:val="-2"/>
          <w:kern w:val="0"/>
          <w:sz w:val="24"/>
          <w:highlight w:val="none"/>
        </w:rPr>
        <w:t>件</w:t>
      </w:r>
    </w:p>
    <w:p>
      <w:pPr>
        <w:pStyle w:val="15"/>
        <w:snapToGrid w:val="0"/>
        <w:spacing w:line="360" w:lineRule="auto"/>
        <w:ind w:left="420" w:leftChars="200"/>
        <w:rPr>
          <w:rFonts w:hAnsi="宋体" w:eastAsia="宋体" w:cs="宋体"/>
          <w:color w:val="auto"/>
          <w:sz w:val="24"/>
          <w:szCs w:val="24"/>
          <w:highlight w:val="none"/>
        </w:rPr>
      </w:pPr>
      <w:r>
        <w:rPr>
          <w:rFonts w:hint="eastAsia" w:hAnsi="宋体" w:eastAsia="宋体" w:cs="宋体"/>
          <w:color w:val="auto"/>
          <w:sz w:val="24"/>
          <w:szCs w:val="24"/>
          <w:highlight w:val="none"/>
        </w:rPr>
        <w:t>1.中标通知书；</w:t>
      </w:r>
    </w:p>
    <w:p>
      <w:pPr>
        <w:pStyle w:val="15"/>
        <w:snapToGrid w:val="0"/>
        <w:spacing w:line="360" w:lineRule="auto"/>
        <w:ind w:left="420" w:leftChars="200"/>
        <w:rPr>
          <w:rFonts w:hAnsi="宋体" w:eastAsia="宋体" w:cs="宋体"/>
          <w:color w:val="auto"/>
          <w:sz w:val="24"/>
          <w:szCs w:val="24"/>
          <w:highlight w:val="none"/>
        </w:rPr>
      </w:pPr>
      <w:r>
        <w:rPr>
          <w:rFonts w:hint="eastAsia" w:hAnsi="宋体" w:eastAsia="宋体" w:cs="宋体"/>
          <w:color w:val="auto"/>
          <w:sz w:val="24"/>
          <w:szCs w:val="24"/>
          <w:highlight w:val="none"/>
        </w:rPr>
        <w:t>2.采购需求；</w:t>
      </w:r>
    </w:p>
    <w:p>
      <w:pPr>
        <w:pStyle w:val="15"/>
        <w:snapToGrid w:val="0"/>
        <w:spacing w:line="360" w:lineRule="auto"/>
        <w:ind w:left="420" w:leftChars="200"/>
        <w:rPr>
          <w:rFonts w:hAnsi="宋体" w:eastAsia="宋体" w:cs="宋体"/>
          <w:color w:val="auto"/>
          <w:sz w:val="24"/>
          <w:szCs w:val="24"/>
          <w:highlight w:val="none"/>
        </w:rPr>
      </w:pPr>
      <w:r>
        <w:rPr>
          <w:rFonts w:hint="eastAsia" w:hAnsi="宋体" w:eastAsia="宋体" w:cs="宋体"/>
          <w:color w:val="auto"/>
          <w:sz w:val="24"/>
          <w:szCs w:val="24"/>
          <w:highlight w:val="none"/>
        </w:rPr>
        <w:t>3.投标函；</w:t>
      </w:r>
    </w:p>
    <w:p>
      <w:pPr>
        <w:pStyle w:val="15"/>
        <w:snapToGrid w:val="0"/>
        <w:spacing w:line="360" w:lineRule="auto"/>
        <w:ind w:left="420" w:leftChars="200"/>
        <w:rPr>
          <w:rFonts w:hAnsi="宋体" w:eastAsia="宋体" w:cs="宋体"/>
          <w:color w:val="auto"/>
          <w:sz w:val="24"/>
          <w:szCs w:val="24"/>
          <w:highlight w:val="none"/>
        </w:rPr>
      </w:pPr>
      <w:r>
        <w:rPr>
          <w:rFonts w:hint="eastAsia" w:hAnsi="宋体" w:eastAsia="宋体" w:cs="宋体"/>
          <w:color w:val="auto"/>
          <w:sz w:val="24"/>
          <w:szCs w:val="24"/>
          <w:highlight w:val="none"/>
        </w:rPr>
        <w:t>4.开标一览表；</w:t>
      </w:r>
    </w:p>
    <w:p>
      <w:pPr>
        <w:pStyle w:val="15"/>
        <w:snapToGrid w:val="0"/>
        <w:spacing w:line="360" w:lineRule="auto"/>
        <w:ind w:left="420" w:leftChars="200"/>
        <w:rPr>
          <w:rFonts w:hAnsi="宋体" w:eastAsia="宋体" w:cs="宋体"/>
          <w:color w:val="auto"/>
          <w:sz w:val="24"/>
          <w:szCs w:val="24"/>
          <w:highlight w:val="none"/>
        </w:rPr>
      </w:pPr>
      <w:r>
        <w:rPr>
          <w:rFonts w:hint="eastAsia" w:hAnsi="宋体" w:eastAsia="宋体" w:cs="宋体"/>
          <w:color w:val="auto"/>
          <w:sz w:val="24"/>
          <w:szCs w:val="24"/>
          <w:highlight w:val="none"/>
        </w:rPr>
        <w:t>5.商务要求偏离表和技术要求偏离表；</w:t>
      </w:r>
    </w:p>
    <w:p>
      <w:pPr>
        <w:pStyle w:val="15"/>
        <w:snapToGrid w:val="0"/>
        <w:spacing w:line="360" w:lineRule="auto"/>
        <w:ind w:left="420" w:leftChars="200"/>
        <w:rPr>
          <w:rFonts w:hAnsi="宋体" w:eastAsia="宋体" w:cs="宋体"/>
          <w:color w:val="auto"/>
          <w:sz w:val="24"/>
          <w:szCs w:val="24"/>
          <w:highlight w:val="none"/>
        </w:rPr>
      </w:pPr>
      <w:r>
        <w:rPr>
          <w:rFonts w:hint="eastAsia" w:hAnsi="宋体" w:eastAsia="宋体" w:cs="宋体"/>
          <w:color w:val="auto"/>
          <w:sz w:val="24"/>
          <w:szCs w:val="24"/>
          <w:highlight w:val="none"/>
        </w:rPr>
        <w:t>6.设备性能配置清单；</w:t>
      </w:r>
    </w:p>
    <w:p>
      <w:pPr>
        <w:pStyle w:val="15"/>
        <w:snapToGrid w:val="0"/>
        <w:spacing w:line="360" w:lineRule="auto"/>
        <w:ind w:left="420" w:leftChars="200"/>
        <w:rPr>
          <w:rFonts w:hAnsi="宋体" w:eastAsia="宋体" w:cs="宋体"/>
          <w:color w:val="auto"/>
          <w:sz w:val="24"/>
          <w:szCs w:val="24"/>
          <w:highlight w:val="none"/>
        </w:rPr>
      </w:pPr>
      <w:r>
        <w:rPr>
          <w:rFonts w:hint="eastAsia" w:hAnsi="宋体" w:eastAsia="宋体" w:cs="宋体"/>
          <w:color w:val="auto"/>
          <w:sz w:val="24"/>
          <w:szCs w:val="24"/>
          <w:highlight w:val="none"/>
        </w:rPr>
        <w:t>7.其他合同文件。</w:t>
      </w:r>
    </w:p>
    <w:p>
      <w:pPr>
        <w:pStyle w:val="15"/>
        <w:snapToGrid w:val="0"/>
        <w:spacing w:line="360" w:lineRule="auto"/>
        <w:ind w:left="420" w:leftChars="200"/>
        <w:rPr>
          <w:rFonts w:hAnsi="宋体" w:eastAsia="宋体" w:cs="宋体"/>
          <w:b/>
          <w:color w:val="auto"/>
          <w:sz w:val="24"/>
          <w:szCs w:val="24"/>
          <w:highlight w:val="none"/>
        </w:rPr>
      </w:pPr>
      <w:r>
        <w:rPr>
          <w:rFonts w:hint="eastAsia" w:hAnsi="宋体" w:eastAsia="宋体" w:cs="宋体"/>
          <w:color w:val="auto"/>
          <w:sz w:val="24"/>
          <w:szCs w:val="24"/>
          <w:highlight w:val="none"/>
          <w:lang w:val="en-US" w:eastAsia="zh-CN"/>
        </w:rPr>
        <w:t>8</w:t>
      </w:r>
      <w:r>
        <w:rPr>
          <w:rFonts w:hint="eastAsia" w:hAnsi="宋体" w:eastAsia="宋体" w:cs="宋体"/>
          <w:color w:val="auto"/>
          <w:sz w:val="24"/>
          <w:szCs w:val="24"/>
          <w:highlight w:val="none"/>
        </w:rPr>
        <w:t>.上述合同文件互相补充和解释。如果合同文件之间存在矛盾或者不一致之处，以上述文件 的排列顺序在先者为准。</w:t>
      </w:r>
    </w:p>
    <w:p>
      <w:pPr>
        <w:snapToGrid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第二十条　</w:t>
      </w:r>
      <w:r>
        <w:rPr>
          <w:rFonts w:hint="eastAsia" w:ascii="宋体" w:hAnsi="宋体" w:eastAsia="宋体" w:cs="宋体"/>
          <w:color w:val="auto"/>
          <w:sz w:val="24"/>
          <w:highlight w:val="none"/>
        </w:rPr>
        <w:t>本合同一式四份，具有同等法律效力，财政部门（政府采购监管部门）、采购代理机构各一份，甲乙双方各一份（可根据需要另增加）。</w:t>
      </w:r>
    </w:p>
    <w:p>
      <w:pPr>
        <w:snapToGrid w:val="0"/>
        <w:spacing w:line="360" w:lineRule="auto"/>
        <w:ind w:left="-61" w:firstLine="514"/>
        <w:rPr>
          <w:rFonts w:ascii="宋体" w:hAnsi="宋体" w:eastAsia="宋体" w:cs="宋体"/>
          <w:color w:val="auto"/>
          <w:sz w:val="24"/>
          <w:highlight w:val="none"/>
        </w:rPr>
      </w:pPr>
      <w:r>
        <w:rPr>
          <w:rFonts w:hint="eastAsia" w:ascii="宋体" w:hAnsi="宋体" w:eastAsia="宋体" w:cs="宋体"/>
          <w:color w:val="auto"/>
          <w:sz w:val="24"/>
          <w:highlight w:val="none"/>
        </w:rPr>
        <w:t>本合同甲乙双方签字盖章后生效，自签订之日起七个工作日内，甲方应当将合同副本报同级财政部门备案。</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本合同自签订之日起2个工作日内，甲方应当将采购合同在广西壮族自治区财政厅指定的媒体上公告。</w:t>
      </w:r>
    </w:p>
    <w:p>
      <w:pPr>
        <w:snapToGrid w:val="0"/>
        <w:spacing w:line="360" w:lineRule="auto"/>
        <w:rPr>
          <w:rFonts w:ascii="宋体" w:hAnsi="宋体" w:eastAsia="宋体" w:cs="宋体"/>
          <w:color w:val="auto"/>
          <w:sz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jc w:val="center"/>
        </w:trPr>
        <w:tc>
          <w:tcPr>
            <w:tcW w:w="4516"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甲方（章）           </w:t>
            </w:r>
          </w:p>
          <w:p>
            <w:pPr>
              <w:snapToGrid w:val="0"/>
              <w:spacing w:line="360" w:lineRule="auto"/>
              <w:rPr>
                <w:rFonts w:ascii="宋体" w:hAnsi="宋体" w:eastAsia="宋体" w:cs="宋体"/>
                <w:color w:val="auto"/>
                <w:sz w:val="24"/>
                <w:highlight w:val="none"/>
              </w:rPr>
            </w:pPr>
          </w:p>
          <w:p>
            <w:pPr>
              <w:snapToGrid w:val="0"/>
              <w:spacing w:line="360" w:lineRule="auto"/>
              <w:ind w:firstLine="1080" w:firstLineChars="450"/>
              <w:jc w:val="right"/>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tc>
        <w:tc>
          <w:tcPr>
            <w:tcW w:w="4517"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乙方（章）              </w:t>
            </w:r>
          </w:p>
          <w:p>
            <w:pPr>
              <w:snapToGrid w:val="0"/>
              <w:spacing w:line="360" w:lineRule="auto"/>
              <w:rPr>
                <w:rFonts w:ascii="宋体" w:hAnsi="宋体" w:eastAsia="宋体" w:cs="宋体"/>
                <w:color w:val="auto"/>
                <w:sz w:val="24"/>
                <w:highlight w:val="none"/>
              </w:rPr>
            </w:pPr>
          </w:p>
          <w:p>
            <w:pPr>
              <w:snapToGrid w:val="0"/>
              <w:spacing w:line="36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单位地址：</w:t>
            </w:r>
          </w:p>
        </w:tc>
        <w:tc>
          <w:tcPr>
            <w:tcW w:w="4517"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w:t>
            </w:r>
          </w:p>
        </w:tc>
        <w:tc>
          <w:tcPr>
            <w:tcW w:w="4517" w:type="dxa"/>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517"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电子邮箱：</w:t>
            </w:r>
          </w:p>
        </w:tc>
        <w:tc>
          <w:tcPr>
            <w:tcW w:w="4517"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4517"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4517"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4517" w:type="dxa"/>
            <w:vAlign w:val="center"/>
          </w:tcPr>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邮政编码：</w:t>
            </w:r>
          </w:p>
        </w:tc>
      </w:tr>
    </w:tbl>
    <w:p>
      <w:pPr>
        <w:snapToGrid w:val="0"/>
        <w:spacing w:line="360" w:lineRule="auto"/>
        <w:ind w:left="480" w:hanging="480" w:hangingChars="200"/>
        <w:rPr>
          <w:rFonts w:ascii="宋体" w:hAnsi="宋体" w:eastAsia="宋体" w:cs="宋体"/>
          <w:color w:val="auto"/>
          <w:sz w:val="24"/>
          <w:highlight w:val="none"/>
        </w:rPr>
      </w:pPr>
    </w:p>
    <w:bookmarkEnd w:id="145"/>
    <w:p>
      <w:pPr>
        <w:rPr>
          <w:rFonts w:ascii="宋体" w:hAnsi="宋体" w:cs="@方正仿宋简体"/>
          <w:b/>
          <w:bCs/>
          <w:color w:val="auto"/>
          <w:kern w:val="0"/>
          <w:sz w:val="32"/>
          <w:szCs w:val="32"/>
          <w:highlight w:val="none"/>
        </w:rPr>
      </w:pPr>
    </w:p>
    <w:p>
      <w:pPr>
        <w:pStyle w:val="3"/>
        <w:jc w:val="both"/>
        <w:rPr>
          <w:rFonts w:ascii="宋体" w:hAnsi="宋体" w:cs="宋体"/>
          <w:color w:val="auto"/>
          <w:highlight w:val="none"/>
        </w:rPr>
      </w:pPr>
      <w:bookmarkStart w:id="146" w:name="_Toc74320805"/>
    </w:p>
    <w:p>
      <w:pPr>
        <w:pStyle w:val="3"/>
        <w:jc w:val="both"/>
        <w:rPr>
          <w:rFonts w:ascii="宋体" w:hAnsi="宋体" w:cs="宋体"/>
          <w:color w:val="auto"/>
          <w:highlight w:val="none"/>
        </w:rPr>
      </w:pPr>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jc w:val="center"/>
        <w:rPr>
          <w:rFonts w:ascii="宋体" w:hAnsi="宋体" w:cs="宋体"/>
          <w:color w:val="auto"/>
          <w:highlight w:val="none"/>
        </w:rPr>
      </w:pPr>
      <w:r>
        <w:rPr>
          <w:rFonts w:hint="eastAsia" w:ascii="宋体" w:hAnsi="宋体" w:cs="宋体"/>
          <w:color w:val="auto"/>
          <w:highlight w:val="none"/>
        </w:rPr>
        <w:t>第六章　投标文件格式</w:t>
      </w:r>
      <w:bookmarkEnd w:id="146"/>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rPr>
          <w:rFonts w:ascii="宋体" w:hAnsi="宋体" w:cs="宋体"/>
          <w:b/>
          <w:color w:val="auto"/>
          <w:sz w:val="28"/>
          <w:szCs w:val="28"/>
          <w:highlight w:val="none"/>
        </w:rPr>
      </w:pPr>
      <w:bookmarkStart w:id="147" w:name="_Toc19686836"/>
      <w:bookmarkStart w:id="148" w:name="_Toc254970698"/>
      <w:bookmarkStart w:id="149" w:name="_Toc254970557"/>
      <w:r>
        <w:rPr>
          <w:rFonts w:hint="eastAsia" w:ascii="宋体" w:hAnsi="宋体" w:cs="宋体"/>
          <w:b/>
          <w:color w:val="auto"/>
          <w:sz w:val="28"/>
          <w:szCs w:val="28"/>
          <w:highlight w:val="none"/>
        </w:rPr>
        <w:t>一、报价文件格式</w:t>
      </w:r>
      <w:bookmarkEnd w:id="147"/>
    </w:p>
    <w:p>
      <w:pPr>
        <w:snapToGrid w:val="0"/>
        <w:spacing w:beforeLines="50" w:after="50" w:line="360" w:lineRule="auto"/>
        <w:ind w:left="142"/>
        <w:jc w:val="left"/>
        <w:rPr>
          <w:rFonts w:ascii="宋体" w:hAnsi="宋体" w:cs="宋体"/>
          <w:color w:val="auto"/>
          <w:sz w:val="24"/>
          <w:highlight w:val="none"/>
        </w:rPr>
      </w:pPr>
      <w:r>
        <w:rPr>
          <w:rFonts w:hint="eastAsia" w:ascii="宋体" w:hAnsi="宋体" w:cs="宋体"/>
          <w:b/>
          <w:color w:val="auto"/>
          <w:sz w:val="24"/>
          <w:highlight w:val="none"/>
        </w:rPr>
        <w:t xml:space="preserve">1. 报价文件封面格式： </w:t>
      </w:r>
    </w:p>
    <w:p>
      <w:pPr>
        <w:snapToGrid w:val="0"/>
        <w:spacing w:beforeLines="50" w:after="50" w:line="400" w:lineRule="exact"/>
        <w:rPr>
          <w:rFonts w:ascii="宋体" w:hAnsi="宋体" w:cs="宋体"/>
          <w:bCs/>
          <w:color w:val="auto"/>
          <w:sz w:val="24"/>
          <w:highlight w:val="none"/>
        </w:rPr>
      </w:pPr>
      <w:r>
        <w:rPr>
          <w:rFonts w:hint="eastAsia" w:ascii="宋体" w:hAnsi="宋体" w:cs="宋体"/>
          <w:color w:val="auto"/>
          <w:sz w:val="24"/>
          <w:highlight w:val="none"/>
        </w:rPr>
        <w:t xml:space="preserve">                                                   </w:t>
      </w:r>
    </w:p>
    <w:p>
      <w:pPr>
        <w:snapToGrid w:val="0"/>
        <w:spacing w:beforeLines="50" w:after="50" w:line="400" w:lineRule="exact"/>
        <w:jc w:val="center"/>
        <w:rPr>
          <w:rFonts w:ascii="宋体" w:hAnsi="宋体" w:cs="宋体"/>
          <w:bCs/>
          <w:color w:val="auto"/>
          <w:sz w:val="24"/>
          <w:highlight w:val="none"/>
        </w:rPr>
      </w:pPr>
    </w:p>
    <w:p>
      <w:pPr>
        <w:snapToGrid w:val="0"/>
        <w:spacing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pPr>
        <w:snapToGrid w:val="0"/>
        <w:spacing w:beforeLines="50" w:after="50" w:line="400" w:lineRule="exact"/>
        <w:jc w:val="center"/>
        <w:rPr>
          <w:rFonts w:ascii="宋体" w:hAnsi="宋体" w:cs="宋体"/>
          <w:bCs/>
          <w:color w:val="auto"/>
          <w:sz w:val="32"/>
          <w:szCs w:val="32"/>
          <w:highlight w:val="none"/>
        </w:rPr>
      </w:pPr>
    </w:p>
    <w:p>
      <w:pPr>
        <w:snapToGrid w:val="0"/>
        <w:spacing w:beforeLines="50" w:after="50" w:line="4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报  价  文  件</w:t>
      </w:r>
    </w:p>
    <w:p>
      <w:pPr>
        <w:snapToGrid w:val="0"/>
        <w:spacing w:beforeLines="50" w:after="50" w:line="400" w:lineRule="exact"/>
        <w:rPr>
          <w:rFonts w:ascii="宋体" w:hAnsi="宋体" w:cs="宋体"/>
          <w:bCs/>
          <w:color w:val="auto"/>
          <w:sz w:val="24"/>
          <w:szCs w:val="20"/>
          <w:highlight w:val="none"/>
        </w:rPr>
      </w:pPr>
    </w:p>
    <w:p>
      <w:pPr>
        <w:snapToGrid w:val="0"/>
        <w:spacing w:beforeLines="50" w:after="50" w:line="400" w:lineRule="exact"/>
        <w:rPr>
          <w:rFonts w:ascii="宋体" w:hAnsi="宋体" w:cs="宋体"/>
          <w:bCs/>
          <w:color w:val="auto"/>
          <w:sz w:val="24"/>
          <w:szCs w:val="20"/>
          <w:highlight w:val="none"/>
        </w:rPr>
      </w:pPr>
    </w:p>
    <w:p>
      <w:pPr>
        <w:snapToGrid w:val="0"/>
        <w:spacing w:beforeLines="50" w:after="50" w:line="400" w:lineRule="exact"/>
        <w:ind w:firstLine="1960" w:firstLineChars="700"/>
        <w:rPr>
          <w:rFonts w:ascii="宋体" w:hAnsi="宋体" w:cs="宋体"/>
          <w:bCs/>
          <w:color w:val="auto"/>
          <w:sz w:val="28"/>
          <w:szCs w:val="21"/>
          <w:highlight w:val="none"/>
        </w:rPr>
      </w:pPr>
    </w:p>
    <w:p>
      <w:pPr>
        <w:snapToGrid w:val="0"/>
        <w:spacing w:beforeLines="50" w:after="50" w:line="400" w:lineRule="exact"/>
        <w:ind w:firstLine="1960" w:firstLineChars="700"/>
        <w:rPr>
          <w:rFonts w:ascii="宋体" w:hAnsi="宋体" w:cs="宋体"/>
          <w:bCs/>
          <w:color w:val="auto"/>
          <w:sz w:val="28"/>
          <w:szCs w:val="21"/>
          <w:highlight w:val="none"/>
        </w:rPr>
      </w:pPr>
    </w:p>
    <w:p>
      <w:pPr>
        <w:snapToGrid w:val="0"/>
        <w:spacing w:beforeLines="50" w:after="50" w:line="400" w:lineRule="exact"/>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pPr>
        <w:snapToGrid w:val="0"/>
        <w:spacing w:beforeLines="50" w:after="50" w:line="400" w:lineRule="exact"/>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pPr>
        <w:snapToGrid w:val="0"/>
        <w:spacing w:beforeLines="50" w:after="50" w:line="400" w:lineRule="exact"/>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p>
    <w:p>
      <w:pPr>
        <w:snapToGrid w:val="0"/>
        <w:spacing w:beforeLines="50" w:after="50" w:line="400" w:lineRule="exact"/>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pPr>
        <w:snapToGrid w:val="0"/>
        <w:spacing w:beforeLines="50" w:after="50" w:line="400" w:lineRule="exact"/>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pPr>
        <w:pStyle w:val="8"/>
        <w:snapToGrid w:val="0"/>
        <w:spacing w:before="50" w:after="50" w:line="400" w:lineRule="exact"/>
        <w:ind w:firstLine="1120" w:firstLineChars="400"/>
        <w:rPr>
          <w:rFonts w:ascii="宋体" w:hAnsi="宋体" w:cs="宋体"/>
          <w:bCs/>
          <w:color w:val="auto"/>
          <w:sz w:val="28"/>
          <w:szCs w:val="28"/>
          <w:highlight w:val="none"/>
        </w:rPr>
      </w:pPr>
    </w:p>
    <w:p>
      <w:pPr>
        <w:snapToGrid w:val="0"/>
        <w:spacing w:beforeLines="50" w:after="50" w:line="400" w:lineRule="exact"/>
        <w:rPr>
          <w:rFonts w:ascii="宋体" w:hAnsi="宋体" w:cs="宋体"/>
          <w:color w:val="auto"/>
          <w:sz w:val="32"/>
          <w:szCs w:val="21"/>
          <w:highlight w:val="none"/>
        </w:rPr>
      </w:pPr>
      <w:r>
        <w:rPr>
          <w:rFonts w:hint="eastAsia" w:ascii="宋体" w:hAnsi="宋体" w:cs="宋体"/>
          <w:color w:val="auto"/>
          <w:sz w:val="24"/>
          <w:highlight w:val="none"/>
        </w:rPr>
        <w:t xml:space="preserve">                             </w:t>
      </w:r>
      <w:r>
        <w:rPr>
          <w:rFonts w:hint="eastAsia" w:ascii="宋体" w:hAnsi="宋体" w:cs="宋体"/>
          <w:color w:val="auto"/>
          <w:sz w:val="28"/>
          <w:szCs w:val="28"/>
          <w:highlight w:val="none"/>
        </w:rPr>
        <w:t xml:space="preserve">      年  月  日</w:t>
      </w:r>
    </w:p>
    <w:p>
      <w:pPr>
        <w:snapToGrid w:val="0"/>
        <w:spacing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pPr>
        <w:snapToGrid w:val="0"/>
        <w:spacing w:before="50" w:afterLines="50" w:line="360" w:lineRule="auto"/>
        <w:jc w:val="left"/>
        <w:rPr>
          <w:rFonts w:ascii="宋体" w:hAnsi="宋体" w:cs="宋体"/>
          <w:b/>
          <w:color w:val="auto"/>
          <w:sz w:val="24"/>
          <w:highlight w:val="none"/>
        </w:rPr>
      </w:pPr>
      <w:r>
        <w:rPr>
          <w:rFonts w:hint="eastAsia" w:ascii="宋体" w:hAnsi="宋体" w:cs="宋体"/>
          <w:color w:val="auto"/>
          <w:sz w:val="24"/>
          <w:highlight w:val="none"/>
        </w:rPr>
        <w:t>根据招标文件规定及投标人提供的材料自行编写目录。</w:t>
      </w:r>
    </w:p>
    <w:p>
      <w:pPr>
        <w:snapToGrid w:val="0"/>
        <w:spacing w:beforeLines="50" w:after="50"/>
        <w:rPr>
          <w:rFonts w:ascii="宋体" w:hAnsi="宋体" w:cs="宋体"/>
          <w:b/>
          <w:color w:val="auto"/>
          <w:sz w:val="24"/>
          <w:highlight w:val="none"/>
        </w:rPr>
      </w:pPr>
    </w:p>
    <w:p>
      <w:pPr>
        <w:snapToGrid w:val="0"/>
        <w:spacing w:beforeLines="50" w:after="50"/>
        <w:rPr>
          <w:rFonts w:ascii="宋体" w:hAnsi="宋体" w:cs="宋体"/>
          <w:b/>
          <w:color w:val="auto"/>
          <w:sz w:val="24"/>
          <w:highlight w:val="none"/>
        </w:rPr>
      </w:pPr>
    </w:p>
    <w:p>
      <w:pPr>
        <w:snapToGrid w:val="0"/>
        <w:spacing w:beforeLines="50" w:after="50"/>
        <w:rPr>
          <w:rFonts w:ascii="宋体" w:hAnsi="宋体" w:cs="宋体"/>
          <w:b/>
          <w:color w:val="auto"/>
          <w:sz w:val="24"/>
          <w:highlight w:val="none"/>
        </w:rPr>
      </w:pPr>
    </w:p>
    <w:p>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投标函格式：</w:t>
      </w:r>
    </w:p>
    <w:p>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 标 函</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p>
    <w:p>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（投标人名称）提交投标文件。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9.与本投标有关的一切正式往来信函请寄：</w:t>
      </w:r>
    </w:p>
    <w:p>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15"/>
        <w:spacing w:line="360" w:lineRule="auto"/>
        <w:contextualSpacing/>
        <w:jc w:val="center"/>
        <w:rPr>
          <w:rFonts w:hAnsi="宋体" w:cs="宋体"/>
          <w:color w:val="auto"/>
          <w:sz w:val="24"/>
          <w:szCs w:val="24"/>
          <w:highlight w:val="none"/>
          <w:u w:val="single"/>
        </w:rPr>
      </w:pPr>
      <w:r>
        <w:rPr>
          <w:rFonts w:hint="eastAsia" w:hAnsi="宋体" w:cs="宋体"/>
          <w:color w:val="auto"/>
          <w:sz w:val="24"/>
          <w:szCs w:val="24"/>
          <w:highlight w:val="none"/>
        </w:rPr>
        <w:t xml:space="preserve">                                    投标人（盖公章）：</w:t>
      </w:r>
    </w:p>
    <w:p>
      <w:pPr>
        <w:pStyle w:val="15"/>
        <w:spacing w:line="360" w:lineRule="auto"/>
        <w:contextualSpacing/>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pPr>
        <w:snapToGrid w:val="0"/>
        <w:spacing w:beforeLines="50" w:after="50" w:line="360" w:lineRule="auto"/>
        <w:jc w:val="left"/>
        <w:rPr>
          <w:rFonts w:ascii="宋体" w:hAnsi="宋体" w:cs="宋体"/>
          <w:b/>
          <w:color w:val="auto"/>
          <w:sz w:val="24"/>
          <w:szCs w:val="20"/>
          <w:highlight w:val="none"/>
        </w:rPr>
      </w:pPr>
      <w:r>
        <w:rPr>
          <w:rFonts w:hint="eastAsia" w:ascii="宋体" w:hAnsi="宋体" w:cs="宋体"/>
          <w:color w:val="auto"/>
          <w:sz w:val="24"/>
          <w:highlight w:val="none"/>
          <w:u w:val="single"/>
        </w:rPr>
        <w:br w:type="page"/>
      </w:r>
      <w:r>
        <w:rPr>
          <w:rFonts w:hint="eastAsia" w:ascii="宋体" w:hAnsi="宋体" w:cs="宋体"/>
          <w:b/>
          <w:color w:val="auto"/>
          <w:sz w:val="24"/>
          <w:highlight w:val="none"/>
        </w:rPr>
        <w:t>4. 开标一览表（货物类格式）</w:t>
      </w:r>
    </w:p>
    <w:p>
      <w:pPr>
        <w:snapToGrid w:val="0"/>
        <w:spacing w:before="50" w:after="50"/>
        <w:jc w:val="center"/>
        <w:rPr>
          <w:rFonts w:ascii="宋体" w:hAnsi="宋体" w:cs="宋体"/>
          <w:b/>
          <w:color w:val="auto"/>
          <w:sz w:val="30"/>
          <w:highlight w:val="none"/>
        </w:rPr>
      </w:pPr>
      <w:r>
        <w:rPr>
          <w:rFonts w:hint="eastAsia" w:ascii="宋体" w:hAnsi="宋体" w:cs="宋体"/>
          <w:b/>
          <w:color w:val="auto"/>
          <w:sz w:val="30"/>
          <w:highlight w:val="none"/>
        </w:rPr>
        <w:t>开标一览表</w:t>
      </w:r>
    </w:p>
    <w:p>
      <w:pPr>
        <w:snapToGrid w:val="0"/>
        <w:spacing w:before="50" w:after="50"/>
        <w:jc w:val="center"/>
        <w:rPr>
          <w:rFonts w:ascii="宋体" w:hAnsi="宋体" w:cs="宋体"/>
          <w:b/>
          <w:color w:val="auto"/>
          <w:sz w:val="24"/>
          <w:highlight w:val="none"/>
        </w:rPr>
      </w:pPr>
    </w:p>
    <w:p>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单位：元</w:t>
      </w:r>
    </w:p>
    <w:tbl>
      <w:tblPr>
        <w:tblStyle w:val="23"/>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0"/>
        <w:gridCol w:w="910"/>
        <w:gridCol w:w="910"/>
        <w:gridCol w:w="910"/>
        <w:gridCol w:w="912"/>
        <w:gridCol w:w="1180"/>
        <w:gridCol w:w="1005"/>
        <w:gridCol w:w="1115"/>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b w:val="0"/>
                <w:bCs/>
                <w:color w:val="auto"/>
                <w:sz w:val="24"/>
                <w:highlight w:val="none"/>
              </w:rPr>
            </w:pPr>
            <w:r>
              <w:rPr>
                <w:rFonts w:hint="eastAsia" w:ascii="宋体" w:hAnsi="宋体" w:eastAsia="宋体" w:cs="宋体"/>
                <w:color w:val="auto"/>
                <w:kern w:val="0"/>
                <w:sz w:val="24"/>
                <w:szCs w:val="24"/>
                <w:highlight w:val="none"/>
              </w:rPr>
              <w:t>项号</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b w:val="0"/>
                <w:bCs/>
                <w:color w:val="auto"/>
                <w:sz w:val="24"/>
                <w:highlight w:val="none"/>
              </w:rPr>
            </w:pPr>
            <w:r>
              <w:rPr>
                <w:rFonts w:hint="eastAsia" w:ascii="宋体" w:hAnsi="宋体" w:eastAsia="宋体" w:cs="宋体"/>
                <w:color w:val="auto"/>
                <w:kern w:val="0"/>
                <w:sz w:val="24"/>
                <w:szCs w:val="24"/>
                <w:highlight w:val="none"/>
              </w:rPr>
              <w:t>项目名称</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b w:val="0"/>
                <w:bCs/>
                <w:color w:val="auto"/>
                <w:sz w:val="24"/>
                <w:highlight w:val="none"/>
              </w:rPr>
            </w:pPr>
            <w:r>
              <w:rPr>
                <w:rFonts w:hint="eastAsia" w:ascii="宋体" w:hAnsi="宋体" w:eastAsia="宋体" w:cs="宋体"/>
                <w:color w:val="auto"/>
                <w:kern w:val="0"/>
                <w:sz w:val="24"/>
                <w:szCs w:val="24"/>
                <w:highlight w:val="none"/>
              </w:rPr>
              <w:t>计量单位</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b w:val="0"/>
                <w:bCs/>
                <w:color w:val="auto"/>
                <w:sz w:val="24"/>
                <w:highlight w:val="none"/>
              </w:rPr>
            </w:pPr>
            <w:r>
              <w:rPr>
                <w:rFonts w:hint="eastAsia" w:ascii="宋体" w:hAnsi="宋体" w:eastAsia="宋体" w:cs="宋体"/>
                <w:color w:val="auto"/>
                <w:kern w:val="0"/>
                <w:sz w:val="24"/>
                <w:szCs w:val="24"/>
                <w:highlight w:val="none"/>
              </w:rPr>
              <w:t>数量</w:t>
            </w:r>
            <w:r>
              <w:rPr>
                <w:rFonts w:hint="eastAsia" w:ascii="宋体" w:hAnsi="宋体" w:cs="宋体"/>
                <w:b w:val="0"/>
                <w:bCs/>
                <w:color w:val="auto"/>
                <w:sz w:val="24"/>
                <w:highlight w:val="none"/>
              </w:rPr>
              <w:t>①</w:t>
            </w: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b w:val="0"/>
                <w:bCs/>
                <w:color w:val="auto"/>
                <w:sz w:val="24"/>
                <w:highlight w:val="none"/>
              </w:rPr>
            </w:pPr>
            <w:r>
              <w:rPr>
                <w:rFonts w:hint="eastAsia" w:ascii="宋体" w:hAnsi="宋体" w:eastAsia="宋体" w:cs="宋体"/>
                <w:color w:val="auto"/>
                <w:kern w:val="0"/>
                <w:sz w:val="24"/>
                <w:szCs w:val="24"/>
                <w:highlight w:val="none"/>
              </w:rPr>
              <w:t>采购标的名称</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品牌、型号</w:t>
            </w: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生产商</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单价</w:t>
            </w:r>
          </w:p>
          <w:p>
            <w:pPr>
              <w:snapToGrid w:val="0"/>
              <w:spacing w:before="50" w:after="50"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②</w:t>
            </w:r>
          </w:p>
        </w:tc>
        <w:tc>
          <w:tcPr>
            <w:tcW w:w="143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投标报价</w:t>
            </w:r>
          </w:p>
          <w:p>
            <w:pPr>
              <w:snapToGrid w:val="0"/>
              <w:spacing w:before="50" w:after="50"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r>
              <w:rPr>
                <w:rFonts w:hint="eastAsia" w:ascii="宋体" w:hAnsi="宋体" w:cs="宋体"/>
                <w:b w:val="0"/>
                <w:bCs/>
                <w:color w:val="auto"/>
                <w:sz w:val="24"/>
                <w:highlight w:val="none"/>
              </w:rPr>
              <w:t>1</w:t>
            </w: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43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r>
              <w:rPr>
                <w:rFonts w:hint="eastAsia" w:ascii="宋体" w:hAnsi="宋体" w:cs="宋体"/>
                <w:b w:val="0"/>
                <w:bCs/>
                <w:color w:val="auto"/>
                <w:sz w:val="24"/>
                <w:highlight w:val="none"/>
              </w:rPr>
              <w:t>2</w:t>
            </w: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43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r>
              <w:rPr>
                <w:rFonts w:hint="eastAsia" w:ascii="宋体" w:hAnsi="宋体" w:cs="宋体"/>
                <w:b w:val="0"/>
                <w:bCs/>
                <w:color w:val="auto"/>
                <w:sz w:val="24"/>
                <w:highlight w:val="none"/>
              </w:rPr>
              <w:t>……</w:t>
            </w: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r>
              <w:rPr>
                <w:rFonts w:hint="eastAsia" w:ascii="宋体" w:hAnsi="宋体" w:cs="宋体"/>
                <w:b w:val="0"/>
                <w:bCs/>
                <w:color w:val="auto"/>
                <w:sz w:val="24"/>
                <w:highlight w:val="none"/>
              </w:rPr>
              <w:t>……</w:t>
            </w: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c>
          <w:tcPr>
            <w:tcW w:w="143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288"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r>
              <w:rPr>
                <w:rFonts w:hint="eastAsia" w:ascii="宋体" w:hAnsi="宋体" w:cs="宋体"/>
                <w:b w:val="0"/>
                <w:bCs/>
                <w:color w:val="auto"/>
                <w:sz w:val="24"/>
                <w:highlight w:val="none"/>
              </w:rPr>
              <w:t>合计金额大写：人民币</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288"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b w:val="0"/>
                <w:bCs/>
                <w:color w:val="auto"/>
                <w:sz w:val="24"/>
                <w:highlight w:val="none"/>
              </w:rPr>
            </w:pPr>
            <w:r>
              <w:rPr>
                <w:rFonts w:hint="eastAsia" w:ascii="宋体" w:hAnsi="宋体" w:cs="宋体"/>
                <w:b w:val="0"/>
                <w:bCs/>
                <w:color w:val="auto"/>
                <w:sz w:val="24"/>
                <w:highlight w:val="none"/>
              </w:rPr>
              <w:t>交货期：</w:t>
            </w:r>
          </w:p>
        </w:tc>
      </w:tr>
    </w:tbl>
    <w:p>
      <w:pPr>
        <w:snapToGrid w:val="0"/>
        <w:spacing w:before="50" w:after="50"/>
        <w:jc w:val="left"/>
        <w:rPr>
          <w:rFonts w:ascii="宋体" w:hAnsi="宋体" w:cs="宋体"/>
          <w:color w:val="auto"/>
          <w:sz w:val="24"/>
          <w:highlight w:val="none"/>
        </w:rPr>
      </w:pPr>
      <w:r>
        <w:rPr>
          <w:rFonts w:hint="eastAsia" w:ascii="宋体" w:hAnsi="宋体" w:cs="宋体"/>
          <w:color w:val="auto"/>
          <w:sz w:val="24"/>
          <w:highlight w:val="none"/>
        </w:rPr>
        <w:t xml:space="preserve">注： </w:t>
      </w:r>
    </w:p>
    <w:p>
      <w:pPr>
        <w:snapToGrid w:val="0"/>
        <w:spacing w:before="50" w:after="50"/>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1.投标人的开标一览表必须加盖投标人公章并由法定代表人或者委托代理人签字，</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pPr>
        <w:snapToGrid w:val="0"/>
        <w:spacing w:before="50" w:after="50"/>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报价一经涂改，应在涂改处加盖投标人公章或者由法定代表人或者委托代理人签字或者盖章</w:t>
      </w:r>
      <w:r>
        <w:rPr>
          <w:rFonts w:hint="eastAsia" w:ascii="宋体" w:hAnsi="宋体" w:cs="宋体"/>
          <w:b/>
          <w:color w:val="auto"/>
          <w:sz w:val="24"/>
          <w:highlight w:val="none"/>
        </w:rPr>
        <w:t>，否则其投标作无效标处理。</w:t>
      </w:r>
    </w:p>
    <w:p>
      <w:pPr>
        <w:snapToGrid w:val="0"/>
        <w:spacing w:before="50" w:after="50"/>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3.招标文件中列明采购专用耗材的，应按招标文件规定的耗材量或者按耗材的常规</w:t>
      </w:r>
      <w:r>
        <w:rPr>
          <w:rFonts w:hint="eastAsia" w:ascii="宋体" w:hAnsi="宋体" w:cs="宋体"/>
          <w:color w:val="auto"/>
          <w:sz w:val="24"/>
          <w:highlight w:val="none"/>
          <w:lang w:val="en-US" w:eastAsia="zh-CN"/>
        </w:rPr>
        <w:t>使用量</w:t>
      </w:r>
      <w:r>
        <w:rPr>
          <w:rFonts w:hint="eastAsia" w:ascii="宋体" w:hAnsi="宋体" w:cs="宋体"/>
          <w:color w:val="auto"/>
          <w:sz w:val="24"/>
          <w:highlight w:val="none"/>
        </w:rPr>
        <w:t>提供报价。</w:t>
      </w:r>
    </w:p>
    <w:p>
      <w:pPr>
        <w:snapToGrid w:val="0"/>
        <w:spacing w:before="50" w:after="50"/>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4.如为联合体投标，“投标人名称”处必须列明联合体各方名称，并标注联合体牵头人名称，</w:t>
      </w:r>
      <w:r>
        <w:rPr>
          <w:rFonts w:hint="eastAsia" w:ascii="宋体" w:hAnsi="宋体" w:cs="宋体"/>
          <w:b/>
          <w:color w:val="auto"/>
          <w:sz w:val="24"/>
          <w:highlight w:val="none"/>
        </w:rPr>
        <w:t>否则其投标作无效标处理。</w:t>
      </w:r>
    </w:p>
    <w:p>
      <w:pPr>
        <w:snapToGrid w:val="0"/>
        <w:spacing w:before="50" w:after="50"/>
        <w:ind w:firstLine="456" w:firstLineChars="200"/>
        <w:jc w:val="left"/>
        <w:rPr>
          <w:rFonts w:ascii="宋体" w:hAnsi="宋体" w:cs="宋体"/>
          <w:color w:val="auto"/>
          <w:spacing w:val="-6"/>
          <w:sz w:val="24"/>
          <w:highlight w:val="none"/>
        </w:rPr>
      </w:pPr>
      <w:r>
        <w:rPr>
          <w:rFonts w:hint="eastAsia" w:ascii="宋体" w:hAnsi="宋体" w:cs="宋体"/>
          <w:color w:val="auto"/>
          <w:spacing w:val="-6"/>
          <w:sz w:val="24"/>
          <w:highlight w:val="none"/>
        </w:rPr>
        <w:t>5.如为联合体投标，盖章处须加盖联合体各方公章，</w:t>
      </w:r>
      <w:r>
        <w:rPr>
          <w:rFonts w:hint="eastAsia" w:ascii="宋体" w:hAnsi="宋体" w:cs="宋体"/>
          <w:b/>
          <w:color w:val="auto"/>
          <w:spacing w:val="-6"/>
          <w:sz w:val="24"/>
          <w:highlight w:val="none"/>
        </w:rPr>
        <w:t>否则其投标作无效标处理。</w:t>
      </w:r>
    </w:p>
    <w:p>
      <w:pPr>
        <w:snapToGrid w:val="0"/>
        <w:spacing w:before="50" w:after="50"/>
        <w:ind w:firstLine="480" w:firstLineChars="200"/>
        <w:rPr>
          <w:rFonts w:ascii="宋体" w:hAnsi="宋体" w:cs="宋体"/>
          <w:b/>
          <w:color w:val="auto"/>
          <w:sz w:val="24"/>
          <w:highlight w:val="none"/>
        </w:rPr>
      </w:pPr>
      <w:r>
        <w:rPr>
          <w:rFonts w:hint="eastAsia" w:ascii="宋体" w:hAnsi="宋体" w:cs="宋体"/>
          <w:color w:val="auto"/>
          <w:sz w:val="24"/>
          <w:highlight w:val="none"/>
        </w:rPr>
        <w:t>6.如有多分标，按分标分别提供开标一览表，</w:t>
      </w:r>
      <w:r>
        <w:rPr>
          <w:rFonts w:hint="eastAsia" w:ascii="宋体" w:hAnsi="宋体" w:cs="宋体"/>
          <w:b/>
          <w:color w:val="auto"/>
          <w:sz w:val="24"/>
          <w:highlight w:val="none"/>
        </w:rPr>
        <w:t>否则投标无效。</w:t>
      </w:r>
    </w:p>
    <w:p>
      <w:pPr>
        <w:snapToGrid w:val="0"/>
        <w:spacing w:before="50" w:after="50"/>
        <w:ind w:firstLine="482" w:firstLineChars="200"/>
        <w:rPr>
          <w:rFonts w:ascii="宋体" w:hAnsi="宋体" w:cs="宋体"/>
          <w:b/>
          <w:color w:val="auto"/>
          <w:sz w:val="24"/>
          <w:highlight w:val="none"/>
        </w:rPr>
      </w:pPr>
    </w:p>
    <w:p>
      <w:pPr>
        <w:snapToGrid w:val="0"/>
        <w:spacing w:before="50" w:after="50"/>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pPr>
        <w:snapToGrid w:val="0"/>
        <w:spacing w:before="50" w:after="50"/>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投标人（盖公章）：                                 日期：    年   月   日</w:t>
      </w:r>
    </w:p>
    <w:p>
      <w:pPr>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50" w:name="_Toc19686837"/>
      <w:r>
        <w:rPr>
          <w:rFonts w:hint="eastAsia" w:ascii="宋体" w:hAnsi="宋体" w:cs="宋体"/>
          <w:b/>
          <w:color w:val="auto"/>
          <w:sz w:val="28"/>
          <w:szCs w:val="28"/>
          <w:highlight w:val="none"/>
        </w:rPr>
        <w:t>二、资格证明文件格式</w:t>
      </w:r>
      <w:bookmarkEnd w:id="148"/>
      <w:bookmarkEnd w:id="149"/>
      <w:bookmarkEnd w:id="150"/>
    </w:p>
    <w:p>
      <w:pPr>
        <w:numPr>
          <w:ilvl w:val="2"/>
          <w:numId w:val="15"/>
        </w:numPr>
        <w:snapToGrid w:val="0"/>
        <w:spacing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 格 证 明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1680" w:firstLineChars="600"/>
        <w:rPr>
          <w:rFonts w:ascii="宋体" w:hAnsi="宋体" w:cs="宋体"/>
          <w:bCs/>
          <w:color w:val="auto"/>
          <w:sz w:val="28"/>
          <w:szCs w:val="21"/>
          <w:highlight w:val="none"/>
        </w:rPr>
      </w:pPr>
    </w:p>
    <w:p>
      <w:pPr>
        <w:snapToGrid w:val="0"/>
        <w:spacing w:beforeLines="50" w:after="50"/>
        <w:ind w:firstLine="1680" w:firstLineChars="600"/>
        <w:rPr>
          <w:rFonts w:ascii="宋体" w:hAnsi="宋体" w:cs="宋体"/>
          <w:bCs/>
          <w:color w:val="auto"/>
          <w:sz w:val="28"/>
          <w:szCs w:val="21"/>
          <w:highlight w:val="none"/>
        </w:rPr>
      </w:pPr>
    </w:p>
    <w:p>
      <w:pPr>
        <w:snapToGrid w:val="0"/>
        <w:spacing w:beforeLines="50" w:after="50"/>
        <w:ind w:firstLine="1680" w:firstLineChars="600"/>
        <w:rPr>
          <w:rFonts w:ascii="宋体" w:hAnsi="宋体" w:cs="宋体"/>
          <w:bCs/>
          <w:color w:val="auto"/>
          <w:sz w:val="28"/>
          <w:szCs w:val="21"/>
          <w:highlight w:val="none"/>
        </w:rPr>
      </w:pPr>
      <w:r>
        <w:rPr>
          <w:rFonts w:hint="eastAsia" w:ascii="宋体" w:hAnsi="宋体" w:cs="宋体"/>
          <w:bCs/>
          <w:color w:val="auto"/>
          <w:sz w:val="28"/>
          <w:szCs w:val="28"/>
          <w:highlight w:val="none"/>
        </w:rPr>
        <w:t>项目名称：</w:t>
      </w:r>
    </w:p>
    <w:p>
      <w:pPr>
        <w:snapToGrid w:val="0"/>
        <w:spacing w:beforeLines="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pPr>
        <w:snapToGrid w:val="0"/>
        <w:spacing w:beforeLines="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p>
    <w:p>
      <w:pPr>
        <w:pStyle w:val="8"/>
        <w:snapToGrid w:val="0"/>
        <w:spacing w:before="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pPr>
        <w:pStyle w:val="8"/>
        <w:snapToGrid w:val="0"/>
        <w:spacing w:before="50" w:after="50"/>
        <w:ind w:firstLine="1680" w:firstLineChars="600"/>
        <w:rPr>
          <w:rFonts w:ascii="宋体" w:hAnsi="宋体" w:cs="宋体"/>
          <w:bCs/>
          <w:color w:val="auto"/>
          <w:sz w:val="28"/>
          <w:szCs w:val="28"/>
          <w:highlight w:val="none"/>
        </w:rPr>
      </w:pPr>
    </w:p>
    <w:p>
      <w:pPr>
        <w:pStyle w:val="8"/>
        <w:snapToGrid w:val="0"/>
        <w:spacing w:before="50" w:after="50"/>
        <w:ind w:firstLine="1680" w:firstLineChars="600"/>
        <w:rPr>
          <w:rFonts w:ascii="宋体" w:hAnsi="宋体" w:cs="宋体"/>
          <w:bCs/>
          <w:color w:val="auto"/>
          <w:sz w:val="28"/>
          <w:szCs w:val="28"/>
          <w:highlight w:val="none"/>
        </w:rPr>
      </w:pPr>
    </w:p>
    <w:p>
      <w:pPr>
        <w:snapToGrid w:val="0"/>
        <w:spacing w:beforeLines="50" w:after="50"/>
        <w:ind w:firstLine="1680" w:firstLineChars="600"/>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pPr>
        <w:snapToGrid w:val="0"/>
        <w:spacing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pPr>
        <w:snapToGrid w:val="0"/>
        <w:spacing w:beforeLines="50" w:after="50"/>
        <w:rPr>
          <w:rFonts w:ascii="宋体" w:hAnsi="宋体" w:cs="宋体"/>
          <w:color w:val="auto"/>
          <w:sz w:val="24"/>
          <w:szCs w:val="20"/>
          <w:highlight w:val="none"/>
        </w:rPr>
      </w:pPr>
    </w:p>
    <w:p>
      <w:pPr>
        <w:numPr>
          <w:ilvl w:val="2"/>
          <w:numId w:val="15"/>
        </w:numPr>
        <w:snapToGrid w:val="0"/>
        <w:spacing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根据招标文件规定及投标人提供的材料自行编写目录。</w:t>
      </w:r>
    </w:p>
    <w:p>
      <w:pPr>
        <w:snapToGrid w:val="0"/>
        <w:spacing w:before="50" w:afterLines="50"/>
        <w:jc w:val="left"/>
        <w:rPr>
          <w:rFonts w:ascii="宋体" w:hAnsi="宋体" w:cs="宋体"/>
          <w:color w:val="auto"/>
          <w:sz w:val="24"/>
          <w:highlight w:val="none"/>
        </w:rPr>
      </w:pPr>
    </w:p>
    <w:p>
      <w:pPr>
        <w:snapToGrid w:val="0"/>
        <w:spacing w:before="50" w:afterLines="50"/>
        <w:jc w:val="left"/>
        <w:rPr>
          <w:rFonts w:ascii="宋体" w:hAnsi="宋体" w:cs="宋体"/>
          <w:color w:val="auto"/>
          <w:sz w:val="24"/>
          <w:highlight w:val="none"/>
        </w:rPr>
      </w:pPr>
    </w:p>
    <w:p>
      <w:pPr>
        <w:numPr>
          <w:ilvl w:val="2"/>
          <w:numId w:val="15"/>
        </w:numPr>
        <w:snapToGrid w:val="0"/>
        <w:spacing w:beforeLines="50" w:after="50"/>
        <w:ind w:left="0" w:firstLine="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8"/>
          <w:szCs w:val="28"/>
          <w:highlight w:val="none"/>
        </w:rPr>
        <w:t>投标人直接控股、管理关系信息表</w:t>
      </w:r>
    </w:p>
    <w:p>
      <w:pPr>
        <w:snapToGrid w:val="0"/>
        <w:spacing w:before="50" w:afterLines="50"/>
        <w:jc w:val="center"/>
        <w:rPr>
          <w:rFonts w:ascii="宋体" w:hAnsi="宋体" w:cs="宋体"/>
          <w:b/>
          <w:color w:val="auto"/>
          <w:sz w:val="28"/>
          <w:szCs w:val="28"/>
          <w:highlight w:val="none"/>
        </w:rPr>
      </w:pPr>
    </w:p>
    <w:p>
      <w:pPr>
        <w:snapToGrid w:val="0"/>
        <w:spacing w:before="5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3"/>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pPr>
        <w:snapToGrid w:val="0"/>
        <w:spacing w:beforeLines="50" w:after="50" w:line="360" w:lineRule="auto"/>
        <w:ind w:right="480" w:firstLine="5520" w:firstLineChars="2300"/>
        <w:rPr>
          <w:rFonts w:ascii="宋体" w:hAnsi="宋体" w:cs="宋体"/>
          <w:color w:val="auto"/>
          <w:sz w:val="24"/>
          <w:highlight w:val="none"/>
          <w:u w:val="single"/>
        </w:rPr>
      </w:pPr>
      <w:r>
        <w:rPr>
          <w:rFonts w:hint="eastAsia" w:ascii="宋体" w:hAnsi="宋体" w:cs="宋体"/>
          <w:color w:val="auto"/>
          <w:sz w:val="24"/>
          <w:highlight w:val="none"/>
        </w:rPr>
        <w:t>投标人（盖公章）：</w:t>
      </w:r>
      <w:r>
        <w:rPr>
          <w:rFonts w:hint="eastAsia" w:ascii="宋体" w:hAnsi="宋体" w:cs="宋体"/>
          <w:color w:val="auto"/>
          <w:sz w:val="24"/>
          <w:highlight w:val="none"/>
          <w:u w:val="single"/>
        </w:rPr>
        <w:t xml:space="preserve">                 </w:t>
      </w:r>
    </w:p>
    <w:p>
      <w:pPr>
        <w:snapToGrid w:val="0"/>
        <w:spacing w:beforeLines="50" w:after="50" w:line="360" w:lineRule="auto"/>
        <w:ind w:right="480" w:firstLine="5520" w:firstLineChars="2300"/>
        <w:rPr>
          <w:rFonts w:ascii="宋体" w:hAnsi="宋体" w:cs="宋体"/>
          <w:color w:val="auto"/>
          <w:sz w:val="24"/>
          <w:highlight w:val="none"/>
        </w:rPr>
      </w:pPr>
      <w:r>
        <w:rPr>
          <w:rFonts w:hint="eastAsia" w:ascii="宋体" w:hAnsi="宋体" w:cs="宋体"/>
          <w:color w:val="auto"/>
          <w:sz w:val="24"/>
          <w:highlight w:val="none"/>
        </w:rPr>
        <w:t>年    月    日</w:t>
      </w:r>
    </w:p>
    <w:p>
      <w:pPr>
        <w:snapToGrid w:val="0"/>
        <w:jc w:val="center"/>
        <w:rPr>
          <w:rFonts w:ascii="宋体" w:hAnsi="宋体" w:cs="宋体"/>
          <w:b/>
          <w:color w:val="auto"/>
          <w:sz w:val="28"/>
          <w:szCs w:val="28"/>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投标人直接管理关系信息表</w:t>
      </w:r>
    </w:p>
    <w:tbl>
      <w:tblPr>
        <w:tblStyle w:val="23"/>
        <w:tblW w:w="9652" w:type="dxa"/>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pPr>
        <w:snapToGrid w:val="0"/>
        <w:spacing w:beforeLines="50" w:after="50" w:line="360" w:lineRule="auto"/>
        <w:ind w:right="480" w:firstLine="5520" w:firstLineChars="2300"/>
        <w:rPr>
          <w:rFonts w:ascii="宋体" w:hAnsi="宋体" w:cs="宋体"/>
          <w:color w:val="auto"/>
          <w:sz w:val="24"/>
          <w:highlight w:val="none"/>
        </w:rPr>
      </w:pPr>
      <w:r>
        <w:rPr>
          <w:rFonts w:hint="eastAsia" w:ascii="宋体" w:hAnsi="宋体" w:cs="宋体"/>
          <w:color w:val="auto"/>
          <w:sz w:val="24"/>
          <w:highlight w:val="none"/>
        </w:rPr>
        <w:t>投标人（盖公章）：</w:t>
      </w:r>
      <w:r>
        <w:rPr>
          <w:rFonts w:hint="eastAsia" w:ascii="宋体" w:hAnsi="宋体" w:cs="宋体"/>
          <w:color w:val="auto"/>
          <w:sz w:val="24"/>
          <w:highlight w:val="none"/>
          <w:u w:val="single"/>
        </w:rPr>
        <w:t xml:space="preserve">                 </w:t>
      </w:r>
    </w:p>
    <w:p>
      <w:pPr>
        <w:snapToGrid w:val="0"/>
        <w:spacing w:beforeLines="50" w:after="50" w:line="360" w:lineRule="auto"/>
        <w:ind w:right="480" w:firstLine="240" w:firstLineChars="10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snapToGrid w:val="0"/>
        <w:spacing w:before="50" w:afterLines="50"/>
        <w:jc w:val="left"/>
        <w:rPr>
          <w:rFonts w:ascii="宋体" w:hAnsi="宋体" w:cs="宋体"/>
          <w:color w:val="auto"/>
          <w:szCs w:val="21"/>
          <w:highlight w:val="none"/>
        </w:rPr>
      </w:pPr>
    </w:p>
    <w:p>
      <w:pPr>
        <w:snapToGrid w:val="0"/>
        <w:spacing w:beforeLines="50" w:after="50"/>
        <w:jc w:val="left"/>
        <w:rPr>
          <w:rFonts w:ascii="宋体" w:hAnsi="宋体" w:cs="宋体"/>
          <w:b/>
          <w:color w:val="auto"/>
          <w:sz w:val="24"/>
          <w:szCs w:val="20"/>
          <w:highlight w:val="none"/>
        </w:rPr>
      </w:pPr>
    </w:p>
    <w:p>
      <w:pPr>
        <w:numPr>
          <w:ilvl w:val="2"/>
          <w:numId w:val="15"/>
        </w:numPr>
        <w:snapToGrid w:val="0"/>
        <w:spacing w:beforeLines="50" w:after="50"/>
        <w:ind w:left="0" w:firstLine="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投标声明格式</w:t>
      </w:r>
    </w:p>
    <w:p>
      <w:pPr>
        <w:snapToGrid w:val="0"/>
        <w:spacing w:before="50" w:afterLines="50"/>
        <w:jc w:val="left"/>
        <w:rPr>
          <w:rFonts w:ascii="宋体" w:hAnsi="宋体" w:cs="宋体"/>
          <w:color w:val="auto"/>
          <w:highlight w:val="none"/>
        </w:rPr>
      </w:pPr>
    </w:p>
    <w:p>
      <w:pPr>
        <w:snapToGrid w:val="0"/>
        <w:spacing w:before="50" w:afterLines="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投标声明</w:t>
      </w:r>
    </w:p>
    <w:p>
      <w:pPr>
        <w:snapToGrid w:val="0"/>
        <w:spacing w:before="50" w:afterLines="50"/>
        <w:jc w:val="center"/>
        <w:rPr>
          <w:rFonts w:ascii="宋体" w:hAnsi="宋体" w:cs="宋体"/>
          <w:bCs/>
          <w:color w:val="auto"/>
          <w:sz w:val="44"/>
          <w:szCs w:val="44"/>
          <w:highlight w:val="none"/>
        </w:rPr>
      </w:pPr>
    </w:p>
    <w:p>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pPr>
        <w:spacing w:line="40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 xml:space="preserve">    注：如为联合体投标，盖章处须加盖联合体各方公章并由联合体各方法定代表人分别签字，否则投标无效。</w:t>
      </w:r>
    </w:p>
    <w:p>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法定代表人（签字或者盖章）：</w:t>
      </w:r>
      <w:r>
        <w:rPr>
          <w:rFonts w:hint="eastAsia" w:ascii="宋体" w:hAnsi="宋体" w:cs="宋体"/>
          <w:color w:val="auto"/>
          <w:sz w:val="24"/>
          <w:highlight w:val="none"/>
          <w:u w:val="single"/>
        </w:rPr>
        <w:t xml:space="preserve">             </w:t>
      </w:r>
    </w:p>
    <w:p>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投标人（盖公章）：</w:t>
      </w:r>
      <w:r>
        <w:rPr>
          <w:rFonts w:hint="eastAsia" w:ascii="宋体" w:hAnsi="宋体" w:cs="宋体"/>
          <w:color w:val="auto"/>
          <w:sz w:val="24"/>
          <w:highlight w:val="none"/>
          <w:u w:val="single"/>
        </w:rPr>
        <w:t xml:space="preserve">                 </w:t>
      </w:r>
    </w:p>
    <w:p>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pPr>
        <w:rPr>
          <w:rFonts w:ascii="宋体" w:hAnsi="宋体" w:cs="宋体"/>
          <w:b/>
          <w:color w:val="auto"/>
          <w:sz w:val="28"/>
          <w:szCs w:val="28"/>
          <w:highlight w:val="none"/>
        </w:rPr>
      </w:pPr>
      <w:bookmarkStart w:id="151" w:name="_Toc19686838"/>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51"/>
    </w:p>
    <w:p>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  务  文  件</w:t>
      </w:r>
    </w:p>
    <w:p>
      <w:pPr>
        <w:snapToGrid w:val="0"/>
        <w:spacing w:beforeLines="50" w:after="50"/>
        <w:rPr>
          <w:rFonts w:ascii="宋体" w:hAnsi="宋体" w:cs="宋体"/>
          <w:bCs/>
          <w:color w:val="auto"/>
          <w:sz w:val="24"/>
          <w:szCs w:val="20"/>
          <w:highlight w:val="none"/>
        </w:rPr>
      </w:pPr>
    </w:p>
    <w:p>
      <w:pPr>
        <w:snapToGrid w:val="0"/>
        <w:spacing w:beforeLines="50" w:after="50"/>
        <w:ind w:firstLine="540" w:firstLineChars="225"/>
        <w:rPr>
          <w:rFonts w:ascii="宋体" w:hAnsi="宋体" w:cs="宋体"/>
          <w:bCs/>
          <w:color w:val="auto"/>
          <w:sz w:val="24"/>
          <w:highlight w:val="none"/>
        </w:rPr>
      </w:pPr>
    </w:p>
    <w:p>
      <w:pPr>
        <w:snapToGrid w:val="0"/>
        <w:spacing w:beforeLines="50" w:after="50"/>
        <w:ind w:firstLine="540" w:firstLineChars="225"/>
        <w:rPr>
          <w:rFonts w:ascii="宋体" w:hAnsi="宋体" w:cs="宋体"/>
          <w:bCs/>
          <w:color w:val="auto"/>
          <w:sz w:val="24"/>
          <w:highlight w:val="none"/>
        </w:rPr>
      </w:pPr>
    </w:p>
    <w:p>
      <w:pPr>
        <w:snapToGrid w:val="0"/>
        <w:spacing w:beforeLines="50" w:after="50"/>
        <w:ind w:firstLine="1680" w:firstLineChars="600"/>
        <w:rPr>
          <w:rFonts w:ascii="宋体" w:hAnsi="宋体" w:cs="宋体"/>
          <w:bCs/>
          <w:color w:val="auto"/>
          <w:sz w:val="28"/>
          <w:szCs w:val="28"/>
          <w:highlight w:val="none"/>
        </w:rPr>
      </w:pPr>
    </w:p>
    <w:p>
      <w:pPr>
        <w:snapToGrid w:val="0"/>
        <w:spacing w:beforeLines="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pPr>
        <w:snapToGrid w:val="0"/>
        <w:spacing w:beforeLines="50" w:after="50"/>
        <w:ind w:firstLine="1680" w:firstLineChars="600"/>
        <w:rPr>
          <w:rFonts w:ascii="宋体" w:hAnsi="宋体" w:cs="宋体"/>
          <w:bCs/>
          <w:color w:val="auto"/>
          <w:sz w:val="28"/>
          <w:szCs w:val="21"/>
          <w:highlight w:val="none"/>
        </w:rPr>
      </w:pPr>
      <w:r>
        <w:rPr>
          <w:rFonts w:hint="eastAsia" w:ascii="宋体" w:hAnsi="宋体" w:cs="宋体"/>
          <w:bCs/>
          <w:color w:val="auto"/>
          <w:sz w:val="28"/>
          <w:szCs w:val="28"/>
          <w:highlight w:val="none"/>
        </w:rPr>
        <w:t>项目编号：</w:t>
      </w:r>
    </w:p>
    <w:p>
      <w:pPr>
        <w:snapToGrid w:val="0"/>
        <w:spacing w:beforeLines="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p>
    <w:p>
      <w:pPr>
        <w:pStyle w:val="8"/>
        <w:snapToGrid w:val="0"/>
        <w:spacing w:before="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pPr>
        <w:pStyle w:val="8"/>
        <w:snapToGrid w:val="0"/>
        <w:spacing w:before="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pPr>
        <w:pStyle w:val="8"/>
        <w:snapToGrid w:val="0"/>
        <w:spacing w:before="50" w:after="50"/>
        <w:ind w:firstLine="1680" w:firstLineChars="600"/>
        <w:rPr>
          <w:rFonts w:ascii="宋体" w:hAnsi="宋体" w:cs="宋体"/>
          <w:bCs/>
          <w:color w:val="auto"/>
          <w:sz w:val="28"/>
          <w:szCs w:val="28"/>
          <w:highlight w:val="none"/>
        </w:rPr>
      </w:pPr>
    </w:p>
    <w:p>
      <w:pPr>
        <w:snapToGrid w:val="0"/>
        <w:spacing w:beforeLines="50" w:after="50"/>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pPr>
        <w:snapToGrid w:val="0"/>
        <w:spacing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pPr>
        <w:snapToGrid w:val="0"/>
        <w:spacing w:line="360" w:lineRule="auto"/>
        <w:jc w:val="left"/>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4"/>
          <w:highlight w:val="none"/>
        </w:rPr>
        <w:t>2.商务文件目录</w:t>
      </w:r>
    </w:p>
    <w:p>
      <w:pPr>
        <w:snapToGrid w:val="0"/>
        <w:spacing w:before="50" w:afterLines="50" w:line="360" w:lineRule="auto"/>
        <w:ind w:firstLine="480" w:firstLineChars="200"/>
        <w:jc w:val="left"/>
        <w:rPr>
          <w:rFonts w:ascii="宋体" w:hAnsi="宋体" w:cs="宋体"/>
          <w:b/>
          <w:bCs/>
          <w:color w:val="auto"/>
          <w:sz w:val="32"/>
          <w:szCs w:val="32"/>
          <w:highlight w:val="none"/>
        </w:rPr>
      </w:pPr>
      <w:r>
        <w:rPr>
          <w:rFonts w:hint="eastAsia" w:ascii="宋体" w:hAnsi="宋体" w:cs="宋体"/>
          <w:color w:val="auto"/>
          <w:sz w:val="24"/>
          <w:highlight w:val="none"/>
        </w:rPr>
        <w:t>根据招标文件规定及投标人提供的材料自行编写目录。</w:t>
      </w:r>
    </w:p>
    <w:p>
      <w:pPr>
        <w:snapToGrid w:val="0"/>
        <w:spacing w:before="50" w:afterLines="50"/>
        <w:jc w:val="left"/>
        <w:rPr>
          <w:rFonts w:ascii="宋体" w:hAnsi="宋体" w:cs="宋体"/>
          <w:color w:val="auto"/>
          <w:highlight w:val="none"/>
        </w:rPr>
      </w:pPr>
    </w:p>
    <w:p>
      <w:pPr>
        <w:snapToGrid w:val="0"/>
        <w:spacing w:beforeLines="50" w:after="50"/>
        <w:jc w:val="left"/>
        <w:rPr>
          <w:rFonts w:ascii="宋体" w:hAnsi="宋体" w:eastAsia="宋体" w:cs="宋体"/>
          <w:b/>
          <w:color w:val="auto"/>
          <w:sz w:val="24"/>
          <w:highlight w:val="none"/>
        </w:rPr>
      </w:pPr>
      <w:r>
        <w:rPr>
          <w:rFonts w:hint="eastAsia" w:ascii="宋体" w:hAnsi="宋体" w:cs="宋体"/>
          <w:b/>
          <w:color w:val="auto"/>
          <w:sz w:val="24"/>
          <w:highlight w:val="none"/>
        </w:rPr>
        <w:br w:type="page"/>
      </w:r>
      <w:r>
        <w:rPr>
          <w:rFonts w:hint="eastAsia" w:ascii="宋体" w:hAnsi="宋体" w:eastAsia="宋体" w:cs="宋体"/>
          <w:b/>
          <w:color w:val="auto"/>
          <w:sz w:val="24"/>
          <w:highlight w:val="none"/>
        </w:rPr>
        <w:t>3.投标人参加本项目无围标串标行为的承诺</w:t>
      </w:r>
    </w:p>
    <w:p>
      <w:pPr>
        <w:snapToGrid w:val="0"/>
        <w:spacing w:beforeLines="50" w:after="50"/>
        <w:jc w:val="left"/>
        <w:rPr>
          <w:rFonts w:ascii="宋体" w:hAnsi="宋体" w:cs="宋体"/>
          <w:b/>
          <w:color w:val="auto"/>
          <w:sz w:val="24"/>
          <w:highlight w:val="none"/>
        </w:rPr>
      </w:pPr>
    </w:p>
    <w:p>
      <w:pPr>
        <w:spacing w:line="360" w:lineRule="auto"/>
        <w:ind w:left="420"/>
        <w:contextualSpacing/>
        <w:jc w:val="center"/>
        <w:rPr>
          <w:rFonts w:ascii="宋体" w:hAnsi="宋体" w:cs="宋体"/>
          <w:b/>
          <w:color w:val="auto"/>
          <w:sz w:val="24"/>
          <w:highlight w:val="none"/>
        </w:rPr>
      </w:pPr>
      <w:r>
        <w:rPr>
          <w:rFonts w:hint="eastAsia" w:ascii="宋体" w:hAnsi="宋体" w:cs="宋体"/>
          <w:bCs/>
          <w:color w:val="auto"/>
          <w:spacing w:val="-11"/>
          <w:sz w:val="44"/>
          <w:szCs w:val="44"/>
          <w:highlight w:val="none"/>
        </w:rPr>
        <w:t>投标人参加本项目无围标串标行为的承诺函</w:t>
      </w:r>
    </w:p>
    <w:p>
      <w:pPr>
        <w:spacing w:line="44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pPr>
        <w:spacing w:line="440" w:lineRule="exact"/>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pPr>
        <w:pStyle w:val="15"/>
        <w:spacing w:line="440" w:lineRule="exact"/>
        <w:ind w:firstLine="6840" w:firstLineChars="2850"/>
        <w:contextualSpacing/>
        <w:rPr>
          <w:rFonts w:hAnsi="宋体" w:cs="宋体"/>
          <w:color w:val="auto"/>
          <w:sz w:val="24"/>
          <w:szCs w:val="24"/>
          <w:highlight w:val="none"/>
        </w:rPr>
      </w:pPr>
    </w:p>
    <w:p>
      <w:pPr>
        <w:pStyle w:val="15"/>
        <w:spacing w:line="440" w:lineRule="exact"/>
        <w:contextualSpacing/>
        <w:jc w:val="center"/>
        <w:rPr>
          <w:rFonts w:hAnsi="宋体" w:cs="宋体"/>
          <w:color w:val="auto"/>
          <w:sz w:val="24"/>
          <w:szCs w:val="24"/>
          <w:highlight w:val="none"/>
        </w:rPr>
      </w:pPr>
      <w:r>
        <w:rPr>
          <w:rFonts w:hint="eastAsia" w:hAnsi="宋体" w:cs="宋体"/>
          <w:color w:val="auto"/>
          <w:sz w:val="24"/>
          <w:szCs w:val="24"/>
          <w:highlight w:val="none"/>
        </w:rPr>
        <w:t xml:space="preserve">                                    投标人名称（公章）</w:t>
      </w:r>
    </w:p>
    <w:p>
      <w:pPr>
        <w:pStyle w:val="15"/>
        <w:spacing w:line="440" w:lineRule="exact"/>
        <w:contextualSpacing/>
        <w:rPr>
          <w:rFonts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4.法定代表人身份证明</w:t>
      </w:r>
    </w:p>
    <w:p>
      <w:pPr>
        <w:spacing w:beforeLines="100" w:afterLines="50"/>
        <w:ind w:left="540"/>
        <w:jc w:val="center"/>
        <w:rPr>
          <w:rFonts w:ascii="宋体" w:hAnsi="宋体" w:cs="宋体"/>
          <w:bCs/>
          <w:color w:val="auto"/>
          <w:sz w:val="44"/>
          <w:szCs w:val="44"/>
          <w:highlight w:val="none"/>
        </w:rPr>
      </w:pPr>
    </w:p>
    <w:p>
      <w:pPr>
        <w:spacing w:beforeLines="100" w:afterLines="50"/>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pPr>
        <w:spacing w:line="500" w:lineRule="exact"/>
        <w:ind w:left="540"/>
        <w:rPr>
          <w:rFonts w:ascii="宋体" w:hAnsi="宋体" w:cs="宋体"/>
          <w:color w:val="auto"/>
          <w:sz w:val="24"/>
          <w:highlight w:val="none"/>
        </w:rPr>
      </w:pPr>
    </w:p>
    <w:p>
      <w:pPr>
        <w:spacing w:line="500" w:lineRule="exact"/>
        <w:ind w:left="540"/>
        <w:rPr>
          <w:rFonts w:ascii="宋体" w:hAnsi="宋体" w:cs="宋体"/>
          <w:color w:val="auto"/>
          <w:sz w:val="24"/>
          <w:highlight w:val="none"/>
        </w:rPr>
      </w:pP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500" w:lineRule="exact"/>
        <w:ind w:left="540"/>
        <w:rPr>
          <w:rFonts w:ascii="宋体" w:hAnsi="宋体" w:cs="宋体"/>
          <w:color w:val="auto"/>
          <w:sz w:val="24"/>
          <w:highlight w:val="none"/>
        </w:rPr>
      </w:pPr>
    </w:p>
    <w:p>
      <w:pPr>
        <w:spacing w:line="500" w:lineRule="exact"/>
        <w:ind w:left="540"/>
        <w:jc w:val="right"/>
        <w:rPr>
          <w:rFonts w:ascii="宋体" w:hAnsi="宋体" w:cs="宋体"/>
          <w:color w:val="auto"/>
          <w:sz w:val="24"/>
          <w:highlight w:val="none"/>
        </w:rPr>
      </w:pPr>
      <w:r>
        <w:rPr>
          <w:rFonts w:hint="eastAsia" w:ascii="宋体" w:hAnsi="宋体" w:cs="宋体"/>
          <w:color w:val="auto"/>
          <w:sz w:val="24"/>
          <w:highlight w:val="none"/>
        </w:rPr>
        <w:t>投标人名称（公章）</w:t>
      </w:r>
    </w:p>
    <w:p>
      <w:pPr>
        <w:spacing w:line="500" w:lineRule="exact"/>
        <w:ind w:left="540"/>
        <w:jc w:val="right"/>
        <w:rPr>
          <w:rFonts w:ascii="宋体" w:hAnsi="宋体" w:cs="宋体"/>
          <w:color w:val="auto"/>
          <w:sz w:val="24"/>
          <w:highlight w:val="none"/>
        </w:rPr>
      </w:pPr>
    </w:p>
    <w:p>
      <w:pPr>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napToGrid w:val="0"/>
        <w:spacing w:beforeLines="50" w:after="50"/>
        <w:jc w:val="center"/>
        <w:rPr>
          <w:rFonts w:ascii="宋体" w:hAnsi="宋体" w:cs="宋体"/>
          <w:b/>
          <w:color w:val="auto"/>
          <w:sz w:val="24"/>
          <w:highlight w:val="none"/>
        </w:rPr>
      </w:pPr>
    </w:p>
    <w:p>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pPr>
        <w:snapToGrid w:val="0"/>
        <w:spacing w:beforeLines="50" w:after="50"/>
        <w:jc w:val="center"/>
        <w:rPr>
          <w:rFonts w:ascii="宋体" w:hAnsi="宋体" w:cs="宋体"/>
          <w:b/>
          <w:color w:val="auto"/>
          <w:sz w:val="44"/>
          <w:szCs w:val="44"/>
          <w:highlight w:val="none"/>
        </w:rPr>
      </w:pPr>
    </w:p>
    <w:p>
      <w:pPr>
        <w:spacing w:line="360" w:lineRule="auto"/>
        <w:contextualSpacing/>
        <w:jc w:val="center"/>
        <w:rPr>
          <w:rFonts w:ascii="宋体" w:hAnsi="宋体" w:cs="宋体"/>
          <w:bCs/>
          <w:color w:val="auto"/>
          <w:sz w:val="44"/>
          <w:szCs w:val="44"/>
          <w:highlight w:val="none"/>
        </w:rPr>
      </w:pPr>
      <w:r>
        <w:rPr>
          <w:rFonts w:hint="eastAsia" w:ascii="宋体" w:hAnsi="宋体" w:cs="宋体"/>
          <w:bCs/>
          <w:color w:val="auto"/>
          <w:sz w:val="44"/>
          <w:szCs w:val="44"/>
          <w:highlight w:val="none"/>
        </w:rPr>
        <w:t>授权委托书</w:t>
      </w:r>
    </w:p>
    <w:p>
      <w:pPr>
        <w:spacing w:line="360" w:lineRule="auto"/>
        <w:contextualSpacing/>
        <w:jc w:val="center"/>
        <w:rPr>
          <w:rFonts w:ascii="宋体" w:hAnsi="宋体" w:cs="宋体"/>
          <w:bCs/>
          <w:color w:val="auto"/>
          <w:sz w:val="32"/>
          <w:szCs w:val="32"/>
          <w:highlight w:val="none"/>
        </w:rPr>
      </w:pPr>
      <w:r>
        <w:rPr>
          <w:rFonts w:hint="eastAsia" w:ascii="宋体" w:hAnsi="宋体" w:cs="宋体"/>
          <w:bCs/>
          <w:color w:val="auto"/>
          <w:sz w:val="32"/>
          <w:szCs w:val="32"/>
          <w:highlight w:val="none"/>
        </w:rPr>
        <w:t>（非联合体投标格式）</w:t>
      </w:r>
    </w:p>
    <w:p>
      <w:pPr>
        <w:spacing w:line="360" w:lineRule="auto"/>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pPr>
        <w:spacing w:line="440" w:lineRule="exact"/>
        <w:contextualSpacing/>
        <w:jc w:val="center"/>
        <w:rPr>
          <w:rFonts w:ascii="宋体" w:hAnsi="宋体" w:cs="宋体"/>
          <w:b/>
          <w:color w:val="auto"/>
          <w:sz w:val="24"/>
          <w:highlight w:val="none"/>
        </w:rPr>
      </w:pPr>
    </w:p>
    <w:p>
      <w:pPr>
        <w:spacing w:line="440" w:lineRule="exact"/>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pPr>
        <w:spacing w:line="440" w:lineRule="exact"/>
        <w:contextualSpacing/>
        <w:rPr>
          <w:rFonts w:ascii="宋体" w:hAnsi="宋体" w:cs="宋体"/>
          <w:color w:val="auto"/>
          <w:sz w:val="24"/>
          <w:highlight w:val="none"/>
        </w:rPr>
      </w:pPr>
    </w:p>
    <w:p>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法定代表人（签字或者盖章）：</w:t>
      </w:r>
      <w:r>
        <w:rPr>
          <w:rFonts w:hint="eastAsia" w:ascii="宋体" w:hAnsi="宋体" w:cs="宋体"/>
          <w:color w:val="auto"/>
          <w:sz w:val="24"/>
          <w:highlight w:val="none"/>
          <w:u w:val="single"/>
        </w:rPr>
        <w:t xml:space="preserve">                      </w:t>
      </w:r>
    </w:p>
    <w:p>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投标人（盖公章）：</w:t>
      </w:r>
    </w:p>
    <w:p>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w:t>
      </w:r>
      <w:bookmarkStart w:id="152" w:name="_Hlk65851555"/>
      <w:bookmarkStart w:id="153" w:name="_Hlk65851620"/>
      <w:r>
        <w:rPr>
          <w:rFonts w:hint="eastAsia" w:ascii="宋体" w:hAnsi="宋体" w:cs="宋体"/>
          <w:color w:val="auto"/>
          <w:sz w:val="24"/>
          <w:highlight w:val="none"/>
        </w:rPr>
        <w:t>法定代表人必须在授权委托书上亲笔签字或者盖章，</w:t>
      </w:r>
      <w:bookmarkEnd w:id="152"/>
      <w:r>
        <w:rPr>
          <w:rFonts w:hint="eastAsia" w:ascii="宋体" w:hAnsi="宋体" w:cs="宋体"/>
          <w:color w:val="auto"/>
          <w:sz w:val="24"/>
          <w:highlight w:val="none"/>
        </w:rPr>
        <w:t>委托代理人必须在授权委托书上亲笔签字，</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53"/>
    </w:p>
    <w:p>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pPr>
        <w:snapToGrid w:val="0"/>
        <w:spacing w:beforeLines="50" w:after="50"/>
        <w:ind w:firstLine="566" w:firstLineChars="236"/>
        <w:jc w:val="center"/>
        <w:rPr>
          <w:rFonts w:ascii="宋体" w:hAnsi="宋体" w:cs="宋体"/>
          <w:color w:val="auto"/>
          <w:sz w:val="44"/>
          <w:szCs w:val="4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授权委托书</w:t>
      </w:r>
    </w:p>
    <w:p>
      <w:pPr>
        <w:snapToGrid w:val="0"/>
        <w:spacing w:beforeLines="50" w:after="50"/>
        <w:ind w:firstLine="755" w:firstLineChars="236"/>
        <w:jc w:val="center"/>
        <w:rPr>
          <w:rFonts w:ascii="宋体" w:hAnsi="宋体" w:cs="宋体"/>
          <w:color w:val="auto"/>
          <w:sz w:val="32"/>
          <w:szCs w:val="32"/>
          <w:highlight w:val="none"/>
        </w:rPr>
      </w:pPr>
      <w:r>
        <w:rPr>
          <w:rFonts w:hint="eastAsia" w:ascii="宋体" w:hAnsi="宋体" w:cs="宋体"/>
          <w:color w:val="auto"/>
          <w:sz w:val="32"/>
          <w:szCs w:val="32"/>
          <w:highlight w:val="none"/>
        </w:rPr>
        <w:t>（联合体投标格式）</w:t>
      </w:r>
    </w:p>
    <w:p>
      <w:pPr>
        <w:snapToGrid w:val="0"/>
        <w:spacing w:beforeLines="50" w:after="50"/>
        <w:ind w:firstLine="755" w:firstLineChars="236"/>
        <w:jc w:val="center"/>
        <w:rPr>
          <w:rFonts w:ascii="宋体" w:hAnsi="宋体" w:cs="宋体"/>
          <w:color w:val="auto"/>
          <w:sz w:val="24"/>
          <w:highlight w:val="none"/>
        </w:rPr>
      </w:pPr>
      <w:r>
        <w:rPr>
          <w:rFonts w:hint="eastAsia" w:ascii="宋体" w:hAnsi="宋体" w:cs="宋体"/>
          <w:color w:val="auto"/>
          <w:sz w:val="32"/>
          <w:szCs w:val="32"/>
          <w:highlight w:val="none"/>
        </w:rPr>
        <w:t>（如有委托时）</w:t>
      </w:r>
    </w:p>
    <w:p>
      <w:pPr>
        <w:spacing w:line="360" w:lineRule="auto"/>
        <w:contextualSpacing/>
        <w:jc w:val="left"/>
        <w:rPr>
          <w:rFonts w:ascii="宋体" w:hAnsi="宋体" w:cs="宋体"/>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 xml:space="preserve">根据 </w:t>
      </w:r>
      <w:r>
        <w:rPr>
          <w:rFonts w:hint="eastAsia" w:ascii="宋体" w:hAnsi="宋体" w:cs="宋体"/>
          <w:color w:val="auto"/>
          <w:sz w:val="24"/>
          <w:highlight w:val="none"/>
          <w:u w:val="single"/>
        </w:rPr>
        <w:t xml:space="preserve"> （牵头人名称）</w:t>
      </w:r>
      <w:r>
        <w:rPr>
          <w:rFonts w:hint="eastAsia" w:ascii="宋体" w:hAnsi="宋体" w:cs="宋体"/>
          <w:color w:val="auto"/>
          <w:sz w:val="24"/>
          <w:highlight w:val="none"/>
        </w:rPr>
        <w:t>与</w:t>
      </w:r>
      <w:r>
        <w:rPr>
          <w:rFonts w:hint="eastAsia" w:ascii="宋体" w:hAnsi="宋体" w:cs="宋体"/>
          <w:color w:val="auto"/>
          <w:sz w:val="24"/>
          <w:highlight w:val="none"/>
          <w:u w:val="single"/>
        </w:rPr>
        <w:t>（联合体其他成员名称）</w:t>
      </w:r>
      <w:r>
        <w:rPr>
          <w:rFonts w:hint="eastAsia" w:ascii="宋体" w:hAnsi="宋体" w:cs="宋体"/>
          <w:color w:val="auto"/>
          <w:sz w:val="24"/>
          <w:highlight w:val="none"/>
        </w:rPr>
        <w:t>签订的《联合体投标协议书》的内容，</w:t>
      </w:r>
      <w:r>
        <w:rPr>
          <w:rFonts w:hint="eastAsia" w:ascii="宋体" w:hAnsi="宋体" w:cs="宋体"/>
          <w:color w:val="auto"/>
          <w:sz w:val="24"/>
          <w:highlight w:val="none"/>
          <w:u w:val="single"/>
        </w:rPr>
        <w:t>（牵头人名称）</w:t>
      </w:r>
      <w:r>
        <w:rPr>
          <w:rFonts w:hint="eastAsia" w:ascii="宋体" w:hAnsi="宋体" w:cs="宋体"/>
          <w:color w:val="auto"/>
          <w:sz w:val="24"/>
          <w:highlight w:val="none"/>
        </w:rPr>
        <w:t>的法定代表人</w:t>
      </w:r>
      <w:r>
        <w:rPr>
          <w:rFonts w:hint="eastAsia" w:ascii="宋体" w:hAnsi="宋体" w:cs="宋体"/>
          <w:color w:val="auto"/>
          <w:sz w:val="24"/>
          <w:highlight w:val="none"/>
          <w:u w:val="single"/>
        </w:rPr>
        <w:t>（姓名）</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附：牵头人法定代表人身份证明及委托代理人有效身份证正反面复印件</w:t>
      </w:r>
    </w:p>
    <w:p>
      <w:pPr>
        <w:spacing w:line="360" w:lineRule="auto"/>
        <w:ind w:firstLine="566" w:firstLineChars="236"/>
        <w:contextualSpacing/>
        <w:rPr>
          <w:rFonts w:ascii="宋体" w:hAnsi="宋体" w:cs="宋体"/>
          <w:color w:val="auto"/>
          <w:sz w:val="24"/>
          <w:highlight w:val="none"/>
        </w:rPr>
      </w:pPr>
    </w:p>
    <w:p>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牵头人法定代表人（签字或者盖章）：</w:t>
      </w:r>
    </w:p>
    <w:p>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牵头人（盖公章）：</w:t>
      </w:r>
    </w:p>
    <w:p>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ind w:firstLine="566" w:firstLineChars="236"/>
        <w:contextualSpacing/>
        <w:rPr>
          <w:rFonts w:ascii="宋体" w:hAnsi="宋体" w:cs="宋体"/>
          <w:color w:val="auto"/>
          <w:sz w:val="24"/>
          <w:highlight w:val="none"/>
        </w:rPr>
      </w:pPr>
    </w:p>
    <w:p>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被授权人（签字）：</w:t>
      </w:r>
    </w:p>
    <w:p>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法定代表人必须在授权委托书上亲笔签字或者盖章，委托代理人必须在授权委托书上亲笔签字，</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2.本授权委托书应由联合体牵头人的法定代表人按上述规定签字。</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3.法人、其他组织投标时“我方”是指“我单位”，自然人投标时“我方”是指“本人”。</w:t>
      </w:r>
    </w:p>
    <w:p>
      <w:pPr>
        <w:snapToGrid w:val="0"/>
        <w:spacing w:before="50" w:afterLines="50" w:line="360" w:lineRule="auto"/>
        <w:ind w:firstLine="480" w:firstLineChars="200"/>
        <w:jc w:val="left"/>
        <w:rPr>
          <w:rFonts w:ascii="宋体" w:hAnsi="宋体" w:cs="宋体"/>
          <w:color w:val="auto"/>
          <w:sz w:val="24"/>
          <w:highlight w:val="none"/>
        </w:rPr>
        <w:sectPr>
          <w:footerReference r:id="rId8" w:type="first"/>
          <w:headerReference r:id="rId5" w:type="default"/>
          <w:footerReference r:id="rId6" w:type="default"/>
          <w:footerReference r:id="rId7" w:type="even"/>
          <w:pgSz w:w="11906" w:h="16838"/>
          <w:pgMar w:top="1417" w:right="1417" w:bottom="1417" w:left="1417" w:header="851" w:footer="567" w:gutter="0"/>
          <w:cols w:space="720" w:num="1"/>
          <w:titlePg/>
          <w:docGrid w:linePitch="312" w:charSpace="0"/>
        </w:sectPr>
      </w:pPr>
    </w:p>
    <w:p>
      <w:pPr>
        <w:rPr>
          <w:rFonts w:ascii="宋体" w:hAnsi="宋体" w:cs="宋体"/>
          <w:color w:val="auto"/>
          <w:sz w:val="24"/>
          <w:highlight w:val="none"/>
        </w:rPr>
      </w:pPr>
    </w:p>
    <w:p>
      <w:pPr>
        <w:rPr>
          <w:rFonts w:ascii="宋体" w:hAnsi="宋体" w:cs="宋体"/>
          <w:b/>
          <w:color w:val="auto"/>
          <w:sz w:val="24"/>
          <w:szCs w:val="20"/>
          <w:highlight w:val="none"/>
        </w:rPr>
      </w:pPr>
      <w:r>
        <w:rPr>
          <w:rFonts w:hint="eastAsia" w:ascii="宋体" w:hAnsi="宋体" w:cs="宋体"/>
          <w:b/>
          <w:color w:val="auto"/>
          <w:sz w:val="24"/>
          <w:highlight w:val="none"/>
        </w:rPr>
        <w:t>6.商务要求偏离表格式（注：按项目需求表具体项目修改）</w:t>
      </w:r>
    </w:p>
    <w:p>
      <w:pPr>
        <w:snapToGrid w:val="0"/>
        <w:spacing w:before="50"/>
        <w:jc w:val="left"/>
        <w:rPr>
          <w:rFonts w:ascii="宋体" w:hAnsi="宋体" w:cs="宋体"/>
          <w:color w:val="auto"/>
          <w:sz w:val="24"/>
          <w:highlight w:val="none"/>
        </w:rPr>
      </w:pPr>
    </w:p>
    <w:p>
      <w:pPr>
        <w:pStyle w:val="15"/>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pPr>
        <w:snapToGrid w:val="0"/>
        <w:spacing w:before="50"/>
        <w:jc w:val="left"/>
        <w:rPr>
          <w:rFonts w:ascii="宋体" w:hAnsi="宋体" w:cs="宋体"/>
          <w:color w:val="auto"/>
          <w:sz w:val="24"/>
          <w:highlight w:val="none"/>
          <w:u w:val="single"/>
        </w:rPr>
      </w:pPr>
    </w:p>
    <w:tbl>
      <w:tblPr>
        <w:tblStyle w:val="23"/>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919"/>
        <w:gridCol w:w="2509"/>
        <w:gridCol w:w="17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19"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招标文件商务要求</w:t>
            </w:r>
          </w:p>
        </w:tc>
        <w:tc>
          <w:tcPr>
            <w:tcW w:w="2509"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投标人的承诺</w:t>
            </w:r>
          </w:p>
        </w:tc>
        <w:tc>
          <w:tcPr>
            <w:tcW w:w="1703"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919"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p>
        </w:tc>
        <w:tc>
          <w:tcPr>
            <w:tcW w:w="2509"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p>
        </w:tc>
        <w:tc>
          <w:tcPr>
            <w:tcW w:w="1703"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919"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color w:val="auto"/>
                <w:sz w:val="24"/>
                <w:highlight w:val="none"/>
                <w:u w:val="single"/>
              </w:rPr>
            </w:pPr>
          </w:p>
        </w:tc>
        <w:tc>
          <w:tcPr>
            <w:tcW w:w="2509"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hAnsi="宋体" w:cs="宋体"/>
                <w:color w:val="auto"/>
                <w:sz w:val="24"/>
                <w:highlight w:val="none"/>
              </w:rPr>
            </w:pPr>
          </w:p>
        </w:tc>
        <w:tc>
          <w:tcPr>
            <w:tcW w:w="1703"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w:t>
            </w:r>
          </w:p>
        </w:tc>
        <w:tc>
          <w:tcPr>
            <w:tcW w:w="2919"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p>
        </w:tc>
        <w:tc>
          <w:tcPr>
            <w:tcW w:w="2509"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p>
        </w:tc>
        <w:tc>
          <w:tcPr>
            <w:tcW w:w="1703"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p>
        </w:tc>
      </w:tr>
    </w:tbl>
    <w:p>
      <w:pPr>
        <w:pStyle w:val="11"/>
        <w:rPr>
          <w:rFonts w:ascii="宋体" w:hAnsi="宋体" w:cs="宋体"/>
          <w:color w:val="auto"/>
          <w:highlight w:val="none"/>
        </w:rPr>
      </w:pPr>
      <w:r>
        <w:rPr>
          <w:rFonts w:hint="eastAsia" w:ascii="宋体" w:hAnsi="宋体" w:cs="宋体"/>
          <w:color w:val="auto"/>
          <w:highlight w:val="none"/>
        </w:rPr>
        <w:t>注：</w:t>
      </w:r>
    </w:p>
    <w:p>
      <w:pPr>
        <w:pStyle w:val="14"/>
        <w:spacing w:line="520" w:lineRule="exact"/>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说明：应对照招标文件“第二章 采购需求”中的商务要求逐条作明确的投标响应，并作出偏离说明。</w:t>
      </w:r>
    </w:p>
    <w:p>
      <w:pPr>
        <w:pStyle w:val="11"/>
        <w:rPr>
          <w:rFonts w:ascii="宋体" w:hAnsi="宋体" w:cs="宋体"/>
          <w:b w:val="0"/>
          <w:bCs w:val="0"/>
          <w:color w:val="auto"/>
          <w:highlight w:val="none"/>
        </w:rPr>
      </w:pPr>
      <w:r>
        <w:rPr>
          <w:rFonts w:hint="eastAsia" w:ascii="宋体" w:hAnsi="宋体" w:cs="宋体"/>
          <w:b w:val="0"/>
          <w:bCs w:val="0"/>
          <w:color w:val="auto"/>
          <w:highlight w:val="none"/>
        </w:rPr>
        <w:t>2.投标人应根据自身的承诺，对照招标文件要求在“偏离说明”中注明“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pPr>
        <w:snapToGrid w:val="0"/>
        <w:spacing w:before="50" w:after="50"/>
        <w:rPr>
          <w:rFonts w:ascii="宋体" w:hAnsi="宋体" w:cs="宋体"/>
          <w:color w:val="auto"/>
          <w:sz w:val="24"/>
          <w:highlight w:val="none"/>
        </w:rPr>
      </w:pPr>
    </w:p>
    <w:p>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pPr>
        <w:snapToGrid w:val="0"/>
        <w:spacing w:beforeLines="50"/>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pPr>
        <w:snapToGrid w:val="0"/>
        <w:spacing w:beforeLines="50"/>
        <w:rPr>
          <w:rFonts w:ascii="宋体" w:hAnsi="宋体" w:cs="宋体"/>
          <w:color w:val="auto"/>
          <w:sz w:val="24"/>
          <w:szCs w:val="20"/>
          <w:highlight w:val="none"/>
        </w:rPr>
      </w:pPr>
    </w:p>
    <w:p>
      <w:pPr>
        <w:snapToGrid w:val="0"/>
        <w:spacing w:beforeLines="50" w:after="50"/>
        <w:jc w:val="left"/>
        <w:rPr>
          <w:rFonts w:ascii="宋体" w:hAnsi="宋体" w:cs="宋体"/>
          <w:color w:val="auto"/>
          <w:sz w:val="24"/>
          <w:szCs w:val="20"/>
          <w:highlight w:val="none"/>
        </w:rPr>
      </w:pPr>
    </w:p>
    <w:p>
      <w:pPr>
        <w:snapToGrid w:val="0"/>
        <w:spacing w:beforeLines="50" w:after="50"/>
        <w:jc w:val="left"/>
        <w:rPr>
          <w:rFonts w:ascii="宋体" w:hAnsi="宋体" w:cs="宋体"/>
          <w:b/>
          <w:color w:val="auto"/>
          <w:sz w:val="24"/>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7.投标人业绩证明材料</w:t>
      </w:r>
    </w:p>
    <w:p>
      <w:pPr>
        <w:pStyle w:val="20"/>
        <w:snapToGrid w:val="0"/>
        <w:ind w:left="480" w:hanging="480"/>
        <w:rPr>
          <w:rFonts w:ascii="宋体" w:hAnsi="宋体" w:cs="宋体"/>
          <w:color w:val="auto"/>
          <w:sz w:val="24"/>
          <w:highlight w:val="none"/>
        </w:rPr>
      </w:pPr>
    </w:p>
    <w:p>
      <w:pPr>
        <w:pStyle w:val="20"/>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23"/>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2"/>
        <w:gridCol w:w="1928"/>
        <w:gridCol w:w="1928"/>
        <w:gridCol w:w="31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32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9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9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311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32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32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311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311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32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311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311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c>
          <w:tcPr>
            <w:tcW w:w="311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 w:val="24"/>
                <w:highlight w:val="none"/>
              </w:rPr>
            </w:pPr>
          </w:p>
        </w:tc>
      </w:tr>
    </w:tbl>
    <w:p>
      <w:pPr>
        <w:pStyle w:val="9"/>
        <w:spacing w:before="0" w:after="0" w:line="360" w:lineRule="auto"/>
        <w:contextualSpacing/>
        <w:rPr>
          <w:rFonts w:ascii="宋体" w:hAnsi="宋体" w:eastAsia="宋体" w:cs="宋体"/>
          <w:color w:val="auto"/>
          <w:sz w:val="24"/>
          <w:szCs w:val="24"/>
          <w:highlight w:val="none"/>
        </w:rPr>
      </w:pPr>
    </w:p>
    <w:p>
      <w:pPr>
        <w:pStyle w:val="9"/>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pPr>
        <w:pStyle w:val="9"/>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w:t>
      </w:r>
      <w:r>
        <w:rPr>
          <w:rFonts w:hint="eastAsia" w:ascii="宋体" w:hAnsi="宋体" w:eastAsia="宋体" w:cs="宋体"/>
          <w:color w:val="auto"/>
          <w:sz w:val="24"/>
          <w:szCs w:val="24"/>
          <w:highlight w:val="none"/>
          <w:u w:val="single"/>
        </w:rPr>
        <w:t>　　　　　</w:t>
      </w:r>
    </w:p>
    <w:p>
      <w:pPr>
        <w:spacing w:line="360" w:lineRule="auto"/>
        <w:ind w:right="480"/>
        <w:contextualSpacing/>
        <w:jc w:val="left"/>
        <w:rPr>
          <w:rFonts w:ascii="宋体" w:hAnsi="宋体" w:cs="宋体"/>
          <w:color w:val="auto"/>
          <w:sz w:val="24"/>
          <w:szCs w:val="20"/>
          <w:highlight w:val="none"/>
        </w:rPr>
      </w:pPr>
      <w:r>
        <w:rPr>
          <w:rFonts w:hint="eastAsia" w:ascii="宋体" w:hAnsi="宋体" w:cs="宋体"/>
          <w:color w:val="auto"/>
          <w:sz w:val="24"/>
          <w:highlight w:val="none"/>
        </w:rPr>
        <w:t xml:space="preserve">投标人（盖公章）：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月    日</w:t>
      </w:r>
    </w:p>
    <w:p>
      <w:pPr>
        <w:snapToGrid w:val="0"/>
        <w:spacing w:before="50"/>
        <w:ind w:firstLine="480" w:firstLineChars="200"/>
        <w:jc w:val="left"/>
        <w:rPr>
          <w:rFonts w:ascii="宋体" w:hAnsi="宋体" w:cs="宋体"/>
          <w:color w:val="auto"/>
          <w:sz w:val="24"/>
          <w:szCs w:val="20"/>
          <w:highlight w:val="none"/>
        </w:rPr>
      </w:pPr>
    </w:p>
    <w:p>
      <w:pPr>
        <w:snapToGrid w:val="0"/>
        <w:spacing w:before="50"/>
        <w:jc w:val="left"/>
        <w:rPr>
          <w:rFonts w:ascii="宋体" w:hAnsi="宋体" w:cs="宋体"/>
          <w:color w:val="auto"/>
          <w:sz w:val="24"/>
          <w:highlight w:val="none"/>
        </w:rPr>
      </w:pPr>
    </w:p>
    <w:p>
      <w:pPr>
        <w:snapToGrid w:val="0"/>
        <w:spacing w:beforeLines="50"/>
        <w:rPr>
          <w:rFonts w:ascii="宋体" w:hAnsi="宋体" w:cs="宋体"/>
          <w:color w:val="auto"/>
          <w:sz w:val="24"/>
          <w:szCs w:val="20"/>
          <w:highlight w:val="none"/>
        </w:rPr>
        <w:sectPr>
          <w:pgSz w:w="11906" w:h="16838"/>
          <w:pgMar w:top="1417" w:right="1417" w:bottom="1417" w:left="1417" w:header="851" w:footer="567" w:gutter="0"/>
          <w:cols w:space="720" w:num="1"/>
          <w:titlePg/>
          <w:docGrid w:linePitch="312" w:charSpace="0"/>
        </w:sectPr>
      </w:pPr>
    </w:p>
    <w:p>
      <w:pPr>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pPr>
        <w:snapToGrid w:val="0"/>
        <w:spacing w:beforeLines="50" w:after="50"/>
        <w:rPr>
          <w:rFonts w:ascii="宋体" w:hAnsi="宋体" w:cs="宋体"/>
          <w:b/>
          <w:bCs/>
          <w:color w:val="auto"/>
          <w:sz w:val="32"/>
          <w:szCs w:val="20"/>
          <w:highlight w:val="none"/>
        </w:rPr>
      </w:pPr>
      <w:r>
        <w:rPr>
          <w:rFonts w:hint="eastAsia" w:ascii="宋体" w:hAnsi="宋体" w:cs="宋体"/>
          <w:color w:val="auto"/>
          <w:sz w:val="24"/>
          <w:highlight w:val="none"/>
        </w:rPr>
        <w:t xml:space="preserve">                                                   </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  术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pPr>
        <w:snapToGrid w:val="0"/>
        <w:spacing w:beforeLines="50" w:after="50" w:line="400" w:lineRule="exact"/>
        <w:ind w:firstLine="360" w:firstLineChars="150"/>
        <w:rPr>
          <w:rFonts w:ascii="宋体" w:hAnsi="宋体" w:cs="宋体"/>
          <w:bCs/>
          <w:color w:val="auto"/>
          <w:sz w:val="24"/>
          <w:szCs w:val="20"/>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beforeLines="50" w:after="50"/>
        <w:ind w:firstLine="645"/>
        <w:jc w:val="center"/>
        <w:rPr>
          <w:rFonts w:ascii="宋体" w:hAnsi="宋体" w:cs="宋体"/>
          <w:color w:val="auto"/>
          <w:sz w:val="24"/>
          <w:highlight w:val="none"/>
        </w:rPr>
      </w:pPr>
    </w:p>
    <w:p>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pPr>
        <w:snapToGrid w:val="0"/>
        <w:spacing w:beforeLines="50" w:after="50"/>
        <w:ind w:firstLine="645"/>
        <w:jc w:val="center"/>
        <w:rPr>
          <w:rFonts w:ascii="宋体" w:hAnsi="宋体" w:cs="宋体"/>
          <w:color w:val="auto"/>
          <w:sz w:val="24"/>
          <w:szCs w:val="20"/>
          <w:highlight w:val="none"/>
        </w:rPr>
      </w:pPr>
    </w:p>
    <w:p>
      <w:pPr>
        <w:snapToGrid w:val="0"/>
        <w:spacing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2.技术文件目录</w:t>
      </w:r>
    </w:p>
    <w:p>
      <w:pPr>
        <w:snapToGrid w:val="0"/>
        <w:spacing w:before="50"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根据招标文件规定及投标人提供的材料自行编写目录。</w:t>
      </w:r>
    </w:p>
    <w:p>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设备性能配置清单格式</w:t>
      </w:r>
    </w:p>
    <w:p>
      <w:pPr>
        <w:snapToGrid w:val="0"/>
        <w:spacing w:beforeLines="50" w:after="50"/>
        <w:ind w:left="142"/>
        <w:jc w:val="left"/>
        <w:rPr>
          <w:rFonts w:ascii="宋体" w:hAnsi="宋体" w:cs="宋体"/>
          <w:b/>
          <w:color w:val="auto"/>
          <w:sz w:val="24"/>
          <w:highlight w:val="none"/>
        </w:rPr>
      </w:pPr>
    </w:p>
    <w:p>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设备性能配置清单</w:t>
      </w:r>
    </w:p>
    <w:p>
      <w:pPr>
        <w:pStyle w:val="15"/>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23"/>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93"/>
        <w:gridCol w:w="834"/>
        <w:gridCol w:w="929"/>
        <w:gridCol w:w="1854"/>
        <w:gridCol w:w="1293"/>
        <w:gridCol w:w="765"/>
        <w:gridCol w:w="1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w:t>
            </w: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 w:val="24"/>
                <w:highlight w:val="none"/>
              </w:rPr>
            </w:pPr>
          </w:p>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制造商</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原产地</w:t>
            </w: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bl>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备注：</w:t>
      </w:r>
    </w:p>
    <w:p>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cs="宋体"/>
          <w:bCs/>
          <w:color w:val="auto"/>
          <w:sz w:val="24"/>
          <w:highlight w:val="none"/>
        </w:rPr>
        <w:t>的，</w:t>
      </w:r>
      <w:r>
        <w:rPr>
          <w:rFonts w:hint="eastAsia" w:ascii="宋体" w:hAnsi="宋体" w:cs="宋体"/>
          <w:b/>
          <w:color w:val="auto"/>
          <w:sz w:val="24"/>
          <w:highlight w:val="none"/>
        </w:rPr>
        <w:t>作无效投标处理。</w:t>
      </w:r>
      <w:r>
        <w:rPr>
          <w:rFonts w:hint="eastAsia" w:ascii="宋体" w:hAnsi="宋体" w:cs="宋体"/>
          <w:color w:val="auto"/>
          <w:sz w:val="24"/>
          <w:highlight w:val="none"/>
        </w:rPr>
        <w:t>货物名称、数量及单位、品牌必须与“开标一览表”一致，</w:t>
      </w:r>
      <w:r>
        <w:rPr>
          <w:rFonts w:hint="eastAsia" w:ascii="宋体" w:hAnsi="宋体" w:cs="宋体"/>
          <w:b/>
          <w:color w:val="auto"/>
          <w:sz w:val="24"/>
          <w:highlight w:val="none"/>
        </w:rPr>
        <w:t>否则按无效投标处理。</w:t>
      </w:r>
    </w:p>
    <w:p>
      <w:pPr>
        <w:spacing w:line="360" w:lineRule="auto"/>
        <w:ind w:firstLine="480" w:firstLineChars="200"/>
        <w:contextualSpacing/>
        <w:rPr>
          <w:rFonts w:ascii="宋体" w:hAnsi="宋体" w:cs="宋体"/>
          <w:color w:val="auto"/>
          <w:sz w:val="24"/>
          <w:highlight w:val="none"/>
        </w:rPr>
      </w:pPr>
    </w:p>
    <w:p>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投标人（盖公章）：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pPr>
        <w:snapToGrid w:val="0"/>
        <w:spacing w:before="50" w:afterLines="50"/>
        <w:jc w:val="left"/>
        <w:rPr>
          <w:rFonts w:ascii="宋体" w:hAnsi="宋体" w:cs="宋体"/>
          <w:color w:val="auto"/>
          <w:sz w:val="24"/>
          <w:szCs w:val="20"/>
          <w:highlight w:val="none"/>
        </w:rPr>
      </w:pPr>
    </w:p>
    <w:p>
      <w:pPr>
        <w:snapToGrid w:val="0"/>
        <w:spacing w:before="50" w:afterLines="50"/>
        <w:jc w:val="left"/>
        <w:rPr>
          <w:rFonts w:ascii="宋体" w:hAnsi="宋体" w:cs="宋体"/>
          <w:color w:val="auto"/>
          <w:sz w:val="24"/>
          <w:szCs w:val="20"/>
          <w:highlight w:val="none"/>
        </w:rPr>
      </w:pPr>
    </w:p>
    <w:p>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 技术要求偏离表格式</w:t>
      </w:r>
    </w:p>
    <w:p>
      <w:pPr>
        <w:snapToGrid w:val="0"/>
        <w:spacing w:beforeLines="50" w:after="50"/>
        <w:ind w:left="142"/>
        <w:jc w:val="left"/>
        <w:rPr>
          <w:rFonts w:ascii="宋体" w:hAnsi="宋体" w:cs="宋体"/>
          <w:b/>
          <w:color w:val="auto"/>
          <w:sz w:val="24"/>
          <w:highlight w:val="none"/>
        </w:rPr>
      </w:pPr>
    </w:p>
    <w:p>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p>
      <w:pPr>
        <w:pStyle w:val="15"/>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2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1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项号</w:t>
            </w:r>
          </w:p>
        </w:tc>
        <w:tc>
          <w:tcPr>
            <w:tcW w:w="2143" w:type="dxa"/>
            <w:vAlign w:val="center"/>
          </w:tcPr>
          <w:p>
            <w:pPr>
              <w:pStyle w:val="1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标的的名称</w:t>
            </w:r>
          </w:p>
        </w:tc>
        <w:tc>
          <w:tcPr>
            <w:tcW w:w="1834" w:type="dxa"/>
            <w:vAlign w:val="center"/>
          </w:tcPr>
          <w:p>
            <w:pPr>
              <w:pStyle w:val="1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技术要求</w:t>
            </w:r>
          </w:p>
        </w:tc>
        <w:tc>
          <w:tcPr>
            <w:tcW w:w="2181" w:type="dxa"/>
            <w:vAlign w:val="center"/>
          </w:tcPr>
          <w:p>
            <w:pPr>
              <w:pStyle w:val="1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34" w:type="dxa"/>
            <w:vAlign w:val="center"/>
          </w:tcPr>
          <w:p>
            <w:pPr>
              <w:pStyle w:val="1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jc w:val="center"/>
              <w:rPr>
                <w:rFonts w:hAnsi="宋体" w:cs="宋体"/>
                <w:color w:val="auto"/>
                <w:kern w:val="2"/>
                <w:sz w:val="24"/>
                <w:szCs w:val="24"/>
                <w:highlight w:val="none"/>
              </w:rPr>
            </w:pPr>
          </w:p>
        </w:tc>
        <w:tc>
          <w:tcPr>
            <w:tcW w:w="2143" w:type="dxa"/>
            <w:vAlign w:val="center"/>
          </w:tcPr>
          <w:p>
            <w:pPr>
              <w:pStyle w:val="15"/>
              <w:spacing w:line="600" w:lineRule="exact"/>
              <w:jc w:val="center"/>
              <w:rPr>
                <w:rFonts w:hAnsi="宋体" w:cs="宋体"/>
                <w:color w:val="auto"/>
                <w:kern w:val="2"/>
                <w:sz w:val="24"/>
                <w:szCs w:val="24"/>
                <w:highlight w:val="none"/>
              </w:rPr>
            </w:pPr>
          </w:p>
        </w:tc>
        <w:tc>
          <w:tcPr>
            <w:tcW w:w="1834" w:type="dxa"/>
            <w:vAlign w:val="center"/>
          </w:tcPr>
          <w:p>
            <w:pPr>
              <w:pStyle w:val="15"/>
              <w:spacing w:line="600" w:lineRule="exact"/>
              <w:jc w:val="center"/>
              <w:rPr>
                <w:rFonts w:hAnsi="宋体" w:cs="宋体"/>
                <w:color w:val="auto"/>
                <w:kern w:val="2"/>
                <w:sz w:val="24"/>
                <w:szCs w:val="24"/>
                <w:highlight w:val="none"/>
              </w:rPr>
            </w:pPr>
          </w:p>
        </w:tc>
        <w:tc>
          <w:tcPr>
            <w:tcW w:w="2181" w:type="dxa"/>
            <w:vAlign w:val="center"/>
          </w:tcPr>
          <w:p>
            <w:pPr>
              <w:pStyle w:val="15"/>
              <w:spacing w:line="600" w:lineRule="exact"/>
              <w:jc w:val="center"/>
              <w:rPr>
                <w:rFonts w:hAnsi="宋体" w:cs="宋体"/>
                <w:color w:val="auto"/>
                <w:kern w:val="2"/>
                <w:sz w:val="24"/>
                <w:szCs w:val="24"/>
                <w:highlight w:val="none"/>
              </w:rPr>
            </w:pPr>
          </w:p>
        </w:tc>
        <w:tc>
          <w:tcPr>
            <w:tcW w:w="1934" w:type="dxa"/>
            <w:vAlign w:val="center"/>
          </w:tcPr>
          <w:p>
            <w:pPr>
              <w:pStyle w:val="15"/>
              <w:spacing w:line="600" w:lineRule="exact"/>
              <w:jc w:val="center"/>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宋体"/>
                <w:color w:val="auto"/>
                <w:kern w:val="2"/>
                <w:sz w:val="24"/>
                <w:szCs w:val="24"/>
                <w:highlight w:val="none"/>
              </w:rPr>
            </w:pPr>
          </w:p>
        </w:tc>
        <w:tc>
          <w:tcPr>
            <w:tcW w:w="2143" w:type="dxa"/>
          </w:tcPr>
          <w:p>
            <w:pPr>
              <w:pStyle w:val="15"/>
              <w:spacing w:line="600" w:lineRule="exact"/>
              <w:rPr>
                <w:rFonts w:hAnsi="宋体" w:cs="宋体"/>
                <w:color w:val="auto"/>
                <w:kern w:val="2"/>
                <w:sz w:val="24"/>
                <w:szCs w:val="24"/>
                <w:highlight w:val="none"/>
              </w:rPr>
            </w:pPr>
          </w:p>
        </w:tc>
        <w:tc>
          <w:tcPr>
            <w:tcW w:w="1834" w:type="dxa"/>
          </w:tcPr>
          <w:p>
            <w:pPr>
              <w:pStyle w:val="15"/>
              <w:spacing w:line="600" w:lineRule="exact"/>
              <w:rPr>
                <w:rFonts w:hAnsi="宋体" w:cs="宋体"/>
                <w:color w:val="auto"/>
                <w:kern w:val="2"/>
                <w:sz w:val="24"/>
                <w:szCs w:val="24"/>
                <w:highlight w:val="none"/>
              </w:rPr>
            </w:pPr>
          </w:p>
        </w:tc>
        <w:tc>
          <w:tcPr>
            <w:tcW w:w="2181" w:type="dxa"/>
          </w:tcPr>
          <w:p>
            <w:pPr>
              <w:pStyle w:val="15"/>
              <w:spacing w:line="600" w:lineRule="exact"/>
              <w:rPr>
                <w:rFonts w:hAnsi="宋体" w:cs="宋体"/>
                <w:color w:val="auto"/>
                <w:kern w:val="2"/>
                <w:sz w:val="24"/>
                <w:szCs w:val="24"/>
                <w:highlight w:val="none"/>
              </w:rPr>
            </w:pPr>
          </w:p>
        </w:tc>
        <w:tc>
          <w:tcPr>
            <w:tcW w:w="1934" w:type="dxa"/>
          </w:tcPr>
          <w:p>
            <w:pPr>
              <w:pStyle w:val="15"/>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宋体"/>
                <w:color w:val="auto"/>
                <w:kern w:val="2"/>
                <w:sz w:val="24"/>
                <w:szCs w:val="24"/>
                <w:highlight w:val="none"/>
              </w:rPr>
            </w:pPr>
          </w:p>
        </w:tc>
        <w:tc>
          <w:tcPr>
            <w:tcW w:w="2143" w:type="dxa"/>
          </w:tcPr>
          <w:p>
            <w:pPr>
              <w:pStyle w:val="15"/>
              <w:spacing w:line="600" w:lineRule="exact"/>
              <w:rPr>
                <w:rFonts w:hAnsi="宋体" w:cs="宋体"/>
                <w:color w:val="auto"/>
                <w:kern w:val="2"/>
                <w:sz w:val="24"/>
                <w:szCs w:val="24"/>
                <w:highlight w:val="none"/>
              </w:rPr>
            </w:pPr>
          </w:p>
        </w:tc>
        <w:tc>
          <w:tcPr>
            <w:tcW w:w="1834" w:type="dxa"/>
          </w:tcPr>
          <w:p>
            <w:pPr>
              <w:pStyle w:val="15"/>
              <w:spacing w:line="600" w:lineRule="exact"/>
              <w:rPr>
                <w:rFonts w:hAnsi="宋体" w:cs="宋体"/>
                <w:color w:val="auto"/>
                <w:kern w:val="2"/>
                <w:sz w:val="24"/>
                <w:szCs w:val="24"/>
                <w:highlight w:val="none"/>
              </w:rPr>
            </w:pPr>
          </w:p>
        </w:tc>
        <w:tc>
          <w:tcPr>
            <w:tcW w:w="2181" w:type="dxa"/>
          </w:tcPr>
          <w:p>
            <w:pPr>
              <w:pStyle w:val="15"/>
              <w:spacing w:line="600" w:lineRule="exact"/>
              <w:rPr>
                <w:rFonts w:hAnsi="宋体" w:cs="宋体"/>
                <w:color w:val="auto"/>
                <w:kern w:val="2"/>
                <w:sz w:val="24"/>
                <w:szCs w:val="24"/>
                <w:highlight w:val="none"/>
              </w:rPr>
            </w:pPr>
          </w:p>
        </w:tc>
        <w:tc>
          <w:tcPr>
            <w:tcW w:w="1934" w:type="dxa"/>
          </w:tcPr>
          <w:p>
            <w:pPr>
              <w:pStyle w:val="15"/>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宋体"/>
                <w:color w:val="auto"/>
                <w:kern w:val="2"/>
                <w:sz w:val="24"/>
                <w:szCs w:val="24"/>
                <w:highlight w:val="none"/>
              </w:rPr>
            </w:pPr>
          </w:p>
        </w:tc>
        <w:tc>
          <w:tcPr>
            <w:tcW w:w="2143" w:type="dxa"/>
          </w:tcPr>
          <w:p>
            <w:pPr>
              <w:pStyle w:val="15"/>
              <w:spacing w:line="600" w:lineRule="exact"/>
              <w:rPr>
                <w:rFonts w:hAnsi="宋体" w:cs="宋体"/>
                <w:color w:val="auto"/>
                <w:kern w:val="2"/>
                <w:sz w:val="24"/>
                <w:szCs w:val="24"/>
                <w:highlight w:val="none"/>
              </w:rPr>
            </w:pPr>
          </w:p>
        </w:tc>
        <w:tc>
          <w:tcPr>
            <w:tcW w:w="1834" w:type="dxa"/>
          </w:tcPr>
          <w:p>
            <w:pPr>
              <w:pStyle w:val="15"/>
              <w:spacing w:line="600" w:lineRule="exact"/>
              <w:rPr>
                <w:rFonts w:hAnsi="宋体" w:cs="宋体"/>
                <w:color w:val="auto"/>
                <w:kern w:val="2"/>
                <w:sz w:val="24"/>
                <w:szCs w:val="24"/>
                <w:highlight w:val="none"/>
              </w:rPr>
            </w:pPr>
          </w:p>
        </w:tc>
        <w:tc>
          <w:tcPr>
            <w:tcW w:w="2181" w:type="dxa"/>
          </w:tcPr>
          <w:p>
            <w:pPr>
              <w:pStyle w:val="15"/>
              <w:spacing w:line="600" w:lineRule="exact"/>
              <w:rPr>
                <w:rFonts w:hAnsi="宋体" w:cs="宋体"/>
                <w:color w:val="auto"/>
                <w:kern w:val="2"/>
                <w:sz w:val="24"/>
                <w:szCs w:val="24"/>
                <w:highlight w:val="none"/>
              </w:rPr>
            </w:pPr>
          </w:p>
        </w:tc>
        <w:tc>
          <w:tcPr>
            <w:tcW w:w="1934" w:type="dxa"/>
          </w:tcPr>
          <w:p>
            <w:pPr>
              <w:pStyle w:val="15"/>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宋体"/>
                <w:color w:val="auto"/>
                <w:kern w:val="2"/>
                <w:sz w:val="24"/>
                <w:szCs w:val="24"/>
                <w:highlight w:val="none"/>
              </w:rPr>
            </w:pPr>
          </w:p>
        </w:tc>
        <w:tc>
          <w:tcPr>
            <w:tcW w:w="2143" w:type="dxa"/>
          </w:tcPr>
          <w:p>
            <w:pPr>
              <w:pStyle w:val="15"/>
              <w:spacing w:line="600" w:lineRule="exact"/>
              <w:rPr>
                <w:rFonts w:hAnsi="宋体" w:cs="宋体"/>
                <w:color w:val="auto"/>
                <w:kern w:val="2"/>
                <w:sz w:val="24"/>
                <w:szCs w:val="24"/>
                <w:highlight w:val="none"/>
              </w:rPr>
            </w:pPr>
          </w:p>
        </w:tc>
        <w:tc>
          <w:tcPr>
            <w:tcW w:w="1834" w:type="dxa"/>
          </w:tcPr>
          <w:p>
            <w:pPr>
              <w:pStyle w:val="15"/>
              <w:spacing w:line="600" w:lineRule="exact"/>
              <w:rPr>
                <w:rFonts w:hAnsi="宋体" w:cs="宋体"/>
                <w:color w:val="auto"/>
                <w:kern w:val="2"/>
                <w:sz w:val="24"/>
                <w:szCs w:val="24"/>
                <w:highlight w:val="none"/>
              </w:rPr>
            </w:pPr>
          </w:p>
        </w:tc>
        <w:tc>
          <w:tcPr>
            <w:tcW w:w="2181" w:type="dxa"/>
          </w:tcPr>
          <w:p>
            <w:pPr>
              <w:pStyle w:val="15"/>
              <w:spacing w:line="600" w:lineRule="exact"/>
              <w:rPr>
                <w:rFonts w:hAnsi="宋体" w:cs="宋体"/>
                <w:color w:val="auto"/>
                <w:kern w:val="2"/>
                <w:sz w:val="24"/>
                <w:szCs w:val="24"/>
                <w:highlight w:val="none"/>
              </w:rPr>
            </w:pPr>
          </w:p>
        </w:tc>
        <w:tc>
          <w:tcPr>
            <w:tcW w:w="1934" w:type="dxa"/>
          </w:tcPr>
          <w:p>
            <w:pPr>
              <w:pStyle w:val="15"/>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宋体"/>
                <w:color w:val="auto"/>
                <w:kern w:val="2"/>
                <w:sz w:val="24"/>
                <w:szCs w:val="24"/>
                <w:highlight w:val="none"/>
              </w:rPr>
            </w:pPr>
          </w:p>
        </w:tc>
        <w:tc>
          <w:tcPr>
            <w:tcW w:w="2143" w:type="dxa"/>
          </w:tcPr>
          <w:p>
            <w:pPr>
              <w:pStyle w:val="15"/>
              <w:spacing w:line="600" w:lineRule="exact"/>
              <w:rPr>
                <w:rFonts w:hAnsi="宋体" w:cs="宋体"/>
                <w:color w:val="auto"/>
                <w:kern w:val="2"/>
                <w:sz w:val="24"/>
                <w:szCs w:val="24"/>
                <w:highlight w:val="none"/>
              </w:rPr>
            </w:pPr>
          </w:p>
        </w:tc>
        <w:tc>
          <w:tcPr>
            <w:tcW w:w="1834" w:type="dxa"/>
          </w:tcPr>
          <w:p>
            <w:pPr>
              <w:pStyle w:val="15"/>
              <w:spacing w:line="600" w:lineRule="exact"/>
              <w:rPr>
                <w:rFonts w:hAnsi="宋体" w:cs="宋体"/>
                <w:color w:val="auto"/>
                <w:kern w:val="2"/>
                <w:sz w:val="24"/>
                <w:szCs w:val="24"/>
                <w:highlight w:val="none"/>
              </w:rPr>
            </w:pPr>
          </w:p>
        </w:tc>
        <w:tc>
          <w:tcPr>
            <w:tcW w:w="2181" w:type="dxa"/>
          </w:tcPr>
          <w:p>
            <w:pPr>
              <w:pStyle w:val="15"/>
              <w:spacing w:line="600" w:lineRule="exact"/>
              <w:rPr>
                <w:rFonts w:hAnsi="宋体" w:cs="宋体"/>
                <w:color w:val="auto"/>
                <w:kern w:val="2"/>
                <w:sz w:val="24"/>
                <w:szCs w:val="24"/>
                <w:highlight w:val="none"/>
              </w:rPr>
            </w:pPr>
          </w:p>
        </w:tc>
        <w:tc>
          <w:tcPr>
            <w:tcW w:w="1934" w:type="dxa"/>
          </w:tcPr>
          <w:p>
            <w:pPr>
              <w:pStyle w:val="15"/>
              <w:spacing w:line="600" w:lineRule="exact"/>
              <w:rPr>
                <w:rFonts w:hAnsi="宋体" w:cs="宋体"/>
                <w:color w:val="auto"/>
                <w:kern w:val="2"/>
                <w:sz w:val="24"/>
                <w:szCs w:val="24"/>
                <w:highlight w:val="none"/>
              </w:rPr>
            </w:pPr>
          </w:p>
        </w:tc>
      </w:tr>
    </w:tbl>
    <w:p>
      <w:pPr>
        <w:pStyle w:val="11"/>
        <w:rPr>
          <w:rFonts w:ascii="宋体" w:hAnsi="宋体" w:cs="宋体"/>
          <w:color w:val="auto"/>
          <w:highlight w:val="none"/>
        </w:rPr>
      </w:pPr>
      <w:r>
        <w:rPr>
          <w:rFonts w:hint="eastAsia" w:ascii="宋体" w:hAnsi="宋体" w:cs="宋体"/>
          <w:color w:val="auto"/>
          <w:highlight w:val="none"/>
        </w:rPr>
        <w:t>注：</w:t>
      </w:r>
    </w:p>
    <w:p>
      <w:pPr>
        <w:pStyle w:val="14"/>
        <w:spacing w:line="360" w:lineRule="auto"/>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采购需求”中的“技术要求”逐条作明确的投标响应，并作出偏离说明。</w:t>
      </w:r>
    </w:p>
    <w:p>
      <w:pPr>
        <w:pStyle w:val="11"/>
        <w:spacing w:line="360" w:lineRule="auto"/>
        <w:rPr>
          <w:rFonts w:ascii="宋体" w:hAnsi="宋体" w:cs="宋体"/>
          <w:b w:val="0"/>
          <w:bCs w:val="0"/>
          <w:color w:val="auto"/>
          <w:highlight w:val="none"/>
        </w:rPr>
      </w:pPr>
      <w:r>
        <w:rPr>
          <w:rFonts w:hint="eastAsia" w:ascii="宋体" w:hAnsi="宋体" w:cs="宋体"/>
          <w:b w:val="0"/>
          <w:bCs w:val="0"/>
          <w:color w:val="auto"/>
          <w:highlight w:val="none"/>
        </w:rPr>
        <w:t>2.投标人根据投标货物的性能指标，对照招标文件技术要求，在“偏离说明”中注明“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pPr>
        <w:pStyle w:val="14"/>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pPr>
        <w:pStyle w:val="14"/>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如技术要求偏离表中的投标响应与佐证材料不一致的，以佐证材料为准。</w:t>
      </w:r>
    </w:p>
    <w:p>
      <w:pPr>
        <w:snapToGrid w:val="0"/>
        <w:spacing w:before="50" w:after="50" w:line="360" w:lineRule="auto"/>
        <w:rPr>
          <w:rFonts w:ascii="宋体" w:hAnsi="宋体" w:cs="宋体"/>
          <w:color w:val="auto"/>
          <w:sz w:val="24"/>
          <w:highlight w:val="none"/>
        </w:rPr>
      </w:pPr>
    </w:p>
    <w:p>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pacing w:val="20"/>
          <w:sz w:val="24"/>
          <w:highlight w:val="none"/>
        </w:rPr>
        <w:t>投标人（盖公章）：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pPr>
        <w:snapToGrid w:val="0"/>
        <w:spacing w:before="50" w:after="50" w:line="360" w:lineRule="auto"/>
        <w:rPr>
          <w:rFonts w:ascii="宋体" w:hAnsi="宋体" w:cs="宋体"/>
          <w:color w:val="auto"/>
          <w:sz w:val="24"/>
          <w:szCs w:val="20"/>
          <w:highlight w:val="none"/>
        </w:rPr>
      </w:pPr>
    </w:p>
    <w:p>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 项目实施人员一览表格式</w:t>
      </w:r>
    </w:p>
    <w:p>
      <w:pPr>
        <w:snapToGrid w:val="0"/>
        <w:spacing w:beforeLines="50" w:after="50"/>
        <w:ind w:left="142"/>
        <w:jc w:val="left"/>
        <w:rPr>
          <w:rFonts w:ascii="宋体" w:hAnsi="宋体" w:cs="宋体"/>
          <w:b/>
          <w:color w:val="auto"/>
          <w:sz w:val="24"/>
          <w:highlight w:val="none"/>
        </w:rPr>
      </w:pPr>
    </w:p>
    <w:p>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pPr>
        <w:pStyle w:val="15"/>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2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s="宋体"/>
                <w:color w:val="auto"/>
                <w:sz w:val="24"/>
                <w:szCs w:val="20"/>
                <w:highlight w:val="none"/>
              </w:rPr>
            </w:pPr>
          </w:p>
        </w:tc>
        <w:tc>
          <w:tcPr>
            <w:tcW w:w="709" w:type="dxa"/>
            <w:vAlign w:val="center"/>
          </w:tcPr>
          <w:p>
            <w:pPr>
              <w:snapToGrid w:val="0"/>
              <w:spacing w:before="50" w:afterLines="50"/>
              <w:jc w:val="center"/>
              <w:rPr>
                <w:rFonts w:ascii="宋体" w:hAnsi="宋体" w:cs="宋体"/>
                <w:color w:val="auto"/>
                <w:sz w:val="24"/>
                <w:szCs w:val="20"/>
                <w:highlight w:val="none"/>
              </w:rPr>
            </w:pPr>
          </w:p>
        </w:tc>
        <w:tc>
          <w:tcPr>
            <w:tcW w:w="1701" w:type="dxa"/>
            <w:vAlign w:val="center"/>
          </w:tcPr>
          <w:p>
            <w:pPr>
              <w:snapToGrid w:val="0"/>
              <w:spacing w:before="50" w:afterLines="50"/>
              <w:jc w:val="center"/>
              <w:rPr>
                <w:rFonts w:ascii="宋体" w:hAnsi="宋体" w:cs="宋体"/>
                <w:color w:val="auto"/>
                <w:sz w:val="24"/>
                <w:szCs w:val="20"/>
                <w:highlight w:val="none"/>
              </w:rPr>
            </w:pPr>
          </w:p>
        </w:tc>
        <w:tc>
          <w:tcPr>
            <w:tcW w:w="1420" w:type="dxa"/>
            <w:vAlign w:val="center"/>
          </w:tcPr>
          <w:p>
            <w:pPr>
              <w:snapToGrid w:val="0"/>
              <w:spacing w:before="50" w:afterLines="50"/>
              <w:jc w:val="center"/>
              <w:rPr>
                <w:rFonts w:ascii="宋体" w:hAnsi="宋体" w:cs="宋体"/>
                <w:color w:val="auto"/>
                <w:sz w:val="24"/>
                <w:szCs w:val="20"/>
                <w:highlight w:val="none"/>
              </w:rPr>
            </w:pPr>
          </w:p>
        </w:tc>
        <w:tc>
          <w:tcPr>
            <w:tcW w:w="1698" w:type="dxa"/>
            <w:vAlign w:val="center"/>
          </w:tcPr>
          <w:p>
            <w:pPr>
              <w:snapToGrid w:val="0"/>
              <w:spacing w:before="50" w:afterLines="50"/>
              <w:jc w:val="center"/>
              <w:rPr>
                <w:rFonts w:ascii="宋体" w:hAnsi="宋体" w:cs="宋体"/>
                <w:color w:val="auto"/>
                <w:sz w:val="24"/>
                <w:szCs w:val="20"/>
                <w:highlight w:val="none"/>
              </w:rPr>
            </w:pPr>
          </w:p>
        </w:tc>
        <w:tc>
          <w:tcPr>
            <w:tcW w:w="1843" w:type="dxa"/>
            <w:vAlign w:val="center"/>
          </w:tcPr>
          <w:p>
            <w:pPr>
              <w:snapToGrid w:val="0"/>
              <w:spacing w:before="50" w:afterLines="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s="宋体"/>
                <w:color w:val="auto"/>
                <w:sz w:val="24"/>
                <w:szCs w:val="20"/>
                <w:highlight w:val="none"/>
              </w:rPr>
            </w:pPr>
          </w:p>
        </w:tc>
        <w:tc>
          <w:tcPr>
            <w:tcW w:w="709" w:type="dxa"/>
            <w:vAlign w:val="center"/>
          </w:tcPr>
          <w:p>
            <w:pPr>
              <w:snapToGrid w:val="0"/>
              <w:spacing w:before="50" w:afterLines="50"/>
              <w:jc w:val="center"/>
              <w:rPr>
                <w:rFonts w:ascii="宋体" w:hAnsi="宋体" w:cs="宋体"/>
                <w:color w:val="auto"/>
                <w:sz w:val="24"/>
                <w:szCs w:val="20"/>
                <w:highlight w:val="none"/>
              </w:rPr>
            </w:pPr>
          </w:p>
        </w:tc>
        <w:tc>
          <w:tcPr>
            <w:tcW w:w="1701" w:type="dxa"/>
            <w:vAlign w:val="center"/>
          </w:tcPr>
          <w:p>
            <w:pPr>
              <w:snapToGrid w:val="0"/>
              <w:spacing w:before="50" w:afterLines="50"/>
              <w:jc w:val="center"/>
              <w:rPr>
                <w:rFonts w:ascii="宋体" w:hAnsi="宋体" w:cs="宋体"/>
                <w:color w:val="auto"/>
                <w:sz w:val="24"/>
                <w:szCs w:val="20"/>
                <w:highlight w:val="none"/>
              </w:rPr>
            </w:pPr>
          </w:p>
        </w:tc>
        <w:tc>
          <w:tcPr>
            <w:tcW w:w="1420" w:type="dxa"/>
            <w:vAlign w:val="center"/>
          </w:tcPr>
          <w:p>
            <w:pPr>
              <w:snapToGrid w:val="0"/>
              <w:spacing w:before="50" w:afterLines="50"/>
              <w:jc w:val="center"/>
              <w:rPr>
                <w:rFonts w:ascii="宋体" w:hAnsi="宋体" w:cs="宋体"/>
                <w:color w:val="auto"/>
                <w:sz w:val="24"/>
                <w:szCs w:val="20"/>
                <w:highlight w:val="none"/>
              </w:rPr>
            </w:pPr>
          </w:p>
        </w:tc>
        <w:tc>
          <w:tcPr>
            <w:tcW w:w="1698" w:type="dxa"/>
            <w:vAlign w:val="center"/>
          </w:tcPr>
          <w:p>
            <w:pPr>
              <w:snapToGrid w:val="0"/>
              <w:spacing w:before="50" w:afterLines="50"/>
              <w:jc w:val="center"/>
              <w:rPr>
                <w:rFonts w:ascii="宋体" w:hAnsi="宋体" w:cs="宋体"/>
                <w:color w:val="auto"/>
                <w:sz w:val="24"/>
                <w:szCs w:val="20"/>
                <w:highlight w:val="none"/>
              </w:rPr>
            </w:pPr>
          </w:p>
        </w:tc>
        <w:tc>
          <w:tcPr>
            <w:tcW w:w="1843" w:type="dxa"/>
            <w:vAlign w:val="center"/>
          </w:tcPr>
          <w:p>
            <w:pPr>
              <w:snapToGrid w:val="0"/>
              <w:spacing w:before="50" w:afterLines="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s="宋体"/>
                <w:color w:val="auto"/>
                <w:sz w:val="24"/>
                <w:szCs w:val="20"/>
                <w:highlight w:val="none"/>
              </w:rPr>
            </w:pPr>
          </w:p>
        </w:tc>
        <w:tc>
          <w:tcPr>
            <w:tcW w:w="709" w:type="dxa"/>
            <w:vAlign w:val="center"/>
          </w:tcPr>
          <w:p>
            <w:pPr>
              <w:snapToGrid w:val="0"/>
              <w:spacing w:before="50" w:afterLines="50"/>
              <w:jc w:val="center"/>
              <w:rPr>
                <w:rFonts w:ascii="宋体" w:hAnsi="宋体" w:cs="宋体"/>
                <w:color w:val="auto"/>
                <w:sz w:val="24"/>
                <w:szCs w:val="20"/>
                <w:highlight w:val="none"/>
              </w:rPr>
            </w:pPr>
          </w:p>
        </w:tc>
        <w:tc>
          <w:tcPr>
            <w:tcW w:w="1701" w:type="dxa"/>
            <w:vAlign w:val="center"/>
          </w:tcPr>
          <w:p>
            <w:pPr>
              <w:snapToGrid w:val="0"/>
              <w:spacing w:before="50" w:afterLines="50"/>
              <w:jc w:val="center"/>
              <w:rPr>
                <w:rFonts w:ascii="宋体" w:hAnsi="宋体" w:cs="宋体"/>
                <w:color w:val="auto"/>
                <w:sz w:val="24"/>
                <w:szCs w:val="20"/>
                <w:highlight w:val="none"/>
              </w:rPr>
            </w:pPr>
          </w:p>
        </w:tc>
        <w:tc>
          <w:tcPr>
            <w:tcW w:w="1420" w:type="dxa"/>
            <w:vAlign w:val="center"/>
          </w:tcPr>
          <w:p>
            <w:pPr>
              <w:snapToGrid w:val="0"/>
              <w:spacing w:before="50" w:afterLines="50"/>
              <w:jc w:val="center"/>
              <w:rPr>
                <w:rFonts w:ascii="宋体" w:hAnsi="宋体" w:cs="宋体"/>
                <w:color w:val="auto"/>
                <w:sz w:val="24"/>
                <w:szCs w:val="20"/>
                <w:highlight w:val="none"/>
              </w:rPr>
            </w:pPr>
          </w:p>
        </w:tc>
        <w:tc>
          <w:tcPr>
            <w:tcW w:w="1698" w:type="dxa"/>
            <w:vAlign w:val="center"/>
          </w:tcPr>
          <w:p>
            <w:pPr>
              <w:snapToGrid w:val="0"/>
              <w:spacing w:before="50" w:afterLines="50"/>
              <w:jc w:val="center"/>
              <w:rPr>
                <w:rFonts w:ascii="宋体" w:hAnsi="宋体" w:cs="宋体"/>
                <w:color w:val="auto"/>
                <w:sz w:val="24"/>
                <w:szCs w:val="20"/>
                <w:highlight w:val="none"/>
              </w:rPr>
            </w:pPr>
          </w:p>
        </w:tc>
        <w:tc>
          <w:tcPr>
            <w:tcW w:w="1843" w:type="dxa"/>
            <w:vAlign w:val="center"/>
          </w:tcPr>
          <w:p>
            <w:pPr>
              <w:snapToGrid w:val="0"/>
              <w:spacing w:before="50" w:afterLines="50"/>
              <w:jc w:val="center"/>
              <w:rPr>
                <w:rFonts w:ascii="宋体" w:hAnsi="宋体" w:cs="宋体"/>
                <w:color w:val="auto"/>
                <w:sz w:val="24"/>
                <w:szCs w:val="20"/>
                <w:highlight w:val="none"/>
              </w:rPr>
            </w:pPr>
          </w:p>
        </w:tc>
      </w:tr>
    </w:tbl>
    <w:p>
      <w:pPr>
        <w:snapToGrid w:val="0"/>
        <w:spacing w:before="50" w:afterLines="50"/>
        <w:jc w:val="left"/>
        <w:rPr>
          <w:rFonts w:ascii="宋体" w:hAnsi="宋体" w:cs="宋体"/>
          <w:color w:val="auto"/>
          <w:sz w:val="24"/>
          <w:szCs w:val="20"/>
          <w:highlight w:val="none"/>
        </w:rPr>
      </w:pPr>
    </w:p>
    <w:p>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1.在填写时，如本表格不适合投标单位的实际情况，可根据本表格式自行制表填写。</w:t>
      </w:r>
    </w:p>
    <w:p>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2.投标人应当附本表所列证书的复印件并加盖投标人公章。</w:t>
      </w:r>
    </w:p>
    <w:p>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投标人（盖公章）：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pPr>
        <w:snapToGrid w:val="0"/>
        <w:spacing w:before="50" w:afterLines="50"/>
        <w:jc w:val="left"/>
        <w:rPr>
          <w:rFonts w:ascii="宋体" w:hAnsi="宋体" w:cs="宋体"/>
          <w:color w:val="auto"/>
          <w:sz w:val="24"/>
          <w:szCs w:val="20"/>
          <w:highlight w:val="none"/>
        </w:rPr>
      </w:pPr>
    </w:p>
    <w:p>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6. 选配件、专用耗材、售后服务优惠表格式（注：按项目需求表具体项目修改）</w:t>
      </w:r>
    </w:p>
    <w:p>
      <w:pPr>
        <w:snapToGrid w:val="0"/>
        <w:spacing w:beforeLines="50" w:after="50"/>
        <w:ind w:left="142"/>
        <w:jc w:val="left"/>
        <w:rPr>
          <w:rFonts w:ascii="宋体" w:hAnsi="宋体" w:cs="宋体"/>
          <w:b/>
          <w:color w:val="auto"/>
          <w:sz w:val="24"/>
          <w:highlight w:val="none"/>
        </w:rPr>
      </w:pPr>
    </w:p>
    <w:p>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选配件、专用耗材、售后服务优惠表</w:t>
      </w:r>
    </w:p>
    <w:p>
      <w:pPr>
        <w:pStyle w:val="15"/>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23"/>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5"/>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15"/>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15"/>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15"/>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15"/>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5"/>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15"/>
              <w:snapToGrid w:val="0"/>
              <w:spacing w:before="295" w:after="295"/>
              <w:jc w:val="center"/>
              <w:rPr>
                <w:rFonts w:hAnsi="宋体" w:cs="宋体"/>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15"/>
              <w:snapToGrid w:val="0"/>
              <w:spacing w:before="295" w:after="295"/>
              <w:jc w:val="center"/>
              <w:rPr>
                <w:rFonts w:hAnsi="宋体" w:cs="宋体"/>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5"/>
              <w:snapToGrid w:val="0"/>
              <w:spacing w:before="295" w:after="295"/>
              <w:jc w:val="center"/>
              <w:rPr>
                <w:rFonts w:hAnsi="宋体" w:cs="宋体"/>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15"/>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r>
              <w:rPr>
                <w:rFonts w:hint="eastAsia" w:hAnsi="宋体" w:cs="宋体"/>
                <w:color w:val="auto"/>
                <w:kern w:val="2"/>
                <w:sz w:val="24"/>
                <w:szCs w:val="24"/>
                <w:highlight w:val="none"/>
                <w:u w:val="single"/>
              </w:rPr>
              <w:t xml:space="preserve">           </w:t>
            </w:r>
            <w:r>
              <w:rPr>
                <w:rFonts w:hint="eastAsia" w:hAnsi="宋体" w:cs="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5"/>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15"/>
              <w:snapToGrid w:val="0"/>
              <w:spacing w:before="295" w:after="295"/>
              <w:jc w:val="center"/>
              <w:rPr>
                <w:rFonts w:hAnsi="宋体" w:cs="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15"/>
              <w:snapToGrid w:val="0"/>
              <w:spacing w:before="295" w:after="295"/>
              <w:jc w:val="center"/>
              <w:rPr>
                <w:rFonts w:hAnsi="宋体" w:cs="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5"/>
              <w:snapToGrid w:val="0"/>
              <w:spacing w:before="295" w:after="295"/>
              <w:jc w:val="center"/>
              <w:rPr>
                <w:rFonts w:hAnsi="宋体" w:cs="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15"/>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r>
              <w:rPr>
                <w:rFonts w:hint="eastAsia" w:hAnsi="宋体" w:cs="宋体"/>
                <w:color w:val="auto"/>
                <w:kern w:val="2"/>
                <w:sz w:val="24"/>
                <w:szCs w:val="24"/>
                <w:highlight w:val="none"/>
                <w:u w:val="single"/>
              </w:rPr>
              <w:t xml:space="preserve">           </w:t>
            </w:r>
            <w:r>
              <w:rPr>
                <w:rFonts w:hint="eastAsia" w:hAnsi="宋体" w:cs="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5"/>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15"/>
              <w:snapToGrid w:val="0"/>
              <w:spacing w:before="295" w:after="295"/>
              <w:jc w:val="center"/>
              <w:rPr>
                <w:rFonts w:hAnsi="宋体" w:cs="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15"/>
              <w:snapToGrid w:val="0"/>
              <w:spacing w:before="295" w:after="295"/>
              <w:jc w:val="center"/>
              <w:rPr>
                <w:rFonts w:hAnsi="宋体" w:cs="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5"/>
              <w:snapToGrid w:val="0"/>
              <w:spacing w:before="295" w:after="295"/>
              <w:jc w:val="center"/>
              <w:rPr>
                <w:rFonts w:hAnsi="宋体" w:cs="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15"/>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r>
              <w:rPr>
                <w:rFonts w:hint="eastAsia" w:hAnsi="宋体" w:cs="宋体"/>
                <w:color w:val="auto"/>
                <w:kern w:val="2"/>
                <w:sz w:val="24"/>
                <w:szCs w:val="24"/>
                <w:highlight w:val="none"/>
                <w:u w:val="single"/>
              </w:rPr>
              <w:t xml:space="preserve">           </w:t>
            </w:r>
            <w:r>
              <w:rPr>
                <w:rFonts w:hint="eastAsia" w:hAnsi="宋体" w:cs="宋体"/>
                <w:color w:val="auto"/>
                <w:kern w:val="2"/>
                <w:sz w:val="24"/>
                <w:szCs w:val="24"/>
                <w:highlight w:val="none"/>
              </w:rPr>
              <w:t>%</w:t>
            </w:r>
          </w:p>
        </w:tc>
      </w:tr>
    </w:tbl>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投标人（盖公章）：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pPr>
        <w:snapToGrid w:val="0"/>
        <w:spacing w:before="50" w:afterLines="50"/>
        <w:jc w:val="left"/>
        <w:rPr>
          <w:rFonts w:ascii="宋体" w:hAnsi="宋体" w:cs="宋体"/>
          <w:color w:val="auto"/>
          <w:sz w:val="24"/>
          <w:szCs w:val="20"/>
          <w:highlight w:val="none"/>
        </w:rPr>
      </w:pPr>
    </w:p>
    <w:p>
      <w:pPr>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五、其他文书、文件格式</w:t>
      </w:r>
    </w:p>
    <w:p>
      <w:pPr>
        <w:snapToGrid w:val="0"/>
        <w:spacing w:beforeLines="50" w:after="50"/>
        <w:ind w:left="142"/>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1.联合投标协议书格式</w:t>
      </w:r>
    </w:p>
    <w:p>
      <w:pPr>
        <w:snapToGrid w:val="0"/>
        <w:spacing w:beforeLines="50" w:after="50"/>
        <w:ind w:left="142"/>
        <w:jc w:val="left"/>
        <w:rPr>
          <w:rFonts w:ascii="宋体" w:hAnsi="宋体" w:cs="宋体"/>
          <w:b/>
          <w:color w:val="auto"/>
          <w:spacing w:val="20"/>
          <w:sz w:val="24"/>
          <w:highlight w:val="none"/>
        </w:rPr>
      </w:pPr>
    </w:p>
    <w:p>
      <w:pPr>
        <w:pStyle w:val="8"/>
        <w:overflowPunct w:val="0"/>
        <w:jc w:val="center"/>
        <w:rPr>
          <w:rFonts w:ascii="宋体" w:hAnsi="宋体" w:cs="宋体"/>
          <w:color w:val="auto"/>
          <w:sz w:val="44"/>
          <w:szCs w:val="44"/>
          <w:highlight w:val="none"/>
        </w:rPr>
      </w:pPr>
      <w:r>
        <w:rPr>
          <w:rFonts w:hint="eastAsia" w:ascii="宋体" w:hAnsi="宋体" w:cs="宋体"/>
          <w:color w:val="auto"/>
          <w:sz w:val="44"/>
          <w:szCs w:val="44"/>
          <w:highlight w:val="none"/>
        </w:rPr>
        <w:t>联合体协议书</w:t>
      </w:r>
    </w:p>
    <w:p>
      <w:pPr>
        <w:pStyle w:val="8"/>
        <w:overflowPunct w:val="0"/>
        <w:rPr>
          <w:rFonts w:ascii="宋体" w:hAnsi="宋体" w:cs="宋体"/>
          <w:color w:val="auto"/>
          <w:sz w:val="24"/>
          <w:highlight w:val="none"/>
        </w:rPr>
      </w:pPr>
    </w:p>
    <w:p>
      <w:pPr>
        <w:pStyle w:val="8"/>
        <w:overflowPunct w:val="0"/>
        <w:spacing w:line="360" w:lineRule="auto"/>
        <w:contextualSpacing/>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（所有成员单位名称）自愿组成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（联合体名称）联合体，共同参加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（项</w:t>
      </w:r>
      <w:r>
        <w:rPr>
          <w:rFonts w:hint="eastAsia" w:ascii="宋体" w:hAnsi="宋体" w:cs="宋体"/>
          <w:color w:val="auto"/>
          <w:sz w:val="24"/>
          <w:highlight w:val="none"/>
        </w:rPr>
        <w:t>目名称）采购招标项目投标。现就联合体投标事宜订立如下协议。</w:t>
      </w: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（某成员单位名称）为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（联合体名称）牵头人。</w:t>
      </w: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3.联合体牵头人在本项目中签署和盖章的一切文件和处理的一切事宜，联合体各成员均予以承认。 联合体各成员将严格按照招标文件、投标文件和合同的要求全面履行义务，并向甲方承担连带责任。</w:t>
      </w: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5.本协议书自所有成员单位法定代表人或者其委托代理人签字或者盖公章之日起生效，合同履行完毕后自动失效。</w:t>
      </w: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份，联合体成员和甲方各执一份。</w:t>
      </w: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注：本协议书由法定代表人签字的，应附法定代表人身份证明；由委托代理人签字的，应附授权委托书。</w:t>
      </w:r>
    </w:p>
    <w:p>
      <w:pPr>
        <w:pStyle w:val="8"/>
        <w:overflowPunct w:val="0"/>
        <w:spacing w:line="360" w:lineRule="auto"/>
        <w:ind w:firstLineChars="175"/>
        <w:contextualSpacing/>
        <w:rPr>
          <w:rFonts w:ascii="宋体" w:hAnsi="宋体" w:cs="宋体"/>
          <w:color w:val="auto"/>
          <w:sz w:val="24"/>
          <w:highlight w:val="none"/>
        </w:rPr>
      </w:pP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联合体牵头人名称（盖公章）：</w:t>
      </w: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法定代表人或者其委托代理人： </w:t>
      </w:r>
      <w:r>
        <w:rPr>
          <w:rFonts w:hint="eastAsia" w:ascii="宋体" w:hAnsi="宋体" w:cs="宋体"/>
          <w:color w:val="auto"/>
          <w:sz w:val="24"/>
          <w:highlight w:val="none"/>
        </w:rPr>
        <w:tab/>
      </w:r>
      <w:r>
        <w:rPr>
          <w:rFonts w:hint="eastAsia" w:ascii="宋体" w:hAnsi="宋体" w:cs="宋体"/>
          <w:color w:val="auto"/>
          <w:sz w:val="24"/>
          <w:highlight w:val="none"/>
        </w:rPr>
        <w:t>（签字）</w:t>
      </w:r>
    </w:p>
    <w:p>
      <w:pPr>
        <w:pStyle w:val="8"/>
        <w:overflowPunct w:val="0"/>
        <w:spacing w:line="360" w:lineRule="auto"/>
        <w:ind w:firstLineChars="175"/>
        <w:contextualSpacing/>
        <w:rPr>
          <w:rFonts w:ascii="宋体" w:hAnsi="宋体" w:cs="宋体"/>
          <w:color w:val="auto"/>
          <w:sz w:val="24"/>
          <w:highlight w:val="none"/>
        </w:rPr>
      </w:pP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联合体成员名称（盖公章）：</w:t>
      </w: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法定代表人或者其委托代理人： </w:t>
      </w:r>
      <w:r>
        <w:rPr>
          <w:rFonts w:hint="eastAsia" w:ascii="宋体" w:hAnsi="宋体" w:cs="宋体"/>
          <w:color w:val="auto"/>
          <w:sz w:val="24"/>
          <w:highlight w:val="none"/>
        </w:rPr>
        <w:tab/>
      </w:r>
      <w:r>
        <w:rPr>
          <w:rFonts w:hint="eastAsia" w:ascii="宋体" w:hAnsi="宋体" w:cs="宋体"/>
          <w:color w:val="auto"/>
          <w:sz w:val="24"/>
          <w:highlight w:val="none"/>
        </w:rPr>
        <w:t>（签字）</w:t>
      </w:r>
    </w:p>
    <w:p>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w:t>
      </w:r>
    </w:p>
    <w:p>
      <w:pPr>
        <w:pStyle w:val="8"/>
        <w:overflowPunct w:val="0"/>
        <w:spacing w:line="360" w:lineRule="auto"/>
        <w:ind w:firstLineChars="175"/>
        <w:contextualSpacing/>
        <w:rPr>
          <w:rFonts w:ascii="宋体" w:hAnsi="宋体" w:cs="宋体"/>
          <w:color w:val="auto"/>
          <w:sz w:val="24"/>
          <w:highlight w:val="none"/>
        </w:rPr>
      </w:pPr>
    </w:p>
    <w:p>
      <w:pPr>
        <w:pStyle w:val="8"/>
        <w:overflowPunct w:val="0"/>
        <w:spacing w:line="360" w:lineRule="auto"/>
        <w:ind w:firstLineChars="175"/>
        <w:contextualSpacing/>
        <w:jc w:val="right"/>
        <w:rPr>
          <w:rFonts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日</w:t>
      </w:r>
    </w:p>
    <w:p>
      <w:pPr>
        <w:snapToGrid w:val="0"/>
        <w:spacing w:beforeLines="50" w:after="50"/>
        <w:jc w:val="left"/>
        <w:rPr>
          <w:rFonts w:ascii="宋体" w:hAnsi="宋体" w:cs="宋体"/>
          <w:color w:val="auto"/>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2.中小企业声明函格式</w:t>
      </w:r>
    </w:p>
    <w:p>
      <w:pPr>
        <w:rPr>
          <w:rFonts w:ascii="宋体" w:hAnsi="宋体" w:cs="宋体"/>
          <w:color w:val="auto"/>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中小企业声明函（货物）</w:t>
      </w:r>
    </w:p>
    <w:p>
      <w:pPr>
        <w:spacing w:before="2" w:line="500" w:lineRule="exact"/>
        <w:rPr>
          <w:rFonts w:ascii="宋体" w:hAnsi="宋体" w:cs="宋体"/>
          <w:b/>
          <w:bCs/>
          <w:color w:val="auto"/>
          <w:sz w:val="27"/>
          <w:szCs w:val="27"/>
          <w:highlight w:val="none"/>
        </w:rPr>
      </w:pPr>
    </w:p>
    <w:p>
      <w:pPr>
        <w:pStyle w:val="12"/>
        <w:spacing w:line="360" w:lineRule="auto"/>
        <w:ind w:left="-426" w:leftChars="-203" w:right="142" w:firstLine="480" w:firstLineChars="200"/>
        <w:contextualSpacing/>
        <w:rPr>
          <w:rFonts w:hAnsi="宋体" w:cs="宋体"/>
          <w:color w:val="auto"/>
          <w:kern w:val="24"/>
          <w:sz w:val="24"/>
          <w:szCs w:val="24"/>
          <w:highlight w:val="none"/>
        </w:rPr>
      </w:pPr>
      <w:r>
        <w:rPr>
          <w:rFonts w:hint="eastAsia" w:hAnsi="宋体" w:cs="宋体"/>
          <w:color w:val="auto"/>
          <w:kern w:val="24"/>
          <w:sz w:val="24"/>
          <w:szCs w:val="24"/>
          <w:highlight w:val="none"/>
        </w:rPr>
        <w:t>本公司（联合体）郑重声明，根据《政府采购促进中小企业发展管理办法》（财库﹝2020﹞46号）的规定，本公司（联合体）参加</w:t>
      </w:r>
      <w:r>
        <w:rPr>
          <w:rFonts w:hint="eastAsia" w:hAnsi="宋体" w:cs="宋体"/>
          <w:color w:val="auto"/>
          <w:kern w:val="24"/>
          <w:sz w:val="24"/>
          <w:szCs w:val="24"/>
          <w:highlight w:val="none"/>
          <w:u w:val="single"/>
        </w:rPr>
        <w:t>（单位名称）</w:t>
      </w:r>
      <w:r>
        <w:rPr>
          <w:rFonts w:hint="eastAsia" w:hAnsi="宋体" w:cs="宋体"/>
          <w:color w:val="auto"/>
          <w:kern w:val="24"/>
          <w:sz w:val="24"/>
          <w:szCs w:val="24"/>
          <w:highlight w:val="none"/>
        </w:rPr>
        <w:t>的</w:t>
      </w:r>
      <w:r>
        <w:rPr>
          <w:rFonts w:hint="eastAsia" w:hAnsi="宋体" w:cs="宋体"/>
          <w:color w:val="auto"/>
          <w:kern w:val="24"/>
          <w:sz w:val="24"/>
          <w:szCs w:val="24"/>
          <w:highlight w:val="none"/>
          <w:u w:val="single"/>
        </w:rPr>
        <w:t>（项目名称）</w:t>
      </w:r>
      <w:r>
        <w:rPr>
          <w:rFonts w:hint="eastAsia" w:hAnsi="宋体" w:cs="宋体"/>
          <w:color w:val="auto"/>
          <w:kern w:val="24"/>
          <w:sz w:val="24"/>
          <w:szCs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pPr>
        <w:pStyle w:val="12"/>
        <w:spacing w:line="360" w:lineRule="auto"/>
        <w:ind w:left="142" w:right="142"/>
        <w:contextualSpacing/>
        <w:rPr>
          <w:rFonts w:hAnsi="宋体" w:cs="宋体"/>
          <w:color w:val="auto"/>
          <w:kern w:val="24"/>
          <w:sz w:val="24"/>
          <w:szCs w:val="24"/>
          <w:highlight w:val="none"/>
        </w:rPr>
      </w:pPr>
      <w:r>
        <w:rPr>
          <w:rFonts w:hint="eastAsia" w:hAnsi="宋体" w:cs="宋体"/>
          <w:color w:val="auto"/>
          <w:kern w:val="24"/>
          <w:sz w:val="24"/>
          <w:szCs w:val="24"/>
          <w:highlight w:val="none"/>
        </w:rPr>
        <w:t xml:space="preserve">…… </w:t>
      </w:r>
    </w:p>
    <w:p>
      <w:pPr>
        <w:pStyle w:val="12"/>
        <w:spacing w:line="360" w:lineRule="auto"/>
        <w:ind w:left="-405" w:leftChars="-193" w:right="142" w:firstLine="453" w:firstLineChars="189"/>
        <w:contextualSpacing/>
        <w:rPr>
          <w:rFonts w:hAnsi="宋体" w:cs="宋体"/>
          <w:color w:val="auto"/>
          <w:kern w:val="24"/>
          <w:sz w:val="24"/>
          <w:szCs w:val="24"/>
          <w:highlight w:val="none"/>
        </w:rPr>
      </w:pPr>
      <w:r>
        <w:rPr>
          <w:rFonts w:hint="eastAsia" w:hAnsi="宋体" w:cs="宋体"/>
          <w:color w:val="auto"/>
          <w:kern w:val="24"/>
          <w:sz w:val="24"/>
          <w:szCs w:val="24"/>
          <w:highlight w:val="none"/>
        </w:rPr>
        <w:t>以上企业，不属于大企业的分支机构，不存在控股股东为大企业的情形，也不存在与大企业的负责人为同一人的情形。</w:t>
      </w:r>
    </w:p>
    <w:p>
      <w:pPr>
        <w:pStyle w:val="12"/>
        <w:spacing w:line="360" w:lineRule="auto"/>
        <w:ind w:left="-426" w:right="142" w:firstLine="567"/>
        <w:contextualSpacing/>
        <w:rPr>
          <w:rFonts w:hAnsi="宋体" w:cs="宋体"/>
          <w:color w:val="auto"/>
          <w:kern w:val="24"/>
          <w:sz w:val="24"/>
          <w:szCs w:val="24"/>
          <w:highlight w:val="none"/>
        </w:rPr>
      </w:pPr>
      <w:r>
        <w:rPr>
          <w:rFonts w:hint="eastAsia" w:hAnsi="宋体" w:cs="宋体"/>
          <w:color w:val="auto"/>
          <w:kern w:val="24"/>
          <w:sz w:val="24"/>
          <w:szCs w:val="24"/>
          <w:highlight w:val="none"/>
        </w:rPr>
        <w:t>本企业对上述声明内容的真实性负责。如有虚假，将依法承担相应责任。</w:t>
      </w:r>
    </w:p>
    <w:p>
      <w:pPr>
        <w:pStyle w:val="12"/>
        <w:spacing w:line="360" w:lineRule="auto"/>
        <w:ind w:left="3960" w:right="1808"/>
        <w:contextualSpacing/>
        <w:rPr>
          <w:rFonts w:hAnsi="宋体" w:cs="宋体"/>
          <w:color w:val="auto"/>
          <w:kern w:val="24"/>
          <w:sz w:val="24"/>
          <w:szCs w:val="24"/>
          <w:highlight w:val="none"/>
        </w:rPr>
      </w:pPr>
    </w:p>
    <w:p>
      <w:pPr>
        <w:pStyle w:val="12"/>
        <w:spacing w:line="360" w:lineRule="auto"/>
        <w:ind w:left="3960" w:right="1808"/>
        <w:contextualSpacing/>
        <w:rPr>
          <w:rFonts w:hAnsi="宋体" w:cs="宋体"/>
          <w:color w:val="auto"/>
          <w:kern w:val="24"/>
          <w:sz w:val="24"/>
          <w:szCs w:val="24"/>
          <w:highlight w:val="none"/>
        </w:rPr>
      </w:pPr>
      <w:r>
        <w:rPr>
          <w:rFonts w:hint="eastAsia" w:hAnsi="宋体" w:cs="宋体"/>
          <w:color w:val="auto"/>
          <w:kern w:val="24"/>
          <w:sz w:val="24"/>
          <w:szCs w:val="24"/>
          <w:highlight w:val="none"/>
        </w:rPr>
        <w:t xml:space="preserve">企业名称（章）： </w:t>
      </w:r>
    </w:p>
    <w:p>
      <w:pPr>
        <w:pStyle w:val="12"/>
        <w:spacing w:line="360" w:lineRule="auto"/>
        <w:ind w:left="3960" w:right="1808"/>
        <w:contextualSpacing/>
        <w:rPr>
          <w:rFonts w:hAnsi="宋体" w:cs="宋体"/>
          <w:color w:val="auto"/>
          <w:kern w:val="24"/>
          <w:sz w:val="24"/>
          <w:szCs w:val="24"/>
          <w:highlight w:val="none"/>
        </w:rPr>
      </w:pPr>
      <w:r>
        <w:rPr>
          <w:rFonts w:hint="eastAsia" w:hAnsi="宋体" w:cs="宋体"/>
          <w:color w:val="auto"/>
          <w:kern w:val="24"/>
          <w:sz w:val="24"/>
          <w:szCs w:val="24"/>
          <w:highlight w:val="none"/>
        </w:rPr>
        <w:t>日 期：</w:t>
      </w:r>
    </w:p>
    <w:p>
      <w:pPr>
        <w:pStyle w:val="12"/>
        <w:spacing w:line="360" w:lineRule="auto"/>
        <w:ind w:left="3960" w:right="1808"/>
        <w:contextualSpacing/>
        <w:rPr>
          <w:rFonts w:hAnsi="宋体" w:cs="宋体"/>
          <w:color w:val="auto"/>
          <w:kern w:val="24"/>
          <w:sz w:val="24"/>
          <w:szCs w:val="24"/>
          <w:highlight w:val="none"/>
        </w:rPr>
      </w:pPr>
    </w:p>
    <w:p>
      <w:pPr>
        <w:pStyle w:val="12"/>
        <w:spacing w:line="360" w:lineRule="auto"/>
        <w:ind w:left="3960" w:right="1808"/>
        <w:contextualSpacing/>
        <w:rPr>
          <w:rFonts w:hAnsi="宋体" w:cs="宋体"/>
          <w:color w:val="auto"/>
          <w:kern w:val="24"/>
          <w:sz w:val="24"/>
          <w:szCs w:val="24"/>
          <w:highlight w:val="none"/>
        </w:rPr>
      </w:pPr>
    </w:p>
    <w:p>
      <w:pPr>
        <w:pStyle w:val="12"/>
        <w:spacing w:line="360" w:lineRule="auto"/>
        <w:ind w:left="-426" w:right="142" w:firstLine="567"/>
        <w:contextualSpacing/>
        <w:rPr>
          <w:rFonts w:hAnsi="宋体" w:cs="宋体"/>
          <w:color w:val="auto"/>
          <w:kern w:val="24"/>
          <w:sz w:val="24"/>
          <w:szCs w:val="24"/>
          <w:highlight w:val="none"/>
        </w:rPr>
      </w:pPr>
      <w:r>
        <w:rPr>
          <w:rFonts w:hint="eastAsia" w:hAnsi="宋体" w:cs="宋体"/>
          <w:color w:val="auto"/>
          <w:kern w:val="24"/>
          <w:sz w:val="24"/>
          <w:szCs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Lines="50" w:after="50"/>
        <w:ind w:left="142"/>
        <w:jc w:val="left"/>
        <w:rPr>
          <w:rFonts w:ascii="宋体" w:hAnsi="宋体" w:cs="宋体"/>
          <w:b/>
          <w:color w:val="auto"/>
          <w:sz w:val="24"/>
          <w:highlight w:val="none"/>
        </w:rPr>
      </w:pPr>
    </w:p>
    <w:p>
      <w:pPr>
        <w:rPr>
          <w:rFonts w:hAnsi="宋体" w:cs="宋体"/>
          <w:color w:val="auto"/>
          <w:sz w:val="24"/>
          <w:highlight w:val="none"/>
        </w:rPr>
      </w:pPr>
      <w:r>
        <w:rPr>
          <w:rFonts w:hint="eastAsia" w:hAnsi="宋体" w:cs="宋体"/>
          <w:color w:val="auto"/>
          <w:sz w:val="24"/>
          <w:highlight w:val="none"/>
        </w:rPr>
        <w:br w:type="page"/>
      </w:r>
    </w:p>
    <w:p>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3.残疾人福利性单位声明函格式</w:t>
      </w:r>
    </w:p>
    <w:p>
      <w:pPr>
        <w:spacing w:line="588" w:lineRule="exact"/>
        <w:jc w:val="center"/>
        <w:rPr>
          <w:rFonts w:ascii="宋体" w:hAnsi="宋体" w:cs="宋体"/>
          <w:b/>
          <w:color w:val="auto"/>
          <w:spacing w:val="6"/>
          <w:sz w:val="32"/>
          <w:szCs w:val="32"/>
          <w:highlight w:val="none"/>
        </w:rPr>
      </w:pPr>
    </w:p>
    <w:p>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pPr>
        <w:spacing w:line="360" w:lineRule="auto"/>
        <w:contextualSpacing/>
        <w:rPr>
          <w:rFonts w:ascii="宋体" w:hAnsi="宋体" w:cs="宋体"/>
          <w:bCs/>
          <w:color w:val="auto"/>
          <w:spacing w:val="6"/>
          <w:sz w:val="30"/>
          <w:szCs w:val="30"/>
          <w:highlight w:val="none"/>
        </w:rPr>
      </w:pPr>
    </w:p>
    <w:p>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s="宋体"/>
          <w:color w:val="auto"/>
          <w:spacing w:val="6"/>
          <w:sz w:val="24"/>
          <w:highlight w:val="none"/>
        </w:rPr>
      </w:pPr>
    </w:p>
    <w:p>
      <w:pPr>
        <w:spacing w:line="360" w:lineRule="auto"/>
        <w:ind w:firstLine="504" w:firstLineChars="200"/>
        <w:contextualSpacing/>
        <w:rPr>
          <w:rFonts w:ascii="宋体" w:hAnsi="宋体" w:cs="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单位名称（盖公章）：</w:t>
      </w:r>
    </w:p>
    <w:p>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4.质疑函格式</w:t>
      </w:r>
    </w:p>
    <w:p>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w:t>
      </w:r>
    </w:p>
    <w:p>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p>
    <w:p>
      <w:pPr>
        <w:pStyle w:val="15"/>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□招标文件   招标文件获取日期：</w:t>
      </w:r>
      <w:r>
        <w:rPr>
          <w:rFonts w:hint="eastAsia" w:hAnsi="宋体" w:cs="宋体"/>
          <w:bCs/>
          <w:color w:val="auto"/>
          <w:sz w:val="24"/>
          <w:szCs w:val="24"/>
          <w:highlight w:val="none"/>
          <w:u w:val="single"/>
        </w:rPr>
        <w:t xml:space="preserve">                                   </w:t>
      </w:r>
    </w:p>
    <w:p>
      <w:pPr>
        <w:pStyle w:val="15"/>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pPr>
        <w:pStyle w:val="15"/>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□中标结果   </w:t>
      </w:r>
    </w:p>
    <w:p>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pPr>
        <w:pStyle w:val="15"/>
        <w:spacing w:line="360" w:lineRule="auto"/>
        <w:ind w:left="25" w:leftChars="12" w:firstLine="352" w:firstLineChars="147"/>
        <w:rPr>
          <w:rFonts w:hAnsi="宋体" w:cs="宋体"/>
          <w:color w:val="auto"/>
          <w:sz w:val="24"/>
          <w:szCs w:val="24"/>
          <w:highlight w:val="none"/>
        </w:rPr>
      </w:pP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pPr>
        <w:pStyle w:val="15"/>
        <w:spacing w:line="360" w:lineRule="auto"/>
        <w:ind w:left="25" w:leftChars="12" w:firstLine="352" w:firstLineChars="147"/>
        <w:rPr>
          <w:rFonts w:hAnsi="宋体" w:cs="宋体"/>
          <w:color w:val="auto"/>
          <w:sz w:val="24"/>
          <w:szCs w:val="24"/>
          <w:highlight w:val="none"/>
        </w:rPr>
      </w:pP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pPr>
        <w:pStyle w:val="15"/>
        <w:snapToGrid w:val="0"/>
        <w:spacing w:line="360" w:lineRule="auto"/>
        <w:rPr>
          <w:rFonts w:hAnsi="宋体" w:cs="宋体"/>
          <w:b/>
          <w:color w:val="auto"/>
          <w:sz w:val="24"/>
          <w:szCs w:val="24"/>
          <w:highlight w:val="none"/>
        </w:rPr>
      </w:pPr>
    </w:p>
    <w:p>
      <w:pPr>
        <w:pStyle w:val="1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pPr>
        <w:pStyle w:val="1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pPr>
        <w:pStyle w:val="1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pPr>
        <w:pStyle w:val="15"/>
        <w:snapToGrid w:val="0"/>
        <w:rPr>
          <w:rFonts w:hAnsi="宋体" w:cs="宋体"/>
          <w:b/>
          <w:color w:val="auto"/>
          <w:sz w:val="24"/>
          <w:szCs w:val="24"/>
          <w:highlight w:val="none"/>
        </w:rPr>
      </w:pPr>
    </w:p>
    <w:p>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5.投诉书格式</w:t>
      </w: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投诉书</w:t>
      </w:r>
    </w:p>
    <w:p>
      <w:pPr>
        <w:pStyle w:val="15"/>
        <w:snapToGrid w:val="0"/>
        <w:spacing w:line="440" w:lineRule="exact"/>
        <w:ind w:firstLine="482" w:firstLineChars="200"/>
        <w:rPr>
          <w:rFonts w:hAnsi="宋体" w:cs="宋体"/>
          <w:b/>
          <w:bCs/>
          <w:color w:val="auto"/>
          <w:sz w:val="24"/>
          <w:szCs w:val="24"/>
          <w:highlight w:val="none"/>
        </w:rPr>
      </w:pPr>
    </w:p>
    <w:p>
      <w:pPr>
        <w:pStyle w:val="15"/>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pPr>
        <w:pStyle w:val="15"/>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pPr>
        <w:pStyle w:val="15"/>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5"/>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5"/>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pPr>
        <w:pStyle w:val="15"/>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p>
    <w:p>
      <w:pPr>
        <w:pStyle w:val="15"/>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pPr>
        <w:pStyle w:val="15"/>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5"/>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p>
    <w:p>
      <w:pPr>
        <w:pStyle w:val="15"/>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pPr>
        <w:pStyle w:val="15"/>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pPr>
        <w:pStyle w:val="15"/>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pPr>
        <w:pStyle w:val="15"/>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pPr>
        <w:pStyle w:val="15"/>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pPr>
        <w:pStyle w:val="15"/>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pPr>
        <w:pStyle w:val="15"/>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pPr>
        <w:pStyle w:val="15"/>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pPr>
        <w:pStyle w:val="15"/>
        <w:spacing w:line="440" w:lineRule="exact"/>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pPr>
        <w:pStyle w:val="15"/>
        <w:spacing w:line="440" w:lineRule="exact"/>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pPr>
        <w:pStyle w:val="15"/>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pPr>
        <w:pStyle w:val="15"/>
        <w:spacing w:line="440" w:lineRule="exact"/>
        <w:ind w:left="25" w:leftChars="12" w:firstLine="480" w:firstLineChars="200"/>
        <w:rPr>
          <w:rFonts w:hAnsi="宋体" w:cs="宋体"/>
          <w:bCs/>
          <w:color w:val="auto"/>
          <w:sz w:val="24"/>
          <w:szCs w:val="24"/>
          <w:highlight w:val="none"/>
          <w:u w:val="singl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r>
        <w:rPr>
          <w:rFonts w:hint="eastAsia" w:hAnsi="宋体" w:cs="宋体"/>
          <w:bCs/>
          <w:color w:val="auto"/>
          <w:sz w:val="24"/>
          <w:szCs w:val="24"/>
          <w:highlight w:val="none"/>
          <w:u w:val="single"/>
        </w:rPr>
        <w:t xml:space="preserve">                                                                                      </w:t>
      </w:r>
    </w:p>
    <w:p>
      <w:pPr>
        <w:pStyle w:val="15"/>
        <w:spacing w:line="440" w:lineRule="exact"/>
        <w:rPr>
          <w:rFonts w:hAnsi="宋体" w:cs="宋体"/>
          <w:bCs/>
          <w:color w:val="auto"/>
          <w:sz w:val="24"/>
          <w:szCs w:val="24"/>
          <w:highlight w:val="none"/>
          <w:u w:val="single"/>
        </w:rPr>
      </w:pPr>
      <w:r>
        <w:rPr>
          <w:rFonts w:hint="eastAsia" w:hAnsi="宋体" w:cs="宋体"/>
          <w:bCs/>
          <w:color w:val="auto"/>
          <w:sz w:val="24"/>
          <w:szCs w:val="24"/>
          <w:highlight w:val="none"/>
          <w:u w:val="single"/>
        </w:rPr>
        <w:t xml:space="preserve">                                                                                      </w:t>
      </w:r>
    </w:p>
    <w:p>
      <w:pPr>
        <w:pStyle w:val="15"/>
        <w:spacing w:line="440" w:lineRule="exact"/>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pPr>
        <w:pStyle w:val="15"/>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pPr>
        <w:pStyle w:val="15"/>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pPr>
        <w:pStyle w:val="15"/>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5"/>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pPr>
        <w:pStyle w:val="15"/>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5"/>
        <w:spacing w:line="440" w:lineRule="exact"/>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pPr>
        <w:pStyle w:val="15"/>
        <w:spacing w:line="440" w:lineRule="exact"/>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pPr>
        <w:pStyle w:val="15"/>
        <w:spacing w:line="440" w:lineRule="exact"/>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pPr>
        <w:pStyle w:val="15"/>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pPr>
        <w:pStyle w:val="15"/>
        <w:spacing w:line="44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pPr>
        <w:pStyle w:val="15"/>
        <w:spacing w:line="440" w:lineRule="exact"/>
        <w:ind w:left="25" w:leftChars="12" w:firstLine="352" w:firstLineChars="147"/>
        <w:rPr>
          <w:rFonts w:hAnsi="宋体" w:cs="宋体"/>
          <w:color w:val="auto"/>
          <w:sz w:val="24"/>
          <w:szCs w:val="24"/>
          <w:highlight w:val="none"/>
        </w:rPr>
      </w:pPr>
    </w:p>
    <w:p>
      <w:pPr>
        <w:pStyle w:val="15"/>
        <w:spacing w:line="44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pPr>
        <w:pStyle w:val="15"/>
        <w:spacing w:line="440" w:lineRule="exact"/>
        <w:ind w:left="25" w:leftChars="12" w:firstLine="352" w:firstLineChars="147"/>
        <w:rPr>
          <w:rFonts w:hAnsi="宋体" w:cs="宋体"/>
          <w:color w:val="auto"/>
          <w:sz w:val="24"/>
          <w:szCs w:val="24"/>
          <w:highlight w:val="none"/>
        </w:rPr>
      </w:pPr>
    </w:p>
    <w:p>
      <w:pPr>
        <w:pStyle w:val="15"/>
        <w:spacing w:line="44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pPr>
        <w:pStyle w:val="15"/>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pPr>
        <w:pStyle w:val="15"/>
        <w:snapToGrid w:val="0"/>
        <w:spacing w:line="440" w:lineRule="exact"/>
        <w:rPr>
          <w:rFonts w:hAnsi="宋体" w:cs="宋体"/>
          <w:b/>
          <w:color w:val="auto"/>
          <w:sz w:val="24"/>
          <w:szCs w:val="24"/>
          <w:highlight w:val="none"/>
        </w:rPr>
      </w:pPr>
      <w:r>
        <w:rPr>
          <w:rFonts w:hint="eastAsia" w:hAnsi="宋体" w:cs="宋体"/>
          <w:b/>
          <w:color w:val="auto"/>
          <w:sz w:val="24"/>
          <w:szCs w:val="24"/>
          <w:highlight w:val="none"/>
        </w:rPr>
        <w:t>说明：</w:t>
      </w:r>
    </w:p>
    <w:p>
      <w:pPr>
        <w:pStyle w:val="15"/>
        <w:spacing w:line="440" w:lineRule="exact"/>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pPr>
        <w:pStyle w:val="15"/>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pPr>
        <w:pStyle w:val="15"/>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pPr>
        <w:pStyle w:val="15"/>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pPr>
        <w:pStyle w:val="15"/>
        <w:spacing w:line="440" w:lineRule="exact"/>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pPr>
        <w:pStyle w:val="31"/>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仿宋简体">
    <w:altName w:val="@SimSun-ExtB"/>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jc w:val="center"/>
                          </w:pPr>
                          <w:r>
                            <w:fldChar w:fldCharType="begin"/>
                          </w:r>
                          <w:r>
                            <w:instrText xml:space="preserve"> PAGE   \* MERGEFORMAT </w:instrText>
                          </w:r>
                          <w:r>
                            <w:fldChar w:fldCharType="separate"/>
                          </w:r>
                          <w:r>
                            <w:rPr>
                              <w:lang w:val="zh-CN"/>
                            </w:rPr>
                            <w:t>109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109</w:t>
                    </w:r>
                    <w:r>
                      <w:fldChar w:fldCharType="end"/>
                    </w:r>
                  </w:p>
                </w:txbxContent>
              </v:textbox>
            </v:shape>
          </w:pict>
        </mc:Fallback>
      </mc:AlternateConten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end"/>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jc w:val="center"/>
                          </w:pPr>
                          <w:r>
                            <w:fldChar w:fldCharType="begin"/>
                          </w:r>
                          <w:r>
                            <w:instrText xml:space="preserve">PAGE   \* MERGEFORMAT</w:instrText>
                          </w:r>
                          <w:r>
                            <w:fldChar w:fldCharType="separate"/>
                          </w:r>
                          <w:r>
                            <w:rPr>
                              <w:lang w:val="zh-CN"/>
                            </w:rPr>
                            <w:t>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95</w:t>
                    </w:r>
                    <w:r>
                      <w:fldChar w:fldCharType="end"/>
                    </w:r>
                  </w:p>
                </w:txbxContent>
              </v:textbox>
            </v:shape>
          </w:pict>
        </mc:Fallback>
      </mc:AlternateContent>
    </w:r>
  </w:p>
  <w:p>
    <w:pPr>
      <w:pStyle w:val="17"/>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9114E"/>
    <w:multiLevelType w:val="singleLevel"/>
    <w:tmpl w:val="C819114E"/>
    <w:lvl w:ilvl="0" w:tentative="0">
      <w:start w:val="1"/>
      <w:numFmt w:val="decimal"/>
      <w:suff w:val="space"/>
      <w:lvlText w:val="%1)"/>
      <w:lvlJc w:val="left"/>
    </w:lvl>
  </w:abstractNum>
  <w:abstractNum w:abstractNumId="1">
    <w:nsid w:val="DB72E245"/>
    <w:multiLevelType w:val="singleLevel"/>
    <w:tmpl w:val="DB72E245"/>
    <w:lvl w:ilvl="0" w:tentative="0">
      <w:start w:val="1"/>
      <w:numFmt w:val="decimal"/>
      <w:suff w:val="space"/>
      <w:lvlText w:val="%1)"/>
      <w:lvlJc w:val="left"/>
    </w:lvl>
  </w:abstractNum>
  <w:abstractNum w:abstractNumId="2">
    <w:nsid w:val="DDF050B0"/>
    <w:multiLevelType w:val="singleLevel"/>
    <w:tmpl w:val="DDF050B0"/>
    <w:lvl w:ilvl="0" w:tentative="0">
      <w:start w:val="1"/>
      <w:numFmt w:val="decimal"/>
      <w:suff w:val="space"/>
      <w:lvlText w:val="%1)"/>
      <w:lvlJc w:val="left"/>
    </w:lvl>
  </w:abstractNum>
  <w:abstractNum w:abstractNumId="3">
    <w:nsid w:val="E34792CB"/>
    <w:multiLevelType w:val="singleLevel"/>
    <w:tmpl w:val="E34792CB"/>
    <w:lvl w:ilvl="0" w:tentative="0">
      <w:start w:val="1"/>
      <w:numFmt w:val="decimal"/>
      <w:suff w:val="space"/>
      <w:lvlText w:val="%1)"/>
      <w:lvlJc w:val="left"/>
    </w:lvl>
  </w:abstractNum>
  <w:abstractNum w:abstractNumId="4">
    <w:nsid w:val="F14FCDA7"/>
    <w:multiLevelType w:val="singleLevel"/>
    <w:tmpl w:val="F14FCDA7"/>
    <w:lvl w:ilvl="0" w:tentative="0">
      <w:start w:val="1"/>
      <w:numFmt w:val="decimal"/>
      <w:suff w:val="space"/>
      <w:lvlText w:val="%1)"/>
      <w:lvlJc w:val="left"/>
    </w:lvl>
  </w:abstractNum>
  <w:abstractNum w:abstractNumId="5">
    <w:nsid w:val="F8208794"/>
    <w:multiLevelType w:val="singleLevel"/>
    <w:tmpl w:val="F8208794"/>
    <w:lvl w:ilvl="0" w:tentative="0">
      <w:start w:val="7"/>
      <w:numFmt w:val="chineseCounting"/>
      <w:suff w:val="nothing"/>
      <w:lvlText w:val="%1、"/>
      <w:lvlJc w:val="left"/>
      <w:rPr>
        <w:rFonts w:hint="eastAsia"/>
      </w:rPr>
    </w:lvl>
  </w:abstractNum>
  <w:abstractNum w:abstractNumId="6">
    <w:nsid w:val="21284C45"/>
    <w:multiLevelType w:val="singleLevel"/>
    <w:tmpl w:val="21284C45"/>
    <w:lvl w:ilvl="0" w:tentative="0">
      <w:start w:val="1"/>
      <w:numFmt w:val="decimal"/>
      <w:lvlText w:val="%1."/>
      <w:lvlJc w:val="left"/>
      <w:pPr>
        <w:tabs>
          <w:tab w:val="left" w:pos="312"/>
        </w:tabs>
      </w:pPr>
    </w:lvl>
  </w:abstractNum>
  <w:abstractNum w:abstractNumId="7">
    <w:nsid w:val="215813DA"/>
    <w:multiLevelType w:val="singleLevel"/>
    <w:tmpl w:val="215813DA"/>
    <w:lvl w:ilvl="0" w:tentative="0">
      <w:start w:val="1"/>
      <w:numFmt w:val="decimal"/>
      <w:suff w:val="space"/>
      <w:lvlText w:val="%1)"/>
      <w:lvlJc w:val="left"/>
    </w:lvl>
  </w:abstractNum>
  <w:abstractNum w:abstractNumId="8">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40196F4A"/>
    <w:multiLevelType w:val="singleLevel"/>
    <w:tmpl w:val="40196F4A"/>
    <w:lvl w:ilvl="0" w:tentative="0">
      <w:start w:val="1"/>
      <w:numFmt w:val="decimal"/>
      <w:lvlText w:val="%1."/>
      <w:lvlJc w:val="left"/>
      <w:pPr>
        <w:tabs>
          <w:tab w:val="left" w:pos="312"/>
        </w:tabs>
      </w:pPr>
    </w:lvl>
  </w:abstractNum>
  <w:abstractNum w:abstractNumId="10">
    <w:nsid w:val="4A21671C"/>
    <w:multiLevelType w:val="singleLevel"/>
    <w:tmpl w:val="4A21671C"/>
    <w:lvl w:ilvl="0" w:tentative="0">
      <w:start w:val="1"/>
      <w:numFmt w:val="decimal"/>
      <w:suff w:val="space"/>
      <w:lvlText w:val="%1)"/>
      <w:lvlJc w:val="left"/>
    </w:lvl>
  </w:abstractNum>
  <w:abstractNum w:abstractNumId="11">
    <w:nsid w:val="4C601917"/>
    <w:multiLevelType w:val="singleLevel"/>
    <w:tmpl w:val="4C601917"/>
    <w:lvl w:ilvl="0" w:tentative="0">
      <w:start w:val="1"/>
      <w:numFmt w:val="decimal"/>
      <w:suff w:val="nothing"/>
      <w:lvlText w:val="（%1）"/>
      <w:lvlJc w:val="left"/>
      <w:pPr>
        <w:ind w:left="-2"/>
      </w:pPr>
    </w:lvl>
  </w:abstractNum>
  <w:abstractNum w:abstractNumId="12">
    <w:nsid w:val="5FABD14B"/>
    <w:multiLevelType w:val="singleLevel"/>
    <w:tmpl w:val="5FABD14B"/>
    <w:lvl w:ilvl="0" w:tentative="0">
      <w:start w:val="1"/>
      <w:numFmt w:val="decimal"/>
      <w:suff w:val="nothing"/>
      <w:lvlText w:val="（%1）"/>
      <w:lvlJc w:val="left"/>
    </w:lvl>
  </w:abstractNum>
  <w:abstractNum w:abstractNumId="13">
    <w:nsid w:val="6CCC504C"/>
    <w:multiLevelType w:val="singleLevel"/>
    <w:tmpl w:val="6CCC504C"/>
    <w:lvl w:ilvl="0" w:tentative="0">
      <w:start w:val="1"/>
      <w:numFmt w:val="decimal"/>
      <w:suff w:val="space"/>
      <w:lvlText w:val="%1)"/>
      <w:lvlJc w:val="left"/>
    </w:lvl>
  </w:abstractNum>
  <w:abstractNum w:abstractNumId="1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8"/>
  </w:num>
  <w:num w:numId="2">
    <w:abstractNumId w:val="5"/>
  </w:num>
  <w:num w:numId="3">
    <w:abstractNumId w:val="9"/>
  </w:num>
  <w:num w:numId="4">
    <w:abstractNumId w:val="6"/>
  </w:num>
  <w:num w:numId="5">
    <w:abstractNumId w:val="13"/>
  </w:num>
  <w:num w:numId="6">
    <w:abstractNumId w:val="3"/>
  </w:num>
  <w:num w:numId="7">
    <w:abstractNumId w:val="10"/>
  </w:num>
  <w:num w:numId="8">
    <w:abstractNumId w:val="0"/>
  </w:num>
  <w:num w:numId="9">
    <w:abstractNumId w:val="4"/>
  </w:num>
  <w:num w:numId="10">
    <w:abstractNumId w:val="7"/>
  </w:num>
  <w:num w:numId="11">
    <w:abstractNumId w:val="2"/>
  </w:num>
  <w:num w:numId="12">
    <w:abstractNumId w:val="1"/>
  </w:num>
  <w:num w:numId="13">
    <w:abstractNumId w:val="11"/>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mNhODQxOWNkODc0ZjYxNTI4MThkY2UxMGM3NzYifQ=="/>
  </w:docVars>
  <w:rsids>
    <w:rsidRoot w:val="239B2FAE"/>
    <w:rsid w:val="008C5AF8"/>
    <w:rsid w:val="00B26166"/>
    <w:rsid w:val="00BD638F"/>
    <w:rsid w:val="00D6271F"/>
    <w:rsid w:val="00E7182D"/>
    <w:rsid w:val="01277341"/>
    <w:rsid w:val="016B0F34"/>
    <w:rsid w:val="02663F19"/>
    <w:rsid w:val="04471852"/>
    <w:rsid w:val="08AA2E1C"/>
    <w:rsid w:val="0980471C"/>
    <w:rsid w:val="09DD2C51"/>
    <w:rsid w:val="0AF2020C"/>
    <w:rsid w:val="0B006374"/>
    <w:rsid w:val="0D163C76"/>
    <w:rsid w:val="0D1E6281"/>
    <w:rsid w:val="0D591F9D"/>
    <w:rsid w:val="0DE7557E"/>
    <w:rsid w:val="0DF15E02"/>
    <w:rsid w:val="0E8B0069"/>
    <w:rsid w:val="0E9E6967"/>
    <w:rsid w:val="12055981"/>
    <w:rsid w:val="14757D15"/>
    <w:rsid w:val="15C471A6"/>
    <w:rsid w:val="15F56DA1"/>
    <w:rsid w:val="17464447"/>
    <w:rsid w:val="18DD0535"/>
    <w:rsid w:val="1909108D"/>
    <w:rsid w:val="197137BC"/>
    <w:rsid w:val="1B6608BC"/>
    <w:rsid w:val="1B680B89"/>
    <w:rsid w:val="1B827E00"/>
    <w:rsid w:val="1C8B4D81"/>
    <w:rsid w:val="1D2D6FF8"/>
    <w:rsid w:val="1F0F6F6B"/>
    <w:rsid w:val="1F261EBA"/>
    <w:rsid w:val="2019674A"/>
    <w:rsid w:val="20D2299E"/>
    <w:rsid w:val="213C22E6"/>
    <w:rsid w:val="239B2FAE"/>
    <w:rsid w:val="24182567"/>
    <w:rsid w:val="2545023F"/>
    <w:rsid w:val="2797082F"/>
    <w:rsid w:val="28DB0637"/>
    <w:rsid w:val="299B028A"/>
    <w:rsid w:val="2ACA0ECD"/>
    <w:rsid w:val="2AD57308"/>
    <w:rsid w:val="2AE02A28"/>
    <w:rsid w:val="2B9B6B09"/>
    <w:rsid w:val="2BC90C1A"/>
    <w:rsid w:val="2BCE316C"/>
    <w:rsid w:val="2C541E49"/>
    <w:rsid w:val="2D873724"/>
    <w:rsid w:val="2E4C426B"/>
    <w:rsid w:val="2F0461C5"/>
    <w:rsid w:val="2F086F4C"/>
    <w:rsid w:val="2F680039"/>
    <w:rsid w:val="31D6240B"/>
    <w:rsid w:val="31FD62E3"/>
    <w:rsid w:val="32847639"/>
    <w:rsid w:val="33477B69"/>
    <w:rsid w:val="36381FAB"/>
    <w:rsid w:val="38E21166"/>
    <w:rsid w:val="3AF84250"/>
    <w:rsid w:val="3C6125CD"/>
    <w:rsid w:val="3FEE4E4F"/>
    <w:rsid w:val="414421FA"/>
    <w:rsid w:val="42B00D23"/>
    <w:rsid w:val="44A14DEF"/>
    <w:rsid w:val="48FD0B11"/>
    <w:rsid w:val="4A9E1188"/>
    <w:rsid w:val="4ADC2D50"/>
    <w:rsid w:val="4B980A99"/>
    <w:rsid w:val="4BC07255"/>
    <w:rsid w:val="4BF376A8"/>
    <w:rsid w:val="4E8B5DD7"/>
    <w:rsid w:val="4EAE6FE2"/>
    <w:rsid w:val="4EE90E25"/>
    <w:rsid w:val="4FA936E4"/>
    <w:rsid w:val="507F542A"/>
    <w:rsid w:val="522A0AC5"/>
    <w:rsid w:val="56006CA7"/>
    <w:rsid w:val="565D3B8A"/>
    <w:rsid w:val="571E63D5"/>
    <w:rsid w:val="574B7180"/>
    <w:rsid w:val="58892FCD"/>
    <w:rsid w:val="59260C40"/>
    <w:rsid w:val="59DB18C0"/>
    <w:rsid w:val="5A07254F"/>
    <w:rsid w:val="5C655645"/>
    <w:rsid w:val="5C954E6B"/>
    <w:rsid w:val="5F3D467E"/>
    <w:rsid w:val="613A75AC"/>
    <w:rsid w:val="62121FB2"/>
    <w:rsid w:val="63A5073F"/>
    <w:rsid w:val="64CC03C5"/>
    <w:rsid w:val="65660243"/>
    <w:rsid w:val="670656C8"/>
    <w:rsid w:val="6AF0685C"/>
    <w:rsid w:val="6B657311"/>
    <w:rsid w:val="6D5B7194"/>
    <w:rsid w:val="6FCA2F41"/>
    <w:rsid w:val="70216B0B"/>
    <w:rsid w:val="704B753B"/>
    <w:rsid w:val="70903082"/>
    <w:rsid w:val="71120BA2"/>
    <w:rsid w:val="72C824C9"/>
    <w:rsid w:val="72E05409"/>
    <w:rsid w:val="732D0B60"/>
    <w:rsid w:val="74640AAD"/>
    <w:rsid w:val="75A44ED9"/>
    <w:rsid w:val="76A800FA"/>
    <w:rsid w:val="7726029C"/>
    <w:rsid w:val="77542916"/>
    <w:rsid w:val="782B42DB"/>
    <w:rsid w:val="78775838"/>
    <w:rsid w:val="79192242"/>
    <w:rsid w:val="7C192F01"/>
    <w:rsid w:val="7C27408D"/>
    <w:rsid w:val="7D893333"/>
    <w:rsid w:val="7DC06B0D"/>
    <w:rsid w:val="7DD00F61"/>
    <w:rsid w:val="7E762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
      <w:bCs/>
      <w:sz w:val="32"/>
      <w:szCs w:val="32"/>
    </w:r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style>
  <w:style w:type="paragraph" w:styleId="11">
    <w:name w:val="Body Text 3"/>
    <w:basedOn w:val="1"/>
    <w:qFormat/>
    <w:uiPriority w:val="0"/>
    <w:pPr>
      <w:spacing w:line="500" w:lineRule="exact"/>
    </w:pPr>
    <w:rPr>
      <w:b/>
      <w:bCs/>
      <w:kern w:val="0"/>
      <w:sz w:val="24"/>
    </w:rPr>
  </w:style>
  <w:style w:type="paragraph" w:styleId="12">
    <w:name w:val="Body Text"/>
    <w:basedOn w:val="1"/>
    <w:next w:val="13"/>
    <w:qFormat/>
    <w:uiPriority w:val="0"/>
    <w:pPr>
      <w:autoSpaceDE w:val="0"/>
      <w:autoSpaceDN w:val="0"/>
      <w:adjustRightInd w:val="0"/>
      <w:jc w:val="left"/>
    </w:pPr>
    <w:rPr>
      <w:rFonts w:ascii="宋体"/>
      <w:kern w:val="0"/>
      <w:sz w:val="34"/>
      <w:szCs w:val="20"/>
    </w:rPr>
  </w:style>
  <w:style w:type="paragraph" w:styleId="13">
    <w:name w:val="Date"/>
    <w:basedOn w:val="1"/>
    <w:next w:val="1"/>
    <w:qFormat/>
    <w:uiPriority w:val="0"/>
    <w:pPr>
      <w:ind w:left="100" w:leftChars="2500"/>
    </w:pPr>
    <w:rPr>
      <w:rFonts w:ascii="宋体" w:hAnsi="Courier New"/>
      <w:kern w:val="0"/>
      <w:sz w:val="20"/>
      <w:szCs w:val="21"/>
    </w:rPr>
  </w:style>
  <w:style w:type="paragraph" w:styleId="14">
    <w:name w:val="Body Text Indent"/>
    <w:basedOn w:val="1"/>
    <w:qFormat/>
    <w:uiPriority w:val="0"/>
    <w:pPr>
      <w:ind w:firstLine="830" w:firstLineChars="352"/>
    </w:pPr>
    <w:rPr>
      <w:rFonts w:ascii="仿宋_GB2312" w:eastAsia="仿宋_GB2312"/>
      <w:kern w:val="0"/>
      <w:sz w:val="32"/>
      <w:szCs w:val="20"/>
    </w:rPr>
  </w:style>
  <w:style w:type="paragraph" w:styleId="15">
    <w:name w:val="Plain Text"/>
    <w:basedOn w:val="1"/>
    <w:next w:val="6"/>
    <w:qFormat/>
    <w:uiPriority w:val="0"/>
    <w:rPr>
      <w:rFonts w:ascii="宋体" w:hAnsi="Courier New"/>
      <w:kern w:val="0"/>
      <w:sz w:val="20"/>
      <w:szCs w:val="21"/>
    </w:rPr>
  </w:style>
  <w:style w:type="paragraph" w:styleId="16">
    <w:name w:val="Balloon Text"/>
    <w:basedOn w:val="1"/>
    <w:link w:val="36"/>
    <w:qFormat/>
    <w:uiPriority w:val="0"/>
    <w:rPr>
      <w:sz w:val="18"/>
      <w:szCs w:val="18"/>
    </w:rPr>
  </w:style>
  <w:style w:type="paragraph" w:styleId="17">
    <w:name w:val="footer"/>
    <w:basedOn w:val="1"/>
    <w:unhideWhenUsed/>
    <w:qFormat/>
    <w:uiPriority w:val="99"/>
    <w:pPr>
      <w:tabs>
        <w:tab w:val="center" w:pos="4153"/>
        <w:tab w:val="right" w:pos="8306"/>
      </w:tabs>
      <w:snapToGrid w:val="0"/>
      <w:jc w:val="left"/>
    </w:pPr>
    <w:rPr>
      <w:kern w:val="0"/>
      <w:sz w:val="18"/>
      <w:szCs w:val="18"/>
    </w:rPr>
  </w:style>
  <w:style w:type="paragraph" w:styleId="18">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0">
    <w:name w:val="List"/>
    <w:basedOn w:val="1"/>
    <w:qFormat/>
    <w:uiPriority w:val="0"/>
    <w:pPr>
      <w:ind w:left="200" w:hanging="200" w:hangingChars="200"/>
    </w:pPr>
    <w:rPr>
      <w:sz w:val="28"/>
    </w:rPr>
  </w:style>
  <w:style w:type="paragraph" w:styleId="21">
    <w:name w:val="Normal (Web)"/>
    <w:basedOn w:val="1"/>
    <w:qFormat/>
    <w:uiPriority w:val="0"/>
    <w:pPr>
      <w:spacing w:beforeAutospacing="1" w:afterAutospacing="1"/>
      <w:jc w:val="left"/>
    </w:pPr>
    <w:rPr>
      <w:rFonts w:cs="Times New Roman"/>
      <w:kern w:val="0"/>
      <w:sz w:val="24"/>
    </w:rPr>
  </w:style>
  <w:style w:type="paragraph" w:styleId="22">
    <w:name w:val="Body Text First Indent"/>
    <w:basedOn w:val="12"/>
    <w:next w:val="1"/>
    <w:qFormat/>
    <w:uiPriority w:val="0"/>
    <w:pPr>
      <w:spacing w:after="120"/>
      <w:ind w:firstLine="420" w:firstLineChars="10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style>
  <w:style w:type="character" w:styleId="27">
    <w:name w:val="Emphasis"/>
    <w:basedOn w:val="25"/>
    <w:qFormat/>
    <w:uiPriority w:val="0"/>
    <w:rPr>
      <w:i/>
    </w:rPr>
  </w:style>
  <w:style w:type="character" w:styleId="28">
    <w:name w:val="Hyperlink"/>
    <w:qFormat/>
    <w:uiPriority w:val="99"/>
    <w:rPr>
      <w:color w:val="000000"/>
      <w:u w:val="none"/>
    </w:rPr>
  </w:style>
  <w:style w:type="character" w:styleId="29">
    <w:name w:val="annotation reference"/>
    <w:basedOn w:val="25"/>
    <w:qFormat/>
    <w:uiPriority w:val="0"/>
    <w:rPr>
      <w:sz w:val="21"/>
      <w:szCs w:val="21"/>
    </w:rPr>
  </w:style>
  <w:style w:type="paragraph" w:customStyle="1" w:styleId="30">
    <w:name w:val="Title1"/>
    <w:basedOn w:val="1"/>
    <w:next w:val="1"/>
    <w:qFormat/>
    <w:uiPriority w:val="0"/>
    <w:pPr>
      <w:jc w:val="center"/>
      <w:outlineLvl w:val="0"/>
    </w:pPr>
    <w:rPr>
      <w:rFonts w:ascii="Calibri Light" w:hAnsi="Calibri Light" w:eastAsia="Arial Unicode MS"/>
      <w:b/>
    </w:rPr>
  </w:style>
  <w:style w:type="paragraph" w:customStyle="1" w:styleId="31">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32">
    <w:name w:val="font01"/>
    <w:basedOn w:val="25"/>
    <w:qFormat/>
    <w:uiPriority w:val="0"/>
    <w:rPr>
      <w:rFonts w:ascii="Calibri" w:hAnsi="Calibri" w:cs="Calibri"/>
      <w:color w:val="000000"/>
      <w:sz w:val="22"/>
      <w:szCs w:val="22"/>
      <w:u w:val="none"/>
    </w:rPr>
  </w:style>
  <w:style w:type="character" w:customStyle="1" w:styleId="33">
    <w:name w:val="font31"/>
    <w:basedOn w:val="25"/>
    <w:qFormat/>
    <w:uiPriority w:val="0"/>
    <w:rPr>
      <w:rFonts w:hint="eastAsia" w:ascii="宋体" w:hAnsi="宋体" w:eastAsia="宋体" w:cs="宋体"/>
      <w:color w:val="000000"/>
      <w:sz w:val="22"/>
      <w:szCs w:val="22"/>
      <w:u w:val="none"/>
    </w:rPr>
  </w:style>
  <w:style w:type="character" w:customStyle="1" w:styleId="34">
    <w:name w:val="font51"/>
    <w:qFormat/>
    <w:uiPriority w:val="0"/>
    <w:rPr>
      <w:rFonts w:hint="default" w:ascii="Times New Roman" w:hAnsi="Times New Roman" w:cs="Times New Roman"/>
      <w:b/>
      <w:color w:val="000000"/>
      <w:sz w:val="18"/>
      <w:szCs w:val="18"/>
      <w:u w:val="none"/>
    </w:rPr>
  </w:style>
  <w:style w:type="paragraph" w:customStyle="1" w:styleId="35">
    <w:name w:val="Char1"/>
    <w:basedOn w:val="1"/>
    <w:qFormat/>
    <w:uiPriority w:val="0"/>
    <w:rPr>
      <w:szCs w:val="21"/>
    </w:rPr>
  </w:style>
  <w:style w:type="character" w:customStyle="1" w:styleId="36">
    <w:name w:val="批注框文本 Char"/>
    <w:basedOn w:val="25"/>
    <w:link w:val="1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55258</Words>
  <Characters>61965</Characters>
  <Lines>512</Lines>
  <Paragraphs>144</Paragraphs>
  <TotalTime>28</TotalTime>
  <ScaleCrop>false</ScaleCrop>
  <LinksUpToDate>false</LinksUpToDate>
  <CharactersWithSpaces>68107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2023-02-09T02:53:00Z</dcterms:created>
  <dc:creator>Administrator</dc:creator>
  <cp:lastModifiedBy>FROM</cp:lastModifiedBy>
  <cp:lastPrinted>2023-07-05T07:13:00Z</cp:lastPrinted>
  <dcterms:modified xsi:type="dcterms:W3CDTF">2023-07-13T02:43:41Z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AF89862AA0A94E2EBC1275D2FEE692CB_13</vt:lpwstr>
  </property>
</Properties>
</file>