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600" w:lineRule="exact"/>
        <w:jc w:val="center"/>
        <w:rPr>
          <w:rFonts w:ascii="方正小标宋简体" w:hAnsi="宋体" w:eastAsia="方正小标宋简体"/>
          <w:color w:val="auto"/>
          <w:sz w:val="52"/>
          <w:szCs w:val="52"/>
          <w:highlight w:val="none"/>
        </w:rPr>
      </w:pPr>
    </w:p>
    <w:p>
      <w:pPr>
        <w:spacing w:line="360" w:lineRule="auto"/>
        <w:jc w:val="center"/>
        <w:rPr>
          <w:rFonts w:ascii="方正小标宋简体" w:hAnsi="方正小标宋简体" w:eastAsia="方正小标宋简体" w:cs="方正小标宋简体"/>
          <w:color w:val="auto"/>
          <w:sz w:val="56"/>
          <w:szCs w:val="56"/>
          <w:highlight w:val="none"/>
        </w:rPr>
      </w:pPr>
      <w:r>
        <w:rPr>
          <w:rFonts w:hint="eastAsia" w:ascii="方正小标宋简体" w:hAnsi="宋体" w:eastAsia="方正小标宋简体"/>
          <w:color w:val="auto"/>
          <w:sz w:val="56"/>
          <w:szCs w:val="56"/>
          <w:highlight w:val="none"/>
        </w:rPr>
        <w:t>广西投资集团咨询有限公司</w:t>
      </w:r>
    </w:p>
    <w:p>
      <w:pPr>
        <w:spacing w:line="360" w:lineRule="auto"/>
        <w:jc w:val="center"/>
        <w:rPr>
          <w:rFonts w:ascii="方正小标宋简体" w:hAnsi="方正小标宋简体" w:eastAsia="方正小标宋简体" w:cs="方正小标宋简体"/>
          <w:b/>
          <w:color w:val="auto"/>
          <w:sz w:val="44"/>
          <w:szCs w:val="44"/>
          <w:highlight w:val="none"/>
        </w:rPr>
      </w:pPr>
    </w:p>
    <w:p>
      <w:pPr>
        <w:spacing w:line="360" w:lineRule="auto"/>
        <w:jc w:val="center"/>
        <w:rPr>
          <w:rFonts w:ascii="方正小标宋简体" w:hAnsi="方正小标宋简体" w:eastAsia="方正小标宋简体" w:cs="方正小标宋简体"/>
          <w:b/>
          <w:color w:val="auto"/>
          <w:sz w:val="44"/>
          <w:szCs w:val="44"/>
          <w:highlight w:val="none"/>
        </w:rPr>
      </w:pPr>
    </w:p>
    <w:p>
      <w:pPr>
        <w:spacing w:after="156" w:line="360" w:lineRule="auto"/>
        <w:jc w:val="center"/>
        <w:rPr>
          <w:rFonts w:ascii="宋体" w:hAnsi="宋体" w:cs="Arial"/>
          <w:b/>
          <w:bCs/>
          <w:color w:val="auto"/>
          <w:spacing w:val="26"/>
          <w:sz w:val="96"/>
          <w:szCs w:val="96"/>
          <w:highlight w:val="none"/>
        </w:rPr>
      </w:pPr>
      <w:r>
        <w:rPr>
          <w:rFonts w:hint="eastAsia" w:ascii="宋体" w:hAnsi="宋体" w:cs="Arial"/>
          <w:b/>
          <w:bCs/>
          <w:color w:val="auto"/>
          <w:spacing w:val="26"/>
          <w:sz w:val="96"/>
          <w:szCs w:val="96"/>
          <w:highlight w:val="none"/>
        </w:rPr>
        <w:t>招 标 文 件</w:t>
      </w:r>
    </w:p>
    <w:p>
      <w:pPr>
        <w:snapToGrid w:val="0"/>
        <w:spacing w:line="360" w:lineRule="auto"/>
        <w:rPr>
          <w:rFonts w:ascii="仿宋_GB2312" w:hAnsi="宋体" w:eastAsia="仿宋_GB2312"/>
          <w:color w:val="auto"/>
          <w:sz w:val="30"/>
          <w:szCs w:val="72"/>
          <w:highlight w:val="none"/>
        </w:rPr>
      </w:pPr>
    </w:p>
    <w:p>
      <w:pPr>
        <w:pStyle w:val="2"/>
        <w:ind w:firstLine="600"/>
        <w:rPr>
          <w:rFonts w:hAnsi="宋体"/>
          <w:color w:val="auto"/>
          <w:sz w:val="30"/>
          <w:szCs w:val="72"/>
          <w:highlight w:val="none"/>
        </w:rPr>
      </w:pPr>
    </w:p>
    <w:p>
      <w:pPr>
        <w:rPr>
          <w:rFonts w:ascii="仿宋_GB2312" w:hAnsi="宋体" w:eastAsia="仿宋_GB2312"/>
          <w:color w:val="auto"/>
          <w:sz w:val="30"/>
          <w:szCs w:val="72"/>
          <w:highlight w:val="none"/>
        </w:rPr>
      </w:pPr>
    </w:p>
    <w:p>
      <w:pPr>
        <w:pStyle w:val="2"/>
        <w:ind w:firstLine="600"/>
        <w:rPr>
          <w:rFonts w:hAnsi="宋体"/>
          <w:color w:val="auto"/>
          <w:sz w:val="30"/>
          <w:szCs w:val="72"/>
          <w:highlight w:val="none"/>
        </w:rPr>
      </w:pPr>
    </w:p>
    <w:p>
      <w:pPr>
        <w:rPr>
          <w:color w:val="auto"/>
          <w:highlight w:val="none"/>
        </w:rPr>
      </w:pPr>
    </w:p>
    <w:p>
      <w:pPr>
        <w:pStyle w:val="23"/>
        <w:snapToGrid w:val="0"/>
        <w:spacing w:line="360" w:lineRule="auto"/>
        <w:ind w:left="2118" w:leftChars="504" w:hanging="1060" w:hangingChars="352"/>
        <w:jc w:val="left"/>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广西ETC门架系统运维服务</w:t>
      </w:r>
    </w:p>
    <w:p>
      <w:pPr>
        <w:snapToGrid w:val="0"/>
        <w:spacing w:line="360" w:lineRule="auto"/>
        <w:ind w:left="2065" w:leftChars="504" w:hanging="1007" w:hangingChars="352"/>
        <w:rPr>
          <w:rFonts w:ascii="仿宋_GB2312" w:hAnsi="宋体" w:eastAsia="仿宋_GB2312"/>
          <w:color w:val="auto"/>
          <w:sz w:val="30"/>
          <w:szCs w:val="72"/>
          <w:highlight w:val="none"/>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编号：GXZC2022-G3-002718-GTZX</w:t>
      </w:r>
    </w:p>
    <w:p>
      <w:pPr>
        <w:pStyle w:val="23"/>
        <w:snapToGrid w:val="0"/>
        <w:spacing w:line="360" w:lineRule="auto"/>
        <w:ind w:left="2065" w:leftChars="504" w:hanging="1007" w:hangingChars="352"/>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 购 人：广西壮族自治区收费公路联网收费清分结算中心</w:t>
      </w:r>
    </w:p>
    <w:p>
      <w:pPr>
        <w:pStyle w:val="23"/>
        <w:snapToGrid w:val="0"/>
        <w:spacing w:line="360" w:lineRule="auto"/>
        <w:ind w:left="2065" w:leftChars="504" w:hanging="1007" w:hangingChars="352"/>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采购代理机构：广西投资集团咨询有限公司</w:t>
      </w:r>
    </w:p>
    <w:p>
      <w:pPr>
        <w:pStyle w:val="23"/>
        <w:snapToGrid w:val="0"/>
        <w:spacing w:line="360" w:lineRule="auto"/>
        <w:ind w:firstLine="825" w:firstLineChars="393"/>
        <w:jc w:val="center"/>
        <w:rPr>
          <w:rFonts w:hint="default" w:ascii="仿宋_GB2312" w:hAnsi="宋体" w:eastAsia="宋体"/>
          <w:b/>
          <w:bCs/>
          <w:color w:val="auto"/>
          <w:w w:val="95"/>
          <w:sz w:val="30"/>
          <w:szCs w:val="30"/>
          <w:highlight w:val="none"/>
          <w:lang w:val="en-US" w:eastAsia="zh-CN"/>
        </w:rPr>
      </w:pPr>
      <w:r>
        <w:rPr>
          <w:rFonts w:hint="eastAsia" w:ascii="Helvetica" w:hAnsi="Helvetica" w:cs="Helvetica"/>
          <w:color w:val="FFFFFF" w:themeColor="background1"/>
          <w:sz w:val="21"/>
          <w:highlight w:val="none"/>
          <w:shd w:val="clear" w:color="auto" w:fill="FFFFFF"/>
          <w:lang w:val="en-US" w:eastAsia="zh-CN"/>
          <w14:textFill>
            <w14:solidFill>
              <w14:schemeClr w14:val="bg1"/>
            </w14:solidFill>
          </w14:textFill>
        </w:rPr>
        <w:t>签章位置（章）</w:t>
      </w:r>
    </w:p>
    <w:p>
      <w:pPr>
        <w:pStyle w:val="23"/>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 </w:t>
      </w:r>
      <w:r>
        <w:rPr>
          <w:rFonts w:ascii="仿宋_GB2312" w:hAnsi="宋体" w:eastAsia="仿宋_GB2312"/>
          <w:b/>
          <w:bCs/>
          <w:color w:val="auto"/>
          <w:w w:val="95"/>
          <w:sz w:val="30"/>
          <w:szCs w:val="30"/>
          <w:highlight w:val="none"/>
        </w:rPr>
        <w:t xml:space="preserve">        </w:t>
      </w:r>
    </w:p>
    <w:p>
      <w:pPr>
        <w:pStyle w:val="23"/>
        <w:snapToGrid w:val="0"/>
        <w:spacing w:line="360" w:lineRule="auto"/>
        <w:jc w:val="center"/>
        <w:rPr>
          <w:rFonts w:ascii="仿宋_GB2312" w:eastAsia="仿宋_GB2312"/>
          <w:color w:val="auto"/>
          <w:szCs w:val="20"/>
          <w:highlight w:val="none"/>
        </w:rPr>
      </w:pPr>
      <w:r>
        <w:rPr>
          <w:rFonts w:ascii="仿宋_GB2312" w:hAnsi="宋体" w:eastAsia="仿宋_GB2312"/>
          <w:b/>
          <w:bCs/>
          <w:color w:val="auto"/>
          <w:w w:val="95"/>
          <w:sz w:val="30"/>
          <w:szCs w:val="30"/>
          <w:highlight w:val="none"/>
        </w:rPr>
        <w:t>2022</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p>
    <w:p>
      <w:pPr>
        <w:pStyle w:val="23"/>
        <w:spacing w:before="120" w:after="120" w:line="360" w:lineRule="auto"/>
        <w:jc w:val="center"/>
        <w:rPr>
          <w:rFonts w:ascii="仿宋_GB2312" w:hAnsi="宋体" w:eastAsia="仿宋_GB2312"/>
          <w:color w:val="auto"/>
          <w:highlight w:val="none"/>
        </w:rPr>
      </w:pP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br w:type="page"/>
      </w: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31"/>
        <w:rPr>
          <w:rFonts w:ascii="等线" w:hAnsi="等线" w:eastAsia="等线"/>
          <w:b w:val="0"/>
          <w:bCs w:val="0"/>
          <w:caps w:val="0"/>
          <w:color w:val="auto"/>
          <w:sz w:val="21"/>
          <w:szCs w:val="22"/>
          <w:highlight w:val="none"/>
        </w:rPr>
      </w:pPr>
      <w:r>
        <w:rPr>
          <w:rFonts w:ascii="仿宋_GB2312" w:eastAsia="仿宋_GB2312"/>
          <w:b w:val="0"/>
          <w:color w:val="auto"/>
          <w:highlight w:val="none"/>
        </w:rPr>
        <w:fldChar w:fldCharType="begin"/>
      </w:r>
      <w:r>
        <w:rPr>
          <w:rFonts w:ascii="仿宋_GB2312" w:eastAsia="仿宋_GB2312"/>
          <w:b w:val="0"/>
          <w:color w:val="auto"/>
          <w:highlight w:val="none"/>
        </w:rPr>
        <w:instrText xml:space="preserve"> </w:instrText>
      </w:r>
      <w:r>
        <w:rPr>
          <w:rFonts w:hint="eastAsia" w:ascii="仿宋_GB2312" w:eastAsia="仿宋_GB2312"/>
          <w:b w:val="0"/>
          <w:color w:val="auto"/>
          <w:highlight w:val="none"/>
        </w:rPr>
        <w:instrText xml:space="preserve">TOC \o "1-2" \h \z \u</w:instrText>
      </w:r>
      <w:r>
        <w:rPr>
          <w:rFonts w:ascii="仿宋_GB2312" w:eastAsia="仿宋_GB2312"/>
          <w:b w:val="0"/>
          <w:color w:val="auto"/>
          <w:highlight w:val="none"/>
        </w:rPr>
        <w:instrText xml:space="preserve"> </w:instrText>
      </w:r>
      <w:r>
        <w:rPr>
          <w:rFonts w:ascii="仿宋_GB2312" w:eastAsia="仿宋_GB2312"/>
          <w:b w:val="0"/>
          <w:color w:val="auto"/>
          <w:highlight w:val="none"/>
        </w:rPr>
        <w:fldChar w:fldCharType="separate"/>
      </w:r>
      <w:r>
        <w:rPr>
          <w:color w:val="auto"/>
          <w:highlight w:val="none"/>
        </w:rPr>
        <w:fldChar w:fldCharType="begin"/>
      </w:r>
      <w:r>
        <w:rPr>
          <w:color w:val="auto"/>
          <w:highlight w:val="none"/>
        </w:rPr>
        <w:instrText xml:space="preserve"> HYPERLINK \l "_Toc100653789" </w:instrText>
      </w:r>
      <w:r>
        <w:rPr>
          <w:color w:val="auto"/>
          <w:highlight w:val="none"/>
        </w:rPr>
        <w:fldChar w:fldCharType="separate"/>
      </w:r>
      <w:r>
        <w:rPr>
          <w:rStyle w:val="52"/>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_Toc100653789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1"/>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"_Toc100653790" </w:instrText>
      </w:r>
      <w:r>
        <w:rPr>
          <w:color w:val="auto"/>
          <w:highlight w:val="none"/>
        </w:rPr>
        <w:fldChar w:fldCharType="separate"/>
      </w:r>
      <w:r>
        <w:rPr>
          <w:rStyle w:val="52"/>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_Toc100653790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"_Toc100653791" </w:instrText>
      </w:r>
      <w:r>
        <w:rPr>
          <w:color w:val="auto"/>
          <w:highlight w:val="none"/>
        </w:rPr>
        <w:fldChar w:fldCharType="separate"/>
      </w:r>
      <w:r>
        <w:rPr>
          <w:rStyle w:val="52"/>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_Toc100653791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1"/>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"_Toc100653792" </w:instrText>
      </w:r>
      <w:r>
        <w:rPr>
          <w:color w:val="auto"/>
          <w:highlight w:val="none"/>
        </w:rPr>
        <w:fldChar w:fldCharType="separate"/>
      </w:r>
      <w:r>
        <w:rPr>
          <w:rStyle w:val="52"/>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_Toc100653792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31"/>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"_Toc100653793" </w:instrText>
      </w:r>
      <w:r>
        <w:rPr>
          <w:color w:val="auto"/>
          <w:highlight w:val="none"/>
        </w:rPr>
        <w:fldChar w:fldCharType="separate"/>
      </w:r>
      <w:r>
        <w:rPr>
          <w:rStyle w:val="52"/>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_Toc100653793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1"/>
        <w:ind w:firstLine="241"/>
        <w:rPr>
          <w:rFonts w:ascii="等线" w:hAnsi="等线" w:eastAsia="等线"/>
          <w:b w:val="0"/>
          <w:bCs w:val="0"/>
          <w:caps w:val="0"/>
          <w:color w:val="auto"/>
          <w:sz w:val="21"/>
          <w:szCs w:val="22"/>
          <w:highlight w:val="none"/>
        </w:rPr>
      </w:pPr>
      <w:r>
        <w:rPr>
          <w:color w:val="auto"/>
          <w:highlight w:val="none"/>
        </w:rPr>
        <w:fldChar w:fldCharType="begin"/>
      </w:r>
      <w:r>
        <w:rPr>
          <w:color w:val="auto"/>
          <w:highlight w:val="none"/>
        </w:rPr>
        <w:instrText xml:space="preserve"> HYPERLINK \l "_Toc100653794" </w:instrText>
      </w:r>
      <w:r>
        <w:rPr>
          <w:color w:val="auto"/>
          <w:highlight w:val="none"/>
        </w:rPr>
        <w:fldChar w:fldCharType="separate"/>
      </w:r>
      <w:r>
        <w:rPr>
          <w:rStyle w:val="52"/>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_Toc100653794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tabs>
          <w:tab w:val="right" w:leader="dot" w:pos="8789"/>
        </w:tabs>
        <w:snapToGrid w:val="0"/>
        <w:spacing w:line="480" w:lineRule="auto"/>
        <w:rPr>
          <w:rFonts w:ascii="仿宋_GB2312" w:hAnsi="宋体" w:eastAsia="仿宋_GB2312"/>
          <w:color w:val="auto"/>
          <w:sz w:val="24"/>
          <w:highlight w:val="none"/>
        </w:rPr>
      </w:pPr>
      <w:r>
        <w:rPr>
          <w:rFonts w:ascii="仿宋_GB2312" w:hAnsi="宋体" w:eastAsia="仿宋_GB2312"/>
          <w:color w:val="auto"/>
          <w:highlight w:val="none"/>
        </w:rPr>
        <w:fldChar w:fldCharType="end"/>
      </w:r>
    </w:p>
    <w:p>
      <w:pPr>
        <w:spacing w:before="120" w:beforeLines="50" w:line="480" w:lineRule="exact"/>
        <w:rPr>
          <w:rFonts w:ascii="仿宋_GB2312" w:hAnsi="宋体" w:eastAsia="仿宋_GB2312"/>
          <w:color w:val="auto"/>
          <w:sz w:val="30"/>
          <w:highlight w:val="none"/>
        </w:rPr>
      </w:pPr>
    </w:p>
    <w:p>
      <w:pPr>
        <w:rPr>
          <w:color w:val="auto"/>
          <w:highlight w:val="none"/>
        </w:rPr>
      </w:pPr>
    </w:p>
    <w:p>
      <w:pPr>
        <w:spacing w:before="120" w:beforeLines="50" w:line="480" w:lineRule="exact"/>
        <w:rPr>
          <w:rFonts w:ascii="仿宋_GB2312" w:hAnsi="宋体" w:eastAsia="仿宋_GB2312"/>
          <w:color w:val="auto"/>
          <w:sz w:val="30"/>
          <w:highlight w:val="none"/>
        </w:rPr>
      </w:pPr>
    </w:p>
    <w:p>
      <w:pPr>
        <w:spacing w:before="120" w:beforeLines="50" w:line="480" w:lineRule="exact"/>
        <w:rPr>
          <w:rFonts w:ascii="仿宋_GB2312" w:hAnsi="宋体" w:eastAsia="仿宋_GB2312"/>
          <w:color w:val="auto"/>
          <w:sz w:val="30"/>
          <w:highlight w:val="none"/>
        </w:rPr>
      </w:pPr>
    </w:p>
    <w:p>
      <w:pPr>
        <w:pStyle w:val="16"/>
        <w:rPr>
          <w:rFonts w:ascii="宋体" w:hAnsi="宋体" w:cs="宋体"/>
          <w:b/>
          <w:bCs/>
          <w:color w:val="auto"/>
          <w:highlight w:val="none"/>
        </w:rPr>
      </w:pPr>
      <w:bookmarkStart w:id="0" w:name="_Toc254970489"/>
      <w:bookmarkStart w:id="1" w:name="_Toc254970630"/>
    </w:p>
    <w:p>
      <w:pPr>
        <w:pStyle w:val="4"/>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宋体" w:hAnsi="宋体" w:cs="宋体"/>
          <w:b w:val="0"/>
          <w:bCs w:val="0"/>
          <w:color w:val="auto"/>
          <w:highlight w:val="none"/>
        </w:rPr>
        <w:br w:type="page"/>
      </w:r>
      <w:bookmarkStart w:id="2" w:name="_Toc100653789"/>
      <w:r>
        <w:rPr>
          <w:rFonts w:hint="eastAsia"/>
          <w:color w:val="auto"/>
          <w:highlight w:val="none"/>
        </w:rPr>
        <w:t>第一章</w:t>
      </w:r>
      <w:bookmarkEnd w:id="0"/>
      <w:bookmarkEnd w:id="1"/>
      <w:bookmarkStart w:id="3" w:name="_Toc35393789"/>
      <w:bookmarkStart w:id="4" w:name="_Toc28359001"/>
      <w:r>
        <w:rPr>
          <w:rFonts w:hint="eastAsia"/>
          <w:color w:val="auto"/>
          <w:highlight w:val="none"/>
        </w:rPr>
        <w:t xml:space="preserve"> 招标公告</w:t>
      </w:r>
      <w:bookmarkEnd w:id="2"/>
      <w:bookmarkEnd w:id="3"/>
      <w:bookmarkEnd w:id="4"/>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1"/>
        </w:pBdr>
        <w:spacing w:line="360" w:lineRule="auto"/>
        <w:ind w:firstLine="420" w:firstLineChars="200"/>
        <w:rPr>
          <w:rFonts w:ascii="宋体" w:hAnsi="宋体"/>
          <w:color w:val="auto"/>
          <w:szCs w:val="21"/>
          <w:highlight w:val="none"/>
        </w:rPr>
      </w:pPr>
      <w:r>
        <w:rPr>
          <w:rFonts w:hint="eastAsia" w:ascii="宋体" w:hAnsi="宋体" w:cs="宋体"/>
          <w:color w:val="auto"/>
          <w:highlight w:val="none"/>
          <w:lang w:eastAsia="zh-CN"/>
        </w:rPr>
        <w:t>广西ETC门架系统运维服务</w:t>
      </w:r>
      <w:r>
        <w:rPr>
          <w:rFonts w:hint="eastAsia" w:ascii="宋体" w:hAnsi="宋体"/>
          <w:color w:val="auto"/>
          <w:szCs w:val="21"/>
          <w:highlight w:val="none"/>
        </w:rPr>
        <w:t>的潜在投标人应在“政采云”平台（https://www.zcygov.cn）获取（下载）招标文件，并于</w:t>
      </w:r>
      <w:r>
        <w:rPr>
          <w:rFonts w:ascii="宋体" w:hAnsi="宋体"/>
          <w:color w:val="auto"/>
          <w:szCs w:val="21"/>
          <w:highlight w:val="none"/>
          <w:u w:val="single"/>
        </w:rPr>
        <w:t>2022</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9</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5" w:name="_Toc28359079"/>
      <w:bookmarkStart w:id="6" w:name="_Toc35393790"/>
      <w:bookmarkStart w:id="7" w:name="_Toc35393621"/>
      <w:bookmarkStart w:id="8" w:name="_Toc28359002"/>
      <w:bookmarkStart w:id="9" w:name="_Hlk24379207"/>
      <w:r>
        <w:rPr>
          <w:rFonts w:hint="eastAsia" w:ascii="黑体" w:hAnsi="黑体" w:eastAsia="黑体"/>
          <w:b/>
          <w:bCs/>
          <w:color w:val="auto"/>
          <w:sz w:val="24"/>
          <w:highlight w:val="none"/>
        </w:rPr>
        <w:t>一、项目基本情况</w:t>
      </w:r>
      <w:bookmarkEnd w:id="5"/>
      <w:bookmarkEnd w:id="6"/>
      <w:bookmarkEnd w:id="7"/>
      <w:bookmarkEnd w:id="8"/>
    </w:p>
    <w:bookmarkEnd w:id="9"/>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 GXZC2022-G3-002718-GTZX</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政府采购计划编号：</w:t>
      </w:r>
      <w:r>
        <w:rPr>
          <w:rFonts w:ascii="宋体" w:hAnsi="宋体"/>
          <w:color w:val="auto"/>
          <w:szCs w:val="21"/>
          <w:highlight w:val="none"/>
        </w:rPr>
        <w:t xml:space="preserve"> </w:t>
      </w:r>
      <w:r>
        <w:rPr>
          <w:rFonts w:hint="eastAsia" w:ascii="宋体" w:hAnsi="宋体"/>
          <w:color w:val="auto"/>
          <w:szCs w:val="21"/>
          <w:highlight w:val="none"/>
        </w:rPr>
        <w:t>广西政采[2022]15526号</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s="宋体"/>
          <w:color w:val="auto"/>
          <w:highlight w:val="none"/>
          <w:lang w:eastAsia="zh-CN"/>
        </w:rPr>
        <w:t>广西ETC门架系统运维服务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预算金额：780.8万元</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最高限价：780.8万元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1"/>
        <w:gridCol w:w="2907"/>
        <w:gridCol w:w="709"/>
        <w:gridCol w:w="4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标项</w:t>
            </w:r>
          </w:p>
        </w:tc>
        <w:tc>
          <w:tcPr>
            <w:tcW w:w="16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224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62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广西ETC门架系统运维服务</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szCs w:val="21"/>
                <w:highlight w:val="none"/>
              </w:rPr>
              <w:t>1项</w:t>
            </w:r>
          </w:p>
        </w:tc>
        <w:tc>
          <w:tcPr>
            <w:tcW w:w="2245" w:type="pc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olor w:val="auto"/>
                <w:szCs w:val="21"/>
                <w:highlight w:val="none"/>
                <w:lang w:val="zh-CN"/>
              </w:rPr>
            </w:pPr>
            <w:r>
              <w:rPr>
                <w:rFonts w:hint="eastAsia" w:ascii="宋体" w:hAnsi="宋体" w:cs="宋体"/>
                <w:color w:val="auto"/>
                <w:szCs w:val="21"/>
                <w:highlight w:val="none"/>
              </w:rPr>
              <w:t>如需进一步了解详细内容，详见招标文件。</w:t>
            </w: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合同履行期限：签订合同之日起一年。</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本项目接受联合体投标。</w:t>
      </w:r>
    </w:p>
    <w:p>
      <w:pPr>
        <w:spacing w:line="360" w:lineRule="auto"/>
        <w:rPr>
          <w:rFonts w:ascii="黑体" w:hAnsi="黑体" w:eastAsia="黑体"/>
          <w:b/>
          <w:bCs/>
          <w:color w:val="auto"/>
          <w:sz w:val="24"/>
          <w:highlight w:val="none"/>
        </w:rPr>
      </w:pPr>
      <w:bookmarkStart w:id="10" w:name="_Toc28359003"/>
      <w:bookmarkStart w:id="11" w:name="_Toc35393622"/>
      <w:bookmarkStart w:id="12" w:name="_Toc28359080"/>
      <w:bookmarkStart w:id="13" w:name="_Toc35393791"/>
      <w:r>
        <w:rPr>
          <w:rFonts w:hint="eastAsia" w:ascii="黑体" w:hAnsi="黑体" w:eastAsia="黑体"/>
          <w:b/>
          <w:bCs/>
          <w:color w:val="auto"/>
          <w:sz w:val="24"/>
          <w:highlight w:val="none"/>
        </w:rPr>
        <w:t>二、申请人的资格要求：</w:t>
      </w:r>
      <w:bookmarkEnd w:id="10"/>
      <w:bookmarkEnd w:id="11"/>
      <w:bookmarkEnd w:id="12"/>
      <w:bookmarkEnd w:id="13"/>
    </w:p>
    <w:p>
      <w:pPr>
        <w:spacing w:line="360" w:lineRule="auto"/>
        <w:ind w:firstLine="420" w:firstLineChars="200"/>
        <w:rPr>
          <w:rFonts w:ascii="宋体" w:hAnsi="宋体"/>
          <w:color w:val="auto"/>
          <w:szCs w:val="21"/>
          <w:highlight w:val="none"/>
        </w:rPr>
      </w:pPr>
      <w:bookmarkStart w:id="14" w:name="_Hlk51746371"/>
      <w:bookmarkStart w:id="15" w:name="_Toc28359004"/>
      <w:bookmarkStart w:id="16" w:name="_Toc35393792"/>
      <w:bookmarkStart w:id="17" w:name="_Toc28359081"/>
      <w:bookmarkStart w:id="18" w:name="_Toc35393623"/>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.落实政府采购政策需满足的资格要求：本项目非专门面向中小企业采购的项目；</w:t>
      </w:r>
      <w:r>
        <w:rPr>
          <w:rFonts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bookmarkEnd w:id="14"/>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bookmarkEnd w:id="15"/>
      <w:bookmarkEnd w:id="16"/>
      <w:bookmarkEnd w:id="17"/>
      <w:bookmarkEnd w:id="18"/>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u w:val="single"/>
        </w:rPr>
        <w:t>2022</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ascii="宋体" w:hAnsi="宋体" w:cs="宋体"/>
          <w:bCs/>
          <w:color w:val="auto"/>
          <w:kern w:val="0"/>
          <w:szCs w:val="21"/>
          <w:highlight w:val="none"/>
          <w:u w:val="single"/>
        </w:rPr>
        <w:t>2022</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u w:val="single"/>
          <w:lang w:val="en-US" w:eastAsia="zh-CN"/>
        </w:rPr>
        <w:t>0</w:t>
      </w:r>
      <w:r>
        <w:rPr>
          <w:rFonts w:hint="eastAsia" w:ascii="宋体" w:hAnsi="宋体" w:cs="宋体"/>
          <w:bCs/>
          <w:color w:val="auto"/>
          <w:kern w:val="0"/>
          <w:szCs w:val="21"/>
          <w:highlight w:val="none"/>
          <w:u w:val="single"/>
        </w:rPr>
        <w:t>时至1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时</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u w:val="single"/>
        </w:rPr>
        <w:t>时至</w:t>
      </w:r>
      <w:r>
        <w:rPr>
          <w:rFonts w:hint="eastAsia" w:ascii="宋体" w:hAnsi="宋体" w:cs="宋体"/>
          <w:bCs/>
          <w:color w:val="auto"/>
          <w:kern w:val="0"/>
          <w:szCs w:val="21"/>
          <w:highlight w:val="none"/>
          <w:u w:val="single"/>
          <w:lang w:val="en-US" w:eastAsia="zh-CN"/>
        </w:rPr>
        <w:t>23</w:t>
      </w:r>
      <w:r>
        <w:rPr>
          <w:rFonts w:hint="eastAsia" w:ascii="宋体" w:hAnsi="宋体" w:cs="宋体"/>
          <w:bCs/>
          <w:color w:val="auto"/>
          <w:kern w:val="0"/>
          <w:szCs w:val="21"/>
          <w:highlight w:val="none"/>
          <w:u w:val="single"/>
        </w:rPr>
        <w:t>时</w:t>
      </w:r>
      <w:r>
        <w:rPr>
          <w:rFonts w:hint="eastAsia" w:ascii="宋体" w:hAnsi="宋体" w:cs="宋体"/>
          <w:bCs/>
          <w:color w:val="auto"/>
          <w:kern w:val="0"/>
          <w:szCs w:val="21"/>
          <w:highlight w:val="none"/>
          <w:u w:val="single"/>
          <w:lang w:val="en-US" w:eastAsia="zh-CN"/>
        </w:rPr>
        <w:t>59分</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地点：“政采云”平台（https://www.zcygov.cn）</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方式：网上下载。本项目不提供纸质文件，潜在供应商需使用账号登录或者使用CA登录“政采云”平台（https：/</w:t>
      </w:r>
      <w:r>
        <w:rPr>
          <w:rFonts w:ascii="宋体" w:hAnsi="宋体" w:cs="宋体"/>
          <w:bCs/>
          <w:color w:val="auto"/>
          <w:kern w:val="0"/>
          <w:szCs w:val="21"/>
          <w:highlight w:val="none"/>
        </w:rPr>
        <w:t>/www.zcygov.cn</w:t>
      </w:r>
      <w:r>
        <w:rPr>
          <w:rFonts w:hint="eastAsia" w:ascii="宋体" w:hAnsi="宋体" w:cs="宋体"/>
          <w:bCs/>
          <w:color w:val="auto"/>
          <w:kern w:val="0"/>
          <w:szCs w:val="21"/>
          <w:highlight w:val="none"/>
        </w:rPr>
        <w:t>）-进入“项目采购”应用，在获取采购文件菜单中选择项目，并按系统操作获取招标文件（或在“政采云电子投标客户端-获取采购文件”跳转到政采云系统获取）。</w:t>
      </w:r>
      <w:r>
        <w:rPr>
          <w:rFonts w:hint="eastAsia" w:ascii="宋体" w:hAnsi="宋体"/>
          <w:color w:val="auto"/>
          <w:szCs w:val="21"/>
          <w:highlight w:val="none"/>
        </w:rPr>
        <w:t>电子投标文件制作需要基于“政采云”平台获取的招标文件编制，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“政采云”</w:t>
      </w:r>
      <w:r>
        <w:rPr>
          <w:rFonts w:hint="eastAsia" w:ascii="宋体" w:hAnsi="宋体" w:cs="宋体"/>
          <w:bCs/>
          <w:color w:val="auto"/>
          <w:kern w:val="0"/>
          <w:szCs w:val="21"/>
          <w:highlight w:val="none"/>
        </w:rPr>
        <w:t>平台编制及上传投标文件。</w:t>
      </w:r>
    </w:p>
    <w:p>
      <w:pPr>
        <w:spacing w:line="360" w:lineRule="auto"/>
        <w:rPr>
          <w:rFonts w:ascii="黑体" w:hAnsi="黑体" w:eastAsia="黑体"/>
          <w:b/>
          <w:bCs/>
          <w:color w:val="auto"/>
          <w:sz w:val="24"/>
          <w:highlight w:val="none"/>
        </w:rPr>
      </w:pPr>
      <w:bookmarkStart w:id="19" w:name="_Toc28359082"/>
      <w:bookmarkStart w:id="20" w:name="_Toc28359005"/>
      <w:bookmarkStart w:id="21" w:name="_Toc35393793"/>
      <w:bookmarkStart w:id="22" w:name="_Toc35393624"/>
      <w:r>
        <w:rPr>
          <w:rFonts w:hint="eastAsia" w:ascii="黑体" w:hAnsi="黑体" w:eastAsia="黑体"/>
          <w:b/>
          <w:bCs/>
          <w:color w:val="auto"/>
          <w:sz w:val="24"/>
          <w:highlight w:val="none"/>
        </w:rPr>
        <w:t>四、提交投标文件</w:t>
      </w:r>
      <w:bookmarkEnd w:id="19"/>
      <w:bookmarkEnd w:id="20"/>
      <w:r>
        <w:rPr>
          <w:rFonts w:hint="eastAsia" w:ascii="黑体" w:hAnsi="黑体" w:eastAsia="黑体"/>
          <w:b/>
          <w:bCs/>
          <w:color w:val="auto"/>
          <w:sz w:val="24"/>
          <w:highlight w:val="none"/>
        </w:rPr>
        <w:t>截止时间、开标时间和地点</w:t>
      </w:r>
      <w:bookmarkEnd w:id="21"/>
      <w:bookmarkEnd w:id="22"/>
    </w:p>
    <w:p>
      <w:pPr>
        <w:spacing w:line="360" w:lineRule="auto"/>
        <w:ind w:firstLine="540"/>
        <w:rPr>
          <w:rFonts w:ascii="宋体" w:hAnsi="宋体" w:cs="宋体"/>
          <w:bCs/>
          <w:color w:val="auto"/>
          <w:kern w:val="0"/>
          <w:szCs w:val="21"/>
          <w:highlight w:val="none"/>
        </w:rPr>
      </w:pPr>
      <w:bookmarkStart w:id="23" w:name="_Toc28359084"/>
      <w:bookmarkStart w:id="24" w:name="_Toc28359007"/>
      <w:bookmarkStart w:id="25" w:name="_Toc35393625"/>
      <w:bookmarkStart w:id="26" w:name="_Toc35393794"/>
      <w:r>
        <w:rPr>
          <w:rFonts w:hint="eastAsia" w:ascii="宋体" w:hAnsi="宋体" w:cs="宋体"/>
          <w:bCs/>
          <w:color w:val="auto"/>
          <w:kern w:val="0"/>
          <w:szCs w:val="21"/>
          <w:highlight w:val="none"/>
        </w:rPr>
        <w:t>提交投标文件截止时间：2022年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 09:30（北京时间）</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投标地点（网址）：通过政采云平台实行在线投标。 </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开标时间：2022年</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日09:30（北京时间）</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开标地点：通过政采云平台实行在线解密开启。</w:t>
      </w:r>
    </w:p>
    <w:p>
      <w:pPr>
        <w:spacing w:line="360" w:lineRule="auto"/>
        <w:ind w:firstLine="0"/>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3"/>
      <w:bookmarkEnd w:id="24"/>
      <w:bookmarkEnd w:id="25"/>
      <w:bookmarkEnd w:id="26"/>
    </w:p>
    <w:p>
      <w:pPr>
        <w:spacing w:line="360" w:lineRule="auto"/>
        <w:ind w:firstLine="540" w:firstLineChars="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27" w:name="_Toc35393795"/>
      <w:bookmarkStart w:id="28" w:name="_Toc35393626"/>
      <w:r>
        <w:rPr>
          <w:rFonts w:hint="eastAsia" w:ascii="黑体" w:hAnsi="黑体" w:eastAsia="黑体"/>
          <w:b/>
          <w:bCs/>
          <w:color w:val="auto"/>
          <w:sz w:val="24"/>
          <w:highlight w:val="none"/>
        </w:rPr>
        <w:t>六、其他补充事宜</w:t>
      </w:r>
      <w:bookmarkEnd w:id="27"/>
      <w:bookmarkEnd w:id="28"/>
    </w:p>
    <w:p>
      <w:pPr>
        <w:spacing w:line="360" w:lineRule="auto"/>
        <w:ind w:firstLine="420" w:firstLineChars="200"/>
        <w:rPr>
          <w:rFonts w:ascii="宋体" w:hAnsi="宋体" w:cs="宋体"/>
          <w:color w:val="auto"/>
          <w:kern w:val="0"/>
          <w:szCs w:val="21"/>
          <w:highlight w:val="none"/>
        </w:rPr>
      </w:pPr>
      <w:bookmarkStart w:id="29" w:name="_Hlk37429585"/>
      <w:bookmarkStart w:id="30" w:name="_Hlk37429595"/>
      <w:bookmarkStart w:id="31" w:name="_Toc35393627"/>
      <w:bookmarkStart w:id="32" w:name="_Toc28359008"/>
      <w:bookmarkStart w:id="33" w:name="_Toc28359085"/>
      <w:bookmarkStart w:id="34" w:name="_Toc35393796"/>
      <w:r>
        <w:rPr>
          <w:rFonts w:hint="eastAsia" w:ascii="宋体" w:hAnsi="宋体" w:cs="宋体"/>
          <w:color w:val="auto"/>
          <w:kern w:val="0"/>
          <w:szCs w:val="21"/>
          <w:highlight w:val="none"/>
        </w:rPr>
        <w:t>1.投标保证金（人民币）：本项目不收取投标保证金。</w:t>
      </w:r>
    </w:p>
    <w:p>
      <w:pPr>
        <w:spacing w:line="360" w:lineRule="auto"/>
        <w:ind w:firstLine="420" w:firstLineChars="200"/>
        <w:rPr>
          <w:rFonts w:ascii="宋体" w:hAnsi="宋体" w:cs="宋体"/>
          <w:i/>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.网上查询地址</w:t>
      </w:r>
      <w:bookmarkEnd w:id="29"/>
      <w:r>
        <w:rPr>
          <w:rFonts w:hint="eastAsia" w:ascii="宋体" w:hAnsi="宋体" w:cs="宋体"/>
          <w:color w:val="auto"/>
          <w:kern w:val="0"/>
          <w:szCs w:val="21"/>
          <w:highlight w:val="none"/>
        </w:rPr>
        <w:t>：www.ccgp.gov.cn（中国政府采购网）、zfcg.gxzf.gov.cn（广西壮族自治区政府采购网）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ztb.gxi.gov.cn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广西壮族自治区招标投标公共服务平台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、www.gigeps.com（广西投资集团电子采购平台）</w:t>
      </w:r>
    </w:p>
    <w:bookmarkEnd w:id="30"/>
    <w:p>
      <w:pPr>
        <w:spacing w:line="360" w:lineRule="auto"/>
        <w:ind w:firstLine="424" w:firstLineChars="202"/>
        <w:rPr>
          <w:rFonts w:ascii="宋体" w:hAnsi="宋体" w:cs="宋体"/>
          <w:color w:val="auto"/>
          <w:kern w:val="0"/>
          <w:szCs w:val="21"/>
          <w:highlight w:val="none"/>
        </w:rPr>
      </w:pPr>
      <w:bookmarkStart w:id="35" w:name="_Hlk37429674"/>
      <w:r>
        <w:rPr>
          <w:rFonts w:ascii="宋体" w:hAnsi="宋体"/>
          <w:color w:val="auto"/>
          <w:szCs w:val="21"/>
          <w:highlight w:val="none"/>
        </w:rPr>
        <w:t>3.</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pPr>
        <w:spacing w:line="360" w:lineRule="auto"/>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pPr>
        <w:spacing w:line="360" w:lineRule="auto"/>
        <w:ind w:firstLine="420" w:firstLineChars="200"/>
        <w:rPr>
          <w:rFonts w:ascii="宋体" w:hAnsi="宋体" w:cs="宋体"/>
          <w:iCs/>
          <w:color w:val="auto"/>
          <w:kern w:val="0"/>
          <w:szCs w:val="21"/>
          <w:highlight w:val="none"/>
        </w:rPr>
      </w:pPr>
      <w:r>
        <w:rPr>
          <w:rFonts w:ascii="宋体" w:hAnsi="宋体" w:cs="宋体"/>
          <w:iCs/>
          <w:color w:val="auto"/>
          <w:kern w:val="0"/>
          <w:szCs w:val="21"/>
          <w:highlight w:val="none"/>
        </w:rPr>
        <w:t>4</w:t>
      </w:r>
      <w:r>
        <w:rPr>
          <w:rFonts w:hint="eastAsia" w:ascii="宋体" w:hAnsi="宋体" w:cs="宋体"/>
          <w:iCs/>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iCs/>
          <w:color w:val="auto"/>
          <w:kern w:val="0"/>
          <w:szCs w:val="21"/>
          <w:highlight w:val="none"/>
        </w:rPr>
      </w:pPr>
      <w:r>
        <w:rPr>
          <w:rFonts w:ascii="宋体" w:hAnsi="宋体" w:cs="宋体"/>
          <w:iCs/>
          <w:color w:val="auto"/>
          <w:kern w:val="0"/>
          <w:szCs w:val="21"/>
          <w:highlight w:val="none"/>
        </w:rPr>
        <w:t>5</w:t>
      </w:r>
      <w:r>
        <w:rPr>
          <w:rFonts w:hint="eastAsia" w:ascii="宋体" w:hAnsi="宋体" w:cs="宋体"/>
          <w:iCs/>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宋体" w:hAnsi="宋体" w:cs="宋体"/>
          <w:iCs/>
          <w:color w:val="auto"/>
          <w:kern w:val="0"/>
          <w:szCs w:val="21"/>
          <w:highlight w:val="none"/>
        </w:rPr>
      </w:pPr>
      <w:r>
        <w:rPr>
          <w:rFonts w:ascii="宋体" w:hAnsi="宋体" w:cs="宋体"/>
          <w:iCs/>
          <w:color w:val="auto"/>
          <w:kern w:val="0"/>
          <w:szCs w:val="21"/>
          <w:highlight w:val="none"/>
        </w:rPr>
        <w:t>6</w:t>
      </w:r>
      <w:r>
        <w:rPr>
          <w:rFonts w:hint="eastAsia" w:ascii="宋体" w:hAnsi="宋体" w:cs="宋体"/>
          <w:iCs/>
          <w:color w:val="auto"/>
          <w:kern w:val="0"/>
          <w:szCs w:val="21"/>
          <w:highlight w:val="none"/>
        </w:rPr>
        <w:t>.本项目不接受未获取招标文件的投标人参与投标。</w:t>
      </w:r>
    </w:p>
    <w:bookmarkEnd w:id="35"/>
    <w:p>
      <w:pPr>
        <w:widowControl/>
        <w:spacing w:line="360" w:lineRule="auto"/>
        <w:ind w:firstLine="422" w:firstLineChars="200"/>
        <w:jc w:val="left"/>
        <w:rPr>
          <w:rFonts w:ascii="宋体" w:hAnsi="宋体"/>
          <w:b/>
          <w:color w:val="auto"/>
          <w:szCs w:val="21"/>
          <w:highlight w:val="none"/>
        </w:rPr>
      </w:pPr>
      <w:r>
        <w:rPr>
          <w:rFonts w:ascii="宋体" w:hAnsi="宋体" w:cs="宋体"/>
          <w:b/>
          <w:color w:val="auto"/>
          <w:kern w:val="0"/>
          <w:szCs w:val="21"/>
          <w:highlight w:val="none"/>
        </w:rPr>
        <w:t>7</w:t>
      </w:r>
      <w:r>
        <w:rPr>
          <w:rFonts w:hint="eastAsia" w:ascii="宋体" w:hAnsi="宋体" w:cs="宋体"/>
          <w:b/>
          <w:color w:val="auto"/>
          <w:kern w:val="0"/>
          <w:szCs w:val="21"/>
          <w:highlight w:val="none"/>
        </w:rPr>
        <w:t>.投标人</w:t>
      </w:r>
      <w:r>
        <w:rPr>
          <w:rFonts w:hint="eastAsia" w:ascii="宋体" w:hAnsi="宋体"/>
          <w:b/>
          <w:color w:val="auto"/>
          <w:szCs w:val="21"/>
          <w:highlight w:val="none"/>
        </w:rPr>
        <w:t>投标注意事项</w:t>
      </w:r>
    </w:p>
    <w:p>
      <w:pPr>
        <w:widowControl/>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（1）本项目为全流程电子化采购项目，通过“政采云”平台（https：/</w:t>
      </w:r>
      <w:r>
        <w:rPr>
          <w:rFonts w:ascii="宋体" w:hAnsi="宋体"/>
          <w:b/>
          <w:color w:val="auto"/>
          <w:szCs w:val="21"/>
          <w:highlight w:val="none"/>
        </w:rPr>
        <w:t>/www.zcygov.cn</w:t>
      </w:r>
      <w:r>
        <w:rPr>
          <w:rFonts w:hint="eastAsia" w:ascii="宋体" w:hAnsi="宋体"/>
          <w:b/>
          <w:color w:val="auto"/>
          <w:szCs w:val="21"/>
          <w:highlight w:val="none"/>
        </w:rPr>
        <w:t>）实行在线电子投标，投标人应先安装“政采云电子投标客户端”（请自行前往“政采云”平台进行下载），并按照本项目招标文件和“政采云”平台的要求编制、加密后在投标截止时间前通过网络上传至 “政采云”平台（</w:t>
      </w:r>
      <w:r>
        <w:rPr>
          <w:rFonts w:hint="eastAsia" w:ascii="宋体" w:hAnsi="宋体"/>
          <w:b/>
          <w:color w:val="auto"/>
          <w:szCs w:val="21"/>
          <w:highlight w:val="none"/>
          <w:u w:val="single"/>
        </w:rPr>
        <w:t>加密的电子投标文件是指</w:t>
      </w:r>
      <w:r>
        <w:rPr>
          <w:rFonts w:hint="eastAsia"/>
          <w:b/>
          <w:color w:val="auto"/>
          <w:highlight w:val="none"/>
          <w:u w:val="single"/>
        </w:rPr>
        <w:t>后缀名为“jm</w:t>
      </w:r>
      <w:r>
        <w:rPr>
          <w:b/>
          <w:color w:val="auto"/>
          <w:highlight w:val="none"/>
          <w:u w:val="single"/>
        </w:rPr>
        <w:t>bs</w:t>
      </w:r>
      <w:r>
        <w:rPr>
          <w:rFonts w:hint="eastAsia"/>
          <w:b/>
          <w:color w:val="auto"/>
          <w:highlight w:val="none"/>
          <w:u w:val="single"/>
        </w:rPr>
        <w:t>”的文件</w:t>
      </w:r>
      <w:r>
        <w:rPr>
          <w:rFonts w:hint="eastAsia" w:ascii="宋体" w:hAnsi="宋体"/>
          <w:b/>
          <w:color w:val="auto"/>
          <w:szCs w:val="21"/>
          <w:highlight w:val="none"/>
        </w:rPr>
        <w:t>），投标人在“政采云”平台提交电子投标文件时，请填写参加远程开标活动经办人联系方式。投标人登录“政采云”平台，依次进入“服务中心-项目采购-操作流程-电子招投标-</w:t>
      </w:r>
      <w:r>
        <w:rPr>
          <w:b/>
          <w:color w:val="auto"/>
          <w:highlight w:val="none"/>
        </w:rPr>
        <w:t>政府采购项目电子交易管理操作指南-供应商</w:t>
      </w:r>
      <w:r>
        <w:rPr>
          <w:rFonts w:hint="eastAsia" w:ascii="宋体" w:hAnsi="宋体"/>
          <w:b/>
          <w:color w:val="auto"/>
          <w:szCs w:val="21"/>
          <w:highlight w:val="none"/>
        </w:rPr>
        <w:t>”查看电子投标具体操作流程。</w:t>
      </w:r>
    </w:p>
    <w:p>
      <w:pPr>
        <w:widowControl/>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陆</w:t>
      </w:r>
      <w:r>
        <w:rPr>
          <w:rFonts w:hint="eastAsia" w:ascii="宋体" w:hAnsi="宋体" w:cs="宋体"/>
          <w:b/>
          <w:color w:val="auto"/>
          <w:kern w:val="0"/>
          <w:szCs w:val="21"/>
          <w:highlight w:val="none"/>
        </w:rPr>
        <w:t>“政采云”平台，</w:t>
      </w:r>
      <w:r>
        <w:rPr>
          <w:rFonts w:hint="eastAsia" w:ascii="宋体" w:hAnsi="宋体"/>
          <w:b/>
          <w:color w:val="auto"/>
          <w:szCs w:val="21"/>
          <w:highlight w:val="none"/>
        </w:rPr>
        <w:t>依次进入“服务中心-入驻与配置”中查看CA数字证书办理操作流程。</w:t>
      </w:r>
      <w:r>
        <w:rPr>
          <w:rFonts w:hint="eastAsia" w:ascii="宋体" w:hAnsi="宋体" w:cs="宋体"/>
          <w:b/>
          <w:bCs/>
          <w:color w:val="auto"/>
          <w:kern w:val="0"/>
          <w:szCs w:val="21"/>
          <w:highlight w:val="none"/>
        </w:rPr>
        <w:t>如在操作过程中遇到问题或者需要技术支持，请致电政采云客服热线：400-881-7190</w:t>
      </w:r>
      <w:r>
        <w:rPr>
          <w:rFonts w:hint="eastAsia" w:ascii="宋体" w:hAnsi="宋体"/>
          <w:b/>
          <w:color w:val="auto"/>
          <w:szCs w:val="21"/>
          <w:highlight w:val="none"/>
        </w:rPr>
        <w:t>）。</w:t>
      </w:r>
    </w:p>
    <w:p>
      <w:pPr>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（3）CA证书在线解密：投标人投标时，需凭制作投标文件时用来加密的有效数字证书（CA认证）登录“政采云”平台电子开标大厅现场按规定时间对加密的投标文件进行解密，否则后果自负。</w:t>
      </w:r>
    </w:p>
    <w:p>
      <w:pPr>
        <w:spacing w:line="360" w:lineRule="auto"/>
        <w:ind w:firstLine="426" w:firstLineChars="202"/>
        <w:rPr>
          <w:rFonts w:ascii="宋体" w:hAnsi="宋体"/>
          <w:b/>
          <w:color w:val="auto"/>
          <w:szCs w:val="21"/>
          <w:highlight w:val="none"/>
        </w:rPr>
      </w:pPr>
      <w:r>
        <w:rPr>
          <w:rFonts w:hint="eastAsia" w:ascii="宋体" w:hAnsi="宋体"/>
          <w:b/>
          <w:color w:val="auto"/>
          <w:szCs w:val="21"/>
          <w:highlight w:val="none"/>
        </w:rPr>
        <w:t>注：</w:t>
      </w:r>
    </w:p>
    <w:p>
      <w:pPr>
        <w:spacing w:line="360" w:lineRule="auto"/>
        <w:ind w:firstLine="426" w:firstLineChars="202"/>
        <w:rPr>
          <w:rFonts w:ascii="宋体" w:hAnsi="宋体"/>
          <w:b/>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 1 \* GB3</w:instrText>
      </w:r>
      <w:r>
        <w:rPr>
          <w:rFonts w:ascii="宋体" w:hAnsi="宋体"/>
          <w:b/>
          <w:color w:val="auto"/>
          <w:szCs w:val="21"/>
          <w:highlight w:val="none"/>
        </w:rPr>
        <w:instrText xml:space="preserve"> </w:instrText>
      </w:r>
      <w:r>
        <w:rPr>
          <w:rFonts w:ascii="宋体" w:hAnsi="宋体"/>
          <w:b/>
          <w:color w:val="auto"/>
          <w:szCs w:val="21"/>
          <w:highlight w:val="none"/>
        </w:rPr>
        <w:fldChar w:fldCharType="separate"/>
      </w:r>
      <w:r>
        <w:rPr>
          <w:rFonts w:hint="eastAsia" w:ascii="宋体" w:hAnsi="宋体"/>
          <w:b/>
          <w:color w:val="auto"/>
          <w:szCs w:val="21"/>
          <w:highlight w:val="none"/>
        </w:rPr>
        <w:t>①</w:t>
      </w:r>
      <w:r>
        <w:rPr>
          <w:rFonts w:ascii="宋体" w:hAnsi="宋体"/>
          <w:b/>
          <w:color w:val="auto"/>
          <w:szCs w:val="21"/>
          <w:highlight w:val="none"/>
        </w:rPr>
        <w:fldChar w:fldCharType="end"/>
      </w:r>
      <w:r>
        <w:rPr>
          <w:rFonts w:hint="eastAsia" w:ascii="宋体" w:hAnsi="宋体"/>
          <w:b/>
          <w:color w:val="auto"/>
          <w:szCs w:val="21"/>
          <w:highlight w:val="none"/>
        </w:rPr>
        <w:t>为确保网上操作合法、有效和安全，请投标人确保在电子投标过程中能够对相关数据电文进行加密和使用电子签章，妥善保管C</w:t>
      </w:r>
      <w:r>
        <w:rPr>
          <w:rFonts w:ascii="宋体" w:hAnsi="宋体"/>
          <w:b/>
          <w:color w:val="auto"/>
          <w:szCs w:val="21"/>
          <w:highlight w:val="none"/>
        </w:rPr>
        <w:t>A</w:t>
      </w:r>
      <w:r>
        <w:rPr>
          <w:rFonts w:hint="eastAsia" w:ascii="宋体" w:hAnsi="宋体"/>
          <w:b/>
          <w:color w:val="auto"/>
          <w:szCs w:val="21"/>
          <w:highlight w:val="none"/>
        </w:rPr>
        <w:t>数字证书并使用有效的CA数字证书参与整个招标活动。</w:t>
      </w:r>
    </w:p>
    <w:p>
      <w:pPr>
        <w:spacing w:line="360" w:lineRule="auto"/>
        <w:ind w:firstLine="426" w:firstLineChars="202"/>
        <w:rPr>
          <w:rFonts w:ascii="宋体" w:hAnsi="宋体"/>
          <w:b/>
          <w:bCs/>
          <w:color w:val="auto"/>
          <w:szCs w:val="21"/>
          <w:highlight w:val="none"/>
        </w:rPr>
      </w:pPr>
      <w:r>
        <w:rPr>
          <w:rFonts w:ascii="宋体" w:hAnsi="宋体"/>
          <w:b/>
          <w:color w:val="auto"/>
          <w:szCs w:val="21"/>
          <w:highlight w:val="none"/>
        </w:rPr>
        <w:fldChar w:fldCharType="begin"/>
      </w:r>
      <w:r>
        <w:rPr>
          <w:rFonts w:ascii="宋体" w:hAnsi="宋体"/>
          <w:b/>
          <w:color w:val="auto"/>
          <w:szCs w:val="21"/>
          <w:highlight w:val="none"/>
        </w:rPr>
        <w:instrText xml:space="preserve"> </w:instrText>
      </w:r>
      <w:r>
        <w:rPr>
          <w:rFonts w:hint="eastAsia" w:ascii="宋体" w:hAnsi="宋体"/>
          <w:b/>
          <w:color w:val="auto"/>
          <w:szCs w:val="21"/>
          <w:highlight w:val="none"/>
        </w:rPr>
        <w:instrText xml:space="preserve">= 2 \* GB3</w:instrText>
      </w:r>
      <w:r>
        <w:rPr>
          <w:rFonts w:ascii="宋体" w:hAnsi="宋体"/>
          <w:b/>
          <w:color w:val="auto"/>
          <w:szCs w:val="21"/>
          <w:highlight w:val="none"/>
        </w:rPr>
        <w:instrText xml:space="preserve"> </w:instrText>
      </w:r>
      <w:r>
        <w:rPr>
          <w:rFonts w:ascii="宋体" w:hAnsi="宋体"/>
          <w:b/>
          <w:color w:val="auto"/>
          <w:szCs w:val="21"/>
          <w:highlight w:val="none"/>
        </w:rPr>
        <w:fldChar w:fldCharType="separate"/>
      </w:r>
      <w:r>
        <w:rPr>
          <w:rFonts w:hint="eastAsia" w:ascii="宋体" w:hAnsi="宋体"/>
          <w:b/>
          <w:color w:val="auto"/>
          <w:szCs w:val="21"/>
          <w:highlight w:val="none"/>
        </w:rPr>
        <w:t>②</w:t>
      </w:r>
      <w:r>
        <w:rPr>
          <w:rFonts w:ascii="宋体" w:hAnsi="宋体"/>
          <w:b/>
          <w:color w:val="auto"/>
          <w:szCs w:val="21"/>
          <w:highlight w:val="none"/>
        </w:rPr>
        <w:fldChar w:fldCharType="end"/>
      </w:r>
      <w:r>
        <w:rPr>
          <w:rFonts w:hint="eastAsia" w:ascii="宋体" w:hAnsi="宋体"/>
          <w:b/>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pPr>
        <w:spacing w:line="360" w:lineRule="auto"/>
        <w:ind w:firstLine="424" w:firstLineChars="202"/>
        <w:rPr>
          <w:rFonts w:ascii="宋体" w:hAnsi="宋体"/>
          <w:color w:val="auto"/>
          <w:szCs w:val="21"/>
          <w:highlight w:val="none"/>
        </w:rPr>
      </w:pPr>
      <w:r>
        <w:rPr>
          <w:rFonts w:ascii="宋体" w:hAnsi="宋体"/>
          <w:bCs/>
          <w:color w:val="auto"/>
          <w:szCs w:val="21"/>
          <w:highlight w:val="none"/>
        </w:rPr>
        <w:t>8.</w:t>
      </w:r>
      <w:r>
        <w:rPr>
          <w:rFonts w:hint="eastAsia" w:ascii="宋体" w:hAnsi="宋体"/>
          <w:color w:val="auto"/>
          <w:szCs w:val="21"/>
          <w:highlight w:val="none"/>
        </w:rPr>
        <w:t>CA证书在线解密：供应商投标时，需携带制作投标文件时用来加密的有效数字证书（CA认证）登录“政采云”平台电子开标大厅现场按规定时间对加密的投标文件进行解密，否则后果自负。</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9.</w:t>
      </w:r>
      <w:r>
        <w:rPr>
          <w:rFonts w:hint="eastAsia"/>
          <w:color w:val="auto"/>
          <w:highlight w:val="none"/>
        </w:rPr>
        <w:t xml:space="preserve"> </w:t>
      </w:r>
      <w:r>
        <w:rPr>
          <w:rFonts w:hint="eastAsia" w:ascii="宋体" w:hAnsi="宋体"/>
          <w:color w:val="auto"/>
          <w:szCs w:val="21"/>
          <w:highlight w:val="none"/>
        </w:rPr>
        <w:t>若对项目采购电子交易系统操作有疑问，可登录“政采云”平台（https://www.zcygov.cn/），点击右侧咨询小采，获取采小蜜智能服务管家帮助，或拨打政采云服务热线 400-881-7190 获取热线服务帮助。</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1"/>
      <w:bookmarkEnd w:id="32"/>
      <w:bookmarkEnd w:id="33"/>
      <w:bookmarkEnd w:id="34"/>
    </w:p>
    <w:p>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1.采购人信息</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 xml:space="preserve"> 广西壮族自治区收费公路联网收费清分结算中心</w:t>
      </w:r>
    </w:p>
    <w:p>
      <w:pPr>
        <w:spacing w:line="360" w:lineRule="auto"/>
        <w:ind w:firstLine="424" w:firstLineChars="202"/>
        <w:jc w:val="left"/>
        <w:rPr>
          <w:rFonts w:ascii="宋体" w:hAnsi="宋体"/>
          <w:color w:val="auto"/>
          <w:szCs w:val="21"/>
          <w:highlight w:val="none"/>
        </w:rPr>
      </w:pPr>
      <w:r>
        <w:rPr>
          <w:rFonts w:hint="eastAsia" w:ascii="宋体" w:hAnsi="宋体"/>
          <w:color w:val="auto"/>
          <w:szCs w:val="21"/>
          <w:highlight w:val="none"/>
        </w:rPr>
        <w:t>地 址：南宁市滨湖路66号公路大厦</w:t>
      </w:r>
    </w:p>
    <w:p>
      <w:pPr>
        <w:spacing w:line="360" w:lineRule="auto"/>
        <w:ind w:firstLine="424" w:firstLineChars="202"/>
        <w:jc w:val="left"/>
        <w:rPr>
          <w:rFonts w:ascii="宋体" w:hAnsi="宋体"/>
          <w:color w:val="auto"/>
          <w:szCs w:val="21"/>
          <w:highlight w:val="none"/>
          <w:u w:val="single"/>
        </w:rPr>
      </w:pPr>
      <w:r>
        <w:rPr>
          <w:rFonts w:hint="eastAsia" w:ascii="宋体" w:hAnsi="宋体"/>
          <w:color w:val="auto"/>
          <w:szCs w:val="21"/>
          <w:highlight w:val="none"/>
        </w:rPr>
        <w:t>联系方式：</w:t>
      </w:r>
      <w:bookmarkStart w:id="36" w:name="_Toc28359009"/>
      <w:bookmarkStart w:id="37" w:name="_Toc28359086"/>
      <w:r>
        <w:rPr>
          <w:rFonts w:hint="eastAsia" w:ascii="宋体" w:hAnsi="宋体" w:cs="宋体"/>
          <w:color w:val="auto"/>
          <w:szCs w:val="21"/>
          <w:highlight w:val="none"/>
          <w:lang w:val="en-US" w:eastAsia="zh-CN"/>
        </w:rPr>
        <w:t>梁工</w:t>
      </w:r>
      <w:r>
        <w:rPr>
          <w:rFonts w:hint="eastAsia" w:ascii="宋体" w:hAnsi="宋体"/>
          <w:color w:val="auto"/>
          <w:szCs w:val="21"/>
          <w:highlight w:val="none"/>
        </w:rPr>
        <w:t>，</w:t>
      </w:r>
      <w:r>
        <w:rPr>
          <w:rFonts w:hint="eastAsia" w:ascii="宋体" w:hAnsi="宋体" w:cs="宋体"/>
          <w:color w:val="auto"/>
          <w:szCs w:val="21"/>
          <w:highlight w:val="none"/>
        </w:rPr>
        <w:t>0771-2115953</w:t>
      </w:r>
    </w:p>
    <w:p>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2.采购代理机构信息</w:t>
      </w:r>
      <w:bookmarkEnd w:id="36"/>
      <w:bookmarkEnd w:id="37"/>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广西投资集团咨询有限公司</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南宁市良庆区飞云路6号GIG广投数字经济示范基地9楼</w:t>
      </w:r>
    </w:p>
    <w:p>
      <w:pPr>
        <w:spacing w:line="360" w:lineRule="auto"/>
        <w:ind w:firstLine="424" w:firstLineChars="202"/>
        <w:rPr>
          <w:rFonts w:hint="default" w:ascii="宋体" w:hAnsi="宋体" w:eastAsia="宋体"/>
          <w:color w:val="auto"/>
          <w:szCs w:val="21"/>
          <w:highlight w:val="none"/>
          <w:lang w:val="en-US" w:eastAsia="zh-CN"/>
        </w:rPr>
      </w:pPr>
      <w:r>
        <w:rPr>
          <w:rFonts w:hint="eastAsia" w:ascii="宋体" w:hAnsi="宋体"/>
          <w:color w:val="auto"/>
          <w:szCs w:val="21"/>
          <w:highlight w:val="none"/>
        </w:rPr>
        <w:t>联系方式：</w:t>
      </w:r>
      <w:bookmarkStart w:id="38" w:name="_Toc28359087"/>
      <w:bookmarkStart w:id="39" w:name="_Toc28359010"/>
      <w:r>
        <w:rPr>
          <w:rFonts w:hint="eastAsia" w:ascii="宋体" w:hAnsi="宋体"/>
          <w:color w:val="auto"/>
          <w:szCs w:val="21"/>
          <w:highlight w:val="none"/>
          <w:u w:val="single"/>
        </w:rPr>
        <w:t>冯坚、</w:t>
      </w:r>
      <w:r>
        <w:rPr>
          <w:rFonts w:hint="eastAsia" w:ascii="宋体" w:hAnsi="宋体"/>
          <w:color w:val="auto"/>
          <w:szCs w:val="21"/>
          <w:highlight w:val="none"/>
          <w:u w:val="single"/>
          <w:lang w:val="en-US" w:eastAsia="zh-CN"/>
        </w:rPr>
        <w:t>胡冷希</w:t>
      </w:r>
      <w:r>
        <w:rPr>
          <w:rFonts w:hint="eastAsia" w:ascii="宋体" w:hAnsi="宋体"/>
          <w:color w:val="auto"/>
          <w:szCs w:val="21"/>
          <w:highlight w:val="none"/>
          <w:u w:val="single"/>
        </w:rPr>
        <w:t>，0771-</w:t>
      </w:r>
      <w:r>
        <w:rPr>
          <w:rFonts w:ascii="宋体" w:hAnsi="宋体"/>
          <w:color w:val="auto"/>
          <w:szCs w:val="21"/>
          <w:highlight w:val="none"/>
          <w:u w:val="single"/>
        </w:rPr>
        <w:t>58971</w:t>
      </w:r>
      <w:r>
        <w:rPr>
          <w:rFonts w:hint="eastAsia" w:ascii="宋体" w:hAnsi="宋体"/>
          <w:color w:val="auto"/>
          <w:szCs w:val="21"/>
          <w:highlight w:val="none"/>
          <w:u w:val="single"/>
        </w:rPr>
        <w:t>93、</w:t>
      </w:r>
      <w:r>
        <w:rPr>
          <w:rFonts w:ascii="宋体" w:hAnsi="宋体"/>
          <w:color w:val="auto"/>
          <w:szCs w:val="21"/>
          <w:highlight w:val="none"/>
          <w:u w:val="single"/>
        </w:rPr>
        <w:t>58971</w:t>
      </w:r>
      <w:r>
        <w:rPr>
          <w:rFonts w:hint="eastAsia" w:ascii="宋体" w:hAnsi="宋体"/>
          <w:color w:val="auto"/>
          <w:szCs w:val="21"/>
          <w:highlight w:val="none"/>
          <w:u w:val="single"/>
          <w:lang w:val="en-US" w:eastAsia="zh-CN"/>
        </w:rPr>
        <w:t>69</w:t>
      </w:r>
    </w:p>
    <w:p>
      <w:pPr>
        <w:spacing w:line="360" w:lineRule="auto"/>
        <w:ind w:firstLine="424" w:firstLineChars="202"/>
        <w:rPr>
          <w:rFonts w:ascii="宋体" w:hAnsi="宋体"/>
          <w:color w:val="auto"/>
          <w:szCs w:val="21"/>
          <w:highlight w:val="none"/>
          <w:u w:val="single"/>
        </w:rPr>
      </w:pPr>
      <w:r>
        <w:rPr>
          <w:rFonts w:hint="eastAsia" w:ascii="宋体" w:hAnsi="宋体" w:cs="宋体"/>
          <w:color w:val="auto"/>
          <w:szCs w:val="21"/>
          <w:highlight w:val="none"/>
        </w:rPr>
        <w:t>3.项目</w:t>
      </w:r>
      <w:r>
        <w:rPr>
          <w:rFonts w:ascii="宋体" w:hAnsi="宋体" w:cs="宋体"/>
          <w:color w:val="auto"/>
          <w:szCs w:val="21"/>
          <w:highlight w:val="none"/>
        </w:rPr>
        <w:t>联系方式</w:t>
      </w:r>
      <w:bookmarkEnd w:id="38"/>
      <w:bookmarkEnd w:id="39"/>
    </w:p>
    <w:p>
      <w:pPr>
        <w:pStyle w:val="23"/>
        <w:spacing w:line="360" w:lineRule="auto"/>
        <w:ind w:firstLine="424" w:firstLineChars="202"/>
        <w:rPr>
          <w:rFonts w:hint="eastAsia" w:hAnsi="宋体" w:eastAsia="宋体"/>
          <w:color w:val="auto"/>
          <w:sz w:val="21"/>
          <w:highlight w:val="none"/>
          <w:lang w:eastAsia="zh-CN"/>
        </w:rPr>
      </w:pPr>
      <w:r>
        <w:rPr>
          <w:rFonts w:hint="eastAsia" w:hAnsi="宋体"/>
          <w:color w:val="auto"/>
          <w:sz w:val="21"/>
          <w:highlight w:val="none"/>
        </w:rPr>
        <w:t>项目联系人：</w:t>
      </w:r>
      <w:r>
        <w:rPr>
          <w:rFonts w:hint="eastAsia" w:hAnsi="宋体"/>
          <w:color w:val="auto"/>
          <w:sz w:val="21"/>
          <w:highlight w:val="none"/>
          <w:u w:val="single"/>
        </w:rPr>
        <w:t>冯坚</w:t>
      </w:r>
    </w:p>
    <w:p>
      <w:pPr>
        <w:spacing w:line="360" w:lineRule="auto"/>
        <w:ind w:firstLine="424" w:firstLineChars="202"/>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电 话：</w:t>
      </w:r>
      <w:r>
        <w:rPr>
          <w:rFonts w:hint="eastAsia" w:ascii="宋体" w:hAnsi="宋体"/>
          <w:color w:val="auto"/>
          <w:szCs w:val="21"/>
          <w:highlight w:val="none"/>
          <w:u w:val="single"/>
        </w:rPr>
        <w:t>0771-5897193</w:t>
      </w:r>
      <w:bookmarkStart w:id="161" w:name="_GoBack"/>
      <w:bookmarkEnd w:id="161"/>
    </w:p>
    <w:p>
      <w:pPr>
        <w:pStyle w:val="4"/>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r>
        <w:rPr>
          <w:rFonts w:ascii="仿宋_GB2312" w:hAnsi="宋体" w:eastAsia="仿宋_GB2312"/>
          <w:color w:val="auto"/>
          <w:sz w:val="24"/>
          <w:szCs w:val="20"/>
          <w:highlight w:val="none"/>
        </w:rPr>
        <w:br w:type="page"/>
      </w:r>
      <w:bookmarkStart w:id="40" w:name="_Toc100653790"/>
      <w:r>
        <w:rPr>
          <w:rFonts w:hint="eastAsia"/>
          <w:color w:val="auto"/>
          <w:highlight w:val="none"/>
        </w:rPr>
        <w:t>第二章  采购需求</w:t>
      </w:r>
    </w:p>
    <w:p>
      <w:pPr>
        <w:spacing w:line="360" w:lineRule="auto"/>
        <w:jc w:val="left"/>
        <w:rPr>
          <w:rFonts w:ascii="宋体" w:hAnsi="宋体" w:cs="宋体"/>
          <w:color w:val="auto"/>
          <w:szCs w:val="21"/>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olor w:val="auto"/>
          <w:highlight w:val="none"/>
        </w:rPr>
      </w:pPr>
      <w:r>
        <w:rPr>
          <w:rFonts w:ascii="宋体" w:hAnsi="宋体"/>
          <w:color w:val="auto"/>
          <w:highlight w:val="none"/>
        </w:rPr>
        <w:t>1.</w:t>
      </w:r>
      <w:r>
        <w:rPr>
          <w:rFonts w:hint="eastAsia" w:ascii="宋体" w:hAnsi="宋体"/>
          <w:color w:val="auto"/>
          <w:highlight w:val="none"/>
        </w:rPr>
        <w:t>为落实政府采购政策需满足的要求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r>
        <w:rPr>
          <w:rFonts w:hint="eastAsia" w:ascii="宋体" w:hAnsi="宋体" w:cs="宋体"/>
          <w:b/>
          <w:color w:val="auto"/>
          <w:szCs w:val="21"/>
          <w:highlight w:val="none"/>
        </w:rPr>
        <w:t>本项目凡标注“▲”的条款或要求不响应或不满足的，投标文件即作无效投标处理。</w:t>
      </w:r>
    </w:p>
    <w:p>
      <w:pPr>
        <w:spacing w:line="360" w:lineRule="auto"/>
        <w:ind w:firstLine="308" w:firstLineChars="147"/>
        <w:jc w:val="left"/>
        <w:rPr>
          <w:color w:val="auto"/>
          <w:highlight w:val="none"/>
        </w:rPr>
      </w:pPr>
      <w:r>
        <w:rPr>
          <w:rFonts w:ascii="宋体" w:hAnsi="宋体" w:cs="宋体"/>
          <w:color w:val="auto"/>
          <w:szCs w:val="21"/>
          <w:highlight w:val="none"/>
        </w:rPr>
        <w:t>3.</w:t>
      </w:r>
      <w:r>
        <w:rPr>
          <w:rFonts w:hint="eastAsia"/>
          <w:color w:val="auto"/>
          <w:highlight w:val="none"/>
        </w:rPr>
        <w:t>投标人</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p>
    <w:p>
      <w:pPr>
        <w:spacing w:line="360" w:lineRule="auto"/>
        <w:ind w:firstLine="308" w:firstLineChars="147"/>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b/>
          <w:color w:val="auto"/>
          <w:szCs w:val="21"/>
          <w:highlight w:val="none"/>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pPr>
        <w:spacing w:line="380" w:lineRule="exact"/>
        <w:ind w:firstLine="424" w:firstLineChars="202"/>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.所属行业依照《中小企业划型标准规定》（工信部联企业〔2011〕300号）及《国民经济行业分类》（GB/T4754-2017）的有关规定执行。</w:t>
      </w:r>
    </w:p>
    <w:p>
      <w:pPr>
        <w:spacing w:line="360" w:lineRule="atLeast"/>
        <w:ind w:firstLine="426" w:firstLineChars="202"/>
        <w:jc w:val="left"/>
        <w:rPr>
          <w:rFonts w:ascii="宋体" w:hAnsi="宋体"/>
          <w:b/>
          <w:color w:val="auto"/>
          <w:szCs w:val="21"/>
          <w:highlight w:val="none"/>
          <w:u w:val="single"/>
        </w:rPr>
      </w:pPr>
      <w:r>
        <w:rPr>
          <w:rFonts w:ascii="宋体" w:hAnsi="宋体"/>
          <w:b/>
          <w:color w:val="auto"/>
          <w:szCs w:val="21"/>
          <w:highlight w:val="none"/>
        </w:rPr>
        <w:t>6.</w:t>
      </w:r>
      <w:r>
        <w:rPr>
          <w:rFonts w:hint="eastAsia" w:ascii="宋体" w:hAnsi="宋体"/>
          <w:b/>
          <w:color w:val="auto"/>
          <w:szCs w:val="21"/>
          <w:highlight w:val="none"/>
          <w:u w:val="single"/>
        </w:rPr>
        <w:t>本项目采购需求表中要求提供的文件材料或承诺书，请在《技术要求偏离表》或《商务要求偏离表》中应答时，注明相关文件材料或承诺书放置的页码。</w:t>
      </w:r>
    </w:p>
    <w:p>
      <w:pPr>
        <w:spacing w:line="360" w:lineRule="atLeast"/>
        <w:ind w:firstLine="426" w:firstLineChars="202"/>
        <w:jc w:val="left"/>
        <w:rPr>
          <w:rFonts w:ascii="宋体" w:hAnsi="宋体"/>
          <w:b/>
          <w:color w:val="auto"/>
          <w:szCs w:val="21"/>
          <w:highlight w:val="none"/>
          <w:u w:val="single"/>
        </w:rPr>
      </w:pPr>
    </w:p>
    <w:p>
      <w:pPr>
        <w:widowControl/>
        <w:rPr>
          <w:rFonts w:ascii="宋体" w:hAnsi="宋体" w:cs="宋体"/>
          <w:color w:val="auto"/>
          <w:sz w:val="20"/>
          <w:szCs w:val="20"/>
          <w:highlight w:val="none"/>
        </w:rPr>
      </w:pPr>
    </w:p>
    <w:p>
      <w:pPr>
        <w:widowControl/>
        <w:jc w:val="center"/>
        <w:rPr>
          <w:rFonts w:ascii="宋体" w:hAnsi="宋体"/>
          <w:b/>
          <w:bCs/>
          <w:color w:val="auto"/>
          <w:sz w:val="30"/>
          <w:szCs w:val="30"/>
          <w:highlight w:val="none"/>
        </w:rPr>
      </w:pPr>
      <w:r>
        <w:rPr>
          <w:rFonts w:hint="eastAsia" w:ascii="宋体" w:hAnsi="宋体"/>
          <w:b/>
          <w:bCs/>
          <w:color w:val="auto"/>
          <w:sz w:val="30"/>
          <w:szCs w:val="30"/>
          <w:highlight w:val="none"/>
        </w:rPr>
        <w:t>采购需求</w:t>
      </w:r>
    </w:p>
    <w:p>
      <w:pPr>
        <w:snapToGrid w:val="0"/>
        <w:spacing w:line="320" w:lineRule="exact"/>
        <w:ind w:firstLine="420" w:firstLineChars="200"/>
        <w:rPr>
          <w:rFonts w:ascii="宋体" w:hAnsi="宋体" w:cs="Arial"/>
          <w:color w:val="auto"/>
          <w:szCs w:val="21"/>
          <w:highlight w:val="none"/>
        </w:rPr>
      </w:pPr>
    </w:p>
    <w:tbl>
      <w:tblPr>
        <w:tblStyle w:val="4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74"/>
        <w:gridCol w:w="1320"/>
        <w:gridCol w:w="1155"/>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olor w:val="auto"/>
                <w:sz w:val="21"/>
                <w:highlight w:val="none"/>
              </w:rPr>
              <w:t>序号</w:t>
            </w:r>
          </w:p>
        </w:tc>
        <w:tc>
          <w:tcPr>
            <w:tcW w:w="2674"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olor w:val="auto"/>
                <w:sz w:val="21"/>
                <w:highlight w:val="none"/>
              </w:rPr>
              <w:t>项目名称</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3779"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s="宋体"/>
                <w:color w:val="auto"/>
                <w:sz w:val="21"/>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olor w:val="auto"/>
                <w:sz w:val="21"/>
                <w:highlight w:val="none"/>
              </w:rPr>
              <w:t>1</w:t>
            </w:r>
          </w:p>
        </w:tc>
        <w:tc>
          <w:tcPr>
            <w:tcW w:w="2674" w:type="dxa"/>
            <w:tcBorders>
              <w:top w:val="single" w:color="auto" w:sz="4" w:space="0"/>
              <w:left w:val="single" w:color="auto" w:sz="4" w:space="0"/>
              <w:bottom w:val="single" w:color="auto" w:sz="4" w:space="0"/>
              <w:right w:val="single" w:color="auto" w:sz="4" w:space="0"/>
            </w:tcBorders>
            <w:vAlign w:val="center"/>
          </w:tcPr>
          <w:p>
            <w:pPr>
              <w:pStyle w:val="23"/>
              <w:jc w:val="center"/>
              <w:rPr>
                <w:rFonts w:hint="eastAsia" w:hAnsi="宋体" w:eastAsia="宋体"/>
                <w:color w:val="auto"/>
                <w:sz w:val="21"/>
                <w:highlight w:val="none"/>
                <w:lang w:eastAsia="zh-CN"/>
              </w:rPr>
            </w:pPr>
            <w:r>
              <w:rPr>
                <w:rFonts w:hint="eastAsia" w:hAnsi="宋体"/>
                <w:color w:val="auto"/>
                <w:sz w:val="21"/>
                <w:highlight w:val="none"/>
                <w:lang w:eastAsia="zh-CN"/>
              </w:rPr>
              <w:t>广西ETC门架系统运维服务</w:t>
            </w:r>
          </w:p>
        </w:tc>
        <w:tc>
          <w:tcPr>
            <w:tcW w:w="1320"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olor w:val="auto"/>
                <w:sz w:val="21"/>
                <w:highlight w:val="none"/>
              </w:rPr>
              <w:t>1</w:t>
            </w:r>
          </w:p>
        </w:tc>
        <w:tc>
          <w:tcPr>
            <w:tcW w:w="1155" w:type="dxa"/>
            <w:tcBorders>
              <w:top w:val="single" w:color="auto" w:sz="4" w:space="0"/>
              <w:left w:val="single" w:color="auto" w:sz="4" w:space="0"/>
              <w:bottom w:val="single" w:color="auto" w:sz="4" w:space="0"/>
              <w:right w:val="single" w:color="auto" w:sz="4" w:space="0"/>
            </w:tcBorders>
            <w:vAlign w:val="center"/>
          </w:tcPr>
          <w:p>
            <w:pPr>
              <w:pStyle w:val="23"/>
              <w:jc w:val="center"/>
              <w:rPr>
                <w:rFonts w:hAnsi="宋体"/>
                <w:color w:val="auto"/>
                <w:sz w:val="21"/>
                <w:highlight w:val="none"/>
              </w:rPr>
            </w:pPr>
            <w:r>
              <w:rPr>
                <w:rFonts w:hint="eastAsia" w:hAnsi="宋体"/>
                <w:color w:val="auto"/>
                <w:sz w:val="21"/>
                <w:highlight w:val="none"/>
              </w:rPr>
              <w:t>项</w:t>
            </w:r>
          </w:p>
        </w:tc>
        <w:tc>
          <w:tcPr>
            <w:tcW w:w="3779" w:type="dxa"/>
            <w:tcBorders>
              <w:top w:val="single" w:color="auto" w:sz="4" w:space="0"/>
              <w:left w:val="single" w:color="auto" w:sz="4" w:space="0"/>
              <w:bottom w:val="single" w:color="auto" w:sz="4" w:space="0"/>
              <w:right w:val="single" w:color="auto" w:sz="4" w:space="0"/>
            </w:tcBorders>
            <w:vAlign w:val="center"/>
          </w:tcPr>
          <w:p>
            <w:pPr>
              <w:pStyle w:val="23"/>
              <w:jc w:val="left"/>
              <w:rPr>
                <w:rFonts w:hAnsi="宋体"/>
                <w:color w:val="auto"/>
                <w:sz w:val="21"/>
                <w:highlight w:val="none"/>
              </w:rPr>
            </w:pPr>
            <w:r>
              <w:rPr>
                <w:rFonts w:hint="eastAsia" w:hAnsi="宋体"/>
                <w:color w:val="auto"/>
                <w:sz w:val="21"/>
                <w:highlight w:val="none"/>
              </w:rPr>
              <w:t>具体参数详见附件。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62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315" w:hanging="315" w:hangingChars="150"/>
              <w:rPr>
                <w:rFonts w:ascii="宋体" w:hAnsi="宋体"/>
                <w:color w:val="auto"/>
                <w:szCs w:val="21"/>
                <w:highlight w:val="none"/>
              </w:rPr>
            </w:pPr>
            <w:r>
              <w:rPr>
                <w:rFonts w:hint="eastAsia" w:ascii="宋体" w:hAnsi="宋体"/>
                <w:color w:val="auto"/>
                <w:szCs w:val="21"/>
                <w:highlight w:val="none"/>
              </w:rPr>
              <w:t>1、投标人必须在投标文件中提供</w:t>
            </w:r>
            <w:r>
              <w:rPr>
                <w:rFonts w:hint="eastAsia" w:ascii="宋体" w:hAnsi="宋体"/>
                <w:b/>
                <w:color w:val="auto"/>
                <w:szCs w:val="21"/>
                <w:highlight w:val="none"/>
              </w:rPr>
              <w:t>详细的服务方案和技术方案</w:t>
            </w:r>
            <w:r>
              <w:rPr>
                <w:rFonts w:hint="eastAsia" w:ascii="宋体" w:hAnsi="宋体"/>
                <w:bCs/>
                <w:color w:val="auto"/>
                <w:szCs w:val="21"/>
                <w:highlight w:val="none"/>
              </w:rPr>
              <w:t>（含技术方案、服务组织安排、进度控制、售后服务承诺等）</w:t>
            </w:r>
            <w:r>
              <w:rPr>
                <w:rFonts w:hint="eastAsia" w:ascii="宋体" w:hAnsi="宋体"/>
                <w:color w:val="auto"/>
                <w:szCs w:val="21"/>
                <w:highlight w:val="none"/>
              </w:rPr>
              <w:t xml:space="preserve">。 </w:t>
            </w:r>
          </w:p>
          <w:p>
            <w:pPr>
              <w:snapToGrid w:val="0"/>
              <w:spacing w:line="320" w:lineRule="exact"/>
              <w:ind w:left="315" w:hanging="315" w:hangingChars="150"/>
              <w:rPr>
                <w:rFonts w:ascii="宋体" w:hAnsi="宋体"/>
                <w:bCs/>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 xml:space="preserve">本项目服务期：从签订合同之日起服务1年。 </w:t>
            </w:r>
          </w:p>
          <w:p>
            <w:pPr>
              <w:snapToGrid w:val="0"/>
              <w:spacing w:line="320" w:lineRule="exact"/>
              <w:ind w:left="315" w:hanging="315" w:hangingChars="150"/>
              <w:rPr>
                <w:rFonts w:ascii="宋体" w:hAnsi="宋体"/>
                <w:bCs/>
                <w:color w:val="auto"/>
                <w:szCs w:val="21"/>
                <w:highlight w:val="none"/>
              </w:rPr>
            </w:pPr>
            <w:r>
              <w:rPr>
                <w:rFonts w:hint="eastAsia" w:ascii="宋体" w:hAnsi="宋体"/>
                <w:bCs/>
                <w:color w:val="auto"/>
                <w:szCs w:val="21"/>
                <w:highlight w:val="none"/>
              </w:rPr>
              <w:t>3、在维护期间所涉及的调试、测试不能影响原系统的运行。</w:t>
            </w:r>
          </w:p>
          <w:p>
            <w:pPr>
              <w:snapToGrid w:val="0"/>
              <w:spacing w:line="320" w:lineRule="exact"/>
              <w:ind w:left="315" w:hanging="315" w:hangingChars="150"/>
              <w:rPr>
                <w:color w:val="auto"/>
                <w:highlight w:val="none"/>
              </w:rPr>
            </w:pPr>
            <w:r>
              <w:rPr>
                <w:rFonts w:hint="eastAsia" w:ascii="宋体" w:hAnsi="宋体"/>
                <w:bCs/>
                <w:color w:val="auto"/>
                <w:szCs w:val="21"/>
                <w:highlight w:val="none"/>
              </w:rPr>
              <w:t>4、中标人必须与采购人签订保密协议。</w:t>
            </w:r>
          </w:p>
          <w:p>
            <w:pPr>
              <w:snapToGrid w:val="0"/>
              <w:spacing w:line="320" w:lineRule="exact"/>
              <w:ind w:left="315" w:hanging="315" w:hangingChars="150"/>
              <w:rPr>
                <w:rFonts w:ascii="宋体" w:hAnsi="宋体"/>
                <w:bCs/>
                <w:color w:val="auto"/>
                <w:szCs w:val="21"/>
                <w:highlight w:val="none"/>
              </w:rPr>
            </w:pPr>
            <w:r>
              <w:rPr>
                <w:rFonts w:hint="eastAsia" w:ascii="宋体" w:hAnsi="宋体"/>
                <w:bCs/>
                <w:color w:val="auto"/>
                <w:szCs w:val="21"/>
                <w:highlight w:val="none"/>
              </w:rPr>
              <w:t>5、中标人在从评标结果公示开始之日起5个工作日内须提供交通运输部路网监测与应急处置中心所委托的门架软件技术支撑单位提供的针对本项目的合作意向书，如在评标结果公示发出后5个工作日内无法提供齐全、有效的文件的，视为放弃中标资格，由后序中标候选人依次递补。</w:t>
            </w:r>
          </w:p>
          <w:p>
            <w:pPr>
              <w:snapToGrid w:val="0"/>
              <w:spacing w:line="320" w:lineRule="exact"/>
              <w:rPr>
                <w:rFonts w:ascii="宋体" w:hAnsi="宋体"/>
                <w:color w:val="auto"/>
                <w:szCs w:val="21"/>
                <w:highlight w:val="none"/>
              </w:rPr>
            </w:pPr>
            <w:r>
              <w:rPr>
                <w:rFonts w:hint="eastAsia" w:ascii="宋体" w:hAnsi="宋体" w:cs="Courier New"/>
                <w:color w:val="auto"/>
                <w:szCs w:val="21"/>
                <w:highlight w:val="none"/>
              </w:rPr>
              <w:t>6、本项目报价为总包干价，</w:t>
            </w:r>
            <w:r>
              <w:rPr>
                <w:rFonts w:hint="eastAsia" w:ascii="宋体" w:hAnsi="宋体" w:cs="宋体"/>
                <w:bCs/>
                <w:color w:val="auto"/>
                <w:szCs w:val="21"/>
                <w:highlight w:val="none"/>
              </w:rPr>
              <w:t>投标报价必须包括实施和完成该项目所需的设备和服务、税费等一切费用，   以及合同明示所有责任、义务和一般风险；采购人不再支付任何费用</w:t>
            </w:r>
            <w:r>
              <w:rPr>
                <w:rFonts w:hint="eastAsia" w:ascii="宋体" w:hAnsi="宋体" w:cs="Courier New"/>
                <w:color w:val="auto"/>
                <w:szCs w:val="21"/>
                <w:highlight w:val="none"/>
              </w:rPr>
              <w:t>。</w:t>
            </w:r>
          </w:p>
          <w:p>
            <w:pPr>
              <w:snapToGrid w:val="0"/>
              <w:spacing w:line="320" w:lineRule="exact"/>
              <w:ind w:left="315" w:hanging="315" w:hangingChars="150"/>
              <w:rPr>
                <w:rFonts w:ascii="宋体" w:hAnsi="宋体"/>
                <w:color w:val="auto"/>
                <w:szCs w:val="21"/>
                <w:highlight w:val="none"/>
              </w:rPr>
            </w:pPr>
            <w:r>
              <w:rPr>
                <w:rFonts w:hint="eastAsia" w:ascii="宋体" w:hAnsi="宋体"/>
                <w:color w:val="auto"/>
                <w:szCs w:val="21"/>
                <w:highlight w:val="none"/>
              </w:rPr>
              <w:t>6、服务</w:t>
            </w:r>
            <w:r>
              <w:rPr>
                <w:rFonts w:hint="eastAsia"/>
                <w:color w:val="auto"/>
                <w:szCs w:val="21"/>
                <w:highlight w:val="none"/>
              </w:rPr>
              <w:t>地点</w:t>
            </w:r>
            <w:r>
              <w:rPr>
                <w:rFonts w:hint="eastAsia" w:ascii="宋体" w:hAnsi="宋体"/>
                <w:color w:val="auto"/>
                <w:szCs w:val="21"/>
                <w:highlight w:val="none"/>
              </w:rPr>
              <w:t>：广西区内（采购人指定地点）。</w:t>
            </w:r>
          </w:p>
          <w:p>
            <w:pPr>
              <w:snapToGrid w:val="0"/>
              <w:spacing w:line="320" w:lineRule="exact"/>
              <w:ind w:left="315" w:hanging="315" w:hangingChars="150"/>
              <w:rPr>
                <w:rFonts w:ascii="宋体" w:hAnsi="宋体"/>
                <w:color w:val="auto"/>
                <w:szCs w:val="21"/>
                <w:highlight w:val="none"/>
              </w:rPr>
            </w:pPr>
            <w:r>
              <w:rPr>
                <w:rFonts w:hint="eastAsia" w:ascii="宋体" w:hAnsi="宋体"/>
                <w:color w:val="auto"/>
                <w:szCs w:val="21"/>
                <w:highlight w:val="none"/>
              </w:rPr>
              <w:t>7、其它</w:t>
            </w:r>
            <w:r>
              <w:rPr>
                <w:rFonts w:hint="eastAsia"/>
                <w:color w:val="auto"/>
                <w:szCs w:val="21"/>
                <w:highlight w:val="none"/>
              </w:rPr>
              <w:t>要求</w:t>
            </w:r>
            <w:r>
              <w:rPr>
                <w:rFonts w:hint="eastAsia" w:ascii="宋体" w:hAnsi="宋体"/>
                <w:color w:val="auto"/>
                <w:szCs w:val="21"/>
                <w:highlight w:val="none"/>
              </w:rPr>
              <w:t>见附件。</w:t>
            </w:r>
          </w:p>
        </w:tc>
      </w:tr>
    </w:tbl>
    <w:p>
      <w:pPr>
        <w:pStyle w:val="33"/>
        <w:ind w:firstLine="0" w:firstLineChars="0"/>
        <w:outlineLvl w:val="9"/>
        <w:rPr>
          <w:color w:val="auto"/>
          <w:sz w:val="24"/>
          <w:szCs w:val="24"/>
          <w:highlight w:val="none"/>
        </w:rPr>
      </w:pPr>
      <w:r>
        <w:rPr>
          <w:rFonts w:hint="eastAsia"/>
          <w:color w:val="auto"/>
          <w:sz w:val="24"/>
          <w:szCs w:val="24"/>
          <w:highlight w:val="none"/>
        </w:rPr>
        <w:t>附件</w:t>
      </w:r>
      <w:r>
        <w:rPr>
          <w:color w:val="auto"/>
          <w:sz w:val="24"/>
          <w:szCs w:val="24"/>
          <w:highlight w:val="none"/>
        </w:rPr>
        <w:t xml:space="preserve"> </w:t>
      </w:r>
      <w:r>
        <w:rPr>
          <w:rFonts w:hint="eastAsia"/>
          <w:color w:val="auto"/>
          <w:sz w:val="24"/>
          <w:szCs w:val="24"/>
          <w:highlight w:val="none"/>
        </w:rPr>
        <w:t>：</w:t>
      </w:r>
      <w:r>
        <w:rPr>
          <w:rFonts w:hint="eastAsia"/>
          <w:color w:val="auto"/>
          <w:sz w:val="24"/>
          <w:szCs w:val="24"/>
          <w:highlight w:val="none"/>
          <w:lang w:eastAsia="zh-CN"/>
        </w:rPr>
        <w:t>广西ETC门架系统运维服务</w:t>
      </w:r>
      <w:r>
        <w:rPr>
          <w:rFonts w:hint="eastAsia"/>
          <w:color w:val="auto"/>
          <w:sz w:val="24"/>
          <w:szCs w:val="24"/>
          <w:highlight w:val="none"/>
        </w:rPr>
        <w:t>详细要求</w:t>
      </w:r>
    </w:p>
    <w:bookmarkEnd w:id="40"/>
    <w:p>
      <w:pPr>
        <w:snapToGrid w:val="0"/>
        <w:spacing w:before="120" w:beforeLines="50" w:after="120" w:afterLines="50" w:line="320" w:lineRule="exact"/>
        <w:rPr>
          <w:rFonts w:ascii="宋体" w:hAnsi="宋体" w:cs="Arial"/>
          <w:b/>
          <w:bCs/>
          <w:color w:val="auto"/>
          <w:szCs w:val="21"/>
          <w:highlight w:val="none"/>
        </w:rPr>
      </w:pPr>
      <w:bookmarkStart w:id="41" w:name="_Toc468896982"/>
      <w:bookmarkStart w:id="42" w:name="_Toc536118118"/>
      <w:r>
        <w:rPr>
          <w:rFonts w:hint="eastAsia" w:ascii="宋体" w:hAnsi="宋体" w:cs="Arial"/>
          <w:b/>
          <w:bCs/>
          <w:color w:val="auto"/>
          <w:szCs w:val="21"/>
          <w:highlight w:val="none"/>
        </w:rPr>
        <w:t>一、</w:t>
      </w:r>
      <w:r>
        <w:rPr>
          <w:rFonts w:hint="eastAsia" w:ascii="宋体" w:hAnsi="宋体" w:cs="Arial"/>
          <w:b/>
          <w:bCs/>
          <w:color w:val="auto"/>
          <w:szCs w:val="21"/>
          <w:highlight w:val="none"/>
          <w:lang w:eastAsia="zh-CN"/>
        </w:rPr>
        <w:t>广西ETC门架系统运维服务</w:t>
      </w:r>
      <w:r>
        <w:rPr>
          <w:rFonts w:hint="eastAsia" w:ascii="宋体" w:hAnsi="宋体" w:cs="Arial"/>
          <w:b/>
          <w:bCs/>
          <w:color w:val="auto"/>
          <w:szCs w:val="21"/>
          <w:highlight w:val="none"/>
        </w:rPr>
        <w:t>维护背景</w:t>
      </w:r>
      <w:bookmarkEnd w:id="41"/>
      <w:bookmarkEnd w:id="42"/>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广西高速公路ETC门架系统作为高速公路现代化管理的一个手段，在保障高速公路正常运营中发挥着重要作用。它既是保证高速公路实现高速、安全、舒适功能的必要组成部分，也是保障高速公路正常运营的必要系统。</w:t>
      </w:r>
    </w:p>
    <w:p>
      <w:pPr>
        <w:snapToGrid w:val="0"/>
        <w:spacing w:line="320" w:lineRule="exact"/>
        <w:ind w:firstLine="420" w:firstLineChars="200"/>
        <w:rPr>
          <w:rFonts w:ascii="宋体" w:hAnsi="宋体"/>
          <w:color w:val="auto"/>
          <w:szCs w:val="21"/>
          <w:highlight w:val="none"/>
        </w:rPr>
      </w:pPr>
      <w:bookmarkStart w:id="43" w:name="_Toc536118119"/>
      <w:bookmarkStart w:id="44" w:name="_Toc468896983"/>
      <w:r>
        <w:rPr>
          <w:rFonts w:hint="eastAsia" w:ascii="宋体" w:hAnsi="宋体"/>
          <w:color w:val="auto"/>
          <w:szCs w:val="21"/>
          <w:highlight w:val="none"/>
        </w:rPr>
        <w:t>随着经济的增长，我区的高速公路建设也进入了快速发展时期。截至2022年2月</w:t>
      </w:r>
      <w:r>
        <w:rPr>
          <w:rFonts w:ascii="宋体" w:hAnsi="宋体"/>
          <w:color w:val="auto"/>
          <w:szCs w:val="21"/>
          <w:highlight w:val="none"/>
        </w:rPr>
        <w:t>，</w:t>
      </w:r>
      <w:r>
        <w:rPr>
          <w:rFonts w:hint="eastAsia" w:ascii="宋体" w:hAnsi="宋体"/>
          <w:color w:val="auto"/>
          <w:szCs w:val="21"/>
          <w:highlight w:val="none"/>
        </w:rPr>
        <w:t>广西高速公路实体ETC门架已经超过</w:t>
      </w:r>
      <w:r>
        <w:rPr>
          <w:rFonts w:ascii="宋体" w:hAnsi="宋体"/>
          <w:color w:val="auto"/>
          <w:szCs w:val="21"/>
          <w:highlight w:val="none"/>
        </w:rPr>
        <w:t>1000</w:t>
      </w:r>
      <w:r>
        <w:rPr>
          <w:rFonts w:hint="eastAsia" w:ascii="宋体" w:hAnsi="宋体"/>
          <w:color w:val="auto"/>
          <w:szCs w:val="21"/>
          <w:highlight w:val="none"/>
        </w:rPr>
        <w:t>个，每个</w:t>
      </w:r>
      <w:r>
        <w:rPr>
          <w:rFonts w:ascii="宋体" w:hAnsi="宋体"/>
          <w:color w:val="auto"/>
          <w:szCs w:val="21"/>
          <w:highlight w:val="none"/>
        </w:rPr>
        <w:t>门架</w:t>
      </w:r>
      <w:r>
        <w:rPr>
          <w:rFonts w:hint="eastAsia" w:ascii="宋体" w:hAnsi="宋体"/>
          <w:color w:val="auto"/>
          <w:szCs w:val="21"/>
          <w:highlight w:val="none"/>
        </w:rPr>
        <w:t>均</w:t>
      </w:r>
      <w:r>
        <w:rPr>
          <w:rFonts w:ascii="宋体" w:hAnsi="宋体"/>
          <w:color w:val="auto"/>
          <w:szCs w:val="21"/>
          <w:highlight w:val="none"/>
        </w:rPr>
        <w:t>部署</w:t>
      </w:r>
      <w:r>
        <w:rPr>
          <w:rFonts w:hint="eastAsia" w:ascii="宋体" w:hAnsi="宋体"/>
          <w:color w:val="auto"/>
          <w:szCs w:val="21"/>
          <w:highlight w:val="none"/>
        </w:rPr>
        <w:t>有门架</w:t>
      </w:r>
      <w:r>
        <w:rPr>
          <w:rFonts w:ascii="宋体" w:hAnsi="宋体"/>
          <w:color w:val="auto"/>
          <w:szCs w:val="21"/>
          <w:highlight w:val="none"/>
        </w:rPr>
        <w:t>系统</w:t>
      </w:r>
      <w:r>
        <w:rPr>
          <w:rFonts w:hint="eastAsia" w:ascii="宋体" w:hAnsi="宋体"/>
          <w:color w:val="auto"/>
          <w:szCs w:val="21"/>
          <w:highlight w:val="none"/>
        </w:rPr>
        <w:t>，</w:t>
      </w:r>
      <w:r>
        <w:rPr>
          <w:rFonts w:ascii="宋体" w:hAnsi="宋体"/>
          <w:color w:val="auto"/>
          <w:szCs w:val="21"/>
          <w:highlight w:val="none"/>
        </w:rPr>
        <w:t>独立运行</w:t>
      </w:r>
      <w:r>
        <w:rPr>
          <w:rFonts w:hint="eastAsia" w:ascii="宋体" w:hAnsi="宋体"/>
          <w:color w:val="auto"/>
          <w:szCs w:val="21"/>
          <w:highlight w:val="none"/>
        </w:rPr>
        <w:t>。</w:t>
      </w:r>
      <w:r>
        <w:rPr>
          <w:rFonts w:ascii="宋体" w:hAnsi="宋体"/>
          <w:color w:val="auto"/>
          <w:szCs w:val="21"/>
          <w:highlight w:val="none"/>
        </w:rPr>
        <w:t>门架系统</w:t>
      </w:r>
      <w:r>
        <w:rPr>
          <w:rFonts w:hint="eastAsia" w:ascii="宋体" w:hAnsi="宋体"/>
          <w:color w:val="auto"/>
          <w:szCs w:val="21"/>
          <w:highlight w:val="none"/>
        </w:rPr>
        <w:t>承担着车辆</w:t>
      </w:r>
      <w:r>
        <w:rPr>
          <w:rFonts w:ascii="宋体" w:hAnsi="宋体"/>
          <w:color w:val="auto"/>
          <w:szCs w:val="21"/>
          <w:highlight w:val="none"/>
        </w:rPr>
        <w:t>在高速</w:t>
      </w:r>
      <w:r>
        <w:rPr>
          <w:rFonts w:hint="eastAsia" w:ascii="宋体" w:hAnsi="宋体"/>
          <w:color w:val="auto"/>
          <w:szCs w:val="21"/>
          <w:highlight w:val="none"/>
        </w:rPr>
        <w:t>路网</w:t>
      </w:r>
      <w:r>
        <w:rPr>
          <w:rFonts w:ascii="宋体" w:hAnsi="宋体"/>
          <w:color w:val="auto"/>
          <w:szCs w:val="21"/>
          <w:highlight w:val="none"/>
        </w:rPr>
        <w:t>内</w:t>
      </w:r>
      <w:r>
        <w:rPr>
          <w:rFonts w:hint="eastAsia" w:ascii="宋体" w:hAnsi="宋体"/>
          <w:color w:val="auto"/>
          <w:szCs w:val="21"/>
          <w:highlight w:val="none"/>
        </w:rPr>
        <w:t>通行</w:t>
      </w:r>
      <w:r>
        <w:rPr>
          <w:rFonts w:ascii="宋体" w:hAnsi="宋体"/>
          <w:color w:val="auto"/>
          <w:szCs w:val="21"/>
          <w:highlight w:val="none"/>
        </w:rPr>
        <w:t>精准计费</w:t>
      </w:r>
      <w:r>
        <w:rPr>
          <w:rFonts w:hint="eastAsia" w:ascii="宋体" w:hAnsi="宋体"/>
          <w:color w:val="auto"/>
          <w:szCs w:val="21"/>
          <w:highlight w:val="none"/>
        </w:rPr>
        <w:t>的</w:t>
      </w:r>
      <w:r>
        <w:rPr>
          <w:rFonts w:ascii="宋体" w:hAnsi="宋体"/>
          <w:color w:val="auto"/>
          <w:szCs w:val="21"/>
          <w:highlight w:val="none"/>
        </w:rPr>
        <w:t>工作</w:t>
      </w:r>
      <w:r>
        <w:rPr>
          <w:rFonts w:hint="eastAsia" w:ascii="宋体" w:hAnsi="宋体"/>
          <w:color w:val="auto"/>
          <w:szCs w:val="21"/>
          <w:highlight w:val="none"/>
        </w:rPr>
        <w:t>，</w:t>
      </w:r>
      <w:r>
        <w:rPr>
          <w:rFonts w:ascii="宋体" w:hAnsi="宋体"/>
          <w:color w:val="auto"/>
          <w:szCs w:val="21"/>
          <w:highlight w:val="none"/>
        </w:rPr>
        <w:t>它的稳定运行是</w:t>
      </w:r>
      <w:r>
        <w:rPr>
          <w:rFonts w:hint="eastAsia" w:ascii="宋体" w:hAnsi="宋体"/>
          <w:color w:val="auto"/>
          <w:szCs w:val="21"/>
          <w:highlight w:val="none"/>
        </w:rPr>
        <w:t>全网</w:t>
      </w:r>
      <w:r>
        <w:rPr>
          <w:rFonts w:ascii="宋体" w:hAnsi="宋体"/>
          <w:color w:val="auto"/>
          <w:szCs w:val="21"/>
          <w:highlight w:val="none"/>
        </w:rPr>
        <w:t>收费业务</w:t>
      </w:r>
      <w:r>
        <w:rPr>
          <w:rFonts w:hint="eastAsia" w:ascii="宋体" w:hAnsi="宋体"/>
          <w:color w:val="auto"/>
          <w:szCs w:val="21"/>
          <w:highlight w:val="none"/>
        </w:rPr>
        <w:t>顺利</w:t>
      </w:r>
      <w:r>
        <w:rPr>
          <w:rFonts w:ascii="宋体" w:hAnsi="宋体"/>
          <w:color w:val="auto"/>
          <w:szCs w:val="21"/>
          <w:highlight w:val="none"/>
        </w:rPr>
        <w:t>开展的基础和</w:t>
      </w:r>
      <w:r>
        <w:rPr>
          <w:rFonts w:hint="eastAsia" w:ascii="宋体" w:hAnsi="宋体"/>
          <w:color w:val="auto"/>
          <w:szCs w:val="21"/>
          <w:highlight w:val="none"/>
        </w:rPr>
        <w:t>保障</w:t>
      </w:r>
      <w:r>
        <w:rPr>
          <w:rFonts w:ascii="宋体" w:hAnsi="宋体"/>
          <w:color w:val="auto"/>
          <w:szCs w:val="21"/>
          <w:highlight w:val="none"/>
        </w:rPr>
        <w:t>，</w:t>
      </w:r>
      <w:r>
        <w:rPr>
          <w:rFonts w:hint="eastAsia" w:ascii="宋体" w:hAnsi="宋体"/>
          <w:color w:val="auto"/>
          <w:szCs w:val="21"/>
          <w:highlight w:val="none"/>
        </w:rPr>
        <w:t>因此做好</w:t>
      </w:r>
      <w:r>
        <w:rPr>
          <w:rFonts w:ascii="宋体" w:hAnsi="宋体"/>
          <w:color w:val="auto"/>
          <w:szCs w:val="21"/>
          <w:highlight w:val="none"/>
        </w:rPr>
        <w:t>门架系统</w:t>
      </w:r>
      <w:r>
        <w:rPr>
          <w:rFonts w:hint="eastAsia" w:ascii="宋体" w:hAnsi="宋体"/>
          <w:color w:val="auto"/>
          <w:szCs w:val="21"/>
          <w:highlight w:val="none"/>
        </w:rPr>
        <w:t>相关</w:t>
      </w:r>
      <w:r>
        <w:rPr>
          <w:rFonts w:ascii="宋体" w:hAnsi="宋体"/>
          <w:color w:val="auto"/>
          <w:szCs w:val="21"/>
          <w:highlight w:val="none"/>
        </w:rPr>
        <w:t>运维工作</w:t>
      </w:r>
      <w:r>
        <w:rPr>
          <w:rFonts w:hint="eastAsia" w:ascii="宋体" w:hAnsi="宋体"/>
          <w:color w:val="auto"/>
          <w:szCs w:val="21"/>
          <w:highlight w:val="none"/>
        </w:rPr>
        <w:t>，</w:t>
      </w:r>
      <w:r>
        <w:rPr>
          <w:rFonts w:ascii="宋体" w:hAnsi="宋体"/>
          <w:color w:val="auto"/>
          <w:szCs w:val="21"/>
          <w:highlight w:val="none"/>
        </w:rPr>
        <w:t>确保</w:t>
      </w:r>
      <w:r>
        <w:rPr>
          <w:rFonts w:hint="eastAsia" w:ascii="宋体" w:hAnsi="宋体"/>
          <w:color w:val="auto"/>
          <w:szCs w:val="21"/>
          <w:highlight w:val="none"/>
        </w:rPr>
        <w:t>全网收费</w:t>
      </w:r>
      <w:r>
        <w:rPr>
          <w:rFonts w:ascii="宋体" w:hAnsi="宋体"/>
          <w:color w:val="auto"/>
          <w:szCs w:val="21"/>
          <w:highlight w:val="none"/>
        </w:rPr>
        <w:t>系统稳定运行</w:t>
      </w:r>
      <w:r>
        <w:rPr>
          <w:rFonts w:hint="eastAsia" w:ascii="宋体" w:hAnsi="宋体"/>
          <w:color w:val="auto"/>
          <w:szCs w:val="21"/>
          <w:highlight w:val="none"/>
        </w:rPr>
        <w:t>至关</w:t>
      </w:r>
      <w:r>
        <w:rPr>
          <w:rFonts w:ascii="宋体" w:hAnsi="宋体"/>
          <w:color w:val="auto"/>
          <w:szCs w:val="21"/>
          <w:highlight w:val="none"/>
        </w:rPr>
        <w:t>重要。</w:t>
      </w:r>
    </w:p>
    <w:p>
      <w:pPr>
        <w:snapToGrid w:val="0"/>
        <w:spacing w:before="120" w:beforeLines="50" w:after="120" w:afterLines="50" w:line="320" w:lineRule="exact"/>
        <w:rPr>
          <w:rFonts w:ascii="宋体" w:hAnsi="宋体" w:cs="Arial"/>
          <w:b/>
          <w:bCs/>
          <w:color w:val="auto"/>
          <w:szCs w:val="21"/>
          <w:highlight w:val="none"/>
        </w:rPr>
      </w:pPr>
      <w:r>
        <w:rPr>
          <w:rFonts w:hint="eastAsia" w:ascii="宋体" w:hAnsi="宋体" w:cs="Arial"/>
          <w:b/>
          <w:bCs/>
          <w:color w:val="auto"/>
          <w:szCs w:val="21"/>
          <w:highlight w:val="none"/>
        </w:rPr>
        <w:t>二 、</w:t>
      </w:r>
      <w:r>
        <w:rPr>
          <w:rFonts w:hint="eastAsia" w:ascii="宋体" w:hAnsi="宋体" w:cs="Arial"/>
          <w:b/>
          <w:bCs/>
          <w:color w:val="auto"/>
          <w:szCs w:val="21"/>
          <w:highlight w:val="none"/>
          <w:lang w:eastAsia="zh-CN"/>
        </w:rPr>
        <w:t>广西ETC门架系统运维服务</w:t>
      </w:r>
      <w:r>
        <w:rPr>
          <w:rFonts w:hint="eastAsia" w:ascii="宋体" w:hAnsi="宋体" w:cs="Arial"/>
          <w:b/>
          <w:bCs/>
          <w:color w:val="auto"/>
          <w:szCs w:val="21"/>
          <w:highlight w:val="none"/>
        </w:rPr>
        <w:t>目的</w:t>
      </w:r>
      <w:bookmarkEnd w:id="43"/>
      <w:bookmarkEnd w:id="44"/>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对广西高速公路ETC门架系统进行日常维护与升级和专业的维保，确保系统正常运行。 </w:t>
      </w:r>
    </w:p>
    <w:p>
      <w:pPr>
        <w:snapToGrid w:val="0"/>
        <w:spacing w:before="120" w:beforeLines="50" w:after="120" w:afterLines="50" w:line="320" w:lineRule="exact"/>
        <w:rPr>
          <w:rFonts w:ascii="宋体" w:hAnsi="宋体" w:cs="Arial"/>
          <w:b/>
          <w:bCs/>
          <w:color w:val="auto"/>
          <w:szCs w:val="21"/>
          <w:highlight w:val="none"/>
        </w:rPr>
      </w:pPr>
      <w:bookmarkStart w:id="45" w:name="_Toc468896984"/>
      <w:bookmarkStart w:id="46" w:name="_Toc536118120"/>
      <w:r>
        <w:rPr>
          <w:rFonts w:hint="eastAsia" w:ascii="宋体" w:hAnsi="宋体" w:cs="Arial"/>
          <w:b/>
          <w:bCs/>
          <w:color w:val="auto"/>
          <w:szCs w:val="21"/>
          <w:highlight w:val="none"/>
        </w:rPr>
        <w:t>三、</w:t>
      </w:r>
      <w:r>
        <w:rPr>
          <w:rFonts w:hint="eastAsia" w:ascii="宋体" w:hAnsi="宋体" w:cs="Arial"/>
          <w:b/>
          <w:bCs/>
          <w:color w:val="auto"/>
          <w:szCs w:val="21"/>
          <w:highlight w:val="none"/>
          <w:lang w:eastAsia="zh-CN"/>
        </w:rPr>
        <w:t>广西ETC门架系统运维服务</w:t>
      </w:r>
      <w:r>
        <w:rPr>
          <w:rFonts w:hint="eastAsia" w:ascii="宋体" w:hAnsi="宋体" w:cs="Arial"/>
          <w:b/>
          <w:bCs/>
          <w:color w:val="auto"/>
          <w:szCs w:val="21"/>
          <w:highlight w:val="none"/>
        </w:rPr>
        <w:t>具体内容</w:t>
      </w:r>
      <w:bookmarkEnd w:id="45"/>
      <w:bookmarkEnd w:id="46"/>
    </w:p>
    <w:p>
      <w:pPr>
        <w:snapToGrid w:val="0"/>
        <w:spacing w:before="120" w:beforeLines="50" w:after="120" w:afterLines="50" w:line="320" w:lineRule="exact"/>
        <w:rPr>
          <w:rFonts w:ascii="宋体" w:hAnsi="宋体" w:cs="Arial"/>
          <w:bCs/>
          <w:color w:val="auto"/>
          <w:szCs w:val="21"/>
          <w:highlight w:val="none"/>
        </w:rPr>
      </w:pPr>
      <w:r>
        <w:rPr>
          <w:rFonts w:hint="eastAsia" w:ascii="宋体" w:hAnsi="宋体" w:cs="Arial"/>
          <w:bCs/>
          <w:color w:val="auto"/>
          <w:szCs w:val="21"/>
          <w:highlight w:val="none"/>
        </w:rPr>
        <w:t>1、</w:t>
      </w:r>
      <w:r>
        <w:rPr>
          <w:rFonts w:ascii="宋体" w:hAnsi="宋体" w:cs="Arial"/>
          <w:bCs/>
          <w:color w:val="auto"/>
          <w:szCs w:val="21"/>
          <w:highlight w:val="none"/>
        </w:rPr>
        <w:t>维护范围</w:t>
      </w:r>
      <w:r>
        <w:rPr>
          <w:rFonts w:hint="eastAsia" w:ascii="宋体" w:hAnsi="宋体" w:cs="Arial"/>
          <w:bCs/>
          <w:color w:val="auto"/>
          <w:szCs w:val="21"/>
          <w:highlight w:val="none"/>
        </w:rPr>
        <w:t>：广西联网运营高速公路所有ETC实体</w:t>
      </w:r>
      <w:r>
        <w:rPr>
          <w:rFonts w:ascii="宋体" w:hAnsi="宋体" w:cs="Arial"/>
          <w:bCs/>
          <w:color w:val="auto"/>
          <w:szCs w:val="21"/>
          <w:highlight w:val="none"/>
        </w:rPr>
        <w:t>门架</w:t>
      </w:r>
      <w:r>
        <w:rPr>
          <w:rFonts w:hint="eastAsia" w:ascii="宋体" w:hAnsi="宋体" w:cs="Arial"/>
          <w:bCs/>
          <w:color w:val="auto"/>
          <w:szCs w:val="21"/>
          <w:highlight w:val="none"/>
        </w:rPr>
        <w:t>（至少</w:t>
      </w:r>
      <w:r>
        <w:rPr>
          <w:rFonts w:hint="eastAsia" w:ascii="宋体" w:hAnsi="宋体" w:cs="Arial"/>
          <w:bCs/>
          <w:color w:val="auto"/>
          <w:szCs w:val="21"/>
          <w:highlight w:val="none"/>
          <w:lang w:eastAsia="zh-CN"/>
        </w:rPr>
        <w:t>1388</w:t>
      </w:r>
      <w:r>
        <w:rPr>
          <w:rFonts w:hint="eastAsia" w:ascii="宋体" w:hAnsi="宋体" w:cs="Arial"/>
          <w:bCs/>
          <w:color w:val="auto"/>
          <w:szCs w:val="21"/>
          <w:highlight w:val="none"/>
        </w:rPr>
        <w:t>个）</w:t>
      </w:r>
      <w:r>
        <w:rPr>
          <w:rFonts w:ascii="宋体" w:hAnsi="宋体" w:cs="Arial"/>
          <w:bCs/>
          <w:color w:val="auto"/>
          <w:szCs w:val="21"/>
          <w:highlight w:val="none"/>
        </w:rPr>
        <w:t>。</w:t>
      </w:r>
    </w:p>
    <w:p>
      <w:pPr>
        <w:snapToGrid w:val="0"/>
        <w:spacing w:before="120" w:beforeLines="50" w:after="120" w:afterLines="50" w:line="320" w:lineRule="exact"/>
        <w:rPr>
          <w:rFonts w:ascii="宋体" w:hAnsi="宋体" w:cs="Arial"/>
          <w:bCs/>
          <w:color w:val="auto"/>
          <w:szCs w:val="21"/>
          <w:highlight w:val="none"/>
        </w:rPr>
      </w:pPr>
      <w:r>
        <w:rPr>
          <w:rFonts w:ascii="宋体" w:hAnsi="宋体" w:cs="Arial"/>
          <w:bCs/>
          <w:color w:val="auto"/>
          <w:szCs w:val="21"/>
          <w:highlight w:val="none"/>
        </w:rPr>
        <w:t>2</w:t>
      </w:r>
      <w:r>
        <w:rPr>
          <w:rFonts w:hint="eastAsia" w:ascii="宋体" w:hAnsi="宋体" w:cs="Arial"/>
          <w:bCs/>
          <w:color w:val="auto"/>
          <w:szCs w:val="21"/>
          <w:highlight w:val="none"/>
        </w:rPr>
        <w:t>、运维</w:t>
      </w:r>
      <w:r>
        <w:rPr>
          <w:rFonts w:ascii="宋体" w:hAnsi="宋体" w:cs="Arial"/>
          <w:bCs/>
          <w:color w:val="auto"/>
          <w:szCs w:val="21"/>
          <w:highlight w:val="none"/>
        </w:rPr>
        <w:t>工作</w:t>
      </w:r>
      <w:r>
        <w:rPr>
          <w:rFonts w:hint="eastAsia" w:ascii="宋体" w:hAnsi="宋体" w:cs="Arial"/>
          <w:bCs/>
          <w:color w:val="auto"/>
          <w:szCs w:val="21"/>
          <w:highlight w:val="none"/>
        </w:rPr>
        <w:t>分为部级运维工作和省内运维工作两部分，具体工作内容如下:</w:t>
      </w:r>
    </w:p>
    <w:p>
      <w:pPr>
        <w:snapToGrid w:val="0"/>
        <w:spacing w:before="120" w:beforeLines="50" w:after="120" w:afterLines="50" w:line="320" w:lineRule="exact"/>
        <w:rPr>
          <w:rFonts w:ascii="宋体" w:hAnsi="宋体" w:cs="Arial"/>
          <w:bCs/>
          <w:color w:val="auto"/>
          <w:szCs w:val="21"/>
          <w:highlight w:val="none"/>
        </w:rPr>
      </w:pPr>
      <w:r>
        <w:rPr>
          <w:rFonts w:hint="eastAsia" w:ascii="宋体" w:hAnsi="宋体" w:cs="Arial"/>
          <w:bCs/>
          <w:color w:val="auto"/>
          <w:szCs w:val="21"/>
          <w:highlight w:val="none"/>
        </w:rPr>
        <w:t>（1）部级运维工作（软件部分）</w:t>
      </w:r>
    </w:p>
    <w:p>
      <w:pPr>
        <w:snapToGrid w:val="0"/>
        <w:spacing w:before="120" w:beforeLines="50" w:after="120" w:afterLines="50" w:line="320" w:lineRule="exact"/>
        <w:ind w:firstLine="420" w:firstLineChars="200"/>
        <w:rPr>
          <w:rFonts w:ascii="宋体" w:hAnsi="宋体" w:cs="Arial"/>
          <w:bCs/>
          <w:color w:val="auto"/>
          <w:szCs w:val="21"/>
          <w:highlight w:val="none"/>
        </w:rPr>
      </w:pPr>
      <w:r>
        <w:rPr>
          <w:rFonts w:hint="eastAsia" w:ascii="宋体" w:hAnsi="宋体" w:cs="Arial"/>
          <w:bCs/>
          <w:color w:val="auto"/>
          <w:szCs w:val="21"/>
          <w:highlight w:val="none"/>
        </w:rPr>
        <w:t>负责IEF部署运维云平台和门架系统配置云平台的维护和管理、门架软件/计费模块/天线/车牌识别设备固件测试和版本及镜像管理、跨省门架代收管理、省内现场运维单位培训和远程技术指导、运行问题分析等工作。</w:t>
      </w:r>
    </w:p>
    <w:p>
      <w:pPr>
        <w:snapToGrid w:val="0"/>
        <w:spacing w:before="120" w:beforeLines="50" w:after="120" w:afterLines="50" w:line="320" w:lineRule="exact"/>
        <w:ind w:firstLine="420" w:firstLineChars="200"/>
        <w:rPr>
          <w:rFonts w:ascii="宋体" w:hAnsi="宋体" w:cs="Arial"/>
          <w:bCs/>
          <w:color w:val="auto"/>
          <w:szCs w:val="21"/>
          <w:highlight w:val="none"/>
        </w:rPr>
      </w:pPr>
      <w:r>
        <w:rPr>
          <w:rFonts w:hint="eastAsia" w:ascii="宋体" w:hAnsi="宋体" w:cs="Arial"/>
          <w:bCs/>
          <w:color w:val="auto"/>
          <w:szCs w:val="21"/>
          <w:highlight w:val="none"/>
        </w:rPr>
        <w:t>具体</w:t>
      </w:r>
      <w:r>
        <w:rPr>
          <w:rFonts w:ascii="宋体" w:hAnsi="宋体" w:cs="Arial"/>
          <w:bCs/>
          <w:color w:val="auto"/>
          <w:szCs w:val="21"/>
          <w:highlight w:val="none"/>
        </w:rPr>
        <w:t>服务内容如下：</w:t>
      </w:r>
    </w:p>
    <w:tbl>
      <w:tblPr>
        <w:tblStyle w:val="45"/>
        <w:tblW w:w="5000" w:type="pct"/>
        <w:tblInd w:w="0" w:type="dxa"/>
        <w:tblLayout w:type="autofit"/>
        <w:tblCellMar>
          <w:top w:w="0" w:type="dxa"/>
          <w:left w:w="108" w:type="dxa"/>
          <w:bottom w:w="0" w:type="dxa"/>
          <w:right w:w="108" w:type="dxa"/>
        </w:tblCellMar>
      </w:tblPr>
      <w:tblGrid>
        <w:gridCol w:w="1549"/>
        <w:gridCol w:w="7397"/>
      </w:tblGrid>
      <w:tr>
        <w:tblPrEx>
          <w:tblCellMar>
            <w:top w:w="0" w:type="dxa"/>
            <w:left w:w="108" w:type="dxa"/>
            <w:bottom w:w="0" w:type="dxa"/>
            <w:right w:w="108" w:type="dxa"/>
          </w:tblCellMar>
        </w:tblPrEx>
        <w:trPr>
          <w:trHeight w:val="660" w:hRule="atLeast"/>
        </w:trPr>
        <w:tc>
          <w:tcPr>
            <w:tcW w:w="866" w:type="pct"/>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r>
              <w:rPr>
                <w:rFonts w:hint="eastAsia"/>
                <w:color w:val="auto"/>
                <w:highlight w:val="none"/>
              </w:rPr>
              <w:t>系统</w:t>
            </w:r>
          </w:p>
        </w:tc>
        <w:tc>
          <w:tcPr>
            <w:tcW w:w="4134" w:type="pct"/>
            <w:tcBorders>
              <w:top w:val="single" w:color="000000" w:sz="8" w:space="0"/>
              <w:left w:val="nil"/>
              <w:bottom w:val="single" w:color="000000" w:sz="8" w:space="0"/>
              <w:right w:val="single" w:color="000000" w:sz="8" w:space="0"/>
            </w:tcBorders>
            <w:vAlign w:val="center"/>
          </w:tcPr>
          <w:p>
            <w:pPr>
              <w:rPr>
                <w:color w:val="auto"/>
                <w:highlight w:val="none"/>
              </w:rPr>
            </w:pPr>
            <w:r>
              <w:rPr>
                <w:rFonts w:hint="eastAsia"/>
                <w:color w:val="auto"/>
                <w:highlight w:val="none"/>
              </w:rPr>
              <w:t>保障范围</w:t>
            </w:r>
          </w:p>
        </w:tc>
      </w:tr>
      <w:tr>
        <w:tblPrEx>
          <w:tblCellMar>
            <w:top w:w="0" w:type="dxa"/>
            <w:left w:w="108" w:type="dxa"/>
            <w:bottom w:w="0" w:type="dxa"/>
            <w:right w:w="108" w:type="dxa"/>
          </w:tblCellMar>
        </w:tblPrEx>
        <w:trPr>
          <w:trHeight w:val="1220" w:hRule="atLeast"/>
        </w:trPr>
        <w:tc>
          <w:tcPr>
            <w:tcW w:w="866" w:type="pct"/>
            <w:vMerge w:val="restart"/>
            <w:tcBorders>
              <w:top w:val="nil"/>
              <w:left w:val="single" w:color="000000" w:sz="8" w:space="0"/>
              <w:bottom w:val="single" w:color="000000" w:sz="8" w:space="0"/>
              <w:right w:val="single" w:color="000000" w:sz="8" w:space="0"/>
            </w:tcBorders>
            <w:vAlign w:val="center"/>
          </w:tcPr>
          <w:p>
            <w:pPr>
              <w:rPr>
                <w:color w:val="auto"/>
                <w:highlight w:val="none"/>
              </w:rPr>
            </w:pPr>
            <w:r>
              <w:rPr>
                <w:rFonts w:hint="eastAsia"/>
                <w:color w:val="auto"/>
                <w:highlight w:val="none"/>
              </w:rPr>
              <w:t>ETC门架软件</w:t>
            </w: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I</w:t>
            </w:r>
            <w:r>
              <w:rPr>
                <w:rFonts w:hint="eastAsia" w:ascii="宋体" w:hAnsi="宋体" w:cs="Arial"/>
                <w:bCs/>
                <w:color w:val="auto"/>
                <w:szCs w:val="21"/>
                <w:highlight w:val="none"/>
              </w:rPr>
              <w:t>EF部署运维云平台服务，实现门架软件、计费模块的部署、运维平台管理，包括镜像管理、各门架的节点/容器应用批量管理、门架软件/计费模块容器化运行的应用生命周期管理、容器应用计算资源调度、容器镜像缓存、分权分域管理等。</w:t>
            </w:r>
          </w:p>
        </w:tc>
      </w:tr>
      <w:tr>
        <w:tblPrEx>
          <w:tblCellMar>
            <w:top w:w="0" w:type="dxa"/>
            <w:left w:w="108" w:type="dxa"/>
            <w:bottom w:w="0" w:type="dxa"/>
            <w:right w:w="108" w:type="dxa"/>
          </w:tblCellMar>
        </w:tblPrEx>
        <w:trPr>
          <w:trHeight w:val="1110" w:hRule="atLeast"/>
        </w:trPr>
        <w:tc>
          <w:tcPr>
            <w:tcW w:w="866"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门架系统配置云平台服务，包括省路段账号分权分域、收费单元、收费门架关系属性配置、运行参数在线管理、费率模块性能验算、镜像推送、跨省代收配置在线管理、版本管理等。</w:t>
            </w:r>
          </w:p>
        </w:tc>
      </w:tr>
      <w:tr>
        <w:tblPrEx>
          <w:tblCellMar>
            <w:top w:w="0" w:type="dxa"/>
            <w:left w:w="108" w:type="dxa"/>
            <w:bottom w:w="0" w:type="dxa"/>
            <w:right w:w="108" w:type="dxa"/>
          </w:tblCellMar>
        </w:tblPrEx>
        <w:trPr>
          <w:trHeight w:val="1395" w:hRule="atLeast"/>
        </w:trPr>
        <w:tc>
          <w:tcPr>
            <w:tcW w:w="866"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门架软件、计费模块部署中遇到的问题解答支持，问题来源包括网络配置调试、基础参数配置、运行参数配置、授权文件安装、基础依赖环境安装、依赖容器部署、门架软件容器部署，运行日志检查、调试以及与汇聚服务端(部中心、省中心、路中心)各个接口上传等各个方面。</w:t>
            </w:r>
          </w:p>
        </w:tc>
      </w:tr>
      <w:tr>
        <w:tblPrEx>
          <w:tblCellMar>
            <w:top w:w="0" w:type="dxa"/>
            <w:left w:w="108" w:type="dxa"/>
            <w:bottom w:w="0" w:type="dxa"/>
            <w:right w:w="108" w:type="dxa"/>
          </w:tblCellMar>
        </w:tblPrEx>
        <w:trPr>
          <w:trHeight w:val="977" w:hRule="atLeast"/>
        </w:trPr>
        <w:tc>
          <w:tcPr>
            <w:tcW w:w="866"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ETC门架关键设备(RSU、牌识设备等)版本管理，包括固件版本管理、镜像管理、在线升级包下发、升级过程监测、运行版本监测、异常版本警告等。</w:t>
            </w:r>
          </w:p>
        </w:tc>
      </w:tr>
      <w:tr>
        <w:tblPrEx>
          <w:tblCellMar>
            <w:top w:w="0" w:type="dxa"/>
            <w:left w:w="108" w:type="dxa"/>
            <w:bottom w:w="0" w:type="dxa"/>
            <w:right w:w="108" w:type="dxa"/>
          </w:tblCellMar>
        </w:tblPrEx>
        <w:trPr>
          <w:trHeight w:val="545" w:hRule="atLeast"/>
        </w:trPr>
        <w:tc>
          <w:tcPr>
            <w:tcW w:w="866"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跨省代收可视化配置、跨省代收启用管理、跨省代收费监测等工作</w:t>
            </w:r>
          </w:p>
        </w:tc>
      </w:tr>
      <w:tr>
        <w:tblPrEx>
          <w:tblCellMar>
            <w:top w:w="0" w:type="dxa"/>
            <w:left w:w="108" w:type="dxa"/>
            <w:bottom w:w="0" w:type="dxa"/>
            <w:right w:w="108" w:type="dxa"/>
          </w:tblCellMar>
        </w:tblPrEx>
        <w:trPr>
          <w:trHeight w:val="984" w:hRule="atLeast"/>
        </w:trPr>
        <w:tc>
          <w:tcPr>
            <w:tcW w:w="866"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4134"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ETC门架系统日常运维，包括ETC门架系统运行中相关业务问题咨询、异常运行问题分析和处理、日志问题排查、数据传输问题分析和解决等。</w:t>
            </w:r>
          </w:p>
        </w:tc>
      </w:tr>
    </w:tbl>
    <w:p>
      <w:pPr>
        <w:snapToGrid w:val="0"/>
        <w:spacing w:before="120" w:beforeLines="50" w:after="120" w:afterLines="50" w:line="320" w:lineRule="exact"/>
        <w:rPr>
          <w:rFonts w:ascii="宋体" w:hAnsi="宋体" w:cs="Arial"/>
          <w:bCs/>
          <w:color w:val="auto"/>
          <w:szCs w:val="21"/>
          <w:highlight w:val="none"/>
        </w:rPr>
      </w:pPr>
      <w:r>
        <w:rPr>
          <w:rFonts w:hint="eastAsia" w:ascii="宋体" w:hAnsi="宋体" w:cs="Arial"/>
          <w:bCs/>
          <w:color w:val="auto"/>
          <w:szCs w:val="21"/>
          <w:highlight w:val="none"/>
        </w:rPr>
        <w:t>（2）省内</w:t>
      </w:r>
      <w:r>
        <w:rPr>
          <w:rFonts w:ascii="宋体" w:hAnsi="宋体" w:cs="Arial"/>
          <w:bCs/>
          <w:color w:val="auto"/>
          <w:szCs w:val="21"/>
          <w:highlight w:val="none"/>
        </w:rPr>
        <w:t>运维</w:t>
      </w:r>
      <w:r>
        <w:rPr>
          <w:rFonts w:hint="eastAsia" w:ascii="宋体" w:hAnsi="宋体" w:cs="Arial"/>
          <w:bCs/>
          <w:color w:val="auto"/>
          <w:szCs w:val="21"/>
          <w:highlight w:val="none"/>
        </w:rPr>
        <w:t>工作（软件部分）</w:t>
      </w:r>
    </w:p>
    <w:p>
      <w:pPr>
        <w:snapToGrid w:val="0"/>
        <w:spacing w:before="120" w:beforeLines="50" w:after="120" w:afterLines="50" w:line="320" w:lineRule="exact"/>
        <w:ind w:firstLine="420"/>
        <w:rPr>
          <w:rFonts w:ascii="宋体" w:hAnsi="宋体" w:cs="Arial"/>
          <w:bCs/>
          <w:color w:val="auto"/>
          <w:szCs w:val="21"/>
          <w:highlight w:val="none"/>
        </w:rPr>
      </w:pPr>
      <w:r>
        <w:rPr>
          <w:rFonts w:hint="eastAsia" w:ascii="宋体" w:hAnsi="宋体" w:cs="Arial"/>
          <w:bCs/>
          <w:color w:val="auto"/>
          <w:szCs w:val="21"/>
          <w:highlight w:val="none"/>
        </w:rPr>
        <w:t>负责门架软件/计费模块/天线固件/车牌识别设备固件的部署、协助部级平台进行运行问题/日志分析、日常运维和常见问题解决、门架运行参数维护，省内的其他特殊运维要求等。</w:t>
      </w:r>
    </w:p>
    <w:p>
      <w:pPr>
        <w:snapToGrid w:val="0"/>
        <w:spacing w:before="120" w:beforeLines="50" w:after="120" w:afterLines="50" w:line="320" w:lineRule="exact"/>
        <w:ind w:firstLine="420"/>
        <w:rPr>
          <w:rFonts w:ascii="宋体" w:hAnsi="宋体" w:cs="Arial"/>
          <w:bCs/>
          <w:color w:val="auto"/>
          <w:szCs w:val="21"/>
          <w:highlight w:val="none"/>
        </w:rPr>
      </w:pPr>
      <w:r>
        <w:rPr>
          <w:rFonts w:hint="eastAsia" w:ascii="宋体" w:hAnsi="宋体" w:cs="Arial"/>
          <w:bCs/>
          <w:color w:val="auto"/>
          <w:szCs w:val="21"/>
          <w:highlight w:val="none"/>
        </w:rPr>
        <w:t>具体</w:t>
      </w:r>
      <w:r>
        <w:rPr>
          <w:rFonts w:ascii="宋体" w:hAnsi="宋体" w:cs="Arial"/>
          <w:bCs/>
          <w:color w:val="auto"/>
          <w:szCs w:val="21"/>
          <w:highlight w:val="none"/>
        </w:rPr>
        <w:t>服务内容</w:t>
      </w:r>
      <w:r>
        <w:rPr>
          <w:rFonts w:hint="eastAsia" w:ascii="宋体" w:hAnsi="宋体" w:cs="Arial"/>
          <w:bCs/>
          <w:color w:val="auto"/>
          <w:szCs w:val="21"/>
          <w:highlight w:val="none"/>
        </w:rPr>
        <w:t>如下</w:t>
      </w:r>
      <w:r>
        <w:rPr>
          <w:rFonts w:ascii="宋体" w:hAnsi="宋体" w:cs="Arial"/>
          <w:bCs/>
          <w:color w:val="auto"/>
          <w:szCs w:val="21"/>
          <w:highlight w:val="none"/>
        </w:rPr>
        <w:t>：</w:t>
      </w:r>
    </w:p>
    <w:tbl>
      <w:tblPr>
        <w:tblStyle w:val="45"/>
        <w:tblW w:w="5000" w:type="pct"/>
        <w:tblInd w:w="0" w:type="dxa"/>
        <w:tblLayout w:type="autofit"/>
        <w:tblCellMar>
          <w:top w:w="0" w:type="dxa"/>
          <w:left w:w="108" w:type="dxa"/>
          <w:bottom w:w="0" w:type="dxa"/>
          <w:right w:w="108" w:type="dxa"/>
        </w:tblCellMar>
      </w:tblPr>
      <w:tblGrid>
        <w:gridCol w:w="1738"/>
        <w:gridCol w:w="2092"/>
        <w:gridCol w:w="5116"/>
      </w:tblGrid>
      <w:tr>
        <w:tblPrEx>
          <w:tblCellMar>
            <w:top w:w="0" w:type="dxa"/>
            <w:left w:w="108" w:type="dxa"/>
            <w:bottom w:w="0" w:type="dxa"/>
            <w:right w:w="108" w:type="dxa"/>
          </w:tblCellMar>
        </w:tblPrEx>
        <w:trPr>
          <w:trHeight w:val="660" w:hRule="atLeast"/>
        </w:trPr>
        <w:tc>
          <w:tcPr>
            <w:tcW w:w="971" w:type="pct"/>
            <w:tcBorders>
              <w:top w:val="single" w:color="000000" w:sz="8" w:space="0"/>
              <w:left w:val="single" w:color="000000" w:sz="8" w:space="0"/>
              <w:bottom w:val="single" w:color="000000" w:sz="8" w:space="0"/>
              <w:right w:val="single" w:color="000000" w:sz="8" w:space="0"/>
            </w:tcBorders>
            <w:vAlign w:val="center"/>
          </w:tcPr>
          <w:p>
            <w:pPr>
              <w:rPr>
                <w:color w:val="auto"/>
                <w:highlight w:val="none"/>
              </w:rPr>
            </w:pPr>
            <w:r>
              <w:rPr>
                <w:rFonts w:hint="eastAsia"/>
                <w:color w:val="auto"/>
                <w:highlight w:val="none"/>
              </w:rPr>
              <w:t>系统</w:t>
            </w:r>
          </w:p>
        </w:tc>
        <w:tc>
          <w:tcPr>
            <w:tcW w:w="1169" w:type="pct"/>
            <w:tcBorders>
              <w:top w:val="single" w:color="000000" w:sz="8" w:space="0"/>
              <w:left w:val="nil"/>
              <w:bottom w:val="single" w:color="000000" w:sz="8" w:space="0"/>
              <w:right w:val="single" w:color="000000" w:sz="8" w:space="0"/>
            </w:tcBorders>
            <w:vAlign w:val="center"/>
          </w:tcPr>
          <w:p>
            <w:pPr>
              <w:rPr>
                <w:color w:val="auto"/>
                <w:highlight w:val="none"/>
              </w:rPr>
            </w:pPr>
            <w:r>
              <w:rPr>
                <w:rFonts w:hint="eastAsia"/>
                <w:color w:val="auto"/>
                <w:highlight w:val="none"/>
              </w:rPr>
              <w:t>模块</w:t>
            </w:r>
          </w:p>
        </w:tc>
        <w:tc>
          <w:tcPr>
            <w:tcW w:w="2859" w:type="pct"/>
            <w:tcBorders>
              <w:top w:val="single" w:color="000000" w:sz="8" w:space="0"/>
              <w:left w:val="nil"/>
              <w:bottom w:val="single" w:color="000000" w:sz="8" w:space="0"/>
              <w:right w:val="single" w:color="000000" w:sz="8" w:space="0"/>
            </w:tcBorders>
            <w:vAlign w:val="center"/>
          </w:tcPr>
          <w:p>
            <w:pPr>
              <w:rPr>
                <w:color w:val="auto"/>
                <w:highlight w:val="none"/>
              </w:rPr>
            </w:pPr>
            <w:r>
              <w:rPr>
                <w:rFonts w:hint="eastAsia"/>
                <w:color w:val="auto"/>
                <w:highlight w:val="none"/>
              </w:rPr>
              <w:t>保障范围</w:t>
            </w:r>
          </w:p>
        </w:tc>
      </w:tr>
      <w:tr>
        <w:tblPrEx>
          <w:tblCellMar>
            <w:top w:w="0" w:type="dxa"/>
            <w:left w:w="108" w:type="dxa"/>
            <w:bottom w:w="0" w:type="dxa"/>
            <w:right w:w="108" w:type="dxa"/>
          </w:tblCellMar>
        </w:tblPrEx>
        <w:trPr>
          <w:trHeight w:val="343" w:hRule="atLeast"/>
        </w:trPr>
        <w:tc>
          <w:tcPr>
            <w:tcW w:w="971" w:type="pct"/>
            <w:vMerge w:val="restart"/>
            <w:tcBorders>
              <w:top w:val="nil"/>
              <w:left w:val="single" w:color="000000" w:sz="8" w:space="0"/>
              <w:bottom w:val="single" w:color="000000" w:sz="8" w:space="0"/>
              <w:right w:val="single" w:color="000000" w:sz="8" w:space="0"/>
            </w:tcBorders>
            <w:vAlign w:val="center"/>
          </w:tcPr>
          <w:p>
            <w:pPr>
              <w:rPr>
                <w:color w:val="auto"/>
                <w:highlight w:val="none"/>
              </w:rPr>
            </w:pPr>
            <w:r>
              <w:rPr>
                <w:rFonts w:hint="eastAsia"/>
                <w:color w:val="auto"/>
                <w:highlight w:val="none"/>
              </w:rPr>
              <w:t>ETC门架软件</w:t>
            </w:r>
          </w:p>
        </w:tc>
        <w:tc>
          <w:tcPr>
            <w:tcW w:w="1169"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门架收费单元维护</w:t>
            </w:r>
          </w:p>
        </w:tc>
        <w:tc>
          <w:tcPr>
            <w:tcW w:w="2859" w:type="pct"/>
            <w:tcBorders>
              <w:top w:val="nil"/>
              <w:left w:val="nil"/>
              <w:bottom w:val="single" w:color="000000" w:sz="8" w:space="0"/>
              <w:right w:val="single" w:color="000000" w:sz="8" w:space="0"/>
            </w:tcBorders>
            <w:vAlign w:val="center"/>
          </w:tcPr>
          <w:p>
            <w:pPr>
              <w:rPr>
                <w:color w:val="auto"/>
                <w:highlight w:val="none"/>
              </w:rPr>
            </w:pPr>
            <w:r>
              <w:rPr>
                <w:rFonts w:hint="eastAsia"/>
                <w:color w:val="auto"/>
                <w:highlight w:val="none"/>
              </w:rPr>
              <w:t>对全区门架的收费单元进行定义</w:t>
            </w:r>
            <w:r>
              <w:rPr>
                <w:color w:val="auto"/>
                <w:highlight w:val="none"/>
              </w:rPr>
              <w:t>、录入和维护。</w:t>
            </w:r>
          </w:p>
        </w:tc>
      </w:tr>
      <w:tr>
        <w:tblPrEx>
          <w:tblCellMar>
            <w:top w:w="0" w:type="dxa"/>
            <w:left w:w="108" w:type="dxa"/>
            <w:bottom w:w="0" w:type="dxa"/>
            <w:right w:w="108" w:type="dxa"/>
          </w:tblCellMar>
        </w:tblPrEx>
        <w:trPr>
          <w:trHeight w:val="391"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门架编号维护</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对全区门架编号进行定义</w:t>
            </w:r>
            <w:r>
              <w:rPr>
                <w:color w:val="auto"/>
                <w:highlight w:val="none"/>
              </w:rPr>
              <w:t>、录入和维护。</w:t>
            </w:r>
          </w:p>
        </w:tc>
      </w:tr>
      <w:tr>
        <w:tblPrEx>
          <w:tblCellMar>
            <w:top w:w="0" w:type="dxa"/>
            <w:left w:w="108" w:type="dxa"/>
            <w:bottom w:w="0" w:type="dxa"/>
            <w:right w:w="108" w:type="dxa"/>
          </w:tblCellMar>
        </w:tblPrEx>
        <w:trPr>
          <w:trHeight w:val="837"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门架运行参数</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对门架系统配置平台中的网络配置、基础参数、授权文件、门架关系属性、天线和牌识等设备运行参数进行配置和维护。</w:t>
            </w:r>
          </w:p>
        </w:tc>
      </w:tr>
      <w:tr>
        <w:tblPrEx>
          <w:tblCellMar>
            <w:top w:w="0" w:type="dxa"/>
            <w:left w:w="108" w:type="dxa"/>
            <w:bottom w:w="0" w:type="dxa"/>
            <w:right w:w="108" w:type="dxa"/>
          </w:tblCellMar>
        </w:tblPrEx>
        <w:trPr>
          <w:trHeight w:val="551"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门架节点运维</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保证各路段门架节点在线，对故障节点及时进行处理</w:t>
            </w:r>
            <w:r>
              <w:rPr>
                <w:color w:val="auto"/>
                <w:highlight w:val="none"/>
              </w:rPr>
              <w:t>。</w:t>
            </w:r>
          </w:p>
        </w:tc>
      </w:tr>
      <w:tr>
        <w:tblPrEx>
          <w:tblCellMar>
            <w:top w:w="0" w:type="dxa"/>
            <w:left w:w="108" w:type="dxa"/>
            <w:bottom w:w="0" w:type="dxa"/>
            <w:right w:w="108" w:type="dxa"/>
          </w:tblCellMar>
        </w:tblPrEx>
        <w:trPr>
          <w:trHeight w:val="545"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门架数据存储运维</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保证各路段门架服务器数据正常存储，主备切换正常</w:t>
            </w:r>
            <w:r>
              <w:rPr>
                <w:color w:val="auto"/>
                <w:highlight w:val="none"/>
              </w:rPr>
              <w:t>。</w:t>
            </w:r>
          </w:p>
        </w:tc>
      </w:tr>
      <w:tr>
        <w:tblPrEx>
          <w:tblCellMar>
            <w:top w:w="0" w:type="dxa"/>
            <w:left w:w="108" w:type="dxa"/>
            <w:bottom w:w="0" w:type="dxa"/>
            <w:right w:w="108" w:type="dxa"/>
          </w:tblCellMar>
        </w:tblPrEx>
        <w:trPr>
          <w:trHeight w:val="680"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门架应用运维</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保证各路段门架前端和后台的容器及应用正常运行</w:t>
            </w:r>
            <w:r>
              <w:rPr>
                <w:color w:val="auto"/>
                <w:highlight w:val="none"/>
              </w:rPr>
              <w:t>。</w:t>
            </w:r>
          </w:p>
        </w:tc>
      </w:tr>
      <w:tr>
        <w:tblPrEx>
          <w:tblCellMar>
            <w:top w:w="0" w:type="dxa"/>
            <w:left w:w="108" w:type="dxa"/>
            <w:bottom w:w="0" w:type="dxa"/>
            <w:right w:w="108" w:type="dxa"/>
          </w:tblCellMar>
        </w:tblPrEx>
        <w:trPr>
          <w:trHeight w:val="1115"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门架状态远程巡检</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定期进行门架状态进行远程巡检，包括门架运行状态、天线状态、牌识状态、数据传输状态、时钟同步状态、秘钥授权状态、硬盘及内存状态，故障分析反馈。</w:t>
            </w:r>
          </w:p>
        </w:tc>
      </w:tr>
      <w:tr>
        <w:tblPrEx>
          <w:tblCellMar>
            <w:top w:w="0" w:type="dxa"/>
            <w:left w:w="108" w:type="dxa"/>
            <w:bottom w:w="0" w:type="dxa"/>
            <w:right w:w="108" w:type="dxa"/>
          </w:tblCellMar>
        </w:tblPrEx>
        <w:trPr>
          <w:trHeight w:val="692"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门架前端应用升级</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对门架前端软件版本进行升级</w:t>
            </w:r>
            <w:r>
              <w:rPr>
                <w:color w:val="auto"/>
                <w:highlight w:val="none"/>
              </w:rPr>
              <w:t>，对升级过程进行监测反馈、问题分析处理。</w:t>
            </w:r>
          </w:p>
        </w:tc>
      </w:tr>
      <w:tr>
        <w:tblPrEx>
          <w:tblCellMar>
            <w:top w:w="0" w:type="dxa"/>
            <w:left w:w="108" w:type="dxa"/>
            <w:bottom w:w="0" w:type="dxa"/>
            <w:right w:w="108" w:type="dxa"/>
          </w:tblCellMar>
        </w:tblPrEx>
        <w:trPr>
          <w:trHeight w:val="831"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门架服务器软件升级</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对门架服务器软件版本及数据库进行升级</w:t>
            </w:r>
            <w:r>
              <w:rPr>
                <w:color w:val="auto"/>
                <w:highlight w:val="none"/>
              </w:rPr>
              <w:t>，对升级过程进行监测反馈、问题分析处理。</w:t>
            </w:r>
          </w:p>
        </w:tc>
      </w:tr>
      <w:tr>
        <w:tblPrEx>
          <w:tblCellMar>
            <w:top w:w="0" w:type="dxa"/>
            <w:left w:w="108" w:type="dxa"/>
            <w:bottom w:w="0" w:type="dxa"/>
            <w:right w:w="108" w:type="dxa"/>
          </w:tblCellMar>
        </w:tblPrEx>
        <w:trPr>
          <w:trHeight w:val="984"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计费模块升级</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按照省中心要求对全区门架计费模块进行升级，保障门架计费的准确性，对升级过程进行监测反馈、问题分析处理。</w:t>
            </w:r>
          </w:p>
        </w:tc>
      </w:tr>
      <w:tr>
        <w:tblPrEx>
          <w:tblCellMar>
            <w:top w:w="0" w:type="dxa"/>
            <w:left w:w="108" w:type="dxa"/>
            <w:bottom w:w="0" w:type="dxa"/>
            <w:right w:w="108" w:type="dxa"/>
          </w:tblCellMar>
        </w:tblPrEx>
        <w:trPr>
          <w:trHeight w:val="828"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门架数据部站传输</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保障门架交易和牌识数据能够及时上传</w:t>
            </w:r>
            <w:r>
              <w:rPr>
                <w:color w:val="auto"/>
                <w:highlight w:val="none"/>
              </w:rPr>
              <w:t>至部中心。若为网络问题导致故障，及时进行上报。</w:t>
            </w:r>
          </w:p>
        </w:tc>
      </w:tr>
      <w:tr>
        <w:tblPrEx>
          <w:tblCellMar>
            <w:top w:w="0" w:type="dxa"/>
            <w:left w:w="108" w:type="dxa"/>
            <w:bottom w:w="0" w:type="dxa"/>
            <w:right w:w="108" w:type="dxa"/>
          </w:tblCellMar>
        </w:tblPrEx>
        <w:trPr>
          <w:trHeight w:val="827"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门架数据部省传输</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保障门架交易和牌识数据能够及时上传至省中心</w:t>
            </w:r>
            <w:r>
              <w:rPr>
                <w:color w:val="auto"/>
                <w:highlight w:val="none"/>
              </w:rPr>
              <w:t>。若为网络问题导致故障，及时进行上报。</w:t>
            </w:r>
          </w:p>
        </w:tc>
      </w:tr>
      <w:tr>
        <w:tblPrEx>
          <w:tblCellMar>
            <w:top w:w="0" w:type="dxa"/>
            <w:left w:w="108" w:type="dxa"/>
            <w:bottom w:w="0" w:type="dxa"/>
            <w:right w:w="108" w:type="dxa"/>
          </w:tblCellMar>
        </w:tblPrEx>
        <w:trPr>
          <w:trHeight w:val="825"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门架图片</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保障门架图片能够及时按需调取</w:t>
            </w:r>
            <w:r>
              <w:rPr>
                <w:color w:val="auto"/>
                <w:highlight w:val="none"/>
              </w:rPr>
              <w:t>。若为网络问题导致故障，及时进行上报。</w:t>
            </w:r>
          </w:p>
        </w:tc>
      </w:tr>
      <w:tr>
        <w:tblPrEx>
          <w:tblCellMar>
            <w:top w:w="0" w:type="dxa"/>
            <w:left w:w="108" w:type="dxa"/>
            <w:bottom w:w="0" w:type="dxa"/>
            <w:right w:w="108" w:type="dxa"/>
          </w:tblCellMar>
        </w:tblPrEx>
        <w:trPr>
          <w:trHeight w:val="1060"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门架镜像加速服务</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保障省中心门架镜像加速服务正常运行，能够</w:t>
            </w:r>
            <w:r>
              <w:rPr>
                <w:color w:val="auto"/>
                <w:highlight w:val="none"/>
              </w:rPr>
              <w:t>从部中心下载镜像和应用并升级至门架前端。</w:t>
            </w:r>
          </w:p>
        </w:tc>
      </w:tr>
      <w:tr>
        <w:tblPrEx>
          <w:tblCellMar>
            <w:top w:w="0" w:type="dxa"/>
            <w:left w:w="108" w:type="dxa"/>
            <w:bottom w:w="0" w:type="dxa"/>
            <w:right w:w="108" w:type="dxa"/>
          </w:tblCellMar>
        </w:tblPrEx>
        <w:trPr>
          <w:trHeight w:val="688"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门架镜像服务器升级</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配合部中心对门架镜像服务器软件版本及数据库进行升级。</w:t>
            </w:r>
          </w:p>
        </w:tc>
      </w:tr>
      <w:tr>
        <w:tblPrEx>
          <w:tblCellMar>
            <w:top w:w="0" w:type="dxa"/>
            <w:left w:w="108" w:type="dxa"/>
            <w:bottom w:w="0" w:type="dxa"/>
            <w:right w:w="108" w:type="dxa"/>
          </w:tblCellMar>
        </w:tblPrEx>
        <w:trPr>
          <w:trHeight w:val="688"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门架设备更换调试</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配合运营公司对门架更换的设备进行配置、调试。</w:t>
            </w:r>
          </w:p>
        </w:tc>
      </w:tr>
      <w:tr>
        <w:tblPrEx>
          <w:tblCellMar>
            <w:top w:w="0" w:type="dxa"/>
            <w:left w:w="108" w:type="dxa"/>
            <w:bottom w:w="0" w:type="dxa"/>
            <w:right w:w="108" w:type="dxa"/>
          </w:tblCellMar>
        </w:tblPrEx>
        <w:trPr>
          <w:trHeight w:val="712"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门架系统技术咨询</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向运营公司运维人员提供门架系统运维的技术咨询服务。</w:t>
            </w:r>
          </w:p>
        </w:tc>
      </w:tr>
      <w:tr>
        <w:tblPrEx>
          <w:tblCellMar>
            <w:top w:w="0" w:type="dxa"/>
            <w:left w:w="108" w:type="dxa"/>
            <w:bottom w:w="0" w:type="dxa"/>
            <w:right w:w="108" w:type="dxa"/>
          </w:tblCellMar>
        </w:tblPrEx>
        <w:trPr>
          <w:trHeight w:val="693" w:hRule="atLeast"/>
        </w:trPr>
        <w:tc>
          <w:tcPr>
            <w:tcW w:w="971" w:type="pct"/>
            <w:vMerge w:val="continue"/>
            <w:tcBorders>
              <w:top w:val="nil"/>
              <w:left w:val="single" w:color="000000" w:sz="8" w:space="0"/>
              <w:bottom w:val="single" w:color="000000" w:sz="8" w:space="0"/>
              <w:right w:val="single" w:color="000000" w:sz="8" w:space="0"/>
            </w:tcBorders>
            <w:vAlign w:val="center"/>
          </w:tcPr>
          <w:p>
            <w:pPr>
              <w:rPr>
                <w:color w:val="auto"/>
                <w:highlight w:val="none"/>
              </w:rPr>
            </w:pPr>
          </w:p>
        </w:tc>
        <w:tc>
          <w:tcPr>
            <w:tcW w:w="116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门架新增</w:t>
            </w:r>
            <w:r>
              <w:rPr>
                <w:color w:val="auto"/>
                <w:highlight w:val="none"/>
              </w:rPr>
              <w:t>/启用/停用</w:t>
            </w:r>
          </w:p>
        </w:tc>
        <w:tc>
          <w:tcPr>
            <w:tcW w:w="2859" w:type="pct"/>
            <w:tcBorders>
              <w:top w:val="nil"/>
              <w:left w:val="nil"/>
              <w:bottom w:val="single" w:color="000000" w:sz="8" w:space="0"/>
              <w:right w:val="single" w:color="000000" w:sz="8" w:space="0"/>
            </w:tcBorders>
            <w:vAlign w:val="center"/>
          </w:tcPr>
          <w:p>
            <w:pPr>
              <w:widowControl/>
              <w:textAlignment w:val="center"/>
              <w:rPr>
                <w:color w:val="auto"/>
                <w:highlight w:val="none"/>
              </w:rPr>
            </w:pPr>
            <w:r>
              <w:rPr>
                <w:rFonts w:hint="eastAsia"/>
                <w:color w:val="auto"/>
                <w:highlight w:val="none"/>
              </w:rPr>
              <w:t>新路段新增门架管理，配合运营公司对门架进行停用、启用等更新操作。</w:t>
            </w:r>
          </w:p>
        </w:tc>
      </w:tr>
    </w:tbl>
    <w:p>
      <w:pPr>
        <w:snapToGrid w:val="0"/>
        <w:spacing w:before="120" w:beforeLines="50" w:after="120" w:afterLines="50" w:line="320" w:lineRule="exact"/>
        <w:rPr>
          <w:rFonts w:ascii="宋体" w:hAnsi="宋体" w:cs="Arial"/>
          <w:b/>
          <w:bCs/>
          <w:color w:val="auto"/>
          <w:szCs w:val="21"/>
          <w:highlight w:val="none"/>
        </w:rPr>
      </w:pPr>
    </w:p>
    <w:p>
      <w:pPr>
        <w:snapToGrid w:val="0"/>
        <w:spacing w:before="120" w:beforeLines="50" w:after="120" w:afterLines="50" w:line="320" w:lineRule="exact"/>
        <w:rPr>
          <w:rFonts w:ascii="宋体" w:hAnsi="宋体" w:cs="Arial"/>
          <w:b/>
          <w:bCs/>
          <w:color w:val="auto"/>
          <w:szCs w:val="21"/>
          <w:highlight w:val="none"/>
        </w:rPr>
      </w:pPr>
      <w:bookmarkStart w:id="47" w:name="_Toc536118121"/>
      <w:bookmarkStart w:id="48" w:name="_Toc468896985"/>
      <w:r>
        <w:rPr>
          <w:rFonts w:hint="eastAsia" w:ascii="宋体" w:hAnsi="宋体" w:cs="Arial"/>
          <w:b/>
          <w:bCs/>
          <w:color w:val="auto"/>
          <w:szCs w:val="21"/>
          <w:highlight w:val="none"/>
        </w:rPr>
        <w:t>四、</w:t>
      </w:r>
      <w:r>
        <w:rPr>
          <w:rFonts w:hint="eastAsia" w:ascii="宋体" w:hAnsi="宋体" w:cs="Arial"/>
          <w:b/>
          <w:bCs/>
          <w:color w:val="auto"/>
          <w:szCs w:val="21"/>
          <w:highlight w:val="none"/>
          <w:lang w:eastAsia="zh-CN"/>
        </w:rPr>
        <w:t>广西ETC门架系统运维服务</w:t>
      </w:r>
      <w:r>
        <w:rPr>
          <w:rFonts w:hint="eastAsia" w:ascii="宋体" w:hAnsi="宋体" w:cs="Arial"/>
          <w:b/>
          <w:bCs/>
          <w:color w:val="auto"/>
          <w:szCs w:val="21"/>
          <w:highlight w:val="none"/>
        </w:rPr>
        <w:t>售后服务及其他要求</w:t>
      </w:r>
      <w:bookmarkEnd w:id="47"/>
      <w:bookmarkEnd w:id="48"/>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1、维护期内，必须提供7*24小时的技术</w:t>
      </w:r>
      <w:r>
        <w:rPr>
          <w:rFonts w:ascii="宋体" w:hAnsi="宋体"/>
          <w:color w:val="auto"/>
          <w:szCs w:val="21"/>
          <w:highlight w:val="none"/>
        </w:rPr>
        <w:t>支持</w:t>
      </w:r>
      <w:r>
        <w:rPr>
          <w:rFonts w:hint="eastAsia" w:ascii="宋体" w:hAnsi="宋体"/>
          <w:color w:val="auto"/>
          <w:szCs w:val="21"/>
          <w:highlight w:val="none"/>
        </w:rPr>
        <w:t>。中标人在接到采购人或其下属维护部门的故障报修后，</w:t>
      </w:r>
      <w:r>
        <w:rPr>
          <w:rFonts w:ascii="宋体" w:hAnsi="宋体"/>
          <w:color w:val="auto"/>
          <w:szCs w:val="21"/>
          <w:highlight w:val="none"/>
        </w:rPr>
        <w:t>1</w:t>
      </w:r>
      <w:r>
        <w:rPr>
          <w:rFonts w:hint="eastAsia" w:ascii="宋体" w:hAnsi="宋体"/>
          <w:color w:val="auto"/>
          <w:szCs w:val="21"/>
          <w:highlight w:val="none"/>
        </w:rPr>
        <w:t>小时内实质响应，软件故障的最终修复从报修时间算起不能超过</w:t>
      </w:r>
      <w:r>
        <w:rPr>
          <w:rFonts w:ascii="宋体" w:hAnsi="宋体"/>
          <w:color w:val="auto"/>
          <w:szCs w:val="21"/>
          <w:highlight w:val="none"/>
        </w:rPr>
        <w:t>24</w:t>
      </w:r>
      <w:r>
        <w:rPr>
          <w:rFonts w:hint="eastAsia" w:ascii="宋体" w:hAnsi="宋体"/>
          <w:color w:val="auto"/>
          <w:szCs w:val="21"/>
          <w:highlight w:val="none"/>
        </w:rPr>
        <w:t>小时；如中标人逾期不能修复，采购人可委托第三方代为实施，相关费用由中标人承担。</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2、中标人必须提供3名以上专职工程师为ETC门架系统进行专业维护，且至少保证有1名工程师进驻采购人单位24小时驻点值班。</w:t>
      </w:r>
    </w:p>
    <w:p>
      <w:pPr>
        <w:snapToGrid w:val="0"/>
        <w:spacing w:line="320" w:lineRule="exact"/>
        <w:ind w:firstLine="420" w:firstLineChars="200"/>
        <w:rPr>
          <w:rFonts w:eastAsia="仿宋_GB2312"/>
          <w:color w:val="auto"/>
          <w:highlight w:val="none"/>
        </w:rPr>
      </w:pPr>
      <w:r>
        <w:rPr>
          <w:rFonts w:hint="eastAsia" w:ascii="宋体" w:hAnsi="宋体"/>
          <w:color w:val="auto"/>
          <w:szCs w:val="21"/>
          <w:highlight w:val="none"/>
        </w:rPr>
        <w:t>3、中标人必须向全区高速公路运营单位公开维保服务电话号码及专职工程师移动电话，保证值班工程师电话24小时通讯畅通，故障及时响应。出现故障提供远程技术支持服务，当远程无法排除故障时，应及时到现场进行处理，同时记录相关处理情况，形成维护记录表，在维护到期时汇编成册提交给采购方。</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4、ETC门架系统发生故障时，中标人必须积极配合高速公路运营单位进行故障排查工作。</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中标人必须按《关于印发&lt;收费公路联网收费系统运维工作指南（暂行）&gt;的函》（交路网函〔2021〕288号）文件要求对广西高速公路ETC门架系统提供日常巡检服务，并填写《巡检记录表》。主要内容包括：收费门架系统运行情况、系统日志、系统告警及故障处理等，并将《巡检记录表》提交给采购人。</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6、对于系统本身存在的功能缺陷，采购人提出对系统进行升级完善，在不涉及系统重大改变的情况下，中标人应作为维保内容范围予以完成。对于涉及系统重大调整改变的，中标人需提供相关技术支持，协助采购人制定系统调整和升级方案。</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7、维护记录</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中标人在维护期间应做好维护记录表，记录报修时间、响应时间、完成时间、维护人、维护原因、解决办法、报障人信息（姓名、电话、单位）等内容，每季度汇编成册交予采购人。</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8、投标人在投标书中必须明确承诺达到用户的服务响应要求。</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9、因中标人的原因，导致采购人系统出现安全事故，由中标人承担造成的所有损失。</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10、因中标人的原因，造成联网收费系统发生数据丢失、数据传输错误、传输延迟等系统故障5次以上的，中标人履约保证金不再退还。</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11、因中标人的原因，造成联网收费系统通行费损失或高速公路运营单位经济损失的，由中标人承担所有损失。</w:t>
      </w:r>
    </w:p>
    <w:p>
      <w:pPr>
        <w:snapToGrid w:val="0"/>
        <w:spacing w:line="320" w:lineRule="exact"/>
        <w:ind w:firstLine="420" w:firstLineChars="200"/>
        <w:rPr>
          <w:rFonts w:ascii="宋体" w:hAnsi="宋体"/>
          <w:color w:val="auto"/>
          <w:szCs w:val="21"/>
          <w:highlight w:val="none"/>
        </w:rPr>
      </w:pPr>
    </w:p>
    <w:p>
      <w:pPr>
        <w:snapToGrid w:val="0"/>
        <w:spacing w:before="120" w:beforeLines="50" w:after="120" w:afterLines="50" w:line="320" w:lineRule="exact"/>
        <w:rPr>
          <w:rFonts w:ascii="宋体" w:hAnsi="宋体" w:cs="Arial"/>
          <w:b/>
          <w:bCs/>
          <w:color w:val="auto"/>
          <w:szCs w:val="21"/>
          <w:highlight w:val="none"/>
        </w:rPr>
      </w:pPr>
      <w:bookmarkStart w:id="49" w:name="_Toc536118122"/>
      <w:bookmarkStart w:id="50" w:name="_Toc468896986"/>
      <w:r>
        <w:rPr>
          <w:rFonts w:hint="eastAsia" w:ascii="宋体" w:hAnsi="宋体" w:cs="Arial"/>
          <w:b/>
          <w:bCs/>
          <w:color w:val="auto"/>
          <w:szCs w:val="21"/>
          <w:highlight w:val="none"/>
        </w:rPr>
        <w:t>五、验收标准</w:t>
      </w:r>
      <w:bookmarkEnd w:id="49"/>
      <w:bookmarkEnd w:id="50"/>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1、在项目验收时，中标人对每次巡检和重大故障处理情况形成纸质文件汇编成册和扫描成PDF文件提交采购人。</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2、提交年度维护报告，对采购人自身的软件运行情况进行汇总，并提出合理的优化建议，汇编成册提交给采购人。</w:t>
      </w:r>
    </w:p>
    <w:p>
      <w:pPr>
        <w:snapToGrid w:val="0"/>
        <w:spacing w:line="3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、高速公路运营</w:t>
      </w:r>
      <w:r>
        <w:rPr>
          <w:rFonts w:ascii="宋体" w:hAnsi="宋体"/>
          <w:color w:val="auto"/>
          <w:szCs w:val="21"/>
          <w:highlight w:val="none"/>
        </w:rPr>
        <w:t>单位</w:t>
      </w:r>
      <w:r>
        <w:rPr>
          <w:rFonts w:hint="eastAsia" w:ascii="宋体" w:hAnsi="宋体"/>
          <w:color w:val="auto"/>
          <w:szCs w:val="21"/>
          <w:highlight w:val="none"/>
        </w:rPr>
        <w:t>对运维</w:t>
      </w:r>
      <w:r>
        <w:rPr>
          <w:rFonts w:ascii="宋体" w:hAnsi="宋体"/>
          <w:color w:val="auto"/>
          <w:szCs w:val="21"/>
          <w:highlight w:val="none"/>
        </w:rPr>
        <w:t>工作的服务</w:t>
      </w:r>
      <w:r>
        <w:rPr>
          <w:rFonts w:hint="eastAsia" w:ascii="宋体" w:hAnsi="宋体"/>
          <w:color w:val="auto"/>
          <w:szCs w:val="21"/>
          <w:highlight w:val="none"/>
        </w:rPr>
        <w:t>满意度总体达到90%以上。</w:t>
      </w:r>
    </w:p>
    <w:p>
      <w:pPr>
        <w:snapToGrid w:val="0"/>
        <w:spacing w:before="120" w:beforeLines="50" w:after="120" w:afterLines="50" w:line="320" w:lineRule="exact"/>
        <w:rPr>
          <w:rFonts w:ascii="宋体" w:hAnsi="宋体" w:cs="Arial"/>
          <w:b/>
          <w:bCs/>
          <w:color w:val="auto"/>
          <w:szCs w:val="21"/>
          <w:highlight w:val="none"/>
        </w:rPr>
      </w:pPr>
      <w:bookmarkStart w:id="51" w:name="_Toc468896987"/>
      <w:bookmarkStart w:id="52" w:name="_Toc536118123"/>
      <w:r>
        <w:rPr>
          <w:rFonts w:hint="eastAsia" w:ascii="宋体" w:hAnsi="宋体" w:cs="Arial"/>
          <w:b/>
          <w:bCs/>
          <w:color w:val="auto"/>
          <w:szCs w:val="21"/>
          <w:highlight w:val="none"/>
        </w:rPr>
        <w:t>六、付款方式</w:t>
      </w:r>
      <w:bookmarkEnd w:id="51"/>
      <w:bookmarkEnd w:id="52"/>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1、履约保证金：中标人在签订合同时按合同金额的</w:t>
      </w:r>
      <w:r>
        <w:rPr>
          <w:rFonts w:hint="eastAsia" w:ascii="宋体" w:hAnsi="宋体" w:cs="宋体"/>
          <w:color w:val="auto"/>
          <w:szCs w:val="21"/>
          <w:highlight w:val="none"/>
        </w:rPr>
        <w:t>5%（如为小微企业，则按合同金额的2%）向采购人支付履约保证金（履约保证金作为违约金的一部分用于补偿甲方因乙方不能履行合同义务所蒙受的损失），履约保证金在验收合格后自动转为质量保证金，待运维服务结束后</w:t>
      </w:r>
      <w:r>
        <w:rPr>
          <w:rFonts w:hint="eastAsia" w:ascii="宋体" w:hAnsi="宋体"/>
          <w:color w:val="auto"/>
          <w:szCs w:val="21"/>
          <w:highlight w:val="none"/>
        </w:rPr>
        <w:t>5个工作日内无息退还。</w:t>
      </w:r>
    </w:p>
    <w:p>
      <w:pPr>
        <w:snapToGrid w:val="0"/>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2、付款方式：合同签订并提交服务方案后经采购人认可，10个工作日内支付</w:t>
      </w:r>
      <w:r>
        <w:rPr>
          <w:rFonts w:ascii="宋体" w:hAnsi="宋体"/>
          <w:color w:val="auto"/>
          <w:szCs w:val="21"/>
          <w:highlight w:val="none"/>
        </w:rPr>
        <w:t>5</w:t>
      </w:r>
      <w:r>
        <w:rPr>
          <w:rFonts w:hint="eastAsia" w:ascii="宋体" w:hAnsi="宋体"/>
          <w:color w:val="auto"/>
          <w:szCs w:val="21"/>
          <w:highlight w:val="none"/>
        </w:rPr>
        <w:t>0%合同款，</w:t>
      </w:r>
      <w:r>
        <w:rPr>
          <w:rFonts w:ascii="宋体" w:hAnsi="宋体"/>
          <w:color w:val="auto"/>
          <w:szCs w:val="21"/>
          <w:highlight w:val="none"/>
        </w:rPr>
        <w:t>5</w:t>
      </w:r>
      <w:r>
        <w:rPr>
          <w:rFonts w:hint="eastAsia" w:ascii="宋体" w:hAnsi="宋体"/>
          <w:color w:val="auto"/>
          <w:szCs w:val="21"/>
          <w:highlight w:val="none"/>
        </w:rPr>
        <w:t>0%的余款待运维服务达2个月且无服务质量问题并验收合格后10个工作日内付清</w:t>
      </w:r>
      <w:r>
        <w:rPr>
          <w:rFonts w:hint="eastAsia" w:ascii="宋体" w:hAnsi="宋体"/>
          <w:color w:val="auto"/>
          <w:szCs w:val="21"/>
          <w:highlight w:val="none"/>
          <w:lang w:eastAsia="zh-CN"/>
        </w:rPr>
        <w:t>，</w:t>
      </w:r>
      <w:r>
        <w:rPr>
          <w:rFonts w:hint="eastAsia" w:ascii="宋体" w:hAnsi="宋体"/>
          <w:color w:val="auto"/>
          <w:szCs w:val="21"/>
          <w:highlight w:val="none"/>
        </w:rPr>
        <w:t>中标人向采购人申请结算时开具增值税专用发票。</w:t>
      </w: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sectPr>
          <w:headerReference r:id="rId3" w:type="first"/>
          <w:footerReference r:id="rId5" w:type="first"/>
          <w:footerReference r:id="rId4" w:type="default"/>
          <w:pgSz w:w="11910" w:h="16840"/>
          <w:pgMar w:top="1520" w:right="1500" w:bottom="1276" w:left="1680" w:header="720" w:footer="720" w:gutter="0"/>
          <w:pgNumType w:start="0"/>
          <w:cols w:space="720" w:num="1"/>
          <w:titlePg/>
          <w:docGrid w:linePitch="286" w:charSpace="0"/>
        </w:sectPr>
      </w:pPr>
    </w:p>
    <w:p>
      <w:pPr>
        <w:pStyle w:val="4"/>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bookmarkStart w:id="53" w:name="_Toc100653791"/>
      <w:r>
        <w:rPr>
          <w:rFonts w:hint="eastAsia"/>
          <w:color w:val="auto"/>
          <w:highlight w:val="none"/>
        </w:rPr>
        <w:t>第三章  投标人须知</w:t>
      </w:r>
      <w:bookmarkEnd w:id="53"/>
    </w:p>
    <w:p>
      <w:pPr>
        <w:jc w:val="center"/>
        <w:rPr>
          <w:color w:val="auto"/>
          <w:sz w:val="36"/>
          <w:szCs w:val="36"/>
          <w:highlight w:val="none"/>
        </w:rPr>
      </w:pPr>
      <w:bookmarkStart w:id="54" w:name="_Toc254970667"/>
      <w:bookmarkStart w:id="55" w:name="_Toc254970526"/>
      <w:r>
        <w:rPr>
          <w:rFonts w:hint="eastAsia"/>
          <w:color w:val="auto"/>
          <w:sz w:val="36"/>
          <w:szCs w:val="36"/>
          <w:highlight w:val="none"/>
        </w:rPr>
        <w:t>投标人须知前附表</w:t>
      </w:r>
      <w:bookmarkEnd w:id="54"/>
      <w:bookmarkEnd w:id="55"/>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1"/>
        <w:gridCol w:w="76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条款号</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投标人的资格要求详见招标公告。</w:t>
            </w: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投标人出现下列情形之一的，不得参加政府采购活动：</w:t>
            </w:r>
          </w:p>
          <w:p>
            <w:pPr>
              <w:snapToGrid w:val="0"/>
              <w:spacing w:line="400" w:lineRule="exact"/>
              <w:jc w:val="left"/>
              <w:rPr>
                <w:rFonts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00" w:lineRule="exact"/>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56" w:name="_5"/>
            <w:bookmarkEnd w:id="56"/>
            <w:bookmarkStart w:id="57" w:name="_8.1"/>
            <w:bookmarkEnd w:id="57"/>
            <w:bookmarkStart w:id="58" w:name="_9.2"/>
            <w:bookmarkEnd w:id="58"/>
            <w:r>
              <w:rPr>
                <w:rFonts w:hint="eastAsia" w:ascii="宋体" w:hAnsi="宋体"/>
                <w:color w:val="auto"/>
                <w:szCs w:val="21"/>
                <w:highlight w:val="none"/>
              </w:rPr>
              <w:t>6.1</w:t>
            </w:r>
          </w:p>
        </w:tc>
        <w:tc>
          <w:tcPr>
            <w:tcW w:w="4466" w:type="pct"/>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ascii="宋体" w:hAnsi="宋体"/>
                <w:color w:val="auto"/>
                <w:szCs w:val="21"/>
                <w:highlight w:val="none"/>
              </w:rPr>
            </w:pPr>
            <w:r>
              <w:rPr>
                <w:rFonts w:hint="eastAsia" w:ascii="宋体" w:hAnsi="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7.2</w:t>
            </w:r>
          </w:p>
        </w:tc>
        <w:tc>
          <w:tcPr>
            <w:tcW w:w="4466" w:type="pct"/>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不允许分包</w:t>
            </w:r>
          </w:p>
          <w:p>
            <w:pPr>
              <w:pStyle w:val="16"/>
              <w:spacing w:line="400" w:lineRule="exact"/>
              <w:rPr>
                <w:rFonts w:ascii="宋体" w:hAnsi="宋体"/>
                <w:color w:val="auto"/>
                <w:szCs w:val="21"/>
                <w:highlight w:val="none"/>
              </w:rPr>
            </w:pPr>
            <w:r>
              <w:rPr>
                <w:rFonts w:hint="eastAsia" w:ascii="宋体" w:hAnsi="宋体"/>
                <w:color w:val="auto"/>
                <w:szCs w:val="21"/>
                <w:highlight w:val="none"/>
              </w:rPr>
              <w:t>□允许分包</w:t>
            </w:r>
          </w:p>
          <w:p>
            <w:pPr>
              <w:pStyle w:val="16"/>
              <w:spacing w:line="400" w:lineRule="exact"/>
              <w:rPr>
                <w:rFonts w:ascii="宋体" w:hAnsi="宋体"/>
                <w:color w:val="auto"/>
                <w:szCs w:val="21"/>
                <w:highlight w:val="none"/>
                <w:u w:val="single"/>
              </w:rPr>
            </w:pPr>
            <w:r>
              <w:rPr>
                <w:rFonts w:hint="eastAsia" w:ascii="宋体" w:hAnsi="宋体"/>
                <w:color w:val="auto"/>
                <w:szCs w:val="21"/>
                <w:highlight w:val="none"/>
              </w:rPr>
              <w:t>分包内容：</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16"/>
              <w:spacing w:line="400" w:lineRule="exact"/>
              <w:jc w:val="both"/>
              <w:rPr>
                <w:rFonts w:ascii="宋体" w:hAnsi="宋体"/>
                <w:color w:val="auto"/>
                <w:szCs w:val="21"/>
                <w:highlight w:val="none"/>
                <w:u w:val="single"/>
              </w:rPr>
            </w:pPr>
            <w:r>
              <w:rPr>
                <w:rFonts w:hint="eastAsia" w:ascii="宋体" w:hAnsi="宋体"/>
                <w:color w:val="auto"/>
                <w:szCs w:val="21"/>
                <w:highlight w:val="none"/>
              </w:rPr>
              <w:t>分包金额或者比例：</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6" w:hRule="atLeast"/>
        </w:trPr>
        <w:tc>
          <w:tcPr>
            <w:tcW w:w="534" w:type="pct"/>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不组织现场考察</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□组织现场考察：</w:t>
            </w:r>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集中时间：</w:t>
            </w:r>
            <w:r>
              <w:rPr>
                <w:rFonts w:hint="eastAsia" w:ascii="宋体" w:hAnsi="宋体"/>
                <w:color w:val="auto"/>
                <w:szCs w:val="21"/>
                <w:highlight w:val="none"/>
                <w:u w:val="single"/>
              </w:rPr>
              <w:t xml:space="preserve"> /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，逾期后果自负。集中地点：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pPr>
              <w:snapToGrid w:val="0"/>
              <w:spacing w:line="400" w:lineRule="exac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；联系电话：</w:t>
            </w:r>
            <w:r>
              <w:rPr>
                <w:rFonts w:ascii="宋体" w:hAnsi="宋体"/>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534" w:type="pct"/>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不组织召开开标前答疑会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□组织召开开标前答疑会</w:t>
            </w:r>
          </w:p>
          <w:p>
            <w:pPr>
              <w:snapToGrid w:val="0"/>
              <w:spacing w:line="400" w:lineRule="exact"/>
              <w:rPr>
                <w:rFonts w:ascii="宋体" w:hAnsi="宋体"/>
                <w:color w:val="auto"/>
                <w:szCs w:val="21"/>
                <w:highlight w:val="non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vMerge w:val="restart"/>
            <w:tcBorders>
              <w:top w:val="single" w:color="auto" w:sz="4" w:space="0"/>
              <w:left w:val="single" w:color="auto" w:sz="4" w:space="0"/>
              <w:right w:val="single" w:color="auto" w:sz="4" w:space="0"/>
            </w:tcBorders>
            <w:vAlign w:val="center"/>
          </w:tcPr>
          <w:p>
            <w:pPr>
              <w:spacing w:line="400" w:lineRule="exact"/>
              <w:rPr>
                <w:rFonts w:ascii="宋体" w:hAnsi="宋体"/>
                <w:color w:val="auto"/>
                <w:szCs w:val="21"/>
                <w:highlight w:val="none"/>
              </w:rPr>
            </w:pPr>
            <w:bookmarkStart w:id="59" w:name="_13.1"/>
            <w:bookmarkEnd w:id="59"/>
            <w:r>
              <w:rPr>
                <w:rFonts w:hint="eastAsia" w:ascii="宋体" w:hAnsi="宋体"/>
                <w:color w:val="auto"/>
                <w:szCs w:val="21"/>
                <w:highlight w:val="none"/>
              </w:rPr>
              <w:t>13</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报价文件：</w:t>
            </w:r>
          </w:p>
          <w:p>
            <w:pPr>
              <w:tabs>
                <w:tab w:val="left" w:pos="459"/>
              </w:tabs>
              <w:snapToGrid w:val="0"/>
              <w:spacing w:line="400" w:lineRule="exact"/>
              <w:ind w:left="420"/>
              <w:jc w:val="left"/>
              <w:rPr>
                <w:rFonts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b/>
                <w:color w:val="auto"/>
                <w:szCs w:val="21"/>
                <w:highlight w:val="none"/>
              </w:rPr>
              <w:t>（必须提供，否则按无效投标处理）</w:t>
            </w:r>
          </w:p>
          <w:p>
            <w:pPr>
              <w:tabs>
                <w:tab w:val="left" w:pos="459"/>
              </w:tabs>
              <w:snapToGrid w:val="0"/>
              <w:spacing w:line="400" w:lineRule="exact"/>
              <w:ind w:left="420"/>
              <w:jc w:val="left"/>
              <w:rPr>
                <w:rFonts w:ascii="宋体" w:hAnsi="宋体"/>
                <w:color w:val="auto"/>
                <w:szCs w:val="21"/>
                <w:highlight w:val="none"/>
              </w:rPr>
            </w:pPr>
            <w:r>
              <w:rPr>
                <w:rFonts w:hint="eastAsia" w:ascii="宋体" w:hAnsi="宋体"/>
                <w:color w:val="auto"/>
                <w:szCs w:val="21"/>
                <w:highlight w:val="none"/>
              </w:rPr>
              <w:t>2.开标一览表（格式见第六章）；（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tabs>
                <w:tab w:val="left" w:pos="459"/>
              </w:tabs>
              <w:snapToGrid w:val="0"/>
              <w:spacing w:line="400" w:lineRule="exact"/>
              <w:ind w:left="42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3.投标人针对报价需要说明的其他文件和说明（格式自拟）。（如有，请提供）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bookmarkStart w:id="60" w:name="_13.2"/>
            <w:bookmarkEnd w:id="60"/>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资格证明文件（投标人所提供的材料不完整，或模糊不清以致关键信息无法辨认的，责任自负）:</w:t>
            </w:r>
          </w:p>
          <w:p>
            <w:pPr>
              <w:snapToGrid w:val="0"/>
              <w:spacing w:line="400" w:lineRule="exact"/>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1.投标人为法人或者其他组织的，提供营业执照等证明文件复印件</w:t>
            </w:r>
            <w:r>
              <w:rPr>
                <w:rFonts w:hint="eastAsia" w:ascii="宋体" w:hAnsi="宋体" w:cs="宋体"/>
                <w:color w:val="auto"/>
                <w:szCs w:val="21"/>
                <w:highlight w:val="none"/>
              </w:rPr>
              <w:t>（如营业执照或者事业单位法人证书或者</w:t>
            </w:r>
            <w:r>
              <w:rPr>
                <w:rStyle w:val="85"/>
                <w:color w:val="auto"/>
                <w:sz w:val="21"/>
                <w:szCs w:val="21"/>
                <w:highlight w:val="none"/>
              </w:rPr>
              <w:t>执业许可证</w:t>
            </w:r>
            <w:r>
              <w:rPr>
                <w:rFonts w:hint="eastAsia" w:ascii="宋体" w:hAnsi="宋体" w:cs="宋体"/>
                <w:color w:val="auto"/>
                <w:szCs w:val="21"/>
                <w:highlight w:val="none"/>
              </w:rPr>
              <w:t>或者登记证书等）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2.投标人依法缴纳税收的相关材料（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个月的依法缴纳税收的凭据复印件；</w:t>
            </w:r>
            <w:r>
              <w:rPr>
                <w:rFonts w:hint="eastAsia" w:ascii="宋体" w:hAnsi="宋体"/>
                <w:color w:val="auto"/>
                <w:szCs w:val="21"/>
                <w:highlight w:val="none"/>
              </w:rPr>
              <w:t>依法免税或零申报的供应商，必须提供相应文件证明其依法免税或零申报。</w:t>
            </w:r>
            <w:r>
              <w:rPr>
                <w:rFonts w:hint="eastAsia" w:ascii="宋体" w:hAnsi="宋体" w:cs="宋体"/>
                <w:color w:val="auto"/>
                <w:szCs w:val="21"/>
                <w:highlight w:val="none"/>
              </w:rPr>
              <w:t>从</w:t>
            </w:r>
            <w:r>
              <w:rPr>
                <w:rFonts w:ascii="宋体" w:hAnsi="宋体"/>
                <w:color w:val="auto"/>
                <w:szCs w:val="21"/>
                <w:highlight w:val="none"/>
              </w:rPr>
              <w:t>成立</w:t>
            </w:r>
            <w:r>
              <w:rPr>
                <w:rFonts w:hint="eastAsia" w:ascii="宋体" w:hAnsi="宋体"/>
                <w:color w:val="auto"/>
                <w:szCs w:val="21"/>
                <w:highlight w:val="none"/>
              </w:rPr>
              <w:t>之日</w:t>
            </w:r>
            <w:r>
              <w:rPr>
                <w:rFonts w:hint="eastAsia" w:ascii="宋体" w:hAnsi="宋体" w:cs="宋体"/>
                <w:color w:val="auto"/>
                <w:szCs w:val="21"/>
                <w:highlight w:val="none"/>
              </w:rPr>
              <w:t>起到投标文件提交截止时间止不足要求月数的，只需提供从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3.投标人依法缴纳社会保障资金的相关材料[</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ascii="宋体" w:hAnsi="宋体" w:cs="宋体"/>
                <w:color w:val="auto"/>
                <w:szCs w:val="21"/>
                <w:highlight w:val="none"/>
                <w:u w:val="single"/>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个月的依法缴纳社会保障资金的缴费凭证（或专用收据或者社会保险缴纳清单）复印件；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到投标文件提交截止时间止不足要求月数的只需提供从</w:t>
            </w:r>
            <w:r>
              <w:rPr>
                <w:rFonts w:ascii="宋体" w:hAnsi="宋体"/>
                <w:color w:val="auto"/>
                <w:szCs w:val="21"/>
                <w:highlight w:val="none"/>
              </w:rPr>
              <w:t>成立</w:t>
            </w:r>
            <w:r>
              <w:rPr>
                <w:rFonts w:hint="eastAsia" w:ascii="宋体" w:hAnsi="宋体"/>
                <w:color w:val="auto"/>
                <w:szCs w:val="21"/>
                <w:highlight w:val="none"/>
              </w:rPr>
              <w:t>之日起</w:t>
            </w:r>
            <w:r>
              <w:rPr>
                <w:rFonts w:hint="eastAsia" w:ascii="宋体" w:hAnsi="宋体" w:cs="宋体"/>
                <w:color w:val="auto"/>
                <w:szCs w:val="21"/>
                <w:highlight w:val="none"/>
              </w:rPr>
              <w:t>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s="Courier New"/>
                <w:b/>
                <w:color w:val="auto"/>
                <w:szCs w:val="21"/>
                <w:highlight w:val="none"/>
              </w:rPr>
            </w:pPr>
            <w:r>
              <w:rPr>
                <w:rFonts w:hint="eastAsia" w:ascii="宋体" w:hAnsi="宋体" w:cs="宋体"/>
                <w:color w:val="auto"/>
                <w:szCs w:val="21"/>
                <w:highlight w:val="none"/>
              </w:rPr>
              <w:t>4.投标人</w:t>
            </w:r>
            <w:r>
              <w:rPr>
                <w:rFonts w:hint="eastAsia" w:ascii="宋体" w:hAnsi="宋体"/>
                <w:color w:val="auto"/>
                <w:szCs w:val="21"/>
                <w:highlight w:val="none"/>
              </w:rPr>
              <w:t>财务状况报告（</w:t>
            </w:r>
            <w:r>
              <w:rPr>
                <w:rFonts w:hint="eastAsia" w:ascii="宋体" w:hAnsi="宋体"/>
                <w:color w:val="auto"/>
                <w:szCs w:val="21"/>
                <w:highlight w:val="none"/>
                <w:u w:val="single"/>
              </w:rPr>
              <w:t>2</w:t>
            </w:r>
            <w:r>
              <w:rPr>
                <w:rFonts w:ascii="宋体" w:hAnsi="宋体"/>
                <w:color w:val="auto"/>
                <w:szCs w:val="21"/>
                <w:highlight w:val="none"/>
                <w:u w:val="single"/>
              </w:rPr>
              <w:t>021</w:t>
            </w:r>
            <w:r>
              <w:rPr>
                <w:rFonts w:hint="eastAsia" w:ascii="宋体" w:hAnsi="宋体"/>
                <w:color w:val="auto"/>
                <w:szCs w:val="21"/>
                <w:highlight w:val="none"/>
              </w:rPr>
              <w:t>年度财务报表复印件，或者银行出具的资信证明，或者中国人民银行征信中心出具的信用报告（企业投标的提供企业信用报告，自然人投标的提供个人信用报告，需提供成立之日起至投标截止时间前的月报表或银行出具的资信证明或者中国人民银行征信中心出具的企业信用报告；资信证明应在有效期内，未注明有效期的，银行出具时间至投标截止时间不超过一年）；（</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5.投标人直接控股、管理关系信息表（格式见第六章）；（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s="Courier New"/>
                <w:b/>
                <w:color w:val="auto"/>
                <w:szCs w:val="21"/>
                <w:highlight w:val="none"/>
              </w:rPr>
            </w:pPr>
            <w:r>
              <w:rPr>
                <w:rFonts w:hint="eastAsia" w:ascii="宋体" w:hAnsi="宋体"/>
                <w:color w:val="auto"/>
                <w:szCs w:val="21"/>
                <w:highlight w:val="none"/>
              </w:rPr>
              <w:t>6.投标声明（格式见第六章）；（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.除招标文件规定必须提供以外，投标人认为需要提供的其他证明材料（如有，请提供）。</w:t>
            </w:r>
          </w:p>
          <w:p>
            <w:pPr>
              <w:snapToGrid w:val="0"/>
              <w:spacing w:line="400" w:lineRule="exact"/>
              <w:jc w:val="left"/>
              <w:rPr>
                <w:rFonts w:ascii="宋体" w:hAnsi="宋体"/>
                <w:b/>
                <w:bCs/>
                <w:color w:val="auto"/>
                <w:szCs w:val="21"/>
                <w:highlight w:val="none"/>
              </w:rPr>
            </w:pPr>
            <w:r>
              <w:rPr>
                <w:rFonts w:hint="eastAsia" w:ascii="宋体" w:hAnsi="宋体"/>
                <w:b/>
                <w:bCs/>
                <w:color w:val="auto"/>
                <w:szCs w:val="21"/>
                <w:highlight w:val="none"/>
              </w:rPr>
              <w:t>注：</w:t>
            </w:r>
          </w:p>
          <w:p>
            <w:pPr>
              <w:snapToGrid w:val="0"/>
              <w:spacing w:line="40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1.以上标明“必须提供”的材料属于复印件的，必须加盖投标人电子签章，否则按无效投标</w:t>
            </w:r>
            <w:r>
              <w:rPr>
                <w:rFonts w:hint="eastAsia" w:ascii="宋体" w:hAnsi="宋体" w:cs="Courier New"/>
                <w:b/>
                <w:color w:val="auto"/>
                <w:szCs w:val="21"/>
                <w:highlight w:val="none"/>
              </w:rPr>
              <w:t>处理。</w:t>
            </w:r>
          </w:p>
          <w:p>
            <w:pPr>
              <w:snapToGrid w:val="0"/>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vMerge w:val="continue"/>
            <w:tcBorders>
              <w:left w:val="single" w:color="auto" w:sz="4" w:space="0"/>
              <w:right w:val="single" w:color="auto" w:sz="4" w:space="0"/>
            </w:tcBorders>
            <w:vAlign w:val="center"/>
          </w:tcPr>
          <w:p>
            <w:pPr>
              <w:spacing w:line="400" w:lineRule="exact"/>
              <w:rPr>
                <w:rFonts w:ascii="宋体" w:hAnsi="宋体"/>
                <w:color w:val="auto"/>
                <w:szCs w:val="21"/>
                <w:highlight w:val="none"/>
              </w:rPr>
            </w:pPr>
            <w:bookmarkStart w:id="61" w:name="_13.3"/>
            <w:bookmarkEnd w:id="61"/>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商务文件：</w:t>
            </w:r>
          </w:p>
          <w:p>
            <w:pPr>
              <w:snapToGrid w:val="0"/>
              <w:spacing w:line="400" w:lineRule="exact"/>
              <w:ind w:left="413"/>
              <w:jc w:val="left"/>
              <w:rPr>
                <w:rFonts w:ascii="宋体" w:hAnsi="宋体"/>
                <w:color w:val="auto"/>
                <w:szCs w:val="21"/>
                <w:highlight w:val="none"/>
              </w:rPr>
            </w:pPr>
            <w:r>
              <w:rPr>
                <w:rFonts w:hint="eastAsia" w:ascii="宋体" w:hAnsi="宋体"/>
                <w:color w:val="auto"/>
                <w:szCs w:val="21"/>
                <w:highlight w:val="none"/>
              </w:rPr>
              <w:t>1.无串通投标行为的承诺函（格式见第六章）；（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13"/>
              <w:jc w:val="left"/>
              <w:rPr>
                <w:rFonts w:ascii="宋体" w:hAnsi="宋体"/>
                <w:color w:val="auto"/>
                <w:szCs w:val="21"/>
                <w:highlight w:val="none"/>
              </w:rPr>
            </w:pPr>
            <w:r>
              <w:rPr>
                <w:rFonts w:hint="eastAsia" w:ascii="宋体" w:hAnsi="宋体"/>
                <w:color w:val="auto"/>
                <w:szCs w:val="21"/>
                <w:highlight w:val="none"/>
              </w:rPr>
              <w:t>2.投标保证金提交凭证；（</w:t>
            </w:r>
            <w:r>
              <w:rPr>
                <w:rFonts w:hint="eastAsia" w:ascii="宋体" w:hAnsi="宋体"/>
                <w:b/>
                <w:bCs/>
                <w:color w:val="auto"/>
                <w:szCs w:val="21"/>
                <w:highlight w:val="none"/>
              </w:rPr>
              <w:t>本项目无需提供</w:t>
            </w:r>
            <w:r>
              <w:rPr>
                <w:rFonts w:hint="eastAsia" w:ascii="宋体" w:hAnsi="宋体"/>
                <w:color w:val="auto"/>
                <w:szCs w:val="21"/>
                <w:highlight w:val="none"/>
              </w:rPr>
              <w:t>）</w:t>
            </w:r>
          </w:p>
          <w:p>
            <w:pPr>
              <w:snapToGrid w:val="0"/>
              <w:spacing w:line="400" w:lineRule="exact"/>
              <w:ind w:left="413"/>
              <w:jc w:val="left"/>
              <w:rPr>
                <w:rFonts w:ascii="宋体" w:hAnsi="宋体"/>
                <w:color w:val="auto"/>
                <w:szCs w:val="21"/>
                <w:highlight w:val="none"/>
              </w:rPr>
            </w:pPr>
            <w:r>
              <w:rPr>
                <w:rFonts w:hint="eastAsia" w:ascii="宋体" w:hAnsi="宋体"/>
                <w:color w:val="auto"/>
                <w:szCs w:val="21"/>
                <w:highlight w:val="none"/>
              </w:rPr>
              <w:t>3.法定代表人身份证明及法定代表人有效身份证正反面复印件（格式见第六章）；（</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13"/>
              <w:jc w:val="left"/>
              <w:rPr>
                <w:rFonts w:ascii="宋体" w:hAnsi="宋体"/>
                <w:color w:val="auto"/>
                <w:szCs w:val="21"/>
                <w:highlight w:val="none"/>
              </w:rPr>
            </w:pPr>
            <w:r>
              <w:rPr>
                <w:rFonts w:hint="eastAsia" w:ascii="宋体" w:hAnsi="宋体"/>
                <w:color w:val="auto"/>
                <w:szCs w:val="21"/>
                <w:highlight w:val="none"/>
              </w:rPr>
              <w:t>4.授权委托书及委托代理人有效身份证正反面复印件（格式见第六章）；（</w:t>
            </w:r>
            <w:r>
              <w:rPr>
                <w:rFonts w:hint="eastAsia" w:ascii="宋体" w:hAnsi="宋体"/>
                <w:b/>
                <w:color w:val="auto"/>
                <w:szCs w:val="21"/>
                <w:highlight w:val="none"/>
              </w:rPr>
              <w:t>委托时必须提供，否则按无效投标处理</w:t>
            </w:r>
            <w:r>
              <w:rPr>
                <w:rFonts w:hint="eastAsia" w:ascii="宋体" w:hAnsi="宋体"/>
                <w:color w:val="auto"/>
                <w:szCs w:val="21"/>
                <w:highlight w:val="none"/>
              </w:rPr>
              <w:t>）</w:t>
            </w:r>
          </w:p>
          <w:p>
            <w:pPr>
              <w:snapToGrid w:val="0"/>
              <w:spacing w:line="400" w:lineRule="exact"/>
              <w:ind w:left="413"/>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商务要求偏离表（格式见第六章）；（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13"/>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.售后服务承诺（格式自拟）；（如有，请提供）</w:t>
            </w:r>
          </w:p>
          <w:p>
            <w:pPr>
              <w:snapToGrid w:val="0"/>
              <w:spacing w:line="400" w:lineRule="exact"/>
              <w:ind w:left="413"/>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.投标人情况介绍（格式自拟）；（如有，请提供）</w:t>
            </w:r>
          </w:p>
          <w:p>
            <w:pPr>
              <w:snapToGrid w:val="0"/>
              <w:spacing w:line="400" w:lineRule="exact"/>
              <w:ind w:left="413"/>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.除招标文件规定必须提供以外，投标人认为需要提供的其他证明材料（格式自拟）。（投标人根据“第二章 采购需求”及“第四章 评标方法及评标标准”提供有关证明材料）。</w:t>
            </w:r>
          </w:p>
          <w:p>
            <w:pPr>
              <w:pStyle w:val="2"/>
              <w:ind w:left="0" w:leftChars="0"/>
              <w:rPr>
                <w:rFonts w:ascii="宋体" w:hAnsi="宋体" w:eastAsia="宋体"/>
                <w:color w:val="auto"/>
                <w:kern w:val="2"/>
                <w:szCs w:val="21"/>
                <w:highlight w:val="none"/>
              </w:rPr>
            </w:pPr>
            <w:r>
              <w:rPr>
                <w:rFonts w:hint="eastAsia" w:ascii="宋体" w:hAnsi="宋体" w:eastAsia="宋体"/>
                <w:color w:val="auto"/>
                <w:kern w:val="2"/>
                <w:szCs w:val="21"/>
                <w:highlight w:val="none"/>
              </w:rPr>
              <w:t>9.联合体共同投标协议书；（如</w:t>
            </w:r>
            <w:r>
              <w:rPr>
                <w:rFonts w:hint="eastAsia" w:ascii="宋体" w:hAnsi="宋体" w:eastAsia="宋体"/>
                <w:color w:val="auto"/>
                <w:kern w:val="2"/>
                <w:szCs w:val="21"/>
                <w:highlight w:val="none"/>
                <w:lang w:val="en-US" w:eastAsia="zh-CN"/>
              </w:rPr>
              <w:t>为</w:t>
            </w:r>
            <w:r>
              <w:rPr>
                <w:rFonts w:hint="eastAsia" w:ascii="宋体" w:hAnsi="宋体" w:eastAsia="宋体"/>
                <w:color w:val="auto"/>
                <w:kern w:val="2"/>
                <w:szCs w:val="21"/>
                <w:highlight w:val="none"/>
              </w:rPr>
              <w:t>联合体，请提供）</w:t>
            </w:r>
          </w:p>
          <w:p>
            <w:pPr>
              <w:snapToGrid w:val="0"/>
              <w:spacing w:line="400" w:lineRule="exact"/>
              <w:jc w:val="left"/>
              <w:rPr>
                <w:rFonts w:ascii="宋体" w:hAnsi="宋体" w:cs="Courier New"/>
                <w:b/>
                <w:color w:val="auto"/>
                <w:szCs w:val="21"/>
                <w:highlight w:val="none"/>
              </w:rPr>
            </w:pPr>
            <w:r>
              <w:rPr>
                <w:rFonts w:hint="eastAsia" w:ascii="宋体" w:hAnsi="宋体"/>
                <w:b/>
                <w:bCs/>
                <w:color w:val="auto"/>
                <w:szCs w:val="21"/>
                <w:highlight w:val="none"/>
              </w:rPr>
              <w:t>注：以上标明“必须提供”的材料属于复印件的，必须加盖投标人电子签章，否则按无效投标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vMerge w:val="continue"/>
            <w:tcBorders>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bookmarkStart w:id="62" w:name="_13.4"/>
            <w:bookmarkEnd w:id="62"/>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Courier New"/>
                <w:b/>
                <w:color w:val="auto"/>
                <w:szCs w:val="21"/>
                <w:highlight w:val="none"/>
              </w:rPr>
            </w:pPr>
            <w:r>
              <w:rPr>
                <w:rFonts w:hint="eastAsia" w:ascii="宋体" w:hAnsi="宋体" w:cs="Courier New"/>
                <w:b/>
                <w:color w:val="auto"/>
                <w:szCs w:val="21"/>
                <w:highlight w:val="none"/>
              </w:rPr>
              <w:t>技术文件：</w:t>
            </w:r>
          </w:p>
          <w:p>
            <w:pPr>
              <w:snapToGrid w:val="0"/>
              <w:spacing w:line="400" w:lineRule="exact"/>
              <w:ind w:left="42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.技术要求偏离表（格式见第六章）；（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2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.服务方案（格式自拟）（投标人根据“第二章 采购需求”及“第四章 评标方法及评标标准”结合自身能力编制）；（</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2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.项目实施人员一览表（格式见第六章）；（</w:t>
            </w:r>
            <w:r>
              <w:rPr>
                <w:rFonts w:hint="eastAsia" w:ascii="宋体" w:hAnsi="宋体"/>
                <w:b/>
                <w:color w:val="auto"/>
                <w:szCs w:val="21"/>
                <w:highlight w:val="none"/>
              </w:rPr>
              <w:t>必须提供，否则按无效投标处理</w:t>
            </w:r>
            <w:r>
              <w:rPr>
                <w:rFonts w:hint="eastAsia" w:ascii="宋体" w:hAnsi="宋体"/>
                <w:color w:val="auto"/>
                <w:szCs w:val="21"/>
                <w:highlight w:val="none"/>
              </w:rPr>
              <w:t>）</w:t>
            </w:r>
          </w:p>
          <w:p>
            <w:pPr>
              <w:snapToGrid w:val="0"/>
              <w:spacing w:line="400" w:lineRule="exact"/>
              <w:ind w:left="42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.投标人对本项目的合理化建议和改进措施（格式自拟）；（如有，请提供）</w:t>
            </w:r>
          </w:p>
          <w:p>
            <w:pPr>
              <w:snapToGrid w:val="0"/>
              <w:spacing w:line="400" w:lineRule="exact"/>
              <w:ind w:left="420"/>
              <w:jc w:val="left"/>
              <w:rPr>
                <w:rFonts w:ascii="宋体" w:hAnsi="宋体"/>
                <w:bCs/>
                <w:color w:val="auto"/>
                <w:szCs w:val="21"/>
                <w:highlight w:val="none"/>
              </w:rPr>
            </w:pPr>
            <w:r>
              <w:rPr>
                <w:rFonts w:ascii="宋体" w:hAnsi="宋体"/>
                <w:color w:val="auto"/>
                <w:szCs w:val="21"/>
                <w:highlight w:val="none"/>
              </w:rPr>
              <w:t>5</w:t>
            </w:r>
            <w:r>
              <w:rPr>
                <w:rFonts w:hint="eastAsia" w:ascii="宋体" w:hAnsi="宋体"/>
                <w:color w:val="auto"/>
                <w:szCs w:val="21"/>
                <w:highlight w:val="none"/>
              </w:rPr>
              <w:t>.除招标文件规定必须提供以外，投标人需要说明的其他文件和说明（格式自拟）。（如有，请提供）</w:t>
            </w:r>
          </w:p>
          <w:p>
            <w:pPr>
              <w:snapToGrid w:val="0"/>
              <w:spacing w:line="40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注：以上标明“必须提供”的材料属于复印件的，必须加盖投标人电子签章，否则按无效投标</w:t>
            </w:r>
            <w:r>
              <w:rPr>
                <w:rFonts w:hint="eastAsia" w:ascii="宋体" w:hAnsi="宋体" w:cs="Courier New"/>
                <w:b/>
                <w:color w:val="auto"/>
                <w:szCs w:val="21"/>
                <w:highlight w:val="none"/>
              </w:rPr>
              <w:t>处理</w:t>
            </w:r>
            <w:r>
              <w:rPr>
                <w:rFonts w:hint="eastAsia" w:ascii="宋体" w:hAnsi="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bookmarkStart w:id="63" w:name="_16.2"/>
            <w:bookmarkEnd w:id="63"/>
            <w:bookmarkStart w:id="64" w:name="_13.5"/>
            <w:bookmarkEnd w:id="64"/>
            <w:r>
              <w:rPr>
                <w:rFonts w:hint="eastAsia" w:ascii="宋体" w:hAnsi="宋体"/>
                <w:color w:val="auto"/>
                <w:szCs w:val="21"/>
                <w:highlight w:val="none"/>
              </w:rPr>
              <w:t>16</w:t>
            </w:r>
            <w:bookmarkStart w:id="65" w:name="_Hlt19693759"/>
            <w:bookmarkStart w:id="66" w:name="_Hlt19194067"/>
            <w:bookmarkStart w:id="67" w:name="_Hlt19693758"/>
            <w:bookmarkStart w:id="68" w:name="_Hlt19194066"/>
            <w:r>
              <w:rPr>
                <w:rFonts w:hint="eastAsia" w:ascii="宋体" w:hAnsi="宋体"/>
                <w:color w:val="auto"/>
                <w:szCs w:val="21"/>
                <w:highlight w:val="none"/>
              </w:rPr>
              <w:t>.</w:t>
            </w:r>
            <w:bookmarkEnd w:id="65"/>
            <w:bookmarkEnd w:id="66"/>
            <w:bookmarkEnd w:id="67"/>
            <w:bookmarkEnd w:id="68"/>
            <w:r>
              <w:rPr>
                <w:rFonts w:hint="eastAsia" w:ascii="宋体" w:hAnsi="宋体"/>
                <w:color w:val="auto"/>
                <w:szCs w:val="21"/>
                <w:highlight w:val="none"/>
              </w:rPr>
              <w:t>2</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b/>
                <w:i/>
                <w:color w:val="auto"/>
                <w:szCs w:val="21"/>
                <w:highlight w:val="none"/>
              </w:rPr>
            </w:pPr>
            <w:r>
              <w:rPr>
                <w:rFonts w:hint="eastAsia" w:ascii="宋体" w:hAnsi="宋体"/>
                <w:color w:val="auto"/>
                <w:szCs w:val="21"/>
                <w:highlight w:val="none"/>
              </w:rPr>
              <w:t>投标报价是履行合同的最终价格，</w:t>
            </w:r>
            <w:r>
              <w:rPr>
                <w:rFonts w:hint="eastAsia" w:ascii="宋体" w:hAnsi="宋体" w:cs="宋体"/>
                <w:color w:val="auto"/>
                <w:szCs w:val="21"/>
                <w:highlight w:val="none"/>
              </w:rPr>
              <w:t>即满足全部采购需求所应提供的服务，包括但不限于：中标人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即总价包干。合同价不因任何因素而调整。根据采购方的需要，供应商将无偿提供抽检合格备份样品给 广西壮族自治区收费公路联网收费清分结算中心。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bookmarkStart w:id="69" w:name="_17.1"/>
            <w:bookmarkEnd w:id="69"/>
            <w:r>
              <w:rPr>
                <w:rFonts w:hint="eastAsia" w:ascii="宋体" w:hAnsi="宋体"/>
                <w:color w:val="auto"/>
                <w:szCs w:val="21"/>
                <w:highlight w:val="none"/>
              </w:rPr>
              <w:t>17.</w:t>
            </w:r>
            <w:r>
              <w:rPr>
                <w:rFonts w:ascii="宋体" w:hAnsi="宋体"/>
                <w:color w:val="auto"/>
                <w:szCs w:val="21"/>
                <w:highlight w:val="none"/>
              </w:rPr>
              <w:t>2</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投标有效期：自投标截止之日起</w:t>
            </w:r>
            <w:r>
              <w:rPr>
                <w:rFonts w:ascii="宋体" w:hAnsi="宋体"/>
                <w:color w:val="auto"/>
                <w:szCs w:val="21"/>
                <w:highlight w:val="none"/>
                <w:u w:val="single"/>
              </w:rPr>
              <w:t xml:space="preserve"> 60 </w:t>
            </w:r>
            <w:r>
              <w:rPr>
                <w:rFonts w:hint="eastAsia" w:ascii="宋体" w:hAnsi="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none"/>
              </w:rPr>
            </w:pPr>
            <w:bookmarkStart w:id="70" w:name="_18"/>
            <w:bookmarkEnd w:id="70"/>
            <w:r>
              <w:rPr>
                <w:rFonts w:hint="eastAsia" w:ascii="宋体" w:hAnsi="宋体"/>
                <w:color w:val="auto"/>
                <w:szCs w:val="21"/>
                <w:highlight w:val="none"/>
              </w:rPr>
              <w:t>18</w:t>
            </w:r>
            <w:r>
              <w:rPr>
                <w:rFonts w:ascii="宋体" w:hAnsi="宋体"/>
                <w:color w:val="auto"/>
                <w:szCs w:val="21"/>
                <w:highlight w:val="none"/>
              </w:rPr>
              <w:t>.1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本项目不收取投标保证金。</w:t>
            </w:r>
          </w:p>
          <w:p>
            <w:pPr>
              <w:snapToGrid w:val="0"/>
              <w:spacing w:line="400" w:lineRule="exact"/>
              <w:rPr>
                <w:rFonts w:ascii="宋体" w:hAnsi="宋体"/>
                <w:color w:val="auto"/>
                <w:szCs w:val="21"/>
                <w:highlight w:val="none"/>
              </w:rPr>
            </w:pPr>
            <w:r>
              <w:rPr>
                <w:rFonts w:hint="eastAsia" w:ascii="Segoe UI Symbol" w:hAnsi="Segoe UI Symbol" w:cs="Segoe UI Symbol"/>
                <w:color w:val="auto"/>
                <w:szCs w:val="21"/>
                <w:highlight w:val="none"/>
              </w:rPr>
              <w:t>□</w:t>
            </w:r>
            <w:r>
              <w:rPr>
                <w:rFonts w:hint="eastAsia" w:ascii="宋体" w:hAnsi="宋体"/>
                <w:color w:val="auto"/>
                <w:szCs w:val="21"/>
                <w:highlight w:val="none"/>
              </w:rPr>
              <w:t>本项目收取投标保证金，具体规定如下：</w:t>
            </w:r>
          </w:p>
          <w:p>
            <w:pPr>
              <w:snapToGrid w:val="0"/>
              <w:spacing w:line="400" w:lineRule="exac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 xml:space="preserve">备注： </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5.采用银行、保险机构出具保函的，必须为无条件保函，否则视为无效投标保证金。</w:t>
            </w:r>
          </w:p>
          <w:p>
            <w:pPr>
              <w:snapToGrid w:val="0"/>
              <w:spacing w:line="400" w:lineRule="exact"/>
              <w:rPr>
                <w:rFonts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.政采云平台</w:t>
            </w:r>
            <w:r>
              <w:rPr>
                <w:rFonts w:hint="eastAsia" w:ascii="宋体" w:hAnsi="宋体"/>
                <w:b/>
                <w:color w:val="auto"/>
                <w:szCs w:val="21"/>
                <w:highlight w:val="none"/>
              </w:rPr>
              <w:t>暂未</w:t>
            </w:r>
            <w:r>
              <w:rPr>
                <w:rFonts w:ascii="宋体" w:hAnsi="宋体"/>
                <w:b/>
                <w:color w:val="auto"/>
                <w:szCs w:val="21"/>
                <w:highlight w:val="none"/>
              </w:rPr>
              <w:t>支持电子保函功能</w:t>
            </w:r>
            <w:r>
              <w:rPr>
                <w:rFonts w:hint="eastAsia" w:ascii="宋体" w:hAnsi="宋体"/>
                <w:b/>
                <w:color w:val="auto"/>
                <w:szCs w:val="21"/>
                <w:highlight w:val="none"/>
              </w:rPr>
              <w:t>，</w:t>
            </w:r>
            <w:r>
              <w:rPr>
                <w:rFonts w:ascii="宋体" w:hAnsi="宋体"/>
                <w:b/>
                <w:color w:val="auto"/>
                <w:szCs w:val="21"/>
                <w:highlight w:val="none"/>
              </w:rPr>
              <w:t>故本项目暂不接受电子保函形式的保证金</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1" w:name="_21.1"/>
            <w:bookmarkEnd w:id="71"/>
            <w:bookmarkStart w:id="72" w:name="_19.2"/>
            <w:bookmarkEnd w:id="72"/>
            <w:r>
              <w:rPr>
                <w:rFonts w:hint="eastAsia" w:ascii="宋体" w:hAnsi="宋体"/>
                <w:color w:val="auto"/>
                <w:szCs w:val="21"/>
                <w:highlight w:val="none"/>
              </w:rPr>
              <w:t>20</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本项目不接受电子备份投标文件。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21.1</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1.投标文件提交截止时间：详见招标公告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3" w:name="_23"/>
            <w:bookmarkEnd w:id="73"/>
            <w:r>
              <w:rPr>
                <w:rFonts w:hint="eastAsia" w:ascii="宋体" w:hAnsi="宋体"/>
                <w:color w:val="auto"/>
                <w:szCs w:val="21"/>
                <w:highlight w:val="none"/>
              </w:rPr>
              <w:t>23</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1.开标时间：详见招标公告</w:t>
            </w:r>
          </w:p>
          <w:p>
            <w:pPr>
              <w:snapToGrid w:val="0"/>
              <w:spacing w:line="400" w:lineRule="exact"/>
              <w:rPr>
                <w:rFonts w:ascii="宋体" w:hAnsi="宋体"/>
                <w:color w:val="auto"/>
                <w:szCs w:val="21"/>
                <w:highlight w:val="none"/>
              </w:rPr>
            </w:pPr>
            <w:r>
              <w:rPr>
                <w:rFonts w:hint="eastAsia" w:ascii="宋体" w:hAnsi="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24.3（1）</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电子投标文件解密时间：</w:t>
            </w:r>
            <w:r>
              <w:rPr>
                <w:rFonts w:hint="eastAsia" w:ascii="宋体" w:hAnsi="宋体"/>
                <w:color w:val="auto"/>
                <w:szCs w:val="21"/>
                <w:highlight w:val="none"/>
                <w:u w:val="single"/>
              </w:rPr>
              <w:t xml:space="preserve"> </w:t>
            </w:r>
            <w:r>
              <w:rPr>
                <w:rFonts w:ascii="宋体" w:hAnsi="宋体"/>
                <w:color w:val="auto"/>
                <w:szCs w:val="21"/>
                <w:highlight w:val="none"/>
                <w:u w:val="single"/>
              </w:rPr>
              <w:t>30</w:t>
            </w:r>
            <w:r>
              <w:rPr>
                <w:rFonts w:hint="eastAsia" w:ascii="宋体" w:hAnsi="宋体"/>
                <w:color w:val="auto"/>
                <w:szCs w:val="21"/>
                <w:highlight w:val="none"/>
                <w:u w:val="single"/>
              </w:rPr>
              <w:t xml:space="preserve"> </w:t>
            </w:r>
            <w:r>
              <w:rPr>
                <w:rFonts w:hint="eastAsia" w:ascii="宋体" w:hAnsi="宋体"/>
                <w:color w:val="auto"/>
                <w:szCs w:val="21"/>
                <w:highlight w:val="none"/>
              </w:rPr>
              <w:t>分钟。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4" w:name="_25.3"/>
            <w:bookmarkEnd w:id="74"/>
            <w:r>
              <w:rPr>
                <w:rFonts w:hint="eastAsia" w:ascii="宋体" w:hAnsi="宋体"/>
                <w:color w:val="auto"/>
                <w:szCs w:val="21"/>
                <w:highlight w:val="none"/>
              </w:rPr>
              <w:t>25.3（2）</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p>
            <w:pPr>
              <w:snapToGrid w:val="0"/>
              <w:spacing w:line="400" w:lineRule="exact"/>
              <w:rPr>
                <w:rFonts w:ascii="宋体" w:hAnsi="宋体"/>
                <w:color w:val="auto"/>
                <w:szCs w:val="21"/>
                <w:highlight w:val="none"/>
              </w:rPr>
            </w:pPr>
            <w:r>
              <w:rPr>
                <w:rFonts w:hint="eastAsia" w:ascii="宋体" w:hAnsi="宋体"/>
                <w:color w:val="auto"/>
                <w:szCs w:val="21"/>
                <w:highlight w:val="none"/>
              </w:rPr>
              <w:t>信用查询截止时点：资格审查结束前</w:t>
            </w:r>
          </w:p>
          <w:p>
            <w:pPr>
              <w:snapToGrid w:val="0"/>
              <w:spacing w:line="400" w:lineRule="exact"/>
              <w:rPr>
                <w:rFonts w:ascii="宋体" w:hAnsi="宋体"/>
                <w:color w:val="auto"/>
                <w:szCs w:val="21"/>
                <w:highlight w:val="none"/>
              </w:rPr>
            </w:pPr>
            <w:r>
              <w:rPr>
                <w:rFonts w:hint="eastAsia" w:ascii="宋体" w:hAnsi="宋体"/>
                <w:color w:val="auto"/>
                <w:szCs w:val="21"/>
                <w:highlight w:val="none"/>
              </w:rPr>
              <w:t>查询记录和证据留存方式：在查询网站中直接截图查询记录，截图作为在“政采云”平台附件上传保存。</w:t>
            </w:r>
          </w:p>
          <w:p>
            <w:pPr>
              <w:snapToGrid w:val="0"/>
              <w:spacing w:line="400" w:lineRule="exact"/>
              <w:rPr>
                <w:rFonts w:ascii="宋体" w:hAnsi="宋体"/>
                <w:b/>
                <w:color w:val="auto"/>
                <w:szCs w:val="21"/>
                <w:highlight w:val="none"/>
              </w:rPr>
            </w:pPr>
            <w:r>
              <w:rPr>
                <w:rFonts w:hint="eastAsia" w:ascii="宋体" w:hAnsi="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5" w:name="_26"/>
            <w:bookmarkEnd w:id="75"/>
            <w:r>
              <w:rPr>
                <w:rFonts w:hint="eastAsia" w:ascii="宋体" w:hAnsi="宋体"/>
                <w:color w:val="auto"/>
                <w:szCs w:val="21"/>
                <w:highlight w:val="none"/>
              </w:rPr>
              <w:t>26.1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评标委员会的人数：</w:t>
            </w:r>
            <w:r>
              <w:rPr>
                <w:rFonts w:hint="eastAsia" w:ascii="宋体" w:hAnsi="宋体"/>
                <w:color w:val="auto"/>
                <w:szCs w:val="21"/>
                <w:highlight w:val="none"/>
                <w:u w:val="single"/>
              </w:rPr>
              <w:t xml:space="preserve"> </w:t>
            </w:r>
            <w:r>
              <w:rPr>
                <w:rFonts w:ascii="宋体" w:hAnsi="宋体"/>
                <w:color w:val="auto"/>
                <w:szCs w:val="21"/>
                <w:highlight w:val="none"/>
                <w:u w:val="single"/>
              </w:rPr>
              <w:t>5</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6" w:name="_28.3"/>
            <w:bookmarkEnd w:id="76"/>
            <w:r>
              <w:rPr>
                <w:rFonts w:ascii="宋体" w:hAnsi="宋体"/>
                <w:color w:val="auto"/>
                <w:szCs w:val="21"/>
                <w:highlight w:val="none"/>
              </w:rPr>
              <w:t>29.1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评标方法：</w:t>
            </w:r>
          </w:p>
          <w:p>
            <w:pPr>
              <w:autoSpaceDE w:val="0"/>
              <w:autoSpaceDN w:val="0"/>
              <w:snapToGrid w:val="0"/>
              <w:spacing w:line="400" w:lineRule="exact"/>
              <w:textAlignment w:val="bottom"/>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rPr>
              <w:t>综合评分法</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□最低评标报法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7" w:name="_29.2.2（2）"/>
            <w:bookmarkEnd w:id="77"/>
            <w:r>
              <w:rPr>
                <w:rFonts w:hint="eastAsia" w:ascii="宋体" w:hAnsi="宋体"/>
                <w:color w:val="auto"/>
                <w:szCs w:val="21"/>
                <w:highlight w:val="none"/>
              </w:rPr>
              <w:t>29</w:t>
            </w:r>
            <w:r>
              <w:rPr>
                <w:rFonts w:ascii="宋体" w:hAnsi="宋体"/>
                <w:color w:val="auto"/>
                <w:szCs w:val="21"/>
                <w:highlight w:val="none"/>
              </w:rPr>
              <w:t>.2</w:t>
            </w:r>
          </w:p>
        </w:tc>
        <w:tc>
          <w:tcPr>
            <w:tcW w:w="4466" w:type="pct"/>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商务要求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pPr>
              <w:snapToGrid w:val="0"/>
              <w:spacing w:line="400" w:lineRule="exact"/>
              <w:rPr>
                <w:rFonts w:ascii="宋体" w:hAnsi="宋体"/>
                <w:color w:val="auto"/>
                <w:szCs w:val="21"/>
                <w:highlight w:val="none"/>
              </w:rPr>
            </w:pPr>
            <w:r>
              <w:rPr>
                <w:rFonts w:hint="eastAsia" w:ascii="宋体" w:hAnsi="宋体" w:cs="宋体"/>
                <w:color w:val="auto"/>
                <w:szCs w:val="21"/>
                <w:highlight w:val="none"/>
              </w:rPr>
              <w:t>技术要求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34" w:type="pct"/>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29.3</w:t>
            </w:r>
          </w:p>
        </w:tc>
        <w:tc>
          <w:tcPr>
            <w:tcW w:w="4466" w:type="pct"/>
            <w:tcBorders>
              <w:top w:val="single" w:color="auto" w:sz="4" w:space="0"/>
              <w:left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ascii="宋体" w:hAnsi="宋体"/>
                <w:color w:val="auto"/>
                <w:szCs w:val="21"/>
                <w:highlight w:val="none"/>
              </w:rPr>
              <w:t>中标候选人推荐数量</w:t>
            </w:r>
            <w:r>
              <w:rPr>
                <w:rFonts w:hint="eastAsia" w:ascii="宋体" w:hAnsi="宋体"/>
                <w:color w:val="auto"/>
                <w:szCs w:val="21"/>
                <w:highlight w:val="none"/>
              </w:rPr>
              <w:t>：</w:t>
            </w:r>
          </w:p>
          <w:p>
            <w:pPr>
              <w:snapToGrid w:val="0"/>
              <w:spacing w:line="400" w:lineRule="exact"/>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1-3</w:t>
            </w:r>
            <w:r>
              <w:rPr>
                <w:rFonts w:ascii="宋体" w:hAnsi="宋体"/>
                <w:color w:val="auto"/>
                <w:szCs w:val="21"/>
                <w:highlight w:val="none"/>
                <w:u w:val="single"/>
              </w:rPr>
              <w:t xml:space="preserve"> </w:t>
            </w:r>
            <w:r>
              <w:rPr>
                <w:rFonts w:ascii="宋体" w:hAnsi="宋体"/>
                <w:color w:val="auto"/>
                <w:szCs w:val="21"/>
                <w:highlight w:val="none"/>
              </w:rPr>
              <w:t>名</w:t>
            </w:r>
          </w:p>
          <w:p>
            <w:pPr>
              <w:snapToGrid w:val="0"/>
              <w:spacing w:line="400" w:lineRule="exact"/>
              <w:rPr>
                <w:rFonts w:ascii="宋体" w:hAnsi="宋体" w:cs="宋体"/>
                <w:color w:val="auto"/>
                <w:szCs w:val="21"/>
                <w:highlight w:val="none"/>
              </w:rPr>
            </w:pPr>
            <w:r>
              <w:rPr>
                <w:rFonts w:hint="eastAsia" w:ascii="宋体" w:hAnsi="宋体"/>
                <w:color w:val="auto"/>
                <w:szCs w:val="21"/>
                <w:highlight w:val="none"/>
              </w:rPr>
              <w:t>□根据总得分由高到低排列次序并全部推荐为中标候选人。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采购人确定中标人时，出现中标候选人并列的情形，采购人按以下的方式确定中标人：</w:t>
            </w:r>
          </w:p>
          <w:p>
            <w:pPr>
              <w:autoSpaceDE w:val="0"/>
              <w:autoSpaceDN w:val="0"/>
              <w:snapToGrid w:val="0"/>
              <w:spacing w:line="400" w:lineRule="exact"/>
              <w:textAlignment w:val="bottom"/>
              <w:rPr>
                <w:rFonts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iCs/>
                <w:color w:val="auto"/>
                <w:szCs w:val="21"/>
                <w:highlight w:val="none"/>
              </w:rPr>
              <w:t>依次按投标报价低的优先、技术评分高的优先、商务评分高的优先、服务</w:t>
            </w:r>
            <w:r>
              <w:rPr>
                <w:rFonts w:hint="eastAsia" w:ascii="宋体" w:hAnsi="宋体"/>
                <w:color w:val="auto"/>
                <w:szCs w:val="21"/>
                <w:highlight w:val="none"/>
              </w:rPr>
              <w:t>方案</w:t>
            </w:r>
            <w:r>
              <w:rPr>
                <w:rFonts w:hint="eastAsia" w:ascii="宋体" w:hAnsi="宋体"/>
                <w:iCs/>
                <w:color w:val="auto"/>
                <w:szCs w:val="21"/>
                <w:highlight w:val="none"/>
              </w:rPr>
              <w:t>分高的优先顺序确定；</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78" w:name="_39.1"/>
            <w:bookmarkEnd w:id="78"/>
            <w:r>
              <w:rPr>
                <w:rFonts w:hint="eastAsia" w:ascii="宋体" w:hAnsi="宋体"/>
                <w:color w:val="auto"/>
                <w:szCs w:val="21"/>
                <w:highlight w:val="none"/>
              </w:rPr>
              <w:t>35</w:t>
            </w:r>
            <w:r>
              <w:rPr>
                <w:rFonts w:ascii="宋体" w:hAnsi="宋体"/>
                <w:color w:val="auto"/>
                <w:szCs w:val="21"/>
                <w:highlight w:val="none"/>
              </w:rPr>
              <w:t>.1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Segoe UI Symbol" w:hAnsi="Segoe UI Symbol" w:cs="Segoe UI Symbol"/>
                <w:color w:val="auto"/>
                <w:szCs w:val="21"/>
                <w:highlight w:val="none"/>
              </w:rPr>
              <w:t>□</w:t>
            </w:r>
            <w:r>
              <w:rPr>
                <w:rFonts w:hint="eastAsia" w:ascii="宋体" w:hAnsi="宋体"/>
                <w:color w:val="auto"/>
                <w:szCs w:val="21"/>
                <w:highlight w:val="none"/>
              </w:rPr>
              <w:t>本项目不收取履约保证金。</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本项目收取履约保证金，具体规定如下：</w:t>
            </w:r>
          </w:p>
          <w:p>
            <w:pPr>
              <w:pStyle w:val="16"/>
              <w:spacing w:line="400" w:lineRule="exact"/>
              <w:rPr>
                <w:rFonts w:ascii="宋体" w:hAnsi="宋体"/>
                <w:color w:val="auto"/>
                <w:szCs w:val="21"/>
                <w:highlight w:val="none"/>
              </w:rPr>
            </w:pPr>
            <w:r>
              <w:rPr>
                <w:rFonts w:hint="eastAsia" w:ascii="宋体" w:hAnsi="宋体"/>
                <w:color w:val="auto"/>
                <w:szCs w:val="21"/>
                <w:highlight w:val="none"/>
              </w:rPr>
              <w:t>履约保证金金额：按中标金额的</w:t>
            </w:r>
            <w:r>
              <w:rPr>
                <w:rFonts w:hint="eastAsia" w:ascii="宋体" w:hAnsi="宋体" w:cs="Arial"/>
                <w:color w:val="auto"/>
                <w:szCs w:val="21"/>
                <w:highlight w:val="none"/>
                <w:u w:val="single"/>
              </w:rPr>
              <w:t>5</w:t>
            </w:r>
            <w:r>
              <w:rPr>
                <w:rFonts w:hint="eastAsia" w:ascii="宋体" w:hAnsi="宋体"/>
                <w:color w:val="auto"/>
                <w:szCs w:val="21"/>
                <w:highlight w:val="none"/>
              </w:rPr>
              <w:t>%收取（如为小微企业，则按合同金额的2%）。</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履约保证金递交方式：银行转账、支票、汇票、本票或者银行、保险机构出具的保函等非现金方式（参照投标保证金）</w:t>
            </w:r>
          </w:p>
          <w:p>
            <w:pPr>
              <w:autoSpaceDE w:val="0"/>
              <w:autoSpaceDN w:val="0"/>
              <w:snapToGrid w:val="0"/>
              <w:spacing w:line="400" w:lineRule="exact"/>
              <w:textAlignment w:val="bottom"/>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zh-CN"/>
              </w:rPr>
              <w:t>待运维服务工作结束后</w:t>
            </w:r>
            <w:r>
              <w:rPr>
                <w:rFonts w:hint="eastAsia" w:ascii="宋体" w:hAnsi="宋体"/>
                <w:color w:val="auto"/>
                <w:szCs w:val="21"/>
                <w:highlight w:val="none"/>
                <w:u w:val="single"/>
              </w:rPr>
              <w:t>，履约保证金在10个工作日内无息返还（如有涉及违约行为的，扣除违约金后退还）</w:t>
            </w:r>
            <w:r>
              <w:rPr>
                <w:rFonts w:ascii="宋体" w:hAnsi="宋体"/>
                <w:color w:val="auto"/>
                <w:szCs w:val="21"/>
                <w:highlight w:val="none"/>
                <w:u w:val="single"/>
              </w:rPr>
              <w:t xml:space="preserve"> </w:t>
            </w:r>
            <w:r>
              <w:rPr>
                <w:rFonts w:hint="eastAsia" w:ascii="宋体" w:hAnsi="宋体"/>
                <w:color w:val="auto"/>
                <w:szCs w:val="21"/>
                <w:highlight w:val="none"/>
                <w:u w:val="single"/>
              </w:rPr>
              <w:t>。</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履约保证金指定账户：</w:t>
            </w:r>
          </w:p>
          <w:p>
            <w:pPr>
              <w:spacing w:line="360" w:lineRule="atLeast"/>
              <w:rPr>
                <w:rFonts w:ascii="宋体" w:hAnsi="宋体"/>
                <w:color w:val="auto"/>
                <w:szCs w:val="21"/>
                <w:highlight w:val="none"/>
                <w:u w:val="single"/>
              </w:rPr>
            </w:pPr>
            <w:r>
              <w:rPr>
                <w:rFonts w:hint="eastAsia" w:ascii="宋体" w:hAnsi="宋体"/>
                <w:color w:val="auto"/>
                <w:szCs w:val="21"/>
                <w:highlight w:val="none"/>
              </w:rPr>
              <w:t>开户名称：</w:t>
            </w:r>
            <w:r>
              <w:rPr>
                <w:rFonts w:hint="eastAsia" w:ascii="宋体" w:hAnsi="宋体"/>
                <w:color w:val="auto"/>
                <w:szCs w:val="21"/>
                <w:highlight w:val="none"/>
                <w:u w:val="single"/>
              </w:rPr>
              <w:t>广西壮族自治区收费公路联网收费清分结算中心</w:t>
            </w:r>
          </w:p>
          <w:p>
            <w:pPr>
              <w:spacing w:line="360" w:lineRule="atLeas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交通银行股份有限公司南宁金源支行</w:t>
            </w:r>
          </w:p>
          <w:p>
            <w:pPr>
              <w:spacing w:line="400" w:lineRule="exact"/>
              <w:jc w:val="left"/>
              <w:rPr>
                <w:rFonts w:ascii="宋体" w:hAnsi="宋体" w:cs="Courier New"/>
                <w:color w:val="auto"/>
                <w:szCs w:val="21"/>
                <w:highlight w:val="none"/>
              </w:rPr>
            </w:pPr>
            <w:r>
              <w:rPr>
                <w:rFonts w:hint="eastAsia" w:ascii="宋体" w:hAnsi="宋体"/>
                <w:color w:val="auto"/>
                <w:szCs w:val="21"/>
                <w:highlight w:val="none"/>
              </w:rPr>
              <w:t>银行账号：</w:t>
            </w:r>
            <w:r>
              <w:rPr>
                <w:rFonts w:ascii="宋体" w:hAnsi="宋体"/>
                <w:color w:val="auto"/>
                <w:szCs w:val="21"/>
                <w:highlight w:val="none"/>
                <w:u w:val="single"/>
              </w:rPr>
              <w:t>4510 6030 9018 0101 03458</w:t>
            </w:r>
          </w:p>
          <w:p>
            <w:pPr>
              <w:spacing w:line="400" w:lineRule="exact"/>
              <w:jc w:val="left"/>
              <w:rPr>
                <w:rFonts w:ascii="宋体" w:hAnsi="宋体" w:cs="Courier New"/>
                <w:color w:val="auto"/>
                <w:szCs w:val="21"/>
                <w:highlight w:val="none"/>
              </w:rPr>
            </w:pPr>
            <w:r>
              <w:rPr>
                <w:rFonts w:ascii="宋体" w:hAnsi="宋体" w:cs="Courier New"/>
                <w:color w:val="auto"/>
                <w:szCs w:val="21"/>
                <w:highlight w:val="none"/>
              </w:rPr>
              <w:t>备注：</w:t>
            </w:r>
          </w:p>
          <w:p>
            <w:pPr>
              <w:spacing w:line="400" w:lineRule="exact"/>
              <w:jc w:val="left"/>
              <w:rPr>
                <w:rFonts w:ascii="宋体" w:hAnsi="宋体" w:cs="宋体"/>
                <w:color w:val="auto"/>
                <w:kern w:val="0"/>
                <w:szCs w:val="21"/>
                <w:highlight w:val="none"/>
              </w:rPr>
            </w:pPr>
            <w:r>
              <w:rPr>
                <w:rFonts w:ascii="宋体" w:hAnsi="宋体"/>
                <w:b/>
                <w:color w:val="auto"/>
                <w:szCs w:val="21"/>
                <w:highlight w:val="none"/>
              </w:rPr>
              <w:t>1.</w:t>
            </w:r>
            <w:bookmarkStart w:id="79" w:name="_Hlk54170335"/>
            <w:r>
              <w:rPr>
                <w:rFonts w:hint="eastAsia" w:ascii="宋体" w:hAnsi="宋体"/>
                <w:b/>
                <w:color w:val="auto"/>
                <w:szCs w:val="21"/>
                <w:highlight w:val="none"/>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79"/>
            <w:r>
              <w:rPr>
                <w:rFonts w:hint="eastAsia" w:ascii="宋体" w:hAnsi="宋体"/>
                <w:b/>
                <w:color w:val="auto"/>
                <w:szCs w:val="21"/>
                <w:highlight w:val="none"/>
              </w:rPr>
              <w:t>根据《广西壮族自治区财政厅关于进一步发挥政府采购政策功能促进企业发展的通知》的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r>
              <w:rPr>
                <w:rFonts w:ascii="宋体" w:hAnsi="宋体" w:cs="Courier New"/>
                <w:color w:val="auto"/>
                <w:szCs w:val="21"/>
                <w:highlight w:val="none"/>
              </w:rPr>
              <w:br w:type="textWrapping"/>
            </w:r>
            <w:r>
              <w:rPr>
                <w:rFonts w:ascii="宋体" w:hAnsi="宋体"/>
                <w:b/>
                <w:color w:val="auto"/>
                <w:szCs w:val="21"/>
                <w:highlight w:val="none"/>
              </w:rPr>
              <w:t>2.</w:t>
            </w:r>
            <w:r>
              <w:rPr>
                <w:rFonts w:hint="eastAsia" w:ascii="宋体" w:hAnsi="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b/>
                <w:color w:val="auto"/>
                <w:szCs w:val="21"/>
                <w:highlight w:val="none"/>
              </w:rPr>
              <w:br w:type="textWrapping"/>
            </w:r>
            <w:r>
              <w:rPr>
                <w:rFonts w:ascii="宋体" w:hAnsi="宋体"/>
                <w:b/>
                <w:color w:val="auto"/>
                <w:szCs w:val="21"/>
                <w:highlight w:val="none"/>
              </w:rPr>
              <w:t>3.采用银行、保险机构出具的保函的，必须为无条件保函，否则不予签订合同。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0" w:name="_40.1"/>
            <w:bookmarkEnd w:id="80"/>
            <w:r>
              <w:rPr>
                <w:rFonts w:hint="eastAsia" w:ascii="宋体" w:hAnsi="宋体"/>
                <w:color w:val="auto"/>
                <w:szCs w:val="21"/>
                <w:highlight w:val="none"/>
              </w:rPr>
              <w:t>36.1</w:t>
            </w:r>
          </w:p>
        </w:tc>
        <w:tc>
          <w:tcPr>
            <w:tcW w:w="4466"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接收质疑函方式：以书面形式</w:t>
            </w:r>
          </w:p>
          <w:p>
            <w:pPr>
              <w:snapToGrid w:val="0"/>
              <w:spacing w:line="400" w:lineRule="exact"/>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u w:val="single"/>
              </w:rPr>
              <w:t>广西投资集团咨询有限公司</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rPr>
              <w:t>0771-</w:t>
            </w:r>
            <w:r>
              <w:rPr>
                <w:rFonts w:ascii="宋体" w:hAnsi="宋体"/>
                <w:color w:val="auto"/>
                <w:szCs w:val="21"/>
                <w:highlight w:val="none"/>
                <w:u w:val="single"/>
              </w:rPr>
              <w:t>5897182</w:t>
            </w:r>
            <w:r>
              <w:rPr>
                <w:rFonts w:hint="eastAsia" w:ascii="宋体" w:hAnsi="宋体"/>
                <w:color w:val="auto"/>
                <w:szCs w:val="21"/>
                <w:highlight w:val="none"/>
                <w:u w:val="single"/>
              </w:rPr>
              <w:t>、</w:t>
            </w:r>
            <w:r>
              <w:rPr>
                <w:rFonts w:ascii="宋体" w:hAnsi="宋体"/>
                <w:color w:val="auto"/>
                <w:szCs w:val="21"/>
                <w:highlight w:val="none"/>
                <w:u w:val="single"/>
              </w:rPr>
              <w:t>5897193</w:t>
            </w:r>
            <w:r>
              <w:rPr>
                <w:rFonts w:hint="eastAsia" w:ascii="宋体" w:hAnsi="宋体"/>
                <w:color w:val="auto"/>
                <w:szCs w:val="21"/>
                <w:highlight w:val="none"/>
              </w:rPr>
              <w:t>，</w:t>
            </w: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南宁市良庆区飞云路6号GIG广投数字经济示范基地9楼</w:t>
            </w:r>
          </w:p>
          <w:p>
            <w:pPr>
              <w:autoSpaceDE w:val="0"/>
              <w:autoSpaceDN w:val="0"/>
              <w:snapToGrid w:val="0"/>
              <w:spacing w:line="400" w:lineRule="exact"/>
              <w:textAlignment w:val="bottom"/>
              <w:rPr>
                <w:rFonts w:ascii="宋体" w:hAnsi="宋体"/>
                <w:color w:val="auto"/>
                <w:szCs w:val="21"/>
                <w:highlight w:val="none"/>
              </w:rPr>
            </w:pPr>
            <w:r>
              <w:rPr>
                <w:rFonts w:hint="eastAsia" w:ascii="宋体" w:hAnsi="宋体"/>
                <w:color w:val="auto"/>
                <w:szCs w:val="21"/>
                <w:highlight w:val="none"/>
              </w:rPr>
              <w:t>业务时间：工作日每天上午8时00分到12时00分，下午</w:t>
            </w:r>
            <w:r>
              <w:rPr>
                <w:rFonts w:ascii="宋体" w:hAnsi="宋体"/>
                <w:color w:val="auto"/>
                <w:szCs w:val="21"/>
                <w:highlight w:val="none"/>
              </w:rPr>
              <w:t>14</w:t>
            </w:r>
            <w:r>
              <w:rPr>
                <w:rFonts w:hint="eastAsia" w:ascii="宋体" w:hAnsi="宋体"/>
                <w:color w:val="auto"/>
                <w:szCs w:val="21"/>
                <w:highlight w:val="none"/>
              </w:rPr>
              <w:t>时</w:t>
            </w:r>
            <w:r>
              <w:rPr>
                <w:rFonts w:ascii="宋体" w:hAnsi="宋体"/>
                <w:color w:val="auto"/>
                <w:szCs w:val="21"/>
                <w:highlight w:val="none"/>
              </w:rPr>
              <w:t>3</w:t>
            </w:r>
            <w:r>
              <w:rPr>
                <w:rFonts w:hint="eastAsia" w:ascii="宋体" w:hAnsi="宋体"/>
                <w:color w:val="auto"/>
                <w:szCs w:val="21"/>
                <w:highlight w:val="none"/>
              </w:rPr>
              <w:t>0分到18时00分。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bookmarkStart w:id="81" w:name="_41"/>
            <w:bookmarkEnd w:id="81"/>
            <w:bookmarkStart w:id="82" w:name="_42"/>
            <w:bookmarkEnd w:id="82"/>
            <w:bookmarkStart w:id="83" w:name="_Hlt17709148"/>
            <w:r>
              <w:rPr>
                <w:rFonts w:hint="eastAsia" w:ascii="宋体" w:hAnsi="宋体"/>
                <w:color w:val="auto"/>
                <w:szCs w:val="21"/>
                <w:highlight w:val="none"/>
              </w:rPr>
              <w:t>3</w:t>
            </w:r>
            <w:bookmarkEnd w:id="83"/>
            <w:r>
              <w:rPr>
                <w:rFonts w:ascii="宋体" w:hAnsi="宋体"/>
                <w:color w:val="auto"/>
                <w:szCs w:val="21"/>
                <w:highlight w:val="none"/>
              </w:rPr>
              <w:t>9.1</w:t>
            </w:r>
          </w:p>
        </w:tc>
        <w:tc>
          <w:tcPr>
            <w:tcW w:w="4466" w:type="pct"/>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pPr>
              <w:pStyle w:val="23"/>
              <w:snapToGrid w:val="0"/>
              <w:spacing w:line="400" w:lineRule="exact"/>
              <w:rPr>
                <w:rFonts w:hAnsi="宋体" w:cs="宋体"/>
                <w:color w:val="auto"/>
                <w:sz w:val="21"/>
                <w:highlight w:val="none"/>
              </w:rPr>
            </w:pPr>
            <w:r>
              <w:rPr>
                <w:rFonts w:ascii="Segoe UI Symbol" w:hAnsi="Segoe UI Symbol" w:cs="Segoe UI Symbol"/>
                <w:color w:val="auto"/>
                <w:sz w:val="21"/>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□采购人支付。</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pPr>
              <w:pStyle w:val="23"/>
              <w:snapToGrid w:val="0"/>
              <w:spacing w:line="400" w:lineRule="exact"/>
              <w:rPr>
                <w:rFonts w:hAnsi="宋体" w:cs="宋体"/>
                <w:color w:val="auto"/>
                <w:sz w:val="21"/>
                <w:highlight w:val="none"/>
              </w:rPr>
            </w:pPr>
            <w:r>
              <w:rPr>
                <w:rFonts w:ascii="Segoe UI Symbol" w:hAnsi="Segoe UI Symbol" w:cs="Segoe UI Symbol"/>
                <w:color w:val="auto"/>
                <w:sz w:val="21"/>
                <w:highlight w:val="none"/>
              </w:rPr>
              <w:t>☑</w:t>
            </w:r>
            <w:r>
              <w:rPr>
                <w:rFonts w:hint="eastAsia" w:hAnsi="宋体" w:cs="宋体"/>
                <w:color w:val="auto"/>
                <w:sz w:val="21"/>
                <w:highlight w:val="none"/>
              </w:rPr>
              <w:t>以分标（□中标金额/</w:t>
            </w:r>
            <w:r>
              <w:rPr>
                <w:rFonts w:hint="eastAsia" w:ascii="Segoe UI Symbol" w:hAnsi="Segoe UI Symbol" w:cs="Segoe UI Symbol"/>
                <w:color w:val="auto"/>
                <w:sz w:val="21"/>
                <w:highlight w:val="none"/>
              </w:rPr>
              <w:t>□</w:t>
            </w:r>
            <w:r>
              <w:rPr>
                <w:rFonts w:hint="eastAsia" w:hAnsi="宋体" w:cs="宋体"/>
                <w:color w:val="auto"/>
                <w:sz w:val="21"/>
                <w:highlight w:val="none"/>
              </w:rPr>
              <w:t>采购预算/</w:t>
            </w:r>
            <w:r>
              <w:rPr>
                <w:rFonts w:hint="eastAsia" w:hAnsi="宋体" w:cs="宋体"/>
                <w:color w:val="auto"/>
                <w:sz w:val="21"/>
                <w:highlight w:val="none"/>
              </w:rPr>
              <w:sym w:font="Wingdings 2" w:char="0052"/>
            </w:r>
            <w:r>
              <w:rPr>
                <w:rFonts w:hint="eastAsia" w:hAnsi="宋体" w:cs="宋体"/>
                <w:color w:val="auto"/>
                <w:sz w:val="21"/>
                <w:highlight w:val="none"/>
              </w:rPr>
              <w:t>暂定中标金额/□其他</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rPr>
              <w:t>）为计费额，按本须知正文第</w:t>
            </w:r>
            <w:r>
              <w:rPr>
                <w:rFonts w:hAnsi="宋体" w:cs="宋体"/>
                <w:color w:val="auto"/>
                <w:sz w:val="21"/>
                <w:highlight w:val="none"/>
              </w:rPr>
              <w:t>39</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条规定的收费计算标准（□货物招标/</w:t>
            </w:r>
            <w:r>
              <w:rPr>
                <w:rFonts w:ascii="Segoe UI Symbol" w:hAnsi="Segoe UI Symbol" w:cs="Segoe UI Symbol"/>
                <w:color w:val="auto"/>
                <w:sz w:val="21"/>
                <w:highlight w:val="none"/>
              </w:rPr>
              <w:t>☑</w:t>
            </w:r>
            <w:r>
              <w:rPr>
                <w:rFonts w:hint="eastAsia" w:hAnsi="宋体" w:cs="宋体"/>
                <w:color w:val="auto"/>
                <w:sz w:val="21"/>
                <w:highlight w:val="none"/>
              </w:rPr>
              <w:t>服务招标/□工程招标）采用差额定率累进法计算出收费基准价格，采购代理收费以（</w:t>
            </w:r>
            <w:r>
              <w:rPr>
                <w:rFonts w:ascii="Segoe UI Symbol" w:hAnsi="Segoe UI Symbol" w:cs="Segoe UI Symbol"/>
                <w:color w:val="auto"/>
                <w:sz w:val="21"/>
                <w:highlight w:val="none"/>
              </w:rPr>
              <w:t>☑</w:t>
            </w:r>
            <w:r>
              <w:rPr>
                <w:rFonts w:hint="eastAsia" w:hAnsi="宋体" w:cs="宋体"/>
                <w:color w:val="auto"/>
                <w:sz w:val="21"/>
                <w:highlight w:val="none"/>
              </w:rPr>
              <w:t>收费基准价格/□收费基准价格下浮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Ansi="宋体" w:cs="宋体"/>
                <w:color w:val="auto"/>
                <w:sz w:val="21"/>
                <w:highlight w:val="none"/>
              </w:rPr>
              <w:t>/</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Ansi="宋体" w:cs="宋体"/>
                <w:color w:val="auto"/>
                <w:sz w:val="21"/>
                <w:highlight w:val="none"/>
                <w:u w:val="single"/>
              </w:rPr>
              <w:t xml:space="preserve">/ </w:t>
            </w:r>
            <w:r>
              <w:rPr>
                <w:rFonts w:hint="eastAsia" w:hAnsi="宋体" w:cs="宋体"/>
                <w:color w:val="auto"/>
                <w:sz w:val="21"/>
                <w:highlight w:val="none"/>
                <w:u w:val="single"/>
              </w:rPr>
              <w:t>%</w:t>
            </w:r>
            <w:r>
              <w:rPr>
                <w:rFonts w:hint="eastAsia" w:hAnsi="宋体" w:cs="宋体"/>
                <w:color w:val="auto"/>
                <w:sz w:val="21"/>
                <w:highlight w:val="none"/>
              </w:rPr>
              <w:t>）收取。</w:t>
            </w:r>
          </w:p>
          <w:p>
            <w:pPr>
              <w:pStyle w:val="23"/>
              <w:snapToGrid w:val="0"/>
              <w:spacing w:line="400" w:lineRule="exact"/>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r>
              <w:rPr>
                <w:rFonts w:hAnsi="宋体" w:cs="宋体"/>
                <w:color w:val="auto"/>
                <w:sz w:val="21"/>
                <w:highlight w:val="none"/>
                <w:u w:val="single"/>
              </w:rPr>
              <w:t>/</w:t>
            </w:r>
            <w:r>
              <w:rPr>
                <w:rFonts w:hint="eastAsia" w:hAnsi="宋体" w:cs="宋体"/>
                <w:color w:val="auto"/>
                <w:sz w:val="21"/>
                <w:highlight w:val="none"/>
                <w:u w:val="single"/>
              </w:rPr>
              <w:t xml:space="preserve"> 。</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3</w:t>
            </w:r>
            <w:r>
              <w:rPr>
                <w:rFonts w:hAnsi="宋体" w:cs="宋体"/>
                <w:color w:val="auto"/>
                <w:sz w:val="21"/>
                <w:highlight w:val="none"/>
              </w:rPr>
              <w:t>.</w:t>
            </w:r>
            <w:r>
              <w:rPr>
                <w:rFonts w:hint="eastAsia" w:hAnsi="宋体" w:cs="宋体"/>
                <w:color w:val="auto"/>
                <w:sz w:val="21"/>
                <w:highlight w:val="none"/>
              </w:rPr>
              <w:t>代理机构银行账户信息如下：</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账户名称：广西投资集团咨询有限公司</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 xml:space="preserve">开户银行： </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 xml:space="preserve">银行账号： </w:t>
            </w:r>
          </w:p>
          <w:p>
            <w:pPr>
              <w:pStyle w:val="23"/>
              <w:snapToGrid w:val="0"/>
              <w:spacing w:line="400" w:lineRule="exact"/>
              <w:rPr>
                <w:rFonts w:hAnsi="宋体" w:cs="宋体"/>
                <w:color w:val="auto"/>
                <w:sz w:val="21"/>
                <w:highlight w:val="none"/>
              </w:rPr>
            </w:pPr>
            <w:r>
              <w:rPr>
                <w:rFonts w:hint="eastAsia" w:hAnsi="宋体" w:cs="宋体"/>
                <w:color w:val="auto"/>
                <w:sz w:val="21"/>
                <w:highlight w:val="none"/>
              </w:rPr>
              <w:t>开户行联行号：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40.1</w:t>
            </w:r>
          </w:p>
        </w:tc>
        <w:tc>
          <w:tcPr>
            <w:tcW w:w="446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Cs w:val="21"/>
                <w:highlight w:val="none"/>
              </w:rPr>
            </w:pPr>
            <w:r>
              <w:rPr>
                <w:rFonts w:hint="eastAsia" w:ascii="宋体" w:hAnsi="宋体"/>
                <w:color w:val="auto"/>
                <w:szCs w:val="21"/>
                <w:highlight w:val="none"/>
              </w:rPr>
              <w:t>解释：</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4"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40.2</w:t>
            </w:r>
          </w:p>
        </w:tc>
        <w:tc>
          <w:tcPr>
            <w:tcW w:w="4466" w:type="pct"/>
            <w:tcBorders>
              <w:top w:val="single" w:color="auto" w:sz="4" w:space="0"/>
              <w:left w:val="single" w:color="auto" w:sz="4" w:space="0"/>
              <w:bottom w:val="single" w:color="auto" w:sz="4" w:space="0"/>
              <w:right w:val="single" w:color="auto" w:sz="4" w:space="0"/>
            </w:tcBorders>
            <w:vAlign w:val="center"/>
          </w:tcPr>
          <w:p>
            <w:pPr>
              <w:pStyle w:val="23"/>
              <w:snapToGrid w:val="0"/>
              <w:spacing w:line="400" w:lineRule="exact"/>
              <w:rPr>
                <w:rFonts w:hAnsi="宋体" w:cs="宋体"/>
                <w:bCs/>
                <w:color w:val="auto"/>
                <w:sz w:val="21"/>
                <w:highlight w:val="none"/>
              </w:rPr>
            </w:pPr>
            <w:r>
              <w:rPr>
                <w:rFonts w:hint="eastAsia" w:hAnsi="宋体" w:cs="宋体"/>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23"/>
              <w:snapToGrid w:val="0"/>
              <w:spacing w:line="400" w:lineRule="exact"/>
              <w:rPr>
                <w:rFonts w:hAnsi="宋体" w:cs="宋体"/>
                <w:bCs/>
                <w:color w:val="auto"/>
                <w:sz w:val="21"/>
                <w:highlight w:val="none"/>
              </w:rPr>
            </w:pPr>
            <w:r>
              <w:rPr>
                <w:rFonts w:hint="eastAsia" w:hAnsi="宋体" w:cs="宋体"/>
                <w:bCs/>
                <w:color w:val="auto"/>
                <w:sz w:val="21"/>
                <w:highlight w:val="none"/>
              </w:rPr>
              <w:t>2.本招标文件所称的“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pPr>
              <w:pStyle w:val="23"/>
              <w:snapToGrid w:val="0"/>
              <w:spacing w:line="400" w:lineRule="exact"/>
              <w:rPr>
                <w:rFonts w:hAnsi="宋体" w:cs="宋体"/>
                <w:bCs/>
                <w:color w:val="auto"/>
                <w:sz w:val="21"/>
                <w:highlight w:val="none"/>
              </w:rPr>
            </w:pPr>
            <w:r>
              <w:rPr>
                <w:rFonts w:hint="eastAsia" w:hAnsi="宋体" w:cs="宋体"/>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23"/>
              <w:snapToGrid w:val="0"/>
              <w:spacing w:line="400" w:lineRule="exact"/>
              <w:rPr>
                <w:rFonts w:hAnsi="宋体" w:cs="宋体"/>
                <w:bCs/>
                <w:color w:val="auto"/>
                <w:sz w:val="21"/>
                <w:highlight w:val="none"/>
              </w:rPr>
            </w:pPr>
            <w:r>
              <w:rPr>
                <w:rFonts w:hint="eastAsia" w:hAnsi="宋体" w:cs="宋体"/>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pPr>
              <w:spacing w:line="400" w:lineRule="exact"/>
              <w:jc w:val="left"/>
              <w:rPr>
                <w:rFonts w:ascii="宋体" w:hAnsi="宋体"/>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pPr>
        <w:snapToGrid w:val="0"/>
        <w:rPr>
          <w:rFonts w:ascii="宋体" w:hAnsi="宋体"/>
          <w:color w:val="auto"/>
          <w:sz w:val="24"/>
          <w:szCs w:val="20"/>
          <w:highlight w:val="none"/>
        </w:rPr>
      </w:pPr>
    </w:p>
    <w:p>
      <w:pPr>
        <w:snapToGrid w:val="0"/>
        <w:rPr>
          <w:rFonts w:ascii="宋体" w:hAnsi="宋体"/>
          <w:color w:val="auto"/>
          <w:sz w:val="24"/>
          <w:szCs w:val="20"/>
          <w:highlight w:val="none"/>
        </w:rPr>
      </w:pPr>
    </w:p>
    <w:p>
      <w:pPr>
        <w:pStyle w:val="6"/>
        <w:keepNext w:val="0"/>
        <w:keepLines w:val="0"/>
        <w:jc w:val="center"/>
        <w:rPr>
          <w:color w:val="auto"/>
          <w:highlight w:val="none"/>
        </w:rPr>
      </w:pPr>
      <w:r>
        <w:rPr>
          <w:color w:val="auto"/>
          <w:highlight w:val="none"/>
        </w:rPr>
        <w:br w:type="page"/>
      </w:r>
      <w:r>
        <w:rPr>
          <w:rFonts w:hint="eastAsia"/>
          <w:color w:val="auto"/>
          <w:highlight w:val="none"/>
        </w:rPr>
        <w:t>投标人须知正文</w:t>
      </w:r>
    </w:p>
    <w:p>
      <w:pPr>
        <w:pStyle w:val="6"/>
        <w:keepNext w:val="0"/>
        <w:keepLines w:val="0"/>
        <w:jc w:val="center"/>
        <w:rPr>
          <w:color w:val="auto"/>
          <w:highlight w:val="none"/>
        </w:rPr>
      </w:pPr>
      <w:r>
        <w:rPr>
          <w:rFonts w:hint="eastAsia"/>
          <w:color w:val="auto"/>
          <w:highlight w:val="none"/>
        </w:rPr>
        <w:t>一、总  则</w:t>
      </w:r>
    </w:p>
    <w:p>
      <w:pPr>
        <w:pStyle w:val="7"/>
        <w:keepNext w:val="0"/>
        <w:keepLines w:val="0"/>
        <w:spacing w:before="0" w:after="0" w:line="360" w:lineRule="auto"/>
        <w:ind w:left="420" w:leftChars="200"/>
        <w:rPr>
          <w:rFonts w:ascii="黑体" w:hAnsi="黑体" w:eastAsia="黑体"/>
          <w:color w:val="auto"/>
          <w:sz w:val="24"/>
          <w:highlight w:val="none"/>
        </w:rPr>
      </w:pPr>
      <w:bookmarkStart w:id="84" w:name="_Toc254970527"/>
      <w:bookmarkStart w:id="85" w:name="_Toc254970668"/>
      <w:r>
        <w:rPr>
          <w:rFonts w:hint="eastAsia" w:ascii="黑体" w:hAnsi="黑体" w:eastAsia="黑体"/>
          <w:color w:val="auto"/>
          <w:sz w:val="24"/>
          <w:highlight w:val="none"/>
        </w:rPr>
        <w:t>1.适用范围</w:t>
      </w:r>
      <w:bookmarkEnd w:id="84"/>
      <w:bookmarkEnd w:id="85"/>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ascii="黑体" w:hAnsi="黑体" w:eastAsia="黑体"/>
          <w:color w:val="auto"/>
          <w:sz w:val="24"/>
          <w:highlight w:val="none"/>
        </w:rPr>
      </w:pPr>
      <w:bookmarkStart w:id="86" w:name="_Toc254970528"/>
      <w:bookmarkStart w:id="87" w:name="_Toc254970669"/>
      <w:r>
        <w:rPr>
          <w:rFonts w:hint="eastAsia" w:ascii="黑体" w:hAnsi="黑体" w:eastAsia="黑体"/>
          <w:color w:val="auto"/>
          <w:sz w:val="24"/>
          <w:highlight w:val="none"/>
        </w:rPr>
        <w:t>2.定义</w:t>
      </w:r>
      <w:bookmarkEnd w:id="86"/>
      <w:bookmarkEnd w:id="87"/>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2.3“供应商”是指向采购人提供货物、工程或者服务的法人、其他组织或者自然人。</w:t>
      </w:r>
    </w:p>
    <w:p>
      <w:pPr>
        <w:pStyle w:val="8"/>
        <w:spacing w:line="360" w:lineRule="auto"/>
        <w:rPr>
          <w:rFonts w:ascii="宋体" w:hAnsi="宋体"/>
          <w:color w:val="auto"/>
          <w:szCs w:val="21"/>
          <w:highlight w:val="none"/>
        </w:rPr>
      </w:pPr>
      <w:r>
        <w:rPr>
          <w:rFonts w:hint="eastAsia" w:ascii="宋体" w:hAnsi="宋体"/>
          <w:color w:val="auto"/>
          <w:szCs w:val="21"/>
          <w:highlight w:val="none"/>
        </w:rPr>
        <w:t>2.4“投标人”是指响应招标、参加投标竞争的法人、其他组织或者自然人。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2.5“服务”是指除货物和工程以外的其他政府采购对象。</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88" w:name="_Toc254970670"/>
      <w:bookmarkStart w:id="89" w:name="_Toc254970529"/>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bookmarkEnd w:id="88"/>
      <w:bookmarkEnd w:id="89"/>
      <w:r>
        <w:rPr>
          <w:rFonts w:hint="eastAsia" w:ascii="黑体" w:hAnsi="黑体" w:eastAsia="黑体"/>
          <w:color w:val="auto"/>
          <w:sz w:val="24"/>
          <w:highlight w:val="none"/>
        </w:rPr>
        <w:t>投标人的资格要求</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投标人的资格要求详见“投标人须知前附表”。</w:t>
      </w:r>
    </w:p>
    <w:p>
      <w:pPr>
        <w:pStyle w:val="7"/>
        <w:keepNext w:val="0"/>
        <w:keepLines w:val="0"/>
        <w:spacing w:before="0" w:after="0" w:line="360" w:lineRule="auto"/>
        <w:ind w:left="420" w:leftChars="200"/>
        <w:rPr>
          <w:rFonts w:ascii="黑体" w:hAnsi="黑体" w:eastAsia="黑体"/>
          <w:color w:val="auto"/>
          <w:sz w:val="24"/>
          <w:highlight w:val="none"/>
        </w:rPr>
      </w:pPr>
      <w:bookmarkStart w:id="90" w:name="_Toc254970671"/>
      <w:bookmarkStart w:id="91" w:name="_Toc254970530"/>
      <w:r>
        <w:rPr>
          <w:rFonts w:hint="eastAsia" w:ascii="黑体" w:hAnsi="黑体" w:eastAsia="黑体"/>
          <w:color w:val="auto"/>
          <w:sz w:val="24"/>
          <w:highlight w:val="none"/>
        </w:rPr>
        <w:t>4.投标委托</w:t>
      </w:r>
      <w:bookmarkEnd w:id="90"/>
      <w:bookmarkEnd w:id="91"/>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pPr>
        <w:pStyle w:val="7"/>
        <w:keepNext w:val="0"/>
        <w:keepLines w:val="0"/>
        <w:spacing w:before="0" w:after="0" w:line="360" w:lineRule="auto"/>
        <w:ind w:left="420" w:leftChars="200"/>
        <w:rPr>
          <w:rFonts w:ascii="黑体" w:hAnsi="黑体" w:eastAsia="黑体"/>
          <w:color w:val="auto"/>
          <w:sz w:val="24"/>
          <w:highlight w:val="none"/>
        </w:rPr>
      </w:pPr>
      <w:bookmarkStart w:id="92" w:name="_5.投标费用"/>
      <w:bookmarkEnd w:id="92"/>
      <w:bookmarkStart w:id="93" w:name="_Toc254970672"/>
      <w:bookmarkStart w:id="94" w:name="_Toc254970531"/>
      <w:r>
        <w:rPr>
          <w:rFonts w:hint="eastAsia" w:ascii="黑体" w:hAnsi="黑体" w:eastAsia="黑体"/>
          <w:color w:val="auto"/>
          <w:sz w:val="24"/>
          <w:highlight w:val="none"/>
        </w:rPr>
        <w:t>5.投标费用</w:t>
      </w:r>
      <w:bookmarkEnd w:id="93"/>
      <w:bookmarkEnd w:id="94"/>
    </w:p>
    <w:p>
      <w:pPr>
        <w:snapToGrid w:val="0"/>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6.联合体投标</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pPr>
        <w:pStyle w:val="7"/>
        <w:keepNext w:val="0"/>
        <w:keepLines w:val="0"/>
        <w:spacing w:before="0" w:after="0" w:line="360" w:lineRule="auto"/>
        <w:ind w:left="420" w:leftChars="200"/>
        <w:rPr>
          <w:rFonts w:ascii="宋体" w:hAnsi="宋体"/>
          <w:b w:val="0"/>
          <w:color w:val="auto"/>
          <w:sz w:val="21"/>
          <w:szCs w:val="21"/>
          <w:highlight w:val="none"/>
        </w:rPr>
      </w:pPr>
      <w:bookmarkStart w:id="95" w:name="_Toc254970673"/>
      <w:bookmarkStart w:id="96" w:name="_Toc254970532"/>
      <w:r>
        <w:rPr>
          <w:rFonts w:hint="eastAsia" w:ascii="宋体" w:hAnsi="宋体"/>
          <w:b w:val="0"/>
          <w:color w:val="auto"/>
          <w:sz w:val="21"/>
          <w:szCs w:val="21"/>
          <w:highlight w:val="none"/>
        </w:rPr>
        <w:t>7.1本项目不允许转包。</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8.特别说明</w:t>
      </w:r>
      <w:bookmarkEnd w:id="95"/>
      <w:bookmarkEnd w:id="96"/>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8.2投标人应仔细阅读招标文件的所有内容，按照招标文件的要求提交投标文件，并对所提供的全部资料的真实性承担法律责任。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pStyle w:val="7"/>
        <w:keepNext w:val="0"/>
        <w:keepLines w:val="0"/>
        <w:spacing w:before="0" w:after="0" w:line="360" w:lineRule="auto"/>
        <w:ind w:firstLine="367" w:firstLineChars="175"/>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pPr>
        <w:pStyle w:val="23"/>
        <w:snapToGrid w:val="0"/>
        <w:spacing w:line="360" w:lineRule="auto"/>
        <w:ind w:left="2" w:leftChars="1" w:firstLine="420" w:firstLineChars="200"/>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 xml:space="preserve">（1）不同投标人的投标文件由同一单位或者个人编制； </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（2）不同投标人委托同一单位或者个人办理投标事宜；</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（3）不同的投标人的投标文件载明的项目管理员为同一个人；</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（5）不同投标人的投标文件相互混装；</w:t>
      </w:r>
    </w:p>
    <w:p>
      <w:pPr>
        <w:pStyle w:val="23"/>
        <w:snapToGrid w:val="0"/>
        <w:spacing w:line="360" w:lineRule="auto"/>
        <w:ind w:left="2" w:leftChars="1" w:firstLine="422" w:firstLineChars="200"/>
        <w:rPr>
          <w:rFonts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供应商有下列情形之一的，属于恶意串通行为，将报同级监督管理部门：</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pPr>
        <w:pStyle w:val="23"/>
        <w:snapToGrid w:val="0"/>
        <w:spacing w:line="360" w:lineRule="auto"/>
        <w:ind w:left="2" w:leftChars="1" w:firstLine="420" w:firstLineChars="200"/>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pPr>
        <w:pStyle w:val="23"/>
        <w:snapToGrid w:val="0"/>
        <w:spacing w:line="360" w:lineRule="auto"/>
        <w:ind w:left="2" w:leftChars="1" w:firstLine="422" w:firstLineChars="200"/>
        <w:rPr>
          <w:rFonts w:hAnsi="宋体"/>
          <w:b/>
          <w:color w:val="auto"/>
          <w:kern w:val="2"/>
          <w:sz w:val="21"/>
          <w:highlight w:val="none"/>
        </w:rPr>
      </w:pPr>
    </w:p>
    <w:p>
      <w:pPr>
        <w:pStyle w:val="6"/>
        <w:keepNext w:val="0"/>
        <w:keepLines w:val="0"/>
        <w:jc w:val="center"/>
        <w:rPr>
          <w:color w:val="auto"/>
          <w:highlight w:val="none"/>
        </w:rPr>
      </w:pPr>
      <w:bookmarkStart w:id="97" w:name="_Toc254970675"/>
      <w:bookmarkStart w:id="98" w:name="_Toc254970534"/>
      <w:r>
        <w:rPr>
          <w:rFonts w:hint="eastAsia"/>
          <w:color w:val="auto"/>
          <w:highlight w:val="none"/>
        </w:rPr>
        <w:t>二、招标文件</w:t>
      </w:r>
      <w:bookmarkEnd w:id="97"/>
      <w:bookmarkEnd w:id="98"/>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（1）招标公告；</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 xml:space="preserve">（2）采购需求； </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（4）评标方法及评标标准；</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（5）拟签订的合同文本；</w:t>
      </w:r>
    </w:p>
    <w:p>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（6）投标文件格式。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99"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9"/>
    <w:p>
      <w:pPr>
        <w:pStyle w:val="6"/>
        <w:keepNext w:val="0"/>
        <w:keepLines w:val="0"/>
        <w:jc w:val="center"/>
        <w:rPr>
          <w:color w:val="auto"/>
          <w:highlight w:val="none"/>
        </w:rPr>
      </w:pPr>
      <w:bookmarkStart w:id="100" w:name="_Toc254970535"/>
      <w:bookmarkStart w:id="101" w:name="_Toc254970676"/>
      <w:r>
        <w:rPr>
          <w:rFonts w:hint="eastAsia"/>
          <w:color w:val="auto"/>
          <w:highlight w:val="none"/>
        </w:rPr>
        <w:t>三、投标文件的编制</w:t>
      </w:r>
      <w:bookmarkEnd w:id="100"/>
      <w:bookmarkEnd w:id="101"/>
    </w:p>
    <w:p>
      <w:pPr>
        <w:pStyle w:val="7"/>
        <w:keepNext w:val="0"/>
        <w:keepLines w:val="0"/>
        <w:spacing w:before="0" w:after="0" w:line="360" w:lineRule="auto"/>
        <w:ind w:left="420" w:leftChars="200"/>
        <w:rPr>
          <w:rFonts w:ascii="黑体" w:hAnsi="黑体" w:eastAsia="黑体"/>
          <w:color w:val="auto"/>
          <w:sz w:val="24"/>
          <w:highlight w:val="none"/>
        </w:rPr>
      </w:pPr>
      <w:bookmarkStart w:id="102" w:name="_Toc254970677"/>
      <w:bookmarkStart w:id="103" w:name="_Toc254970536"/>
      <w:r>
        <w:rPr>
          <w:rFonts w:hint="eastAsia" w:ascii="黑体" w:hAnsi="黑体" w:eastAsia="黑体"/>
          <w:color w:val="auto"/>
          <w:sz w:val="24"/>
          <w:highlight w:val="none"/>
        </w:rPr>
        <w:t>12.投标文件的编制原则</w:t>
      </w:r>
    </w:p>
    <w:p>
      <w:pPr>
        <w:snapToGrid w:val="0"/>
        <w:spacing w:line="360" w:lineRule="auto"/>
        <w:ind w:firstLine="420"/>
        <w:jc w:val="left"/>
        <w:rPr>
          <w:rFonts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02"/>
      <w:bookmarkEnd w:id="103"/>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投标文件由报价文件、资格证明文件、商务文件、技术文件四部分组成。</w:t>
      </w:r>
    </w:p>
    <w:p>
      <w:pPr>
        <w:pStyle w:val="7"/>
        <w:keepNext w:val="0"/>
        <w:keepLines w:val="0"/>
        <w:spacing w:before="0" w:after="0" w:line="360" w:lineRule="auto"/>
        <w:ind w:left="420" w:leftChars="200"/>
        <w:rPr>
          <w:rFonts w:ascii="宋体" w:hAnsi="宋体"/>
          <w:b w:val="0"/>
          <w:color w:val="auto"/>
          <w:sz w:val="21"/>
          <w:szCs w:val="21"/>
          <w:highlight w:val="none"/>
        </w:rPr>
      </w:pPr>
      <w:bookmarkStart w:id="104" w:name="_13.1报价文件:_具体材料见“投标人须知前附表”。"/>
      <w:bookmarkEnd w:id="104"/>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bookmarkStart w:id="105" w:name="_13.2资格证明文件：具体材料见“投标人须知前附表”。"/>
      <w:bookmarkEnd w:id="105"/>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bookmarkStart w:id="106" w:name="_13.3商务文件:_具体材料见“投标人须知前附表”。"/>
      <w:bookmarkEnd w:id="106"/>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宋体" w:hAnsi="宋体"/>
          <w:b w:val="0"/>
          <w:color w:val="auto"/>
          <w:sz w:val="21"/>
          <w:szCs w:val="21"/>
          <w:highlight w:val="none"/>
        </w:rPr>
      </w:pPr>
      <w:bookmarkStart w:id="107" w:name="_13.4技术文件：具体材料见“投标人须知前附表”。"/>
      <w:bookmarkEnd w:id="107"/>
      <w:r>
        <w:rPr>
          <w:rFonts w:hint="eastAsia" w:ascii="宋体" w:hAnsi="宋体"/>
          <w:b w:val="0"/>
          <w:color w:val="auto"/>
          <w:sz w:val="21"/>
          <w:szCs w:val="21"/>
          <w:highlight w:val="none"/>
        </w:rPr>
        <w:t>（</w:t>
      </w:r>
      <w:r>
        <w:rPr>
          <w:rFonts w:ascii="宋体" w:hAnsi="宋体"/>
          <w:b w:val="0"/>
          <w:color w:val="auto"/>
          <w:sz w:val="21"/>
          <w:szCs w:val="21"/>
          <w:highlight w:val="none"/>
        </w:rPr>
        <w:t>4</w:t>
      </w:r>
      <w:r>
        <w:rPr>
          <w:rFonts w:hint="eastAsia" w:ascii="宋体" w:hAnsi="宋体"/>
          <w:b w:val="0"/>
          <w:color w:val="auto"/>
          <w:sz w:val="21"/>
          <w:szCs w:val="21"/>
          <w:highlight w:val="none"/>
        </w:rPr>
        <w:t>）技术文件：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pPr>
        <w:pStyle w:val="7"/>
        <w:keepNext w:val="0"/>
        <w:keepLines w:val="0"/>
        <w:spacing w:before="0" w:after="0" w:line="360" w:lineRule="auto"/>
        <w:ind w:left="420" w:leftChars="200"/>
        <w:rPr>
          <w:rFonts w:ascii="黑体" w:hAnsi="黑体" w:eastAsia="黑体"/>
          <w:color w:val="auto"/>
          <w:sz w:val="24"/>
          <w:highlight w:val="none"/>
        </w:rPr>
      </w:pPr>
      <w:bookmarkStart w:id="108" w:name="_13.5投标文件电子版：具体材料见“投标人须知前附表”。"/>
      <w:bookmarkEnd w:id="108"/>
      <w:bookmarkStart w:id="109" w:name="_Toc254970537"/>
      <w:bookmarkStart w:id="110" w:name="_Toc254970678"/>
      <w:r>
        <w:rPr>
          <w:rFonts w:hint="eastAsia" w:ascii="黑体" w:hAnsi="黑体" w:eastAsia="黑体"/>
          <w:color w:val="auto"/>
          <w:sz w:val="24"/>
          <w:highlight w:val="none"/>
        </w:rPr>
        <w:t>14.投标文件的语言及计量</w:t>
      </w:r>
      <w:bookmarkEnd w:id="109"/>
      <w:bookmarkEnd w:id="110"/>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14.1语言文字</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bCs/>
          <w:color w:val="auto"/>
          <w:sz w:val="21"/>
          <w:szCs w:val="21"/>
          <w:highlight w:val="none"/>
        </w:rPr>
        <w:t>，否则视同未响应。</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15.投标的风险</w:t>
      </w:r>
    </w:p>
    <w:p>
      <w:pPr>
        <w:pStyle w:val="23"/>
        <w:snapToGrid w:val="0"/>
        <w:spacing w:line="360" w:lineRule="auto"/>
        <w:ind w:firstLine="420" w:firstLineChars="200"/>
        <w:jc w:val="left"/>
        <w:rPr>
          <w:rFonts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ascii="黑体" w:hAnsi="黑体" w:eastAsia="黑体"/>
          <w:color w:val="auto"/>
          <w:sz w:val="24"/>
          <w:highlight w:val="none"/>
        </w:rPr>
      </w:pPr>
      <w:bookmarkStart w:id="111" w:name="_Toc254970538"/>
      <w:bookmarkStart w:id="112" w:name="_Toc254970679"/>
      <w:r>
        <w:rPr>
          <w:rFonts w:hint="eastAsia" w:ascii="黑体" w:hAnsi="黑体" w:eastAsia="黑体"/>
          <w:color w:val="auto"/>
          <w:sz w:val="24"/>
          <w:highlight w:val="none"/>
        </w:rPr>
        <w:t>16.投标报价</w:t>
      </w:r>
      <w:bookmarkEnd w:id="111"/>
      <w:bookmarkEnd w:id="112"/>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pPr>
        <w:pStyle w:val="7"/>
        <w:keepNext w:val="0"/>
        <w:keepLines w:val="0"/>
        <w:spacing w:before="0" w:after="0" w:line="360" w:lineRule="auto"/>
        <w:ind w:left="420" w:leftChars="200"/>
        <w:rPr>
          <w:rFonts w:ascii="宋体" w:hAnsi="宋体"/>
          <w:b w:val="0"/>
          <w:color w:val="auto"/>
          <w:sz w:val="21"/>
          <w:szCs w:val="21"/>
          <w:highlight w:val="none"/>
        </w:rPr>
      </w:pPr>
      <w:bookmarkStart w:id="113" w:name="_16.2投标报价具体定义见投标人须知前附表。"/>
      <w:bookmarkEnd w:id="113"/>
      <w:r>
        <w:rPr>
          <w:rFonts w:hint="eastAsia" w:ascii="宋体" w:hAnsi="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17.投标有效期</w:t>
      </w:r>
    </w:p>
    <w:p>
      <w:pPr>
        <w:pStyle w:val="7"/>
        <w:keepNext w:val="0"/>
        <w:keepLines w:val="0"/>
        <w:spacing w:before="0" w:after="0" w:line="360" w:lineRule="auto"/>
        <w:ind w:firstLine="420" w:firstLineChars="200"/>
        <w:rPr>
          <w:rFonts w:ascii="宋体" w:hAnsi="宋体"/>
          <w:b w:val="0"/>
          <w:color w:val="auto"/>
          <w:sz w:val="21"/>
          <w:szCs w:val="21"/>
          <w:highlight w:val="none"/>
        </w:rPr>
      </w:pPr>
      <w:bookmarkStart w:id="114" w:name="_17.1投标有效期应按“投标人须知中的前附表”规定的期限。"/>
      <w:bookmarkEnd w:id="114"/>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17.2</w:t>
      </w:r>
      <w:bookmarkStart w:id="115" w:name="_Toc254970540"/>
      <w:bookmarkStart w:id="116" w:name="_Toc254970681"/>
      <w:r>
        <w:rPr>
          <w:rFonts w:hint="eastAsia" w:ascii="宋体" w:hAnsi="宋体"/>
          <w:b w:val="0"/>
          <w:color w:val="auto"/>
          <w:sz w:val="21"/>
          <w:szCs w:val="21"/>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15"/>
      <w:bookmarkEnd w:id="116"/>
    </w:p>
    <w:p>
      <w:pPr>
        <w:pStyle w:val="7"/>
        <w:keepNext w:val="0"/>
        <w:keepLines w:val="0"/>
        <w:spacing w:before="0" w:after="0" w:line="360" w:lineRule="auto"/>
        <w:ind w:left="420" w:leftChars="200"/>
        <w:rPr>
          <w:rFonts w:ascii="黑体" w:hAnsi="黑体" w:eastAsia="黑体"/>
          <w:color w:val="auto"/>
          <w:sz w:val="24"/>
          <w:highlight w:val="none"/>
        </w:rPr>
      </w:pPr>
      <w:bookmarkStart w:id="117" w:name="_18.投标保证金"/>
      <w:bookmarkEnd w:id="117"/>
      <w:bookmarkStart w:id="118" w:name="_Toc254970682"/>
      <w:bookmarkStart w:id="119" w:name="_Toc254970541"/>
      <w:r>
        <w:rPr>
          <w:rFonts w:hint="eastAsia" w:ascii="黑体" w:hAnsi="黑体" w:eastAsia="黑体"/>
          <w:color w:val="auto"/>
          <w:sz w:val="24"/>
          <w:highlight w:val="none"/>
        </w:rPr>
        <w:t>18.投标保证金</w:t>
      </w:r>
      <w:bookmarkEnd w:id="118"/>
      <w:bookmarkEnd w:id="119"/>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18.2投标保证金的退还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（1）投标人在投标有效期内撤销投标文件的；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（2）未按规定提交履约保证金的；</w:t>
      </w:r>
    </w:p>
    <w:p>
      <w:pPr>
        <w:snapToGrid w:val="0"/>
        <w:spacing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（3）投标人在投标过程中弄虚作假，提供虚假材料的；</w:t>
      </w:r>
    </w:p>
    <w:p>
      <w:pPr>
        <w:snapToGrid w:val="0"/>
        <w:spacing w:line="360" w:lineRule="auto"/>
        <w:ind w:firstLine="411" w:firstLineChars="196"/>
        <w:rPr>
          <w:rFonts w:ascii="宋体" w:hAnsi="宋体"/>
          <w:color w:val="auto"/>
          <w:szCs w:val="21"/>
          <w:highlight w:val="none"/>
        </w:rPr>
      </w:pPr>
      <w:r>
        <w:rPr>
          <w:rFonts w:hint="eastAsia" w:ascii="宋体" w:hAnsi="宋体"/>
          <w:color w:val="auto"/>
          <w:szCs w:val="21"/>
          <w:highlight w:val="none"/>
        </w:rPr>
        <w:t>（4）中标人无正当理由不与采购人签订合同的；</w:t>
      </w:r>
    </w:p>
    <w:p>
      <w:pPr>
        <w:snapToGrid w:val="0"/>
        <w:spacing w:line="360" w:lineRule="auto"/>
        <w:ind w:firstLine="420" w:firstLineChars="200"/>
        <w:rPr>
          <w:rFonts w:ascii="宋体" w:hAnsi="宋体"/>
          <w:color w:val="auto"/>
          <w:szCs w:val="21"/>
          <w:highlight w:val="none"/>
        </w:rPr>
      </w:pPr>
      <w:bookmarkStart w:id="120" w:name="_Toc254970542"/>
      <w:bookmarkStart w:id="121" w:name="_Toc254970683"/>
      <w:r>
        <w:rPr>
          <w:rFonts w:hint="eastAsia" w:ascii="宋体" w:hAnsi="宋体"/>
          <w:color w:val="auto"/>
          <w:szCs w:val="21"/>
          <w:highlight w:val="none"/>
        </w:rPr>
        <w:t>（5）投标人出现本章第9.2、9.3情形的；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120"/>
    <w:bookmarkEnd w:id="121"/>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政采云电子投标客户端”（请自行前往“政采云”平台进行下载），并按照本项目招标文件规定的格式和顺序和“政采云”平台的要求编制并加密。投标文件内容不完整、编排混乱导致投标文件被误读、漏读或者查找不到相关内容的，由此引发的后果由投标人承担。</w:t>
      </w:r>
    </w:p>
    <w:p>
      <w:pPr>
        <w:pStyle w:val="7"/>
        <w:keepNext w:val="0"/>
        <w:keepLines w:val="0"/>
        <w:spacing w:before="0" w:after="0" w:line="360" w:lineRule="auto"/>
        <w:ind w:firstLine="315" w:firstLineChars="150"/>
        <w:rPr>
          <w:rFonts w:ascii="宋体" w:hAnsi="宋体"/>
          <w:b w:val="0"/>
          <w:color w:val="auto"/>
          <w:sz w:val="21"/>
          <w:szCs w:val="21"/>
          <w:highlight w:val="none"/>
        </w:rPr>
      </w:pPr>
      <w:bookmarkStart w:id="122" w:name="_19.2投标文件应按报价文件、资格证明文件、商务文件、技术文件分别编制"/>
      <w:bookmarkEnd w:id="122"/>
      <w:r>
        <w:rPr>
          <w:rFonts w:hint="eastAsia" w:ascii="宋体" w:hAnsi="宋体"/>
          <w:b w:val="0"/>
          <w:color w:val="auto"/>
          <w:sz w:val="21"/>
          <w:szCs w:val="21"/>
          <w:highlight w:val="none"/>
        </w:rPr>
        <w:t>19.2为确保网上操作合法、有效和安全，投标人应当在投标截止时间前完成在“政采云”平台的身份认证，确保在电子投标过程中能够对相关数据电文进行加密和使用电子签章。</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bCs/>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政采云”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20.电子备份投标文件</w:t>
      </w:r>
    </w:p>
    <w:p>
      <w:pPr>
        <w:spacing w:line="360" w:lineRule="auto"/>
        <w:ind w:firstLine="420" w:firstLineChars="200"/>
        <w:rPr>
          <w:rFonts w:ascii="黑体" w:hAnsi="黑体" w:eastAsia="黑体"/>
          <w:color w:val="auto"/>
          <w:sz w:val="24"/>
          <w:highlight w:val="none"/>
        </w:rPr>
      </w:pPr>
      <w:r>
        <w:rPr>
          <w:rFonts w:hint="eastAsia"/>
          <w:color w:val="auto"/>
          <w:highlight w:val="none"/>
        </w:rPr>
        <w:t>电子备份投标文件是指通过“政采云电子投标客户端”在线编制生成且后缀名为“</w:t>
      </w:r>
      <w:r>
        <w:rPr>
          <w:color w:val="auto"/>
          <w:highlight w:val="none"/>
        </w:rPr>
        <w:t>bfbs</w:t>
      </w:r>
      <w:r>
        <w:rPr>
          <w:rFonts w:hint="eastAsia"/>
          <w:color w:val="auto"/>
          <w:highlight w:val="none"/>
        </w:rPr>
        <w:t>”的文件，是否接受电子备份投标文件</w:t>
      </w:r>
      <w:r>
        <w:rPr>
          <w:rFonts w:hint="eastAsia" w:hAnsi="宋体"/>
          <w:bCs/>
          <w:color w:val="auto"/>
          <w:szCs w:val="21"/>
          <w:highlight w:val="none"/>
        </w:rPr>
        <w:t>详见在“投标人须知前附表”。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pPr>
        <w:spacing w:line="360" w:lineRule="auto"/>
        <w:ind w:firstLine="420" w:firstLineChars="200"/>
        <w:rPr>
          <w:rFonts w:hAnsi="宋体"/>
          <w:b/>
          <w:color w:val="auto"/>
          <w:highlight w:val="none"/>
        </w:rPr>
      </w:pPr>
      <w:bookmarkStart w:id="123" w:name="_21.1投标人必须在“投标人须知中的前附表”规定的投标文件接收时间和投"/>
      <w:bookmarkEnd w:id="123"/>
      <w:r>
        <w:rPr>
          <w:rFonts w:hint="eastAsia"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hAnsi="宋体"/>
          <w:bCs/>
          <w:color w:val="auto"/>
          <w:szCs w:val="21"/>
          <w:highlight w:val="none"/>
        </w:rPr>
        <w:t>电子投标文件提交至投标地点。电子投标文件应在制作完成后，</w:t>
      </w:r>
      <w:r>
        <w:rPr>
          <w:rFonts w:hAnsi="宋体"/>
          <w:bCs/>
          <w:color w:val="auto"/>
          <w:szCs w:val="21"/>
          <w:highlight w:val="none"/>
        </w:rPr>
        <w:t>在投标截止时间前</w:t>
      </w:r>
      <w:r>
        <w:rPr>
          <w:rFonts w:hint="eastAsia" w:hAnsi="宋体"/>
          <w:bCs/>
          <w:color w:val="auto"/>
          <w:szCs w:val="21"/>
          <w:highlight w:val="none"/>
        </w:rPr>
        <w:t>通过有效数字证书（CA认证锁）进行电子签章、加密，然后通过网络将加密的电子投标文件递交至</w:t>
      </w:r>
      <w:r>
        <w:rPr>
          <w:rFonts w:hint="eastAsia" w:ascii="宋体" w:hAnsi="宋体"/>
          <w:b/>
          <w:color w:val="auto"/>
          <w:szCs w:val="21"/>
          <w:highlight w:val="none"/>
        </w:rPr>
        <w:t>“政采云”平台</w:t>
      </w:r>
      <w:r>
        <w:rPr>
          <w:rFonts w:hint="eastAsia" w:hAnsi="宋体"/>
          <w:bCs/>
          <w:color w:val="auto"/>
          <w:szCs w:val="21"/>
          <w:highlight w:val="none"/>
        </w:rPr>
        <w:t xml:space="preserve">。 </w:t>
      </w:r>
      <w:r>
        <w:rPr>
          <w:rFonts w:hint="eastAsia" w:hAnsi="宋体"/>
          <w:b/>
          <w:color w:val="auto"/>
          <w:highlight w:val="none"/>
        </w:rPr>
        <w:t xml:space="preserve"> </w:t>
      </w:r>
    </w:p>
    <w:p>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未在规定时间内提交或者未按照招标文件要求加密的电子投标文件，“政采云”平台将拒收。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pPr>
        <w:snapToGrid w:val="0"/>
        <w:spacing w:line="360" w:lineRule="auto"/>
        <w:ind w:firstLine="420"/>
        <w:jc w:val="left"/>
        <w:rPr>
          <w:rFonts w:ascii="宋体" w:hAnsi="宋体"/>
          <w:color w:val="auto"/>
          <w:szCs w:val="21"/>
          <w:highlight w:val="none"/>
        </w:rPr>
      </w:pPr>
      <w:bookmarkStart w:id="124" w:name="_Toc254970684"/>
      <w:bookmarkStart w:id="125" w:name="_Toc254970543"/>
      <w:r>
        <w:rPr>
          <w:rFonts w:ascii="宋体" w:hAnsi="宋体" w:cs="宋体"/>
          <w:color w:val="auto"/>
          <w:szCs w:val="21"/>
          <w:highlight w:val="none"/>
        </w:rPr>
        <w:t>22</w:t>
      </w:r>
      <w:r>
        <w:rPr>
          <w:rFonts w:hint="eastAsia" w:ascii="宋体" w:hAnsi="宋体" w:cs="宋体"/>
          <w:color w:val="auto"/>
          <w:szCs w:val="21"/>
          <w:highlight w:val="none"/>
        </w:rPr>
        <w:t>.1</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“政采云”平台，</w:t>
      </w:r>
      <w:r>
        <w:rPr>
          <w:rFonts w:hint="eastAsia" w:ascii="宋体" w:hAnsi="宋体"/>
          <w:color w:val="auto"/>
          <w:szCs w:val="21"/>
          <w:highlight w:val="none"/>
        </w:rPr>
        <w:t>依次进入“服务中心”中查看</w:t>
      </w:r>
      <w:r>
        <w:rPr>
          <w:rFonts w:hint="eastAsia" w:ascii="宋体" w:hAnsi="宋体" w:cs="宋体"/>
          <w:color w:val="auto"/>
          <w:szCs w:val="21"/>
          <w:highlight w:val="none"/>
        </w:rPr>
        <w:t xml:space="preserve"> “电子投标文件制作与投送教程”）</w:t>
      </w:r>
    </w:p>
    <w:bookmarkEnd w:id="124"/>
    <w:bookmarkEnd w:id="125"/>
    <w:p>
      <w:pPr>
        <w:pStyle w:val="113"/>
        <w:spacing w:before="0"/>
        <w:ind w:firstLine="420"/>
        <w:rPr>
          <w:rFonts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2“政采云”平台收到投标文件后向供应商发出确认回执通知。在投标截止时间前，除供应商补充、修改或者撤回投标文件外，任何单位和个人不得解密或提取投标文件。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pPr>
        <w:pStyle w:val="6"/>
        <w:keepNext w:val="0"/>
        <w:keepLines w:val="0"/>
        <w:jc w:val="center"/>
        <w:rPr>
          <w:color w:val="auto"/>
          <w:highlight w:val="none"/>
        </w:rPr>
      </w:pPr>
      <w:bookmarkStart w:id="126" w:name="_Toc254970544"/>
      <w:bookmarkStart w:id="127" w:name="_Toc254970685"/>
      <w:r>
        <w:rPr>
          <w:rFonts w:hint="eastAsia"/>
          <w:color w:val="auto"/>
          <w:highlight w:val="none"/>
        </w:rPr>
        <w:t>四、开    标</w:t>
      </w:r>
      <w:bookmarkEnd w:id="126"/>
      <w:bookmarkEnd w:id="127"/>
    </w:p>
    <w:p>
      <w:pPr>
        <w:pStyle w:val="7"/>
        <w:keepNext w:val="0"/>
        <w:keepLines w:val="0"/>
        <w:spacing w:before="0" w:after="0" w:line="360" w:lineRule="auto"/>
        <w:ind w:left="420" w:leftChars="200"/>
        <w:rPr>
          <w:rFonts w:ascii="黑体" w:hAnsi="黑体" w:eastAsia="黑体"/>
          <w:color w:val="auto"/>
          <w:sz w:val="24"/>
          <w:highlight w:val="none"/>
        </w:rPr>
      </w:pPr>
      <w:bookmarkStart w:id="128" w:name="_23.开标时间和地点"/>
      <w:bookmarkEnd w:id="128"/>
      <w:r>
        <w:rPr>
          <w:rFonts w:hint="eastAsia" w:ascii="黑体" w:hAnsi="黑体" w:eastAsia="黑体"/>
          <w:color w:val="auto"/>
          <w:sz w:val="24"/>
          <w:highlight w:val="none"/>
        </w:rPr>
        <w:t>23.开标时间和地点</w:t>
      </w:r>
    </w:p>
    <w:p>
      <w:pPr>
        <w:spacing w:line="360" w:lineRule="auto"/>
        <w:ind w:firstLine="420" w:firstLineChars="200"/>
        <w:rPr>
          <w:rFonts w:hAnsi="宋体"/>
          <w:bCs/>
          <w:color w:val="auto"/>
          <w:highlight w:val="none"/>
        </w:rPr>
      </w:pPr>
      <w:r>
        <w:rPr>
          <w:rFonts w:hint="eastAsia" w:hAnsi="宋体"/>
          <w:bCs/>
          <w:color w:val="auto"/>
          <w:highlight w:val="none"/>
        </w:rPr>
        <w:t>开标时间及地点详见“投标人须知前附表”</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24.开标程序</w:t>
      </w:r>
    </w:p>
    <w:p>
      <w:pPr>
        <w:pStyle w:val="8"/>
        <w:spacing w:line="360" w:lineRule="auto"/>
        <w:rPr>
          <w:color w:val="auto"/>
          <w:highlight w:val="none"/>
        </w:rPr>
      </w:pPr>
      <w:r>
        <w:rPr>
          <w:rFonts w:hint="eastAsia"/>
          <w:color w:val="auto"/>
          <w:highlight w:val="none"/>
        </w:rPr>
        <w:t>2</w:t>
      </w:r>
      <w:r>
        <w:rPr>
          <w:color w:val="auto"/>
          <w:highlight w:val="none"/>
        </w:rPr>
        <w:t>4.1</w:t>
      </w:r>
      <w:r>
        <w:rPr>
          <w:rFonts w:hint="eastAsia"/>
          <w:color w:val="auto"/>
          <w:highlight w:val="none"/>
        </w:rPr>
        <w:t>提交投标文件截止时间止，投标人不足3家的，不得开标。</w:t>
      </w:r>
    </w:p>
    <w:p>
      <w:pPr>
        <w:pStyle w:val="8"/>
        <w:spacing w:line="360" w:lineRule="auto"/>
        <w:rPr>
          <w:color w:val="auto"/>
          <w:highlight w:val="none"/>
        </w:rPr>
      </w:pPr>
      <w:r>
        <w:rPr>
          <w:rFonts w:hint="eastAsia"/>
          <w:color w:val="auto"/>
          <w:highlight w:val="none"/>
        </w:rPr>
        <w:t>24.</w:t>
      </w:r>
      <w:r>
        <w:rPr>
          <w:color w:val="auto"/>
          <w:highlight w:val="none"/>
        </w:rPr>
        <w:t>2</w:t>
      </w:r>
      <w:r>
        <w:rPr>
          <w:rFonts w:hint="eastAsia"/>
          <w:color w:val="auto"/>
          <w:highlight w:val="none"/>
        </w:rPr>
        <w:t>采购代理机构将按照招标文件规定的时间通过“政采云”平台组织线上开标活动，所有供应商均应当准时在线参加，投标人因未在线参加开标而导致投标文件无法按时解密等一切后果由投标人自己承担。</w:t>
      </w:r>
    </w:p>
    <w:p>
      <w:pPr>
        <w:pStyle w:val="8"/>
        <w:spacing w:line="360" w:lineRule="auto"/>
        <w:rPr>
          <w:color w:val="auto"/>
          <w:highlight w:val="none"/>
        </w:rPr>
      </w:pPr>
      <w:r>
        <w:rPr>
          <w:rFonts w:hint="eastAsia"/>
          <w:color w:val="auto"/>
          <w:highlight w:val="none"/>
        </w:rPr>
        <w:t>24.</w:t>
      </w:r>
      <w:r>
        <w:rPr>
          <w:color w:val="auto"/>
          <w:highlight w:val="none"/>
        </w:rPr>
        <w:t>3</w:t>
      </w:r>
      <w:r>
        <w:rPr>
          <w:rFonts w:hint="eastAsia"/>
          <w:color w:val="auto"/>
          <w:highlight w:val="none"/>
        </w:rPr>
        <w:t>开标程序</w:t>
      </w:r>
    </w:p>
    <w:p>
      <w:pPr>
        <w:pStyle w:val="8"/>
        <w:spacing w:line="360" w:lineRule="auto"/>
        <w:rPr>
          <w:color w:val="auto"/>
          <w:highlight w:val="none"/>
        </w:rPr>
      </w:pPr>
      <w:r>
        <w:rPr>
          <w:rFonts w:hint="eastAsia"/>
          <w:color w:val="auto"/>
          <w:highlight w:val="none"/>
        </w:rPr>
        <w:t>（1）解密电子投标文件。“政采云”平台按开标时间自动提取所有投标文件。采购代理机构依托“政采云”平台向各投标人发出电子加密投标文件【开始解密】通知，由投标人按</w:t>
      </w:r>
      <w:r>
        <w:rPr>
          <w:rFonts w:hint="eastAsia" w:hAnsi="宋体"/>
          <w:bCs/>
          <w:color w:val="auto"/>
          <w:szCs w:val="21"/>
          <w:highlight w:val="none"/>
        </w:rPr>
        <w:t>“投标人须知前附表”</w:t>
      </w:r>
      <w:r>
        <w:rPr>
          <w:rFonts w:hint="eastAsia"/>
          <w:color w:val="auto"/>
          <w:highlight w:val="none"/>
        </w:rPr>
        <w:t>规定的时间内自行进行投标文件解密。投标人的法定代表人或其委托代理人须凭加密时所用的CA锁准时登录到“政采云”平台电子开标大厅签到并对电子投标文件解密。</w:t>
      </w:r>
      <w:r>
        <w:rPr>
          <w:b/>
          <w:color w:val="auto"/>
          <w:highlight w:val="none"/>
        </w:rPr>
        <w:t>投标人</w:t>
      </w:r>
      <w:r>
        <w:rPr>
          <w:rFonts w:hint="eastAsia"/>
          <w:b/>
          <w:color w:val="auto"/>
          <w:highlight w:val="none"/>
        </w:rPr>
        <w:t>未在</w:t>
      </w:r>
      <w:r>
        <w:rPr>
          <w:b/>
          <w:color w:val="auto"/>
          <w:highlight w:val="none"/>
        </w:rPr>
        <w:t>规定的时间内解密</w:t>
      </w:r>
      <w:r>
        <w:rPr>
          <w:rFonts w:hint="eastAsia"/>
          <w:b/>
          <w:color w:val="auto"/>
          <w:highlight w:val="none"/>
        </w:rPr>
        <w:t>投标文件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w:t>
      </w:r>
      <w:r>
        <w:rPr>
          <w:rFonts w:hint="eastAsia" w:ascii="宋体" w:hAnsi="宋体"/>
          <w:b/>
          <w:color w:val="auto"/>
          <w:szCs w:val="21"/>
          <w:highlight w:val="none"/>
        </w:rPr>
        <w:t>投标人的投标文件作无效处理</w:t>
      </w:r>
      <w:r>
        <w:rPr>
          <w:b/>
          <w:color w:val="auto"/>
          <w:highlight w:val="none"/>
        </w:rPr>
        <w:t>。</w:t>
      </w:r>
    </w:p>
    <w:p>
      <w:pPr>
        <w:pStyle w:val="8"/>
        <w:spacing w:line="360" w:lineRule="auto"/>
        <w:rPr>
          <w:color w:val="auto"/>
          <w:highlight w:val="none"/>
        </w:rPr>
      </w:pPr>
      <w:r>
        <w:rPr>
          <w:rFonts w:hint="eastAsia"/>
          <w:color w:val="auto"/>
          <w:highlight w:val="none"/>
        </w:rPr>
        <w:t>（2）电子唱标。投标文件解密结束，宣布的内容均在“政采云”平台远程开标大厅展示，具体详见</w:t>
      </w:r>
      <w:r>
        <w:rPr>
          <w:rFonts w:hint="eastAsia" w:hAnsi="宋体"/>
          <w:bCs/>
          <w:color w:val="auto"/>
          <w:highlight w:val="none"/>
        </w:rPr>
        <w:t>“投标人须知前附表”</w:t>
      </w:r>
      <w:r>
        <w:rPr>
          <w:rFonts w:hint="eastAsia"/>
          <w:color w:val="auto"/>
          <w:highlight w:val="none"/>
        </w:rPr>
        <w:t>；</w:t>
      </w:r>
    </w:p>
    <w:p>
      <w:pPr>
        <w:pStyle w:val="8"/>
        <w:spacing w:line="360" w:lineRule="auto"/>
        <w:rPr>
          <w:color w:val="auto"/>
          <w:highlight w:val="none"/>
        </w:rPr>
      </w:pPr>
      <w:r>
        <w:rPr>
          <w:rFonts w:hint="eastAsia"/>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pPr>
        <w:pStyle w:val="8"/>
        <w:spacing w:line="360" w:lineRule="auto"/>
        <w:rPr>
          <w:color w:val="auto"/>
          <w:highlight w:val="none"/>
        </w:rPr>
      </w:pPr>
      <w:r>
        <w:rPr>
          <w:rFonts w:hint="eastAsia"/>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
        <w:spacing w:line="360" w:lineRule="auto"/>
        <w:rPr>
          <w:color w:val="auto"/>
          <w:szCs w:val="21"/>
          <w:highlight w:val="none"/>
        </w:rPr>
      </w:pPr>
      <w:r>
        <w:rPr>
          <w:rFonts w:hint="eastAsia"/>
          <w:color w:val="auto"/>
          <w:szCs w:val="21"/>
          <w:highlight w:val="none"/>
        </w:rPr>
        <w:t>（5）开标结束。</w:t>
      </w:r>
    </w:p>
    <w:p>
      <w:pPr>
        <w:pStyle w:val="23"/>
        <w:snapToGrid w:val="0"/>
        <w:spacing w:line="360" w:lineRule="auto"/>
        <w:ind w:firstLine="420" w:firstLineChars="200"/>
        <w:rPr>
          <w:rFonts w:hAnsi="宋体"/>
          <w:color w:val="auto"/>
          <w:sz w:val="21"/>
          <w:highlight w:val="none"/>
        </w:rPr>
      </w:pPr>
      <w:r>
        <w:rPr>
          <w:rFonts w:hint="eastAsia"/>
          <w:color w:val="auto"/>
          <w:sz w:val="21"/>
          <w:highlight w:val="none"/>
        </w:rPr>
        <w:t>特别说明：如遇“政采云”平台电子化开标或评审程序调整的，按调整后执行。</w:t>
      </w:r>
    </w:p>
    <w:p>
      <w:pPr>
        <w:pStyle w:val="23"/>
        <w:snapToGrid w:val="0"/>
        <w:spacing w:line="360" w:lineRule="auto"/>
        <w:ind w:left="689" w:leftChars="228" w:hanging="210" w:hangingChars="100"/>
        <w:rPr>
          <w:rFonts w:hAnsi="宋体"/>
          <w:color w:val="auto"/>
          <w:sz w:val="21"/>
          <w:highlight w:val="none"/>
        </w:rPr>
      </w:pPr>
    </w:p>
    <w:p>
      <w:pPr>
        <w:pStyle w:val="6"/>
        <w:keepNext w:val="0"/>
        <w:keepLines w:val="0"/>
        <w:jc w:val="center"/>
        <w:rPr>
          <w:color w:val="auto"/>
          <w:highlight w:val="none"/>
        </w:rPr>
      </w:pPr>
      <w:r>
        <w:rPr>
          <w:rFonts w:hint="eastAsia"/>
          <w:color w:val="auto"/>
          <w:highlight w:val="none"/>
        </w:rPr>
        <w:t>五、资格审查</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25.资格审查</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22" w:firstLineChars="200"/>
        <w:rPr>
          <w:rFonts w:ascii="宋体" w:hAnsi="宋体"/>
          <w:color w:val="auto"/>
          <w:sz w:val="21"/>
          <w:szCs w:val="21"/>
          <w:highlight w:val="none"/>
        </w:rPr>
      </w:pPr>
      <w:bookmarkStart w:id="129" w:name="_25.3_投标人有下列情形之一的，资格审查不通过而导致其投标无效："/>
      <w:bookmarkEnd w:id="129"/>
      <w:r>
        <w:rPr>
          <w:rFonts w:hint="eastAsia" w:ascii="宋体" w:hAnsi="宋体"/>
          <w:color w:val="auto"/>
          <w:sz w:val="21"/>
          <w:szCs w:val="21"/>
          <w:highlight w:val="none"/>
        </w:rPr>
        <w:t>25.3 投标人有下列情形之一的，资格审查不通过，作无效投标处理：</w:t>
      </w:r>
    </w:p>
    <w:p>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（1）不具备招标文件中规定的资格要求的；</w:t>
      </w:r>
    </w:p>
    <w:p>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政采云”平台已与“信用中国”网站、中国政府采购网实现数据对接，可直接在线查询）</w:t>
      </w:r>
    </w:p>
    <w:p>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pPr>
        <w:pStyle w:val="23"/>
        <w:snapToGrid w:val="0"/>
        <w:spacing w:line="360" w:lineRule="auto"/>
        <w:ind w:firstLine="422" w:firstLineChars="200"/>
        <w:rPr>
          <w:rFonts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pPr>
        <w:pStyle w:val="23"/>
        <w:snapToGrid w:val="0"/>
        <w:spacing w:line="360" w:lineRule="auto"/>
        <w:ind w:left="689" w:leftChars="228" w:hanging="210" w:hangingChars="100"/>
        <w:rPr>
          <w:rFonts w:hAnsi="宋体"/>
          <w:color w:val="auto"/>
          <w:sz w:val="21"/>
          <w:highlight w:val="none"/>
        </w:rPr>
      </w:pPr>
    </w:p>
    <w:p>
      <w:pPr>
        <w:pStyle w:val="6"/>
        <w:keepNext w:val="0"/>
        <w:keepLines w:val="0"/>
        <w:jc w:val="center"/>
        <w:rPr>
          <w:color w:val="auto"/>
          <w:highlight w:val="none"/>
        </w:rPr>
      </w:pPr>
      <w:r>
        <w:rPr>
          <w:rFonts w:hint="eastAsia"/>
          <w:color w:val="auto"/>
          <w:highlight w:val="none"/>
        </w:rPr>
        <w:t>六、评   标</w:t>
      </w:r>
    </w:p>
    <w:p>
      <w:pPr>
        <w:pStyle w:val="7"/>
        <w:keepNext w:val="0"/>
        <w:keepLines w:val="0"/>
        <w:spacing w:before="0" w:after="0" w:line="360" w:lineRule="auto"/>
        <w:ind w:left="420" w:leftChars="200"/>
        <w:rPr>
          <w:rFonts w:ascii="黑体" w:hAnsi="黑体" w:eastAsia="黑体"/>
          <w:color w:val="auto"/>
          <w:sz w:val="24"/>
          <w:highlight w:val="none"/>
        </w:rPr>
      </w:pPr>
      <w:bookmarkStart w:id="130" w:name="_26.组建评标委员会"/>
      <w:bookmarkEnd w:id="130"/>
      <w:r>
        <w:rPr>
          <w:rFonts w:hint="eastAsia" w:ascii="黑体" w:hAnsi="黑体" w:eastAsia="黑体"/>
          <w:color w:val="auto"/>
          <w:sz w:val="24"/>
          <w:highlight w:val="none"/>
        </w:rPr>
        <w:t>26.组建评标委员会</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pPr>
        <w:pStyle w:val="23"/>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26.2参加过采购项目前期咨询论证的专家，不得参加该采购项目的评审活动。</w:t>
      </w:r>
    </w:p>
    <w:p>
      <w:pPr>
        <w:pStyle w:val="23"/>
        <w:snapToGrid w:val="0"/>
        <w:spacing w:line="360" w:lineRule="auto"/>
        <w:ind w:left="2" w:leftChars="1" w:firstLine="420" w:firstLineChars="200"/>
        <w:rPr>
          <w:rFonts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采购代理机构应当基于“政采云”平台抽（选）取评审专家。</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27.评标的依据</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28.评标原则</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28.2</w:t>
      </w:r>
      <w:bookmarkStart w:id="131" w:name="_28.3评标方法。本项目将按须知前附表规定的评标办法进行评标，具体评标"/>
      <w:bookmarkEnd w:id="131"/>
      <w:r>
        <w:rPr>
          <w:rFonts w:hint="eastAsia" w:hAnsi="宋体"/>
          <w:color w:val="auto"/>
          <w:sz w:val="21"/>
          <w:highlight w:val="none"/>
        </w:rPr>
        <w:t>评委表决。评标委员会成员对需要共同认定的事项存在争议的，应当按照少数服从多数的原则作出结论。</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pPr>
        <w:pStyle w:val="7"/>
        <w:keepNext w:val="0"/>
        <w:keepLines w:val="0"/>
        <w:spacing w:before="0" w:after="0" w:line="360" w:lineRule="auto"/>
        <w:ind w:left="420" w:leftChars="200"/>
        <w:rPr>
          <w:rFonts w:ascii="黑体" w:hAnsi="黑体" w:eastAsia="黑体"/>
          <w:color w:val="auto"/>
          <w:sz w:val="21"/>
          <w:szCs w:val="21"/>
          <w:highlight w:val="none"/>
        </w:rPr>
      </w:pPr>
      <w:r>
        <w:rPr>
          <w:rFonts w:hint="eastAsia" w:ascii="黑体" w:hAnsi="黑体" w:eastAsia="黑体"/>
          <w:color w:val="auto"/>
          <w:sz w:val="21"/>
          <w:szCs w:val="21"/>
          <w:highlight w:val="none"/>
        </w:rPr>
        <w:t>29.评标方法及中标候选人推荐</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Ansi="宋体" w:cs="宋体"/>
          <w:color w:val="auto"/>
          <w:sz w:val="21"/>
          <w:highlight w:val="none"/>
        </w:rPr>
        <w:t xml:space="preserve"> </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pPr>
        <w:pStyle w:val="23"/>
        <w:snapToGrid w:val="0"/>
        <w:spacing w:line="360" w:lineRule="auto"/>
        <w:ind w:firstLine="420" w:firstLineChars="200"/>
        <w:rPr>
          <w:rFonts w:hAnsi="宋体" w:cs="宋体"/>
          <w:color w:val="auto"/>
          <w:sz w:val="21"/>
          <w:highlight w:val="none"/>
        </w:rPr>
      </w:pPr>
      <w:r>
        <w:rPr>
          <w:rFonts w:hint="eastAsia" w:hAnsi="宋体"/>
          <w:color w:val="auto"/>
          <w:sz w:val="21"/>
          <w:highlight w:val="none"/>
        </w:rPr>
        <w:t>2</w:t>
      </w:r>
      <w:r>
        <w:rPr>
          <w:rFonts w:hAnsi="宋体"/>
          <w:color w:val="auto"/>
          <w:sz w:val="21"/>
          <w:highlight w:val="none"/>
        </w:rPr>
        <w:t>9.3</w:t>
      </w:r>
      <w:r>
        <w:rPr>
          <w:rFonts w:hAnsi="宋体" w:cs="宋体"/>
          <w:color w:val="auto"/>
          <w:sz w:val="21"/>
          <w:highlight w:val="none"/>
        </w:rPr>
        <w:t xml:space="preserve"> </w:t>
      </w:r>
      <w:r>
        <w:rPr>
          <w:rFonts w:hAnsi="宋体"/>
          <w:color w:val="auto"/>
          <w:sz w:val="21"/>
          <w:highlight w:val="none"/>
        </w:rPr>
        <w:t>中标候选人推荐数量详见</w:t>
      </w:r>
      <w:r>
        <w:rPr>
          <w:rFonts w:hint="eastAsia" w:hAnsi="宋体"/>
          <w:color w:val="auto"/>
          <w:sz w:val="21"/>
          <w:highlight w:val="none"/>
        </w:rPr>
        <w:t>“投标人须知前附表”。</w:t>
      </w:r>
    </w:p>
    <w:p>
      <w:pPr>
        <w:spacing w:line="360" w:lineRule="auto"/>
        <w:ind w:firstLine="420" w:firstLineChars="200"/>
        <w:rPr>
          <w:rFonts w:hAnsi="宋体"/>
          <w:color w:val="auto"/>
          <w:highlight w:val="none"/>
        </w:rPr>
      </w:pPr>
      <w:r>
        <w:rPr>
          <w:rFonts w:hint="eastAsia" w:hAnsi="宋体"/>
          <w:color w:val="auto"/>
          <w:szCs w:val="21"/>
          <w:highlight w:val="none"/>
        </w:rPr>
        <w:t>29.</w:t>
      </w:r>
      <w:r>
        <w:rPr>
          <w:rFonts w:hAnsi="宋体"/>
          <w:color w:val="auto"/>
          <w:szCs w:val="21"/>
          <w:highlight w:val="none"/>
        </w:rPr>
        <w:t>4</w:t>
      </w:r>
      <w:r>
        <w:rPr>
          <w:rFonts w:hint="eastAsia" w:hAnsi="宋体"/>
          <w:color w:val="auto"/>
          <w:szCs w:val="21"/>
          <w:highlight w:val="none"/>
        </w:rPr>
        <w:t xml:space="preserve"> 电子交易活动的中止。采购过程中出现以下情形，导致</w:t>
      </w:r>
      <w:r>
        <w:rPr>
          <w:rFonts w:hint="eastAsia" w:hAnsi="宋体"/>
          <w:color w:val="auto"/>
          <w:highlight w:val="none"/>
        </w:rPr>
        <w:t>电子交易平台无法正常运行，或者无法保证电子交易的公平、公正和安全时，采购代理机构可以中止电子交易活动：</w:t>
      </w:r>
    </w:p>
    <w:p>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pPr>
        <w:spacing w:line="360" w:lineRule="auto"/>
        <w:ind w:firstLine="420" w:firstLineChars="200"/>
        <w:rPr>
          <w:rFonts w:hAnsi="宋体"/>
          <w:color w:val="auto"/>
          <w:highlight w:val="none"/>
        </w:rPr>
      </w:pPr>
      <w:r>
        <w:rPr>
          <w:rFonts w:hint="eastAsia"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pPr>
        <w:pStyle w:val="23"/>
        <w:snapToGrid w:val="0"/>
        <w:spacing w:line="360" w:lineRule="auto"/>
        <w:rPr>
          <w:rFonts w:hAnsi="宋体"/>
          <w:color w:val="auto"/>
          <w:sz w:val="21"/>
          <w:highlight w:val="none"/>
        </w:rPr>
      </w:pPr>
    </w:p>
    <w:p>
      <w:pPr>
        <w:pStyle w:val="6"/>
        <w:keepNext w:val="0"/>
        <w:keepLines w:val="0"/>
        <w:jc w:val="center"/>
        <w:rPr>
          <w:color w:val="auto"/>
          <w:highlight w:val="none"/>
        </w:rPr>
      </w:pPr>
      <w:bookmarkStart w:id="132" w:name="_Toc254970546"/>
      <w:bookmarkStart w:id="133" w:name="_Toc254970687"/>
      <w:r>
        <w:rPr>
          <w:rFonts w:hint="eastAsia"/>
          <w:color w:val="auto"/>
          <w:highlight w:val="none"/>
        </w:rPr>
        <w:t>七、</w:t>
      </w:r>
      <w:bookmarkEnd w:id="132"/>
      <w:bookmarkEnd w:id="133"/>
      <w:r>
        <w:rPr>
          <w:rFonts w:hint="eastAsia"/>
          <w:color w:val="auto"/>
          <w:highlight w:val="none"/>
        </w:rPr>
        <w:t>中标和合同</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30</w:t>
      </w:r>
      <w:r>
        <w:rPr>
          <w:rFonts w:ascii="黑体" w:hAnsi="黑体" w:eastAsia="黑体"/>
          <w:color w:val="auto"/>
          <w:sz w:val="24"/>
          <w:highlight w:val="none"/>
        </w:rPr>
        <w:t xml:space="preserve"> </w:t>
      </w:r>
      <w:r>
        <w:rPr>
          <w:rFonts w:hint="eastAsia" w:ascii="黑体" w:hAnsi="黑体" w:eastAsia="黑体"/>
          <w:color w:val="auto"/>
          <w:sz w:val="24"/>
          <w:highlight w:val="none"/>
        </w:rPr>
        <w:t>确定中标人</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30.3出现下列情形之一的，应予废标：</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（1）符合专业条件的供应商或者对招标文件作实质响应的供应商不足三家的；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（2）出现影响采购公正的违法、违规行为的；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（3）投标人的报价均超过了采购预算，采购人不能支付的；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（4）因重大变故，采购任务取消的。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废标后，采购人应当将废标理由通知所有投标人。</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pPr>
        <w:pStyle w:val="7"/>
        <w:keepNext w:val="0"/>
        <w:keepLines w:val="0"/>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 xml:space="preserve">   </w:t>
      </w:r>
      <w:r>
        <w:rPr>
          <w:rFonts w:hint="eastAsia" w:ascii="宋体" w:hAnsi="宋体"/>
          <w:b w:val="0"/>
          <w:color w:val="auto"/>
          <w:sz w:val="21"/>
          <w:szCs w:val="21"/>
          <w:highlight w:val="none"/>
        </w:rPr>
        <w:t>在发布中标公告的同时，采购代理机构向中标人通过“政采云”平台发出电子中标通知书。对未通过资格审查的投标人，应当告知其未通过的原因；采用综合评分办法评审的，还应当告知未中标人本人的评审得分与排序。</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pPr>
        <w:snapToGrid w:val="0"/>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35.履约保证金</w:t>
      </w:r>
    </w:p>
    <w:p>
      <w:pPr>
        <w:pStyle w:val="7"/>
        <w:keepNext w:val="0"/>
        <w:keepLines w:val="0"/>
        <w:spacing w:before="0" w:after="0" w:line="360" w:lineRule="auto"/>
        <w:ind w:firstLine="315" w:firstLineChars="150"/>
        <w:rPr>
          <w:rFonts w:ascii="宋体" w:hAnsi="宋体"/>
          <w:b w:val="0"/>
          <w:color w:val="auto"/>
          <w:sz w:val="21"/>
          <w:szCs w:val="21"/>
          <w:highlight w:val="none"/>
        </w:rPr>
      </w:pPr>
      <w:bookmarkStart w:id="134" w:name="_39.1中标人须于签订合同前按本须知前附表规定的金额转账或电汇到指定账"/>
      <w:bookmarkEnd w:id="134"/>
      <w:r>
        <w:rPr>
          <w:rFonts w:ascii="宋体" w:hAnsi="宋体"/>
          <w:b w:val="0"/>
          <w:color w:val="auto"/>
          <w:sz w:val="21"/>
          <w:szCs w:val="21"/>
          <w:highlight w:val="none"/>
        </w:rPr>
        <w:t xml:space="preserve"> </w:t>
      </w:r>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 履约保证金的金额、提交方式、退付的时间和条件详见 “投标人须知前附表”。中标人未按规定提交履约保证金的，视为拒绝与采购人签订合同。</w:t>
      </w:r>
    </w:p>
    <w:p>
      <w:pPr>
        <w:pStyle w:val="7"/>
        <w:keepNext w:val="0"/>
        <w:keepLines w:val="0"/>
        <w:spacing w:before="0" w:after="0" w:line="360" w:lineRule="auto"/>
        <w:ind w:firstLine="316" w:firstLineChars="150"/>
        <w:rPr>
          <w:rFonts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36.签订合同</w:t>
      </w:r>
    </w:p>
    <w:p>
      <w:pPr>
        <w:pStyle w:val="7"/>
        <w:keepNext w:val="0"/>
        <w:keepLines w:val="0"/>
        <w:spacing w:before="0" w:after="0" w:line="360" w:lineRule="auto"/>
        <w:ind w:firstLine="315" w:firstLineChars="150"/>
        <w:rPr>
          <w:rFonts w:ascii="宋体" w:hAnsi="宋体"/>
          <w:b w:val="0"/>
          <w:color w:val="auto"/>
          <w:sz w:val="21"/>
          <w:szCs w:val="21"/>
          <w:highlight w:val="none"/>
        </w:rPr>
      </w:pPr>
      <w:bookmarkStart w:id="135" w:name="_40.1投标人接到中标通知书后，按须知前附表规定向采购人出示相关资格证"/>
      <w:bookmarkEnd w:id="135"/>
      <w:r>
        <w:rPr>
          <w:rFonts w:hint="eastAsia" w:ascii="宋体" w:hAnsi="宋体"/>
          <w:b w:val="0"/>
          <w:color w:val="auto"/>
          <w:sz w:val="21"/>
          <w:szCs w:val="21"/>
          <w:highlight w:val="none"/>
        </w:rPr>
        <w:t xml:space="preserve"> </w:t>
      </w:r>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pPr>
        <w:pStyle w:val="7"/>
        <w:keepNext w:val="0"/>
        <w:keepLines w:val="0"/>
        <w:numPr>
          <w:ilvl w:val="0"/>
          <w:numId w:val="0"/>
        </w:numPr>
        <w:spacing w:before="0" w:after="0" w:line="360" w:lineRule="auto"/>
        <w:ind w:firstLine="420" w:firstLineChars="200"/>
        <w:rPr>
          <w:rFonts w:ascii="宋体" w:hAnsi="宋体"/>
          <w:b w:val="0"/>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pPr>
        <w:pStyle w:val="7"/>
        <w:keepNext w:val="0"/>
        <w:keepLines w:val="0"/>
        <w:spacing w:before="0" w:after="0" w:line="360" w:lineRule="auto"/>
        <w:rPr>
          <w:rFonts w:ascii="宋体" w:hAnsi="宋体"/>
          <w:b w:val="0"/>
          <w:color w:val="auto"/>
          <w:sz w:val="21"/>
          <w:szCs w:val="21"/>
          <w:highlight w:val="none"/>
        </w:rPr>
      </w:pPr>
      <w:r>
        <w:rPr>
          <w:rFonts w:hint="eastAsia" w:ascii="宋体" w:hAnsi="宋体"/>
          <w:b w:val="0"/>
          <w:color w:val="auto"/>
          <w:sz w:val="21"/>
          <w:szCs w:val="21"/>
          <w:highlight w:val="none"/>
        </w:rPr>
        <w:t xml:space="preserve">    36.</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7"/>
        <w:keepNext w:val="0"/>
        <w:keepLines w:val="0"/>
        <w:spacing w:before="0" w:after="0" w:line="360" w:lineRule="auto"/>
        <w:ind w:left="420" w:leftChars="200"/>
        <w:rPr>
          <w:rFonts w:ascii="黑体" w:hAnsi="黑体" w:eastAsia="黑体"/>
          <w:color w:val="auto"/>
          <w:sz w:val="24"/>
          <w:highlight w:val="none"/>
        </w:rPr>
      </w:pPr>
      <w:bookmarkStart w:id="136" w:name="_41.政府采购合同公告"/>
      <w:bookmarkEnd w:id="136"/>
      <w:r>
        <w:rPr>
          <w:rFonts w:hint="eastAsia" w:ascii="黑体" w:hAnsi="黑体" w:eastAsia="黑体"/>
          <w:color w:val="auto"/>
          <w:sz w:val="24"/>
          <w:highlight w:val="none"/>
        </w:rPr>
        <w:t>37.政府采购合同公告</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pPr>
        <w:pStyle w:val="7"/>
        <w:keepNext w:val="0"/>
        <w:keepLines w:val="0"/>
        <w:spacing w:before="0" w:after="0" w:line="360" w:lineRule="auto"/>
        <w:ind w:left="420" w:left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pStyle w:val="8"/>
        <w:spacing w:line="360" w:lineRule="auto"/>
        <w:rPr>
          <w:rFonts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pPr>
        <w:pStyle w:val="7"/>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3"/>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pPr>
        <w:pStyle w:val="23"/>
        <w:snapToGrid w:val="0"/>
        <w:spacing w:line="360" w:lineRule="auto"/>
        <w:ind w:firstLine="420" w:firstLineChars="200"/>
        <w:rPr>
          <w:rFonts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pPr>
        <w:pStyle w:val="23"/>
        <w:snapToGrid w:val="0"/>
        <w:spacing w:line="360" w:lineRule="auto"/>
        <w:ind w:firstLine="420" w:firstLineChars="200"/>
        <w:rPr>
          <w:rFonts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pPr>
        <w:pStyle w:val="7"/>
        <w:keepNext w:val="0"/>
        <w:keepLines w:val="0"/>
        <w:spacing w:before="0" w:after="0" w:line="360" w:lineRule="auto"/>
        <w:ind w:firstLine="315" w:firstLineChars="150"/>
        <w:rPr>
          <w:rFonts w:ascii="宋体" w:hAnsi="宋体"/>
          <w:b w:val="0"/>
          <w:color w:val="auto"/>
          <w:sz w:val="21"/>
          <w:szCs w:val="21"/>
          <w:highlight w:val="none"/>
        </w:rPr>
      </w:pPr>
      <w:bookmarkStart w:id="137" w:name="_9.2质疑、投诉应当采用书面形式，质疑函、投诉书均应明确阐述招标文件、"/>
      <w:bookmarkEnd w:id="137"/>
      <w:r>
        <w:rPr>
          <w:rFonts w:hint="eastAsia" w:ascii="宋体" w:hAnsi="宋体"/>
          <w:b w:val="0"/>
          <w:color w:val="auto"/>
          <w:sz w:val="21"/>
          <w:szCs w:val="21"/>
          <w:highlight w:val="none"/>
        </w:rPr>
        <w:t xml:space="preserve"> </w:t>
      </w: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 xml:space="preserve"> </w:t>
      </w:r>
      <w:r>
        <w:rPr>
          <w:rFonts w:hAnsi="宋体"/>
          <w:b w:val="0"/>
          <w:bCs/>
          <w:color w:val="auto"/>
          <w:sz w:val="21"/>
          <w:highlight w:val="none"/>
        </w:rPr>
        <w:t>供应商提出质疑应当提交质疑函和必要的证明材料</w:t>
      </w:r>
      <w:r>
        <w:rPr>
          <w:rFonts w:hint="eastAsia" w:hAnsi="宋体"/>
          <w:b w:val="0"/>
          <w:bCs/>
          <w:color w:val="auto"/>
          <w:sz w:val="21"/>
          <w:highlight w:val="none"/>
        </w:rPr>
        <w:t>，</w:t>
      </w:r>
      <w:r>
        <w:rPr>
          <w:rFonts w:hAnsi="宋体"/>
          <w:b w:val="0"/>
          <w:bCs/>
          <w:color w:val="auto"/>
          <w:sz w:val="21"/>
          <w:highlight w:val="none"/>
        </w:rPr>
        <w:t>针对同一采购程序环节的质疑</w:t>
      </w:r>
      <w:r>
        <w:rPr>
          <w:rFonts w:hint="eastAsia" w:hAnsi="宋体"/>
          <w:b w:val="0"/>
          <w:bCs/>
          <w:color w:val="auto"/>
          <w:sz w:val="21"/>
          <w:highlight w:val="none"/>
        </w:rPr>
        <w:t>必须</w:t>
      </w:r>
      <w:r>
        <w:rPr>
          <w:rFonts w:hAnsi="宋体"/>
          <w:b w:val="0"/>
          <w:bCs/>
          <w:color w:val="auto"/>
          <w:sz w:val="21"/>
          <w:highlight w:val="none"/>
        </w:rPr>
        <w:t>在法定质疑期内一次性提出。质疑函应当包括下列内容</w:t>
      </w:r>
      <w:r>
        <w:rPr>
          <w:rFonts w:hint="eastAsia" w:hAnsi="宋体"/>
          <w:b w:val="0"/>
          <w:bCs/>
          <w:color w:val="auto"/>
          <w:sz w:val="21"/>
          <w:highlight w:val="none"/>
        </w:rPr>
        <w:t>（质疑函格式见第六章）</w:t>
      </w:r>
      <w:r>
        <w:rPr>
          <w:rFonts w:hAnsi="宋体"/>
          <w:b w:val="0"/>
          <w:bCs/>
          <w:color w:val="auto"/>
          <w:sz w:val="21"/>
          <w:highlight w:val="none"/>
        </w:rPr>
        <w:t>：</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pPr>
        <w:pStyle w:val="23"/>
        <w:snapToGrid w:val="0"/>
        <w:spacing w:line="360" w:lineRule="auto"/>
        <w:ind w:firstLine="420" w:firstLineChars="200"/>
        <w:rPr>
          <w:rFonts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pPr>
        <w:pStyle w:val="7"/>
        <w:keepNext w:val="0"/>
        <w:keepLines w:val="0"/>
        <w:snapToGrid w:val="0"/>
        <w:spacing w:before="0" w:after="0" w:line="360" w:lineRule="auto"/>
        <w:ind w:firstLine="420" w:firstLineChars="200"/>
        <w:rPr>
          <w:rFonts w:ascii="宋体" w:hAnsi="宋体"/>
          <w:b w:val="0"/>
          <w:bCs/>
          <w:color w:val="auto"/>
          <w:sz w:val="21"/>
          <w:szCs w:val="21"/>
          <w:highlight w:val="none"/>
        </w:rPr>
      </w:pPr>
      <w:r>
        <w:rPr>
          <w:rFonts w:ascii="宋体" w:hAnsi="宋体"/>
          <w:b w:val="0"/>
          <w:color w:val="auto"/>
          <w:sz w:val="21"/>
          <w:szCs w:val="21"/>
          <w:highlight w:val="none"/>
        </w:rPr>
        <w:t>3</w:t>
      </w:r>
      <w:r>
        <w:rPr>
          <w:rFonts w:ascii="宋体" w:hAnsi="宋体"/>
          <w:b w:val="0"/>
          <w:bCs/>
          <w:color w:val="auto"/>
          <w:sz w:val="21"/>
          <w:szCs w:val="21"/>
          <w:highlight w:val="none"/>
        </w:rPr>
        <w:t>8.4</w:t>
      </w:r>
      <w:r>
        <w:rPr>
          <w:rFonts w:hint="eastAsia" w:ascii="宋体" w:hAnsi="宋体"/>
          <w:b w:val="0"/>
          <w:bCs/>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pPr>
        <w:pStyle w:val="23"/>
        <w:snapToGrid w:val="0"/>
        <w:spacing w:line="360" w:lineRule="auto"/>
        <w:rPr>
          <w:rFonts w:hAnsi="宋体"/>
          <w:bCs/>
          <w:color w:val="auto"/>
          <w:sz w:val="21"/>
          <w:highlight w:val="none"/>
        </w:rPr>
      </w:pPr>
      <w:r>
        <w:rPr>
          <w:rFonts w:hint="eastAsia" w:hAnsi="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23"/>
        <w:snapToGrid w:val="0"/>
        <w:spacing w:line="360" w:lineRule="auto"/>
        <w:rPr>
          <w:rFonts w:hAnsi="宋体"/>
          <w:bCs/>
          <w:color w:val="auto"/>
          <w:sz w:val="21"/>
          <w:highlight w:val="none"/>
        </w:rPr>
      </w:pPr>
      <w:r>
        <w:rPr>
          <w:rFonts w:hint="eastAsia" w:hAnsi="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23"/>
        <w:snapToGrid w:val="0"/>
        <w:spacing w:line="360" w:lineRule="auto"/>
        <w:ind w:firstLine="420"/>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pPr>
        <w:pStyle w:val="23"/>
        <w:snapToGrid w:val="0"/>
        <w:spacing w:line="360" w:lineRule="auto"/>
        <w:ind w:firstLine="420" w:firstLineChars="200"/>
        <w:rPr>
          <w:rFonts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见第六章）。</w:t>
      </w:r>
    </w:p>
    <w:p>
      <w:pPr>
        <w:pStyle w:val="6"/>
        <w:keepNext w:val="0"/>
        <w:keepLines w:val="0"/>
        <w:spacing w:before="240" w:after="240" w:line="415" w:lineRule="auto"/>
        <w:jc w:val="center"/>
        <w:rPr>
          <w:color w:val="auto"/>
          <w:highlight w:val="none"/>
        </w:rPr>
      </w:pPr>
      <w:bookmarkStart w:id="138" w:name="_八、其他事项"/>
      <w:bookmarkEnd w:id="138"/>
      <w:r>
        <w:rPr>
          <w:rFonts w:hint="eastAsia"/>
          <w:color w:val="auto"/>
          <w:highlight w:val="none"/>
        </w:rPr>
        <w:t>八、其他事项</w:t>
      </w:r>
    </w:p>
    <w:p>
      <w:pPr>
        <w:pStyle w:val="7"/>
        <w:keepNext w:val="0"/>
        <w:keepLines w:val="0"/>
        <w:spacing w:before="0" w:after="0" w:line="360" w:lineRule="auto"/>
        <w:ind w:left="420" w:leftChars="200"/>
        <w:rPr>
          <w:rFonts w:ascii="黑体" w:hAnsi="黑体" w:eastAsia="黑体"/>
          <w:color w:val="auto"/>
          <w:sz w:val="24"/>
          <w:highlight w:val="none"/>
        </w:rPr>
      </w:pPr>
      <w:bookmarkStart w:id="139" w:name="_42.代理服务费"/>
      <w:bookmarkEnd w:id="139"/>
      <w:r>
        <w:rPr>
          <w:rFonts w:hint="eastAsia" w:ascii="黑体" w:hAnsi="黑体" w:eastAsia="黑体"/>
          <w:color w:val="auto"/>
          <w:sz w:val="24"/>
          <w:highlight w:val="none"/>
        </w:rPr>
        <w:t>3</w:t>
      </w:r>
      <w:r>
        <w:rPr>
          <w:rFonts w:ascii="黑体" w:hAnsi="黑体" w:eastAsia="黑体"/>
          <w:color w:val="auto"/>
          <w:sz w:val="24"/>
          <w:highlight w:val="none"/>
        </w:rPr>
        <w:t>9</w:t>
      </w:r>
      <w:r>
        <w:rPr>
          <w:rFonts w:hint="eastAsia" w:ascii="黑体" w:hAnsi="黑体" w:eastAsia="黑体"/>
          <w:color w:val="auto"/>
          <w:sz w:val="24"/>
          <w:highlight w:val="none"/>
        </w:rPr>
        <w:t>.代理服务费</w:t>
      </w:r>
    </w:p>
    <w:p>
      <w:pPr>
        <w:pStyle w:val="7"/>
        <w:keepNext w:val="0"/>
        <w:keepLines w:val="0"/>
        <w:spacing w:before="0" w:after="0" w:line="360" w:lineRule="auto"/>
        <w:ind w:left="420" w:leftChars="200"/>
        <w:rPr>
          <w:rFonts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.1代理服务收取标准及缴费账户详见“投标人须知前附表”。</w:t>
      </w:r>
    </w:p>
    <w:p>
      <w:pPr>
        <w:pStyle w:val="7"/>
        <w:keepNext w:val="0"/>
        <w:keepLines w:val="0"/>
        <w:spacing w:before="0" w:after="0" w:line="360" w:lineRule="auto"/>
        <w:ind w:left="420" w:leftChars="200"/>
        <w:rPr>
          <w:rFonts w:ascii="宋体" w:hAnsi="宋体"/>
          <w:color w:val="auto"/>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9</w:t>
      </w:r>
      <w:r>
        <w:rPr>
          <w:rFonts w:hint="eastAsia" w:ascii="宋体" w:hAnsi="宋体"/>
          <w:color w:val="auto"/>
          <w:sz w:val="21"/>
          <w:szCs w:val="21"/>
          <w:highlight w:val="none"/>
        </w:rPr>
        <w:t>.2代理服务收费标准：</w:t>
      </w:r>
    </w:p>
    <w:tbl>
      <w:tblPr>
        <w:tblStyle w:val="4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 xml:space="preserve">               费率</w:t>
            </w:r>
          </w:p>
          <w:p>
            <w:pPr>
              <w:spacing w:line="360" w:lineRule="auto"/>
              <w:rPr>
                <w:rFonts w:ascii="宋体" w:hAnsi="宋体"/>
                <w:color w:val="auto"/>
                <w:szCs w:val="21"/>
                <w:highlight w:val="none"/>
              </w:rPr>
            </w:pPr>
            <w:r>
              <w:rPr>
                <w:rFonts w:hint="eastAsia" w:ascii="宋体" w:hAnsi="宋体"/>
                <w:color w:val="auto"/>
                <w:szCs w:val="21"/>
                <w:highlight w:val="none"/>
              </w:rPr>
              <w:t>中标金额</w:t>
            </w:r>
          </w:p>
        </w:tc>
        <w:tc>
          <w:tcPr>
            <w:tcW w:w="1659" w:type="dxa"/>
            <w:vAlign w:val="center"/>
          </w:tcPr>
          <w:p>
            <w:pPr>
              <w:spacing w:line="360" w:lineRule="auto"/>
              <w:ind w:firstLine="105" w:firstLineChars="50"/>
              <w:jc w:val="center"/>
              <w:rPr>
                <w:rFonts w:ascii="宋体" w:hAnsi="宋体"/>
                <w:color w:val="auto"/>
                <w:szCs w:val="21"/>
                <w:highlight w:val="none"/>
              </w:rPr>
            </w:pPr>
            <w:r>
              <w:rPr>
                <w:rFonts w:hint="eastAsia" w:ascii="宋体" w:hAnsi="宋体"/>
                <w:color w:val="auto"/>
                <w:szCs w:val="21"/>
                <w:highlight w:val="none"/>
              </w:rPr>
              <w:t>货物招标</w:t>
            </w:r>
          </w:p>
        </w:tc>
        <w:tc>
          <w:tcPr>
            <w:tcW w:w="168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服务招标</w:t>
            </w:r>
          </w:p>
        </w:tc>
        <w:tc>
          <w:tcPr>
            <w:tcW w:w="16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100万元以下</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1.5%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1.5%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100～500万元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1.1%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0.8%</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500～1000万元</w:t>
            </w:r>
          </w:p>
        </w:tc>
        <w:tc>
          <w:tcPr>
            <w:tcW w:w="1659" w:type="dxa"/>
          </w:tcPr>
          <w:p>
            <w:pPr>
              <w:spacing w:line="360" w:lineRule="auto"/>
              <w:rPr>
                <w:rFonts w:ascii="宋体" w:hAnsi="宋体"/>
                <w:color w:val="auto"/>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0.8%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0.45%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1000～5000万元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0.5%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0.25%</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5000万元～1亿元</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 xml:space="preserve">0.25%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 xml:space="preserve">         </w:t>
            </w:r>
          </w:p>
        </w:tc>
        <w:tc>
          <w:tcPr>
            <w:tcW w:w="1687"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0.1%</w:t>
            </w:r>
          </w:p>
        </w:tc>
        <w:tc>
          <w:tcPr>
            <w:tcW w:w="1659" w:type="dxa"/>
          </w:tcPr>
          <w:p>
            <w:pPr>
              <w:spacing w:line="360" w:lineRule="auto"/>
              <w:ind w:firstLine="210" w:firstLineChars="100"/>
              <w:rPr>
                <w:rFonts w:ascii="宋体" w:hAnsi="宋体"/>
                <w:color w:val="auto"/>
                <w:szCs w:val="21"/>
                <w:highlight w:val="none"/>
              </w:rPr>
            </w:pPr>
            <w:r>
              <w:rPr>
                <w:rFonts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1～5亿元</w:t>
            </w:r>
          </w:p>
        </w:tc>
        <w:tc>
          <w:tcPr>
            <w:tcW w:w="1659"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5～10亿元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c>
          <w:tcPr>
            <w:tcW w:w="1687"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0.035%</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10～50亿元</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0.008%</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50～100亿元</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0.006%</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0.006%</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color w:val="auto"/>
                <w:szCs w:val="21"/>
                <w:highlight w:val="none"/>
              </w:rPr>
            </w:pPr>
            <w:r>
              <w:rPr>
                <w:rFonts w:hint="eastAsia" w:ascii="宋体" w:hAnsi="宋体"/>
                <w:color w:val="auto"/>
                <w:szCs w:val="21"/>
                <w:highlight w:val="none"/>
              </w:rPr>
              <w:t>100亿以上</w:t>
            </w:r>
          </w:p>
        </w:tc>
        <w:tc>
          <w:tcPr>
            <w:tcW w:w="1659" w:type="dxa"/>
          </w:tcPr>
          <w:p>
            <w:pPr>
              <w:spacing w:line="360" w:lineRule="auto"/>
              <w:rPr>
                <w:rFonts w:ascii="宋体" w:hAnsi="宋体"/>
                <w:color w:val="auto"/>
                <w:szCs w:val="21"/>
                <w:highlight w:val="none"/>
              </w:rPr>
            </w:pPr>
            <w:r>
              <w:rPr>
                <w:rFonts w:hint="eastAsia" w:ascii="宋体" w:hAnsi="宋体"/>
                <w:color w:val="auto"/>
                <w:szCs w:val="21"/>
                <w:highlight w:val="none"/>
              </w:rPr>
              <w:t xml:space="preserve"> 0.004%</w:t>
            </w:r>
          </w:p>
        </w:tc>
        <w:tc>
          <w:tcPr>
            <w:tcW w:w="1687" w:type="dxa"/>
          </w:tcPr>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0.004%</w:t>
            </w:r>
          </w:p>
        </w:tc>
        <w:tc>
          <w:tcPr>
            <w:tcW w:w="1659" w:type="dxa"/>
          </w:tcPr>
          <w:p>
            <w:pPr>
              <w:spacing w:line="360" w:lineRule="auto"/>
              <w:ind w:firstLine="105" w:firstLineChars="50"/>
              <w:rPr>
                <w:rFonts w:ascii="宋体" w:hAnsi="宋体"/>
                <w:color w:val="auto"/>
                <w:szCs w:val="21"/>
                <w:highlight w:val="none"/>
              </w:rPr>
            </w:pPr>
            <w:r>
              <w:rPr>
                <w:rFonts w:hint="eastAsia" w:ascii="宋体" w:hAnsi="宋体"/>
                <w:color w:val="auto"/>
                <w:szCs w:val="21"/>
                <w:highlight w:val="none"/>
              </w:rPr>
              <w:t>0.004%</w:t>
            </w:r>
          </w:p>
        </w:tc>
      </w:tr>
    </w:tbl>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注:</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100 万元×l.5 %＝ 1.5 万元</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200 － 100 ）万元 ×0.8%＝0.8万元</w:t>
      </w:r>
    </w:p>
    <w:p>
      <w:pPr>
        <w:pStyle w:val="23"/>
        <w:snapToGrid w:val="0"/>
        <w:spacing w:line="360" w:lineRule="auto"/>
        <w:ind w:firstLine="420" w:firstLineChars="200"/>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 2.3（万元）</w:t>
      </w:r>
    </w:p>
    <w:p>
      <w:pPr>
        <w:pStyle w:val="7"/>
        <w:keepNext w:val="0"/>
        <w:keepLines w:val="0"/>
        <w:spacing w:before="0" w:after="0" w:line="360" w:lineRule="auto"/>
        <w:ind w:left="420" w:leftChars="200"/>
        <w:rPr>
          <w:rFonts w:ascii="黑体" w:hAnsi="黑体" w:eastAsia="黑体"/>
          <w:color w:val="auto"/>
          <w:sz w:val="24"/>
          <w:highlight w:val="none"/>
        </w:rPr>
      </w:pPr>
      <w:r>
        <w:rPr>
          <w:rFonts w:ascii="黑体" w:hAnsi="黑体" w:eastAsia="黑体"/>
          <w:color w:val="auto"/>
          <w:sz w:val="24"/>
          <w:highlight w:val="none"/>
        </w:rPr>
        <w:t>40. 需要补充的其他内容</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w:t>
      </w:r>
    </w:p>
    <w:p>
      <w:pPr>
        <w:pStyle w:val="23"/>
        <w:spacing w:line="360" w:lineRule="auto"/>
        <w:ind w:firstLine="420" w:firstLineChars="200"/>
        <w:rPr>
          <w:rFonts w:hAnsi="宋体"/>
          <w:color w:val="auto"/>
          <w:highlight w:val="none"/>
        </w:rPr>
      </w:pPr>
      <w:r>
        <w:rPr>
          <w:rFonts w:hint="eastAsia" w:hAnsi="宋体"/>
          <w:color w:val="auto"/>
          <w:sz w:val="21"/>
          <w:highlight w:val="none"/>
        </w:rPr>
        <w:t>依据</w:t>
      </w:r>
      <w:r>
        <w:rPr>
          <w:rFonts w:hint="eastAsia" w:hAnsi="宋体" w:cs="宋体"/>
          <w:color w:val="auto"/>
          <w:sz w:val="21"/>
          <w:highlight w:val="none"/>
        </w:rPr>
        <w:t>本招标文件</w:t>
      </w:r>
      <w:r>
        <w:rPr>
          <w:rFonts w:hint="eastAsia" w:hAnsi="宋体"/>
          <w:color w:val="auto"/>
          <w:sz w:val="21"/>
          <w:highlight w:val="none"/>
        </w:rPr>
        <w:t>规定享受扶持政策获得政府采购合同的，小微企业不得将合同分包给大中型企业，中型企业不得将合同分包给大型企业。</w:t>
      </w:r>
      <w:r>
        <w:rPr>
          <w:rFonts w:hAnsi="宋体"/>
          <w:color w:val="auto"/>
          <w:highlight w:val="none"/>
        </w:rPr>
        <w:br w:type="page"/>
      </w: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23"/>
        <w:snapToGrid w:val="0"/>
        <w:spacing w:before="120" w:after="120"/>
        <w:rPr>
          <w:rFonts w:hAnsi="宋体"/>
          <w:color w:val="auto"/>
          <w:highlight w:val="none"/>
        </w:rPr>
      </w:pPr>
    </w:p>
    <w:p>
      <w:pPr>
        <w:pStyle w:val="4"/>
        <w:jc w:val="center"/>
        <w:rPr>
          <w:color w:val="auto"/>
          <w:highlight w:val="none"/>
        </w:rPr>
      </w:pPr>
      <w:bookmarkStart w:id="140" w:name="_Toc330456896"/>
      <w:bookmarkStart w:id="141" w:name="_Toc100653792"/>
      <w:bookmarkStart w:id="142" w:name="_Toc254970689"/>
      <w:bookmarkStart w:id="143" w:name="_Toc254970548"/>
      <w:r>
        <w:rPr>
          <w:rFonts w:hint="eastAsia"/>
          <w:color w:val="auto"/>
          <w:highlight w:val="none"/>
        </w:rPr>
        <w:t>第四章  评标方法及评标标准</w:t>
      </w:r>
      <w:bookmarkEnd w:id="140"/>
      <w:bookmarkEnd w:id="141"/>
      <w:bookmarkEnd w:id="142"/>
      <w:bookmarkEnd w:id="143"/>
    </w:p>
    <w:p>
      <w:pPr>
        <w:rPr>
          <w:color w:val="auto"/>
          <w:highlight w:val="none"/>
        </w:rPr>
      </w:pPr>
      <w:bookmarkStart w:id="144" w:name="_Toc254970549"/>
      <w:bookmarkStart w:id="145" w:name="_Toc254970690"/>
    </w:p>
    <w:bookmarkEnd w:id="144"/>
    <w:bookmarkEnd w:id="145"/>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
          <w:color w:val="auto"/>
          <w:sz w:val="24"/>
          <w:highlight w:val="none"/>
        </w:rPr>
      </w:pPr>
    </w:p>
    <w:p>
      <w:pPr>
        <w:pStyle w:val="23"/>
        <w:spacing w:line="360" w:lineRule="exact"/>
        <w:rPr>
          <w:rFonts w:hAnsi="宋体"/>
          <w:bCs/>
          <w:color w:val="auto"/>
          <w:highlight w:val="none"/>
        </w:rPr>
      </w:pPr>
      <w:r>
        <w:rPr>
          <w:rFonts w:hAnsi="宋体"/>
          <w:bCs/>
          <w:color w:val="auto"/>
          <w:highlight w:val="none"/>
        </w:rPr>
        <w:t xml:space="preserve"> </w:t>
      </w:r>
    </w:p>
    <w:p>
      <w:pPr>
        <w:jc w:val="center"/>
        <w:rPr>
          <w:color w:val="auto"/>
          <w:highlight w:val="none"/>
        </w:rPr>
      </w:pPr>
      <w:r>
        <w:rPr>
          <w:rFonts w:hint="eastAsia"/>
          <w:color w:val="auto"/>
          <w:highlight w:val="none"/>
        </w:rPr>
        <w:br w:type="page"/>
      </w:r>
    </w:p>
    <w:p>
      <w:pPr>
        <w:pStyle w:val="6"/>
        <w:keepNext w:val="0"/>
        <w:keepLines w:val="0"/>
        <w:jc w:val="center"/>
        <w:rPr>
          <w:color w:val="auto"/>
          <w:highlight w:val="none"/>
        </w:rPr>
      </w:pPr>
      <w:r>
        <w:rPr>
          <w:rFonts w:hint="eastAsia"/>
          <w:color w:val="auto"/>
          <w:highlight w:val="none"/>
        </w:rPr>
        <w:t>一、评标方法</w:t>
      </w:r>
    </w:p>
    <w:p>
      <w:pPr>
        <w:pStyle w:val="23"/>
        <w:spacing w:line="360" w:lineRule="auto"/>
        <w:ind w:firstLine="420"/>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pPr>
        <w:pStyle w:val="23"/>
        <w:spacing w:line="360" w:lineRule="auto"/>
        <w:ind w:firstLine="420"/>
        <w:rPr>
          <w:rFonts w:hAnsi="宋体"/>
          <w:color w:val="auto"/>
          <w:sz w:val="21"/>
          <w:highlight w:val="none"/>
        </w:rPr>
      </w:pPr>
      <w:r>
        <w:rPr>
          <w:rFonts w:hint="eastAsia" w:hAnsi="宋体"/>
          <w:color w:val="auto"/>
          <w:sz w:val="21"/>
          <w:highlight w:val="none"/>
        </w:rPr>
        <w:t>最低评标</w:t>
      </w:r>
      <w:r>
        <w:rPr>
          <w:rFonts w:hint="eastAsia" w:hAnsi="宋体"/>
          <w:color w:val="auto"/>
          <w:sz w:val="21"/>
          <w:highlight w:val="none"/>
          <w:lang w:val="en-US" w:eastAsia="zh-CN"/>
        </w:rPr>
        <w:t>价</w:t>
      </w:r>
      <w:r>
        <w:rPr>
          <w:rFonts w:hint="eastAsia" w:hAnsi="宋体"/>
          <w:color w:val="auto"/>
          <w:sz w:val="21"/>
          <w:highlight w:val="none"/>
        </w:rPr>
        <w:t>法，是指投标文件满足招标文件全部实质性要求，且投标报价最低的投标人为中标候选人的评标方法。</w:t>
      </w:r>
    </w:p>
    <w:p>
      <w:pPr>
        <w:pStyle w:val="6"/>
        <w:keepNext w:val="0"/>
        <w:keepLines w:val="0"/>
        <w:jc w:val="center"/>
        <w:rPr>
          <w:color w:val="auto"/>
          <w:highlight w:val="none"/>
        </w:rPr>
      </w:pPr>
      <w:r>
        <w:rPr>
          <w:rFonts w:hint="eastAsia"/>
          <w:color w:val="auto"/>
          <w:highlight w:val="none"/>
        </w:rPr>
        <w:t>二、评标程序</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1.符合性审查</w:t>
      </w:r>
    </w:p>
    <w:p>
      <w:pPr>
        <w:pStyle w:val="23"/>
        <w:snapToGrid w:val="0"/>
        <w:spacing w:line="360" w:lineRule="auto"/>
        <w:ind w:left="1" w:firstLine="420"/>
        <w:rPr>
          <w:rFonts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p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pPr>
        <w:pStyle w:val="8"/>
        <w:numPr>
          <w:ilvl w:val="0"/>
          <w:numId w:val="3"/>
        </w:numPr>
        <w:spacing w:line="360" w:lineRule="auto"/>
        <w:ind w:firstLine="398" w:firstLineChars="200"/>
        <w:rPr>
          <w:rFonts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报价文件未提供“投标人须知前附表”第13.1条规定中“必须提供”的文件资料的；</w:t>
      </w:r>
    </w:p>
    <w:p>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pPr>
        <w:pStyle w:val="8"/>
        <w:numPr>
          <w:ilvl w:val="0"/>
          <w:numId w:val="3"/>
        </w:numPr>
        <w:spacing w:line="360" w:lineRule="auto"/>
        <w:ind w:left="-2" w:firstLine="422"/>
        <w:rPr>
          <w:rFonts w:ascii="宋体" w:hAnsi="宋体"/>
          <w:b/>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p>
    <w:p>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修正后的报价，投标人不确认的；</w:t>
      </w:r>
    </w:p>
    <w:p>
      <w:pPr>
        <w:pStyle w:val="8"/>
        <w:numPr>
          <w:ilvl w:val="0"/>
          <w:numId w:val="3"/>
        </w:num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pPr>
        <w:pStyle w:val="8"/>
        <w:numPr>
          <w:ilvl w:val="0"/>
          <w:numId w:val="3"/>
        </w:numPr>
        <w:spacing w:line="360" w:lineRule="auto"/>
        <w:ind w:firstLine="398" w:firstLineChars="200"/>
        <w:rPr>
          <w:rFonts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投标文件未按招标文件要求签署、盖章的；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投标文件含有采购人不能接受的附加条件的；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未响应招标文件实质性要求的；</w:t>
      </w:r>
    </w:p>
    <w:p>
      <w:pPr>
        <w:numPr>
          <w:ilvl w:val="0"/>
          <w:numId w:val="4"/>
        </w:numPr>
        <w:snapToGrid w:val="0"/>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法律、法规和招标文件规定的其他无效情形。</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46"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46"/>
    </w:p>
    <w:p>
      <w:pPr>
        <w:pStyle w:val="3"/>
        <w:snapToGrid w:val="0"/>
        <w:spacing w:line="360" w:lineRule="auto"/>
        <w:ind w:firstLine="413" w:firstLineChars="196"/>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（5）未响应招标文件实质性要求的。</w:t>
      </w:r>
    </w:p>
    <w:p>
      <w:pPr>
        <w:pStyle w:val="7"/>
        <w:keepNext w:val="0"/>
        <w:keepLines w:val="0"/>
        <w:spacing w:before="0" w:after="0" w:line="360" w:lineRule="auto"/>
        <w:ind w:left="420" w:leftChars="200"/>
        <w:rPr>
          <w:rFonts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pPr>
        <w:spacing w:line="360" w:lineRule="auto"/>
        <w:ind w:firstLine="420" w:firstLineChars="200"/>
        <w:rPr>
          <w:rFonts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pPr>
        <w:pStyle w:val="7"/>
        <w:keepNext w:val="0"/>
        <w:keepLines w:val="0"/>
        <w:spacing w:before="0" w:after="0" w:line="360" w:lineRule="auto"/>
        <w:ind w:left="420" w:leftChars="200"/>
        <w:rPr>
          <w:rFonts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（2）大写金额和小写金额不一致的，以大写金额为准；</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（4）总价金额与按单价汇总金额不一致的，以单价金额计算结果为准。</w:t>
      </w:r>
    </w:p>
    <w:p>
      <w:pPr>
        <w:pStyle w:val="23"/>
        <w:snapToGrid w:val="0"/>
        <w:spacing w:line="360" w:lineRule="auto"/>
        <w:ind w:firstLine="420" w:firstLineChars="200"/>
        <w:rPr>
          <w:rFonts w:hAnsi="宋体"/>
          <w:color w:val="auto"/>
          <w:sz w:val="21"/>
          <w:highlight w:val="none"/>
        </w:rPr>
      </w:pPr>
      <w:r>
        <w:rPr>
          <w:rFonts w:hint="eastAsia" w:hAnsi="宋体"/>
          <w:color w:val="auto"/>
          <w:sz w:val="21"/>
          <w:highlight w:val="none"/>
        </w:rPr>
        <w:t>同时出现两种以上不一致的，按照以上（1）-（4）规定的顺序修正。修正后的报价经投标人确认后产生约束力，投标人不确认的，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pPr>
        <w:pStyle w:val="7"/>
        <w:keepNext w:val="0"/>
        <w:keepLines w:val="0"/>
        <w:spacing w:before="0" w:after="0" w:line="360" w:lineRule="auto"/>
        <w:rPr>
          <w:rFonts w:ascii="宋体" w:hAnsi="宋体"/>
          <w:b w:val="0"/>
          <w:color w:val="auto"/>
          <w:sz w:val="21"/>
          <w:szCs w:val="21"/>
          <w:highlight w:val="none"/>
        </w:rPr>
      </w:pPr>
      <w:r>
        <w:rPr>
          <w:rFonts w:ascii="宋体" w:hAnsi="宋体"/>
          <w:b w:val="0"/>
          <w:color w:val="auto"/>
          <w:sz w:val="21"/>
          <w:szCs w:val="21"/>
          <w:highlight w:val="none"/>
        </w:rPr>
        <w:t xml:space="preserve">    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投标人的投标文件作无效投标处理</w:t>
      </w:r>
      <w:r>
        <w:rPr>
          <w:rFonts w:hint="eastAsia" w:ascii="宋体" w:hAnsi="宋体"/>
          <w:b w:val="0"/>
          <w:color w:val="auto"/>
          <w:sz w:val="21"/>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pStyle w:val="7"/>
        <w:keepNext w:val="0"/>
        <w:keepLines w:val="0"/>
        <w:spacing w:before="0" w:after="0" w:line="360" w:lineRule="auto"/>
        <w:ind w:left="420" w:leftChars="200"/>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5.1采用综合评分法的</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pPr>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（5）评标委员会按照招标文件中的规定推荐中标候选人。</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ascii="宋体" w:hAnsi="宋体"/>
          <w:color w:val="auto"/>
          <w:szCs w:val="21"/>
          <w:highlight w:val="none"/>
        </w:rPr>
      </w:pPr>
    </w:p>
    <w:p>
      <w:pPr>
        <w:pStyle w:val="6"/>
        <w:keepNext w:val="0"/>
        <w:keepLines w:val="0"/>
        <w:jc w:val="center"/>
        <w:rPr>
          <w:color w:val="auto"/>
          <w:highlight w:val="none"/>
        </w:rPr>
      </w:pPr>
      <w:r>
        <w:rPr>
          <w:rFonts w:hAnsi="宋体"/>
          <w:color w:val="auto"/>
          <w:highlight w:val="none"/>
        </w:rPr>
        <w:br w:type="page"/>
      </w:r>
      <w:bookmarkStart w:id="147" w:name="_Hlk71707917"/>
      <w:r>
        <w:rPr>
          <w:color w:val="auto"/>
          <w:highlight w:val="none"/>
        </w:rPr>
        <w:t>三</w:t>
      </w:r>
      <w:r>
        <w:rPr>
          <w:rFonts w:hint="eastAsia"/>
          <w:color w:val="auto"/>
          <w:highlight w:val="none"/>
        </w:rPr>
        <w:t>、评标标准</w:t>
      </w:r>
    </w:p>
    <w:bookmarkEnd w:id="147"/>
    <w:p>
      <w:pPr>
        <w:pStyle w:val="23"/>
        <w:spacing w:line="360" w:lineRule="auto"/>
        <w:rPr>
          <w:color w:val="auto"/>
          <w:sz w:val="28"/>
          <w:szCs w:val="36"/>
          <w:highlight w:val="none"/>
        </w:rPr>
      </w:pPr>
    </w:p>
    <w:p>
      <w:pPr>
        <w:pStyle w:val="23"/>
        <w:spacing w:line="360" w:lineRule="auto"/>
        <w:ind w:firstLine="420"/>
        <w:jc w:val="center"/>
        <w:rPr>
          <w:color w:val="auto"/>
          <w:sz w:val="28"/>
          <w:szCs w:val="36"/>
          <w:highlight w:val="none"/>
        </w:rPr>
      </w:pPr>
      <w:r>
        <w:rPr>
          <w:rFonts w:hint="eastAsia"/>
          <w:color w:val="auto"/>
          <w:sz w:val="28"/>
          <w:szCs w:val="36"/>
          <w:highlight w:val="none"/>
        </w:rPr>
        <w:t>综合评分法</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1422"/>
        <w:gridCol w:w="1527"/>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30" w:type="pct"/>
            <w:gridSpan w:val="2"/>
            <w:vAlign w:val="center"/>
          </w:tcPr>
          <w:p>
            <w:pPr>
              <w:adjustRightIn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序号</w:t>
            </w:r>
          </w:p>
        </w:tc>
        <w:tc>
          <w:tcPr>
            <w:tcW w:w="895" w:type="pct"/>
            <w:vAlign w:val="center"/>
          </w:tcPr>
          <w:p>
            <w:pPr>
              <w:adjustRightIn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评审因素</w:t>
            </w:r>
          </w:p>
        </w:tc>
        <w:tc>
          <w:tcPr>
            <w:tcW w:w="2975" w:type="pct"/>
            <w:vAlign w:val="center"/>
          </w:tcPr>
          <w:p>
            <w:pPr>
              <w:adjustRightIn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pPr>
              <w:adjustRightIn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1</w:t>
            </w:r>
          </w:p>
        </w:tc>
        <w:tc>
          <w:tcPr>
            <w:tcW w:w="834" w:type="pct"/>
            <w:vAlign w:val="center"/>
          </w:tcPr>
          <w:p>
            <w:pPr>
              <w:adjustRightInd w:val="0"/>
              <w:spacing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价格分</w:t>
            </w:r>
          </w:p>
          <w:p>
            <w:pPr>
              <w:adjustRightInd w:val="0"/>
              <w:spacing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（满分</w:t>
            </w:r>
            <w:r>
              <w:rPr>
                <w:rFonts w:ascii="宋体" w:hAnsi="宋体"/>
                <w:b/>
                <w:bCs/>
                <w:color w:val="auto"/>
                <w:szCs w:val="21"/>
                <w:highlight w:val="none"/>
                <w:u w:val="single"/>
              </w:rPr>
              <w:t>20</w:t>
            </w:r>
            <w:r>
              <w:rPr>
                <w:rFonts w:hint="eastAsia" w:ascii="宋体" w:hAnsi="宋体"/>
                <w:b/>
                <w:bCs/>
                <w:color w:val="auto"/>
                <w:szCs w:val="21"/>
                <w:highlight w:val="none"/>
              </w:rPr>
              <w:t>分）</w:t>
            </w:r>
          </w:p>
        </w:tc>
        <w:tc>
          <w:tcPr>
            <w:tcW w:w="895" w:type="pct"/>
            <w:vAlign w:val="center"/>
          </w:tcPr>
          <w:p>
            <w:pPr>
              <w:adjustRightInd w:val="0"/>
              <w:spacing w:line="360" w:lineRule="exact"/>
              <w:jc w:val="center"/>
              <w:textAlignment w:val="baseline"/>
              <w:rPr>
                <w:rFonts w:ascii="宋体" w:hAnsi="宋体"/>
                <w:b/>
                <w:bCs/>
                <w:color w:val="auto"/>
                <w:szCs w:val="21"/>
                <w:highlight w:val="none"/>
              </w:rPr>
            </w:pPr>
            <w:r>
              <w:rPr>
                <w:rFonts w:hint="eastAsia" w:ascii="宋体" w:hAnsi="宋体"/>
                <w:b/>
                <w:bCs/>
                <w:color w:val="auto"/>
                <w:szCs w:val="21"/>
                <w:highlight w:val="none"/>
              </w:rPr>
              <w:t>投标报价</w:t>
            </w:r>
          </w:p>
        </w:tc>
        <w:tc>
          <w:tcPr>
            <w:tcW w:w="2975" w:type="pct"/>
            <w:vAlign w:val="center"/>
          </w:tcPr>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1</w:t>
            </w:r>
            <w:r>
              <w:rPr>
                <w:rFonts w:hint="eastAsia" w:ascii="宋体" w:hAnsi="宋体"/>
                <w:bCs/>
                <w:color w:val="auto"/>
                <w:kern w:val="0"/>
                <w:szCs w:val="21"/>
                <w:highlight w:val="none"/>
              </w:rPr>
              <w:t>）评标价为投标人的投标报价进行政策性扣除后的价格，评标价只是作为评标时使用。最终中标人的中标金额＝投标报价。</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(2) 按照《政府采购促进中小企业发展暂行办法》（财库[2020]40号）、《广西壮族自治区人民政府办公厅关于印发2020年广西优化营商环境百日攻坚行动实施方案的通知》(桂政办发（2020）59号)和</w:t>
            </w:r>
            <w:r>
              <w:rPr>
                <w:rFonts w:hint="eastAsia" w:hAnsi="宋体"/>
                <w:bCs/>
                <w:color w:val="auto"/>
                <w:highlight w:val="none"/>
              </w:rPr>
              <w:t>《广西壮族自治区财政厅关于进一步发挥政府采购政策功能促进企业发展的通知》（桂财采〔2022〕30号）</w:t>
            </w:r>
            <w:r>
              <w:rPr>
                <w:rFonts w:hint="eastAsia" w:ascii="宋体" w:hAnsi="宋体"/>
                <w:bCs/>
                <w:color w:val="auto"/>
                <w:kern w:val="0"/>
                <w:szCs w:val="21"/>
                <w:highlight w:val="none"/>
              </w:rPr>
              <w:t xml:space="preserve">之规定，投标产品被认定为小型和微型企业产品的，对小型和微型企业产品的价格给予20%的扣除，扣除后的价格为评标报价，即评标报价=投标价×（1-20%）。 </w:t>
            </w:r>
            <w:r>
              <w:rPr>
                <w:rFonts w:hint="eastAsia" w:hAnsi="宋体"/>
                <w:bCs/>
                <w:color w:val="auto"/>
                <w:highlight w:val="none"/>
              </w:rPr>
              <w:t>大中型企业与小微企业组成联合体或者大中型企业向小微企业分包的，对联合体或者大中型企业的报价予以4%</w:t>
            </w:r>
            <w:r>
              <w:rPr>
                <w:rFonts w:hAnsi="宋体"/>
                <w:bCs/>
                <w:color w:val="auto"/>
                <w:highlight w:val="none"/>
              </w:rPr>
              <w:t>的扣除，用扣除后的价格参加评审</w:t>
            </w:r>
            <w:r>
              <w:rPr>
                <w:rFonts w:hint="eastAsia" w:hAnsi="宋体"/>
                <w:bCs/>
                <w:color w:val="auto"/>
                <w:highlight w:val="none"/>
              </w:rPr>
              <w:t>。</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除上述情况外，评标报价</w:t>
            </w:r>
            <w:r>
              <w:rPr>
                <w:rFonts w:ascii="宋体" w:hAnsi="宋体"/>
                <w:bCs/>
                <w:color w:val="auto"/>
                <w:kern w:val="0"/>
                <w:szCs w:val="21"/>
                <w:highlight w:val="none"/>
              </w:rPr>
              <w:t>=</w:t>
            </w:r>
            <w:r>
              <w:rPr>
                <w:rFonts w:hint="eastAsia" w:ascii="宋体" w:hAnsi="宋体"/>
                <w:bCs/>
                <w:color w:val="auto"/>
                <w:kern w:val="0"/>
                <w:szCs w:val="21"/>
                <w:highlight w:val="none"/>
              </w:rPr>
              <w:t>投标报价。</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3</w:t>
            </w:r>
            <w:r>
              <w:rPr>
                <w:rFonts w:hint="eastAsia" w:ascii="宋体" w:hAnsi="宋体"/>
                <w:bCs/>
                <w:color w:val="auto"/>
                <w:kern w:val="0"/>
                <w:szCs w:val="21"/>
                <w:highlight w:val="none"/>
              </w:rPr>
              <w:t>）以进入综合评分环节的最低的评标报价为基准价，基准价报价得分为</w:t>
            </w:r>
            <w:r>
              <w:rPr>
                <w:rFonts w:ascii="宋体" w:hAnsi="宋体"/>
                <w:bCs/>
                <w:color w:val="auto"/>
                <w:kern w:val="0"/>
                <w:szCs w:val="21"/>
                <w:highlight w:val="none"/>
              </w:rPr>
              <w:t>20</w:t>
            </w:r>
            <w:r>
              <w:rPr>
                <w:rFonts w:hint="eastAsia" w:ascii="宋体" w:hAnsi="宋体"/>
                <w:bCs/>
                <w:color w:val="auto"/>
                <w:kern w:val="0"/>
                <w:szCs w:val="21"/>
                <w:highlight w:val="none"/>
              </w:rPr>
              <w:t>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 xml:space="preserve">（4）价格分计算公式：        </w:t>
            </w:r>
          </w:p>
          <w:p>
            <w:pPr>
              <w:spacing w:line="360" w:lineRule="exact"/>
              <w:rPr>
                <w:rFonts w:ascii="宋体" w:hAnsi="宋体" w:cs="Courier New"/>
                <w:bCs/>
                <w:color w:val="auto"/>
                <w:szCs w:val="21"/>
                <w:highlight w:val="none"/>
              </w:rPr>
            </w:pPr>
            <w:r>
              <w:rPr>
                <w:rFonts w:hint="eastAsia" w:ascii="宋体" w:hAnsi="宋体"/>
                <w:bCs/>
                <w:color w:val="auto"/>
                <w:kern w:val="0"/>
                <w:szCs w:val="21"/>
                <w:highlight w:val="none"/>
              </w:rPr>
              <w:t>某投标人价格分=基准价/某投标人评标报价金额×</w:t>
            </w:r>
            <w:r>
              <w:rPr>
                <w:rFonts w:ascii="宋体" w:hAnsi="宋体"/>
                <w:bCs/>
                <w:color w:val="auto"/>
                <w:kern w:val="0"/>
                <w:szCs w:val="21"/>
                <w:highlight w:val="none"/>
              </w:rPr>
              <w:t>20</w:t>
            </w:r>
            <w:r>
              <w:rPr>
                <w:rFonts w:hint="eastAsia" w:ascii="宋体" w:hAnsi="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96" w:type="pct"/>
            <w:vAlign w:val="center"/>
          </w:tcPr>
          <w:p>
            <w:pPr>
              <w:adjustRightInd w:val="0"/>
              <w:snapToGri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2</w:t>
            </w:r>
          </w:p>
        </w:tc>
        <w:tc>
          <w:tcPr>
            <w:tcW w:w="834" w:type="pct"/>
            <w:vAlign w:val="center"/>
          </w:tcPr>
          <w:p>
            <w:pPr>
              <w:adjustRightInd w:val="0"/>
              <w:snapToGrid w:val="0"/>
              <w:spacing w:line="360" w:lineRule="exact"/>
              <w:ind w:left="-105" w:leftChars="-50" w:right="-105" w:rightChars="-50"/>
              <w:jc w:val="center"/>
              <w:textAlignment w:val="baseline"/>
              <w:rPr>
                <w:rFonts w:ascii="宋体" w:hAnsi="宋体"/>
                <w:b/>
                <w:color w:val="auto"/>
                <w:spacing w:val="-18"/>
                <w:szCs w:val="21"/>
                <w:highlight w:val="none"/>
              </w:rPr>
            </w:pPr>
            <w:r>
              <w:rPr>
                <w:rFonts w:hint="eastAsia" w:ascii="宋体" w:hAnsi="宋体"/>
                <w:b/>
                <w:color w:val="auto"/>
                <w:spacing w:val="-18"/>
                <w:szCs w:val="21"/>
                <w:highlight w:val="none"/>
              </w:rPr>
              <w:t>技术服务分</w:t>
            </w:r>
            <w:r>
              <w:rPr>
                <w:rFonts w:hint="eastAsia" w:ascii="宋体" w:hAnsi="宋体"/>
                <w:b/>
                <w:color w:val="auto"/>
                <w:szCs w:val="21"/>
                <w:highlight w:val="none"/>
              </w:rPr>
              <w:t>（满分</w:t>
            </w:r>
            <w:r>
              <w:rPr>
                <w:rFonts w:ascii="宋体" w:hAnsi="宋体"/>
                <w:b/>
                <w:color w:val="auto"/>
                <w:szCs w:val="21"/>
                <w:highlight w:val="none"/>
                <w:u w:val="single"/>
              </w:rPr>
              <w:t>35</w:t>
            </w:r>
            <w:r>
              <w:rPr>
                <w:rFonts w:hint="eastAsia" w:ascii="宋体" w:hAnsi="宋体"/>
                <w:b/>
                <w:color w:val="auto"/>
                <w:szCs w:val="21"/>
                <w:highlight w:val="none"/>
              </w:rPr>
              <w:t>分）</w:t>
            </w:r>
          </w:p>
        </w:tc>
        <w:tc>
          <w:tcPr>
            <w:tcW w:w="3870" w:type="pct"/>
            <w:gridSpan w:val="2"/>
            <w:vAlign w:val="center"/>
          </w:tcPr>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（1）基本分：满足招标文件的要求得</w:t>
            </w:r>
            <w:r>
              <w:rPr>
                <w:rFonts w:ascii="宋体" w:hAnsi="宋体"/>
                <w:bCs/>
                <w:color w:val="auto"/>
                <w:kern w:val="0"/>
                <w:szCs w:val="21"/>
                <w:highlight w:val="none"/>
              </w:rPr>
              <w:t>18</w:t>
            </w:r>
            <w:r>
              <w:rPr>
                <w:rFonts w:hint="eastAsia" w:ascii="宋体" w:hAnsi="宋体"/>
                <w:bCs/>
                <w:color w:val="auto"/>
                <w:kern w:val="0"/>
                <w:szCs w:val="21"/>
                <w:highlight w:val="none"/>
              </w:rPr>
              <w:t>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（2）技术服务方案分（1</w:t>
            </w:r>
            <w:r>
              <w:rPr>
                <w:rFonts w:ascii="宋体" w:hAnsi="宋体"/>
                <w:bCs/>
                <w:color w:val="auto"/>
                <w:kern w:val="0"/>
                <w:szCs w:val="21"/>
                <w:highlight w:val="none"/>
              </w:rPr>
              <w:t>7</w:t>
            </w:r>
            <w:r>
              <w:rPr>
                <w:rFonts w:hint="eastAsia" w:ascii="宋体" w:hAnsi="宋体"/>
                <w:bCs/>
                <w:color w:val="auto"/>
                <w:kern w:val="0"/>
                <w:szCs w:val="21"/>
                <w:highlight w:val="none"/>
              </w:rPr>
              <w:t>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一档 (</w:t>
            </w:r>
            <w:r>
              <w:rPr>
                <w:rFonts w:ascii="宋体" w:hAnsi="宋体"/>
                <w:bCs/>
                <w:color w:val="auto"/>
                <w:kern w:val="0"/>
                <w:szCs w:val="21"/>
                <w:highlight w:val="none"/>
              </w:rPr>
              <w:t>9</w:t>
            </w:r>
            <w:r>
              <w:rPr>
                <w:rFonts w:hint="eastAsia" w:ascii="宋体" w:hAnsi="宋体"/>
                <w:bCs/>
                <w:color w:val="auto"/>
                <w:kern w:val="0"/>
                <w:szCs w:val="21"/>
                <w:highlight w:val="none"/>
              </w:rPr>
              <w:t>分)：技术方案中投标人维护服务、技术培训方案、故障响应时效、故障处理时效、故障隐患防范措施基本满足标书要求的，方案的可操作性、可管理性、及时有效性、前瞻性较差，档次定为一档；</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二档(</w:t>
            </w:r>
            <w:r>
              <w:rPr>
                <w:rFonts w:ascii="宋体" w:hAnsi="宋体"/>
                <w:bCs/>
                <w:color w:val="auto"/>
                <w:kern w:val="0"/>
                <w:szCs w:val="21"/>
                <w:highlight w:val="none"/>
              </w:rPr>
              <w:t>13</w:t>
            </w:r>
            <w:r>
              <w:rPr>
                <w:rFonts w:hint="eastAsia" w:ascii="宋体" w:hAnsi="宋体"/>
                <w:bCs/>
                <w:color w:val="auto"/>
                <w:kern w:val="0"/>
                <w:szCs w:val="21"/>
                <w:highlight w:val="none"/>
              </w:rPr>
              <w:t>分)：在满足一档的基础上，具有较好的方案可操作性、可管理性、及时有效性、前瞻性，档次定为二档；</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三档(1</w:t>
            </w:r>
            <w:r>
              <w:rPr>
                <w:rFonts w:ascii="宋体" w:hAnsi="宋体"/>
                <w:bCs/>
                <w:color w:val="auto"/>
                <w:kern w:val="0"/>
                <w:szCs w:val="21"/>
                <w:highlight w:val="none"/>
              </w:rPr>
              <w:t>7</w:t>
            </w:r>
            <w:r>
              <w:rPr>
                <w:rFonts w:hint="eastAsia" w:ascii="宋体" w:hAnsi="宋体"/>
                <w:bCs/>
                <w:color w:val="auto"/>
                <w:kern w:val="0"/>
                <w:szCs w:val="21"/>
                <w:highlight w:val="none"/>
              </w:rPr>
              <w:t>分)：在满足二档的基础上，充分了解采购人的系统实际运行状态，采取有针对性的服务方案，对项目实施及管理、培训方案等方面有全面而详细的描述，并提供优于标书售后服务要求的服务内容，档次定为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96" w:type="pct"/>
            <w:vAlign w:val="center"/>
          </w:tcPr>
          <w:p>
            <w:pPr>
              <w:adjustRightInd w:val="0"/>
              <w:snapToGrid w:val="0"/>
              <w:spacing w:line="360" w:lineRule="exact"/>
              <w:jc w:val="center"/>
              <w:textAlignment w:val="baseline"/>
              <w:rPr>
                <w:rFonts w:ascii="宋体" w:hAnsi="宋体"/>
                <w:color w:val="auto"/>
                <w:szCs w:val="21"/>
                <w:highlight w:val="none"/>
              </w:rPr>
            </w:pPr>
            <w:r>
              <w:rPr>
                <w:rFonts w:hint="eastAsia" w:ascii="宋体" w:hAnsi="宋体"/>
                <w:color w:val="auto"/>
                <w:szCs w:val="21"/>
                <w:highlight w:val="none"/>
              </w:rPr>
              <w:t>3</w:t>
            </w:r>
          </w:p>
        </w:tc>
        <w:tc>
          <w:tcPr>
            <w:tcW w:w="834" w:type="pct"/>
            <w:vAlign w:val="center"/>
          </w:tcPr>
          <w:p>
            <w:pPr>
              <w:adjustRightInd w:val="0"/>
              <w:snapToGrid w:val="0"/>
              <w:spacing w:line="360" w:lineRule="exact"/>
              <w:jc w:val="center"/>
              <w:textAlignment w:val="baseline"/>
              <w:rPr>
                <w:rFonts w:ascii="宋体" w:hAnsi="宋体"/>
                <w:b/>
                <w:color w:val="auto"/>
                <w:szCs w:val="21"/>
                <w:highlight w:val="none"/>
              </w:rPr>
            </w:pPr>
            <w:r>
              <w:rPr>
                <w:rFonts w:hint="eastAsia" w:ascii="宋体" w:hAnsi="宋体"/>
                <w:b/>
                <w:color w:val="auto"/>
                <w:szCs w:val="21"/>
                <w:highlight w:val="none"/>
              </w:rPr>
              <w:t>信誉及其他分（满分</w:t>
            </w:r>
            <w:r>
              <w:rPr>
                <w:rFonts w:ascii="宋体" w:hAnsi="宋体"/>
                <w:b/>
                <w:color w:val="auto"/>
                <w:szCs w:val="21"/>
                <w:highlight w:val="none"/>
                <w:u w:val="single"/>
              </w:rPr>
              <w:t>45</w:t>
            </w:r>
            <w:r>
              <w:rPr>
                <w:rFonts w:hint="eastAsia" w:ascii="宋体" w:hAnsi="宋体"/>
                <w:b/>
                <w:color w:val="auto"/>
                <w:szCs w:val="21"/>
                <w:highlight w:val="none"/>
              </w:rPr>
              <w:t>分）</w:t>
            </w:r>
          </w:p>
        </w:tc>
        <w:tc>
          <w:tcPr>
            <w:tcW w:w="3870" w:type="pct"/>
            <w:gridSpan w:val="2"/>
            <w:vAlign w:val="center"/>
          </w:tcPr>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（1）投标人具有信息技术服务运行维护ITSS资质证书的，得6分，满分6分。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（2）投标人具有CMMI软件能力成熟度证书的，CMMI5得6分，CMMI4得4分，CMMI3得2分，CMMI3以下不得分，</w:t>
            </w:r>
            <w:r>
              <w:rPr>
                <w:rFonts w:ascii="宋体" w:hAnsi="宋体"/>
                <w:bCs/>
                <w:color w:val="auto"/>
                <w:kern w:val="0"/>
                <w:szCs w:val="21"/>
                <w:highlight w:val="none"/>
              </w:rPr>
              <w:t>满分</w:t>
            </w:r>
            <w:r>
              <w:rPr>
                <w:rFonts w:hint="eastAsia" w:ascii="宋体" w:hAnsi="宋体"/>
                <w:bCs/>
                <w:color w:val="auto"/>
                <w:kern w:val="0"/>
                <w:szCs w:val="21"/>
                <w:highlight w:val="none"/>
              </w:rPr>
              <w:t>6分。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3</w:t>
            </w:r>
            <w:r>
              <w:rPr>
                <w:rFonts w:hint="eastAsia" w:ascii="宋体" w:hAnsi="宋体"/>
                <w:bCs/>
                <w:color w:val="auto"/>
                <w:kern w:val="0"/>
                <w:szCs w:val="21"/>
                <w:highlight w:val="none"/>
              </w:rPr>
              <w:t>）投标人2</w:t>
            </w:r>
            <w:r>
              <w:rPr>
                <w:rFonts w:ascii="宋体" w:hAnsi="宋体"/>
                <w:bCs/>
                <w:color w:val="auto"/>
                <w:kern w:val="0"/>
                <w:szCs w:val="21"/>
                <w:highlight w:val="none"/>
              </w:rPr>
              <w:t>019</w:t>
            </w:r>
            <w:r>
              <w:rPr>
                <w:rFonts w:hint="eastAsia" w:ascii="宋体" w:hAnsi="宋体"/>
                <w:bCs/>
                <w:color w:val="auto"/>
                <w:kern w:val="0"/>
                <w:szCs w:val="21"/>
                <w:highlight w:val="none"/>
              </w:rPr>
              <w:t>年1月1日</w:t>
            </w:r>
            <w:r>
              <w:rPr>
                <w:rFonts w:hint="eastAsia" w:ascii="宋体" w:hAnsi="宋体"/>
                <w:bCs/>
                <w:color w:val="auto"/>
                <w:kern w:val="0"/>
                <w:szCs w:val="21"/>
                <w:highlight w:val="none"/>
                <w:lang w:val="en-US" w:eastAsia="zh-CN"/>
              </w:rPr>
              <w:t>至投标截止日</w:t>
            </w:r>
            <w:r>
              <w:rPr>
                <w:rFonts w:hint="eastAsia" w:ascii="宋体" w:hAnsi="宋体"/>
                <w:bCs/>
                <w:color w:val="auto"/>
                <w:kern w:val="0"/>
                <w:szCs w:val="21"/>
                <w:highlight w:val="none"/>
              </w:rPr>
              <w:t>完成信息化系统运维同类项目业绩（以合同或中标/成交通知书复印件为准），每份得</w:t>
            </w:r>
            <w:r>
              <w:rPr>
                <w:rFonts w:ascii="宋体" w:hAnsi="宋体"/>
                <w:bCs/>
                <w:color w:val="auto"/>
                <w:kern w:val="0"/>
                <w:szCs w:val="21"/>
                <w:highlight w:val="none"/>
              </w:rPr>
              <w:t>2</w:t>
            </w:r>
            <w:r>
              <w:rPr>
                <w:rFonts w:hint="eastAsia" w:ascii="宋体" w:hAnsi="宋体"/>
                <w:bCs/>
                <w:color w:val="auto"/>
                <w:kern w:val="0"/>
                <w:szCs w:val="21"/>
                <w:highlight w:val="none"/>
              </w:rPr>
              <w:t>分，满分</w:t>
            </w:r>
            <w:r>
              <w:rPr>
                <w:rFonts w:ascii="宋体" w:hAnsi="宋体"/>
                <w:bCs/>
                <w:color w:val="auto"/>
                <w:kern w:val="0"/>
                <w:szCs w:val="21"/>
                <w:highlight w:val="none"/>
              </w:rPr>
              <w:t>10</w:t>
            </w:r>
            <w:r>
              <w:rPr>
                <w:rFonts w:hint="eastAsia" w:ascii="宋体" w:hAnsi="宋体"/>
                <w:bCs/>
                <w:color w:val="auto"/>
                <w:kern w:val="0"/>
                <w:szCs w:val="21"/>
                <w:highlight w:val="none"/>
              </w:rPr>
              <w:t>分。</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4</w:t>
            </w:r>
            <w:r>
              <w:rPr>
                <w:rFonts w:hint="eastAsia" w:ascii="宋体" w:hAnsi="宋体"/>
                <w:bCs/>
                <w:color w:val="auto"/>
                <w:kern w:val="0"/>
                <w:szCs w:val="21"/>
                <w:highlight w:val="none"/>
              </w:rPr>
              <w:t>）投标人拟投入的人员具有计算机、电子、通信或项目管理相关专业高级工程师职称的，每人得3分，满分15分。（投标人拟投入人员必须是投标人本单位职员，并提供相关人员最近六个月的社保证明复印件附于投标文件中）</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w:t>
            </w:r>
            <w:r>
              <w:rPr>
                <w:rFonts w:ascii="宋体" w:hAnsi="宋体"/>
                <w:bCs/>
                <w:color w:val="auto"/>
                <w:kern w:val="0"/>
                <w:szCs w:val="21"/>
                <w:highlight w:val="none"/>
              </w:rPr>
              <w:t>5</w:t>
            </w:r>
            <w:r>
              <w:rPr>
                <w:rFonts w:hint="eastAsia" w:ascii="宋体" w:hAnsi="宋体"/>
                <w:bCs/>
                <w:color w:val="auto"/>
                <w:kern w:val="0"/>
                <w:szCs w:val="21"/>
                <w:highlight w:val="none"/>
              </w:rPr>
              <w:t>）2019年1月1日</w:t>
            </w:r>
            <w:r>
              <w:rPr>
                <w:rFonts w:hint="eastAsia" w:ascii="宋体" w:hAnsi="宋体"/>
                <w:bCs/>
                <w:color w:val="auto"/>
                <w:kern w:val="0"/>
                <w:szCs w:val="21"/>
                <w:highlight w:val="none"/>
                <w:lang w:val="en-US" w:eastAsia="zh-CN"/>
              </w:rPr>
              <w:t>至投标截止日</w:t>
            </w:r>
            <w:r>
              <w:rPr>
                <w:rFonts w:hint="eastAsia" w:ascii="宋体" w:hAnsi="宋体"/>
                <w:bCs/>
                <w:color w:val="auto"/>
                <w:kern w:val="0"/>
                <w:szCs w:val="21"/>
                <w:highlight w:val="none"/>
              </w:rPr>
              <w:t>（以发证日期为准）投标人独立或参与完成的科研项目或课题或技术成果获得省部级以上的奖励三等奖以上，每一项加4分，满分8分。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4"/>
            <w:vAlign w:val="center"/>
          </w:tcPr>
          <w:p>
            <w:pPr>
              <w:pStyle w:val="23"/>
              <w:snapToGrid w:val="0"/>
              <w:spacing w:line="360" w:lineRule="exact"/>
              <w:rPr>
                <w:rFonts w:hAnsi="宋体"/>
                <w:b/>
                <w:bCs/>
                <w:color w:val="auto"/>
                <w:sz w:val="21"/>
                <w:highlight w:val="none"/>
              </w:rPr>
            </w:pPr>
            <w:r>
              <w:rPr>
                <w:rFonts w:hint="eastAsia" w:hAnsi="宋体"/>
                <w:b/>
                <w:bCs/>
                <w:color w:val="auto"/>
                <w:sz w:val="21"/>
                <w:highlight w:val="none"/>
              </w:rPr>
              <w:t>总得分=1+2+3</w:t>
            </w:r>
          </w:p>
        </w:tc>
      </w:tr>
    </w:tbl>
    <w:p>
      <w:pPr>
        <w:pStyle w:val="23"/>
        <w:spacing w:line="360" w:lineRule="auto"/>
        <w:ind w:firstLine="420"/>
        <w:jc w:val="center"/>
        <w:rPr>
          <w:rFonts w:hAnsi="宋体"/>
          <w:bCs/>
          <w:color w:val="auto"/>
          <w:sz w:val="21"/>
          <w:highlight w:val="none"/>
        </w:rPr>
      </w:pPr>
    </w:p>
    <w:p>
      <w:pPr>
        <w:pStyle w:val="6"/>
        <w:keepNext w:val="0"/>
        <w:keepLines w:val="0"/>
        <w:jc w:val="center"/>
        <w:rPr>
          <w:color w:val="auto"/>
          <w:sz w:val="30"/>
          <w:szCs w:val="30"/>
          <w:highlight w:val="none"/>
        </w:rPr>
      </w:pPr>
      <w:r>
        <w:rPr>
          <w:color w:val="auto"/>
          <w:highlight w:val="none"/>
        </w:rPr>
        <w:br w:type="page"/>
      </w:r>
      <w:r>
        <w:rPr>
          <w:rFonts w:hint="eastAsia"/>
          <w:color w:val="auto"/>
          <w:sz w:val="30"/>
          <w:szCs w:val="30"/>
          <w:highlight w:val="none"/>
        </w:rPr>
        <w:t>四、中标候选人推荐原则</w:t>
      </w:r>
    </w:p>
    <w:p>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1</w:t>
      </w:r>
      <w:r>
        <w:rPr>
          <w:rFonts w:hAnsi="宋体"/>
          <w:color w:val="auto"/>
          <w:sz w:val="21"/>
          <w:highlight w:val="none"/>
        </w:rPr>
        <w:t>.</w:t>
      </w:r>
      <w:r>
        <w:rPr>
          <w:rFonts w:hint="eastAsia" w:hAnsi="宋体"/>
          <w:color w:val="auto"/>
          <w:sz w:val="21"/>
          <w:highlight w:val="none"/>
        </w:rPr>
        <w:t>评标委员会根据原始评标记录和评标结果编写评标报告，并通过电子交易平台向采购人、采购代理机构提交。</w:t>
      </w:r>
    </w:p>
    <w:p>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2</w:t>
      </w:r>
      <w:r>
        <w:rPr>
          <w:rFonts w:hAnsi="宋体"/>
          <w:color w:val="auto"/>
          <w:sz w:val="21"/>
          <w:highlight w:val="none"/>
        </w:rPr>
        <w:t>.</w:t>
      </w:r>
      <w:r>
        <w:rPr>
          <w:rFonts w:hint="eastAsia" w:hAnsi="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6"/>
        <w:keepNext w:val="0"/>
        <w:keepLines w:val="0"/>
        <w:jc w:val="center"/>
        <w:rPr>
          <w:rFonts w:hAnsi="宋体"/>
          <w:color w:val="auto"/>
          <w:sz w:val="21"/>
          <w:highlight w:val="none"/>
        </w:rPr>
      </w:pPr>
      <w:r>
        <w:rPr>
          <w:rFonts w:hAnsi="宋体"/>
          <w:b w:val="0"/>
          <w:color w:val="auto"/>
          <w:sz w:val="24"/>
          <w:highlight w:val="none"/>
        </w:rPr>
        <w:br w:type="page"/>
      </w: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spacing w:before="120" w:beforeLines="50" w:after="120" w:afterLines="50" w:line="400" w:lineRule="exact"/>
        <w:rPr>
          <w:rFonts w:ascii="宋体" w:hAnsi="宋体"/>
          <w:b/>
          <w:color w:val="auto"/>
          <w:sz w:val="24"/>
          <w:highlight w:val="none"/>
        </w:rPr>
      </w:pPr>
    </w:p>
    <w:p>
      <w:pPr>
        <w:pStyle w:val="4"/>
        <w:jc w:val="center"/>
        <w:rPr>
          <w:color w:val="auto"/>
          <w:highlight w:val="none"/>
        </w:rPr>
      </w:pPr>
      <w:bookmarkStart w:id="148" w:name="_Toc100653793"/>
      <w:r>
        <w:rPr>
          <w:rFonts w:hint="eastAsia"/>
          <w:color w:val="auto"/>
          <w:highlight w:val="none"/>
        </w:rPr>
        <w:t>第五章  拟签订的合同文本</w:t>
      </w:r>
      <w:bookmarkEnd w:id="148"/>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jc w:val="center"/>
        <w:rPr>
          <w:rFonts w:ascii="宋体" w:hAnsi="宋体"/>
          <w:color w:val="auto"/>
          <w:sz w:val="28"/>
          <w:szCs w:val="28"/>
          <w:highlight w:val="none"/>
        </w:rPr>
      </w:pPr>
      <w:r>
        <w:rPr>
          <w:rFonts w:ascii="宋体" w:hAnsi="宋体"/>
          <w:bCs/>
          <w:color w:val="auto"/>
          <w:highlight w:val="none"/>
        </w:rPr>
        <w:br w:type="page"/>
      </w:r>
      <w:r>
        <w:rPr>
          <w:rFonts w:hint="eastAsia" w:ascii="宋体" w:hAnsi="宋体"/>
          <w:b/>
          <w:bCs/>
          <w:color w:val="auto"/>
          <w:kern w:val="44"/>
          <w:sz w:val="28"/>
          <w:szCs w:val="28"/>
          <w:highlight w:val="none"/>
        </w:rPr>
        <w:t>《</w:t>
      </w:r>
      <w:r>
        <w:rPr>
          <w:rFonts w:hint="eastAsia" w:ascii="宋体" w:hAnsi="宋体"/>
          <w:b/>
          <w:bCs/>
          <w:color w:val="auto"/>
          <w:kern w:val="44"/>
          <w:sz w:val="28"/>
          <w:szCs w:val="28"/>
          <w:highlight w:val="none"/>
          <w:lang w:eastAsia="zh-CN"/>
        </w:rPr>
        <w:t>广西ETC门架系统运维服务</w:t>
      </w:r>
      <w:r>
        <w:rPr>
          <w:rFonts w:hint="eastAsia" w:ascii="宋体" w:hAnsi="宋体"/>
          <w:b/>
          <w:bCs/>
          <w:color w:val="auto"/>
          <w:kern w:val="44"/>
          <w:sz w:val="28"/>
          <w:szCs w:val="28"/>
          <w:highlight w:val="none"/>
        </w:rPr>
        <w:t>合同书》</w:t>
      </w:r>
    </w:p>
    <w:p>
      <w:pPr>
        <w:spacing w:line="520" w:lineRule="exact"/>
        <w:rPr>
          <w:rFonts w:ascii="宋体" w:hAnsi="宋体" w:cs="Courier New"/>
          <w:b/>
          <w:color w:val="auto"/>
          <w:sz w:val="32"/>
          <w:szCs w:val="32"/>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乙方接受甲方委托，承担《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》服务项目实施工作，合同金额（人民币）： </w:t>
      </w:r>
      <w:r>
        <w:rPr>
          <w:rFonts w:hint="eastAsia" w:ascii="宋体" w:hAnsi="宋体" w:cs="宋体"/>
          <w:color w:val="auto"/>
          <w:szCs w:val="21"/>
          <w:highlight w:val="none"/>
          <w:u w:val="single"/>
        </w:rPr>
        <w:t xml:space="preserve"> 万 仟 佰                            </w:t>
      </w:r>
      <w:r>
        <w:rPr>
          <w:rFonts w:hint="eastAsia" w:ascii="宋体" w:hAnsi="宋体" w:cs="宋体"/>
          <w:color w:val="auto"/>
          <w:szCs w:val="21"/>
          <w:highlight w:val="none"/>
        </w:rPr>
        <w:t>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含乙方完成本项目所有工作任务（出具成果文件）所需的一切费用（含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在内）。合同价不因任何因素而调整。</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1.甲方根据工作需要，可为乙方提供相关资料等。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2.乙方应按规定时间节点内完成项目工作。</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3.乙方应保证所提供的服务不会侵犯任何第三方的专利权、著作权或其他权利。</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4.乙方应按招标文件规定的时间向甲方提供项目实施工作有关技术资料。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6.乙方所交付的技术成果知识产权归甲方所有。</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广西区内甲方指定地点</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乙方应按投标文件的承诺向甲方提供相应的服务，并提供所服务内容的相关技术资料。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乙方提供不符合投标文件和本合同规定的服务成果，甲方有权拒绝接受。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b/>
          <w:color w:val="auto"/>
          <w:szCs w:val="21"/>
          <w:highlight w:val="none"/>
        </w:rPr>
        <w:t>服务、质量保证期</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乙方应按照国家有关法律法规以及招标文件和本合同所附的《抽检工作方案》，为甲方提供技术服务。</w:t>
      </w:r>
    </w:p>
    <w:p>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1.在合同履行期间，甲方要求终止或解除合同，乙方已开始实施工作的，甲方应根据乙方已进行的实际工作量给予适当的补偿。</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.付款方式：</w:t>
      </w:r>
    </w:p>
    <w:p>
      <w:pPr>
        <w:snapToGrid w:val="0"/>
        <w:spacing w:line="360" w:lineRule="auto"/>
        <w:ind w:firstLine="420" w:firstLineChars="200"/>
        <w:rPr>
          <w:color w:val="auto"/>
          <w:highlight w:val="none"/>
        </w:rPr>
      </w:pPr>
      <w:r>
        <w:rPr>
          <w:rFonts w:hint="eastAsia" w:ascii="宋体" w:hAnsi="宋体"/>
          <w:color w:val="auto"/>
          <w:szCs w:val="21"/>
          <w:highlight w:val="none"/>
        </w:rPr>
        <w:t>合同签订并提交服务方案后经采购人认可，10个工作日内支付50%合同款，50%的余款待运维服务达2个月且无服务质量问题并验收合格后10个工作日内付清，中标人向采购人申请结算时开具增值税专用发票。</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人在签订合同时按合同金额的5%（如为小微企业，则按合同金额的2%）向采购人支付履约保证金（履约保证金作为违约金的一部分用于补偿甲方因乙方不能履行合同义务所蒙受的损失），履约保证金在验收合格后自动转为质量保证金，待运维服务结束后5个工作日内无息退还。</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乙方提供的服务如侵犯了第三方合法权益而引发的任何纠纷或者诉讼，均由乙方负责交涉并承担全部责任。</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.由于甲方的原因造成合同不能如期履行的，双方可根据具体情况顺延合同的履行期，对乙方因此遭受的损失，甲方应予以补偿。</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不可抗力事件发生后，应立即通知对方，并寄送有关权威机构出具的证明。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不可抗力事件延续一百二十天以上，双方应通过友好协商，确定是否继续履行合同。</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因履行本合同引起的或者与本合同有关的争议，甲乙双方应首先通过友好协商解决，如果协商不能解决，</w:t>
      </w:r>
      <w:r>
        <w:rPr>
          <w:rFonts w:hint="eastAsia" w:ascii="宋体" w:hAnsi="宋体"/>
          <w:color w:val="auto"/>
          <w:szCs w:val="21"/>
          <w:highlight w:val="none"/>
        </w:rPr>
        <w:t>可向甲方所在地人民法院提起诉讼</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诉讼期间，本合同继续履行。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合同经双方法定代表人或者授权代表签字并加盖单位公章后生效（委托代理人签字的需后附授权委托书，格式自拟）。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本合同未尽事宜，遵照《中华人民共和国民法典》有关条文执行。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除《中华人民共和国政府采购法》第五十条规定的情形外，本合同一经签订，甲乙双方不得擅自变更、中止或者终止。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乙方不得擅自转让其应履行的合同义务。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合同组成及解释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的采购文件（含采购答疑）、符合采购要求的投标文件、甲方确认采购要求、本合同履行过程中双方签章确认的协议或其他文件均为本合同的组成部分，若合同组成文件之间发生矛盾的，以下排列顺序为合同组成文件之间的优先解释顺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（1）合同履行过程中双方签章确认的协议或其他文件；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（2）甲方确认的采购要求；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（4）中标或成交通知书；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（5）采购文件(含答疑)；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（6）符合采购要求的投标文件；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（7）标准、规范及有关技术文件；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2.前述文件应认为是互为补充和解释的，但如有互相矛盾之处，以前述文件所列顺序作为其优先解释的顺序，但如果某一文件对甲方权利维护更有利或对设计工作有更高、更严格要求的以该文件内容为准。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3.前述各项文件包括双方就该合同组成文件所作出的补充和修改，属于同一项文件的，应以最新签署的为准。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通知与送达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协议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2.任何一方当事人向对/他方所发出的通知或请求送达时间：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（1）如果是传真，则在发送当日视为送达；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（2）如果是短信/微信/电子邮件，自电子文件内容在发送方正确填写地址且未被系统退回的情况下，进入对方数据电文接收系统当日视为送达。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（3）如果是信函，在挂号信交邮后第三日视为送达；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（4）如果是派人专程送达，则在收件人签收之日视为收到；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（5）如果同时使用几种通知方式的，以其中较快到达接收方者为准。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（6）若送达日为非工作日,则视为在下一工作日送达。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合同送达条款与争议解决条款均为独立条款，不受合同整体或其他条款的效力的影响。</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第十六条　</w:t>
      </w:r>
      <w:r>
        <w:rPr>
          <w:rFonts w:hint="eastAsia" w:ascii="宋体" w:hAnsi="宋体" w:cs="宋体"/>
          <w:color w:val="auto"/>
          <w:szCs w:val="21"/>
          <w:highlight w:val="none"/>
        </w:rPr>
        <w:t>本合同一式五份，具有同等法律效力，采购代理机构一份，甲方执三份，乙方执一份（可根据需要另增加）。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atLeast"/>
              <w:rPr>
                <w:rFonts w:ascii="宋体" w:hAnsi="宋体"/>
                <w:color w:val="auto"/>
                <w:szCs w:val="21"/>
                <w:highlight w:val="none"/>
              </w:rPr>
            </w:pPr>
          </w:p>
          <w:p>
            <w:pPr>
              <w:snapToGrid w:val="0"/>
              <w:spacing w:line="360" w:lineRule="atLeas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360" w:lineRule="atLeast"/>
              <w:rPr>
                <w:rFonts w:ascii="宋体" w:hAnsi="宋体"/>
                <w:color w:val="auto"/>
                <w:szCs w:val="21"/>
                <w:highlight w:val="none"/>
              </w:rPr>
            </w:pPr>
          </w:p>
          <w:p>
            <w:pPr>
              <w:snapToGrid w:val="0"/>
              <w:spacing w:line="360" w:lineRule="atLeas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单位地址：</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法定代表人：</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电话：</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电子邮箱：</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开户银行：</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账号：</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纳税人识别号或统一社会信用代码：</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纳税人识别号或统一社会信用代码：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邮政编码：</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atLeast"/>
              <w:rPr>
                <w:rFonts w:ascii="宋体" w:hAnsi="宋体"/>
                <w:color w:val="auto"/>
                <w:szCs w:val="21"/>
                <w:highlight w:val="none"/>
              </w:rPr>
            </w:pPr>
            <w:r>
              <w:rPr>
                <w:rFonts w:hint="eastAsia" w:ascii="宋体" w:hAnsi="宋体"/>
                <w:color w:val="auto"/>
                <w:szCs w:val="21"/>
                <w:highlight w:val="none"/>
              </w:rPr>
              <w:t>邮政编码：</w:t>
            </w:r>
          </w:p>
        </w:tc>
      </w:tr>
    </w:tbl>
    <w:p>
      <w:pPr>
        <w:snapToGrid w:val="0"/>
        <w:jc w:val="center"/>
        <w:rPr>
          <w:rFonts w:ascii="宋体" w:hAnsi="宋体"/>
          <w:b/>
          <w:bCs/>
          <w:color w:val="auto"/>
          <w:sz w:val="32"/>
          <w:szCs w:val="32"/>
          <w:highlight w:val="none"/>
        </w:rPr>
      </w:pPr>
    </w:p>
    <w:p>
      <w:pPr>
        <w:snapToGrid w:val="0"/>
        <w:spacing w:line="360" w:lineRule="auto"/>
        <w:ind w:left="420" w:hanging="420" w:hangingChars="200"/>
        <w:rPr>
          <w:rFonts w:ascii="宋体" w:hAnsi="宋体"/>
          <w:color w:val="auto"/>
          <w:szCs w:val="21"/>
          <w:highlight w:val="none"/>
        </w:rPr>
      </w:pPr>
    </w:p>
    <w:p>
      <w:pPr>
        <w:snapToGrid w:val="0"/>
        <w:spacing w:line="360" w:lineRule="auto"/>
        <w:jc w:val="center"/>
        <w:rPr>
          <w:rFonts w:ascii="宋体" w:hAnsi="宋体"/>
          <w:bCs/>
          <w:color w:val="auto"/>
          <w:sz w:val="32"/>
          <w:szCs w:val="32"/>
          <w:highlight w:val="none"/>
        </w:rPr>
      </w:pPr>
      <w:r>
        <w:rPr>
          <w:rFonts w:ascii="宋体" w:hAnsi="宋体"/>
          <w:b/>
          <w:color w:val="auto"/>
          <w:szCs w:val="21"/>
          <w:highlight w:val="none"/>
        </w:rPr>
        <w:br w:type="page"/>
      </w:r>
    </w:p>
    <w:p>
      <w:pPr>
        <w:snapToGrid w:val="0"/>
        <w:spacing w:line="480" w:lineRule="auto"/>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snapToGrid w:val="0"/>
        <w:jc w:val="center"/>
        <w:rPr>
          <w:rFonts w:ascii="宋体" w:hAnsi="宋体"/>
          <w:bCs/>
          <w:color w:val="auto"/>
          <w:sz w:val="32"/>
          <w:szCs w:val="32"/>
          <w:highlight w:val="none"/>
        </w:rPr>
      </w:pPr>
    </w:p>
    <w:p>
      <w:pPr>
        <w:pStyle w:val="4"/>
        <w:jc w:val="center"/>
        <w:rPr>
          <w:color w:val="auto"/>
          <w:highlight w:val="none"/>
        </w:rPr>
      </w:pPr>
      <w:bookmarkStart w:id="149" w:name="_Toc100653794"/>
      <w:r>
        <w:rPr>
          <w:rFonts w:hint="eastAsia"/>
          <w:color w:val="auto"/>
          <w:highlight w:val="none"/>
        </w:rPr>
        <w:t>第六章　投标文件格式</w:t>
      </w:r>
      <w:bookmarkEnd w:id="149"/>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rFonts w:ascii="宋体" w:hAnsi="宋体"/>
          <w:color w:val="auto"/>
          <w:sz w:val="32"/>
          <w:szCs w:val="20"/>
          <w:highlight w:val="none"/>
        </w:rPr>
      </w:pPr>
    </w:p>
    <w:p>
      <w:pPr>
        <w:rPr>
          <w:b/>
          <w:color w:val="auto"/>
          <w:sz w:val="28"/>
          <w:szCs w:val="28"/>
          <w:highlight w:val="none"/>
        </w:rPr>
      </w:pPr>
      <w:r>
        <w:rPr>
          <w:color w:val="auto"/>
          <w:sz w:val="32"/>
          <w:szCs w:val="20"/>
          <w:highlight w:val="none"/>
        </w:rPr>
        <w:br w:type="page"/>
      </w:r>
      <w:bookmarkStart w:id="150" w:name="_Toc19686836"/>
      <w:bookmarkStart w:id="151" w:name="_Toc254970698"/>
      <w:bookmarkStart w:id="152" w:name="_Toc254970557"/>
      <w:r>
        <w:rPr>
          <w:rFonts w:hint="eastAsia"/>
          <w:b/>
          <w:color w:val="auto"/>
          <w:sz w:val="28"/>
          <w:szCs w:val="28"/>
          <w:highlight w:val="none"/>
        </w:rPr>
        <w:t>一、报价文件格式</w:t>
      </w:r>
      <w:bookmarkEnd w:id="150"/>
    </w:p>
    <w:p>
      <w:pPr>
        <w:snapToGrid w:val="0"/>
        <w:spacing w:before="120" w:beforeLines="50" w:after="50" w:line="360" w:lineRule="auto"/>
        <w:ind w:left="142"/>
        <w:jc w:val="left"/>
        <w:rPr>
          <w:rFonts w:ascii="宋体" w:hAnsi="宋体"/>
          <w:color w:val="auto"/>
          <w:sz w:val="24"/>
          <w:szCs w:val="20"/>
          <w:highlight w:val="none"/>
        </w:rPr>
      </w:pPr>
      <w:r>
        <w:rPr>
          <w:rFonts w:hint="eastAsia" w:ascii="宋体" w:hAnsi="宋体"/>
          <w:b/>
          <w:color w:val="auto"/>
          <w:sz w:val="24"/>
          <w:highlight w:val="none"/>
        </w:rPr>
        <w:t xml:space="preserve">1. 报价文件封面格式： </w:t>
      </w:r>
    </w:p>
    <w:p>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20" w:beforeLines="50" w:after="50" w:line="400" w:lineRule="exact"/>
        <w:jc w:val="center"/>
        <w:rPr>
          <w:rFonts w:ascii="宋体" w:hAnsi="宋体"/>
          <w:bCs/>
          <w:color w:val="auto"/>
          <w:sz w:val="24"/>
          <w:szCs w:val="20"/>
          <w:highlight w:val="none"/>
        </w:rPr>
      </w:pPr>
    </w:p>
    <w:p>
      <w:pPr>
        <w:snapToGrid w:val="0"/>
        <w:spacing w:before="120"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pStyle w:val="8"/>
        <w:snapToGrid w:val="0"/>
        <w:spacing w:before="50" w:after="50" w:line="400" w:lineRule="exact"/>
        <w:ind w:firstLine="960" w:firstLineChars="400"/>
        <w:rPr>
          <w:rFonts w:ascii="宋体" w:hAnsi="宋体"/>
          <w:bCs/>
          <w:color w:val="auto"/>
          <w:sz w:val="24"/>
          <w:szCs w:val="24"/>
          <w:highlight w:val="none"/>
        </w:rPr>
      </w:pPr>
    </w:p>
    <w:p>
      <w:pPr>
        <w:snapToGrid w:val="0"/>
        <w:spacing w:before="120" w:beforeLines="50" w:after="50" w:line="400" w:lineRule="exact"/>
        <w:rPr>
          <w:rFonts w:ascii="宋体" w:hAnsi="宋体"/>
          <w:color w:val="auto"/>
          <w:sz w:val="30"/>
          <w:szCs w:val="20"/>
          <w:highlight w:val="none"/>
        </w:rPr>
      </w:pPr>
      <w:r>
        <w:rPr>
          <w:rFonts w:hint="eastAsia" w:ascii="宋体" w:hAnsi="宋体"/>
          <w:color w:val="auto"/>
          <w:sz w:val="24"/>
          <w:highlight w:val="none"/>
        </w:rPr>
        <w:t xml:space="preserve">                                   年  月  日</w:t>
      </w:r>
    </w:p>
    <w:p>
      <w:pPr>
        <w:snapToGrid w:val="0"/>
        <w:spacing w:before="120" w:beforeLines="50" w:after="50" w:line="360" w:lineRule="auto"/>
        <w:jc w:val="left"/>
        <w:rPr>
          <w:rFonts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 投标函格式：</w:t>
      </w:r>
    </w:p>
    <w:p>
      <w:pPr>
        <w:snapToGrid w:val="0"/>
        <w:spacing w:before="120" w:beforeLines="50" w:after="50" w:line="320" w:lineRule="exact"/>
        <w:jc w:val="center"/>
        <w:rPr>
          <w:rFonts w:ascii="宋体" w:hAnsi="宋体"/>
          <w:b/>
          <w:color w:val="auto"/>
          <w:sz w:val="32"/>
          <w:szCs w:val="32"/>
          <w:highlight w:val="none"/>
        </w:rPr>
      </w:pPr>
      <w:r>
        <w:rPr>
          <w:rFonts w:hint="eastAsia" w:ascii="宋体" w:hAnsi="宋体"/>
          <w:b/>
          <w:color w:val="auto"/>
          <w:sz w:val="32"/>
          <w:szCs w:val="32"/>
          <w:highlight w:val="none"/>
        </w:rPr>
        <w:t>投 标 函</w:t>
      </w: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ascii="宋体" w:hAnsi="宋体"/>
          <w:b/>
          <w:color w:val="auto"/>
          <w:sz w:val="24"/>
          <w:szCs w:val="20"/>
          <w:highlight w:val="none"/>
        </w:rPr>
      </w:pPr>
    </w:p>
    <w:p>
      <w:pPr>
        <w:snapToGrid w:val="0"/>
        <w:spacing w:before="120" w:beforeLines="50" w:after="50" w:line="320" w:lineRule="exact"/>
        <w:jc w:val="center"/>
        <w:rPr>
          <w:rFonts w:ascii="宋体" w:hAnsi="宋体"/>
          <w:b/>
          <w:color w:val="auto"/>
          <w:sz w:val="24"/>
          <w:szCs w:val="20"/>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 xml:space="preserve"> 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据此函，我方宣布同意如下：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9.与本投标有关的一切正式往来信函请寄：</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银行帐号：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360" w:lineRule="auto"/>
        <w:ind w:firstLine="480" w:firstLineChars="200"/>
        <w:jc w:val="left"/>
        <w:rPr>
          <w:rFonts w:ascii="宋体" w:hAnsi="宋体"/>
          <w:color w:val="auto"/>
          <w:sz w:val="24"/>
          <w:highlight w:val="none"/>
        </w:rPr>
      </w:pP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pPr>
        <w:pStyle w:val="23"/>
        <w:snapToGrid w:val="0"/>
        <w:spacing w:before="295" w:after="295" w:line="360" w:lineRule="auto"/>
        <w:jc w:val="center"/>
        <w:rPr>
          <w:rFonts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pPr>
        <w:pStyle w:val="23"/>
        <w:snapToGrid w:val="0"/>
        <w:spacing w:before="295" w:after="295" w:line="360" w:lineRule="auto"/>
        <w:rPr>
          <w:rFonts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snapToGrid w:val="0"/>
        <w:spacing w:before="120" w:beforeLines="50" w:after="50"/>
        <w:jc w:val="left"/>
        <w:rPr>
          <w:rFonts w:ascii="宋体" w:hAnsi="宋体"/>
          <w:b/>
          <w:color w:val="auto"/>
          <w:sz w:val="24"/>
          <w:szCs w:val="20"/>
          <w:highlight w:val="none"/>
        </w:rPr>
      </w:pPr>
      <w:r>
        <w:rPr>
          <w:rFonts w:hAnsi="宋体"/>
          <w:color w:val="auto"/>
          <w:highlight w:val="none"/>
          <w:u w:val="single"/>
        </w:rPr>
        <w:br w:type="page"/>
      </w:r>
      <w:r>
        <w:rPr>
          <w:rFonts w:hint="eastAsia" w:ascii="宋体" w:hAnsi="宋体"/>
          <w:b/>
          <w:color w:val="auto"/>
          <w:sz w:val="24"/>
          <w:highlight w:val="none"/>
        </w:rPr>
        <w:t>4. 开标一览表（服务类格式）</w:t>
      </w:r>
    </w:p>
    <w:p>
      <w:pPr>
        <w:snapToGrid w:val="0"/>
        <w:spacing w:before="50" w:after="50"/>
        <w:jc w:val="center"/>
        <w:rPr>
          <w:rFonts w:ascii="宋体" w:hAnsi="宋体"/>
          <w:b/>
          <w:color w:val="auto"/>
          <w:sz w:val="30"/>
          <w:highlight w:val="none"/>
        </w:rPr>
      </w:pPr>
      <w:r>
        <w:rPr>
          <w:rFonts w:hint="eastAsia" w:ascii="宋体" w:hAnsi="宋体"/>
          <w:b/>
          <w:color w:val="auto"/>
          <w:sz w:val="30"/>
          <w:highlight w:val="none"/>
        </w:rPr>
        <w:t>开标一览表</w:t>
      </w:r>
    </w:p>
    <w:p>
      <w:pPr>
        <w:snapToGrid w:val="0"/>
        <w:spacing w:before="50" w:after="50"/>
        <w:jc w:val="center"/>
        <w:rPr>
          <w:rFonts w:ascii="宋体" w:hAnsi="宋体"/>
          <w:b/>
          <w:color w:val="auto"/>
          <w:sz w:val="30"/>
          <w:szCs w:val="20"/>
          <w:highlight w:val="none"/>
        </w:rPr>
      </w:pPr>
    </w:p>
    <w:p>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分标：</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2176"/>
        <w:gridCol w:w="752"/>
        <w:gridCol w:w="4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 w:val="24"/>
                <w:highlight w:val="none"/>
              </w:rPr>
            </w:pPr>
            <w:r>
              <w:rPr>
                <w:rFonts w:hint="eastAsia" w:ascii="宋体" w:hAnsi="宋体" w:cs="仿宋_GB2312"/>
                <w:color w:val="auto"/>
                <w:sz w:val="24"/>
                <w:highlight w:val="none"/>
              </w:rPr>
              <w:t xml:space="preserve">                                           </w:t>
            </w:r>
            <w:r>
              <w:rPr>
                <w:rFonts w:hint="eastAsia" w:ascii="宋体" w:hAnsi="宋体"/>
                <w:b/>
                <w:color w:val="auto"/>
                <w:sz w:val="24"/>
                <w:highlight w:val="none"/>
              </w:rPr>
              <w:t>项号</w:t>
            </w:r>
          </w:p>
        </w:tc>
        <w:tc>
          <w:tcPr>
            <w:tcW w:w="127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 w:val="24"/>
                <w:highlight w:val="none"/>
              </w:rPr>
            </w:pPr>
            <w:r>
              <w:rPr>
                <w:rFonts w:hint="eastAsia" w:ascii="宋体" w:hAnsi="宋体"/>
                <w:b/>
                <w:color w:val="auto"/>
                <w:sz w:val="24"/>
                <w:highlight w:val="none"/>
              </w:rPr>
              <w:t>服务项目</w:t>
            </w: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281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 w:val="24"/>
                <w:highlight w:val="none"/>
              </w:rPr>
            </w:pPr>
            <w:r>
              <w:rPr>
                <w:rFonts w:hint="eastAsia" w:ascii="宋体" w:hAnsi="宋体"/>
                <w:b/>
                <w:color w:val="auto"/>
                <w:sz w:val="24"/>
                <w:highlight w:val="none"/>
              </w:rPr>
              <w:t>投标总报价（元）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47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 w:val="24"/>
                <w:highlight w:val="none"/>
              </w:rPr>
            </w:pPr>
            <w:r>
              <w:rPr>
                <w:rFonts w:hint="eastAsia" w:ascii="宋体" w:hAnsi="宋体"/>
                <w:color w:val="auto"/>
                <w:sz w:val="24"/>
                <w:highlight w:val="none"/>
              </w:rPr>
              <w:t>1</w:t>
            </w:r>
          </w:p>
        </w:tc>
        <w:tc>
          <w:tcPr>
            <w:tcW w:w="127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 w:val="24"/>
                <w:highlight w:val="none"/>
              </w:rPr>
            </w:pPr>
          </w:p>
        </w:tc>
        <w:tc>
          <w:tcPr>
            <w:tcW w:w="44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 w:val="24"/>
                <w:highlight w:val="none"/>
              </w:rPr>
            </w:pPr>
            <w:r>
              <w:rPr>
                <w:rFonts w:hint="eastAsia" w:ascii="宋体" w:hAnsi="宋体"/>
                <w:color w:val="auto"/>
                <w:sz w:val="24"/>
                <w:highlight w:val="none"/>
              </w:rPr>
              <w:t>1项</w:t>
            </w:r>
          </w:p>
        </w:tc>
        <w:tc>
          <w:tcPr>
            <w:tcW w:w="2810"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 w:val="24"/>
                <w:highlight w:val="none"/>
              </w:rPr>
            </w:pPr>
            <w:r>
              <w:rPr>
                <w:rFonts w:hint="eastAsia" w:ascii="宋体" w:hAnsi="宋体"/>
                <w:color w:val="auto"/>
                <w:sz w:val="24"/>
                <w:highlight w:val="none"/>
              </w:rPr>
              <w:t>人民币金额大写：</w:t>
            </w:r>
            <w:r>
              <w:rPr>
                <w:rFonts w:hint="eastAsia" w:ascii="宋体" w:hAnsi="宋体"/>
                <w:color w:val="auto"/>
                <w:sz w:val="24"/>
                <w:highlight w:val="none"/>
                <w:u w:val="single"/>
              </w:rPr>
              <w:t xml:space="preserve">             </w:t>
            </w:r>
            <w:r>
              <w:rPr>
                <w:rFonts w:hint="eastAsia" w:ascii="宋体" w:hAnsi="宋体"/>
                <w:color w:val="auto"/>
                <w:spacing w:val="20"/>
                <w:sz w:val="24"/>
                <w:highlight w:val="none"/>
                <w:u w:val="single"/>
              </w:rPr>
              <w:t>（¥     ）</w:t>
            </w:r>
          </w:p>
        </w:tc>
      </w:tr>
    </w:tbl>
    <w:p>
      <w:pPr>
        <w:spacing w:line="400" w:lineRule="exact"/>
        <w:rPr>
          <w:rFonts w:ascii="宋体" w:hAnsi="宋体"/>
          <w:color w:val="auto"/>
          <w:szCs w:val="21"/>
          <w:highlight w:val="none"/>
        </w:rPr>
      </w:pPr>
    </w:p>
    <w:p>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 xml:space="preserve">注: </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否则其投标作无效标处理</w:t>
      </w:r>
      <w:r>
        <w:rPr>
          <w:rFonts w:hint="eastAsia" w:ascii="宋体" w:hAnsi="宋体"/>
          <w:color w:val="auto"/>
          <w:sz w:val="24"/>
          <w:highlight w:val="none"/>
        </w:rPr>
        <w:t>。</w:t>
      </w:r>
    </w:p>
    <w:p>
      <w:pPr>
        <w:snapToGrid w:val="0"/>
        <w:spacing w:line="360" w:lineRule="auto"/>
        <w:ind w:firstLine="480" w:firstLineChars="200"/>
        <w:jc w:val="left"/>
        <w:rPr>
          <w:rFonts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，否则其投标作无效标处理。</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3.招标文件中列明采购专用耗材的，应按招标文件规定的耗材量或者按耗材的常规试用量提供报价。</w:t>
      </w:r>
    </w:p>
    <w:p>
      <w:pPr>
        <w:snapToGrid w:val="0"/>
        <w:spacing w:line="360" w:lineRule="auto"/>
        <w:ind w:firstLine="480" w:firstLineChars="200"/>
        <w:rPr>
          <w:rFonts w:ascii="宋体" w:hAnsi="宋体"/>
          <w:b/>
          <w:color w:val="auto"/>
          <w:sz w:val="24"/>
          <w:highlight w:val="none"/>
        </w:rPr>
      </w:pPr>
      <w:r>
        <w:rPr>
          <w:rFonts w:ascii="宋体" w:hAnsi="宋体"/>
          <w:color w:val="auto"/>
          <w:sz w:val="24"/>
          <w:highlight w:val="none"/>
        </w:rPr>
        <w:t>4</w:t>
      </w:r>
      <w:r>
        <w:rPr>
          <w:rFonts w:hint="eastAsia" w:ascii="宋体" w:hAnsi="宋体"/>
          <w:color w:val="auto"/>
          <w:sz w:val="24"/>
          <w:highlight w:val="none"/>
        </w:rPr>
        <w:t>.如有多分标，按分标分别提供开标一览表</w:t>
      </w:r>
      <w:r>
        <w:rPr>
          <w:rFonts w:hint="eastAsia" w:ascii="宋体" w:hAnsi="宋体"/>
          <w:b/>
          <w:color w:val="auto"/>
          <w:sz w:val="24"/>
          <w:highlight w:val="none"/>
        </w:rPr>
        <w:t>。</w:t>
      </w:r>
    </w:p>
    <w:p>
      <w:pPr>
        <w:snapToGrid w:val="0"/>
        <w:spacing w:line="360" w:lineRule="auto"/>
        <w:ind w:firstLine="482" w:firstLineChars="200"/>
        <w:rPr>
          <w:rFonts w:ascii="宋体" w:hAnsi="宋体"/>
          <w:b/>
          <w:color w:val="auto"/>
          <w:sz w:val="24"/>
          <w:highlight w:val="none"/>
        </w:rPr>
      </w:pPr>
    </w:p>
    <w:p>
      <w:pPr>
        <w:snapToGrid w:val="0"/>
        <w:spacing w:line="360" w:lineRule="auto"/>
        <w:ind w:left="-2" w:leftChars="-1" w:right="-817" w:rightChars="-389"/>
        <w:rPr>
          <w:rFonts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日期：    年   月   日</w:t>
      </w:r>
    </w:p>
    <w:p>
      <w:pPr>
        <w:pStyle w:val="23"/>
        <w:snapToGrid w:val="0"/>
        <w:spacing w:before="295" w:after="295"/>
        <w:jc w:val="center"/>
        <w:rPr>
          <w:b/>
          <w:color w:val="auto"/>
          <w:sz w:val="28"/>
          <w:szCs w:val="28"/>
          <w:highlight w:val="none"/>
        </w:rPr>
      </w:pPr>
      <w:r>
        <w:rPr>
          <w:rFonts w:hAnsi="宋体"/>
          <w:color w:val="auto"/>
          <w:sz w:val="24"/>
          <w:highlight w:val="none"/>
        </w:rPr>
        <w:br w:type="page"/>
      </w:r>
      <w:bookmarkStart w:id="153" w:name="_Toc19686837"/>
    </w:p>
    <w:p>
      <w:pPr>
        <w:rPr>
          <w:b/>
          <w:color w:val="auto"/>
          <w:sz w:val="28"/>
          <w:szCs w:val="28"/>
          <w:highlight w:val="none"/>
        </w:rPr>
      </w:pPr>
      <w:r>
        <w:rPr>
          <w:rFonts w:hint="eastAsia"/>
          <w:b/>
          <w:color w:val="auto"/>
          <w:sz w:val="28"/>
          <w:szCs w:val="28"/>
          <w:highlight w:val="none"/>
        </w:rPr>
        <w:t>二、资格证明文件格式</w:t>
      </w:r>
      <w:bookmarkEnd w:id="151"/>
      <w:bookmarkEnd w:id="152"/>
      <w:bookmarkEnd w:id="153"/>
    </w:p>
    <w:p>
      <w:pPr>
        <w:numPr>
          <w:ilvl w:val="2"/>
          <w:numId w:val="5"/>
        </w:numPr>
        <w:snapToGrid w:val="0"/>
        <w:spacing w:before="120" w:beforeLines="50" w:after="50" w:line="360" w:lineRule="auto"/>
        <w:ind w:left="0" w:firstLine="0"/>
        <w:jc w:val="left"/>
        <w:rPr>
          <w:rFonts w:ascii="宋体" w:hAnsi="宋体"/>
          <w:b/>
          <w:color w:val="auto"/>
          <w:sz w:val="24"/>
          <w:highlight w:val="none"/>
        </w:rPr>
      </w:pPr>
      <w:r>
        <w:rPr>
          <w:rFonts w:hint="eastAsia" w:ascii="宋体" w:hAnsi="宋体"/>
          <w:b/>
          <w:color w:val="auto"/>
          <w:sz w:val="24"/>
          <w:highlight w:val="none"/>
        </w:rPr>
        <w:t xml:space="preserve">资格证明文件封面格式： </w:t>
      </w:r>
    </w:p>
    <w:p>
      <w:pPr>
        <w:snapToGrid w:val="0"/>
        <w:spacing w:before="120" w:beforeLines="50" w:after="50"/>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rPr>
          <w:rFonts w:ascii="宋体" w:hAnsi="宋体"/>
          <w:color w:val="auto"/>
          <w:sz w:val="24"/>
          <w:szCs w:val="20"/>
          <w:highlight w:val="none"/>
        </w:rPr>
      </w:pPr>
      <w:r>
        <w:rPr>
          <w:rFonts w:hint="eastAsia" w:ascii="宋体" w:hAnsi="宋体"/>
          <w:color w:val="auto"/>
          <w:sz w:val="24"/>
          <w:highlight w:val="none"/>
        </w:rPr>
        <w:t xml:space="preserve">                 </w:t>
      </w: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before="120" w:beforeLines="50" w:after="50"/>
        <w:rPr>
          <w:rFonts w:ascii="宋体" w:hAnsi="宋体"/>
          <w:color w:val="auto"/>
          <w:sz w:val="24"/>
          <w:szCs w:val="20"/>
          <w:highlight w:val="none"/>
        </w:rPr>
      </w:pPr>
    </w:p>
    <w:p>
      <w:pPr>
        <w:numPr>
          <w:ilvl w:val="2"/>
          <w:numId w:val="5"/>
        </w:numPr>
        <w:snapToGrid w:val="0"/>
        <w:spacing w:before="120" w:beforeLines="50" w:after="50" w:line="360" w:lineRule="auto"/>
        <w:ind w:left="0" w:firstLine="0"/>
        <w:jc w:val="left"/>
        <w:rPr>
          <w:rFonts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rPr>
        <w:t>资格证明文件目录</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sz w:val="24"/>
          <w:highlight w:val="none"/>
        </w:rPr>
      </w:pPr>
    </w:p>
    <w:p>
      <w:pPr>
        <w:snapToGrid w:val="0"/>
        <w:spacing w:before="50" w:after="120" w:afterLines="50"/>
        <w:jc w:val="left"/>
        <w:rPr>
          <w:rFonts w:ascii="宋体" w:hAnsi="宋体"/>
          <w:color w:val="auto"/>
          <w:sz w:val="24"/>
          <w:highlight w:val="none"/>
        </w:rPr>
      </w:pPr>
    </w:p>
    <w:p>
      <w:pPr>
        <w:numPr>
          <w:ilvl w:val="2"/>
          <w:numId w:val="5"/>
        </w:numPr>
        <w:snapToGrid w:val="0"/>
        <w:spacing w:before="120" w:beforeLines="50" w:after="50"/>
        <w:ind w:left="0" w:firstLine="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8"/>
          <w:szCs w:val="28"/>
          <w:highlight w:val="none"/>
        </w:rPr>
        <w:t>投标人直接控股、管理关系信息表</w:t>
      </w:r>
    </w:p>
    <w:p>
      <w:pPr>
        <w:snapToGrid w:val="0"/>
        <w:spacing w:before="50" w:after="120" w:afterLines="50"/>
        <w:jc w:val="center"/>
        <w:rPr>
          <w:rFonts w:ascii="宋体" w:hAnsi="宋体"/>
          <w:b/>
          <w:color w:val="auto"/>
          <w:sz w:val="28"/>
          <w:szCs w:val="28"/>
          <w:highlight w:val="none"/>
        </w:rPr>
      </w:pPr>
    </w:p>
    <w:p>
      <w:pPr>
        <w:snapToGrid w:val="0"/>
        <w:spacing w:before="50" w:after="120" w:afterLines="50"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45"/>
        <w:tblW w:w="5000" w:type="pct"/>
        <w:tblInd w:w="0" w:type="dxa"/>
        <w:shd w:val="clear" w:color="auto" w:fill="FBFBFB"/>
        <w:tblLayout w:type="autofit"/>
        <w:tblCellMar>
          <w:top w:w="0" w:type="dxa"/>
          <w:left w:w="0" w:type="dxa"/>
          <w:bottom w:w="0" w:type="dxa"/>
          <w:right w:w="0" w:type="dxa"/>
        </w:tblCellMar>
      </w:tblPr>
      <w:tblGrid>
        <w:gridCol w:w="747"/>
        <w:gridCol w:w="2280"/>
        <w:gridCol w:w="1249"/>
        <w:gridCol w:w="2996"/>
        <w:gridCol w:w="1280"/>
      </w:tblGrid>
      <w:tr>
        <w:tblPrEx>
          <w:shd w:val="clear" w:color="auto" w:fill="FBFBFB"/>
          <w:tblCellMar>
            <w:top w:w="0" w:type="dxa"/>
            <w:left w:w="0" w:type="dxa"/>
            <w:bottom w:w="0" w:type="dxa"/>
            <w:right w:w="0" w:type="dxa"/>
          </w:tblCellMar>
        </w:tblPrEx>
        <w:trPr>
          <w:tblHeader/>
        </w:trPr>
        <w:tc>
          <w:tcPr>
            <w:tcW w:w="437"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33"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730"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1751"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48"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75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4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75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4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75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4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43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3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30"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75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748"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jc w:val="left"/>
        <w:rPr>
          <w:rFonts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line="360" w:lineRule="auto"/>
        <w:ind w:right="480" w:firstLine="6465" w:firstLineChars="2300"/>
        <w:rPr>
          <w:rFonts w:ascii="宋体" w:hAnsi="宋体"/>
          <w:b/>
          <w:color w:val="auto"/>
          <w:sz w:val="28"/>
          <w:szCs w:val="28"/>
          <w:highlight w:val="none"/>
        </w:rPr>
      </w:pPr>
      <w:r>
        <w:rPr>
          <w:rFonts w:ascii="宋体" w:hAnsi="宋体"/>
          <w:b/>
          <w:color w:val="auto"/>
          <w:sz w:val="28"/>
          <w:szCs w:val="28"/>
          <w:highlight w:val="none"/>
        </w:rPr>
        <w:br w:type="page"/>
      </w: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45"/>
        <w:tblW w:w="5000" w:type="pct"/>
        <w:tblInd w:w="0" w:type="dxa"/>
        <w:shd w:val="clear" w:color="auto" w:fill="FBFBFB"/>
        <w:tblLayout w:type="autofit"/>
        <w:tblCellMar>
          <w:top w:w="0" w:type="dxa"/>
          <w:left w:w="0" w:type="dxa"/>
          <w:bottom w:w="0" w:type="dxa"/>
          <w:right w:w="0" w:type="dxa"/>
        </w:tblCellMar>
      </w:tblPr>
      <w:tblGrid>
        <w:gridCol w:w="891"/>
        <w:gridCol w:w="2355"/>
        <w:gridCol w:w="3477"/>
        <w:gridCol w:w="1829"/>
      </w:tblGrid>
      <w:tr>
        <w:tblPrEx>
          <w:tblCellMar>
            <w:top w:w="0" w:type="dxa"/>
            <w:left w:w="0" w:type="dxa"/>
            <w:bottom w:w="0" w:type="dxa"/>
            <w:right w:w="0" w:type="dxa"/>
          </w:tblCellMar>
        </w:tblPrEx>
        <w:trPr>
          <w:tblHeader/>
        </w:trPr>
        <w:tc>
          <w:tcPr>
            <w:tcW w:w="521"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c>
          <w:tcPr>
            <w:tcW w:w="521"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377"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33"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069" w:type="pct"/>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pPr>
        <w:snapToGrid w:val="0"/>
        <w:spacing w:line="360" w:lineRule="auto"/>
        <w:ind w:firstLine="480" w:firstLineChars="200"/>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ind w:left="-2" w:leftChars="-1" w:right="-817" w:rightChars="-389" w:firstLine="1920" w:firstLineChars="800"/>
        <w:rPr>
          <w:rFonts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pPr>
        <w:snapToGrid w:val="0"/>
        <w:spacing w:line="360" w:lineRule="auto"/>
        <w:ind w:left="-3" w:leftChars="-15" w:right="-817" w:rightChars="-389" w:hanging="28" w:hangingChars="12"/>
        <w:rPr>
          <w:rFonts w:ascii="宋体" w:hAnsi="宋体"/>
          <w:color w:val="auto"/>
          <w:sz w:val="24"/>
          <w:highlight w:val="none"/>
        </w:rPr>
      </w:pPr>
      <w:r>
        <w:rPr>
          <w:rFonts w:hint="eastAsia" w:ascii="宋体" w:hAnsi="宋体"/>
          <w:color w:val="auto"/>
          <w:sz w:val="24"/>
          <w:highlight w:val="none"/>
        </w:rPr>
        <w:t xml:space="preserve">                                  投标人名称（电子签章）：</w:t>
      </w:r>
    </w:p>
    <w:p>
      <w:pPr>
        <w:snapToGrid w:val="0"/>
        <w:spacing w:line="360" w:lineRule="auto"/>
        <w:ind w:right="480" w:firstLine="240" w:firstLineChars="100"/>
        <w:jc w:val="left"/>
        <w:rPr>
          <w:rFonts w:ascii="宋体" w:hAnsi="宋体"/>
          <w:color w:val="auto"/>
          <w:szCs w:val="21"/>
          <w:highlight w:val="none"/>
        </w:rPr>
      </w:pPr>
      <w:r>
        <w:rPr>
          <w:rFonts w:hint="eastAsia" w:ascii="宋体" w:hAnsi="宋体"/>
          <w:color w:val="auto"/>
          <w:sz w:val="24"/>
          <w:highlight w:val="none"/>
        </w:rPr>
        <w:t xml:space="preserve">                                日期：    年   月   日</w:t>
      </w:r>
    </w:p>
    <w:p>
      <w:pPr>
        <w:snapToGrid w:val="0"/>
        <w:spacing w:before="120" w:beforeLines="50" w:after="50" w:line="360" w:lineRule="auto"/>
        <w:ind w:right="480" w:firstLine="240" w:firstLineChars="100"/>
        <w:jc w:val="right"/>
        <w:rPr>
          <w:rFonts w:ascii="宋体" w:hAnsi="宋体"/>
          <w:color w:val="auto"/>
          <w:sz w:val="24"/>
          <w:highlight w:val="none"/>
        </w:rPr>
      </w:pPr>
    </w:p>
    <w:p>
      <w:pPr>
        <w:snapToGrid w:val="0"/>
        <w:spacing w:before="120" w:beforeLines="50" w:after="50"/>
        <w:jc w:val="left"/>
        <w:rPr>
          <w:rFonts w:ascii="宋体" w:hAnsi="宋体"/>
          <w:b/>
          <w:color w:val="auto"/>
          <w:sz w:val="24"/>
          <w:szCs w:val="20"/>
          <w:highlight w:val="none"/>
        </w:rPr>
      </w:pPr>
    </w:p>
    <w:p>
      <w:pPr>
        <w:numPr>
          <w:ilvl w:val="-1"/>
          <w:numId w:val="0"/>
        </w:numPr>
        <w:snapToGrid/>
        <w:spacing w:before="0" w:beforeLines="-2147483648" w:after="0"/>
        <w:ind w:left="0" w:firstLine="0"/>
        <w:jc w:val="left"/>
        <w:rPr>
          <w:rFonts w:ascii="宋体" w:hAnsi="宋体"/>
          <w:b/>
          <w:color w:val="auto"/>
          <w:sz w:val="24"/>
          <w:szCs w:val="20"/>
          <w:highlight w:val="none"/>
        </w:rPr>
      </w:pPr>
      <w:r>
        <w:rPr>
          <w:rFonts w:hint="eastAsia" w:ascii="宋体" w:hAnsi="宋体"/>
          <w:b/>
          <w:color w:val="auto"/>
          <w:sz w:val="24"/>
          <w:highlight w:val="none"/>
        </w:rPr>
        <w:br w:type="page"/>
      </w:r>
    </w:p>
    <w:p>
      <w:pPr>
        <w:numPr>
          <w:ilvl w:val="2"/>
          <w:numId w:val="5"/>
        </w:numPr>
        <w:snapToGrid w:val="0"/>
        <w:spacing w:before="120" w:beforeLines="50" w:after="50"/>
        <w:ind w:left="0" w:firstLine="0"/>
        <w:jc w:val="left"/>
        <w:rPr>
          <w:rFonts w:ascii="宋体" w:hAnsi="宋体"/>
          <w:b/>
          <w:color w:val="auto"/>
          <w:sz w:val="24"/>
          <w:szCs w:val="20"/>
          <w:highlight w:val="none"/>
        </w:rPr>
      </w:pPr>
      <w:r>
        <w:rPr>
          <w:rFonts w:hint="eastAsia" w:ascii="宋体" w:hAnsi="宋体"/>
          <w:b/>
          <w:color w:val="auto"/>
          <w:sz w:val="24"/>
          <w:highlight w:val="none"/>
        </w:rPr>
        <w:t>投标声明</w:t>
      </w:r>
    </w:p>
    <w:p>
      <w:pPr>
        <w:snapToGrid w:val="0"/>
        <w:spacing w:before="50" w:after="120" w:afterLines="50"/>
        <w:jc w:val="left"/>
        <w:rPr>
          <w:rFonts w:ascii="宋体" w:hAnsi="宋体"/>
          <w:color w:val="auto"/>
          <w:highlight w:val="none"/>
        </w:rPr>
      </w:pPr>
    </w:p>
    <w:p>
      <w:pPr>
        <w:snapToGrid w:val="0"/>
        <w:spacing w:before="50" w:after="120" w:afterLines="50"/>
        <w:jc w:val="center"/>
        <w:rPr>
          <w:rFonts w:ascii="宋体" w:hAnsi="宋体"/>
          <w:b/>
          <w:color w:val="auto"/>
          <w:sz w:val="32"/>
          <w:szCs w:val="32"/>
          <w:highlight w:val="none"/>
        </w:rPr>
      </w:pPr>
      <w:r>
        <w:rPr>
          <w:rFonts w:hint="eastAsia" w:ascii="宋体" w:hAnsi="宋体"/>
          <w:b/>
          <w:color w:val="auto"/>
          <w:sz w:val="32"/>
          <w:szCs w:val="32"/>
          <w:highlight w:val="none"/>
        </w:rPr>
        <w:t>投标声明</w:t>
      </w:r>
    </w:p>
    <w:p>
      <w:pPr>
        <w:spacing w:line="400" w:lineRule="exact"/>
        <w:contextualSpacing/>
        <w:jc w:val="left"/>
        <w:rPr>
          <w:color w:val="auto"/>
          <w:sz w:val="24"/>
          <w:highlight w:val="none"/>
        </w:rPr>
      </w:pPr>
      <w:r>
        <w:rPr>
          <w:rFonts w:hint="eastAsia"/>
          <w:color w:val="auto"/>
          <w:sz w:val="24"/>
          <w:highlight w:val="none"/>
        </w:rPr>
        <w:t>（采购人名称）：</w:t>
      </w:r>
    </w:p>
    <w:p>
      <w:pPr>
        <w:spacing w:line="400" w:lineRule="exact"/>
        <w:ind w:firstLine="523" w:firstLineChars="218"/>
        <w:contextualSpacing/>
        <w:jc w:val="left"/>
        <w:rPr>
          <w:rFonts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（六）法律、行政法规规定的其他条件。</w:t>
      </w:r>
    </w:p>
    <w:p>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pPr>
        <w:spacing w:line="400" w:lineRule="exact"/>
        <w:contextualSpacing/>
        <w:jc w:val="left"/>
        <w:rPr>
          <w:rFonts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pPr>
        <w:spacing w:line="400" w:lineRule="exact"/>
        <w:contextualSpacing/>
        <w:jc w:val="left"/>
        <w:rPr>
          <w:rFonts w:ascii="宋体" w:hAnsi="宋体"/>
          <w:color w:val="auto"/>
          <w:highlight w:val="none"/>
        </w:rPr>
      </w:pPr>
      <w:r>
        <w:rPr>
          <w:rFonts w:hint="eastAsia" w:ascii="宋体" w:hAnsi="宋体"/>
          <w:color w:val="auto"/>
          <w:sz w:val="24"/>
          <w:highlight w:val="none"/>
        </w:rPr>
        <w:t xml:space="preserve">                                                  年    月    日</w:t>
      </w:r>
    </w:p>
    <w:p>
      <w:pPr>
        <w:spacing w:line="400" w:lineRule="exact"/>
        <w:contextualSpacing/>
        <w:jc w:val="left"/>
        <w:rPr>
          <w:rFonts w:ascii="宋体" w:hAnsi="宋体"/>
          <w:color w:val="auto"/>
          <w:sz w:val="24"/>
          <w:highlight w:val="none"/>
        </w:rPr>
      </w:pPr>
    </w:p>
    <w:p>
      <w:pPr>
        <w:spacing w:line="400" w:lineRule="exact"/>
        <w:contextualSpacing/>
        <w:jc w:val="left"/>
        <w:rPr>
          <w:rFonts w:ascii="宋体" w:hAnsi="宋体"/>
          <w:color w:val="auto"/>
          <w:sz w:val="24"/>
          <w:highlight w:val="none"/>
        </w:rPr>
      </w:pPr>
    </w:p>
    <w:p>
      <w:pPr>
        <w:spacing w:line="400" w:lineRule="exact"/>
        <w:contextualSpacing/>
        <w:jc w:val="left"/>
        <w:rPr>
          <w:rFonts w:ascii="宋体" w:hAnsi="宋体"/>
          <w:color w:val="auto"/>
          <w:sz w:val="24"/>
          <w:highlight w:val="none"/>
        </w:rPr>
      </w:pPr>
      <w:r>
        <w:rPr>
          <w:rFonts w:ascii="宋体" w:hAnsi="宋体"/>
          <w:color w:val="auto"/>
          <w:sz w:val="24"/>
          <w:highlight w:val="none"/>
        </w:rPr>
        <w:br w:type="page"/>
      </w:r>
    </w:p>
    <w:p>
      <w:pPr>
        <w:rPr>
          <w:b/>
          <w:color w:val="auto"/>
          <w:sz w:val="28"/>
          <w:szCs w:val="28"/>
          <w:highlight w:val="none"/>
        </w:rPr>
      </w:pPr>
      <w:bookmarkStart w:id="154" w:name="_Toc19686838"/>
      <w:r>
        <w:rPr>
          <w:rFonts w:hint="eastAsia"/>
          <w:b/>
          <w:color w:val="auto"/>
          <w:sz w:val="28"/>
          <w:szCs w:val="28"/>
          <w:highlight w:val="none"/>
        </w:rPr>
        <w:t>三、商务文件格式</w:t>
      </w:r>
      <w:bookmarkEnd w:id="154"/>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24"/>
          <w:highlight w:val="none"/>
        </w:rPr>
        <w:t xml:space="preserve">1.商务文件封面格式： </w:t>
      </w:r>
    </w:p>
    <w:p>
      <w:pPr>
        <w:snapToGrid w:val="0"/>
        <w:spacing w:before="120" w:beforeLines="50" w:after="50"/>
        <w:jc w:val="center"/>
        <w:rPr>
          <w:rFonts w:ascii="宋体" w:hAnsi="宋体"/>
          <w:color w:val="auto"/>
          <w:sz w:val="24"/>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rPr>
          <w:rFonts w:ascii="宋体" w:hAnsi="宋体"/>
          <w:color w:val="auto"/>
          <w:sz w:val="24"/>
          <w:szCs w:val="20"/>
          <w:highlight w:val="none"/>
        </w:rPr>
      </w:pPr>
      <w:r>
        <w:rPr>
          <w:rFonts w:hint="eastAsia" w:ascii="宋体" w:hAnsi="宋体"/>
          <w:color w:val="auto"/>
          <w:sz w:val="24"/>
          <w:highlight w:val="none"/>
        </w:rPr>
        <w:t xml:space="preserve">                </w:t>
      </w:r>
    </w:p>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w:t>
      </w:r>
    </w:p>
    <w:p>
      <w:pPr>
        <w:snapToGrid w:val="0"/>
        <w:spacing w:before="120" w:beforeLines="50" w:after="50"/>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pPr>
        <w:snapToGrid w:val="0"/>
        <w:spacing w:before="120" w:beforeLines="50" w:after="50"/>
        <w:ind w:firstLine="540" w:firstLineChars="225"/>
        <w:rPr>
          <w:rFonts w:ascii="宋体" w:hAnsi="宋体"/>
          <w:bCs/>
          <w:color w:val="auto"/>
          <w:sz w:val="24"/>
          <w:szCs w:val="20"/>
          <w:highlight w:val="none"/>
        </w:rPr>
      </w:pP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pPr>
        <w:snapToGrid w:val="0"/>
        <w:spacing w:before="120"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ind w:firstLine="540" w:firstLineChars="225"/>
        <w:rPr>
          <w:rFonts w:ascii="宋体" w:hAnsi="宋体"/>
          <w:bCs/>
          <w:color w:val="auto"/>
          <w:sz w:val="24"/>
          <w:szCs w:val="20"/>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pPr>
        <w:pStyle w:val="8"/>
        <w:snapToGrid w:val="0"/>
        <w:spacing w:before="50" w:after="50"/>
        <w:ind w:firstLine="540" w:firstLineChars="225"/>
        <w:rPr>
          <w:rFonts w:ascii="宋体" w:hAnsi="宋体"/>
          <w:bCs/>
          <w:color w:val="auto"/>
          <w:sz w:val="24"/>
          <w:szCs w:val="24"/>
          <w:highlight w:val="none"/>
        </w:rPr>
      </w:pPr>
    </w:p>
    <w:p>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pPr>
        <w:pStyle w:val="8"/>
        <w:snapToGrid w:val="0"/>
        <w:spacing w:before="50" w:after="50"/>
        <w:ind w:firstLine="960" w:firstLineChars="400"/>
        <w:rPr>
          <w:rFonts w:ascii="宋体" w:hAnsi="宋体"/>
          <w:bCs/>
          <w:color w:val="auto"/>
          <w:sz w:val="24"/>
          <w:szCs w:val="24"/>
          <w:highlight w:val="none"/>
        </w:rPr>
      </w:pPr>
    </w:p>
    <w:p>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napToGrid w:val="0"/>
        <w:spacing w:line="360" w:lineRule="auto"/>
        <w:jc w:val="left"/>
        <w:rPr>
          <w:rFonts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2.商务文件目录</w:t>
      </w:r>
    </w:p>
    <w:p>
      <w:pPr>
        <w:snapToGrid w:val="0"/>
        <w:spacing w:before="50" w:after="120" w:afterLines="50" w:line="360" w:lineRule="auto"/>
        <w:jc w:val="left"/>
        <w:rPr>
          <w:rFonts w:ascii="微软雅黑" w:hAnsi="微软雅黑" w:eastAsia="微软雅黑"/>
          <w:b/>
          <w:bCs/>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50" w:after="120" w:afterLines="50"/>
        <w:jc w:val="left"/>
        <w:rPr>
          <w:rFonts w:ascii="宋体" w:hAnsi="宋体"/>
          <w:color w:val="auto"/>
          <w:highlight w:val="none"/>
        </w:rPr>
      </w:pPr>
    </w:p>
    <w:p>
      <w:pPr>
        <w:snapToGrid w:val="0"/>
        <w:spacing w:before="120" w:beforeLines="50" w:after="50"/>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3.投标人参加本项目无围标串标行为的承诺</w:t>
      </w:r>
    </w:p>
    <w:p>
      <w:pPr>
        <w:snapToGrid w:val="0"/>
        <w:spacing w:before="120" w:beforeLines="50" w:after="50"/>
        <w:jc w:val="left"/>
        <w:rPr>
          <w:rFonts w:ascii="宋体" w:hAnsi="宋体"/>
          <w:b/>
          <w:color w:val="auto"/>
          <w:sz w:val="24"/>
          <w:highlight w:val="none"/>
        </w:rPr>
      </w:pPr>
    </w:p>
    <w:p>
      <w:pPr>
        <w:snapToGrid w:val="0"/>
        <w:spacing w:before="120" w:beforeLines="50" w:after="50"/>
        <w:ind w:left="420"/>
        <w:jc w:val="center"/>
        <w:rPr>
          <w:rFonts w:ascii="宋体" w:hAnsi="宋体"/>
          <w:b/>
          <w:color w:val="auto"/>
          <w:spacing w:val="-17"/>
          <w:sz w:val="32"/>
          <w:szCs w:val="32"/>
          <w:highlight w:val="none"/>
        </w:rPr>
      </w:pPr>
      <w:r>
        <w:rPr>
          <w:rFonts w:hint="eastAsia" w:ascii="方正小标宋简体" w:hAnsi="方正小标宋简体" w:eastAsia="方正小标宋简体" w:cs="方正小标宋简体"/>
          <w:bCs/>
          <w:color w:val="auto"/>
          <w:spacing w:val="-17"/>
          <w:sz w:val="44"/>
          <w:szCs w:val="44"/>
          <w:highlight w:val="none"/>
        </w:rPr>
        <w:t>投标人参加本项目无围标串标行为的承诺函</w:t>
      </w:r>
    </w:p>
    <w:p>
      <w:pPr>
        <w:snapToGrid w:val="0"/>
        <w:spacing w:before="120" w:beforeLines="50" w:after="50"/>
        <w:rPr>
          <w:rFonts w:ascii="宋体" w:hAnsi="宋体"/>
          <w:b/>
          <w:color w:val="auto"/>
          <w:sz w:val="24"/>
          <w:highlight w:val="none"/>
        </w:rPr>
      </w:pPr>
    </w:p>
    <w:p>
      <w:pPr>
        <w:spacing w:line="400" w:lineRule="exact"/>
        <w:contextualSpacing/>
        <w:jc w:val="left"/>
        <w:rPr>
          <w:rFonts w:ascii="宋体" w:hAnsi="宋体"/>
          <w:b/>
          <w:color w:val="auto"/>
          <w:sz w:val="24"/>
          <w:highlight w:val="none"/>
        </w:rPr>
      </w:pPr>
      <w:r>
        <w:rPr>
          <w:rFonts w:hint="eastAsia" w:ascii="宋体" w:hAnsi="宋体"/>
          <w:b/>
          <w:color w:val="auto"/>
          <w:sz w:val="24"/>
          <w:highlight w:val="none"/>
        </w:rPr>
        <w:t>一、我方承诺无下列相互串通投标的情形：</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 xml:space="preserve">1.不同投标人的投标文件由同一单位或者个人编制； </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2.不同投标人委托同一单位或者个人办理投标事宜；</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3.不同的投标人的投标文件载明的项目管理员为同一个人；</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5.不同投标人的投标文件相互混装；</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pPr>
        <w:spacing w:line="400" w:lineRule="exact"/>
        <w:contextualSpacing/>
        <w:jc w:val="left"/>
        <w:rPr>
          <w:rFonts w:ascii="宋体" w:hAnsi="宋体"/>
          <w:color w:val="auto"/>
          <w:sz w:val="24"/>
          <w:highlight w:val="none"/>
        </w:rPr>
      </w:pPr>
      <w:r>
        <w:rPr>
          <w:rFonts w:hint="eastAsia" w:ascii="宋体" w:hAnsi="宋体"/>
          <w:b/>
          <w:color w:val="auto"/>
          <w:sz w:val="24"/>
          <w:highlight w:val="none"/>
        </w:rPr>
        <w:t>二、我方承诺无下列恶意串通的情形：</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pPr>
        <w:spacing w:line="400" w:lineRule="exact"/>
        <w:ind w:firstLine="470" w:firstLineChars="196"/>
        <w:contextualSpacing/>
        <w:jc w:val="left"/>
        <w:rPr>
          <w:rFonts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pPr>
        <w:spacing w:line="400" w:lineRule="exact"/>
        <w:ind w:firstLine="472" w:firstLineChars="196"/>
        <w:contextualSpacing/>
        <w:jc w:val="left"/>
        <w:rPr>
          <w:rFonts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pPr>
        <w:pStyle w:val="23"/>
        <w:spacing w:line="400" w:lineRule="exact"/>
        <w:ind w:firstLine="6840" w:firstLineChars="2850"/>
        <w:contextualSpacing/>
        <w:rPr>
          <w:rFonts w:hAnsi="宋体"/>
          <w:color w:val="auto"/>
          <w:sz w:val="24"/>
          <w:szCs w:val="24"/>
          <w:highlight w:val="none"/>
        </w:rPr>
      </w:pPr>
    </w:p>
    <w:p>
      <w:pPr>
        <w:pStyle w:val="23"/>
        <w:spacing w:line="400" w:lineRule="exact"/>
        <w:contextualSpacing/>
        <w:jc w:val="center"/>
        <w:rPr>
          <w:rFonts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pPr>
        <w:pStyle w:val="23"/>
        <w:spacing w:line="400" w:lineRule="exact"/>
        <w:contextualSpacing/>
        <w:rPr>
          <w:rFonts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pPr>
        <w:snapToGrid w:val="0"/>
        <w:spacing w:before="120" w:beforeLines="50" w:after="50"/>
        <w:ind w:firstLine="472" w:firstLineChars="196"/>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4.法定代表人身份证明</w:t>
      </w:r>
    </w:p>
    <w:p>
      <w:pPr>
        <w:spacing w:before="240" w:beforeLines="100" w:after="120" w:afterLines="50"/>
        <w:ind w:left="540"/>
        <w:jc w:val="center"/>
        <w:rPr>
          <w:rFonts w:ascii="宋体" w:hAnsi="Courier New"/>
          <w:b/>
          <w:color w:val="auto"/>
          <w:sz w:val="32"/>
          <w:szCs w:val="32"/>
          <w:highlight w:val="none"/>
        </w:rPr>
      </w:pPr>
    </w:p>
    <w:p>
      <w:pPr>
        <w:spacing w:before="240" w:beforeLines="100" w:after="120" w:afterLines="50"/>
        <w:ind w:left="54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法定代表人身份证明</w:t>
      </w:r>
    </w:p>
    <w:p>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p>
    <w:p>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pPr>
        <w:spacing w:line="500" w:lineRule="exact"/>
        <w:ind w:left="540"/>
        <w:rPr>
          <w:rFonts w:ascii="宋体" w:hAnsi="宋体"/>
          <w:color w:val="auto"/>
          <w:sz w:val="24"/>
          <w:highlight w:val="none"/>
        </w:rPr>
      </w:pPr>
    </w:p>
    <w:p>
      <w:pPr>
        <w:spacing w:line="500" w:lineRule="exact"/>
        <w:ind w:left="540"/>
        <w:jc w:val="right"/>
        <w:rPr>
          <w:rFonts w:ascii="宋体" w:hAnsi="宋体"/>
          <w:color w:val="auto"/>
          <w:sz w:val="24"/>
          <w:highlight w:val="none"/>
        </w:rPr>
      </w:pPr>
      <w:r>
        <w:rPr>
          <w:rFonts w:hint="eastAsia" w:ascii="宋体" w:hAnsi="宋体"/>
          <w:color w:val="auto"/>
          <w:sz w:val="24"/>
          <w:highlight w:val="none"/>
        </w:rPr>
        <w:t>投标人名称（电子签章）</w:t>
      </w:r>
    </w:p>
    <w:p>
      <w:pPr>
        <w:snapToGrid w:val="0"/>
        <w:spacing w:before="120" w:beforeLines="50" w:after="50"/>
        <w:ind w:left="54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before="120" w:beforeLines="50" w:after="50"/>
        <w:jc w:val="center"/>
        <w:rPr>
          <w:rFonts w:ascii="宋体" w:hAnsi="宋体"/>
          <w:b/>
          <w:color w:val="auto"/>
          <w:sz w:val="24"/>
          <w:highlight w:val="none"/>
        </w:rPr>
      </w:pPr>
    </w:p>
    <w:p>
      <w:pPr>
        <w:snapToGrid w:val="0"/>
        <w:spacing w:before="120" w:beforeLines="50" w:after="50"/>
        <w:jc w:val="left"/>
        <w:rPr>
          <w:rFonts w:ascii="宋体" w:hAnsi="宋体"/>
          <w:b/>
          <w:color w:val="auto"/>
          <w:sz w:val="24"/>
          <w:szCs w:val="20"/>
          <w:highlight w:val="none"/>
        </w:rPr>
      </w:pPr>
      <w:r>
        <w:rPr>
          <w:rFonts w:hint="eastAsia" w:ascii="宋体" w:hAnsi="宋体"/>
          <w:color w:val="auto"/>
          <w:sz w:val="24"/>
          <w:highlight w:val="none"/>
        </w:rPr>
        <w:t>注：自然人投标的无需提供</w:t>
      </w:r>
    </w:p>
    <w:p>
      <w:pPr>
        <w:snapToGrid w:val="0"/>
        <w:spacing w:before="120" w:beforeLines="50" w:after="50"/>
        <w:jc w:val="left"/>
        <w:rPr>
          <w:rFonts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5.授权委托书格式</w:t>
      </w:r>
    </w:p>
    <w:p>
      <w:pPr>
        <w:snapToGrid w:val="0"/>
        <w:spacing w:before="120" w:beforeLines="50" w:after="50"/>
        <w:jc w:val="center"/>
        <w:rPr>
          <w:rFonts w:ascii="宋体" w:hAnsi="宋体"/>
          <w:b/>
          <w:color w:val="auto"/>
          <w:sz w:val="44"/>
          <w:szCs w:val="44"/>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授权委托书</w:t>
      </w:r>
    </w:p>
    <w:p>
      <w:pPr>
        <w:snapToGrid w:val="0"/>
        <w:spacing w:before="120" w:beforeLines="50" w:after="50"/>
        <w:jc w:val="center"/>
        <w:rPr>
          <w:rFonts w:ascii="宋体" w:hAnsi="宋体"/>
          <w:b/>
          <w:color w:val="auto"/>
          <w:sz w:val="24"/>
          <w:highlight w:val="none"/>
        </w:rPr>
      </w:pPr>
      <w:r>
        <w:rPr>
          <w:rFonts w:hint="eastAsia" w:ascii="宋体" w:hAnsi="宋体"/>
          <w:b/>
          <w:color w:val="auto"/>
          <w:sz w:val="32"/>
          <w:szCs w:val="32"/>
          <w:highlight w:val="none"/>
        </w:rPr>
        <w:t>（如有委托时）</w:t>
      </w:r>
    </w:p>
    <w:p>
      <w:pPr>
        <w:snapToGrid w:val="0"/>
        <w:spacing w:before="120" w:beforeLines="50" w:after="50"/>
        <w:jc w:val="center"/>
        <w:rPr>
          <w:rFonts w:ascii="宋体" w:hAnsi="宋体"/>
          <w:b/>
          <w:color w:val="auto"/>
          <w:sz w:val="24"/>
          <w:highlight w:val="none"/>
        </w:rPr>
      </w:pPr>
    </w:p>
    <w:p>
      <w:pPr>
        <w:spacing w:line="360" w:lineRule="auto"/>
        <w:contextualSpacing/>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pPr>
        <w:spacing w:line="360" w:lineRule="auto"/>
        <w:ind w:firstLine="566" w:firstLineChars="236"/>
        <w:contextualSpacing/>
        <w:rPr>
          <w:rFonts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pPr>
        <w:spacing w:line="360" w:lineRule="auto"/>
        <w:contextualSpacing/>
        <w:rPr>
          <w:rFonts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委托代理人无转委托权，特此委托。</w:t>
      </w:r>
    </w:p>
    <w:p>
      <w:pPr>
        <w:spacing w:line="360" w:lineRule="auto"/>
        <w:ind w:firstLine="480"/>
        <w:contextualSpacing/>
        <w:rPr>
          <w:rFonts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pPr>
        <w:spacing w:line="360" w:lineRule="auto"/>
        <w:contextualSpacing/>
        <w:rPr>
          <w:rFonts w:ascii="宋体" w:hAnsi="宋体"/>
          <w:color w:val="auto"/>
          <w:sz w:val="24"/>
          <w:highlight w:val="none"/>
        </w:rPr>
      </w:pPr>
    </w:p>
    <w:p>
      <w:pPr>
        <w:spacing w:line="440" w:lineRule="exact"/>
        <w:contextualSpacing/>
        <w:rPr>
          <w:rFonts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pPr>
        <w:spacing w:line="440" w:lineRule="exact"/>
        <w:contextualSpacing/>
        <w:rPr>
          <w:rFonts w:ascii="宋体" w:hAnsi="宋体"/>
          <w:color w:val="auto"/>
          <w:sz w:val="24"/>
          <w:highlight w:val="none"/>
        </w:rPr>
      </w:pPr>
      <w:r>
        <w:rPr>
          <w:rFonts w:hint="eastAsia" w:ascii="宋体" w:hAnsi="宋体"/>
          <w:color w:val="auto"/>
          <w:sz w:val="24"/>
          <w:highlight w:val="none"/>
        </w:rPr>
        <w:t xml:space="preserve"> </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投标人名称（电子签章）：</w:t>
      </w:r>
    </w:p>
    <w:p>
      <w:pPr>
        <w:spacing w:line="440" w:lineRule="exact"/>
        <w:contextualSpacing/>
        <w:jc w:val="center"/>
        <w:rPr>
          <w:rFonts w:ascii="宋体" w:hAnsi="宋体"/>
          <w:color w:val="auto"/>
          <w:sz w:val="24"/>
          <w:highlight w:val="none"/>
        </w:rPr>
      </w:pPr>
      <w:r>
        <w:rPr>
          <w:rFonts w:hint="eastAsia" w:ascii="宋体" w:hAnsi="宋体"/>
          <w:color w:val="auto"/>
          <w:sz w:val="24"/>
          <w:highlight w:val="none"/>
        </w:rPr>
        <w:t xml:space="preserve">                                              年    月    日</w:t>
      </w:r>
    </w:p>
    <w:p>
      <w:pPr>
        <w:spacing w:line="440" w:lineRule="exact"/>
        <w:contextualSpacing/>
        <w:rPr>
          <w:rFonts w:ascii="宋体" w:hAnsi="宋体" w:cs="仿宋_GB2312"/>
          <w:color w:val="auto"/>
          <w:sz w:val="24"/>
          <w:highlight w:val="none"/>
        </w:rPr>
      </w:pPr>
      <w:r>
        <w:rPr>
          <w:rFonts w:hint="eastAsia" w:ascii="宋体" w:hAnsi="宋体" w:cs="仿宋_GB2312"/>
          <w:color w:val="auto"/>
          <w:sz w:val="24"/>
          <w:highlight w:val="none"/>
        </w:rPr>
        <w:t>注：1.</w:t>
      </w:r>
      <w:bookmarkStart w:id="155" w:name="_Hlk65851555"/>
      <w:bookmarkStart w:id="156"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55"/>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56"/>
    </w:p>
    <w:p>
      <w:pPr>
        <w:spacing w:line="440" w:lineRule="exact"/>
        <w:ind w:firstLine="480" w:firstLineChars="200"/>
        <w:contextualSpacing/>
        <w:jc w:val="left"/>
        <w:rPr>
          <w:rFonts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pPr>
        <w:snapToGrid w:val="0"/>
        <w:spacing w:before="120" w:beforeLines="50" w:after="50"/>
        <w:ind w:firstLine="566" w:firstLineChars="236"/>
        <w:jc w:val="center"/>
        <w:rPr>
          <w:rFonts w:ascii="宋体" w:hAnsi="宋体"/>
          <w:color w:val="auto"/>
          <w:sz w:val="24"/>
          <w:highlight w:val="none"/>
        </w:rPr>
      </w:pPr>
      <w:r>
        <w:rPr>
          <w:rFonts w:ascii="宋体" w:hAnsi="宋体"/>
          <w:color w:val="auto"/>
          <w:sz w:val="24"/>
          <w:highlight w:val="none"/>
        </w:rPr>
        <w:br w:type="page"/>
      </w:r>
    </w:p>
    <w:p>
      <w:pPr>
        <w:rPr>
          <w:rFonts w:ascii="宋体" w:hAnsi="宋体"/>
          <w:b/>
          <w:color w:val="auto"/>
          <w:sz w:val="24"/>
          <w:szCs w:val="20"/>
          <w:highlight w:val="none"/>
        </w:rPr>
      </w:pPr>
      <w:r>
        <w:rPr>
          <w:rFonts w:hint="eastAsia" w:ascii="宋体" w:hAnsi="宋体"/>
          <w:b/>
          <w:color w:val="auto"/>
          <w:sz w:val="24"/>
          <w:highlight w:val="none"/>
        </w:rPr>
        <w:t>6.商务要求偏离表格式</w:t>
      </w:r>
    </w:p>
    <w:p>
      <w:pPr>
        <w:snapToGrid w:val="0"/>
        <w:spacing w:before="50"/>
        <w:jc w:val="left"/>
        <w:rPr>
          <w:rFonts w:ascii="宋体" w:hAnsi="宋体"/>
          <w:color w:val="auto"/>
          <w:sz w:val="24"/>
          <w:highlight w:val="none"/>
        </w:rPr>
      </w:pPr>
    </w:p>
    <w:p>
      <w:pPr>
        <w:pStyle w:val="23"/>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pPr>
        <w:snapToGrid w:val="0"/>
        <w:spacing w:before="50"/>
        <w:jc w:val="left"/>
        <w:rPr>
          <w:rFonts w:ascii="宋体" w:hAnsi="宋体"/>
          <w:color w:val="auto"/>
          <w:sz w:val="24"/>
          <w:highlight w:val="none"/>
          <w:u w:val="single"/>
        </w:rPr>
      </w:pPr>
    </w:p>
    <w:tbl>
      <w:tblPr>
        <w:tblStyle w:val="4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2686"/>
        <w:gridCol w:w="241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商务要求</w:t>
            </w:r>
          </w:p>
        </w:tc>
        <w:tc>
          <w:tcPr>
            <w:tcW w:w="2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招标文件要求</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pPr>
              <w:rPr>
                <w:rFonts w:ascii="宋体" w:hAnsi="宋体"/>
                <w:color w:val="auto"/>
                <w:sz w:val="24"/>
                <w:highlight w:val="none"/>
              </w:rPr>
            </w:pPr>
            <w:r>
              <w:rPr>
                <w:rFonts w:hint="eastAsia" w:ascii="宋体" w:hAnsi="宋体"/>
                <w:color w:val="auto"/>
                <w:szCs w:val="21"/>
                <w:highlight w:val="none"/>
              </w:rPr>
              <w:t>……</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pPr>
              <w:snapToGrid w:val="0"/>
              <w:spacing w:before="120" w:beforeLines="50"/>
              <w:rPr>
                <w:rFonts w:ascii="宋体" w:hAnsi="宋体"/>
                <w:color w:val="auto"/>
                <w:sz w:val="24"/>
                <w:highlight w:val="none"/>
              </w:rPr>
            </w:pPr>
            <w:r>
              <w:rPr>
                <w:rFonts w:hint="eastAsia" w:ascii="宋体" w:hAnsi="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p>
        </w:tc>
        <w:tc>
          <w:tcPr>
            <w:tcW w:w="2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pPr>
              <w:rPr>
                <w:rFonts w:ascii="宋体" w:hAnsi="宋体"/>
                <w:color w:val="auto"/>
                <w:sz w:val="24"/>
                <w:highlight w:val="none"/>
              </w:rPr>
            </w:pPr>
            <w:r>
              <w:rPr>
                <w:rFonts w:hint="eastAsia" w:ascii="宋体" w:hAnsi="宋体"/>
                <w:color w:val="auto"/>
                <w:szCs w:val="21"/>
                <w:highlight w:val="none"/>
              </w:rPr>
              <w:t>……</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1.……</w:t>
            </w:r>
          </w:p>
          <w:p>
            <w:pPr>
              <w:snapToGrid w:val="0"/>
              <w:spacing w:before="120" w:beforeLines="50" w:line="300" w:lineRule="atLeast"/>
              <w:rPr>
                <w:rFonts w:ascii="宋体" w:hAnsi="宋体"/>
                <w:color w:val="auto"/>
                <w:szCs w:val="21"/>
                <w:highlight w:val="none"/>
              </w:rPr>
            </w:pPr>
            <w:r>
              <w:rPr>
                <w:rFonts w:ascii="宋体" w:hAnsi="宋体"/>
                <w:color w:val="auto"/>
                <w:szCs w:val="21"/>
                <w:highlight w:val="none"/>
              </w:rPr>
              <w:t>2.……</w:t>
            </w:r>
          </w:p>
          <w:p>
            <w:pPr>
              <w:snapToGrid w:val="0"/>
              <w:spacing w:before="120" w:beforeLines="50"/>
              <w:ind w:left="43"/>
              <w:rPr>
                <w:rFonts w:ascii="宋体" w:hAnsi="宋体"/>
                <w:color w:val="auto"/>
                <w:sz w:val="24"/>
                <w:highlight w:val="none"/>
              </w:rPr>
            </w:pPr>
            <w:r>
              <w:rPr>
                <w:rFonts w:hint="eastAsia" w:ascii="宋体" w:hAnsi="宋体"/>
                <w:color w:val="auto"/>
                <w:szCs w:val="21"/>
                <w:highlight w:val="none"/>
              </w:rPr>
              <w:t>……</w:t>
            </w: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5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268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auto"/>
                <w:sz w:val="24"/>
                <w:highlight w:val="none"/>
              </w:rPr>
            </w:pPr>
          </w:p>
        </w:tc>
      </w:tr>
    </w:tbl>
    <w:p>
      <w:pPr>
        <w:pStyle w:val="17"/>
        <w:rPr>
          <w:rFonts w:ascii="宋体" w:hAnsi="宋体"/>
          <w:color w:val="auto"/>
          <w:highlight w:val="none"/>
        </w:rPr>
      </w:pPr>
      <w:r>
        <w:rPr>
          <w:rFonts w:hint="eastAsia" w:ascii="宋体" w:hAnsi="宋体"/>
          <w:color w:val="auto"/>
          <w:highlight w:val="none"/>
        </w:rPr>
        <w:t>注：</w:t>
      </w:r>
    </w:p>
    <w:p>
      <w:pPr>
        <w:pStyle w:val="3"/>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1.说明：应对照招标文件“第二章 采购需求”中的商务要求逐条作明确的投标响应，并作出偏离说明。</w:t>
      </w:r>
    </w:p>
    <w:p>
      <w:pPr>
        <w:pStyle w:val="17"/>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snapToGrid w:val="0"/>
        <w:spacing w:before="50" w:after="50"/>
        <w:rPr>
          <w:rFonts w:ascii="宋体" w:hAnsi="宋体"/>
          <w:color w:val="auto"/>
          <w:sz w:val="24"/>
          <w:highlight w:val="none"/>
        </w:rPr>
      </w:pPr>
    </w:p>
    <w:p>
      <w:pPr>
        <w:snapToGrid w:val="0"/>
        <w:spacing w:before="50" w:after="50"/>
        <w:rPr>
          <w:rFonts w:ascii="宋体" w:hAnsi="宋体"/>
          <w:color w:val="auto"/>
          <w:sz w:val="24"/>
          <w:highlight w:val="none"/>
        </w:rPr>
      </w:pPr>
    </w:p>
    <w:p>
      <w:pPr>
        <w:snapToGrid w:val="0"/>
        <w:spacing w:before="50" w:after="50"/>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napToGrid w:val="0"/>
        <w:spacing w:before="120" w:beforeLines="50"/>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napToGrid w:val="0"/>
        <w:spacing w:before="120" w:beforeLines="50"/>
        <w:rPr>
          <w:rFonts w:ascii="宋体" w:hAnsi="宋体"/>
          <w:color w:val="auto"/>
          <w:sz w:val="24"/>
          <w:szCs w:val="20"/>
          <w:highlight w:val="none"/>
        </w:rPr>
      </w:pPr>
    </w:p>
    <w:p>
      <w:pPr>
        <w:snapToGrid w:val="0"/>
        <w:spacing w:before="120" w:beforeLines="50" w:after="50"/>
        <w:jc w:val="left"/>
        <w:rPr>
          <w:rFonts w:ascii="宋体" w:hAnsi="宋体"/>
          <w:color w:val="auto"/>
          <w:sz w:val="24"/>
          <w:szCs w:val="20"/>
          <w:highlight w:val="none"/>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p>
    <w:p>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t>7.投标人业绩证明材料</w:t>
      </w:r>
    </w:p>
    <w:p>
      <w:pPr>
        <w:pStyle w:val="34"/>
        <w:snapToGrid w:val="0"/>
        <w:ind w:left="480" w:hanging="480"/>
        <w:rPr>
          <w:rFonts w:ascii="宋体" w:hAnsi="宋体"/>
          <w:color w:val="auto"/>
          <w:sz w:val="24"/>
          <w:highlight w:val="none"/>
        </w:rPr>
      </w:pPr>
    </w:p>
    <w:p>
      <w:pPr>
        <w:pStyle w:val="34"/>
        <w:snapToGrid w:val="0"/>
        <w:ind w:left="480" w:hanging="480"/>
        <w:rPr>
          <w:rFonts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4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合同金额</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采购人联系人及</w:t>
            </w:r>
          </w:p>
          <w:p>
            <w:pPr>
              <w:snapToGrid w:val="0"/>
              <w:spacing w:line="24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highlight w:val="none"/>
              </w:rPr>
            </w:pPr>
          </w:p>
        </w:tc>
      </w:tr>
    </w:tbl>
    <w:p>
      <w:pPr>
        <w:pStyle w:val="15"/>
        <w:spacing w:before="0" w:after="0" w:line="360" w:lineRule="auto"/>
        <w:contextualSpacing/>
        <w:rPr>
          <w:rFonts w:ascii="宋体" w:hAnsi="宋体" w:eastAsia="宋体"/>
          <w:color w:val="auto"/>
          <w:sz w:val="24"/>
          <w:szCs w:val="24"/>
          <w:highlight w:val="none"/>
        </w:rPr>
      </w:pPr>
    </w:p>
    <w:p>
      <w:pPr>
        <w:pStyle w:val="15"/>
        <w:spacing w:before="0" w:after="0" w:line="360" w:lineRule="auto"/>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color w:val="auto"/>
          <w:sz w:val="24"/>
          <w:highlight w:val="none"/>
        </w:rPr>
        <w:t>投标人根据评标标准具体要求附业绩证明材料。</w:t>
      </w:r>
    </w:p>
    <w:p>
      <w:pPr>
        <w:pStyle w:val="15"/>
        <w:spacing w:before="0" w:after="0" w:line="360" w:lineRule="auto"/>
        <w:contextualSpacing/>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rPr>
        <w:t>　　　　　</w:t>
      </w:r>
    </w:p>
    <w:p>
      <w:pPr>
        <w:spacing w:line="360" w:lineRule="auto"/>
        <w:ind w:right="480"/>
        <w:contextualSpacing/>
        <w:jc w:val="left"/>
        <w:rPr>
          <w:rFonts w:ascii="宋体" w:hAnsi="宋体"/>
          <w:color w:val="auto"/>
          <w:sz w:val="24"/>
          <w:szCs w:val="20"/>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pPr>
        <w:snapToGrid w:val="0"/>
        <w:spacing w:before="50"/>
        <w:ind w:firstLine="480" w:firstLineChars="200"/>
        <w:jc w:val="left"/>
        <w:rPr>
          <w:rFonts w:ascii="宋体" w:hAnsi="宋体"/>
          <w:color w:val="auto"/>
          <w:sz w:val="24"/>
          <w:szCs w:val="20"/>
          <w:highlight w:val="none"/>
        </w:rPr>
      </w:pPr>
    </w:p>
    <w:p>
      <w:pPr>
        <w:snapToGrid w:val="0"/>
        <w:spacing w:before="50"/>
        <w:jc w:val="left"/>
        <w:rPr>
          <w:rFonts w:ascii="宋体" w:hAnsi="宋体"/>
          <w:color w:val="auto"/>
          <w:sz w:val="24"/>
          <w:highlight w:val="none"/>
        </w:rPr>
      </w:pPr>
    </w:p>
    <w:p>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pPr>
        <w:rPr>
          <w:b/>
          <w:color w:val="auto"/>
          <w:sz w:val="28"/>
          <w:szCs w:val="28"/>
          <w:highlight w:val="none"/>
        </w:rPr>
      </w:pPr>
      <w:bookmarkStart w:id="157" w:name="_Toc19686839"/>
      <w:r>
        <w:rPr>
          <w:rFonts w:hint="eastAsia"/>
          <w:b/>
          <w:color w:val="auto"/>
          <w:sz w:val="28"/>
          <w:szCs w:val="28"/>
          <w:highlight w:val="none"/>
        </w:rPr>
        <w:t>四、技术文件格式</w:t>
      </w:r>
      <w:bookmarkEnd w:id="157"/>
    </w:p>
    <w:p>
      <w:pPr>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 xml:space="preserve">1. 技术文件封面格式： </w:t>
      </w:r>
    </w:p>
    <w:p>
      <w:pPr>
        <w:snapToGrid w:val="0"/>
        <w:spacing w:before="120" w:beforeLines="50" w:after="50" w:line="360" w:lineRule="auto"/>
        <w:ind w:left="142"/>
        <w:jc w:val="center"/>
        <w:rPr>
          <w:rFonts w:ascii="宋体" w:hAnsi="宋体" w:eastAsia="方正小标宋简体"/>
          <w:bCs/>
          <w:color w:val="auto"/>
          <w:sz w:val="48"/>
          <w:szCs w:val="48"/>
          <w:highlight w:val="none"/>
        </w:rPr>
      </w:pPr>
      <w:r>
        <w:rPr>
          <w:rFonts w:hint="eastAsia" w:ascii="宋体" w:hAnsi="宋体" w:eastAsia="方正小标宋简体"/>
          <w:bCs/>
          <w:color w:val="auto"/>
          <w:sz w:val="48"/>
          <w:szCs w:val="48"/>
          <w:highlight w:val="none"/>
        </w:rPr>
        <w:t>电子投标文件</w:t>
      </w:r>
    </w:p>
    <w:p>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w:t>
      </w:r>
    </w:p>
    <w:p>
      <w:pPr>
        <w:snapToGrid w:val="0"/>
        <w:spacing w:before="120" w:beforeLines="50" w:after="50"/>
        <w:rPr>
          <w:rFonts w:ascii="宋体" w:hAnsi="宋体"/>
          <w:bCs/>
          <w:color w:val="auto"/>
          <w:sz w:val="24"/>
          <w:szCs w:val="20"/>
          <w:highlight w:val="none"/>
        </w:rPr>
      </w:pPr>
    </w:p>
    <w:p>
      <w:pPr>
        <w:snapToGrid w:val="0"/>
        <w:spacing w:before="120"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pPr>
        <w:snapToGrid w:val="0"/>
        <w:spacing w:before="120" w:beforeLines="50" w:after="50"/>
        <w:ind w:firstLine="645"/>
        <w:jc w:val="center"/>
        <w:rPr>
          <w:rFonts w:ascii="宋体" w:hAnsi="宋体"/>
          <w:color w:val="auto"/>
          <w:sz w:val="24"/>
          <w:szCs w:val="20"/>
          <w:highlight w:val="none"/>
        </w:rPr>
      </w:pPr>
    </w:p>
    <w:p>
      <w:pPr>
        <w:snapToGrid w:val="0"/>
        <w:spacing w:before="120" w:beforeLines="50" w:after="50"/>
        <w:ind w:left="142"/>
        <w:jc w:val="left"/>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2.技术文件目录</w:t>
      </w:r>
    </w:p>
    <w:p>
      <w:pPr>
        <w:snapToGrid w:val="0"/>
        <w:spacing w:before="50" w:after="120" w:afterLines="50" w:line="280" w:lineRule="exact"/>
        <w:ind w:left="283" w:leftChars="135"/>
        <w:jc w:val="left"/>
        <w:rPr>
          <w:rFonts w:ascii="宋体" w:hAnsi="宋体"/>
          <w:color w:val="auto"/>
          <w:sz w:val="24"/>
          <w:highlight w:val="none"/>
        </w:rPr>
      </w:pPr>
      <w:r>
        <w:rPr>
          <w:rFonts w:hint="eastAsia" w:ascii="宋体" w:hAnsi="宋体"/>
          <w:color w:val="auto"/>
          <w:sz w:val="24"/>
          <w:highlight w:val="none"/>
        </w:rPr>
        <w:t>根据招标文件规定及投标人提供的材料自行编写目录。</w:t>
      </w:r>
    </w:p>
    <w:p>
      <w:pPr>
        <w:snapToGrid w:val="0"/>
        <w:spacing w:before="120" w:beforeLines="50" w:after="50"/>
        <w:jc w:val="left"/>
        <w:rPr>
          <w:rFonts w:ascii="宋体" w:hAnsi="宋体"/>
          <w:b/>
          <w:color w:val="auto"/>
          <w:sz w:val="24"/>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3.技术要求偏离表格式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技术要求偏离表</w:t>
      </w:r>
    </w:p>
    <w:p>
      <w:pPr>
        <w:pStyle w:val="23"/>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4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项号</w:t>
            </w:r>
          </w:p>
        </w:tc>
        <w:tc>
          <w:tcPr>
            <w:tcW w:w="2143" w:type="dxa"/>
            <w:vAlign w:val="center"/>
          </w:tcPr>
          <w:p>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标的的名称</w:t>
            </w:r>
          </w:p>
        </w:tc>
        <w:tc>
          <w:tcPr>
            <w:tcW w:w="1834" w:type="dxa"/>
            <w:vAlign w:val="center"/>
          </w:tcPr>
          <w:p>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技术要求</w:t>
            </w:r>
          </w:p>
        </w:tc>
        <w:tc>
          <w:tcPr>
            <w:tcW w:w="2181" w:type="dxa"/>
            <w:vAlign w:val="center"/>
          </w:tcPr>
          <w:p>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投标响应</w:t>
            </w:r>
          </w:p>
        </w:tc>
        <w:tc>
          <w:tcPr>
            <w:tcW w:w="1934" w:type="dxa"/>
            <w:vAlign w:val="center"/>
          </w:tcPr>
          <w:p>
            <w:pPr>
              <w:pStyle w:val="23"/>
              <w:spacing w:line="400" w:lineRule="exact"/>
              <w:jc w:val="center"/>
              <w:rPr>
                <w:rFonts w:hAnsi="宋体" w:cs="Courier New"/>
                <w:color w:val="auto"/>
                <w:kern w:val="2"/>
                <w:sz w:val="24"/>
                <w:szCs w:val="24"/>
                <w:highlight w:val="none"/>
              </w:rPr>
            </w:pPr>
            <w:r>
              <w:rPr>
                <w:rFonts w:hint="eastAsia" w:hAnsi="宋体" w:cs="Courier New"/>
                <w:color w:val="auto"/>
                <w:kern w:val="2"/>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pStyle w:val="23"/>
              <w:spacing w:line="600" w:lineRule="exact"/>
              <w:jc w:val="center"/>
              <w:rPr>
                <w:rFonts w:hAnsi="宋体" w:cs="Courier New"/>
                <w:color w:val="auto"/>
                <w:kern w:val="2"/>
                <w:sz w:val="24"/>
                <w:szCs w:val="24"/>
                <w:highlight w:val="none"/>
              </w:rPr>
            </w:pPr>
          </w:p>
        </w:tc>
        <w:tc>
          <w:tcPr>
            <w:tcW w:w="2143" w:type="dxa"/>
            <w:vAlign w:val="center"/>
          </w:tcPr>
          <w:p>
            <w:pPr>
              <w:pStyle w:val="23"/>
              <w:spacing w:line="600" w:lineRule="exact"/>
              <w:jc w:val="center"/>
              <w:rPr>
                <w:rFonts w:hAnsi="宋体" w:cs="Courier New"/>
                <w:color w:val="auto"/>
                <w:kern w:val="2"/>
                <w:sz w:val="24"/>
                <w:szCs w:val="24"/>
                <w:highlight w:val="none"/>
              </w:rPr>
            </w:pPr>
          </w:p>
        </w:tc>
        <w:tc>
          <w:tcPr>
            <w:tcW w:w="1834" w:type="dxa"/>
            <w:vAlign w:val="center"/>
          </w:tcPr>
          <w:p>
            <w:pPr>
              <w:pStyle w:val="23"/>
              <w:spacing w:line="600" w:lineRule="exact"/>
              <w:jc w:val="center"/>
              <w:rPr>
                <w:rFonts w:hAnsi="宋体" w:cs="Courier New"/>
                <w:color w:val="auto"/>
                <w:kern w:val="2"/>
                <w:sz w:val="24"/>
                <w:szCs w:val="24"/>
                <w:highlight w:val="none"/>
              </w:rPr>
            </w:pPr>
          </w:p>
        </w:tc>
        <w:tc>
          <w:tcPr>
            <w:tcW w:w="2181" w:type="dxa"/>
            <w:vAlign w:val="center"/>
          </w:tcPr>
          <w:p>
            <w:pPr>
              <w:pStyle w:val="23"/>
              <w:spacing w:line="600" w:lineRule="exact"/>
              <w:jc w:val="center"/>
              <w:rPr>
                <w:rFonts w:hAnsi="宋体" w:cs="Courier New"/>
                <w:color w:val="auto"/>
                <w:kern w:val="2"/>
                <w:sz w:val="24"/>
                <w:szCs w:val="24"/>
                <w:highlight w:val="none"/>
              </w:rPr>
            </w:pPr>
          </w:p>
        </w:tc>
        <w:tc>
          <w:tcPr>
            <w:tcW w:w="1934" w:type="dxa"/>
            <w:vAlign w:val="center"/>
          </w:tcPr>
          <w:p>
            <w:pPr>
              <w:pStyle w:val="23"/>
              <w:spacing w:line="600" w:lineRule="exact"/>
              <w:jc w:val="center"/>
              <w:rPr>
                <w:rFonts w:hAnsi="宋体" w:cs="Courier New"/>
                <w:color w:val="auto"/>
                <w:kern w:val="2"/>
                <w:sz w:val="24"/>
                <w:szCs w:val="24"/>
                <w:highlight w:val="none"/>
              </w:rPr>
            </w:pPr>
          </w:p>
        </w:tc>
      </w:tr>
    </w:tbl>
    <w:p>
      <w:pPr>
        <w:pStyle w:val="17"/>
        <w:spacing w:line="360" w:lineRule="auto"/>
        <w:contextualSpacing/>
        <w:rPr>
          <w:rFonts w:ascii="宋体" w:hAnsi="宋体"/>
          <w:color w:val="auto"/>
          <w:highlight w:val="none"/>
        </w:rPr>
      </w:pPr>
      <w:r>
        <w:rPr>
          <w:rFonts w:hint="eastAsia" w:ascii="宋体" w:hAnsi="宋体"/>
          <w:color w:val="auto"/>
          <w:highlight w:val="none"/>
        </w:rPr>
        <w:t>注：</w:t>
      </w:r>
    </w:p>
    <w:p>
      <w:pPr>
        <w:pStyle w:val="3"/>
        <w:spacing w:line="360" w:lineRule="auto"/>
        <w:ind w:firstLine="0" w:firstLineChars="0"/>
        <w:contextualSpacing/>
        <w:rPr>
          <w:rFonts w:hAnsi="仿宋_GB2312" w:cs="仿宋_GB2312"/>
          <w:color w:val="auto"/>
          <w:szCs w:val="32"/>
          <w:highlight w:val="none"/>
        </w:rPr>
      </w:pPr>
      <w:r>
        <w:rPr>
          <w:rFonts w:hint="eastAsia" w:ascii="宋体" w:hAnsi="宋体" w:eastAsia="宋体"/>
          <w:color w:val="auto"/>
          <w:sz w:val="24"/>
          <w:szCs w:val="24"/>
          <w:highlight w:val="none"/>
        </w:rPr>
        <w:t>1.说明：应对照招标文件“第二章 采购需求”中的技术要求逐条作明确的投标响应，并作出偏离说明。</w:t>
      </w:r>
    </w:p>
    <w:p>
      <w:pPr>
        <w:pStyle w:val="17"/>
        <w:spacing w:line="360" w:lineRule="auto"/>
        <w:contextualSpacing/>
        <w:rPr>
          <w:rFonts w:ascii="宋体" w:hAnsi="宋体"/>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pPr>
        <w:pStyle w:val="17"/>
        <w:spacing w:line="360" w:lineRule="auto"/>
        <w:contextualSpacing/>
        <w:rPr>
          <w:rFonts w:ascii="宋体" w:hAnsi="宋体"/>
          <w:color w:val="auto"/>
          <w:spacing w:val="20"/>
          <w:highlight w:val="none"/>
        </w:rPr>
      </w:pPr>
    </w:p>
    <w:p>
      <w:pPr>
        <w:spacing w:line="360" w:lineRule="auto"/>
        <w:contextualSpacing/>
        <w:rPr>
          <w:rFonts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spacing w:line="360" w:lineRule="auto"/>
        <w:contextualSpacing/>
        <w:rPr>
          <w:rFonts w:ascii="宋体" w:hAnsi="宋体"/>
          <w:color w:val="auto"/>
          <w:spacing w:val="20"/>
          <w:sz w:val="24"/>
          <w:highlight w:val="none"/>
          <w:u w:val="single"/>
        </w:rPr>
      </w:pPr>
    </w:p>
    <w:p>
      <w:pPr>
        <w:spacing w:line="360" w:lineRule="auto"/>
        <w:contextualSpacing/>
        <w:rPr>
          <w:rFonts w:ascii="宋体" w:hAnsi="宋体"/>
          <w:color w:val="auto"/>
          <w:sz w:val="24"/>
          <w:szCs w:val="20"/>
          <w:highlight w:val="none"/>
        </w:rPr>
      </w:pPr>
    </w:p>
    <w:p>
      <w:pPr>
        <w:snapToGrid w:val="0"/>
        <w:spacing w:before="120" w:beforeLines="50" w:after="50"/>
        <w:ind w:left="142"/>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4.项目实施人员一览表格式</w:t>
      </w:r>
    </w:p>
    <w:p>
      <w:pPr>
        <w:snapToGrid w:val="0"/>
        <w:spacing w:before="120" w:beforeLines="50" w:after="50"/>
        <w:ind w:left="142"/>
        <w:jc w:val="left"/>
        <w:rPr>
          <w:rFonts w:ascii="宋体" w:hAnsi="宋体"/>
          <w:b/>
          <w:color w:val="auto"/>
          <w:sz w:val="24"/>
          <w:highlight w:val="none"/>
        </w:rPr>
      </w:pPr>
    </w:p>
    <w:p>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pStyle w:val="23"/>
        <w:rPr>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774"/>
        <w:gridCol w:w="1858"/>
        <w:gridCol w:w="1550"/>
        <w:gridCol w:w="185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姓名</w:t>
            </w:r>
          </w:p>
        </w:tc>
        <w:tc>
          <w:tcPr>
            <w:tcW w:w="433"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1039"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867"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证书编号</w:t>
            </w:r>
          </w:p>
        </w:tc>
        <w:tc>
          <w:tcPr>
            <w:tcW w:w="1037"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参加本单位</w:t>
            </w:r>
          </w:p>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工作时间</w:t>
            </w:r>
          </w:p>
        </w:tc>
        <w:tc>
          <w:tcPr>
            <w:tcW w:w="1125" w:type="pct"/>
            <w:vAlign w:val="center"/>
          </w:tcPr>
          <w:p>
            <w:pPr>
              <w:snapToGrid w:val="0"/>
              <w:spacing w:before="50" w:after="120" w:afterLines="50"/>
              <w:jc w:val="center"/>
              <w:rPr>
                <w:rFonts w:ascii="宋体" w:hAnsi="宋体"/>
                <w:color w:val="auto"/>
                <w:sz w:val="24"/>
                <w:szCs w:val="20"/>
                <w:highlight w:val="none"/>
              </w:rPr>
            </w:pPr>
            <w:r>
              <w:rPr>
                <w:rFonts w:hint="eastAsia" w:ascii="宋体" w:hAnsi="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snapToGrid w:val="0"/>
              <w:spacing w:before="50" w:after="120" w:afterLines="50"/>
              <w:jc w:val="center"/>
              <w:rPr>
                <w:rFonts w:ascii="宋体" w:hAnsi="宋体"/>
                <w:color w:val="auto"/>
                <w:sz w:val="24"/>
                <w:szCs w:val="20"/>
                <w:highlight w:val="none"/>
              </w:rPr>
            </w:pPr>
          </w:p>
        </w:tc>
        <w:tc>
          <w:tcPr>
            <w:tcW w:w="433" w:type="pct"/>
            <w:vAlign w:val="center"/>
          </w:tcPr>
          <w:p>
            <w:pPr>
              <w:snapToGrid w:val="0"/>
              <w:spacing w:before="50" w:after="120" w:afterLines="50"/>
              <w:jc w:val="center"/>
              <w:rPr>
                <w:rFonts w:ascii="宋体" w:hAnsi="宋体"/>
                <w:color w:val="auto"/>
                <w:sz w:val="24"/>
                <w:szCs w:val="20"/>
                <w:highlight w:val="none"/>
              </w:rPr>
            </w:pPr>
          </w:p>
        </w:tc>
        <w:tc>
          <w:tcPr>
            <w:tcW w:w="1039" w:type="pct"/>
            <w:vAlign w:val="center"/>
          </w:tcPr>
          <w:p>
            <w:pPr>
              <w:snapToGrid w:val="0"/>
              <w:spacing w:before="50" w:after="120" w:afterLines="50"/>
              <w:jc w:val="center"/>
              <w:rPr>
                <w:rFonts w:ascii="宋体" w:hAnsi="宋体"/>
                <w:color w:val="auto"/>
                <w:sz w:val="24"/>
                <w:szCs w:val="20"/>
                <w:highlight w:val="none"/>
              </w:rPr>
            </w:pPr>
          </w:p>
        </w:tc>
        <w:tc>
          <w:tcPr>
            <w:tcW w:w="867" w:type="pct"/>
            <w:vAlign w:val="center"/>
          </w:tcPr>
          <w:p>
            <w:pPr>
              <w:snapToGrid w:val="0"/>
              <w:spacing w:before="50" w:after="120" w:afterLines="50"/>
              <w:jc w:val="center"/>
              <w:rPr>
                <w:rFonts w:ascii="宋体" w:hAnsi="宋体"/>
                <w:color w:val="auto"/>
                <w:sz w:val="24"/>
                <w:szCs w:val="20"/>
                <w:highlight w:val="none"/>
              </w:rPr>
            </w:pPr>
          </w:p>
        </w:tc>
        <w:tc>
          <w:tcPr>
            <w:tcW w:w="1037" w:type="pct"/>
            <w:vAlign w:val="center"/>
          </w:tcPr>
          <w:p>
            <w:pPr>
              <w:snapToGrid w:val="0"/>
              <w:spacing w:before="50" w:after="120" w:afterLines="50"/>
              <w:jc w:val="center"/>
              <w:rPr>
                <w:rFonts w:ascii="宋体" w:hAnsi="宋体"/>
                <w:color w:val="auto"/>
                <w:sz w:val="24"/>
                <w:szCs w:val="20"/>
                <w:highlight w:val="none"/>
              </w:rPr>
            </w:pPr>
          </w:p>
        </w:tc>
        <w:tc>
          <w:tcPr>
            <w:tcW w:w="1125" w:type="pct"/>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snapToGrid w:val="0"/>
              <w:spacing w:before="50" w:after="120" w:afterLines="50"/>
              <w:jc w:val="center"/>
              <w:rPr>
                <w:rFonts w:ascii="宋体" w:hAnsi="宋体"/>
                <w:color w:val="auto"/>
                <w:sz w:val="24"/>
                <w:szCs w:val="20"/>
                <w:highlight w:val="none"/>
              </w:rPr>
            </w:pPr>
          </w:p>
        </w:tc>
        <w:tc>
          <w:tcPr>
            <w:tcW w:w="433" w:type="pct"/>
            <w:vAlign w:val="center"/>
          </w:tcPr>
          <w:p>
            <w:pPr>
              <w:snapToGrid w:val="0"/>
              <w:spacing w:before="50" w:after="120" w:afterLines="50"/>
              <w:jc w:val="center"/>
              <w:rPr>
                <w:rFonts w:ascii="宋体" w:hAnsi="宋体"/>
                <w:color w:val="auto"/>
                <w:sz w:val="24"/>
                <w:szCs w:val="20"/>
                <w:highlight w:val="none"/>
              </w:rPr>
            </w:pPr>
          </w:p>
        </w:tc>
        <w:tc>
          <w:tcPr>
            <w:tcW w:w="1039" w:type="pct"/>
            <w:vAlign w:val="center"/>
          </w:tcPr>
          <w:p>
            <w:pPr>
              <w:snapToGrid w:val="0"/>
              <w:spacing w:before="50" w:after="120" w:afterLines="50"/>
              <w:jc w:val="center"/>
              <w:rPr>
                <w:rFonts w:ascii="宋体" w:hAnsi="宋体"/>
                <w:color w:val="auto"/>
                <w:sz w:val="24"/>
                <w:szCs w:val="20"/>
                <w:highlight w:val="none"/>
              </w:rPr>
            </w:pPr>
          </w:p>
        </w:tc>
        <w:tc>
          <w:tcPr>
            <w:tcW w:w="867" w:type="pct"/>
            <w:vAlign w:val="center"/>
          </w:tcPr>
          <w:p>
            <w:pPr>
              <w:snapToGrid w:val="0"/>
              <w:spacing w:before="50" w:after="120" w:afterLines="50"/>
              <w:jc w:val="center"/>
              <w:rPr>
                <w:rFonts w:ascii="宋体" w:hAnsi="宋体"/>
                <w:color w:val="auto"/>
                <w:sz w:val="24"/>
                <w:szCs w:val="20"/>
                <w:highlight w:val="none"/>
              </w:rPr>
            </w:pPr>
          </w:p>
        </w:tc>
        <w:tc>
          <w:tcPr>
            <w:tcW w:w="1037" w:type="pct"/>
            <w:vAlign w:val="center"/>
          </w:tcPr>
          <w:p>
            <w:pPr>
              <w:snapToGrid w:val="0"/>
              <w:spacing w:before="50" w:after="120" w:afterLines="50"/>
              <w:jc w:val="center"/>
              <w:rPr>
                <w:rFonts w:ascii="宋体" w:hAnsi="宋体"/>
                <w:color w:val="auto"/>
                <w:sz w:val="24"/>
                <w:szCs w:val="20"/>
                <w:highlight w:val="none"/>
              </w:rPr>
            </w:pPr>
          </w:p>
        </w:tc>
        <w:tc>
          <w:tcPr>
            <w:tcW w:w="1125" w:type="pct"/>
            <w:vAlign w:val="center"/>
          </w:tcPr>
          <w:p>
            <w:pPr>
              <w:snapToGrid w:val="0"/>
              <w:spacing w:before="50" w:after="120" w:after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vAlign w:val="center"/>
          </w:tcPr>
          <w:p>
            <w:pPr>
              <w:snapToGrid w:val="0"/>
              <w:spacing w:before="50" w:after="120" w:afterLines="50"/>
              <w:jc w:val="center"/>
              <w:rPr>
                <w:rFonts w:ascii="宋体" w:hAnsi="宋体"/>
                <w:color w:val="auto"/>
                <w:sz w:val="24"/>
                <w:szCs w:val="20"/>
                <w:highlight w:val="none"/>
              </w:rPr>
            </w:pPr>
          </w:p>
        </w:tc>
        <w:tc>
          <w:tcPr>
            <w:tcW w:w="433" w:type="pct"/>
            <w:vAlign w:val="center"/>
          </w:tcPr>
          <w:p>
            <w:pPr>
              <w:snapToGrid w:val="0"/>
              <w:spacing w:before="50" w:after="120" w:afterLines="50"/>
              <w:jc w:val="center"/>
              <w:rPr>
                <w:rFonts w:ascii="宋体" w:hAnsi="宋体"/>
                <w:color w:val="auto"/>
                <w:sz w:val="24"/>
                <w:szCs w:val="20"/>
                <w:highlight w:val="none"/>
              </w:rPr>
            </w:pPr>
          </w:p>
        </w:tc>
        <w:tc>
          <w:tcPr>
            <w:tcW w:w="1039" w:type="pct"/>
            <w:vAlign w:val="center"/>
          </w:tcPr>
          <w:p>
            <w:pPr>
              <w:snapToGrid w:val="0"/>
              <w:spacing w:before="50" w:after="120" w:afterLines="50"/>
              <w:jc w:val="center"/>
              <w:rPr>
                <w:rFonts w:ascii="宋体" w:hAnsi="宋体"/>
                <w:color w:val="auto"/>
                <w:sz w:val="24"/>
                <w:szCs w:val="20"/>
                <w:highlight w:val="none"/>
              </w:rPr>
            </w:pPr>
          </w:p>
        </w:tc>
        <w:tc>
          <w:tcPr>
            <w:tcW w:w="867" w:type="pct"/>
            <w:vAlign w:val="center"/>
          </w:tcPr>
          <w:p>
            <w:pPr>
              <w:snapToGrid w:val="0"/>
              <w:spacing w:before="50" w:after="120" w:afterLines="50"/>
              <w:jc w:val="center"/>
              <w:rPr>
                <w:rFonts w:ascii="宋体" w:hAnsi="宋体"/>
                <w:color w:val="auto"/>
                <w:sz w:val="24"/>
                <w:szCs w:val="20"/>
                <w:highlight w:val="none"/>
              </w:rPr>
            </w:pPr>
          </w:p>
        </w:tc>
        <w:tc>
          <w:tcPr>
            <w:tcW w:w="1037" w:type="pct"/>
            <w:vAlign w:val="center"/>
          </w:tcPr>
          <w:p>
            <w:pPr>
              <w:snapToGrid w:val="0"/>
              <w:spacing w:before="50" w:after="120" w:afterLines="50"/>
              <w:jc w:val="center"/>
              <w:rPr>
                <w:rFonts w:ascii="宋体" w:hAnsi="宋体"/>
                <w:color w:val="auto"/>
                <w:sz w:val="24"/>
                <w:szCs w:val="20"/>
                <w:highlight w:val="none"/>
              </w:rPr>
            </w:pPr>
          </w:p>
        </w:tc>
        <w:tc>
          <w:tcPr>
            <w:tcW w:w="1125" w:type="pct"/>
            <w:vAlign w:val="center"/>
          </w:tcPr>
          <w:p>
            <w:pPr>
              <w:snapToGrid w:val="0"/>
              <w:spacing w:before="50" w:after="120" w:afterLines="50"/>
              <w:jc w:val="center"/>
              <w:rPr>
                <w:rFonts w:ascii="宋体" w:hAnsi="宋体"/>
                <w:color w:val="auto"/>
                <w:sz w:val="24"/>
                <w:szCs w:val="20"/>
                <w:highlight w:val="none"/>
              </w:rPr>
            </w:pPr>
          </w:p>
        </w:tc>
      </w:tr>
    </w:tbl>
    <w:p>
      <w:pPr>
        <w:snapToGrid w:val="0"/>
        <w:spacing w:before="50" w:after="120" w:afterLines="50"/>
        <w:jc w:val="left"/>
        <w:rPr>
          <w:rFonts w:ascii="宋体" w:hAnsi="宋体"/>
          <w:color w:val="auto"/>
          <w:sz w:val="24"/>
          <w:szCs w:val="20"/>
          <w:highlight w:val="none"/>
        </w:rPr>
      </w:pP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注：</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1.在填写时，如本表格不适合投标单位的实际情况，可根据本表格式自行制表填写。</w:t>
      </w:r>
    </w:p>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2.投标人应当附本表所列证书的复印件并加盖投标人电子签章。</w:t>
      </w:r>
    </w:p>
    <w:p>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pPr>
        <w:jc w:val="left"/>
        <w:rPr>
          <w:rFonts w:ascii="宋体" w:hAnsi="宋体"/>
          <w:color w:val="auto"/>
          <w:sz w:val="24"/>
          <w:szCs w:val="20"/>
          <w:highlight w:val="none"/>
        </w:rPr>
      </w:pPr>
      <w:r>
        <w:rPr>
          <w:rFonts w:ascii="宋体" w:hAnsi="宋体"/>
          <w:color w:val="auto"/>
          <w:sz w:val="24"/>
          <w:szCs w:val="20"/>
          <w:highlight w:val="none"/>
        </w:rPr>
        <w:br w:type="page"/>
      </w:r>
    </w:p>
    <w:p>
      <w:pPr>
        <w:widowControl/>
        <w:snapToGrid w:val="0"/>
        <w:spacing w:before="120" w:beforeLines="50" w:after="50"/>
        <w:ind w:left="142"/>
        <w:jc w:val="left"/>
        <w:rPr>
          <w:rFonts w:ascii="宋体" w:hAnsi="宋体"/>
          <w:b/>
          <w:color w:val="auto"/>
          <w:sz w:val="24"/>
          <w:highlight w:val="none"/>
        </w:rPr>
      </w:pPr>
      <w:r>
        <w:rPr>
          <w:rFonts w:hint="eastAsia" w:ascii="宋体" w:hAnsi="宋体"/>
          <w:b/>
          <w:color w:val="auto"/>
          <w:sz w:val="24"/>
          <w:highlight w:val="none"/>
        </w:rPr>
        <w:t>5.联合体共同竞标协议书（格式）</w:t>
      </w:r>
    </w:p>
    <w:p>
      <w:pPr>
        <w:widowControl/>
        <w:snapToGrid w:val="0"/>
        <w:spacing w:before="156" w:after="156" w:line="360" w:lineRule="auto"/>
        <w:jc w:val="center"/>
        <w:rPr>
          <w:rFonts w:ascii="黑体" w:hAnsi="黑体" w:cs="宋体"/>
          <w:b/>
          <w:bCs/>
          <w:color w:val="auto"/>
          <w:spacing w:val="4"/>
          <w:kern w:val="0"/>
          <w:highlight w:val="none"/>
        </w:rPr>
      </w:pPr>
      <w:r>
        <w:rPr>
          <w:rFonts w:hint="eastAsia" w:cs="宋体"/>
          <w:b/>
          <w:bCs/>
          <w:color w:val="auto"/>
          <w:spacing w:val="4"/>
          <w:kern w:val="0"/>
          <w:sz w:val="28"/>
          <w:szCs w:val="28"/>
          <w:highlight w:val="none"/>
        </w:rPr>
        <w:t>联合体共同投标协议书</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u w:val="single"/>
        </w:rPr>
        <w:t xml:space="preserve">   （所有成员单位名称）  </w:t>
      </w:r>
      <w:r>
        <w:rPr>
          <w:rFonts w:hint="eastAsia"/>
          <w:color w:val="auto"/>
          <w:szCs w:val="21"/>
          <w:highlight w:val="none"/>
        </w:rPr>
        <w:t xml:space="preserve"> 自愿组成联合体，共同参加</w:t>
      </w:r>
      <w:r>
        <w:rPr>
          <w:rFonts w:hint="eastAsia"/>
          <w:color w:val="auto"/>
          <w:szCs w:val="21"/>
          <w:highlight w:val="none"/>
          <w:u w:val="single"/>
        </w:rPr>
        <w:t xml:space="preserve">  （采购代理机构名称）  </w:t>
      </w:r>
      <w:r>
        <w:rPr>
          <w:rFonts w:hint="eastAsia"/>
          <w:color w:val="auto"/>
          <w:szCs w:val="21"/>
          <w:highlight w:val="none"/>
        </w:rPr>
        <w:t>组织的</w:t>
      </w:r>
      <w:r>
        <w:rPr>
          <w:rFonts w:hint="eastAsia"/>
          <w:color w:val="auto"/>
          <w:szCs w:val="21"/>
          <w:highlight w:val="none"/>
          <w:u w:val="single"/>
        </w:rPr>
        <w:t xml:space="preserve"> （项目名称） （项目编号： ） </w:t>
      </w:r>
      <w:r>
        <w:rPr>
          <w:rFonts w:hint="eastAsia"/>
          <w:color w:val="auto"/>
          <w:szCs w:val="21"/>
          <w:highlight w:val="none"/>
        </w:rPr>
        <w:t>投标。现就联合体投标事宜订立如下协议：</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1.________________________（某成员单位名称）为本联合体牵头人。</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3.联合体将严格按照招标文件的各项要求，递交投标文件，履行合同，并对外承担连带责任。</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4.联合体各成员单位内部的职责分工如下：</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①</w:t>
      </w:r>
      <w:r>
        <w:rPr>
          <w:color w:val="auto"/>
          <w:szCs w:val="21"/>
          <w:highlight w:val="none"/>
        </w:rPr>
        <w:t>（</w:t>
      </w:r>
      <w:r>
        <w:rPr>
          <w:rFonts w:hint="eastAsia"/>
          <w:color w:val="auto"/>
          <w:szCs w:val="21"/>
          <w:highlight w:val="none"/>
        </w:rPr>
        <w:t>某成员单位名称）：</w:t>
      </w:r>
      <w:r>
        <w:rPr>
          <w:rFonts w:hint="eastAsia"/>
          <w:color w:val="auto"/>
          <w:szCs w:val="21"/>
          <w:highlight w:val="none"/>
          <w:u w:val="single"/>
        </w:rPr>
        <w:t xml:space="preserve">                       </w:t>
      </w:r>
      <w:r>
        <w:rPr>
          <w:rFonts w:hint="eastAsia"/>
          <w:color w:val="auto"/>
          <w:szCs w:val="21"/>
          <w:highlight w:val="none"/>
        </w:rPr>
        <w:t>。</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②</w:t>
      </w:r>
      <w:r>
        <w:rPr>
          <w:color w:val="auto"/>
          <w:szCs w:val="21"/>
          <w:highlight w:val="none"/>
        </w:rPr>
        <w:t>（</w:t>
      </w:r>
      <w:r>
        <w:rPr>
          <w:rFonts w:hint="eastAsia"/>
          <w:color w:val="auto"/>
          <w:szCs w:val="21"/>
          <w:highlight w:val="none"/>
        </w:rPr>
        <w:t>某成员单位名称）：</w:t>
      </w:r>
      <w:r>
        <w:rPr>
          <w:rFonts w:hint="eastAsia"/>
          <w:color w:val="auto"/>
          <w:szCs w:val="21"/>
          <w:highlight w:val="none"/>
          <w:u w:val="single"/>
        </w:rPr>
        <w:t xml:space="preserve">                       </w:t>
      </w:r>
      <w:r>
        <w:rPr>
          <w:rFonts w:hint="eastAsia"/>
          <w:color w:val="auto"/>
          <w:szCs w:val="21"/>
          <w:highlight w:val="none"/>
        </w:rPr>
        <w:t>。</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5.本联合体中，________________________（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6.本协议书自签署之日起生效，合同履行完毕后自动失效。</w:t>
      </w:r>
    </w:p>
    <w:p>
      <w:pPr>
        <w:widowControl/>
        <w:snapToGrid w:val="0"/>
        <w:spacing w:before="156" w:after="156" w:line="360" w:lineRule="auto"/>
        <w:ind w:firstLine="420" w:firstLineChars="200"/>
        <w:jc w:val="left"/>
        <w:rPr>
          <w:color w:val="auto"/>
          <w:szCs w:val="21"/>
          <w:highlight w:val="none"/>
        </w:rPr>
      </w:pPr>
      <w:r>
        <w:rPr>
          <w:rFonts w:hint="eastAsia"/>
          <w:color w:val="auto"/>
          <w:szCs w:val="21"/>
          <w:highlight w:val="none"/>
        </w:rPr>
        <w:t>7.本协议书一式</w:t>
      </w:r>
      <w:r>
        <w:rPr>
          <w:rFonts w:hint="eastAsia"/>
          <w:color w:val="auto"/>
          <w:szCs w:val="21"/>
          <w:highlight w:val="none"/>
          <w:u w:val="single"/>
        </w:rPr>
        <w:t xml:space="preserve">    </w:t>
      </w:r>
      <w:r>
        <w:rPr>
          <w:rFonts w:hint="eastAsia"/>
          <w:color w:val="auto"/>
          <w:szCs w:val="21"/>
          <w:highlight w:val="none"/>
        </w:rPr>
        <w:t>份，联合体成员和采购代理机构各执一份。</w:t>
      </w:r>
    </w:p>
    <w:p>
      <w:pPr>
        <w:widowControl/>
        <w:snapToGrid w:val="0"/>
        <w:spacing w:before="156" w:after="156" w:line="360" w:lineRule="auto"/>
        <w:jc w:val="left"/>
        <w:rPr>
          <w:color w:val="auto"/>
          <w:szCs w:val="21"/>
          <w:highlight w:val="none"/>
        </w:rPr>
      </w:pPr>
    </w:p>
    <w:p>
      <w:pPr>
        <w:widowControl/>
        <w:snapToGrid w:val="0"/>
        <w:spacing w:before="156" w:after="156" w:line="360" w:lineRule="auto"/>
        <w:jc w:val="left"/>
        <w:rPr>
          <w:color w:val="auto"/>
          <w:szCs w:val="21"/>
          <w:highlight w:val="none"/>
        </w:rPr>
      </w:pPr>
    </w:p>
    <w:p>
      <w:pPr>
        <w:widowControl/>
        <w:snapToGrid w:val="0"/>
        <w:spacing w:before="156" w:after="156" w:line="360" w:lineRule="auto"/>
        <w:jc w:val="left"/>
        <w:rPr>
          <w:color w:val="auto"/>
          <w:szCs w:val="21"/>
          <w:highlight w:val="none"/>
        </w:rPr>
      </w:pPr>
      <w:r>
        <w:rPr>
          <w:color w:val="auto"/>
          <w:szCs w:val="21"/>
          <w:highlight w:val="none"/>
        </w:rPr>
        <w:t>注：本协议书由委托代理人签字的，应附法定代表人签字的授权委托书。</w:t>
      </w:r>
    </w:p>
    <w:p>
      <w:pPr>
        <w:widowControl/>
        <w:spacing w:line="360" w:lineRule="auto"/>
        <w:ind w:firstLine="718"/>
        <w:rPr>
          <w:rFonts w:ascii="&amp;quot" w:hAnsi="&amp;quot" w:cs="宋体"/>
          <w:color w:val="auto"/>
          <w:kern w:val="0"/>
          <w:szCs w:val="21"/>
          <w:highlight w:val="none"/>
        </w:rPr>
      </w:pPr>
      <w:r>
        <w:rPr>
          <w:rFonts w:hint="eastAsia" w:ascii="&amp;quot" w:hAnsi="&amp;quot" w:cs="宋体"/>
          <w:color w:val="auto"/>
          <w:kern w:val="0"/>
          <w:szCs w:val="21"/>
          <w:highlight w:val="none"/>
        </w:rPr>
        <w:t>联合体牵头人</w:t>
      </w:r>
      <w:r>
        <w:rPr>
          <w:rFonts w:ascii="&amp;quot" w:hAnsi="&amp;quot" w:cs="宋体"/>
          <w:color w:val="auto"/>
          <w:kern w:val="0"/>
          <w:szCs w:val="21"/>
          <w:highlight w:val="none"/>
        </w:rPr>
        <w:t>名称：</w:t>
      </w:r>
      <w:r>
        <w:rPr>
          <w:rFonts w:ascii="&amp;quot" w:hAnsi="&amp;quot" w:cs="宋体"/>
          <w:color w:val="auto"/>
          <w:kern w:val="0"/>
          <w:szCs w:val="21"/>
          <w:highlight w:val="none"/>
          <w:u w:val="single"/>
        </w:rPr>
        <w:t xml:space="preserve">                    </w:t>
      </w:r>
      <w:r>
        <w:rPr>
          <w:rFonts w:ascii="&amp;quot" w:hAnsi="&amp;quot" w:cs="宋体"/>
          <w:color w:val="auto"/>
          <w:kern w:val="0"/>
          <w:szCs w:val="21"/>
          <w:highlight w:val="none"/>
        </w:rPr>
        <w:t>（盖单位章）</w:t>
      </w:r>
    </w:p>
    <w:p>
      <w:pPr>
        <w:widowControl/>
        <w:spacing w:line="360" w:lineRule="auto"/>
        <w:ind w:firstLine="718"/>
        <w:rPr>
          <w:rFonts w:ascii="&amp;quot" w:hAnsi="&amp;quot" w:cs="宋体"/>
          <w:color w:val="auto"/>
          <w:kern w:val="0"/>
          <w:szCs w:val="21"/>
          <w:highlight w:val="none"/>
        </w:rPr>
      </w:pPr>
      <w:r>
        <w:rPr>
          <w:rFonts w:ascii="&amp;quot" w:hAnsi="&amp;quot" w:cs="宋体"/>
          <w:color w:val="auto"/>
          <w:kern w:val="0"/>
          <w:szCs w:val="21"/>
          <w:highlight w:val="none"/>
        </w:rPr>
        <w:t>法定代表人或其委托代理人：</w:t>
      </w:r>
      <w:r>
        <w:rPr>
          <w:rFonts w:ascii="&amp;quot" w:hAnsi="&amp;quot" w:cs="宋体"/>
          <w:color w:val="auto"/>
          <w:kern w:val="0"/>
          <w:szCs w:val="21"/>
          <w:highlight w:val="none"/>
          <w:u w:val="single"/>
        </w:rPr>
        <w:t xml:space="preserve">          </w:t>
      </w:r>
      <w:r>
        <w:rPr>
          <w:rFonts w:ascii="&amp;quot" w:hAnsi="&amp;quot" w:cs="宋体"/>
          <w:color w:val="auto"/>
          <w:kern w:val="0"/>
          <w:szCs w:val="21"/>
          <w:highlight w:val="none"/>
        </w:rPr>
        <w:t>（</w:t>
      </w:r>
      <w:r>
        <w:rPr>
          <w:rFonts w:hint="eastAsia" w:cs="宋体"/>
          <w:color w:val="auto"/>
          <w:kern w:val="0"/>
          <w:szCs w:val="21"/>
          <w:highlight w:val="none"/>
        </w:rPr>
        <w:t>签字或盖章</w:t>
      </w:r>
      <w:r>
        <w:rPr>
          <w:rFonts w:ascii="&amp;quot" w:hAnsi="&amp;quot" w:cs="宋体"/>
          <w:color w:val="auto"/>
          <w:kern w:val="0"/>
          <w:szCs w:val="21"/>
          <w:highlight w:val="none"/>
        </w:rPr>
        <w:t>）</w:t>
      </w:r>
    </w:p>
    <w:p>
      <w:pPr>
        <w:widowControl/>
        <w:spacing w:line="360" w:lineRule="auto"/>
        <w:ind w:firstLine="718"/>
        <w:rPr>
          <w:rFonts w:ascii="&amp;quot" w:hAnsi="&amp;quot" w:cs="宋体"/>
          <w:color w:val="auto"/>
          <w:kern w:val="0"/>
          <w:szCs w:val="21"/>
          <w:highlight w:val="none"/>
        </w:rPr>
      </w:pPr>
      <w:r>
        <w:rPr>
          <w:rFonts w:hint="eastAsia" w:ascii="&amp;quot" w:hAnsi="&amp;quot" w:cs="宋体"/>
          <w:color w:val="auto"/>
          <w:kern w:val="0"/>
          <w:szCs w:val="21"/>
          <w:highlight w:val="none"/>
        </w:rPr>
        <w:t>联合体</w:t>
      </w:r>
      <w:r>
        <w:rPr>
          <w:rFonts w:ascii="&amp;quot" w:hAnsi="&amp;quot" w:cs="宋体"/>
          <w:color w:val="auto"/>
          <w:kern w:val="0"/>
          <w:szCs w:val="21"/>
          <w:highlight w:val="none"/>
        </w:rPr>
        <w:t>成员名称：</w:t>
      </w:r>
      <w:r>
        <w:rPr>
          <w:rFonts w:ascii="&amp;quot" w:hAnsi="&amp;quot" w:cs="宋体"/>
          <w:color w:val="auto"/>
          <w:kern w:val="0"/>
          <w:szCs w:val="21"/>
          <w:highlight w:val="none"/>
          <w:u w:val="single"/>
        </w:rPr>
        <w:t xml:space="preserve">                      </w:t>
      </w:r>
      <w:r>
        <w:rPr>
          <w:rFonts w:ascii="&amp;quot" w:hAnsi="&amp;quot" w:cs="宋体"/>
          <w:color w:val="auto"/>
          <w:kern w:val="0"/>
          <w:szCs w:val="21"/>
          <w:highlight w:val="none"/>
        </w:rPr>
        <w:t>（盖单位章）</w:t>
      </w:r>
    </w:p>
    <w:p>
      <w:pPr>
        <w:widowControl/>
        <w:spacing w:line="360" w:lineRule="auto"/>
        <w:ind w:firstLine="718"/>
        <w:rPr>
          <w:rFonts w:ascii="&amp;quot" w:hAnsi="&amp;quot" w:cs="宋体"/>
          <w:color w:val="auto"/>
          <w:kern w:val="0"/>
          <w:szCs w:val="21"/>
          <w:highlight w:val="none"/>
        </w:rPr>
      </w:pPr>
      <w:r>
        <w:rPr>
          <w:rFonts w:ascii="&amp;quot" w:hAnsi="&amp;quot" w:cs="宋体"/>
          <w:color w:val="auto"/>
          <w:kern w:val="0"/>
          <w:szCs w:val="21"/>
          <w:highlight w:val="none"/>
        </w:rPr>
        <w:t>法定代表人或其委托代理人：</w:t>
      </w:r>
      <w:r>
        <w:rPr>
          <w:rFonts w:ascii="&amp;quot" w:hAnsi="&amp;quot" w:cs="宋体"/>
          <w:color w:val="auto"/>
          <w:kern w:val="0"/>
          <w:szCs w:val="21"/>
          <w:highlight w:val="none"/>
          <w:u w:val="single"/>
        </w:rPr>
        <w:t>                      </w:t>
      </w:r>
      <w:r>
        <w:rPr>
          <w:rFonts w:ascii="&amp;quot" w:hAnsi="&amp;quot" w:cs="宋体"/>
          <w:color w:val="auto"/>
          <w:kern w:val="0"/>
          <w:szCs w:val="21"/>
          <w:highlight w:val="none"/>
        </w:rPr>
        <w:t>（</w:t>
      </w:r>
      <w:r>
        <w:rPr>
          <w:rFonts w:hint="eastAsia" w:cs="宋体"/>
          <w:color w:val="auto"/>
          <w:kern w:val="0"/>
          <w:szCs w:val="21"/>
          <w:highlight w:val="none"/>
        </w:rPr>
        <w:t>签字或盖章</w:t>
      </w:r>
      <w:r>
        <w:rPr>
          <w:rFonts w:ascii="&amp;quot" w:hAnsi="&amp;quot" w:cs="宋体"/>
          <w:color w:val="auto"/>
          <w:kern w:val="0"/>
          <w:szCs w:val="21"/>
          <w:highlight w:val="none"/>
        </w:rPr>
        <w:t>）</w:t>
      </w:r>
    </w:p>
    <w:p>
      <w:pPr>
        <w:widowControl/>
        <w:snapToGrid w:val="0"/>
        <w:spacing w:before="156" w:after="156" w:line="360" w:lineRule="auto"/>
        <w:jc w:val="center"/>
        <w:rPr>
          <w:color w:val="auto"/>
          <w:szCs w:val="21"/>
          <w:highlight w:val="none"/>
        </w:rPr>
      </w:pPr>
      <w:r>
        <w:rPr>
          <w:rFonts w:hint="eastAsia"/>
          <w:color w:val="auto"/>
          <w:sz w:val="20"/>
          <w:szCs w:val="20"/>
          <w:highlight w:val="none"/>
          <w:u w:val="single"/>
          <w:lang w:val="zh-CN"/>
        </w:rPr>
        <w:t>       </w:t>
      </w:r>
      <w:r>
        <w:rPr>
          <w:rFonts w:hint="eastAsia"/>
          <w:color w:val="auto"/>
          <w:sz w:val="20"/>
          <w:szCs w:val="20"/>
          <w:highlight w:val="none"/>
          <w:lang w:val="zh-CN"/>
        </w:rPr>
        <w:t>年</w:t>
      </w:r>
      <w:r>
        <w:rPr>
          <w:rFonts w:hint="eastAsia"/>
          <w:color w:val="auto"/>
          <w:sz w:val="20"/>
          <w:szCs w:val="20"/>
          <w:highlight w:val="none"/>
          <w:u w:val="single"/>
          <w:lang w:val="zh-CN"/>
        </w:rPr>
        <w:t xml:space="preserve">       </w:t>
      </w:r>
      <w:r>
        <w:rPr>
          <w:rFonts w:hint="eastAsia"/>
          <w:color w:val="auto"/>
          <w:sz w:val="20"/>
          <w:szCs w:val="20"/>
          <w:highlight w:val="none"/>
        </w:rPr>
        <w:t>月</w:t>
      </w:r>
      <w:r>
        <w:rPr>
          <w:rFonts w:hint="eastAsia"/>
          <w:color w:val="auto"/>
          <w:sz w:val="20"/>
          <w:szCs w:val="20"/>
          <w:highlight w:val="none"/>
          <w:u w:val="single"/>
        </w:rPr>
        <w:t xml:space="preserve">       </w:t>
      </w:r>
      <w:r>
        <w:rPr>
          <w:rFonts w:hint="eastAsia"/>
          <w:color w:val="auto"/>
          <w:sz w:val="20"/>
          <w:szCs w:val="20"/>
          <w:highlight w:val="none"/>
        </w:rPr>
        <w:t>日</w:t>
      </w:r>
    </w:p>
    <w:p>
      <w:pPr>
        <w:snapToGrid w:val="0"/>
        <w:spacing w:before="50" w:after="120" w:afterLines="50"/>
        <w:jc w:val="left"/>
        <w:rPr>
          <w:rFonts w:ascii="宋体" w:hAnsi="宋体"/>
          <w:color w:val="auto"/>
          <w:sz w:val="24"/>
          <w:szCs w:val="20"/>
          <w:highlight w:val="none"/>
        </w:rPr>
      </w:pPr>
    </w:p>
    <w:p>
      <w:pPr>
        <w:rPr>
          <w:b/>
          <w:color w:val="auto"/>
          <w:sz w:val="28"/>
          <w:szCs w:val="28"/>
          <w:highlight w:val="none"/>
        </w:rPr>
      </w:pPr>
      <w:r>
        <w:rPr>
          <w:rFonts w:ascii="宋体" w:hAnsi="宋体"/>
          <w:b/>
          <w:bCs/>
          <w:color w:val="auto"/>
          <w:sz w:val="24"/>
          <w:highlight w:val="none"/>
        </w:rPr>
        <w:br w:type="page"/>
      </w:r>
      <w:bookmarkStart w:id="158" w:name="_Toc19686840"/>
      <w:r>
        <w:rPr>
          <w:rFonts w:hint="eastAsia"/>
          <w:b/>
          <w:color w:val="auto"/>
          <w:sz w:val="28"/>
          <w:szCs w:val="28"/>
          <w:highlight w:val="none"/>
        </w:rPr>
        <w:t>五、其他文书、文件格式</w:t>
      </w:r>
      <w:bookmarkEnd w:id="158"/>
    </w:p>
    <w:p>
      <w:pPr>
        <w:snapToGrid w:val="0"/>
        <w:spacing w:before="120" w:beforeLines="50" w:after="50"/>
        <w:jc w:val="left"/>
        <w:rPr>
          <w:color w:val="auto"/>
          <w:highlight w:val="none"/>
        </w:rPr>
      </w:pPr>
      <w:r>
        <w:rPr>
          <w:rFonts w:ascii="宋体" w:hAnsi="宋体"/>
          <w:b/>
          <w:color w:val="auto"/>
          <w:sz w:val="24"/>
          <w:highlight w:val="none"/>
        </w:rPr>
        <w:t>1</w:t>
      </w:r>
      <w:r>
        <w:rPr>
          <w:rFonts w:hint="eastAsia" w:ascii="宋体" w:hAnsi="宋体"/>
          <w:b/>
          <w:color w:val="auto"/>
          <w:sz w:val="24"/>
          <w:highlight w:val="none"/>
        </w:rPr>
        <w:t>.中小企业声明函格式</w:t>
      </w:r>
    </w:p>
    <w:p>
      <w:pPr>
        <w:rPr>
          <w:color w:val="auto"/>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pPr>
        <w:spacing w:before="2" w:line="500" w:lineRule="exact"/>
        <w:rPr>
          <w:rFonts w:ascii="宋体" w:hAnsi="宋体" w:cs="宋体"/>
          <w:b/>
          <w:bCs/>
          <w:color w:val="auto"/>
          <w:sz w:val="24"/>
          <w:highlight w:val="none"/>
        </w:rPr>
      </w:pPr>
    </w:p>
    <w:p>
      <w:pPr>
        <w:pStyle w:val="18"/>
        <w:spacing w:line="500" w:lineRule="exact"/>
        <w:ind w:right="142" w:firstLine="480" w:firstLineChars="200"/>
        <w:rPr>
          <w:rFonts w:ascii="宋体" w:hAnsi="宋体"/>
          <w:color w:val="auto"/>
          <w:highlight w:val="none"/>
        </w:rPr>
      </w:pPr>
      <w:r>
        <w:rPr>
          <w:rFonts w:ascii="宋体" w:hAnsi="宋体"/>
          <w:color w:val="auto"/>
          <w:highlight w:val="none"/>
        </w:rPr>
        <w:t>本公司（联合体）郑重声明，根据《政府采购促进中小企业发展管理办法》（财库﹝2020﹞46号）的规定，本公司（联合体）参加</w:t>
      </w:r>
      <w:r>
        <w:rPr>
          <w:rFonts w:ascii="宋体" w:hAnsi="宋体"/>
          <w:color w:val="auto"/>
          <w:highlight w:val="none"/>
          <w:u w:val="single"/>
        </w:rPr>
        <w:t>（单位名称）</w:t>
      </w:r>
      <w:r>
        <w:rPr>
          <w:rFonts w:ascii="宋体" w:hAnsi="宋体"/>
          <w:color w:val="auto"/>
          <w:highlight w:val="none"/>
        </w:rPr>
        <w:t>的</w:t>
      </w:r>
      <w:r>
        <w:rPr>
          <w:rFonts w:ascii="宋体" w:hAnsi="宋体"/>
          <w:color w:val="auto"/>
          <w:highlight w:val="none"/>
          <w:u w:val="single"/>
        </w:rPr>
        <w:t>（项目名称）</w:t>
      </w:r>
      <w:r>
        <w:rPr>
          <w:rFonts w:ascii="宋体" w:hAnsi="宋体"/>
          <w:color w:val="auto"/>
          <w:highlight w:val="none"/>
        </w:rPr>
        <w:t>采购活动，</w:t>
      </w:r>
      <w:r>
        <w:rPr>
          <w:rFonts w:hint="eastAsia" w:ascii="宋体" w:hAnsi="宋体"/>
          <w:color w:val="auto"/>
          <w:highlight w:val="none"/>
        </w:rPr>
        <w:t>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86" w:firstLineChars="286"/>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686" w:firstLineChars="286"/>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8"/>
        <w:spacing w:before="34" w:line="500" w:lineRule="exact"/>
        <w:ind w:left="765" w:right="142" w:hanging="5"/>
        <w:rPr>
          <w:rFonts w:ascii="宋体" w:hAnsi="宋体"/>
          <w:color w:val="auto"/>
          <w:highlight w:val="none"/>
        </w:rPr>
      </w:pPr>
      <w:r>
        <w:rPr>
          <w:rFonts w:ascii="宋体" w:hAnsi="宋体"/>
          <w:color w:val="auto"/>
          <w:highlight w:val="none"/>
        </w:rPr>
        <w:t xml:space="preserve">…… </w:t>
      </w:r>
    </w:p>
    <w:p>
      <w:pPr>
        <w:pStyle w:val="18"/>
        <w:spacing w:before="34" w:line="500" w:lineRule="exact"/>
        <w:ind w:right="142" w:firstLine="480" w:firstLineChars="200"/>
        <w:rPr>
          <w:rFonts w:ascii="宋体" w:hAnsi="宋体"/>
          <w:color w:val="auto"/>
          <w:highlight w:val="none"/>
        </w:rPr>
      </w:pPr>
      <w:r>
        <w:rPr>
          <w:rFonts w:ascii="宋体" w:hAnsi="宋体"/>
          <w:color w:val="auto"/>
          <w:highlight w:val="none"/>
        </w:rPr>
        <w:t>以上企业，不属于大企业的分支机构，不存在控股股东为大企业的情形，也不存在与大企业的负责人为同一人的情形。</w:t>
      </w:r>
    </w:p>
    <w:p>
      <w:pPr>
        <w:pStyle w:val="18"/>
        <w:spacing w:before="34" w:line="500" w:lineRule="exact"/>
        <w:ind w:right="142" w:firstLine="480" w:firstLineChars="200"/>
        <w:rPr>
          <w:rFonts w:ascii="宋体" w:hAnsi="宋体"/>
          <w:color w:val="auto"/>
          <w:highlight w:val="none"/>
        </w:rPr>
      </w:pPr>
      <w:r>
        <w:rPr>
          <w:rFonts w:ascii="宋体" w:hAnsi="宋体"/>
          <w:color w:val="auto"/>
          <w:highlight w:val="none"/>
        </w:rPr>
        <w:t>本企业对上述声明内容的真实性负责。如有虚假，将依法承担相应责任。</w:t>
      </w:r>
    </w:p>
    <w:p>
      <w:pPr>
        <w:pStyle w:val="18"/>
        <w:spacing w:before="56" w:line="500" w:lineRule="exact"/>
        <w:ind w:left="3960" w:right="1808"/>
        <w:rPr>
          <w:rFonts w:ascii="宋体" w:hAnsi="宋体"/>
          <w:color w:val="auto"/>
          <w:highlight w:val="none"/>
        </w:rPr>
      </w:pPr>
      <w:r>
        <w:rPr>
          <w:rFonts w:ascii="宋体" w:hAnsi="宋体"/>
          <w:color w:val="auto"/>
          <w:kern w:val="24"/>
          <w:highlight w:val="none"/>
        </w:rPr>
        <w:t>企业名称（</w:t>
      </w:r>
      <w:r>
        <w:rPr>
          <w:rFonts w:hint="eastAsia" w:ascii="宋体" w:hAnsi="宋体"/>
          <w:color w:val="auto"/>
          <w:kern w:val="24"/>
          <w:highlight w:val="none"/>
        </w:rPr>
        <w:t>电子签章</w:t>
      </w:r>
      <w:r>
        <w:rPr>
          <w:rFonts w:ascii="宋体" w:hAnsi="宋体"/>
          <w:color w:val="auto"/>
          <w:kern w:val="24"/>
          <w:highlight w:val="none"/>
        </w:rPr>
        <w:t>）：</w:t>
      </w:r>
      <w:r>
        <w:rPr>
          <w:rFonts w:ascii="宋体" w:hAnsi="宋体"/>
          <w:color w:val="auto"/>
          <w:highlight w:val="none"/>
        </w:rPr>
        <w:t xml:space="preserve"> </w:t>
      </w:r>
    </w:p>
    <w:p>
      <w:pPr>
        <w:pStyle w:val="18"/>
        <w:spacing w:before="56" w:line="500" w:lineRule="exact"/>
        <w:ind w:left="3960" w:right="1808"/>
        <w:rPr>
          <w:rFonts w:ascii="宋体" w:hAnsi="宋体"/>
          <w:color w:val="auto"/>
          <w:highlight w:val="none"/>
        </w:rPr>
      </w:pPr>
      <w:r>
        <w:rPr>
          <w:rFonts w:ascii="宋体" w:hAnsi="宋体"/>
          <w:color w:val="auto"/>
          <w:highlight w:val="none"/>
        </w:rPr>
        <w:t>日 期：</w:t>
      </w:r>
    </w:p>
    <w:p>
      <w:pPr>
        <w:rPr>
          <w:rFonts w:ascii="宋体" w:hAnsi="宋体"/>
          <w:color w:val="auto"/>
          <w:sz w:val="24"/>
          <w:highlight w:val="none"/>
        </w:rPr>
      </w:pPr>
      <w:r>
        <w:rPr>
          <w:rFonts w:hint="eastAsia" w:ascii="宋体" w:hAnsi="宋体"/>
          <w:color w:val="auto"/>
          <w:spacing w:val="6"/>
          <w:sz w:val="24"/>
          <w:highlight w:val="none"/>
        </w:rPr>
        <w:t xml:space="preserve"> </w:t>
      </w:r>
    </w:p>
    <w:p>
      <w:pPr>
        <w:rPr>
          <w:rFonts w:ascii="宋体" w:hAnsi="宋体"/>
          <w:b/>
          <w:color w:val="auto"/>
          <w:sz w:val="24"/>
          <w:highlight w:val="none"/>
        </w:rPr>
      </w:pPr>
      <w:r>
        <w:rPr>
          <w:rFonts w:hint="eastAsia" w:ascii="宋体" w:hAnsi="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color w:val="auto"/>
          <w:highlight w:val="none"/>
        </w:rPr>
        <w:br w:type="page"/>
      </w:r>
      <w:r>
        <w:rPr>
          <w:rFonts w:ascii="宋体" w:hAnsi="宋体"/>
          <w:b/>
          <w:color w:val="auto"/>
          <w:sz w:val="24"/>
          <w:highlight w:val="none"/>
        </w:rPr>
        <w:t>2</w:t>
      </w:r>
      <w:r>
        <w:rPr>
          <w:rFonts w:hint="eastAsia" w:ascii="宋体" w:hAnsi="宋体"/>
          <w:b/>
          <w:color w:val="auto"/>
          <w:sz w:val="24"/>
          <w:highlight w:val="none"/>
        </w:rPr>
        <w:t>.残疾人福利性单位声明函格式</w:t>
      </w:r>
    </w:p>
    <w:p>
      <w:pPr>
        <w:spacing w:line="588" w:lineRule="exact"/>
        <w:jc w:val="center"/>
        <w:rPr>
          <w:rFonts w:ascii="仿宋_GB2312" w:eastAsia="仿宋_GB2312"/>
          <w:b/>
          <w:color w:val="auto"/>
          <w:spacing w:val="6"/>
          <w:sz w:val="32"/>
          <w:szCs w:val="32"/>
          <w:highlight w:val="none"/>
        </w:rPr>
      </w:pPr>
      <w:bookmarkStart w:id="159" w:name="OLE_LINK13"/>
      <w:bookmarkStart w:id="160" w:name="OLE_LINK14"/>
    </w:p>
    <w:p>
      <w:pPr>
        <w:spacing w:line="588" w:lineRule="exact"/>
        <w:jc w:val="center"/>
        <w:rPr>
          <w:rFonts w:ascii="方正小标宋简体" w:hAnsi="方正小标宋简体" w:eastAsia="方正小标宋简体" w:cs="方正小标宋简体"/>
          <w:bCs/>
          <w:color w:val="auto"/>
          <w:spacing w:val="6"/>
          <w:sz w:val="44"/>
          <w:szCs w:val="44"/>
          <w:highlight w:val="none"/>
        </w:rPr>
      </w:pPr>
      <w:r>
        <w:rPr>
          <w:rFonts w:hint="eastAsia" w:ascii="方正小标宋简体" w:hAnsi="方正小标宋简体" w:eastAsia="方正小标宋简体" w:cs="方正小标宋简体"/>
          <w:bCs/>
          <w:color w:val="auto"/>
          <w:spacing w:val="6"/>
          <w:sz w:val="44"/>
          <w:szCs w:val="44"/>
          <w:highlight w:val="none"/>
        </w:rPr>
        <w:t>残疾人福利性单位声明函</w:t>
      </w:r>
    </w:p>
    <w:bookmarkEnd w:id="159"/>
    <w:bookmarkEnd w:id="160"/>
    <w:p>
      <w:pPr>
        <w:spacing w:line="588" w:lineRule="exact"/>
        <w:rPr>
          <w:rFonts w:ascii="仿宋_GB2312" w:eastAsia="仿宋_GB2312"/>
          <w:b/>
          <w:color w:val="auto"/>
          <w:spacing w:val="6"/>
          <w:sz w:val="30"/>
          <w:szCs w:val="30"/>
          <w:highlight w:val="none"/>
        </w:rPr>
      </w:pP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pPr>
        <w:spacing w:line="360" w:lineRule="auto"/>
        <w:ind w:firstLine="504" w:firstLineChars="200"/>
        <w:contextualSpacing/>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contextualSpacing/>
        <w:rPr>
          <w:rFonts w:ascii="宋体" w:hAnsi="宋体"/>
          <w:color w:val="auto"/>
          <w:spacing w:val="6"/>
          <w:sz w:val="24"/>
          <w:highlight w:val="none"/>
        </w:rPr>
      </w:pPr>
    </w:p>
    <w:p>
      <w:pPr>
        <w:spacing w:line="360" w:lineRule="auto"/>
        <w:ind w:firstLine="504" w:firstLineChars="200"/>
        <w:contextualSpacing/>
        <w:rPr>
          <w:rFonts w:ascii="宋体" w:hAnsi="宋体"/>
          <w:color w:val="auto"/>
          <w:spacing w:val="6"/>
          <w:sz w:val="24"/>
          <w:highlight w:val="none"/>
        </w:rPr>
      </w:pP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单位名称（电子签章）：</w:t>
      </w:r>
    </w:p>
    <w:p>
      <w:pPr>
        <w:tabs>
          <w:tab w:val="left" w:pos="4860"/>
        </w:tabs>
        <w:spacing w:line="360" w:lineRule="auto"/>
        <w:ind w:right="1560" w:firstLine="504" w:firstLineChars="200"/>
        <w:contextualSpacing/>
        <w:jc w:val="center"/>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p>
    <w:p>
      <w:pPr>
        <w:spacing w:line="360" w:lineRule="auto"/>
        <w:contextualSpacing/>
        <w:rPr>
          <w:rFonts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b/>
          <w:bCs/>
          <w:color w:val="auto"/>
          <w:sz w:val="32"/>
          <w:szCs w:val="32"/>
          <w:highlight w:val="none"/>
        </w:rPr>
      </w:pPr>
      <w:r>
        <w:rPr>
          <w:rFonts w:ascii="宋体" w:hAnsi="宋体"/>
          <w:color w:val="auto"/>
          <w:sz w:val="24"/>
          <w:highlight w:val="none"/>
        </w:rPr>
        <w:br w:type="page"/>
      </w:r>
      <w:r>
        <w:rPr>
          <w:rFonts w:ascii="宋体" w:hAnsi="宋体"/>
          <w:b/>
          <w:color w:val="auto"/>
          <w:sz w:val="24"/>
          <w:highlight w:val="none"/>
        </w:rPr>
        <w:t>3</w:t>
      </w:r>
      <w:r>
        <w:rPr>
          <w:rFonts w:hint="eastAsia" w:ascii="宋体" w:hAnsi="宋体"/>
          <w:b/>
          <w:color w:val="auto"/>
          <w:sz w:val="24"/>
          <w:highlight w:val="none"/>
        </w:rPr>
        <w:t>.质疑函（格式）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w:t>
      </w:r>
    </w:p>
    <w:p>
      <w:pPr>
        <w:pStyle w:val="23"/>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pPr>
        <w:pStyle w:val="23"/>
        <w:spacing w:line="360" w:lineRule="auto"/>
        <w:ind w:left="25" w:leftChars="12" w:firstLine="352" w:firstLineChars="147"/>
        <w:rPr>
          <w:rFonts w:hAnsi="宋体"/>
          <w:color w:val="auto"/>
          <w:sz w:val="24"/>
          <w:szCs w:val="24"/>
          <w:highlight w:val="none"/>
        </w:rPr>
      </w:pPr>
      <w:r>
        <w:rPr>
          <w:rFonts w:hint="eastAsia" w:hAnsi="宋体"/>
          <w:color w:val="auto"/>
          <w:sz w:val="24"/>
          <w:szCs w:val="24"/>
          <w:highlight w:val="none"/>
        </w:rPr>
        <w:t xml:space="preserve">□采购过程   </w:t>
      </w:r>
    </w:p>
    <w:p>
      <w:pPr>
        <w:pStyle w:val="23"/>
        <w:spacing w:line="360" w:lineRule="auto"/>
        <w:ind w:left="25" w:leftChars="12" w:firstLine="352" w:firstLineChars="147"/>
        <w:rPr>
          <w:rFonts w:hAnsi="宋体"/>
          <w:bCs/>
          <w:color w:val="auto"/>
          <w:sz w:val="24"/>
          <w:szCs w:val="24"/>
          <w:highlight w:val="none"/>
          <w:u w:val="single"/>
        </w:rPr>
      </w:pPr>
      <w:r>
        <w:rPr>
          <w:rFonts w:hint="eastAsia" w:hAnsi="宋体"/>
          <w:color w:val="auto"/>
          <w:sz w:val="24"/>
          <w:szCs w:val="24"/>
          <w:highlight w:val="none"/>
        </w:rPr>
        <w:t xml:space="preserve">□采购结果   </w:t>
      </w:r>
    </w:p>
    <w:p>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三、质疑事项具体内容</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质疑事项2</w:t>
      </w:r>
    </w:p>
    <w:p>
      <w:pPr>
        <w:pStyle w:val="23"/>
        <w:spacing w:line="360" w:lineRule="auto"/>
        <w:ind w:left="25" w:leftChars="12" w:firstLine="472" w:firstLineChars="197"/>
        <w:rPr>
          <w:rFonts w:hAnsi="宋体"/>
          <w:color w:val="auto"/>
          <w:sz w:val="24"/>
          <w:szCs w:val="24"/>
          <w:highlight w:val="none"/>
        </w:rPr>
      </w:pPr>
      <w:r>
        <w:rPr>
          <w:rFonts w:hAnsi="宋体"/>
          <w:color w:val="auto"/>
          <w:sz w:val="24"/>
          <w:szCs w:val="24"/>
          <w:highlight w:val="none"/>
        </w:rPr>
        <w:t>……</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四、与质疑事项相关的质疑请求：</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3"/>
        <w:spacing w:line="360" w:lineRule="auto"/>
        <w:ind w:left="25" w:leftChars="12" w:firstLine="352" w:firstLineChars="147"/>
        <w:rPr>
          <w:rFonts w:hAnsi="宋体"/>
          <w:color w:val="auto"/>
          <w:sz w:val="24"/>
          <w:szCs w:val="24"/>
          <w:highlight w:val="none"/>
        </w:rPr>
      </w:pP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3"/>
        <w:spacing w:line="360" w:lineRule="auto"/>
        <w:ind w:left="25" w:leftChars="12" w:firstLine="352" w:firstLineChars="147"/>
        <w:rPr>
          <w:rFonts w:hAnsi="宋体"/>
          <w:color w:val="auto"/>
          <w:sz w:val="24"/>
          <w:szCs w:val="24"/>
          <w:highlight w:val="none"/>
        </w:rPr>
      </w:pP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3"/>
        <w:snapToGrid w:val="0"/>
        <w:spacing w:line="360" w:lineRule="auto"/>
        <w:rPr>
          <w:rFonts w:hAnsi="宋体"/>
          <w:b/>
          <w:color w:val="auto"/>
          <w:sz w:val="24"/>
          <w:szCs w:val="24"/>
          <w:highlight w:val="none"/>
        </w:rPr>
      </w:pPr>
    </w:p>
    <w:p>
      <w:pPr>
        <w:pStyle w:val="2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spacing w:line="460" w:lineRule="exact"/>
        <w:rPr>
          <w:rFonts w:eastAsia="隶书"/>
          <w:color w:val="auto"/>
          <w:sz w:val="44"/>
          <w:highlight w:val="none"/>
        </w:rPr>
      </w:pPr>
    </w:p>
    <w:p>
      <w:pPr>
        <w:spacing w:line="360" w:lineRule="auto"/>
        <w:jc w:val="left"/>
        <w:rPr>
          <w:rFonts w:ascii="宋体" w:hAnsi="宋体"/>
          <w:b/>
          <w:color w:val="auto"/>
          <w:sz w:val="24"/>
          <w:highlight w:val="none"/>
        </w:rPr>
      </w:pPr>
      <w:r>
        <w:rPr>
          <w:rFonts w:ascii="宋体" w:hAnsi="宋体"/>
          <w:b/>
          <w:color w:val="auto"/>
          <w:sz w:val="24"/>
          <w:highlight w:val="none"/>
        </w:rPr>
        <w:br w:type="page"/>
      </w:r>
      <w:r>
        <w:rPr>
          <w:rFonts w:ascii="宋体" w:hAnsi="宋体"/>
          <w:b/>
          <w:color w:val="auto"/>
          <w:sz w:val="24"/>
          <w:highlight w:val="none"/>
        </w:rPr>
        <w:t>4</w:t>
      </w:r>
      <w:r>
        <w:rPr>
          <w:rFonts w:hint="eastAsia" w:ascii="宋体" w:hAnsi="宋体"/>
          <w:b/>
          <w:color w:val="auto"/>
          <w:sz w:val="24"/>
          <w:highlight w:val="none"/>
        </w:rPr>
        <w:t>.投诉书（格式）</w:t>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被投诉人1：</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被投诉人2：</w:t>
      </w:r>
    </w:p>
    <w:p>
      <w:pPr>
        <w:pStyle w:val="23"/>
        <w:snapToGrid w:val="0"/>
        <w:spacing w:line="360" w:lineRule="auto"/>
        <w:ind w:firstLine="480" w:firstLineChars="200"/>
        <w:jc w:val="left"/>
        <w:rPr>
          <w:rFonts w:hAnsi="宋体"/>
          <w:bCs/>
          <w:color w:val="auto"/>
          <w:sz w:val="24"/>
          <w:szCs w:val="24"/>
          <w:highlight w:val="none"/>
        </w:rPr>
      </w:pPr>
      <w:r>
        <w:rPr>
          <w:rFonts w:hAnsi="宋体"/>
          <w:bCs/>
          <w:color w:val="auto"/>
          <w:sz w:val="24"/>
          <w:szCs w:val="24"/>
          <w:highlight w:val="none"/>
        </w:rPr>
        <w:t>……</w:t>
      </w:r>
    </w:p>
    <w:p>
      <w:pPr>
        <w:pStyle w:val="23"/>
        <w:snapToGrid w:val="0"/>
        <w:spacing w:line="360" w:lineRule="auto"/>
        <w:ind w:firstLine="480" w:firstLineChars="200"/>
        <w:jc w:val="left"/>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pPr>
        <w:pStyle w:val="23"/>
        <w:snapToGrid w:val="0"/>
        <w:spacing w:line="360" w:lineRule="auto"/>
        <w:ind w:firstLine="480" w:firstLineChars="200"/>
        <w:jc w:val="left"/>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3"/>
        <w:spacing w:line="360" w:lineRule="auto"/>
        <w:ind w:left="25" w:leftChars="12" w:firstLine="480" w:firstLineChars="200"/>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pPr>
        <w:pStyle w:val="23"/>
        <w:spacing w:line="360" w:lineRule="auto"/>
        <w:ind w:firstLine="241"/>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3"/>
        <w:spacing w:line="360" w:lineRule="auto"/>
        <w:ind w:firstLine="241"/>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pPr>
        <w:pStyle w:val="23"/>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pPr>
        <w:pStyle w:val="2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pPr>
        <w:pStyle w:val="2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pPr>
        <w:pStyle w:val="23"/>
        <w:spacing w:line="360" w:lineRule="auto"/>
        <w:ind w:left="25" w:leftChars="12" w:firstLine="352" w:firstLineChars="147"/>
        <w:rPr>
          <w:rFonts w:hAnsi="宋体"/>
          <w:color w:val="auto"/>
          <w:sz w:val="24"/>
          <w:szCs w:val="24"/>
          <w:highlight w:val="none"/>
        </w:rPr>
      </w:pP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3"/>
        <w:spacing w:line="360" w:lineRule="auto"/>
        <w:ind w:left="25" w:leftChars="12" w:firstLine="352" w:firstLineChars="147"/>
        <w:rPr>
          <w:rFonts w:hAnsi="宋体"/>
          <w:color w:val="auto"/>
          <w:sz w:val="24"/>
          <w:szCs w:val="24"/>
          <w:highlight w:val="none"/>
        </w:rPr>
      </w:pPr>
    </w:p>
    <w:p>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 xml:space="preserve">                                                                                </w:t>
      </w:r>
      <w:r>
        <w:rPr>
          <w:rFonts w:hint="eastAsia" w:hAnsi="宋体"/>
          <w:b/>
          <w:color w:val="auto"/>
          <w:sz w:val="24"/>
          <w:szCs w:val="24"/>
          <w:highlight w:val="none"/>
        </w:rPr>
        <w:t>说明：</w:t>
      </w:r>
    </w:p>
    <w:p>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panose1 w:val="020406040505050203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mp;quot">
    <w:altName w:val="Cambria"/>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9</w:t>
                    </w:r>
                    <w: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10</w:t>
                    </w:r>
                    <w:r>
                      <w:fldChar w:fldCharType="end"/>
                    </w: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0"/>
      </w:rPr>
    </w:pPr>
    <w:r>
      <w:fldChar w:fldCharType="begin"/>
    </w:r>
    <w:r>
      <w:rPr>
        <w:rStyle w:val="50"/>
      </w:rPr>
      <w:instrText xml:space="preserve">PAGE  </w:instrText>
    </w:r>
    <w:r>
      <w:fldChar w:fldCharType="separate"/>
    </w:r>
    <w:r>
      <w:rPr>
        <w:rStyle w:val="50"/>
      </w:rPr>
      <w:t>122</w:t>
    </w:r>
    <w:r>
      <w:fldChar w:fldCharType="end"/>
    </w:r>
  </w:p>
  <w:p>
    <w:pPr>
      <w:pStyle w:val="29"/>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H1+Z8QBAACQ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H1+Z8QBAACQAwAADgAAAAAAAAABACAAAAAeAQAAZHJzL2Uyb0RvYy54bWxQ&#10;SwUGAAAAAAYABgBZAQAAV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72</w:t>
                    </w:r>
                    <w:r>
                      <w:fldChar w:fldCharType="end"/>
                    </w:r>
                  </w:p>
                </w:txbxContent>
              </v:textbox>
            </v:shape>
          </w:pict>
        </mc:Fallback>
      </mc:AlternateContent>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end"/>
    </w:r>
  </w:p>
  <w:p>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o/YsMBAACQAwAADgAAAGRycy9lMm9Eb2MueG1srVPNjtMwEL4j8Q6W&#10;79RpQ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wSj9iwwEAAJADAAAOAAAAAAAAAAEAIAAAAB4BAABkcnMvZTJvRG9jLnhtbFBL&#10;BQYAAAAABgAGAFkBAABT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lvl>
  </w:abstractNum>
  <w:abstractNum w:abstractNumId="3">
    <w:nsid w:val="5FABD14B"/>
    <w:multiLevelType w:val="singleLevel"/>
    <w:tmpl w:val="5FABD14B"/>
    <w:lvl w:ilvl="0" w:tentative="0">
      <w:start w:val="1"/>
      <w:numFmt w:val="decimal"/>
      <w:suff w:val="nothing"/>
      <w:lvlText w:val="（%1）"/>
      <w:lvlJc w:val="left"/>
    </w:lvl>
  </w:abstractNum>
  <w:abstractNum w:abstractNumId="4">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jRhYWMwYWVjY2I0ODhkY2IzMzc4YmMyZjJmOGMifQ=="/>
  </w:docVars>
  <w:rsids>
    <w:rsidRoot w:val="00F9008B"/>
    <w:rsid w:val="0000010C"/>
    <w:rsid w:val="000002F9"/>
    <w:rsid w:val="00000D21"/>
    <w:rsid w:val="00000FE0"/>
    <w:rsid w:val="00001068"/>
    <w:rsid w:val="000010B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025"/>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5C8"/>
    <w:rsid w:val="00020607"/>
    <w:rsid w:val="0002103A"/>
    <w:rsid w:val="000217E4"/>
    <w:rsid w:val="00021852"/>
    <w:rsid w:val="00021A12"/>
    <w:rsid w:val="00022622"/>
    <w:rsid w:val="00023363"/>
    <w:rsid w:val="000235F3"/>
    <w:rsid w:val="00023644"/>
    <w:rsid w:val="00023712"/>
    <w:rsid w:val="0002476C"/>
    <w:rsid w:val="00024E3C"/>
    <w:rsid w:val="00024EB0"/>
    <w:rsid w:val="00024EC8"/>
    <w:rsid w:val="00025A93"/>
    <w:rsid w:val="0002646A"/>
    <w:rsid w:val="0002651D"/>
    <w:rsid w:val="00026CFD"/>
    <w:rsid w:val="000279F9"/>
    <w:rsid w:val="00027A11"/>
    <w:rsid w:val="00027C8B"/>
    <w:rsid w:val="00027CD9"/>
    <w:rsid w:val="00030242"/>
    <w:rsid w:val="00030783"/>
    <w:rsid w:val="00030B06"/>
    <w:rsid w:val="0003183A"/>
    <w:rsid w:val="00031CDC"/>
    <w:rsid w:val="00031DC8"/>
    <w:rsid w:val="0003263B"/>
    <w:rsid w:val="0003282C"/>
    <w:rsid w:val="00032CE5"/>
    <w:rsid w:val="0003304A"/>
    <w:rsid w:val="0003317E"/>
    <w:rsid w:val="00033413"/>
    <w:rsid w:val="000337F3"/>
    <w:rsid w:val="00034C27"/>
    <w:rsid w:val="00034E2A"/>
    <w:rsid w:val="0003577F"/>
    <w:rsid w:val="000361E7"/>
    <w:rsid w:val="00036466"/>
    <w:rsid w:val="0003675E"/>
    <w:rsid w:val="00037354"/>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258"/>
    <w:rsid w:val="000454F4"/>
    <w:rsid w:val="00045670"/>
    <w:rsid w:val="00045D1E"/>
    <w:rsid w:val="00045E69"/>
    <w:rsid w:val="00045EF4"/>
    <w:rsid w:val="00046547"/>
    <w:rsid w:val="000466D7"/>
    <w:rsid w:val="00046753"/>
    <w:rsid w:val="00047254"/>
    <w:rsid w:val="000472FD"/>
    <w:rsid w:val="0005022B"/>
    <w:rsid w:val="00050771"/>
    <w:rsid w:val="000513F3"/>
    <w:rsid w:val="00052287"/>
    <w:rsid w:val="000522E0"/>
    <w:rsid w:val="00052609"/>
    <w:rsid w:val="000532F4"/>
    <w:rsid w:val="000536AE"/>
    <w:rsid w:val="00054CD5"/>
    <w:rsid w:val="00054D03"/>
    <w:rsid w:val="0005500B"/>
    <w:rsid w:val="000550AC"/>
    <w:rsid w:val="0005580E"/>
    <w:rsid w:val="0005584D"/>
    <w:rsid w:val="00055CC3"/>
    <w:rsid w:val="00055CEE"/>
    <w:rsid w:val="000560F8"/>
    <w:rsid w:val="000566FA"/>
    <w:rsid w:val="00056A2B"/>
    <w:rsid w:val="00056ADC"/>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587"/>
    <w:rsid w:val="00063BE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A09"/>
    <w:rsid w:val="00070C3F"/>
    <w:rsid w:val="0007102C"/>
    <w:rsid w:val="00071D68"/>
    <w:rsid w:val="00071FCE"/>
    <w:rsid w:val="00072661"/>
    <w:rsid w:val="00072CCC"/>
    <w:rsid w:val="00073549"/>
    <w:rsid w:val="00073A58"/>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789"/>
    <w:rsid w:val="00085C12"/>
    <w:rsid w:val="00085DA0"/>
    <w:rsid w:val="00085F82"/>
    <w:rsid w:val="00086506"/>
    <w:rsid w:val="00086B6E"/>
    <w:rsid w:val="00086C64"/>
    <w:rsid w:val="00086E15"/>
    <w:rsid w:val="0008781A"/>
    <w:rsid w:val="00090951"/>
    <w:rsid w:val="00090A61"/>
    <w:rsid w:val="000918F5"/>
    <w:rsid w:val="000919B5"/>
    <w:rsid w:val="00091C1D"/>
    <w:rsid w:val="00091E08"/>
    <w:rsid w:val="00091E29"/>
    <w:rsid w:val="000922D8"/>
    <w:rsid w:val="0009279B"/>
    <w:rsid w:val="000932E7"/>
    <w:rsid w:val="0009333A"/>
    <w:rsid w:val="00093459"/>
    <w:rsid w:val="00093B8B"/>
    <w:rsid w:val="000951E7"/>
    <w:rsid w:val="000953C5"/>
    <w:rsid w:val="00095B82"/>
    <w:rsid w:val="00095C26"/>
    <w:rsid w:val="00096098"/>
    <w:rsid w:val="000961C5"/>
    <w:rsid w:val="000968AF"/>
    <w:rsid w:val="000969D9"/>
    <w:rsid w:val="00096F37"/>
    <w:rsid w:val="00097036"/>
    <w:rsid w:val="00097FE5"/>
    <w:rsid w:val="000A0354"/>
    <w:rsid w:val="000A091F"/>
    <w:rsid w:val="000A0958"/>
    <w:rsid w:val="000A0FCC"/>
    <w:rsid w:val="000A1033"/>
    <w:rsid w:val="000A12F3"/>
    <w:rsid w:val="000A2712"/>
    <w:rsid w:val="000A2877"/>
    <w:rsid w:val="000A2D31"/>
    <w:rsid w:val="000A355D"/>
    <w:rsid w:val="000A35DA"/>
    <w:rsid w:val="000A371E"/>
    <w:rsid w:val="000A3DE5"/>
    <w:rsid w:val="000A3E35"/>
    <w:rsid w:val="000A4011"/>
    <w:rsid w:val="000A4397"/>
    <w:rsid w:val="000A45D5"/>
    <w:rsid w:val="000A490E"/>
    <w:rsid w:val="000A5B49"/>
    <w:rsid w:val="000A5FE5"/>
    <w:rsid w:val="000A688F"/>
    <w:rsid w:val="000A7218"/>
    <w:rsid w:val="000A740A"/>
    <w:rsid w:val="000A7446"/>
    <w:rsid w:val="000A7A56"/>
    <w:rsid w:val="000A7E7F"/>
    <w:rsid w:val="000A7ECD"/>
    <w:rsid w:val="000B0379"/>
    <w:rsid w:val="000B04DD"/>
    <w:rsid w:val="000B0AE4"/>
    <w:rsid w:val="000B0F01"/>
    <w:rsid w:val="000B1079"/>
    <w:rsid w:val="000B1346"/>
    <w:rsid w:val="000B1795"/>
    <w:rsid w:val="000B1914"/>
    <w:rsid w:val="000B1926"/>
    <w:rsid w:val="000B19DC"/>
    <w:rsid w:val="000B1C6B"/>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02E"/>
    <w:rsid w:val="000B6BF0"/>
    <w:rsid w:val="000B6CE8"/>
    <w:rsid w:val="000B7DAF"/>
    <w:rsid w:val="000C01A9"/>
    <w:rsid w:val="000C071C"/>
    <w:rsid w:val="000C0BB4"/>
    <w:rsid w:val="000C0BEE"/>
    <w:rsid w:val="000C1CB9"/>
    <w:rsid w:val="000C2159"/>
    <w:rsid w:val="000C21BB"/>
    <w:rsid w:val="000C289B"/>
    <w:rsid w:val="000C34B8"/>
    <w:rsid w:val="000C3F01"/>
    <w:rsid w:val="000C420D"/>
    <w:rsid w:val="000C4773"/>
    <w:rsid w:val="000C4944"/>
    <w:rsid w:val="000C4A71"/>
    <w:rsid w:val="000C4E24"/>
    <w:rsid w:val="000C5C4A"/>
    <w:rsid w:val="000C5F01"/>
    <w:rsid w:val="000C6079"/>
    <w:rsid w:val="000C63C4"/>
    <w:rsid w:val="000C66C1"/>
    <w:rsid w:val="000C69A6"/>
    <w:rsid w:val="000C6F0B"/>
    <w:rsid w:val="000C6F32"/>
    <w:rsid w:val="000C6F79"/>
    <w:rsid w:val="000C708E"/>
    <w:rsid w:val="000C778C"/>
    <w:rsid w:val="000C7833"/>
    <w:rsid w:val="000C7DFB"/>
    <w:rsid w:val="000C7E1B"/>
    <w:rsid w:val="000C7E73"/>
    <w:rsid w:val="000D001B"/>
    <w:rsid w:val="000D0A45"/>
    <w:rsid w:val="000D0ECE"/>
    <w:rsid w:val="000D136E"/>
    <w:rsid w:val="000D14AC"/>
    <w:rsid w:val="000D15BA"/>
    <w:rsid w:val="000D1606"/>
    <w:rsid w:val="000D2C9B"/>
    <w:rsid w:val="000D35FD"/>
    <w:rsid w:val="000D39FB"/>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D7E23"/>
    <w:rsid w:val="000E042A"/>
    <w:rsid w:val="000E04D6"/>
    <w:rsid w:val="000E0644"/>
    <w:rsid w:val="000E076D"/>
    <w:rsid w:val="000E0CD2"/>
    <w:rsid w:val="000E0CD5"/>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5F12"/>
    <w:rsid w:val="000E65D2"/>
    <w:rsid w:val="000E6919"/>
    <w:rsid w:val="000E6B1B"/>
    <w:rsid w:val="000E6F0C"/>
    <w:rsid w:val="000E732D"/>
    <w:rsid w:val="000E7359"/>
    <w:rsid w:val="000F07ED"/>
    <w:rsid w:val="000F0CF2"/>
    <w:rsid w:val="000F14F6"/>
    <w:rsid w:val="000F1A32"/>
    <w:rsid w:val="000F1CC2"/>
    <w:rsid w:val="000F1D15"/>
    <w:rsid w:val="000F25BC"/>
    <w:rsid w:val="000F270A"/>
    <w:rsid w:val="000F27E3"/>
    <w:rsid w:val="000F34C8"/>
    <w:rsid w:val="000F38BC"/>
    <w:rsid w:val="000F3E2A"/>
    <w:rsid w:val="000F4D26"/>
    <w:rsid w:val="000F5639"/>
    <w:rsid w:val="000F58A4"/>
    <w:rsid w:val="000F6833"/>
    <w:rsid w:val="000F6A24"/>
    <w:rsid w:val="000F7603"/>
    <w:rsid w:val="000F7616"/>
    <w:rsid w:val="000F7DE9"/>
    <w:rsid w:val="000F7F7A"/>
    <w:rsid w:val="0010004B"/>
    <w:rsid w:val="001002F4"/>
    <w:rsid w:val="001011FC"/>
    <w:rsid w:val="0010165F"/>
    <w:rsid w:val="001018C1"/>
    <w:rsid w:val="00101E7C"/>
    <w:rsid w:val="00102260"/>
    <w:rsid w:val="001023DC"/>
    <w:rsid w:val="0010256D"/>
    <w:rsid w:val="00102572"/>
    <w:rsid w:val="001028BB"/>
    <w:rsid w:val="00102946"/>
    <w:rsid w:val="00102FBF"/>
    <w:rsid w:val="0010333D"/>
    <w:rsid w:val="0010372A"/>
    <w:rsid w:val="00103F41"/>
    <w:rsid w:val="00104E77"/>
    <w:rsid w:val="00104F34"/>
    <w:rsid w:val="00104F3E"/>
    <w:rsid w:val="001053C5"/>
    <w:rsid w:val="001055AD"/>
    <w:rsid w:val="0010593C"/>
    <w:rsid w:val="00105C14"/>
    <w:rsid w:val="00105C28"/>
    <w:rsid w:val="001065A3"/>
    <w:rsid w:val="0010691D"/>
    <w:rsid w:val="00106B33"/>
    <w:rsid w:val="00106E69"/>
    <w:rsid w:val="00106FAB"/>
    <w:rsid w:val="00110764"/>
    <w:rsid w:val="00110AC5"/>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05F"/>
    <w:rsid w:val="001153EF"/>
    <w:rsid w:val="00115965"/>
    <w:rsid w:val="00115D55"/>
    <w:rsid w:val="00115E45"/>
    <w:rsid w:val="00115F85"/>
    <w:rsid w:val="00115FD1"/>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55B"/>
    <w:rsid w:val="00127D2B"/>
    <w:rsid w:val="00127F09"/>
    <w:rsid w:val="0013002A"/>
    <w:rsid w:val="0013085D"/>
    <w:rsid w:val="0013089C"/>
    <w:rsid w:val="00130A2D"/>
    <w:rsid w:val="00130F54"/>
    <w:rsid w:val="00131888"/>
    <w:rsid w:val="00131F17"/>
    <w:rsid w:val="001323F9"/>
    <w:rsid w:val="0013251F"/>
    <w:rsid w:val="00132E1E"/>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B92"/>
    <w:rsid w:val="00136C3B"/>
    <w:rsid w:val="00137103"/>
    <w:rsid w:val="001376AB"/>
    <w:rsid w:val="0013777C"/>
    <w:rsid w:val="00137D5F"/>
    <w:rsid w:val="00140082"/>
    <w:rsid w:val="00140175"/>
    <w:rsid w:val="00140757"/>
    <w:rsid w:val="00140B62"/>
    <w:rsid w:val="00140D07"/>
    <w:rsid w:val="00141A3A"/>
    <w:rsid w:val="001422F4"/>
    <w:rsid w:val="001423FA"/>
    <w:rsid w:val="001427B5"/>
    <w:rsid w:val="001428CF"/>
    <w:rsid w:val="00142D0C"/>
    <w:rsid w:val="00142E3C"/>
    <w:rsid w:val="00144013"/>
    <w:rsid w:val="00144D95"/>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1FB1"/>
    <w:rsid w:val="00152095"/>
    <w:rsid w:val="00152289"/>
    <w:rsid w:val="00152425"/>
    <w:rsid w:val="00152BAD"/>
    <w:rsid w:val="00152CE3"/>
    <w:rsid w:val="00153633"/>
    <w:rsid w:val="00153652"/>
    <w:rsid w:val="00153697"/>
    <w:rsid w:val="00153956"/>
    <w:rsid w:val="00153B95"/>
    <w:rsid w:val="00154146"/>
    <w:rsid w:val="00154190"/>
    <w:rsid w:val="001545EA"/>
    <w:rsid w:val="001548F2"/>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8D6"/>
    <w:rsid w:val="00164E0A"/>
    <w:rsid w:val="0016520F"/>
    <w:rsid w:val="001652D7"/>
    <w:rsid w:val="0016596E"/>
    <w:rsid w:val="00165A5F"/>
    <w:rsid w:val="00166223"/>
    <w:rsid w:val="00166492"/>
    <w:rsid w:val="001670D8"/>
    <w:rsid w:val="0016793E"/>
    <w:rsid w:val="00167D4D"/>
    <w:rsid w:val="00167F5A"/>
    <w:rsid w:val="00170635"/>
    <w:rsid w:val="0017070D"/>
    <w:rsid w:val="00170837"/>
    <w:rsid w:val="00171035"/>
    <w:rsid w:val="001713B7"/>
    <w:rsid w:val="00171ADB"/>
    <w:rsid w:val="00172029"/>
    <w:rsid w:val="00172B84"/>
    <w:rsid w:val="001733A4"/>
    <w:rsid w:val="00173AB9"/>
    <w:rsid w:val="00173EED"/>
    <w:rsid w:val="00174368"/>
    <w:rsid w:val="001744EA"/>
    <w:rsid w:val="001745FB"/>
    <w:rsid w:val="00174D82"/>
    <w:rsid w:val="00174E44"/>
    <w:rsid w:val="00175053"/>
    <w:rsid w:val="001753B7"/>
    <w:rsid w:val="001757E7"/>
    <w:rsid w:val="00175873"/>
    <w:rsid w:val="0017592E"/>
    <w:rsid w:val="00175C59"/>
    <w:rsid w:val="001760BC"/>
    <w:rsid w:val="00176674"/>
    <w:rsid w:val="0017670B"/>
    <w:rsid w:val="00176818"/>
    <w:rsid w:val="00176B82"/>
    <w:rsid w:val="00176E3B"/>
    <w:rsid w:val="00176ECB"/>
    <w:rsid w:val="0017716E"/>
    <w:rsid w:val="0017752D"/>
    <w:rsid w:val="0017759F"/>
    <w:rsid w:val="00177832"/>
    <w:rsid w:val="00177D48"/>
    <w:rsid w:val="001801E1"/>
    <w:rsid w:val="00181178"/>
    <w:rsid w:val="0018119E"/>
    <w:rsid w:val="00181EEF"/>
    <w:rsid w:val="00181F3E"/>
    <w:rsid w:val="00182575"/>
    <w:rsid w:val="00182FE0"/>
    <w:rsid w:val="00183911"/>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0ED1"/>
    <w:rsid w:val="00192FA5"/>
    <w:rsid w:val="0019336B"/>
    <w:rsid w:val="001939A6"/>
    <w:rsid w:val="00193ACC"/>
    <w:rsid w:val="00193BFE"/>
    <w:rsid w:val="00194E7E"/>
    <w:rsid w:val="00195322"/>
    <w:rsid w:val="0019560E"/>
    <w:rsid w:val="00195702"/>
    <w:rsid w:val="001958E3"/>
    <w:rsid w:val="0019601B"/>
    <w:rsid w:val="00196048"/>
    <w:rsid w:val="00196A82"/>
    <w:rsid w:val="0019769B"/>
    <w:rsid w:val="00197856"/>
    <w:rsid w:val="00197FFE"/>
    <w:rsid w:val="001A0D25"/>
    <w:rsid w:val="001A1570"/>
    <w:rsid w:val="001A1917"/>
    <w:rsid w:val="001A1BD5"/>
    <w:rsid w:val="001A1C64"/>
    <w:rsid w:val="001A1E7F"/>
    <w:rsid w:val="001A228D"/>
    <w:rsid w:val="001A2918"/>
    <w:rsid w:val="001A2D02"/>
    <w:rsid w:val="001A2DFE"/>
    <w:rsid w:val="001A3076"/>
    <w:rsid w:val="001A3120"/>
    <w:rsid w:val="001A31A5"/>
    <w:rsid w:val="001A389C"/>
    <w:rsid w:val="001A3B75"/>
    <w:rsid w:val="001A46FB"/>
    <w:rsid w:val="001A5878"/>
    <w:rsid w:val="001A5944"/>
    <w:rsid w:val="001A5FB1"/>
    <w:rsid w:val="001A698A"/>
    <w:rsid w:val="001A6CCC"/>
    <w:rsid w:val="001A70C8"/>
    <w:rsid w:val="001A71C9"/>
    <w:rsid w:val="001A7429"/>
    <w:rsid w:val="001A760C"/>
    <w:rsid w:val="001A799B"/>
    <w:rsid w:val="001A7AC7"/>
    <w:rsid w:val="001A7C38"/>
    <w:rsid w:val="001B02F8"/>
    <w:rsid w:val="001B0DBB"/>
    <w:rsid w:val="001B1602"/>
    <w:rsid w:val="001B2104"/>
    <w:rsid w:val="001B2255"/>
    <w:rsid w:val="001B2279"/>
    <w:rsid w:val="001B2729"/>
    <w:rsid w:val="001B2866"/>
    <w:rsid w:val="001B2881"/>
    <w:rsid w:val="001B30D6"/>
    <w:rsid w:val="001B34A3"/>
    <w:rsid w:val="001B3675"/>
    <w:rsid w:val="001B37C8"/>
    <w:rsid w:val="001B3E0F"/>
    <w:rsid w:val="001B4B2C"/>
    <w:rsid w:val="001B4F10"/>
    <w:rsid w:val="001B5026"/>
    <w:rsid w:val="001B5154"/>
    <w:rsid w:val="001B5B75"/>
    <w:rsid w:val="001B6E30"/>
    <w:rsid w:val="001B7C83"/>
    <w:rsid w:val="001B7F9E"/>
    <w:rsid w:val="001C0206"/>
    <w:rsid w:val="001C0246"/>
    <w:rsid w:val="001C04D4"/>
    <w:rsid w:val="001C0B34"/>
    <w:rsid w:val="001C12A3"/>
    <w:rsid w:val="001C158C"/>
    <w:rsid w:val="001C17BB"/>
    <w:rsid w:val="001C187E"/>
    <w:rsid w:val="001C1A37"/>
    <w:rsid w:val="001C1C49"/>
    <w:rsid w:val="001C23D4"/>
    <w:rsid w:val="001C286F"/>
    <w:rsid w:val="001C2B86"/>
    <w:rsid w:val="001C2F54"/>
    <w:rsid w:val="001C2FBE"/>
    <w:rsid w:val="001C3308"/>
    <w:rsid w:val="001C35F3"/>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258"/>
    <w:rsid w:val="001D14AB"/>
    <w:rsid w:val="001D1AB8"/>
    <w:rsid w:val="001D1BFC"/>
    <w:rsid w:val="001D286F"/>
    <w:rsid w:val="001D2C94"/>
    <w:rsid w:val="001D33D9"/>
    <w:rsid w:val="001D36F6"/>
    <w:rsid w:val="001D3D5F"/>
    <w:rsid w:val="001D4303"/>
    <w:rsid w:val="001D45E5"/>
    <w:rsid w:val="001D461A"/>
    <w:rsid w:val="001D4A9D"/>
    <w:rsid w:val="001D4AAD"/>
    <w:rsid w:val="001D5A65"/>
    <w:rsid w:val="001D5AFA"/>
    <w:rsid w:val="001D666E"/>
    <w:rsid w:val="001D7177"/>
    <w:rsid w:val="001D756E"/>
    <w:rsid w:val="001D784A"/>
    <w:rsid w:val="001E04A4"/>
    <w:rsid w:val="001E04EE"/>
    <w:rsid w:val="001E07C5"/>
    <w:rsid w:val="001E176D"/>
    <w:rsid w:val="001E1BCE"/>
    <w:rsid w:val="001E1E05"/>
    <w:rsid w:val="001E2086"/>
    <w:rsid w:val="001E23B9"/>
    <w:rsid w:val="001E2CA7"/>
    <w:rsid w:val="001E339F"/>
    <w:rsid w:val="001E3629"/>
    <w:rsid w:val="001E3B2C"/>
    <w:rsid w:val="001E40F0"/>
    <w:rsid w:val="001E4172"/>
    <w:rsid w:val="001E4AC7"/>
    <w:rsid w:val="001E522E"/>
    <w:rsid w:val="001E5490"/>
    <w:rsid w:val="001E5513"/>
    <w:rsid w:val="001E5730"/>
    <w:rsid w:val="001E5879"/>
    <w:rsid w:val="001E5E2E"/>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AA9"/>
    <w:rsid w:val="00201D06"/>
    <w:rsid w:val="00201E9F"/>
    <w:rsid w:val="00202F25"/>
    <w:rsid w:val="002035B3"/>
    <w:rsid w:val="00203929"/>
    <w:rsid w:val="00203B3D"/>
    <w:rsid w:val="00203CD6"/>
    <w:rsid w:val="00203F0A"/>
    <w:rsid w:val="00204460"/>
    <w:rsid w:val="00204987"/>
    <w:rsid w:val="002051EA"/>
    <w:rsid w:val="00205CBC"/>
    <w:rsid w:val="00205E9E"/>
    <w:rsid w:val="00206259"/>
    <w:rsid w:val="00206CE5"/>
    <w:rsid w:val="002074B7"/>
    <w:rsid w:val="0020758D"/>
    <w:rsid w:val="002076E9"/>
    <w:rsid w:val="00207C7B"/>
    <w:rsid w:val="00211470"/>
    <w:rsid w:val="00211922"/>
    <w:rsid w:val="00211A66"/>
    <w:rsid w:val="0021213A"/>
    <w:rsid w:val="0021265F"/>
    <w:rsid w:val="00213817"/>
    <w:rsid w:val="00214428"/>
    <w:rsid w:val="002145EB"/>
    <w:rsid w:val="00215834"/>
    <w:rsid w:val="00215CC2"/>
    <w:rsid w:val="00215ED8"/>
    <w:rsid w:val="002161AE"/>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E21"/>
    <w:rsid w:val="00230178"/>
    <w:rsid w:val="00231D05"/>
    <w:rsid w:val="00233343"/>
    <w:rsid w:val="002336E2"/>
    <w:rsid w:val="00233AC2"/>
    <w:rsid w:val="00233BAF"/>
    <w:rsid w:val="0023518F"/>
    <w:rsid w:val="00235420"/>
    <w:rsid w:val="002356A5"/>
    <w:rsid w:val="00235DAA"/>
    <w:rsid w:val="002365E8"/>
    <w:rsid w:val="0024065B"/>
    <w:rsid w:val="002409A6"/>
    <w:rsid w:val="00240EA5"/>
    <w:rsid w:val="00241132"/>
    <w:rsid w:val="00241205"/>
    <w:rsid w:val="002418C5"/>
    <w:rsid w:val="002419ED"/>
    <w:rsid w:val="002421FE"/>
    <w:rsid w:val="0024261D"/>
    <w:rsid w:val="00242DFB"/>
    <w:rsid w:val="00243807"/>
    <w:rsid w:val="002440AC"/>
    <w:rsid w:val="00244365"/>
    <w:rsid w:val="0024459A"/>
    <w:rsid w:val="00244771"/>
    <w:rsid w:val="00244903"/>
    <w:rsid w:val="00244AFB"/>
    <w:rsid w:val="00244BBF"/>
    <w:rsid w:val="002453DF"/>
    <w:rsid w:val="00245A81"/>
    <w:rsid w:val="00245D50"/>
    <w:rsid w:val="00246B86"/>
    <w:rsid w:val="00247335"/>
    <w:rsid w:val="002473EF"/>
    <w:rsid w:val="002477B9"/>
    <w:rsid w:val="00247B2A"/>
    <w:rsid w:val="00247CBE"/>
    <w:rsid w:val="00250100"/>
    <w:rsid w:val="00250976"/>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5E6F"/>
    <w:rsid w:val="0025615C"/>
    <w:rsid w:val="00257059"/>
    <w:rsid w:val="0025712F"/>
    <w:rsid w:val="00257395"/>
    <w:rsid w:val="00257857"/>
    <w:rsid w:val="002578DA"/>
    <w:rsid w:val="00257CBC"/>
    <w:rsid w:val="00257D01"/>
    <w:rsid w:val="002602C2"/>
    <w:rsid w:val="002602DA"/>
    <w:rsid w:val="0026040B"/>
    <w:rsid w:val="00260802"/>
    <w:rsid w:val="002609E3"/>
    <w:rsid w:val="00261223"/>
    <w:rsid w:val="002617AB"/>
    <w:rsid w:val="00261D08"/>
    <w:rsid w:val="00261DCC"/>
    <w:rsid w:val="002624D0"/>
    <w:rsid w:val="00263AE7"/>
    <w:rsid w:val="00263EC7"/>
    <w:rsid w:val="00264441"/>
    <w:rsid w:val="0026491B"/>
    <w:rsid w:val="00264A36"/>
    <w:rsid w:val="00264A99"/>
    <w:rsid w:val="00264B06"/>
    <w:rsid w:val="00264C1B"/>
    <w:rsid w:val="00265E2E"/>
    <w:rsid w:val="002661AB"/>
    <w:rsid w:val="002668DB"/>
    <w:rsid w:val="0026742B"/>
    <w:rsid w:val="002674FE"/>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A4"/>
    <w:rsid w:val="00275FCE"/>
    <w:rsid w:val="002766B8"/>
    <w:rsid w:val="0027680F"/>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2BE"/>
    <w:rsid w:val="00285BF2"/>
    <w:rsid w:val="00285C78"/>
    <w:rsid w:val="002863CE"/>
    <w:rsid w:val="002868CF"/>
    <w:rsid w:val="0028702A"/>
    <w:rsid w:val="0028732A"/>
    <w:rsid w:val="00290F01"/>
    <w:rsid w:val="00291035"/>
    <w:rsid w:val="00291492"/>
    <w:rsid w:val="00291527"/>
    <w:rsid w:val="0029199A"/>
    <w:rsid w:val="00291BBE"/>
    <w:rsid w:val="00291FEB"/>
    <w:rsid w:val="002920B3"/>
    <w:rsid w:val="00292DB9"/>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DD"/>
    <w:rsid w:val="002972F9"/>
    <w:rsid w:val="002977CA"/>
    <w:rsid w:val="00297DC9"/>
    <w:rsid w:val="00297ED7"/>
    <w:rsid w:val="002A0007"/>
    <w:rsid w:val="002A03AA"/>
    <w:rsid w:val="002A056D"/>
    <w:rsid w:val="002A0649"/>
    <w:rsid w:val="002A07FE"/>
    <w:rsid w:val="002A094D"/>
    <w:rsid w:val="002A0CAF"/>
    <w:rsid w:val="002A1565"/>
    <w:rsid w:val="002A16A9"/>
    <w:rsid w:val="002A2941"/>
    <w:rsid w:val="002A2DC4"/>
    <w:rsid w:val="002A3E69"/>
    <w:rsid w:val="002A41F7"/>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10B"/>
    <w:rsid w:val="002B1617"/>
    <w:rsid w:val="002B194B"/>
    <w:rsid w:val="002B1D11"/>
    <w:rsid w:val="002B273B"/>
    <w:rsid w:val="002B29AA"/>
    <w:rsid w:val="002B2A7E"/>
    <w:rsid w:val="002B2F1B"/>
    <w:rsid w:val="002B4A32"/>
    <w:rsid w:val="002B4C6B"/>
    <w:rsid w:val="002B5AFB"/>
    <w:rsid w:val="002B5F09"/>
    <w:rsid w:val="002B6320"/>
    <w:rsid w:val="002B66AC"/>
    <w:rsid w:val="002B6852"/>
    <w:rsid w:val="002B77E1"/>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0B8"/>
    <w:rsid w:val="002C7193"/>
    <w:rsid w:val="002C7699"/>
    <w:rsid w:val="002C7A49"/>
    <w:rsid w:val="002C7B1A"/>
    <w:rsid w:val="002D0128"/>
    <w:rsid w:val="002D0E85"/>
    <w:rsid w:val="002D0FA7"/>
    <w:rsid w:val="002D12FB"/>
    <w:rsid w:val="002D1306"/>
    <w:rsid w:val="002D172B"/>
    <w:rsid w:val="002D19D1"/>
    <w:rsid w:val="002D1F35"/>
    <w:rsid w:val="002D1F5F"/>
    <w:rsid w:val="002D1FA3"/>
    <w:rsid w:val="002D20CD"/>
    <w:rsid w:val="002D235B"/>
    <w:rsid w:val="002D23C6"/>
    <w:rsid w:val="002D24F0"/>
    <w:rsid w:val="002D25EB"/>
    <w:rsid w:val="002D29F3"/>
    <w:rsid w:val="002D2C75"/>
    <w:rsid w:val="002D3126"/>
    <w:rsid w:val="002D3529"/>
    <w:rsid w:val="002D3BB2"/>
    <w:rsid w:val="002D3D0A"/>
    <w:rsid w:val="002D4770"/>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08"/>
    <w:rsid w:val="002E0D96"/>
    <w:rsid w:val="002E0EA5"/>
    <w:rsid w:val="002E1E19"/>
    <w:rsid w:val="002E268F"/>
    <w:rsid w:val="002E283F"/>
    <w:rsid w:val="002E2854"/>
    <w:rsid w:val="002E2E74"/>
    <w:rsid w:val="002E32D2"/>
    <w:rsid w:val="002E361B"/>
    <w:rsid w:val="002E37AB"/>
    <w:rsid w:val="002E3A80"/>
    <w:rsid w:val="002E41C7"/>
    <w:rsid w:val="002E51DF"/>
    <w:rsid w:val="002E555B"/>
    <w:rsid w:val="002E57B9"/>
    <w:rsid w:val="002E6127"/>
    <w:rsid w:val="002E6885"/>
    <w:rsid w:val="002E6E81"/>
    <w:rsid w:val="002E72E4"/>
    <w:rsid w:val="002E739D"/>
    <w:rsid w:val="002E7DE8"/>
    <w:rsid w:val="002F0F36"/>
    <w:rsid w:val="002F1276"/>
    <w:rsid w:val="002F1986"/>
    <w:rsid w:val="002F1E5F"/>
    <w:rsid w:val="002F2A49"/>
    <w:rsid w:val="002F2CB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380"/>
    <w:rsid w:val="00301392"/>
    <w:rsid w:val="00301E89"/>
    <w:rsid w:val="00302052"/>
    <w:rsid w:val="00302142"/>
    <w:rsid w:val="00302169"/>
    <w:rsid w:val="00302612"/>
    <w:rsid w:val="00302C92"/>
    <w:rsid w:val="00303254"/>
    <w:rsid w:val="00303B08"/>
    <w:rsid w:val="00303E50"/>
    <w:rsid w:val="0030408D"/>
    <w:rsid w:val="003044D9"/>
    <w:rsid w:val="00304D8A"/>
    <w:rsid w:val="00305216"/>
    <w:rsid w:val="003052EA"/>
    <w:rsid w:val="0030555B"/>
    <w:rsid w:val="00305BFD"/>
    <w:rsid w:val="003061F5"/>
    <w:rsid w:val="00306D27"/>
    <w:rsid w:val="0030739C"/>
    <w:rsid w:val="00310D51"/>
    <w:rsid w:val="00311AAC"/>
    <w:rsid w:val="00311B36"/>
    <w:rsid w:val="00311C92"/>
    <w:rsid w:val="003133AE"/>
    <w:rsid w:val="00313414"/>
    <w:rsid w:val="0031371B"/>
    <w:rsid w:val="00313F2D"/>
    <w:rsid w:val="00314156"/>
    <w:rsid w:val="00314B91"/>
    <w:rsid w:val="00315081"/>
    <w:rsid w:val="0031535B"/>
    <w:rsid w:val="003170F4"/>
    <w:rsid w:val="0031750F"/>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4BEB"/>
    <w:rsid w:val="0032522F"/>
    <w:rsid w:val="003253C4"/>
    <w:rsid w:val="0032550F"/>
    <w:rsid w:val="00325992"/>
    <w:rsid w:val="00325B74"/>
    <w:rsid w:val="0032638F"/>
    <w:rsid w:val="00326B59"/>
    <w:rsid w:val="00326EAC"/>
    <w:rsid w:val="003272C6"/>
    <w:rsid w:val="0032746C"/>
    <w:rsid w:val="003276B4"/>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59A"/>
    <w:rsid w:val="003350E9"/>
    <w:rsid w:val="003351BA"/>
    <w:rsid w:val="0033520F"/>
    <w:rsid w:val="00335519"/>
    <w:rsid w:val="0033596B"/>
    <w:rsid w:val="00335A93"/>
    <w:rsid w:val="0033650E"/>
    <w:rsid w:val="003366EF"/>
    <w:rsid w:val="00336907"/>
    <w:rsid w:val="003369DF"/>
    <w:rsid w:val="00336C71"/>
    <w:rsid w:val="00336D96"/>
    <w:rsid w:val="00336DFC"/>
    <w:rsid w:val="00337230"/>
    <w:rsid w:val="00337588"/>
    <w:rsid w:val="003377D0"/>
    <w:rsid w:val="00337D75"/>
    <w:rsid w:val="00337FA2"/>
    <w:rsid w:val="00340020"/>
    <w:rsid w:val="0034081A"/>
    <w:rsid w:val="00341162"/>
    <w:rsid w:val="00341866"/>
    <w:rsid w:val="00341D7E"/>
    <w:rsid w:val="00341DAF"/>
    <w:rsid w:val="00342181"/>
    <w:rsid w:val="003432E4"/>
    <w:rsid w:val="0034339B"/>
    <w:rsid w:val="00343560"/>
    <w:rsid w:val="00343A20"/>
    <w:rsid w:val="00343BA6"/>
    <w:rsid w:val="0034402B"/>
    <w:rsid w:val="0034449E"/>
    <w:rsid w:val="0034487C"/>
    <w:rsid w:val="00344D46"/>
    <w:rsid w:val="0034621B"/>
    <w:rsid w:val="003465A5"/>
    <w:rsid w:val="00346817"/>
    <w:rsid w:val="00347440"/>
    <w:rsid w:val="003475EA"/>
    <w:rsid w:val="0034792D"/>
    <w:rsid w:val="00347A27"/>
    <w:rsid w:val="00347CD4"/>
    <w:rsid w:val="00350A55"/>
    <w:rsid w:val="00350DF8"/>
    <w:rsid w:val="00351A8A"/>
    <w:rsid w:val="00351AFB"/>
    <w:rsid w:val="00352541"/>
    <w:rsid w:val="0035266A"/>
    <w:rsid w:val="00352700"/>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6B0C"/>
    <w:rsid w:val="00357424"/>
    <w:rsid w:val="0036101A"/>
    <w:rsid w:val="00361789"/>
    <w:rsid w:val="0036196D"/>
    <w:rsid w:val="00361C16"/>
    <w:rsid w:val="00361EEC"/>
    <w:rsid w:val="0036208F"/>
    <w:rsid w:val="003627BD"/>
    <w:rsid w:val="00362997"/>
    <w:rsid w:val="003629B5"/>
    <w:rsid w:val="00362C59"/>
    <w:rsid w:val="00363040"/>
    <w:rsid w:val="003630B7"/>
    <w:rsid w:val="00363275"/>
    <w:rsid w:val="00363786"/>
    <w:rsid w:val="003638A4"/>
    <w:rsid w:val="003639BF"/>
    <w:rsid w:val="00363B74"/>
    <w:rsid w:val="00363DDC"/>
    <w:rsid w:val="00363E41"/>
    <w:rsid w:val="00363ED8"/>
    <w:rsid w:val="00363FD2"/>
    <w:rsid w:val="003644D0"/>
    <w:rsid w:val="003651F5"/>
    <w:rsid w:val="0036572E"/>
    <w:rsid w:val="003663D9"/>
    <w:rsid w:val="003666BF"/>
    <w:rsid w:val="00366707"/>
    <w:rsid w:val="00366C79"/>
    <w:rsid w:val="00366FA9"/>
    <w:rsid w:val="00367E49"/>
    <w:rsid w:val="003700E6"/>
    <w:rsid w:val="00371C86"/>
    <w:rsid w:val="0037236C"/>
    <w:rsid w:val="003729DE"/>
    <w:rsid w:val="003735D3"/>
    <w:rsid w:val="0037386D"/>
    <w:rsid w:val="00373956"/>
    <w:rsid w:val="00373F1E"/>
    <w:rsid w:val="00374153"/>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52BA"/>
    <w:rsid w:val="003854D5"/>
    <w:rsid w:val="0038552A"/>
    <w:rsid w:val="003859EA"/>
    <w:rsid w:val="00386869"/>
    <w:rsid w:val="0038709E"/>
    <w:rsid w:val="00387D30"/>
    <w:rsid w:val="00390A4D"/>
    <w:rsid w:val="00391753"/>
    <w:rsid w:val="00391C7F"/>
    <w:rsid w:val="00392454"/>
    <w:rsid w:val="00392A6C"/>
    <w:rsid w:val="00392C85"/>
    <w:rsid w:val="00392FD8"/>
    <w:rsid w:val="00393A99"/>
    <w:rsid w:val="00393E11"/>
    <w:rsid w:val="00394475"/>
    <w:rsid w:val="00394C48"/>
    <w:rsid w:val="0039517A"/>
    <w:rsid w:val="00395B51"/>
    <w:rsid w:val="00396796"/>
    <w:rsid w:val="00396B28"/>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4E6F"/>
    <w:rsid w:val="003A595F"/>
    <w:rsid w:val="003A5EEC"/>
    <w:rsid w:val="003A79AE"/>
    <w:rsid w:val="003A7CA3"/>
    <w:rsid w:val="003B00B6"/>
    <w:rsid w:val="003B01C4"/>
    <w:rsid w:val="003B0BB0"/>
    <w:rsid w:val="003B11EE"/>
    <w:rsid w:val="003B1332"/>
    <w:rsid w:val="003B15F8"/>
    <w:rsid w:val="003B18EB"/>
    <w:rsid w:val="003B1D0D"/>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74B"/>
    <w:rsid w:val="003C4997"/>
    <w:rsid w:val="003C4DA5"/>
    <w:rsid w:val="003C5666"/>
    <w:rsid w:val="003C6304"/>
    <w:rsid w:val="003C64F4"/>
    <w:rsid w:val="003C6DE1"/>
    <w:rsid w:val="003C724B"/>
    <w:rsid w:val="003C73DB"/>
    <w:rsid w:val="003D0185"/>
    <w:rsid w:val="003D02CB"/>
    <w:rsid w:val="003D0382"/>
    <w:rsid w:val="003D057A"/>
    <w:rsid w:val="003D069C"/>
    <w:rsid w:val="003D0BC2"/>
    <w:rsid w:val="003D14AE"/>
    <w:rsid w:val="003D16EF"/>
    <w:rsid w:val="003D1816"/>
    <w:rsid w:val="003D191E"/>
    <w:rsid w:val="003D22A5"/>
    <w:rsid w:val="003D22C7"/>
    <w:rsid w:val="003D23A4"/>
    <w:rsid w:val="003D3414"/>
    <w:rsid w:val="003D3426"/>
    <w:rsid w:val="003D353F"/>
    <w:rsid w:val="003D3721"/>
    <w:rsid w:val="003D46BA"/>
    <w:rsid w:val="003D590A"/>
    <w:rsid w:val="003D5F4D"/>
    <w:rsid w:val="003D6722"/>
    <w:rsid w:val="003D69AE"/>
    <w:rsid w:val="003D6E60"/>
    <w:rsid w:val="003D7428"/>
    <w:rsid w:val="003D77F2"/>
    <w:rsid w:val="003D78CC"/>
    <w:rsid w:val="003D7901"/>
    <w:rsid w:val="003D7D01"/>
    <w:rsid w:val="003D7E28"/>
    <w:rsid w:val="003D7ED8"/>
    <w:rsid w:val="003E0003"/>
    <w:rsid w:val="003E0099"/>
    <w:rsid w:val="003E08C7"/>
    <w:rsid w:val="003E0992"/>
    <w:rsid w:val="003E1A72"/>
    <w:rsid w:val="003E2603"/>
    <w:rsid w:val="003E2880"/>
    <w:rsid w:val="003E28FB"/>
    <w:rsid w:val="003E2A00"/>
    <w:rsid w:val="003E382C"/>
    <w:rsid w:val="003E3D00"/>
    <w:rsid w:val="003E3FD6"/>
    <w:rsid w:val="003E4531"/>
    <w:rsid w:val="003E4771"/>
    <w:rsid w:val="003E54A8"/>
    <w:rsid w:val="003E550E"/>
    <w:rsid w:val="003E5833"/>
    <w:rsid w:val="003E5DA8"/>
    <w:rsid w:val="003E7109"/>
    <w:rsid w:val="003E75B1"/>
    <w:rsid w:val="003E77DC"/>
    <w:rsid w:val="003E7BC1"/>
    <w:rsid w:val="003F02C6"/>
    <w:rsid w:val="003F0453"/>
    <w:rsid w:val="003F097D"/>
    <w:rsid w:val="003F0C9F"/>
    <w:rsid w:val="003F0E90"/>
    <w:rsid w:val="003F144A"/>
    <w:rsid w:val="003F1B02"/>
    <w:rsid w:val="003F1EFE"/>
    <w:rsid w:val="003F1FB5"/>
    <w:rsid w:val="003F2212"/>
    <w:rsid w:val="003F2240"/>
    <w:rsid w:val="003F2460"/>
    <w:rsid w:val="003F2BD1"/>
    <w:rsid w:val="003F2E7B"/>
    <w:rsid w:val="003F3932"/>
    <w:rsid w:val="003F39C7"/>
    <w:rsid w:val="003F3CD5"/>
    <w:rsid w:val="003F4473"/>
    <w:rsid w:val="003F4CF5"/>
    <w:rsid w:val="003F4E31"/>
    <w:rsid w:val="003F51EE"/>
    <w:rsid w:val="003F574E"/>
    <w:rsid w:val="003F60C9"/>
    <w:rsid w:val="003F60D6"/>
    <w:rsid w:val="003F68E9"/>
    <w:rsid w:val="003F73EA"/>
    <w:rsid w:val="003F7E15"/>
    <w:rsid w:val="003F7FDA"/>
    <w:rsid w:val="00400623"/>
    <w:rsid w:val="00400DE4"/>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D68"/>
    <w:rsid w:val="00414FD9"/>
    <w:rsid w:val="0041566C"/>
    <w:rsid w:val="00415773"/>
    <w:rsid w:val="00415CAE"/>
    <w:rsid w:val="00415EE7"/>
    <w:rsid w:val="004160FA"/>
    <w:rsid w:val="004161E9"/>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570"/>
    <w:rsid w:val="004256BD"/>
    <w:rsid w:val="00425863"/>
    <w:rsid w:val="00425D02"/>
    <w:rsid w:val="00425EDC"/>
    <w:rsid w:val="00426C3E"/>
    <w:rsid w:val="004275CD"/>
    <w:rsid w:val="0042788C"/>
    <w:rsid w:val="00427FEB"/>
    <w:rsid w:val="00427FF2"/>
    <w:rsid w:val="004305C0"/>
    <w:rsid w:val="00430B20"/>
    <w:rsid w:val="00430B6C"/>
    <w:rsid w:val="0043135D"/>
    <w:rsid w:val="0043227C"/>
    <w:rsid w:val="004335C0"/>
    <w:rsid w:val="00433AFC"/>
    <w:rsid w:val="00434193"/>
    <w:rsid w:val="00435068"/>
    <w:rsid w:val="00435715"/>
    <w:rsid w:val="0043571B"/>
    <w:rsid w:val="00435EE0"/>
    <w:rsid w:val="00435F29"/>
    <w:rsid w:val="0043610C"/>
    <w:rsid w:val="004366FF"/>
    <w:rsid w:val="004376D3"/>
    <w:rsid w:val="0043777D"/>
    <w:rsid w:val="00437D83"/>
    <w:rsid w:val="004401DD"/>
    <w:rsid w:val="00440344"/>
    <w:rsid w:val="00441264"/>
    <w:rsid w:val="00441B0F"/>
    <w:rsid w:val="004425C6"/>
    <w:rsid w:val="00443512"/>
    <w:rsid w:val="00443A55"/>
    <w:rsid w:val="00443CA6"/>
    <w:rsid w:val="00443D5D"/>
    <w:rsid w:val="0044463F"/>
    <w:rsid w:val="00445CBA"/>
    <w:rsid w:val="004463CB"/>
    <w:rsid w:val="004466F7"/>
    <w:rsid w:val="00446858"/>
    <w:rsid w:val="00447304"/>
    <w:rsid w:val="00450127"/>
    <w:rsid w:val="0045075F"/>
    <w:rsid w:val="004516AD"/>
    <w:rsid w:val="00451E84"/>
    <w:rsid w:val="00451EA3"/>
    <w:rsid w:val="00451F01"/>
    <w:rsid w:val="00452089"/>
    <w:rsid w:val="00453120"/>
    <w:rsid w:val="00453349"/>
    <w:rsid w:val="004546A7"/>
    <w:rsid w:val="00454831"/>
    <w:rsid w:val="004548DF"/>
    <w:rsid w:val="00455B98"/>
    <w:rsid w:val="00455E25"/>
    <w:rsid w:val="00456A08"/>
    <w:rsid w:val="00456CC0"/>
    <w:rsid w:val="0045755C"/>
    <w:rsid w:val="00457933"/>
    <w:rsid w:val="00457A6F"/>
    <w:rsid w:val="00457C78"/>
    <w:rsid w:val="00460136"/>
    <w:rsid w:val="0046071A"/>
    <w:rsid w:val="00460735"/>
    <w:rsid w:val="00460919"/>
    <w:rsid w:val="00460AD5"/>
    <w:rsid w:val="00460EB8"/>
    <w:rsid w:val="00461090"/>
    <w:rsid w:val="004611D5"/>
    <w:rsid w:val="004617D8"/>
    <w:rsid w:val="00461991"/>
    <w:rsid w:val="00461A6B"/>
    <w:rsid w:val="00461C43"/>
    <w:rsid w:val="00462125"/>
    <w:rsid w:val="00463216"/>
    <w:rsid w:val="0046334D"/>
    <w:rsid w:val="0046382E"/>
    <w:rsid w:val="00463848"/>
    <w:rsid w:val="00463BBF"/>
    <w:rsid w:val="00463C95"/>
    <w:rsid w:val="00463E1C"/>
    <w:rsid w:val="00464052"/>
    <w:rsid w:val="004640FB"/>
    <w:rsid w:val="00464C9C"/>
    <w:rsid w:val="00464CAF"/>
    <w:rsid w:val="00464E23"/>
    <w:rsid w:val="00465153"/>
    <w:rsid w:val="00465602"/>
    <w:rsid w:val="004669A6"/>
    <w:rsid w:val="00466AFD"/>
    <w:rsid w:val="00466E99"/>
    <w:rsid w:val="00467D85"/>
    <w:rsid w:val="00470563"/>
    <w:rsid w:val="00470696"/>
    <w:rsid w:val="004713A0"/>
    <w:rsid w:val="004724C9"/>
    <w:rsid w:val="00472585"/>
    <w:rsid w:val="004729FD"/>
    <w:rsid w:val="00473045"/>
    <w:rsid w:val="00473451"/>
    <w:rsid w:val="00474130"/>
    <w:rsid w:val="004749C1"/>
    <w:rsid w:val="00475498"/>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6AB"/>
    <w:rsid w:val="0048285B"/>
    <w:rsid w:val="00482F20"/>
    <w:rsid w:val="00483196"/>
    <w:rsid w:val="0048340F"/>
    <w:rsid w:val="0048384A"/>
    <w:rsid w:val="0048423C"/>
    <w:rsid w:val="00484449"/>
    <w:rsid w:val="004845A6"/>
    <w:rsid w:val="00484C71"/>
    <w:rsid w:val="004852CE"/>
    <w:rsid w:val="0048540C"/>
    <w:rsid w:val="0048561D"/>
    <w:rsid w:val="00485E2F"/>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4A1"/>
    <w:rsid w:val="00495670"/>
    <w:rsid w:val="0049604B"/>
    <w:rsid w:val="00496AC9"/>
    <w:rsid w:val="004A040E"/>
    <w:rsid w:val="004A042D"/>
    <w:rsid w:val="004A11E0"/>
    <w:rsid w:val="004A1FC5"/>
    <w:rsid w:val="004A2158"/>
    <w:rsid w:val="004A2224"/>
    <w:rsid w:val="004A29A5"/>
    <w:rsid w:val="004A2FC2"/>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7AAE"/>
    <w:rsid w:val="004A7D49"/>
    <w:rsid w:val="004A7F21"/>
    <w:rsid w:val="004B08DB"/>
    <w:rsid w:val="004B10EC"/>
    <w:rsid w:val="004B1422"/>
    <w:rsid w:val="004B24EB"/>
    <w:rsid w:val="004B29AC"/>
    <w:rsid w:val="004B3C8B"/>
    <w:rsid w:val="004B44A9"/>
    <w:rsid w:val="004B4509"/>
    <w:rsid w:val="004B452A"/>
    <w:rsid w:val="004B4871"/>
    <w:rsid w:val="004B4ADF"/>
    <w:rsid w:val="004B4B0E"/>
    <w:rsid w:val="004B4C00"/>
    <w:rsid w:val="004B4E06"/>
    <w:rsid w:val="004B5493"/>
    <w:rsid w:val="004B5914"/>
    <w:rsid w:val="004B5EEA"/>
    <w:rsid w:val="004B64CA"/>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C7C"/>
    <w:rsid w:val="004C7DBE"/>
    <w:rsid w:val="004C7F57"/>
    <w:rsid w:val="004D032B"/>
    <w:rsid w:val="004D039E"/>
    <w:rsid w:val="004D04A3"/>
    <w:rsid w:val="004D0C9F"/>
    <w:rsid w:val="004D15FD"/>
    <w:rsid w:val="004D2369"/>
    <w:rsid w:val="004D2485"/>
    <w:rsid w:val="004D2998"/>
    <w:rsid w:val="004D3A57"/>
    <w:rsid w:val="004D3B2A"/>
    <w:rsid w:val="004D47FF"/>
    <w:rsid w:val="004D4D35"/>
    <w:rsid w:val="004D518F"/>
    <w:rsid w:val="004D54D7"/>
    <w:rsid w:val="004D5BB7"/>
    <w:rsid w:val="004D6053"/>
    <w:rsid w:val="004D61EF"/>
    <w:rsid w:val="004D6FA4"/>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4DDB"/>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958"/>
    <w:rsid w:val="00502BD2"/>
    <w:rsid w:val="00502DA4"/>
    <w:rsid w:val="00503F83"/>
    <w:rsid w:val="0050421C"/>
    <w:rsid w:val="00504A9B"/>
    <w:rsid w:val="00504D4C"/>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648"/>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3FEE"/>
    <w:rsid w:val="005245D5"/>
    <w:rsid w:val="00524889"/>
    <w:rsid w:val="0052575D"/>
    <w:rsid w:val="00525A53"/>
    <w:rsid w:val="00525C1F"/>
    <w:rsid w:val="00526569"/>
    <w:rsid w:val="00526684"/>
    <w:rsid w:val="00526726"/>
    <w:rsid w:val="00527256"/>
    <w:rsid w:val="00527B57"/>
    <w:rsid w:val="00527C8D"/>
    <w:rsid w:val="0053021B"/>
    <w:rsid w:val="00530AC4"/>
    <w:rsid w:val="00532115"/>
    <w:rsid w:val="00532129"/>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0BF"/>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93F"/>
    <w:rsid w:val="00555DE6"/>
    <w:rsid w:val="00555EB3"/>
    <w:rsid w:val="005567F6"/>
    <w:rsid w:val="00556E29"/>
    <w:rsid w:val="00557474"/>
    <w:rsid w:val="005575C9"/>
    <w:rsid w:val="00557DAA"/>
    <w:rsid w:val="00557DAD"/>
    <w:rsid w:val="00560304"/>
    <w:rsid w:val="00561138"/>
    <w:rsid w:val="00561699"/>
    <w:rsid w:val="0056194F"/>
    <w:rsid w:val="005619E1"/>
    <w:rsid w:val="00562629"/>
    <w:rsid w:val="005628FE"/>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4251"/>
    <w:rsid w:val="00574941"/>
    <w:rsid w:val="0057540E"/>
    <w:rsid w:val="005757B6"/>
    <w:rsid w:val="00576C7B"/>
    <w:rsid w:val="00576EB8"/>
    <w:rsid w:val="0058000F"/>
    <w:rsid w:val="00580557"/>
    <w:rsid w:val="0058074F"/>
    <w:rsid w:val="005808F3"/>
    <w:rsid w:val="00580A76"/>
    <w:rsid w:val="00581042"/>
    <w:rsid w:val="00581703"/>
    <w:rsid w:val="00581B15"/>
    <w:rsid w:val="005821DD"/>
    <w:rsid w:val="00582E42"/>
    <w:rsid w:val="00583908"/>
    <w:rsid w:val="005842FB"/>
    <w:rsid w:val="00584757"/>
    <w:rsid w:val="00584E21"/>
    <w:rsid w:val="005855D4"/>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8A6"/>
    <w:rsid w:val="005A2985"/>
    <w:rsid w:val="005A29B1"/>
    <w:rsid w:val="005A2EBF"/>
    <w:rsid w:val="005A311E"/>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B2D"/>
    <w:rsid w:val="005B3EBD"/>
    <w:rsid w:val="005B4669"/>
    <w:rsid w:val="005B48E8"/>
    <w:rsid w:val="005B56D9"/>
    <w:rsid w:val="005B5BA3"/>
    <w:rsid w:val="005B5E62"/>
    <w:rsid w:val="005B727B"/>
    <w:rsid w:val="005B7341"/>
    <w:rsid w:val="005B778C"/>
    <w:rsid w:val="005B7E97"/>
    <w:rsid w:val="005B7F46"/>
    <w:rsid w:val="005C09A7"/>
    <w:rsid w:val="005C102D"/>
    <w:rsid w:val="005C132C"/>
    <w:rsid w:val="005C17FB"/>
    <w:rsid w:val="005C1833"/>
    <w:rsid w:val="005C183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2DB"/>
    <w:rsid w:val="005C6400"/>
    <w:rsid w:val="005C6605"/>
    <w:rsid w:val="005C71A0"/>
    <w:rsid w:val="005C73D6"/>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3C3"/>
    <w:rsid w:val="005D460F"/>
    <w:rsid w:val="005D4638"/>
    <w:rsid w:val="005D4D7D"/>
    <w:rsid w:val="005D4D9A"/>
    <w:rsid w:val="005D4DC5"/>
    <w:rsid w:val="005D5C22"/>
    <w:rsid w:val="005D5E6C"/>
    <w:rsid w:val="005D63A9"/>
    <w:rsid w:val="005D65D5"/>
    <w:rsid w:val="005D6C56"/>
    <w:rsid w:val="005D6C9A"/>
    <w:rsid w:val="005D6F49"/>
    <w:rsid w:val="005D7E8A"/>
    <w:rsid w:val="005E06FA"/>
    <w:rsid w:val="005E11A5"/>
    <w:rsid w:val="005E13D4"/>
    <w:rsid w:val="005E1435"/>
    <w:rsid w:val="005E17B0"/>
    <w:rsid w:val="005E21F3"/>
    <w:rsid w:val="005E235C"/>
    <w:rsid w:val="005E3078"/>
    <w:rsid w:val="005E34C0"/>
    <w:rsid w:val="005E3D71"/>
    <w:rsid w:val="005E44F1"/>
    <w:rsid w:val="005E49CA"/>
    <w:rsid w:val="005E4D52"/>
    <w:rsid w:val="005E5427"/>
    <w:rsid w:val="005E5428"/>
    <w:rsid w:val="005E5A7C"/>
    <w:rsid w:val="005E5C33"/>
    <w:rsid w:val="005E5F53"/>
    <w:rsid w:val="005E6976"/>
    <w:rsid w:val="005E6E12"/>
    <w:rsid w:val="005E70CD"/>
    <w:rsid w:val="005E74B3"/>
    <w:rsid w:val="005E74EC"/>
    <w:rsid w:val="005E7AB6"/>
    <w:rsid w:val="005E7B1E"/>
    <w:rsid w:val="005E7CBC"/>
    <w:rsid w:val="005E7CE2"/>
    <w:rsid w:val="005F06A1"/>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4DA"/>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2BCA"/>
    <w:rsid w:val="00613009"/>
    <w:rsid w:val="006132EA"/>
    <w:rsid w:val="0061401C"/>
    <w:rsid w:val="0061420B"/>
    <w:rsid w:val="00614931"/>
    <w:rsid w:val="00614D33"/>
    <w:rsid w:val="0061537D"/>
    <w:rsid w:val="0061537F"/>
    <w:rsid w:val="00615DEA"/>
    <w:rsid w:val="00616A60"/>
    <w:rsid w:val="00616DC8"/>
    <w:rsid w:val="00616EE6"/>
    <w:rsid w:val="006171FB"/>
    <w:rsid w:val="006174A6"/>
    <w:rsid w:val="00617A2A"/>
    <w:rsid w:val="006207F4"/>
    <w:rsid w:val="00620C67"/>
    <w:rsid w:val="00621646"/>
    <w:rsid w:val="00621803"/>
    <w:rsid w:val="006220F1"/>
    <w:rsid w:val="00623C68"/>
    <w:rsid w:val="00623E46"/>
    <w:rsid w:val="00624604"/>
    <w:rsid w:val="00624D2C"/>
    <w:rsid w:val="00624EF1"/>
    <w:rsid w:val="00625145"/>
    <w:rsid w:val="00627402"/>
    <w:rsid w:val="00630480"/>
    <w:rsid w:val="0063058E"/>
    <w:rsid w:val="006305F8"/>
    <w:rsid w:val="00631DA7"/>
    <w:rsid w:val="00632B1C"/>
    <w:rsid w:val="00632B9C"/>
    <w:rsid w:val="00632F18"/>
    <w:rsid w:val="006332D7"/>
    <w:rsid w:val="0063333D"/>
    <w:rsid w:val="00634225"/>
    <w:rsid w:val="00635003"/>
    <w:rsid w:val="006351CE"/>
    <w:rsid w:val="006352FD"/>
    <w:rsid w:val="00635B15"/>
    <w:rsid w:val="006362E1"/>
    <w:rsid w:val="006367DA"/>
    <w:rsid w:val="00636FAD"/>
    <w:rsid w:val="006370E1"/>
    <w:rsid w:val="006375B2"/>
    <w:rsid w:val="006375BB"/>
    <w:rsid w:val="006379DE"/>
    <w:rsid w:val="00637E3A"/>
    <w:rsid w:val="006407FE"/>
    <w:rsid w:val="006409EE"/>
    <w:rsid w:val="00640BF7"/>
    <w:rsid w:val="00640C7D"/>
    <w:rsid w:val="00640E7E"/>
    <w:rsid w:val="00640FFF"/>
    <w:rsid w:val="006413E7"/>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486"/>
    <w:rsid w:val="006516B7"/>
    <w:rsid w:val="006518E4"/>
    <w:rsid w:val="00651FB8"/>
    <w:rsid w:val="00652BA0"/>
    <w:rsid w:val="00652DF6"/>
    <w:rsid w:val="00652FCA"/>
    <w:rsid w:val="00653045"/>
    <w:rsid w:val="00653A25"/>
    <w:rsid w:val="00653D93"/>
    <w:rsid w:val="00653FDA"/>
    <w:rsid w:val="006541A0"/>
    <w:rsid w:val="00654218"/>
    <w:rsid w:val="00654E99"/>
    <w:rsid w:val="00655104"/>
    <w:rsid w:val="0065548F"/>
    <w:rsid w:val="0065558B"/>
    <w:rsid w:val="006555C8"/>
    <w:rsid w:val="00655633"/>
    <w:rsid w:val="006559BB"/>
    <w:rsid w:val="00655A93"/>
    <w:rsid w:val="00655D93"/>
    <w:rsid w:val="00655E86"/>
    <w:rsid w:val="00656614"/>
    <w:rsid w:val="00656AC2"/>
    <w:rsid w:val="00656C4D"/>
    <w:rsid w:val="006575D1"/>
    <w:rsid w:val="006577CD"/>
    <w:rsid w:val="006578A6"/>
    <w:rsid w:val="00657CCC"/>
    <w:rsid w:val="00660162"/>
    <w:rsid w:val="0066036D"/>
    <w:rsid w:val="006604FA"/>
    <w:rsid w:val="00660879"/>
    <w:rsid w:val="00661639"/>
    <w:rsid w:val="0066174D"/>
    <w:rsid w:val="00661E36"/>
    <w:rsid w:val="00661F03"/>
    <w:rsid w:val="00662923"/>
    <w:rsid w:val="006631D3"/>
    <w:rsid w:val="00663D0F"/>
    <w:rsid w:val="00664525"/>
    <w:rsid w:val="0066465B"/>
    <w:rsid w:val="00664C81"/>
    <w:rsid w:val="0066521A"/>
    <w:rsid w:val="0066540C"/>
    <w:rsid w:val="00665EAE"/>
    <w:rsid w:val="006661EA"/>
    <w:rsid w:val="00666909"/>
    <w:rsid w:val="00666C93"/>
    <w:rsid w:val="00666EBC"/>
    <w:rsid w:val="00667034"/>
    <w:rsid w:val="00667189"/>
    <w:rsid w:val="0066749E"/>
    <w:rsid w:val="00667B4B"/>
    <w:rsid w:val="00667CCB"/>
    <w:rsid w:val="00667EFD"/>
    <w:rsid w:val="00670475"/>
    <w:rsid w:val="00670B8C"/>
    <w:rsid w:val="00670C4A"/>
    <w:rsid w:val="00671084"/>
    <w:rsid w:val="00671223"/>
    <w:rsid w:val="006716A0"/>
    <w:rsid w:val="00671F3E"/>
    <w:rsid w:val="00672482"/>
    <w:rsid w:val="00672A18"/>
    <w:rsid w:val="0067350A"/>
    <w:rsid w:val="006735D0"/>
    <w:rsid w:val="006739E9"/>
    <w:rsid w:val="00674AF5"/>
    <w:rsid w:val="00674D52"/>
    <w:rsid w:val="00674F93"/>
    <w:rsid w:val="0067546F"/>
    <w:rsid w:val="00675A94"/>
    <w:rsid w:val="00676CE4"/>
    <w:rsid w:val="00676EC2"/>
    <w:rsid w:val="00676FA5"/>
    <w:rsid w:val="006771A4"/>
    <w:rsid w:val="006771AD"/>
    <w:rsid w:val="006774A8"/>
    <w:rsid w:val="00677572"/>
    <w:rsid w:val="00681229"/>
    <w:rsid w:val="0068185E"/>
    <w:rsid w:val="00681BE5"/>
    <w:rsid w:val="00681E30"/>
    <w:rsid w:val="0068212E"/>
    <w:rsid w:val="0068379B"/>
    <w:rsid w:val="00683D98"/>
    <w:rsid w:val="00683D99"/>
    <w:rsid w:val="00684079"/>
    <w:rsid w:val="00684361"/>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976BE"/>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184"/>
    <w:rsid w:val="006A436F"/>
    <w:rsid w:val="006A4E1F"/>
    <w:rsid w:val="006A4E5B"/>
    <w:rsid w:val="006A59D8"/>
    <w:rsid w:val="006A5A45"/>
    <w:rsid w:val="006A5C13"/>
    <w:rsid w:val="006A608E"/>
    <w:rsid w:val="006A6B7B"/>
    <w:rsid w:val="006A73D2"/>
    <w:rsid w:val="006A78F8"/>
    <w:rsid w:val="006A7991"/>
    <w:rsid w:val="006A7C26"/>
    <w:rsid w:val="006A7E27"/>
    <w:rsid w:val="006B010E"/>
    <w:rsid w:val="006B0473"/>
    <w:rsid w:val="006B091F"/>
    <w:rsid w:val="006B0B2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0DA"/>
    <w:rsid w:val="006B52B4"/>
    <w:rsid w:val="006B53DC"/>
    <w:rsid w:val="006B5423"/>
    <w:rsid w:val="006B5855"/>
    <w:rsid w:val="006B5AB2"/>
    <w:rsid w:val="006B5C67"/>
    <w:rsid w:val="006B613F"/>
    <w:rsid w:val="006B6B5D"/>
    <w:rsid w:val="006B6B6D"/>
    <w:rsid w:val="006B6C0D"/>
    <w:rsid w:val="006B7825"/>
    <w:rsid w:val="006B7D68"/>
    <w:rsid w:val="006C033F"/>
    <w:rsid w:val="006C0421"/>
    <w:rsid w:val="006C1818"/>
    <w:rsid w:val="006C1F8B"/>
    <w:rsid w:val="006C2721"/>
    <w:rsid w:val="006C323A"/>
    <w:rsid w:val="006C3868"/>
    <w:rsid w:val="006C38FF"/>
    <w:rsid w:val="006C39EC"/>
    <w:rsid w:val="006C3E6E"/>
    <w:rsid w:val="006C3EEA"/>
    <w:rsid w:val="006C43A6"/>
    <w:rsid w:val="006C44EC"/>
    <w:rsid w:val="006C4A4A"/>
    <w:rsid w:val="006C4CE0"/>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4FC"/>
    <w:rsid w:val="006D2827"/>
    <w:rsid w:val="006D2848"/>
    <w:rsid w:val="006D2B19"/>
    <w:rsid w:val="006D2EC9"/>
    <w:rsid w:val="006D3317"/>
    <w:rsid w:val="006D3A05"/>
    <w:rsid w:val="006D3B62"/>
    <w:rsid w:val="006D3FDF"/>
    <w:rsid w:val="006D4527"/>
    <w:rsid w:val="006D4B05"/>
    <w:rsid w:val="006D4EE5"/>
    <w:rsid w:val="006D4F86"/>
    <w:rsid w:val="006D5F98"/>
    <w:rsid w:val="006D6665"/>
    <w:rsid w:val="006D6C9F"/>
    <w:rsid w:val="006D7098"/>
    <w:rsid w:val="006D740E"/>
    <w:rsid w:val="006D781E"/>
    <w:rsid w:val="006D7C8A"/>
    <w:rsid w:val="006D7F72"/>
    <w:rsid w:val="006E00B7"/>
    <w:rsid w:val="006E0CB5"/>
    <w:rsid w:val="006E0E5B"/>
    <w:rsid w:val="006E132F"/>
    <w:rsid w:val="006E2701"/>
    <w:rsid w:val="006E3023"/>
    <w:rsid w:val="006E3369"/>
    <w:rsid w:val="006E3B94"/>
    <w:rsid w:val="006E3D12"/>
    <w:rsid w:val="006E449C"/>
    <w:rsid w:val="006E4726"/>
    <w:rsid w:val="006E4E72"/>
    <w:rsid w:val="006E4FCD"/>
    <w:rsid w:val="006E50D0"/>
    <w:rsid w:val="006E5B0B"/>
    <w:rsid w:val="006E663E"/>
    <w:rsid w:val="006E6655"/>
    <w:rsid w:val="006E66AF"/>
    <w:rsid w:val="006E6EDF"/>
    <w:rsid w:val="006E7BA5"/>
    <w:rsid w:val="006F01E8"/>
    <w:rsid w:val="006F02D7"/>
    <w:rsid w:val="006F07FA"/>
    <w:rsid w:val="006F0EBB"/>
    <w:rsid w:val="006F1B55"/>
    <w:rsid w:val="006F1E96"/>
    <w:rsid w:val="006F2D24"/>
    <w:rsid w:val="006F37F7"/>
    <w:rsid w:val="006F38C3"/>
    <w:rsid w:val="006F3909"/>
    <w:rsid w:val="006F4036"/>
    <w:rsid w:val="006F428E"/>
    <w:rsid w:val="006F48E1"/>
    <w:rsid w:val="006F5160"/>
    <w:rsid w:val="006F5374"/>
    <w:rsid w:val="006F5D5E"/>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315"/>
    <w:rsid w:val="007103AE"/>
    <w:rsid w:val="0071068A"/>
    <w:rsid w:val="00710E19"/>
    <w:rsid w:val="00710E52"/>
    <w:rsid w:val="0071154B"/>
    <w:rsid w:val="007116B6"/>
    <w:rsid w:val="0071174F"/>
    <w:rsid w:val="0071196A"/>
    <w:rsid w:val="0071227C"/>
    <w:rsid w:val="007131CF"/>
    <w:rsid w:val="007132CD"/>
    <w:rsid w:val="007133C0"/>
    <w:rsid w:val="00713613"/>
    <w:rsid w:val="007137C6"/>
    <w:rsid w:val="007138FC"/>
    <w:rsid w:val="0071393D"/>
    <w:rsid w:val="00713E79"/>
    <w:rsid w:val="00714245"/>
    <w:rsid w:val="00714C20"/>
    <w:rsid w:val="00715441"/>
    <w:rsid w:val="0071569B"/>
    <w:rsid w:val="00715739"/>
    <w:rsid w:val="0071576C"/>
    <w:rsid w:val="00715C94"/>
    <w:rsid w:val="00715EA7"/>
    <w:rsid w:val="00716A09"/>
    <w:rsid w:val="007170DB"/>
    <w:rsid w:val="00717880"/>
    <w:rsid w:val="00717CA8"/>
    <w:rsid w:val="007205E7"/>
    <w:rsid w:val="007209C4"/>
    <w:rsid w:val="00721ACB"/>
    <w:rsid w:val="00721E9E"/>
    <w:rsid w:val="007227FE"/>
    <w:rsid w:val="0072290A"/>
    <w:rsid w:val="007233C3"/>
    <w:rsid w:val="00723C95"/>
    <w:rsid w:val="00723E90"/>
    <w:rsid w:val="007244E7"/>
    <w:rsid w:val="0072505F"/>
    <w:rsid w:val="00725B00"/>
    <w:rsid w:val="00725E54"/>
    <w:rsid w:val="007265D1"/>
    <w:rsid w:val="0072680C"/>
    <w:rsid w:val="0072698B"/>
    <w:rsid w:val="00726A25"/>
    <w:rsid w:val="00726B3D"/>
    <w:rsid w:val="00726C64"/>
    <w:rsid w:val="00727A29"/>
    <w:rsid w:val="007310B7"/>
    <w:rsid w:val="00731237"/>
    <w:rsid w:val="0073207E"/>
    <w:rsid w:val="00732664"/>
    <w:rsid w:val="007326EF"/>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77"/>
    <w:rsid w:val="00737FD3"/>
    <w:rsid w:val="00740585"/>
    <w:rsid w:val="007407AE"/>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076"/>
    <w:rsid w:val="00747117"/>
    <w:rsid w:val="007479C2"/>
    <w:rsid w:val="00747B0D"/>
    <w:rsid w:val="00750712"/>
    <w:rsid w:val="00750EF3"/>
    <w:rsid w:val="007511BA"/>
    <w:rsid w:val="00751452"/>
    <w:rsid w:val="00751D06"/>
    <w:rsid w:val="00751D74"/>
    <w:rsid w:val="007521A5"/>
    <w:rsid w:val="00752243"/>
    <w:rsid w:val="007531BA"/>
    <w:rsid w:val="00753959"/>
    <w:rsid w:val="00753DD6"/>
    <w:rsid w:val="00754A4A"/>
    <w:rsid w:val="007567A8"/>
    <w:rsid w:val="00757D93"/>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B8E"/>
    <w:rsid w:val="00763CB9"/>
    <w:rsid w:val="007643D5"/>
    <w:rsid w:val="00764C66"/>
    <w:rsid w:val="00765366"/>
    <w:rsid w:val="00765614"/>
    <w:rsid w:val="00765914"/>
    <w:rsid w:val="0076614D"/>
    <w:rsid w:val="0076624C"/>
    <w:rsid w:val="0076627D"/>
    <w:rsid w:val="00766304"/>
    <w:rsid w:val="00767A28"/>
    <w:rsid w:val="00767DD2"/>
    <w:rsid w:val="0077082B"/>
    <w:rsid w:val="00770B12"/>
    <w:rsid w:val="00770E60"/>
    <w:rsid w:val="00771C8F"/>
    <w:rsid w:val="00771D4C"/>
    <w:rsid w:val="00772019"/>
    <w:rsid w:val="0077266E"/>
    <w:rsid w:val="0077292E"/>
    <w:rsid w:val="007737D8"/>
    <w:rsid w:val="0077391C"/>
    <w:rsid w:val="00773D24"/>
    <w:rsid w:val="00773F1F"/>
    <w:rsid w:val="00774576"/>
    <w:rsid w:val="0077480E"/>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EC8"/>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E29"/>
    <w:rsid w:val="00793F28"/>
    <w:rsid w:val="00793FDB"/>
    <w:rsid w:val="007941DA"/>
    <w:rsid w:val="00794252"/>
    <w:rsid w:val="007944D2"/>
    <w:rsid w:val="00794B19"/>
    <w:rsid w:val="00795B8D"/>
    <w:rsid w:val="00795EB9"/>
    <w:rsid w:val="00795F0E"/>
    <w:rsid w:val="007960A9"/>
    <w:rsid w:val="00797D8F"/>
    <w:rsid w:val="007A0C00"/>
    <w:rsid w:val="007A0E15"/>
    <w:rsid w:val="007A176E"/>
    <w:rsid w:val="007A19BF"/>
    <w:rsid w:val="007A2A69"/>
    <w:rsid w:val="007A2CF1"/>
    <w:rsid w:val="007A41B5"/>
    <w:rsid w:val="007A4486"/>
    <w:rsid w:val="007A4682"/>
    <w:rsid w:val="007A4FF5"/>
    <w:rsid w:val="007A502B"/>
    <w:rsid w:val="007A5879"/>
    <w:rsid w:val="007A58A8"/>
    <w:rsid w:val="007A5BDC"/>
    <w:rsid w:val="007A5C6D"/>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5B5"/>
    <w:rsid w:val="007B517D"/>
    <w:rsid w:val="007B55FC"/>
    <w:rsid w:val="007B565C"/>
    <w:rsid w:val="007B595F"/>
    <w:rsid w:val="007B5D75"/>
    <w:rsid w:val="007B6388"/>
    <w:rsid w:val="007B6D5E"/>
    <w:rsid w:val="007B7115"/>
    <w:rsid w:val="007B736B"/>
    <w:rsid w:val="007C0090"/>
    <w:rsid w:val="007C0853"/>
    <w:rsid w:val="007C08D0"/>
    <w:rsid w:val="007C08FD"/>
    <w:rsid w:val="007C0C90"/>
    <w:rsid w:val="007C0E07"/>
    <w:rsid w:val="007C0E86"/>
    <w:rsid w:val="007C178C"/>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2180"/>
    <w:rsid w:val="007D22A7"/>
    <w:rsid w:val="007D2608"/>
    <w:rsid w:val="007D2D91"/>
    <w:rsid w:val="007D30C3"/>
    <w:rsid w:val="007D35AC"/>
    <w:rsid w:val="007D36B1"/>
    <w:rsid w:val="007D36D7"/>
    <w:rsid w:val="007D3BA1"/>
    <w:rsid w:val="007D3EC8"/>
    <w:rsid w:val="007D40AC"/>
    <w:rsid w:val="007D4317"/>
    <w:rsid w:val="007D4C12"/>
    <w:rsid w:val="007D57E0"/>
    <w:rsid w:val="007D5962"/>
    <w:rsid w:val="007D5AFE"/>
    <w:rsid w:val="007D63B2"/>
    <w:rsid w:val="007D651D"/>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D65"/>
    <w:rsid w:val="007E3EE2"/>
    <w:rsid w:val="007E4655"/>
    <w:rsid w:val="007E47E7"/>
    <w:rsid w:val="007E4A98"/>
    <w:rsid w:val="007E4EB6"/>
    <w:rsid w:val="007E5DD7"/>
    <w:rsid w:val="007E5E10"/>
    <w:rsid w:val="007E7139"/>
    <w:rsid w:val="007E7366"/>
    <w:rsid w:val="007E7EA1"/>
    <w:rsid w:val="007E7EA4"/>
    <w:rsid w:val="007F03CE"/>
    <w:rsid w:val="007F04D3"/>
    <w:rsid w:val="007F0C47"/>
    <w:rsid w:val="007F0DB7"/>
    <w:rsid w:val="007F0E95"/>
    <w:rsid w:val="007F137D"/>
    <w:rsid w:val="007F2D8D"/>
    <w:rsid w:val="007F2EBF"/>
    <w:rsid w:val="007F3044"/>
    <w:rsid w:val="007F3249"/>
    <w:rsid w:val="007F4657"/>
    <w:rsid w:val="007F49E6"/>
    <w:rsid w:val="007F5609"/>
    <w:rsid w:val="007F5625"/>
    <w:rsid w:val="007F568A"/>
    <w:rsid w:val="007F59F7"/>
    <w:rsid w:val="007F5D13"/>
    <w:rsid w:val="007F5E21"/>
    <w:rsid w:val="007F619D"/>
    <w:rsid w:val="007F6413"/>
    <w:rsid w:val="007F676E"/>
    <w:rsid w:val="007F6B11"/>
    <w:rsid w:val="007F6C91"/>
    <w:rsid w:val="007F6E2B"/>
    <w:rsid w:val="007F6F3C"/>
    <w:rsid w:val="007F7D12"/>
    <w:rsid w:val="007F7F02"/>
    <w:rsid w:val="00800258"/>
    <w:rsid w:val="00800562"/>
    <w:rsid w:val="00800C97"/>
    <w:rsid w:val="00800E69"/>
    <w:rsid w:val="008015BF"/>
    <w:rsid w:val="0080220F"/>
    <w:rsid w:val="00802735"/>
    <w:rsid w:val="008028C2"/>
    <w:rsid w:val="008029E8"/>
    <w:rsid w:val="00802DDB"/>
    <w:rsid w:val="00803165"/>
    <w:rsid w:val="008037D8"/>
    <w:rsid w:val="00803B7E"/>
    <w:rsid w:val="00803DA6"/>
    <w:rsid w:val="008040D9"/>
    <w:rsid w:val="0080436E"/>
    <w:rsid w:val="00804937"/>
    <w:rsid w:val="00804E1E"/>
    <w:rsid w:val="00804E43"/>
    <w:rsid w:val="008050F5"/>
    <w:rsid w:val="00805112"/>
    <w:rsid w:val="0080512F"/>
    <w:rsid w:val="0080519C"/>
    <w:rsid w:val="00810656"/>
    <w:rsid w:val="0081088D"/>
    <w:rsid w:val="00810BC2"/>
    <w:rsid w:val="00811683"/>
    <w:rsid w:val="00811AFF"/>
    <w:rsid w:val="00812102"/>
    <w:rsid w:val="00812373"/>
    <w:rsid w:val="00813F3A"/>
    <w:rsid w:val="008140E8"/>
    <w:rsid w:val="00814271"/>
    <w:rsid w:val="00814941"/>
    <w:rsid w:val="00814955"/>
    <w:rsid w:val="00814A5E"/>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3C6F"/>
    <w:rsid w:val="008243A8"/>
    <w:rsid w:val="00824925"/>
    <w:rsid w:val="00824C8B"/>
    <w:rsid w:val="008252E8"/>
    <w:rsid w:val="00825BA8"/>
    <w:rsid w:val="00825C14"/>
    <w:rsid w:val="00825FD5"/>
    <w:rsid w:val="00826315"/>
    <w:rsid w:val="0082641D"/>
    <w:rsid w:val="008267CA"/>
    <w:rsid w:val="0082722B"/>
    <w:rsid w:val="00827C1B"/>
    <w:rsid w:val="0083016B"/>
    <w:rsid w:val="008301EA"/>
    <w:rsid w:val="008301F1"/>
    <w:rsid w:val="00830C0E"/>
    <w:rsid w:val="008313E0"/>
    <w:rsid w:val="00831742"/>
    <w:rsid w:val="008317EC"/>
    <w:rsid w:val="0083195D"/>
    <w:rsid w:val="00831B7B"/>
    <w:rsid w:val="00831D90"/>
    <w:rsid w:val="008324F3"/>
    <w:rsid w:val="00832691"/>
    <w:rsid w:val="0083296B"/>
    <w:rsid w:val="00832AD9"/>
    <w:rsid w:val="00833547"/>
    <w:rsid w:val="00833852"/>
    <w:rsid w:val="00833AB9"/>
    <w:rsid w:val="008344EC"/>
    <w:rsid w:val="00834820"/>
    <w:rsid w:val="00834C82"/>
    <w:rsid w:val="00834DB6"/>
    <w:rsid w:val="00834F93"/>
    <w:rsid w:val="008354DB"/>
    <w:rsid w:val="00840C4A"/>
    <w:rsid w:val="008411B9"/>
    <w:rsid w:val="0084122F"/>
    <w:rsid w:val="0084145D"/>
    <w:rsid w:val="00841573"/>
    <w:rsid w:val="00841D08"/>
    <w:rsid w:val="00842D43"/>
    <w:rsid w:val="0084323E"/>
    <w:rsid w:val="0084375D"/>
    <w:rsid w:val="00843D50"/>
    <w:rsid w:val="0084464E"/>
    <w:rsid w:val="00844D11"/>
    <w:rsid w:val="008458BF"/>
    <w:rsid w:val="00846262"/>
    <w:rsid w:val="00846370"/>
    <w:rsid w:val="00846821"/>
    <w:rsid w:val="00846DC0"/>
    <w:rsid w:val="00846DCD"/>
    <w:rsid w:val="00847665"/>
    <w:rsid w:val="00847BC5"/>
    <w:rsid w:val="00847F11"/>
    <w:rsid w:val="00850010"/>
    <w:rsid w:val="00850104"/>
    <w:rsid w:val="008503F4"/>
    <w:rsid w:val="00850477"/>
    <w:rsid w:val="008504A0"/>
    <w:rsid w:val="00850AC1"/>
    <w:rsid w:val="00850C2A"/>
    <w:rsid w:val="00850DFA"/>
    <w:rsid w:val="00851331"/>
    <w:rsid w:val="008516D1"/>
    <w:rsid w:val="00852003"/>
    <w:rsid w:val="0085212C"/>
    <w:rsid w:val="00852F9E"/>
    <w:rsid w:val="008533F5"/>
    <w:rsid w:val="00854053"/>
    <w:rsid w:val="008543AC"/>
    <w:rsid w:val="008548B8"/>
    <w:rsid w:val="00854965"/>
    <w:rsid w:val="008554D1"/>
    <w:rsid w:val="008558E0"/>
    <w:rsid w:val="00856F4F"/>
    <w:rsid w:val="00857AF7"/>
    <w:rsid w:val="00860109"/>
    <w:rsid w:val="008601BD"/>
    <w:rsid w:val="00860359"/>
    <w:rsid w:val="00860700"/>
    <w:rsid w:val="00860E43"/>
    <w:rsid w:val="00860EE9"/>
    <w:rsid w:val="00861075"/>
    <w:rsid w:val="00861252"/>
    <w:rsid w:val="00861275"/>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5FE6"/>
    <w:rsid w:val="00866055"/>
    <w:rsid w:val="00866388"/>
    <w:rsid w:val="00866FE3"/>
    <w:rsid w:val="0086722D"/>
    <w:rsid w:val="00867D56"/>
    <w:rsid w:val="0087028A"/>
    <w:rsid w:val="00870569"/>
    <w:rsid w:val="008707EA"/>
    <w:rsid w:val="00870BAA"/>
    <w:rsid w:val="00870D91"/>
    <w:rsid w:val="0087145D"/>
    <w:rsid w:val="008716D1"/>
    <w:rsid w:val="008716ED"/>
    <w:rsid w:val="0087193F"/>
    <w:rsid w:val="008724E6"/>
    <w:rsid w:val="00872767"/>
    <w:rsid w:val="008728C8"/>
    <w:rsid w:val="00873205"/>
    <w:rsid w:val="008735E8"/>
    <w:rsid w:val="0087377E"/>
    <w:rsid w:val="00873908"/>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6C9"/>
    <w:rsid w:val="008758A8"/>
    <w:rsid w:val="00875AF3"/>
    <w:rsid w:val="008765E9"/>
    <w:rsid w:val="00876605"/>
    <w:rsid w:val="00876B13"/>
    <w:rsid w:val="00880017"/>
    <w:rsid w:val="00880305"/>
    <w:rsid w:val="00880315"/>
    <w:rsid w:val="0088031C"/>
    <w:rsid w:val="0088088A"/>
    <w:rsid w:val="00880A3F"/>
    <w:rsid w:val="00880DB4"/>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66CF"/>
    <w:rsid w:val="00886782"/>
    <w:rsid w:val="008869A1"/>
    <w:rsid w:val="00886B3F"/>
    <w:rsid w:val="008879F8"/>
    <w:rsid w:val="0089015D"/>
    <w:rsid w:val="0089021A"/>
    <w:rsid w:val="0089022E"/>
    <w:rsid w:val="00890475"/>
    <w:rsid w:val="00890A7C"/>
    <w:rsid w:val="00890D11"/>
    <w:rsid w:val="008910EE"/>
    <w:rsid w:val="00891A26"/>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13B"/>
    <w:rsid w:val="0089655D"/>
    <w:rsid w:val="00896784"/>
    <w:rsid w:val="00897824"/>
    <w:rsid w:val="008979DB"/>
    <w:rsid w:val="00897BCB"/>
    <w:rsid w:val="00897C07"/>
    <w:rsid w:val="00897DBA"/>
    <w:rsid w:val="008A02FA"/>
    <w:rsid w:val="008A06A8"/>
    <w:rsid w:val="008A1603"/>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7C5"/>
    <w:rsid w:val="008B198D"/>
    <w:rsid w:val="008B29A4"/>
    <w:rsid w:val="008B2BB4"/>
    <w:rsid w:val="008B2C30"/>
    <w:rsid w:val="008B2D73"/>
    <w:rsid w:val="008B3AB6"/>
    <w:rsid w:val="008B3C2B"/>
    <w:rsid w:val="008B411C"/>
    <w:rsid w:val="008B4679"/>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C5C"/>
    <w:rsid w:val="008C5F0A"/>
    <w:rsid w:val="008C6105"/>
    <w:rsid w:val="008C6124"/>
    <w:rsid w:val="008C6334"/>
    <w:rsid w:val="008C66BD"/>
    <w:rsid w:val="008C6968"/>
    <w:rsid w:val="008C742A"/>
    <w:rsid w:val="008C74C7"/>
    <w:rsid w:val="008C7714"/>
    <w:rsid w:val="008C7F4F"/>
    <w:rsid w:val="008D00F3"/>
    <w:rsid w:val="008D0F27"/>
    <w:rsid w:val="008D15A2"/>
    <w:rsid w:val="008D18CD"/>
    <w:rsid w:val="008D19FA"/>
    <w:rsid w:val="008D1F86"/>
    <w:rsid w:val="008D20E0"/>
    <w:rsid w:val="008D2796"/>
    <w:rsid w:val="008D2B6E"/>
    <w:rsid w:val="008D335C"/>
    <w:rsid w:val="008D33F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592"/>
    <w:rsid w:val="008E211C"/>
    <w:rsid w:val="008E296F"/>
    <w:rsid w:val="008E2BB3"/>
    <w:rsid w:val="008E2BC5"/>
    <w:rsid w:val="008E2C79"/>
    <w:rsid w:val="008E3176"/>
    <w:rsid w:val="008E3564"/>
    <w:rsid w:val="008E3A0B"/>
    <w:rsid w:val="008E3A90"/>
    <w:rsid w:val="008E3AAB"/>
    <w:rsid w:val="008E4043"/>
    <w:rsid w:val="008E41E2"/>
    <w:rsid w:val="008E4520"/>
    <w:rsid w:val="008E5017"/>
    <w:rsid w:val="008E54E8"/>
    <w:rsid w:val="008E5740"/>
    <w:rsid w:val="008E5868"/>
    <w:rsid w:val="008E5DC8"/>
    <w:rsid w:val="008E6465"/>
    <w:rsid w:val="008E6C57"/>
    <w:rsid w:val="008E6E66"/>
    <w:rsid w:val="008E7082"/>
    <w:rsid w:val="008E72AF"/>
    <w:rsid w:val="008F03D8"/>
    <w:rsid w:val="008F0952"/>
    <w:rsid w:val="008F0B40"/>
    <w:rsid w:val="008F1154"/>
    <w:rsid w:val="008F1B84"/>
    <w:rsid w:val="008F1B9D"/>
    <w:rsid w:val="008F1DB6"/>
    <w:rsid w:val="008F1DDC"/>
    <w:rsid w:val="008F2435"/>
    <w:rsid w:val="008F284D"/>
    <w:rsid w:val="008F3947"/>
    <w:rsid w:val="008F39C0"/>
    <w:rsid w:val="008F3E45"/>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0CD"/>
    <w:rsid w:val="009044BE"/>
    <w:rsid w:val="009048EB"/>
    <w:rsid w:val="009048FD"/>
    <w:rsid w:val="00904913"/>
    <w:rsid w:val="00904D4B"/>
    <w:rsid w:val="009050B3"/>
    <w:rsid w:val="00905945"/>
    <w:rsid w:val="00905B18"/>
    <w:rsid w:val="00905EC5"/>
    <w:rsid w:val="00905FEB"/>
    <w:rsid w:val="00906252"/>
    <w:rsid w:val="0090672E"/>
    <w:rsid w:val="00906A4F"/>
    <w:rsid w:val="00906BD6"/>
    <w:rsid w:val="00907074"/>
    <w:rsid w:val="009070B6"/>
    <w:rsid w:val="009073C7"/>
    <w:rsid w:val="009078BA"/>
    <w:rsid w:val="009079C7"/>
    <w:rsid w:val="009079F7"/>
    <w:rsid w:val="00907B44"/>
    <w:rsid w:val="00907C33"/>
    <w:rsid w:val="009108D2"/>
    <w:rsid w:val="00910C20"/>
    <w:rsid w:val="00910FE1"/>
    <w:rsid w:val="0091106A"/>
    <w:rsid w:val="009117D0"/>
    <w:rsid w:val="00911C77"/>
    <w:rsid w:val="00911D1C"/>
    <w:rsid w:val="00912386"/>
    <w:rsid w:val="009124AA"/>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744"/>
    <w:rsid w:val="00920997"/>
    <w:rsid w:val="00920B1E"/>
    <w:rsid w:val="00920DD5"/>
    <w:rsid w:val="00921161"/>
    <w:rsid w:val="0092158B"/>
    <w:rsid w:val="00921ADD"/>
    <w:rsid w:val="00921E0A"/>
    <w:rsid w:val="00922492"/>
    <w:rsid w:val="009224EB"/>
    <w:rsid w:val="0092272F"/>
    <w:rsid w:val="00922BE2"/>
    <w:rsid w:val="00922EDE"/>
    <w:rsid w:val="009232F3"/>
    <w:rsid w:val="0092337C"/>
    <w:rsid w:val="009237D9"/>
    <w:rsid w:val="0092386F"/>
    <w:rsid w:val="009239D2"/>
    <w:rsid w:val="009239F4"/>
    <w:rsid w:val="0092406C"/>
    <w:rsid w:val="00924096"/>
    <w:rsid w:val="009243BC"/>
    <w:rsid w:val="009244D5"/>
    <w:rsid w:val="009252F1"/>
    <w:rsid w:val="00925588"/>
    <w:rsid w:val="00925AF5"/>
    <w:rsid w:val="00925C76"/>
    <w:rsid w:val="00926268"/>
    <w:rsid w:val="009264A2"/>
    <w:rsid w:val="00926F3D"/>
    <w:rsid w:val="0092715D"/>
    <w:rsid w:val="00927206"/>
    <w:rsid w:val="00930057"/>
    <w:rsid w:val="00930632"/>
    <w:rsid w:val="00930975"/>
    <w:rsid w:val="009310BC"/>
    <w:rsid w:val="00931D3F"/>
    <w:rsid w:val="009324C4"/>
    <w:rsid w:val="00932671"/>
    <w:rsid w:val="00932A7A"/>
    <w:rsid w:val="009330BF"/>
    <w:rsid w:val="00933817"/>
    <w:rsid w:val="00933C07"/>
    <w:rsid w:val="00933F03"/>
    <w:rsid w:val="00934510"/>
    <w:rsid w:val="00934705"/>
    <w:rsid w:val="0093476C"/>
    <w:rsid w:val="00935A1E"/>
    <w:rsid w:val="00935B7C"/>
    <w:rsid w:val="00935E3A"/>
    <w:rsid w:val="00936005"/>
    <w:rsid w:val="0093607C"/>
    <w:rsid w:val="009372EA"/>
    <w:rsid w:val="00937A83"/>
    <w:rsid w:val="00937B51"/>
    <w:rsid w:val="00940008"/>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5B6B"/>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CA4"/>
    <w:rsid w:val="00955D04"/>
    <w:rsid w:val="00955FFA"/>
    <w:rsid w:val="00956170"/>
    <w:rsid w:val="00956BA1"/>
    <w:rsid w:val="00956D42"/>
    <w:rsid w:val="00956F0F"/>
    <w:rsid w:val="00957065"/>
    <w:rsid w:val="0095727F"/>
    <w:rsid w:val="009572AF"/>
    <w:rsid w:val="00957BBF"/>
    <w:rsid w:val="00957D4C"/>
    <w:rsid w:val="00957E41"/>
    <w:rsid w:val="0096023A"/>
    <w:rsid w:val="00960525"/>
    <w:rsid w:val="009607AB"/>
    <w:rsid w:val="00960A9A"/>
    <w:rsid w:val="009615DB"/>
    <w:rsid w:val="0096238F"/>
    <w:rsid w:val="00962683"/>
    <w:rsid w:val="00962E23"/>
    <w:rsid w:val="00963149"/>
    <w:rsid w:val="0096456D"/>
    <w:rsid w:val="0096487C"/>
    <w:rsid w:val="00964BC2"/>
    <w:rsid w:val="00964D4A"/>
    <w:rsid w:val="00964EAE"/>
    <w:rsid w:val="00965023"/>
    <w:rsid w:val="009650B7"/>
    <w:rsid w:val="0096515D"/>
    <w:rsid w:val="00965841"/>
    <w:rsid w:val="00965EE1"/>
    <w:rsid w:val="0096644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4D4D"/>
    <w:rsid w:val="009757CA"/>
    <w:rsid w:val="00975C9D"/>
    <w:rsid w:val="00975F28"/>
    <w:rsid w:val="00976E76"/>
    <w:rsid w:val="00977A14"/>
    <w:rsid w:val="00977E9B"/>
    <w:rsid w:val="009807BF"/>
    <w:rsid w:val="009809CE"/>
    <w:rsid w:val="00980D42"/>
    <w:rsid w:val="0098131F"/>
    <w:rsid w:val="00981479"/>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473"/>
    <w:rsid w:val="00987708"/>
    <w:rsid w:val="00987DDD"/>
    <w:rsid w:val="00987DF0"/>
    <w:rsid w:val="00987DF4"/>
    <w:rsid w:val="00987E2E"/>
    <w:rsid w:val="0099008B"/>
    <w:rsid w:val="00991202"/>
    <w:rsid w:val="0099177B"/>
    <w:rsid w:val="009917E0"/>
    <w:rsid w:val="0099367E"/>
    <w:rsid w:val="00993FE4"/>
    <w:rsid w:val="0099425E"/>
    <w:rsid w:val="0099482F"/>
    <w:rsid w:val="00994CDC"/>
    <w:rsid w:val="00995693"/>
    <w:rsid w:val="009969CD"/>
    <w:rsid w:val="00996CFC"/>
    <w:rsid w:val="0099770A"/>
    <w:rsid w:val="00997769"/>
    <w:rsid w:val="00997A2E"/>
    <w:rsid w:val="00997E3D"/>
    <w:rsid w:val="009A048E"/>
    <w:rsid w:val="009A0961"/>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80D"/>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325"/>
    <w:rsid w:val="009B27C4"/>
    <w:rsid w:val="009B2D92"/>
    <w:rsid w:val="009B30B9"/>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78"/>
    <w:rsid w:val="009C29C8"/>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790"/>
    <w:rsid w:val="009D3827"/>
    <w:rsid w:val="009D3A1A"/>
    <w:rsid w:val="009D426A"/>
    <w:rsid w:val="009D560D"/>
    <w:rsid w:val="009D5BDB"/>
    <w:rsid w:val="009D5CCA"/>
    <w:rsid w:val="009D627D"/>
    <w:rsid w:val="009D6B03"/>
    <w:rsid w:val="009D6B3D"/>
    <w:rsid w:val="009D7422"/>
    <w:rsid w:val="009D77A4"/>
    <w:rsid w:val="009D78E7"/>
    <w:rsid w:val="009E0505"/>
    <w:rsid w:val="009E0742"/>
    <w:rsid w:val="009E1291"/>
    <w:rsid w:val="009E12BC"/>
    <w:rsid w:val="009E224D"/>
    <w:rsid w:val="009E26D5"/>
    <w:rsid w:val="009E2765"/>
    <w:rsid w:val="009E276C"/>
    <w:rsid w:val="009E2A07"/>
    <w:rsid w:val="009E3398"/>
    <w:rsid w:val="009E3577"/>
    <w:rsid w:val="009E3D2B"/>
    <w:rsid w:val="009E3E84"/>
    <w:rsid w:val="009E4097"/>
    <w:rsid w:val="009E4664"/>
    <w:rsid w:val="009E49B4"/>
    <w:rsid w:val="009E4D8E"/>
    <w:rsid w:val="009E4E90"/>
    <w:rsid w:val="009E4EB7"/>
    <w:rsid w:val="009E56C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54A"/>
    <w:rsid w:val="009F791F"/>
    <w:rsid w:val="009F7ED2"/>
    <w:rsid w:val="009F7F86"/>
    <w:rsid w:val="00A0034D"/>
    <w:rsid w:val="00A00BFB"/>
    <w:rsid w:val="00A00DCF"/>
    <w:rsid w:val="00A00E2F"/>
    <w:rsid w:val="00A0126C"/>
    <w:rsid w:val="00A012DA"/>
    <w:rsid w:val="00A01320"/>
    <w:rsid w:val="00A0187E"/>
    <w:rsid w:val="00A01A50"/>
    <w:rsid w:val="00A01BB0"/>
    <w:rsid w:val="00A01D68"/>
    <w:rsid w:val="00A02450"/>
    <w:rsid w:val="00A026F0"/>
    <w:rsid w:val="00A02F2D"/>
    <w:rsid w:val="00A02F61"/>
    <w:rsid w:val="00A03862"/>
    <w:rsid w:val="00A03E0E"/>
    <w:rsid w:val="00A040D1"/>
    <w:rsid w:val="00A04424"/>
    <w:rsid w:val="00A04853"/>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4D5"/>
    <w:rsid w:val="00A108C2"/>
    <w:rsid w:val="00A114FA"/>
    <w:rsid w:val="00A11AF3"/>
    <w:rsid w:val="00A12C09"/>
    <w:rsid w:val="00A13084"/>
    <w:rsid w:val="00A1327F"/>
    <w:rsid w:val="00A137A5"/>
    <w:rsid w:val="00A13817"/>
    <w:rsid w:val="00A138D3"/>
    <w:rsid w:val="00A13E0F"/>
    <w:rsid w:val="00A144B7"/>
    <w:rsid w:val="00A149B4"/>
    <w:rsid w:val="00A15B60"/>
    <w:rsid w:val="00A15F4F"/>
    <w:rsid w:val="00A160AB"/>
    <w:rsid w:val="00A160F0"/>
    <w:rsid w:val="00A16745"/>
    <w:rsid w:val="00A16747"/>
    <w:rsid w:val="00A17C1D"/>
    <w:rsid w:val="00A20013"/>
    <w:rsid w:val="00A20582"/>
    <w:rsid w:val="00A20C65"/>
    <w:rsid w:val="00A214B2"/>
    <w:rsid w:val="00A21767"/>
    <w:rsid w:val="00A21FD5"/>
    <w:rsid w:val="00A226DE"/>
    <w:rsid w:val="00A22751"/>
    <w:rsid w:val="00A22940"/>
    <w:rsid w:val="00A23102"/>
    <w:rsid w:val="00A23284"/>
    <w:rsid w:val="00A2343F"/>
    <w:rsid w:val="00A23505"/>
    <w:rsid w:val="00A23598"/>
    <w:rsid w:val="00A2428B"/>
    <w:rsid w:val="00A244E4"/>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2799D"/>
    <w:rsid w:val="00A303DC"/>
    <w:rsid w:val="00A3068C"/>
    <w:rsid w:val="00A3127F"/>
    <w:rsid w:val="00A31922"/>
    <w:rsid w:val="00A31BCC"/>
    <w:rsid w:val="00A31C70"/>
    <w:rsid w:val="00A32382"/>
    <w:rsid w:val="00A325BB"/>
    <w:rsid w:val="00A3297A"/>
    <w:rsid w:val="00A32A58"/>
    <w:rsid w:val="00A32D63"/>
    <w:rsid w:val="00A32EEC"/>
    <w:rsid w:val="00A336C5"/>
    <w:rsid w:val="00A3510A"/>
    <w:rsid w:val="00A3515F"/>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3CD5"/>
    <w:rsid w:val="00A44AAD"/>
    <w:rsid w:val="00A44E8A"/>
    <w:rsid w:val="00A45280"/>
    <w:rsid w:val="00A45BF7"/>
    <w:rsid w:val="00A463B5"/>
    <w:rsid w:val="00A463BA"/>
    <w:rsid w:val="00A46675"/>
    <w:rsid w:val="00A471A3"/>
    <w:rsid w:val="00A47597"/>
    <w:rsid w:val="00A477B1"/>
    <w:rsid w:val="00A47E08"/>
    <w:rsid w:val="00A47E44"/>
    <w:rsid w:val="00A47F91"/>
    <w:rsid w:val="00A507D7"/>
    <w:rsid w:val="00A50A5C"/>
    <w:rsid w:val="00A50BE2"/>
    <w:rsid w:val="00A50CC6"/>
    <w:rsid w:val="00A50E40"/>
    <w:rsid w:val="00A51462"/>
    <w:rsid w:val="00A51564"/>
    <w:rsid w:val="00A51946"/>
    <w:rsid w:val="00A51C1F"/>
    <w:rsid w:val="00A51FF7"/>
    <w:rsid w:val="00A52079"/>
    <w:rsid w:val="00A52143"/>
    <w:rsid w:val="00A521E9"/>
    <w:rsid w:val="00A5279C"/>
    <w:rsid w:val="00A5298E"/>
    <w:rsid w:val="00A52B3E"/>
    <w:rsid w:val="00A5313B"/>
    <w:rsid w:val="00A5320E"/>
    <w:rsid w:val="00A536DA"/>
    <w:rsid w:val="00A53F7B"/>
    <w:rsid w:val="00A54090"/>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740"/>
    <w:rsid w:val="00A72EBE"/>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600"/>
    <w:rsid w:val="00A87744"/>
    <w:rsid w:val="00A87A70"/>
    <w:rsid w:val="00A87AE6"/>
    <w:rsid w:val="00A87B09"/>
    <w:rsid w:val="00A87C22"/>
    <w:rsid w:val="00A90590"/>
    <w:rsid w:val="00A90A97"/>
    <w:rsid w:val="00A90BD3"/>
    <w:rsid w:val="00A90CB4"/>
    <w:rsid w:val="00A910DA"/>
    <w:rsid w:val="00A920E1"/>
    <w:rsid w:val="00A923D6"/>
    <w:rsid w:val="00A92B42"/>
    <w:rsid w:val="00A933AE"/>
    <w:rsid w:val="00A93485"/>
    <w:rsid w:val="00A93863"/>
    <w:rsid w:val="00A9415E"/>
    <w:rsid w:val="00A9423F"/>
    <w:rsid w:val="00A948D8"/>
    <w:rsid w:val="00A94EBD"/>
    <w:rsid w:val="00A9510D"/>
    <w:rsid w:val="00A9556A"/>
    <w:rsid w:val="00A956AC"/>
    <w:rsid w:val="00A95B89"/>
    <w:rsid w:val="00A95D2A"/>
    <w:rsid w:val="00A96214"/>
    <w:rsid w:val="00A967E8"/>
    <w:rsid w:val="00A9680B"/>
    <w:rsid w:val="00A977D1"/>
    <w:rsid w:val="00A97AF8"/>
    <w:rsid w:val="00A97D38"/>
    <w:rsid w:val="00A97D80"/>
    <w:rsid w:val="00A97F4B"/>
    <w:rsid w:val="00AA04C5"/>
    <w:rsid w:val="00AA09F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D3C"/>
    <w:rsid w:val="00AA5E3B"/>
    <w:rsid w:val="00AA6003"/>
    <w:rsid w:val="00AA63AD"/>
    <w:rsid w:val="00AA65B4"/>
    <w:rsid w:val="00AA6F62"/>
    <w:rsid w:val="00AA745E"/>
    <w:rsid w:val="00AA7E43"/>
    <w:rsid w:val="00AB0352"/>
    <w:rsid w:val="00AB047A"/>
    <w:rsid w:val="00AB04AB"/>
    <w:rsid w:val="00AB0733"/>
    <w:rsid w:val="00AB09D2"/>
    <w:rsid w:val="00AB0B64"/>
    <w:rsid w:val="00AB0C30"/>
    <w:rsid w:val="00AB161B"/>
    <w:rsid w:val="00AB176B"/>
    <w:rsid w:val="00AB251A"/>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E0"/>
    <w:rsid w:val="00AC2CFA"/>
    <w:rsid w:val="00AC3263"/>
    <w:rsid w:val="00AC3E12"/>
    <w:rsid w:val="00AC406E"/>
    <w:rsid w:val="00AC430C"/>
    <w:rsid w:val="00AC4A6B"/>
    <w:rsid w:val="00AC5C19"/>
    <w:rsid w:val="00AC60F0"/>
    <w:rsid w:val="00AC6657"/>
    <w:rsid w:val="00AC6A24"/>
    <w:rsid w:val="00AC6D7A"/>
    <w:rsid w:val="00AC6DDD"/>
    <w:rsid w:val="00AC72B0"/>
    <w:rsid w:val="00AC7363"/>
    <w:rsid w:val="00AC7401"/>
    <w:rsid w:val="00AC7901"/>
    <w:rsid w:val="00AC79F3"/>
    <w:rsid w:val="00AC7FDD"/>
    <w:rsid w:val="00AD0949"/>
    <w:rsid w:val="00AD0F1D"/>
    <w:rsid w:val="00AD1179"/>
    <w:rsid w:val="00AD1359"/>
    <w:rsid w:val="00AD194B"/>
    <w:rsid w:val="00AD19F0"/>
    <w:rsid w:val="00AD1FCE"/>
    <w:rsid w:val="00AD26E1"/>
    <w:rsid w:val="00AD29CC"/>
    <w:rsid w:val="00AD2D28"/>
    <w:rsid w:val="00AD3268"/>
    <w:rsid w:val="00AD3DE2"/>
    <w:rsid w:val="00AD4261"/>
    <w:rsid w:val="00AD4473"/>
    <w:rsid w:val="00AD46F5"/>
    <w:rsid w:val="00AD4CF5"/>
    <w:rsid w:val="00AD51A3"/>
    <w:rsid w:val="00AD598B"/>
    <w:rsid w:val="00AD6960"/>
    <w:rsid w:val="00AD7154"/>
    <w:rsid w:val="00AD7844"/>
    <w:rsid w:val="00AD797D"/>
    <w:rsid w:val="00AD7C94"/>
    <w:rsid w:val="00AD7E02"/>
    <w:rsid w:val="00AD7F7D"/>
    <w:rsid w:val="00AE0483"/>
    <w:rsid w:val="00AE08DD"/>
    <w:rsid w:val="00AE09A4"/>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6EC2"/>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0D7A"/>
    <w:rsid w:val="00B016D2"/>
    <w:rsid w:val="00B01E41"/>
    <w:rsid w:val="00B02091"/>
    <w:rsid w:val="00B02B3F"/>
    <w:rsid w:val="00B02B43"/>
    <w:rsid w:val="00B02BCB"/>
    <w:rsid w:val="00B03D36"/>
    <w:rsid w:val="00B03F3D"/>
    <w:rsid w:val="00B04384"/>
    <w:rsid w:val="00B04540"/>
    <w:rsid w:val="00B05116"/>
    <w:rsid w:val="00B051A7"/>
    <w:rsid w:val="00B05574"/>
    <w:rsid w:val="00B058D5"/>
    <w:rsid w:val="00B05F1A"/>
    <w:rsid w:val="00B05F4C"/>
    <w:rsid w:val="00B07B33"/>
    <w:rsid w:val="00B07FA2"/>
    <w:rsid w:val="00B100CF"/>
    <w:rsid w:val="00B10B3F"/>
    <w:rsid w:val="00B10E82"/>
    <w:rsid w:val="00B111A6"/>
    <w:rsid w:val="00B11221"/>
    <w:rsid w:val="00B115E5"/>
    <w:rsid w:val="00B118EE"/>
    <w:rsid w:val="00B11B03"/>
    <w:rsid w:val="00B11C5B"/>
    <w:rsid w:val="00B121CD"/>
    <w:rsid w:val="00B12343"/>
    <w:rsid w:val="00B12529"/>
    <w:rsid w:val="00B128C5"/>
    <w:rsid w:val="00B129DF"/>
    <w:rsid w:val="00B12B11"/>
    <w:rsid w:val="00B12C94"/>
    <w:rsid w:val="00B135AB"/>
    <w:rsid w:val="00B137BF"/>
    <w:rsid w:val="00B13A1B"/>
    <w:rsid w:val="00B13A59"/>
    <w:rsid w:val="00B142D9"/>
    <w:rsid w:val="00B14BC4"/>
    <w:rsid w:val="00B151C5"/>
    <w:rsid w:val="00B156C8"/>
    <w:rsid w:val="00B158A3"/>
    <w:rsid w:val="00B15B25"/>
    <w:rsid w:val="00B15EA0"/>
    <w:rsid w:val="00B17A4E"/>
    <w:rsid w:val="00B17B30"/>
    <w:rsid w:val="00B17C2F"/>
    <w:rsid w:val="00B21175"/>
    <w:rsid w:val="00B2153E"/>
    <w:rsid w:val="00B21AD9"/>
    <w:rsid w:val="00B21FA7"/>
    <w:rsid w:val="00B22022"/>
    <w:rsid w:val="00B225E4"/>
    <w:rsid w:val="00B23F7A"/>
    <w:rsid w:val="00B240B1"/>
    <w:rsid w:val="00B24208"/>
    <w:rsid w:val="00B24728"/>
    <w:rsid w:val="00B248A9"/>
    <w:rsid w:val="00B24D28"/>
    <w:rsid w:val="00B24F1C"/>
    <w:rsid w:val="00B25890"/>
    <w:rsid w:val="00B25D76"/>
    <w:rsid w:val="00B25E9C"/>
    <w:rsid w:val="00B26B12"/>
    <w:rsid w:val="00B27032"/>
    <w:rsid w:val="00B27BEC"/>
    <w:rsid w:val="00B30003"/>
    <w:rsid w:val="00B31201"/>
    <w:rsid w:val="00B3167E"/>
    <w:rsid w:val="00B319F7"/>
    <w:rsid w:val="00B31B4B"/>
    <w:rsid w:val="00B31CD5"/>
    <w:rsid w:val="00B31DCA"/>
    <w:rsid w:val="00B31E36"/>
    <w:rsid w:val="00B32E26"/>
    <w:rsid w:val="00B338B7"/>
    <w:rsid w:val="00B34061"/>
    <w:rsid w:val="00B3440A"/>
    <w:rsid w:val="00B3441D"/>
    <w:rsid w:val="00B34441"/>
    <w:rsid w:val="00B353D3"/>
    <w:rsid w:val="00B35534"/>
    <w:rsid w:val="00B35A87"/>
    <w:rsid w:val="00B35AB6"/>
    <w:rsid w:val="00B35AFD"/>
    <w:rsid w:val="00B35F9A"/>
    <w:rsid w:val="00B36236"/>
    <w:rsid w:val="00B3662E"/>
    <w:rsid w:val="00B366D2"/>
    <w:rsid w:val="00B366FA"/>
    <w:rsid w:val="00B36E86"/>
    <w:rsid w:val="00B37122"/>
    <w:rsid w:val="00B379BA"/>
    <w:rsid w:val="00B37D24"/>
    <w:rsid w:val="00B40139"/>
    <w:rsid w:val="00B407BE"/>
    <w:rsid w:val="00B410E1"/>
    <w:rsid w:val="00B412FD"/>
    <w:rsid w:val="00B422BE"/>
    <w:rsid w:val="00B4241D"/>
    <w:rsid w:val="00B426BB"/>
    <w:rsid w:val="00B42B08"/>
    <w:rsid w:val="00B42EB9"/>
    <w:rsid w:val="00B434E9"/>
    <w:rsid w:val="00B441FE"/>
    <w:rsid w:val="00B44821"/>
    <w:rsid w:val="00B44AD3"/>
    <w:rsid w:val="00B44BDC"/>
    <w:rsid w:val="00B45152"/>
    <w:rsid w:val="00B45E54"/>
    <w:rsid w:val="00B461E5"/>
    <w:rsid w:val="00B464E4"/>
    <w:rsid w:val="00B4689A"/>
    <w:rsid w:val="00B46D5F"/>
    <w:rsid w:val="00B46E7B"/>
    <w:rsid w:val="00B47DC5"/>
    <w:rsid w:val="00B505B3"/>
    <w:rsid w:val="00B50A74"/>
    <w:rsid w:val="00B520A0"/>
    <w:rsid w:val="00B5257E"/>
    <w:rsid w:val="00B525CE"/>
    <w:rsid w:val="00B52CFD"/>
    <w:rsid w:val="00B545A8"/>
    <w:rsid w:val="00B548E8"/>
    <w:rsid w:val="00B56527"/>
    <w:rsid w:val="00B56918"/>
    <w:rsid w:val="00B576DA"/>
    <w:rsid w:val="00B57710"/>
    <w:rsid w:val="00B579F7"/>
    <w:rsid w:val="00B601C9"/>
    <w:rsid w:val="00B60D04"/>
    <w:rsid w:val="00B61EE8"/>
    <w:rsid w:val="00B625D3"/>
    <w:rsid w:val="00B62D9B"/>
    <w:rsid w:val="00B633A3"/>
    <w:rsid w:val="00B63533"/>
    <w:rsid w:val="00B63BDB"/>
    <w:rsid w:val="00B63C58"/>
    <w:rsid w:val="00B64A0E"/>
    <w:rsid w:val="00B64CC6"/>
    <w:rsid w:val="00B64DDF"/>
    <w:rsid w:val="00B65728"/>
    <w:rsid w:val="00B6601E"/>
    <w:rsid w:val="00B663AA"/>
    <w:rsid w:val="00B66DD5"/>
    <w:rsid w:val="00B6715C"/>
    <w:rsid w:val="00B67B97"/>
    <w:rsid w:val="00B67F01"/>
    <w:rsid w:val="00B70FA2"/>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E44"/>
    <w:rsid w:val="00B74290"/>
    <w:rsid w:val="00B74510"/>
    <w:rsid w:val="00B74822"/>
    <w:rsid w:val="00B74BD4"/>
    <w:rsid w:val="00B74BF7"/>
    <w:rsid w:val="00B76185"/>
    <w:rsid w:val="00B7676C"/>
    <w:rsid w:val="00B76BCD"/>
    <w:rsid w:val="00B76FBC"/>
    <w:rsid w:val="00B771CE"/>
    <w:rsid w:val="00B7782B"/>
    <w:rsid w:val="00B779E6"/>
    <w:rsid w:val="00B804E2"/>
    <w:rsid w:val="00B811B2"/>
    <w:rsid w:val="00B8164D"/>
    <w:rsid w:val="00B81C65"/>
    <w:rsid w:val="00B82024"/>
    <w:rsid w:val="00B8276E"/>
    <w:rsid w:val="00B836F3"/>
    <w:rsid w:val="00B83997"/>
    <w:rsid w:val="00B83A62"/>
    <w:rsid w:val="00B83B59"/>
    <w:rsid w:val="00B84252"/>
    <w:rsid w:val="00B84653"/>
    <w:rsid w:val="00B84677"/>
    <w:rsid w:val="00B8468F"/>
    <w:rsid w:val="00B84705"/>
    <w:rsid w:val="00B84FC6"/>
    <w:rsid w:val="00B857F5"/>
    <w:rsid w:val="00B85A56"/>
    <w:rsid w:val="00B85B2C"/>
    <w:rsid w:val="00B86D6C"/>
    <w:rsid w:val="00B86F47"/>
    <w:rsid w:val="00B874B4"/>
    <w:rsid w:val="00B875E9"/>
    <w:rsid w:val="00B8787A"/>
    <w:rsid w:val="00B87887"/>
    <w:rsid w:val="00B90123"/>
    <w:rsid w:val="00B90196"/>
    <w:rsid w:val="00B90FBE"/>
    <w:rsid w:val="00B90FD6"/>
    <w:rsid w:val="00B911C1"/>
    <w:rsid w:val="00B92008"/>
    <w:rsid w:val="00B920C1"/>
    <w:rsid w:val="00B922C3"/>
    <w:rsid w:val="00B9272E"/>
    <w:rsid w:val="00B927A7"/>
    <w:rsid w:val="00B92B9E"/>
    <w:rsid w:val="00B93315"/>
    <w:rsid w:val="00B93519"/>
    <w:rsid w:val="00B9372A"/>
    <w:rsid w:val="00B93FD0"/>
    <w:rsid w:val="00B9425C"/>
    <w:rsid w:val="00B94AAF"/>
    <w:rsid w:val="00B94DB1"/>
    <w:rsid w:val="00B953FF"/>
    <w:rsid w:val="00B9622D"/>
    <w:rsid w:val="00B96263"/>
    <w:rsid w:val="00B96373"/>
    <w:rsid w:val="00B968A5"/>
    <w:rsid w:val="00B972CD"/>
    <w:rsid w:val="00B9769B"/>
    <w:rsid w:val="00B97D02"/>
    <w:rsid w:val="00BA0275"/>
    <w:rsid w:val="00BA0304"/>
    <w:rsid w:val="00BA0557"/>
    <w:rsid w:val="00BA2A34"/>
    <w:rsid w:val="00BA3038"/>
    <w:rsid w:val="00BA3319"/>
    <w:rsid w:val="00BA370A"/>
    <w:rsid w:val="00BA3826"/>
    <w:rsid w:val="00BA48BC"/>
    <w:rsid w:val="00BA4A29"/>
    <w:rsid w:val="00BA4BE7"/>
    <w:rsid w:val="00BA5D65"/>
    <w:rsid w:val="00BA5F20"/>
    <w:rsid w:val="00BA6819"/>
    <w:rsid w:val="00BA68D9"/>
    <w:rsid w:val="00BA7172"/>
    <w:rsid w:val="00BA7684"/>
    <w:rsid w:val="00BA7B01"/>
    <w:rsid w:val="00BB02D7"/>
    <w:rsid w:val="00BB0D9F"/>
    <w:rsid w:val="00BB0DEE"/>
    <w:rsid w:val="00BB0E20"/>
    <w:rsid w:val="00BB1031"/>
    <w:rsid w:val="00BB1B33"/>
    <w:rsid w:val="00BB2480"/>
    <w:rsid w:val="00BB2C4E"/>
    <w:rsid w:val="00BB2E29"/>
    <w:rsid w:val="00BB2F74"/>
    <w:rsid w:val="00BB3206"/>
    <w:rsid w:val="00BB32C2"/>
    <w:rsid w:val="00BB3B0D"/>
    <w:rsid w:val="00BB520A"/>
    <w:rsid w:val="00BB524C"/>
    <w:rsid w:val="00BB5DAB"/>
    <w:rsid w:val="00BB5F77"/>
    <w:rsid w:val="00BB6195"/>
    <w:rsid w:val="00BB61A3"/>
    <w:rsid w:val="00BB707E"/>
    <w:rsid w:val="00BB7568"/>
    <w:rsid w:val="00BB7F82"/>
    <w:rsid w:val="00BC007C"/>
    <w:rsid w:val="00BC0AB2"/>
    <w:rsid w:val="00BC1308"/>
    <w:rsid w:val="00BC1ADA"/>
    <w:rsid w:val="00BC1BF4"/>
    <w:rsid w:val="00BC22DB"/>
    <w:rsid w:val="00BC2600"/>
    <w:rsid w:val="00BC2ACD"/>
    <w:rsid w:val="00BC2F24"/>
    <w:rsid w:val="00BC33BE"/>
    <w:rsid w:val="00BC3A47"/>
    <w:rsid w:val="00BC3EEB"/>
    <w:rsid w:val="00BC4780"/>
    <w:rsid w:val="00BC4DD7"/>
    <w:rsid w:val="00BC4F46"/>
    <w:rsid w:val="00BC52C8"/>
    <w:rsid w:val="00BC5485"/>
    <w:rsid w:val="00BC549C"/>
    <w:rsid w:val="00BC570E"/>
    <w:rsid w:val="00BC5A6C"/>
    <w:rsid w:val="00BC5A84"/>
    <w:rsid w:val="00BC5AF6"/>
    <w:rsid w:val="00BC5B4B"/>
    <w:rsid w:val="00BC5EDB"/>
    <w:rsid w:val="00BC613E"/>
    <w:rsid w:val="00BC69A2"/>
    <w:rsid w:val="00BC6ED6"/>
    <w:rsid w:val="00BC6F03"/>
    <w:rsid w:val="00BC6FA1"/>
    <w:rsid w:val="00BC7486"/>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9B1"/>
    <w:rsid w:val="00BD3E76"/>
    <w:rsid w:val="00BD3EE2"/>
    <w:rsid w:val="00BD3FCF"/>
    <w:rsid w:val="00BD42D2"/>
    <w:rsid w:val="00BD47D7"/>
    <w:rsid w:val="00BD4EFB"/>
    <w:rsid w:val="00BD5076"/>
    <w:rsid w:val="00BD5551"/>
    <w:rsid w:val="00BD5AF1"/>
    <w:rsid w:val="00BD6D43"/>
    <w:rsid w:val="00BD7090"/>
    <w:rsid w:val="00BD7490"/>
    <w:rsid w:val="00BD767F"/>
    <w:rsid w:val="00BE09C3"/>
    <w:rsid w:val="00BE0C27"/>
    <w:rsid w:val="00BE15BB"/>
    <w:rsid w:val="00BE198F"/>
    <w:rsid w:val="00BE1A78"/>
    <w:rsid w:val="00BE473E"/>
    <w:rsid w:val="00BE5135"/>
    <w:rsid w:val="00BE5964"/>
    <w:rsid w:val="00BE5F2B"/>
    <w:rsid w:val="00BE660B"/>
    <w:rsid w:val="00BE6AFE"/>
    <w:rsid w:val="00BE6BBE"/>
    <w:rsid w:val="00BE6FDA"/>
    <w:rsid w:val="00BE7021"/>
    <w:rsid w:val="00BE7300"/>
    <w:rsid w:val="00BE784F"/>
    <w:rsid w:val="00BE7F90"/>
    <w:rsid w:val="00BF0238"/>
    <w:rsid w:val="00BF0717"/>
    <w:rsid w:val="00BF071D"/>
    <w:rsid w:val="00BF0A7D"/>
    <w:rsid w:val="00BF1750"/>
    <w:rsid w:val="00BF178E"/>
    <w:rsid w:val="00BF189F"/>
    <w:rsid w:val="00BF1B44"/>
    <w:rsid w:val="00BF1F01"/>
    <w:rsid w:val="00BF21FF"/>
    <w:rsid w:val="00BF23CC"/>
    <w:rsid w:val="00BF243F"/>
    <w:rsid w:val="00BF284E"/>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4A3"/>
    <w:rsid w:val="00C05A4C"/>
    <w:rsid w:val="00C05A67"/>
    <w:rsid w:val="00C073E0"/>
    <w:rsid w:val="00C074F8"/>
    <w:rsid w:val="00C1001D"/>
    <w:rsid w:val="00C10B5A"/>
    <w:rsid w:val="00C11113"/>
    <w:rsid w:val="00C11687"/>
    <w:rsid w:val="00C11E28"/>
    <w:rsid w:val="00C1225B"/>
    <w:rsid w:val="00C122F9"/>
    <w:rsid w:val="00C12459"/>
    <w:rsid w:val="00C1253A"/>
    <w:rsid w:val="00C128C9"/>
    <w:rsid w:val="00C12CF3"/>
    <w:rsid w:val="00C12F88"/>
    <w:rsid w:val="00C131A8"/>
    <w:rsid w:val="00C1322D"/>
    <w:rsid w:val="00C135A3"/>
    <w:rsid w:val="00C1477A"/>
    <w:rsid w:val="00C14A62"/>
    <w:rsid w:val="00C158EB"/>
    <w:rsid w:val="00C159B1"/>
    <w:rsid w:val="00C161F5"/>
    <w:rsid w:val="00C168D8"/>
    <w:rsid w:val="00C16C92"/>
    <w:rsid w:val="00C1706B"/>
    <w:rsid w:val="00C17648"/>
    <w:rsid w:val="00C17DB7"/>
    <w:rsid w:val="00C17E48"/>
    <w:rsid w:val="00C17E81"/>
    <w:rsid w:val="00C17FF5"/>
    <w:rsid w:val="00C201E7"/>
    <w:rsid w:val="00C20703"/>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70B"/>
    <w:rsid w:val="00C248DB"/>
    <w:rsid w:val="00C26170"/>
    <w:rsid w:val="00C26B5A"/>
    <w:rsid w:val="00C26D52"/>
    <w:rsid w:val="00C26F21"/>
    <w:rsid w:val="00C277DA"/>
    <w:rsid w:val="00C30319"/>
    <w:rsid w:val="00C303E4"/>
    <w:rsid w:val="00C30775"/>
    <w:rsid w:val="00C30B8D"/>
    <w:rsid w:val="00C30F51"/>
    <w:rsid w:val="00C310BA"/>
    <w:rsid w:val="00C3134E"/>
    <w:rsid w:val="00C314E3"/>
    <w:rsid w:val="00C315D8"/>
    <w:rsid w:val="00C31C4A"/>
    <w:rsid w:val="00C31D2D"/>
    <w:rsid w:val="00C3242F"/>
    <w:rsid w:val="00C32639"/>
    <w:rsid w:val="00C32AD2"/>
    <w:rsid w:val="00C32AF4"/>
    <w:rsid w:val="00C34193"/>
    <w:rsid w:val="00C3441A"/>
    <w:rsid w:val="00C347FD"/>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84F"/>
    <w:rsid w:val="00C47E67"/>
    <w:rsid w:val="00C47FD9"/>
    <w:rsid w:val="00C50387"/>
    <w:rsid w:val="00C50C1A"/>
    <w:rsid w:val="00C50CC0"/>
    <w:rsid w:val="00C51508"/>
    <w:rsid w:val="00C51D73"/>
    <w:rsid w:val="00C51DEB"/>
    <w:rsid w:val="00C52A05"/>
    <w:rsid w:val="00C52E97"/>
    <w:rsid w:val="00C52EAF"/>
    <w:rsid w:val="00C53189"/>
    <w:rsid w:val="00C53398"/>
    <w:rsid w:val="00C534E5"/>
    <w:rsid w:val="00C534F4"/>
    <w:rsid w:val="00C5375B"/>
    <w:rsid w:val="00C53B15"/>
    <w:rsid w:val="00C53DA9"/>
    <w:rsid w:val="00C53EF7"/>
    <w:rsid w:val="00C54280"/>
    <w:rsid w:val="00C54929"/>
    <w:rsid w:val="00C556B1"/>
    <w:rsid w:val="00C55A05"/>
    <w:rsid w:val="00C55A12"/>
    <w:rsid w:val="00C55E94"/>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EF6"/>
    <w:rsid w:val="00C80B4B"/>
    <w:rsid w:val="00C80D63"/>
    <w:rsid w:val="00C80FFB"/>
    <w:rsid w:val="00C810BC"/>
    <w:rsid w:val="00C812D5"/>
    <w:rsid w:val="00C818D0"/>
    <w:rsid w:val="00C81BEA"/>
    <w:rsid w:val="00C81DF5"/>
    <w:rsid w:val="00C82188"/>
    <w:rsid w:val="00C8242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6681"/>
    <w:rsid w:val="00C87174"/>
    <w:rsid w:val="00C874C8"/>
    <w:rsid w:val="00C90165"/>
    <w:rsid w:val="00C90733"/>
    <w:rsid w:val="00C921C4"/>
    <w:rsid w:val="00C9235F"/>
    <w:rsid w:val="00C9256C"/>
    <w:rsid w:val="00C9257F"/>
    <w:rsid w:val="00C92D5E"/>
    <w:rsid w:val="00C92F93"/>
    <w:rsid w:val="00C9319C"/>
    <w:rsid w:val="00C9346C"/>
    <w:rsid w:val="00C934F6"/>
    <w:rsid w:val="00C93874"/>
    <w:rsid w:val="00C93A4C"/>
    <w:rsid w:val="00C9448D"/>
    <w:rsid w:val="00C94FD2"/>
    <w:rsid w:val="00C9514C"/>
    <w:rsid w:val="00C95341"/>
    <w:rsid w:val="00C95B76"/>
    <w:rsid w:val="00C96285"/>
    <w:rsid w:val="00C964C3"/>
    <w:rsid w:val="00C96635"/>
    <w:rsid w:val="00C966B7"/>
    <w:rsid w:val="00C969DB"/>
    <w:rsid w:val="00C97A4A"/>
    <w:rsid w:val="00C97DC9"/>
    <w:rsid w:val="00C97EE3"/>
    <w:rsid w:val="00CA04BE"/>
    <w:rsid w:val="00CA12BA"/>
    <w:rsid w:val="00CA165C"/>
    <w:rsid w:val="00CA1C0D"/>
    <w:rsid w:val="00CA1DAE"/>
    <w:rsid w:val="00CA21A4"/>
    <w:rsid w:val="00CA2267"/>
    <w:rsid w:val="00CA38AD"/>
    <w:rsid w:val="00CA413F"/>
    <w:rsid w:val="00CA5098"/>
    <w:rsid w:val="00CA5503"/>
    <w:rsid w:val="00CA55C3"/>
    <w:rsid w:val="00CA58C2"/>
    <w:rsid w:val="00CA65B3"/>
    <w:rsid w:val="00CA66C3"/>
    <w:rsid w:val="00CA6CAD"/>
    <w:rsid w:val="00CA70A8"/>
    <w:rsid w:val="00CA70D0"/>
    <w:rsid w:val="00CA74A4"/>
    <w:rsid w:val="00CA7683"/>
    <w:rsid w:val="00CA7EA1"/>
    <w:rsid w:val="00CA7EEB"/>
    <w:rsid w:val="00CB009B"/>
    <w:rsid w:val="00CB0231"/>
    <w:rsid w:val="00CB0838"/>
    <w:rsid w:val="00CB1AFD"/>
    <w:rsid w:val="00CB1E7F"/>
    <w:rsid w:val="00CB1EB3"/>
    <w:rsid w:val="00CB2126"/>
    <w:rsid w:val="00CB24AD"/>
    <w:rsid w:val="00CB24B4"/>
    <w:rsid w:val="00CB2C59"/>
    <w:rsid w:val="00CB2D9C"/>
    <w:rsid w:val="00CB34AB"/>
    <w:rsid w:val="00CB3529"/>
    <w:rsid w:val="00CB3562"/>
    <w:rsid w:val="00CB378F"/>
    <w:rsid w:val="00CB38A9"/>
    <w:rsid w:val="00CB4728"/>
    <w:rsid w:val="00CB4994"/>
    <w:rsid w:val="00CB556C"/>
    <w:rsid w:val="00CB59E7"/>
    <w:rsid w:val="00CB5E4A"/>
    <w:rsid w:val="00CB6343"/>
    <w:rsid w:val="00CB668A"/>
    <w:rsid w:val="00CB6976"/>
    <w:rsid w:val="00CB6FCA"/>
    <w:rsid w:val="00CB724D"/>
    <w:rsid w:val="00CB73EA"/>
    <w:rsid w:val="00CB7985"/>
    <w:rsid w:val="00CB7D4E"/>
    <w:rsid w:val="00CC002B"/>
    <w:rsid w:val="00CC07E5"/>
    <w:rsid w:val="00CC09F0"/>
    <w:rsid w:val="00CC0C11"/>
    <w:rsid w:val="00CC15B5"/>
    <w:rsid w:val="00CC1671"/>
    <w:rsid w:val="00CC1698"/>
    <w:rsid w:val="00CC1F52"/>
    <w:rsid w:val="00CC233F"/>
    <w:rsid w:val="00CC27FD"/>
    <w:rsid w:val="00CC31E8"/>
    <w:rsid w:val="00CC33C6"/>
    <w:rsid w:val="00CC3AB9"/>
    <w:rsid w:val="00CC3C9E"/>
    <w:rsid w:val="00CC3CC4"/>
    <w:rsid w:val="00CC45E0"/>
    <w:rsid w:val="00CC4BBE"/>
    <w:rsid w:val="00CC4BC3"/>
    <w:rsid w:val="00CC50C7"/>
    <w:rsid w:val="00CC55AC"/>
    <w:rsid w:val="00CC5859"/>
    <w:rsid w:val="00CC6159"/>
    <w:rsid w:val="00CC65A8"/>
    <w:rsid w:val="00CC6FF2"/>
    <w:rsid w:val="00CC71F3"/>
    <w:rsid w:val="00CC72C0"/>
    <w:rsid w:val="00CC757D"/>
    <w:rsid w:val="00CC7C74"/>
    <w:rsid w:val="00CD00DB"/>
    <w:rsid w:val="00CD0119"/>
    <w:rsid w:val="00CD07FD"/>
    <w:rsid w:val="00CD0866"/>
    <w:rsid w:val="00CD0A51"/>
    <w:rsid w:val="00CD1169"/>
    <w:rsid w:val="00CD16C7"/>
    <w:rsid w:val="00CD1A40"/>
    <w:rsid w:val="00CD1B33"/>
    <w:rsid w:val="00CD25F3"/>
    <w:rsid w:val="00CD27FF"/>
    <w:rsid w:val="00CD2973"/>
    <w:rsid w:val="00CD305C"/>
    <w:rsid w:val="00CD32F6"/>
    <w:rsid w:val="00CD3941"/>
    <w:rsid w:val="00CD3A6D"/>
    <w:rsid w:val="00CD3E5A"/>
    <w:rsid w:val="00CD3E63"/>
    <w:rsid w:val="00CD40A3"/>
    <w:rsid w:val="00CD4CD3"/>
    <w:rsid w:val="00CD578C"/>
    <w:rsid w:val="00CD589F"/>
    <w:rsid w:val="00CD60C9"/>
    <w:rsid w:val="00CD60F8"/>
    <w:rsid w:val="00CD6345"/>
    <w:rsid w:val="00CD6BBB"/>
    <w:rsid w:val="00CD6C19"/>
    <w:rsid w:val="00CD6E47"/>
    <w:rsid w:val="00CD7482"/>
    <w:rsid w:val="00CD7D4B"/>
    <w:rsid w:val="00CE07C1"/>
    <w:rsid w:val="00CE1567"/>
    <w:rsid w:val="00CE186F"/>
    <w:rsid w:val="00CE1BC4"/>
    <w:rsid w:val="00CE1C09"/>
    <w:rsid w:val="00CE20E3"/>
    <w:rsid w:val="00CE24B7"/>
    <w:rsid w:val="00CE273A"/>
    <w:rsid w:val="00CE2844"/>
    <w:rsid w:val="00CE321C"/>
    <w:rsid w:val="00CE32E8"/>
    <w:rsid w:val="00CE3700"/>
    <w:rsid w:val="00CE3B69"/>
    <w:rsid w:val="00CE3B77"/>
    <w:rsid w:val="00CE4559"/>
    <w:rsid w:val="00CE4BDA"/>
    <w:rsid w:val="00CE4D58"/>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D78"/>
    <w:rsid w:val="00CF2E81"/>
    <w:rsid w:val="00CF2F66"/>
    <w:rsid w:val="00CF337B"/>
    <w:rsid w:val="00CF3848"/>
    <w:rsid w:val="00CF3FE7"/>
    <w:rsid w:val="00CF4059"/>
    <w:rsid w:val="00CF4416"/>
    <w:rsid w:val="00CF5762"/>
    <w:rsid w:val="00CF65B4"/>
    <w:rsid w:val="00CF69B0"/>
    <w:rsid w:val="00CF6C05"/>
    <w:rsid w:val="00CF7485"/>
    <w:rsid w:val="00CF7E56"/>
    <w:rsid w:val="00D009B1"/>
    <w:rsid w:val="00D0139C"/>
    <w:rsid w:val="00D01744"/>
    <w:rsid w:val="00D025CE"/>
    <w:rsid w:val="00D02A0F"/>
    <w:rsid w:val="00D02DF3"/>
    <w:rsid w:val="00D02FB3"/>
    <w:rsid w:val="00D03181"/>
    <w:rsid w:val="00D037DC"/>
    <w:rsid w:val="00D0383B"/>
    <w:rsid w:val="00D03A8A"/>
    <w:rsid w:val="00D03D6F"/>
    <w:rsid w:val="00D03DA5"/>
    <w:rsid w:val="00D03F27"/>
    <w:rsid w:val="00D043EE"/>
    <w:rsid w:val="00D0470D"/>
    <w:rsid w:val="00D05249"/>
    <w:rsid w:val="00D055CA"/>
    <w:rsid w:val="00D059FC"/>
    <w:rsid w:val="00D05DEF"/>
    <w:rsid w:val="00D06861"/>
    <w:rsid w:val="00D0688A"/>
    <w:rsid w:val="00D06E9D"/>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1C89"/>
    <w:rsid w:val="00D3225E"/>
    <w:rsid w:val="00D32359"/>
    <w:rsid w:val="00D324BC"/>
    <w:rsid w:val="00D32EC2"/>
    <w:rsid w:val="00D33565"/>
    <w:rsid w:val="00D33762"/>
    <w:rsid w:val="00D34025"/>
    <w:rsid w:val="00D3413A"/>
    <w:rsid w:val="00D3493F"/>
    <w:rsid w:val="00D34BD1"/>
    <w:rsid w:val="00D35177"/>
    <w:rsid w:val="00D356E1"/>
    <w:rsid w:val="00D37006"/>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CA4"/>
    <w:rsid w:val="00D45EA7"/>
    <w:rsid w:val="00D45F22"/>
    <w:rsid w:val="00D46485"/>
    <w:rsid w:val="00D47178"/>
    <w:rsid w:val="00D4752E"/>
    <w:rsid w:val="00D47842"/>
    <w:rsid w:val="00D478A8"/>
    <w:rsid w:val="00D47BEF"/>
    <w:rsid w:val="00D50826"/>
    <w:rsid w:val="00D51675"/>
    <w:rsid w:val="00D51996"/>
    <w:rsid w:val="00D51A75"/>
    <w:rsid w:val="00D51AA8"/>
    <w:rsid w:val="00D51C5A"/>
    <w:rsid w:val="00D51F73"/>
    <w:rsid w:val="00D52827"/>
    <w:rsid w:val="00D529BE"/>
    <w:rsid w:val="00D52CF6"/>
    <w:rsid w:val="00D53198"/>
    <w:rsid w:val="00D537D7"/>
    <w:rsid w:val="00D53D3E"/>
    <w:rsid w:val="00D547E0"/>
    <w:rsid w:val="00D54992"/>
    <w:rsid w:val="00D55291"/>
    <w:rsid w:val="00D55C48"/>
    <w:rsid w:val="00D55E47"/>
    <w:rsid w:val="00D56997"/>
    <w:rsid w:val="00D56D99"/>
    <w:rsid w:val="00D570E6"/>
    <w:rsid w:val="00D5730F"/>
    <w:rsid w:val="00D57544"/>
    <w:rsid w:val="00D5774F"/>
    <w:rsid w:val="00D578B1"/>
    <w:rsid w:val="00D57A52"/>
    <w:rsid w:val="00D60809"/>
    <w:rsid w:val="00D60D7F"/>
    <w:rsid w:val="00D6185A"/>
    <w:rsid w:val="00D61C9C"/>
    <w:rsid w:val="00D62111"/>
    <w:rsid w:val="00D62229"/>
    <w:rsid w:val="00D625B8"/>
    <w:rsid w:val="00D626F8"/>
    <w:rsid w:val="00D634CD"/>
    <w:rsid w:val="00D636DC"/>
    <w:rsid w:val="00D63F4C"/>
    <w:rsid w:val="00D64265"/>
    <w:rsid w:val="00D64613"/>
    <w:rsid w:val="00D64702"/>
    <w:rsid w:val="00D666C2"/>
    <w:rsid w:val="00D66BD9"/>
    <w:rsid w:val="00D66BFD"/>
    <w:rsid w:val="00D66C91"/>
    <w:rsid w:val="00D674EE"/>
    <w:rsid w:val="00D67535"/>
    <w:rsid w:val="00D67B2A"/>
    <w:rsid w:val="00D67BC9"/>
    <w:rsid w:val="00D67DBC"/>
    <w:rsid w:val="00D704D9"/>
    <w:rsid w:val="00D7090A"/>
    <w:rsid w:val="00D70BD2"/>
    <w:rsid w:val="00D713F2"/>
    <w:rsid w:val="00D721AA"/>
    <w:rsid w:val="00D7244F"/>
    <w:rsid w:val="00D72705"/>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0E8"/>
    <w:rsid w:val="00D822FA"/>
    <w:rsid w:val="00D82D02"/>
    <w:rsid w:val="00D82D0F"/>
    <w:rsid w:val="00D836F8"/>
    <w:rsid w:val="00D83A5A"/>
    <w:rsid w:val="00D84157"/>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0DDE"/>
    <w:rsid w:val="00D91410"/>
    <w:rsid w:val="00D91438"/>
    <w:rsid w:val="00D91594"/>
    <w:rsid w:val="00D91A8F"/>
    <w:rsid w:val="00D91ABE"/>
    <w:rsid w:val="00D91DFB"/>
    <w:rsid w:val="00D921DA"/>
    <w:rsid w:val="00D92C2F"/>
    <w:rsid w:val="00D92F7F"/>
    <w:rsid w:val="00D93E76"/>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526"/>
    <w:rsid w:val="00DA0639"/>
    <w:rsid w:val="00DA0CF7"/>
    <w:rsid w:val="00DA0E96"/>
    <w:rsid w:val="00DA11B5"/>
    <w:rsid w:val="00DA11EC"/>
    <w:rsid w:val="00DA1203"/>
    <w:rsid w:val="00DA18DA"/>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183"/>
    <w:rsid w:val="00DA77A0"/>
    <w:rsid w:val="00DB09A2"/>
    <w:rsid w:val="00DB0C79"/>
    <w:rsid w:val="00DB103D"/>
    <w:rsid w:val="00DB111F"/>
    <w:rsid w:val="00DB1448"/>
    <w:rsid w:val="00DB161E"/>
    <w:rsid w:val="00DB1998"/>
    <w:rsid w:val="00DB19EE"/>
    <w:rsid w:val="00DB1D13"/>
    <w:rsid w:val="00DB1D23"/>
    <w:rsid w:val="00DB1FC4"/>
    <w:rsid w:val="00DB21F0"/>
    <w:rsid w:val="00DB24C0"/>
    <w:rsid w:val="00DB2910"/>
    <w:rsid w:val="00DB2C5F"/>
    <w:rsid w:val="00DB38E9"/>
    <w:rsid w:val="00DB3A58"/>
    <w:rsid w:val="00DB3BDF"/>
    <w:rsid w:val="00DB3C58"/>
    <w:rsid w:val="00DB3D46"/>
    <w:rsid w:val="00DB401C"/>
    <w:rsid w:val="00DB46C8"/>
    <w:rsid w:val="00DB4F41"/>
    <w:rsid w:val="00DB540E"/>
    <w:rsid w:val="00DB5A63"/>
    <w:rsid w:val="00DB6166"/>
    <w:rsid w:val="00DB656B"/>
    <w:rsid w:val="00DB691E"/>
    <w:rsid w:val="00DB75A3"/>
    <w:rsid w:val="00DB799D"/>
    <w:rsid w:val="00DB79C8"/>
    <w:rsid w:val="00DC046E"/>
    <w:rsid w:val="00DC0574"/>
    <w:rsid w:val="00DC069D"/>
    <w:rsid w:val="00DC0C65"/>
    <w:rsid w:val="00DC16BF"/>
    <w:rsid w:val="00DC16E1"/>
    <w:rsid w:val="00DC16FC"/>
    <w:rsid w:val="00DC1881"/>
    <w:rsid w:val="00DC1ED7"/>
    <w:rsid w:val="00DC36E8"/>
    <w:rsid w:val="00DC3731"/>
    <w:rsid w:val="00DC3A6F"/>
    <w:rsid w:val="00DC3D1C"/>
    <w:rsid w:val="00DC43E1"/>
    <w:rsid w:val="00DC4EE7"/>
    <w:rsid w:val="00DC5199"/>
    <w:rsid w:val="00DC5A32"/>
    <w:rsid w:val="00DC5E4E"/>
    <w:rsid w:val="00DC651B"/>
    <w:rsid w:val="00DC662F"/>
    <w:rsid w:val="00DC6E78"/>
    <w:rsid w:val="00DC729A"/>
    <w:rsid w:val="00DC7328"/>
    <w:rsid w:val="00DC73B1"/>
    <w:rsid w:val="00DC7519"/>
    <w:rsid w:val="00DC75C6"/>
    <w:rsid w:val="00DC7630"/>
    <w:rsid w:val="00DC7715"/>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C70"/>
    <w:rsid w:val="00DE1DC6"/>
    <w:rsid w:val="00DE1F77"/>
    <w:rsid w:val="00DE21C6"/>
    <w:rsid w:val="00DE220C"/>
    <w:rsid w:val="00DE22AA"/>
    <w:rsid w:val="00DE288F"/>
    <w:rsid w:val="00DE2D49"/>
    <w:rsid w:val="00DE3607"/>
    <w:rsid w:val="00DE388A"/>
    <w:rsid w:val="00DE3C8E"/>
    <w:rsid w:val="00DE3E66"/>
    <w:rsid w:val="00DE3F75"/>
    <w:rsid w:val="00DE45F5"/>
    <w:rsid w:val="00DE4AAD"/>
    <w:rsid w:val="00DE4C0C"/>
    <w:rsid w:val="00DE4FC8"/>
    <w:rsid w:val="00DE53B5"/>
    <w:rsid w:val="00DE560F"/>
    <w:rsid w:val="00DE5A50"/>
    <w:rsid w:val="00DE5DE7"/>
    <w:rsid w:val="00DE60C5"/>
    <w:rsid w:val="00DE68DF"/>
    <w:rsid w:val="00DE7323"/>
    <w:rsid w:val="00DE75F0"/>
    <w:rsid w:val="00DE77CB"/>
    <w:rsid w:val="00DE7EBA"/>
    <w:rsid w:val="00DF04BD"/>
    <w:rsid w:val="00DF068D"/>
    <w:rsid w:val="00DF0D3A"/>
    <w:rsid w:val="00DF1A9A"/>
    <w:rsid w:val="00DF1C2D"/>
    <w:rsid w:val="00DF1DB6"/>
    <w:rsid w:val="00DF1F8A"/>
    <w:rsid w:val="00DF2261"/>
    <w:rsid w:val="00DF248E"/>
    <w:rsid w:val="00DF253D"/>
    <w:rsid w:val="00DF2CC6"/>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D3F"/>
    <w:rsid w:val="00E0437C"/>
    <w:rsid w:val="00E0452C"/>
    <w:rsid w:val="00E04D61"/>
    <w:rsid w:val="00E0504C"/>
    <w:rsid w:val="00E05074"/>
    <w:rsid w:val="00E05489"/>
    <w:rsid w:val="00E05741"/>
    <w:rsid w:val="00E05F7F"/>
    <w:rsid w:val="00E06930"/>
    <w:rsid w:val="00E06971"/>
    <w:rsid w:val="00E06B43"/>
    <w:rsid w:val="00E06D28"/>
    <w:rsid w:val="00E06E32"/>
    <w:rsid w:val="00E06EC4"/>
    <w:rsid w:val="00E070D9"/>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3D0E"/>
    <w:rsid w:val="00E14EFA"/>
    <w:rsid w:val="00E151B9"/>
    <w:rsid w:val="00E1566E"/>
    <w:rsid w:val="00E158C4"/>
    <w:rsid w:val="00E161E6"/>
    <w:rsid w:val="00E167C9"/>
    <w:rsid w:val="00E1698C"/>
    <w:rsid w:val="00E172BE"/>
    <w:rsid w:val="00E17CF7"/>
    <w:rsid w:val="00E205D6"/>
    <w:rsid w:val="00E216EC"/>
    <w:rsid w:val="00E2189A"/>
    <w:rsid w:val="00E22B5A"/>
    <w:rsid w:val="00E22B68"/>
    <w:rsid w:val="00E231C9"/>
    <w:rsid w:val="00E23379"/>
    <w:rsid w:val="00E23EBF"/>
    <w:rsid w:val="00E23FD5"/>
    <w:rsid w:val="00E24669"/>
    <w:rsid w:val="00E248B2"/>
    <w:rsid w:val="00E24C48"/>
    <w:rsid w:val="00E24D50"/>
    <w:rsid w:val="00E25981"/>
    <w:rsid w:val="00E25BC1"/>
    <w:rsid w:val="00E26043"/>
    <w:rsid w:val="00E26141"/>
    <w:rsid w:val="00E266F5"/>
    <w:rsid w:val="00E268C2"/>
    <w:rsid w:val="00E26D9E"/>
    <w:rsid w:val="00E26F90"/>
    <w:rsid w:val="00E270D3"/>
    <w:rsid w:val="00E27FC7"/>
    <w:rsid w:val="00E30700"/>
    <w:rsid w:val="00E30C59"/>
    <w:rsid w:val="00E30D87"/>
    <w:rsid w:val="00E30E57"/>
    <w:rsid w:val="00E31360"/>
    <w:rsid w:val="00E31450"/>
    <w:rsid w:val="00E31547"/>
    <w:rsid w:val="00E31D28"/>
    <w:rsid w:val="00E325FF"/>
    <w:rsid w:val="00E3292B"/>
    <w:rsid w:val="00E32CB8"/>
    <w:rsid w:val="00E33D0F"/>
    <w:rsid w:val="00E3419B"/>
    <w:rsid w:val="00E3440F"/>
    <w:rsid w:val="00E34F3A"/>
    <w:rsid w:val="00E35030"/>
    <w:rsid w:val="00E35F99"/>
    <w:rsid w:val="00E35F9A"/>
    <w:rsid w:val="00E3637F"/>
    <w:rsid w:val="00E364B6"/>
    <w:rsid w:val="00E36723"/>
    <w:rsid w:val="00E3713C"/>
    <w:rsid w:val="00E3767B"/>
    <w:rsid w:val="00E37A3D"/>
    <w:rsid w:val="00E37E1C"/>
    <w:rsid w:val="00E40126"/>
    <w:rsid w:val="00E404E2"/>
    <w:rsid w:val="00E40CBF"/>
    <w:rsid w:val="00E40E7D"/>
    <w:rsid w:val="00E40EE4"/>
    <w:rsid w:val="00E413C6"/>
    <w:rsid w:val="00E415DC"/>
    <w:rsid w:val="00E41C4E"/>
    <w:rsid w:val="00E420D5"/>
    <w:rsid w:val="00E42517"/>
    <w:rsid w:val="00E42D55"/>
    <w:rsid w:val="00E42F63"/>
    <w:rsid w:val="00E42FFE"/>
    <w:rsid w:val="00E4316E"/>
    <w:rsid w:val="00E435AB"/>
    <w:rsid w:val="00E44275"/>
    <w:rsid w:val="00E44777"/>
    <w:rsid w:val="00E4535F"/>
    <w:rsid w:val="00E466BC"/>
    <w:rsid w:val="00E4686A"/>
    <w:rsid w:val="00E47538"/>
    <w:rsid w:val="00E479FD"/>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3AF"/>
    <w:rsid w:val="00E54B37"/>
    <w:rsid w:val="00E54DE9"/>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2D07"/>
    <w:rsid w:val="00E6342F"/>
    <w:rsid w:val="00E63DA2"/>
    <w:rsid w:val="00E642AF"/>
    <w:rsid w:val="00E644C6"/>
    <w:rsid w:val="00E64555"/>
    <w:rsid w:val="00E64595"/>
    <w:rsid w:val="00E646BB"/>
    <w:rsid w:val="00E64D24"/>
    <w:rsid w:val="00E64E69"/>
    <w:rsid w:val="00E6549C"/>
    <w:rsid w:val="00E654B9"/>
    <w:rsid w:val="00E6589D"/>
    <w:rsid w:val="00E65E2D"/>
    <w:rsid w:val="00E65E8C"/>
    <w:rsid w:val="00E665E7"/>
    <w:rsid w:val="00E66C96"/>
    <w:rsid w:val="00E66FD8"/>
    <w:rsid w:val="00E6703E"/>
    <w:rsid w:val="00E70130"/>
    <w:rsid w:val="00E715FC"/>
    <w:rsid w:val="00E71A45"/>
    <w:rsid w:val="00E71C21"/>
    <w:rsid w:val="00E72D84"/>
    <w:rsid w:val="00E730FC"/>
    <w:rsid w:val="00E7318D"/>
    <w:rsid w:val="00E7385A"/>
    <w:rsid w:val="00E73CE6"/>
    <w:rsid w:val="00E74780"/>
    <w:rsid w:val="00E7487D"/>
    <w:rsid w:val="00E74956"/>
    <w:rsid w:val="00E752F7"/>
    <w:rsid w:val="00E75848"/>
    <w:rsid w:val="00E759D4"/>
    <w:rsid w:val="00E76A3C"/>
    <w:rsid w:val="00E76F9B"/>
    <w:rsid w:val="00E771FC"/>
    <w:rsid w:val="00E77269"/>
    <w:rsid w:val="00E773E5"/>
    <w:rsid w:val="00E77511"/>
    <w:rsid w:val="00E77BDD"/>
    <w:rsid w:val="00E77F8B"/>
    <w:rsid w:val="00E806D3"/>
    <w:rsid w:val="00E81C34"/>
    <w:rsid w:val="00E81D83"/>
    <w:rsid w:val="00E821BB"/>
    <w:rsid w:val="00E822E9"/>
    <w:rsid w:val="00E826FE"/>
    <w:rsid w:val="00E8275E"/>
    <w:rsid w:val="00E827AF"/>
    <w:rsid w:val="00E82DE9"/>
    <w:rsid w:val="00E83253"/>
    <w:rsid w:val="00E844AB"/>
    <w:rsid w:val="00E84660"/>
    <w:rsid w:val="00E84C97"/>
    <w:rsid w:val="00E84D16"/>
    <w:rsid w:val="00E85005"/>
    <w:rsid w:val="00E85296"/>
    <w:rsid w:val="00E8533B"/>
    <w:rsid w:val="00E8575B"/>
    <w:rsid w:val="00E85931"/>
    <w:rsid w:val="00E85E4E"/>
    <w:rsid w:val="00E862BB"/>
    <w:rsid w:val="00E86327"/>
    <w:rsid w:val="00E86DF0"/>
    <w:rsid w:val="00E87BD2"/>
    <w:rsid w:val="00E87CDC"/>
    <w:rsid w:val="00E906E0"/>
    <w:rsid w:val="00E90B33"/>
    <w:rsid w:val="00E911E0"/>
    <w:rsid w:val="00E93407"/>
    <w:rsid w:val="00E939D6"/>
    <w:rsid w:val="00E940A8"/>
    <w:rsid w:val="00E94759"/>
    <w:rsid w:val="00E947E8"/>
    <w:rsid w:val="00E94B0F"/>
    <w:rsid w:val="00E94D03"/>
    <w:rsid w:val="00E9503F"/>
    <w:rsid w:val="00E96726"/>
    <w:rsid w:val="00E96E68"/>
    <w:rsid w:val="00E973BA"/>
    <w:rsid w:val="00E97EA1"/>
    <w:rsid w:val="00EA0BBE"/>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3CE"/>
    <w:rsid w:val="00EA75BD"/>
    <w:rsid w:val="00EA760C"/>
    <w:rsid w:val="00EA7C47"/>
    <w:rsid w:val="00EB0B4F"/>
    <w:rsid w:val="00EB0C01"/>
    <w:rsid w:val="00EB0F0F"/>
    <w:rsid w:val="00EB1053"/>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DB8"/>
    <w:rsid w:val="00EB6FE9"/>
    <w:rsid w:val="00EB72FF"/>
    <w:rsid w:val="00EB756F"/>
    <w:rsid w:val="00EB79C8"/>
    <w:rsid w:val="00EB7E78"/>
    <w:rsid w:val="00EC0301"/>
    <w:rsid w:val="00EC09C6"/>
    <w:rsid w:val="00EC0E8B"/>
    <w:rsid w:val="00EC0EA5"/>
    <w:rsid w:val="00EC1056"/>
    <w:rsid w:val="00EC1470"/>
    <w:rsid w:val="00EC222E"/>
    <w:rsid w:val="00EC25CD"/>
    <w:rsid w:val="00EC2716"/>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6EDB"/>
    <w:rsid w:val="00EC774E"/>
    <w:rsid w:val="00EC786C"/>
    <w:rsid w:val="00EC7ADD"/>
    <w:rsid w:val="00EC7D55"/>
    <w:rsid w:val="00ED04FE"/>
    <w:rsid w:val="00ED0521"/>
    <w:rsid w:val="00ED0DD0"/>
    <w:rsid w:val="00ED1989"/>
    <w:rsid w:val="00ED28F2"/>
    <w:rsid w:val="00ED3145"/>
    <w:rsid w:val="00ED3309"/>
    <w:rsid w:val="00ED356E"/>
    <w:rsid w:val="00ED3BDA"/>
    <w:rsid w:val="00ED3DA4"/>
    <w:rsid w:val="00ED45EB"/>
    <w:rsid w:val="00ED4B67"/>
    <w:rsid w:val="00ED4B69"/>
    <w:rsid w:val="00ED5A3B"/>
    <w:rsid w:val="00ED5C30"/>
    <w:rsid w:val="00ED5E02"/>
    <w:rsid w:val="00ED5EED"/>
    <w:rsid w:val="00ED6B1C"/>
    <w:rsid w:val="00ED6CF7"/>
    <w:rsid w:val="00ED6F33"/>
    <w:rsid w:val="00ED741E"/>
    <w:rsid w:val="00ED7582"/>
    <w:rsid w:val="00ED7716"/>
    <w:rsid w:val="00ED7737"/>
    <w:rsid w:val="00ED7747"/>
    <w:rsid w:val="00ED7CF4"/>
    <w:rsid w:val="00EE0406"/>
    <w:rsid w:val="00EE0E46"/>
    <w:rsid w:val="00EE0EA8"/>
    <w:rsid w:val="00EE106C"/>
    <w:rsid w:val="00EE1B0E"/>
    <w:rsid w:val="00EE22FB"/>
    <w:rsid w:val="00EE2407"/>
    <w:rsid w:val="00EE26AE"/>
    <w:rsid w:val="00EE29C8"/>
    <w:rsid w:val="00EE2A54"/>
    <w:rsid w:val="00EE2FC2"/>
    <w:rsid w:val="00EE3B88"/>
    <w:rsid w:val="00EE4B75"/>
    <w:rsid w:val="00EE4DBD"/>
    <w:rsid w:val="00EE57D6"/>
    <w:rsid w:val="00EE5EAB"/>
    <w:rsid w:val="00EE6025"/>
    <w:rsid w:val="00EE6AC6"/>
    <w:rsid w:val="00EE6E26"/>
    <w:rsid w:val="00EE784F"/>
    <w:rsid w:val="00EE7A1D"/>
    <w:rsid w:val="00EF0500"/>
    <w:rsid w:val="00EF0767"/>
    <w:rsid w:val="00EF0B66"/>
    <w:rsid w:val="00EF1002"/>
    <w:rsid w:val="00EF143F"/>
    <w:rsid w:val="00EF23D8"/>
    <w:rsid w:val="00EF2A5A"/>
    <w:rsid w:val="00EF2A87"/>
    <w:rsid w:val="00EF3A74"/>
    <w:rsid w:val="00EF3AE9"/>
    <w:rsid w:val="00EF3EA5"/>
    <w:rsid w:val="00EF40DC"/>
    <w:rsid w:val="00EF49FB"/>
    <w:rsid w:val="00EF4D23"/>
    <w:rsid w:val="00EF55D6"/>
    <w:rsid w:val="00EF644D"/>
    <w:rsid w:val="00EF6D29"/>
    <w:rsid w:val="00EF7138"/>
    <w:rsid w:val="00EF7149"/>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974"/>
    <w:rsid w:val="00F06F42"/>
    <w:rsid w:val="00F0705E"/>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460"/>
    <w:rsid w:val="00F20C6E"/>
    <w:rsid w:val="00F20D6C"/>
    <w:rsid w:val="00F212CF"/>
    <w:rsid w:val="00F22154"/>
    <w:rsid w:val="00F2242D"/>
    <w:rsid w:val="00F2255F"/>
    <w:rsid w:val="00F225CF"/>
    <w:rsid w:val="00F22882"/>
    <w:rsid w:val="00F22985"/>
    <w:rsid w:val="00F22AEF"/>
    <w:rsid w:val="00F22F7A"/>
    <w:rsid w:val="00F2322E"/>
    <w:rsid w:val="00F2343C"/>
    <w:rsid w:val="00F23CFC"/>
    <w:rsid w:val="00F24076"/>
    <w:rsid w:val="00F240CB"/>
    <w:rsid w:val="00F2435D"/>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01"/>
    <w:rsid w:val="00F3199C"/>
    <w:rsid w:val="00F31F7D"/>
    <w:rsid w:val="00F32AFF"/>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660"/>
    <w:rsid w:val="00F44542"/>
    <w:rsid w:val="00F448DD"/>
    <w:rsid w:val="00F44C5F"/>
    <w:rsid w:val="00F44DB8"/>
    <w:rsid w:val="00F456BC"/>
    <w:rsid w:val="00F45760"/>
    <w:rsid w:val="00F45925"/>
    <w:rsid w:val="00F46482"/>
    <w:rsid w:val="00F46BA6"/>
    <w:rsid w:val="00F46C97"/>
    <w:rsid w:val="00F4703E"/>
    <w:rsid w:val="00F50511"/>
    <w:rsid w:val="00F50781"/>
    <w:rsid w:val="00F50CA3"/>
    <w:rsid w:val="00F517ED"/>
    <w:rsid w:val="00F51F3F"/>
    <w:rsid w:val="00F5272E"/>
    <w:rsid w:val="00F528B5"/>
    <w:rsid w:val="00F528E7"/>
    <w:rsid w:val="00F52C8A"/>
    <w:rsid w:val="00F53615"/>
    <w:rsid w:val="00F53A91"/>
    <w:rsid w:val="00F53FFD"/>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3E9"/>
    <w:rsid w:val="00F619EE"/>
    <w:rsid w:val="00F61CF5"/>
    <w:rsid w:val="00F61FF9"/>
    <w:rsid w:val="00F62069"/>
    <w:rsid w:val="00F62159"/>
    <w:rsid w:val="00F62948"/>
    <w:rsid w:val="00F62A7C"/>
    <w:rsid w:val="00F62B93"/>
    <w:rsid w:val="00F6308B"/>
    <w:rsid w:val="00F633E5"/>
    <w:rsid w:val="00F63A07"/>
    <w:rsid w:val="00F63C89"/>
    <w:rsid w:val="00F643CA"/>
    <w:rsid w:val="00F647EC"/>
    <w:rsid w:val="00F64D57"/>
    <w:rsid w:val="00F64FAB"/>
    <w:rsid w:val="00F65329"/>
    <w:rsid w:val="00F6546A"/>
    <w:rsid w:val="00F65CEA"/>
    <w:rsid w:val="00F65F15"/>
    <w:rsid w:val="00F66443"/>
    <w:rsid w:val="00F666E6"/>
    <w:rsid w:val="00F66BD1"/>
    <w:rsid w:val="00F675EA"/>
    <w:rsid w:val="00F67BEB"/>
    <w:rsid w:val="00F701F6"/>
    <w:rsid w:val="00F7074A"/>
    <w:rsid w:val="00F711A0"/>
    <w:rsid w:val="00F71687"/>
    <w:rsid w:val="00F71708"/>
    <w:rsid w:val="00F71742"/>
    <w:rsid w:val="00F717C1"/>
    <w:rsid w:val="00F71AB3"/>
    <w:rsid w:val="00F71F46"/>
    <w:rsid w:val="00F725D3"/>
    <w:rsid w:val="00F7281E"/>
    <w:rsid w:val="00F72C1A"/>
    <w:rsid w:val="00F72C3D"/>
    <w:rsid w:val="00F731EC"/>
    <w:rsid w:val="00F73269"/>
    <w:rsid w:val="00F737AB"/>
    <w:rsid w:val="00F74216"/>
    <w:rsid w:val="00F746F2"/>
    <w:rsid w:val="00F74F0F"/>
    <w:rsid w:val="00F75731"/>
    <w:rsid w:val="00F75841"/>
    <w:rsid w:val="00F76333"/>
    <w:rsid w:val="00F76C1B"/>
    <w:rsid w:val="00F76D8A"/>
    <w:rsid w:val="00F77100"/>
    <w:rsid w:val="00F77C84"/>
    <w:rsid w:val="00F8090F"/>
    <w:rsid w:val="00F8139A"/>
    <w:rsid w:val="00F82AAE"/>
    <w:rsid w:val="00F834BE"/>
    <w:rsid w:val="00F838A9"/>
    <w:rsid w:val="00F8497C"/>
    <w:rsid w:val="00F849E3"/>
    <w:rsid w:val="00F84B4E"/>
    <w:rsid w:val="00F84C44"/>
    <w:rsid w:val="00F851B7"/>
    <w:rsid w:val="00F8566C"/>
    <w:rsid w:val="00F858D4"/>
    <w:rsid w:val="00F85C65"/>
    <w:rsid w:val="00F860EB"/>
    <w:rsid w:val="00F86268"/>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C22"/>
    <w:rsid w:val="00F96F86"/>
    <w:rsid w:val="00F97711"/>
    <w:rsid w:val="00FA024A"/>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EA3"/>
    <w:rsid w:val="00FA67E3"/>
    <w:rsid w:val="00FA7157"/>
    <w:rsid w:val="00FA73A6"/>
    <w:rsid w:val="00FA7698"/>
    <w:rsid w:val="00FA78C2"/>
    <w:rsid w:val="00FA7A2D"/>
    <w:rsid w:val="00FA7A33"/>
    <w:rsid w:val="00FA7B4F"/>
    <w:rsid w:val="00FA7F36"/>
    <w:rsid w:val="00FB06E7"/>
    <w:rsid w:val="00FB06E9"/>
    <w:rsid w:val="00FB0822"/>
    <w:rsid w:val="00FB09AA"/>
    <w:rsid w:val="00FB1093"/>
    <w:rsid w:val="00FB13A0"/>
    <w:rsid w:val="00FB180C"/>
    <w:rsid w:val="00FB227E"/>
    <w:rsid w:val="00FB267D"/>
    <w:rsid w:val="00FB2A18"/>
    <w:rsid w:val="00FB2BF4"/>
    <w:rsid w:val="00FB2C8D"/>
    <w:rsid w:val="00FB2DC6"/>
    <w:rsid w:val="00FB4FDE"/>
    <w:rsid w:val="00FB5E81"/>
    <w:rsid w:val="00FB5F37"/>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45"/>
    <w:rsid w:val="00FC4B53"/>
    <w:rsid w:val="00FC4BAE"/>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8E7"/>
    <w:rsid w:val="00FD5A2A"/>
    <w:rsid w:val="00FD5AE2"/>
    <w:rsid w:val="00FD62B4"/>
    <w:rsid w:val="00FD7142"/>
    <w:rsid w:val="00FD750F"/>
    <w:rsid w:val="00FE011C"/>
    <w:rsid w:val="00FE07DC"/>
    <w:rsid w:val="00FE1116"/>
    <w:rsid w:val="00FE1E64"/>
    <w:rsid w:val="00FE2075"/>
    <w:rsid w:val="00FE2080"/>
    <w:rsid w:val="00FE2647"/>
    <w:rsid w:val="00FE27B9"/>
    <w:rsid w:val="00FE2E37"/>
    <w:rsid w:val="00FE3156"/>
    <w:rsid w:val="00FE3640"/>
    <w:rsid w:val="00FE3780"/>
    <w:rsid w:val="00FE3954"/>
    <w:rsid w:val="00FE3CF7"/>
    <w:rsid w:val="00FE4071"/>
    <w:rsid w:val="00FE42E3"/>
    <w:rsid w:val="00FE4ECD"/>
    <w:rsid w:val="00FE52B7"/>
    <w:rsid w:val="00FE53C5"/>
    <w:rsid w:val="00FE5807"/>
    <w:rsid w:val="00FE5C39"/>
    <w:rsid w:val="00FE5C57"/>
    <w:rsid w:val="00FE5D23"/>
    <w:rsid w:val="00FE624E"/>
    <w:rsid w:val="00FE6415"/>
    <w:rsid w:val="00FE69E7"/>
    <w:rsid w:val="00FE6BB8"/>
    <w:rsid w:val="00FE6E76"/>
    <w:rsid w:val="00FE79AD"/>
    <w:rsid w:val="00FF027B"/>
    <w:rsid w:val="00FF1174"/>
    <w:rsid w:val="00FF165A"/>
    <w:rsid w:val="00FF1B72"/>
    <w:rsid w:val="00FF1CF1"/>
    <w:rsid w:val="00FF1F4C"/>
    <w:rsid w:val="00FF2654"/>
    <w:rsid w:val="00FF35DC"/>
    <w:rsid w:val="00FF3A6A"/>
    <w:rsid w:val="00FF3C7A"/>
    <w:rsid w:val="00FF3E09"/>
    <w:rsid w:val="00FF411C"/>
    <w:rsid w:val="00FF4B2E"/>
    <w:rsid w:val="00FF4E4B"/>
    <w:rsid w:val="00FF4E4E"/>
    <w:rsid w:val="00FF5049"/>
    <w:rsid w:val="00FF579F"/>
    <w:rsid w:val="00FF5D1F"/>
    <w:rsid w:val="00FF5F95"/>
    <w:rsid w:val="00FF6126"/>
    <w:rsid w:val="00FF61F5"/>
    <w:rsid w:val="00FF62AA"/>
    <w:rsid w:val="00FF64D7"/>
    <w:rsid w:val="00FF6B6C"/>
    <w:rsid w:val="01420B2A"/>
    <w:rsid w:val="01807D41"/>
    <w:rsid w:val="01A12B8C"/>
    <w:rsid w:val="01AA2C10"/>
    <w:rsid w:val="02CB76A6"/>
    <w:rsid w:val="02D7201B"/>
    <w:rsid w:val="037738D8"/>
    <w:rsid w:val="03EE579D"/>
    <w:rsid w:val="05A96137"/>
    <w:rsid w:val="05B53FF0"/>
    <w:rsid w:val="06B37D1C"/>
    <w:rsid w:val="075F0692"/>
    <w:rsid w:val="08175449"/>
    <w:rsid w:val="08F53B23"/>
    <w:rsid w:val="0A070656"/>
    <w:rsid w:val="0A913ED8"/>
    <w:rsid w:val="0B24171E"/>
    <w:rsid w:val="0BB33687"/>
    <w:rsid w:val="0D081F34"/>
    <w:rsid w:val="0D584403"/>
    <w:rsid w:val="0DDA523F"/>
    <w:rsid w:val="0F333B7C"/>
    <w:rsid w:val="0F4D5A99"/>
    <w:rsid w:val="101C0A97"/>
    <w:rsid w:val="10F67974"/>
    <w:rsid w:val="116353E3"/>
    <w:rsid w:val="117C7228"/>
    <w:rsid w:val="11E26BF3"/>
    <w:rsid w:val="12D6790A"/>
    <w:rsid w:val="12F438A7"/>
    <w:rsid w:val="13977E74"/>
    <w:rsid w:val="13F65116"/>
    <w:rsid w:val="141B7F51"/>
    <w:rsid w:val="146F2C7A"/>
    <w:rsid w:val="149E4992"/>
    <w:rsid w:val="15A217AD"/>
    <w:rsid w:val="15C026F1"/>
    <w:rsid w:val="17064457"/>
    <w:rsid w:val="189439F5"/>
    <w:rsid w:val="18C643E3"/>
    <w:rsid w:val="18DD7AAF"/>
    <w:rsid w:val="1A143F3F"/>
    <w:rsid w:val="1A442DE9"/>
    <w:rsid w:val="1B8A6D0E"/>
    <w:rsid w:val="1D321E13"/>
    <w:rsid w:val="1DA838A8"/>
    <w:rsid w:val="1F462152"/>
    <w:rsid w:val="1F6B6784"/>
    <w:rsid w:val="1F744EF1"/>
    <w:rsid w:val="20780ECB"/>
    <w:rsid w:val="21455F84"/>
    <w:rsid w:val="224176AA"/>
    <w:rsid w:val="228C1199"/>
    <w:rsid w:val="229C7009"/>
    <w:rsid w:val="235634BB"/>
    <w:rsid w:val="242D24F6"/>
    <w:rsid w:val="24801EBF"/>
    <w:rsid w:val="24977600"/>
    <w:rsid w:val="26AA0F6E"/>
    <w:rsid w:val="272F1A96"/>
    <w:rsid w:val="27AC0841"/>
    <w:rsid w:val="2848646B"/>
    <w:rsid w:val="297B0CF7"/>
    <w:rsid w:val="2A51423E"/>
    <w:rsid w:val="2B1E0D76"/>
    <w:rsid w:val="2DE510E6"/>
    <w:rsid w:val="2ED835D7"/>
    <w:rsid w:val="2EDD2DD9"/>
    <w:rsid w:val="2EFA61AC"/>
    <w:rsid w:val="2F723467"/>
    <w:rsid w:val="31E83BC3"/>
    <w:rsid w:val="3228712E"/>
    <w:rsid w:val="32A02B99"/>
    <w:rsid w:val="32A36BD3"/>
    <w:rsid w:val="33D414D0"/>
    <w:rsid w:val="35022C80"/>
    <w:rsid w:val="35CD358A"/>
    <w:rsid w:val="35E47FE4"/>
    <w:rsid w:val="362A09EF"/>
    <w:rsid w:val="36341386"/>
    <w:rsid w:val="364920E1"/>
    <w:rsid w:val="369C1105"/>
    <w:rsid w:val="37467D39"/>
    <w:rsid w:val="385F359C"/>
    <w:rsid w:val="38DB469B"/>
    <w:rsid w:val="3AF11C2B"/>
    <w:rsid w:val="3BA80B19"/>
    <w:rsid w:val="3C4240EC"/>
    <w:rsid w:val="3E997760"/>
    <w:rsid w:val="3F3A1FEB"/>
    <w:rsid w:val="405F6B9A"/>
    <w:rsid w:val="40885740"/>
    <w:rsid w:val="41CB5019"/>
    <w:rsid w:val="42253D73"/>
    <w:rsid w:val="42DC0426"/>
    <w:rsid w:val="43BF32E9"/>
    <w:rsid w:val="43C76649"/>
    <w:rsid w:val="440167A7"/>
    <w:rsid w:val="444E6392"/>
    <w:rsid w:val="44B91A5D"/>
    <w:rsid w:val="452F03D4"/>
    <w:rsid w:val="459A3BBF"/>
    <w:rsid w:val="47843179"/>
    <w:rsid w:val="47B613D2"/>
    <w:rsid w:val="4A911454"/>
    <w:rsid w:val="4AF875FC"/>
    <w:rsid w:val="4D537657"/>
    <w:rsid w:val="4E6268C7"/>
    <w:rsid w:val="4EAC5711"/>
    <w:rsid w:val="4EDA0D8F"/>
    <w:rsid w:val="4F2E2C68"/>
    <w:rsid w:val="505C7478"/>
    <w:rsid w:val="51B2004B"/>
    <w:rsid w:val="51FC02AB"/>
    <w:rsid w:val="527C2D46"/>
    <w:rsid w:val="528365BC"/>
    <w:rsid w:val="532F5C5D"/>
    <w:rsid w:val="5377067D"/>
    <w:rsid w:val="55622629"/>
    <w:rsid w:val="557701D2"/>
    <w:rsid w:val="58017175"/>
    <w:rsid w:val="581E2406"/>
    <w:rsid w:val="58F3485F"/>
    <w:rsid w:val="5A3A2DDD"/>
    <w:rsid w:val="5B086560"/>
    <w:rsid w:val="5D201747"/>
    <w:rsid w:val="5DA31D4F"/>
    <w:rsid w:val="5DF76D59"/>
    <w:rsid w:val="5E9E3B44"/>
    <w:rsid w:val="5F462EEA"/>
    <w:rsid w:val="60294395"/>
    <w:rsid w:val="60447752"/>
    <w:rsid w:val="61256B66"/>
    <w:rsid w:val="61501C31"/>
    <w:rsid w:val="61B51C19"/>
    <w:rsid w:val="63467F20"/>
    <w:rsid w:val="63A14D89"/>
    <w:rsid w:val="64441196"/>
    <w:rsid w:val="646978EA"/>
    <w:rsid w:val="68C70FC8"/>
    <w:rsid w:val="6B241A17"/>
    <w:rsid w:val="6B28556D"/>
    <w:rsid w:val="6B7A2359"/>
    <w:rsid w:val="6E9C0F6F"/>
    <w:rsid w:val="6F1571AB"/>
    <w:rsid w:val="6F983C7A"/>
    <w:rsid w:val="6FC13B19"/>
    <w:rsid w:val="70DB0B07"/>
    <w:rsid w:val="7103031A"/>
    <w:rsid w:val="71121F70"/>
    <w:rsid w:val="71AD7318"/>
    <w:rsid w:val="71ED1E0E"/>
    <w:rsid w:val="726D70E7"/>
    <w:rsid w:val="732577C1"/>
    <w:rsid w:val="734D5224"/>
    <w:rsid w:val="73A0757C"/>
    <w:rsid w:val="744D5EC9"/>
    <w:rsid w:val="76275962"/>
    <w:rsid w:val="77C11233"/>
    <w:rsid w:val="77CC74DE"/>
    <w:rsid w:val="79E65A52"/>
    <w:rsid w:val="7A3538A9"/>
    <w:rsid w:val="7A7C4102"/>
    <w:rsid w:val="7B1403CC"/>
    <w:rsid w:val="7B73491D"/>
    <w:rsid w:val="7BDD1E8F"/>
    <w:rsid w:val="7C4D1011"/>
    <w:rsid w:val="7C744EE5"/>
    <w:rsid w:val="7C9C4E59"/>
    <w:rsid w:val="7CC9533C"/>
    <w:rsid w:val="7D5E7949"/>
    <w:rsid w:val="7DF66E86"/>
    <w:rsid w:val="7E1700E3"/>
    <w:rsid w:val="7E477448"/>
    <w:rsid w:val="7ED2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7">
    <w:name w:val="heading 5"/>
    <w:basedOn w:val="1"/>
    <w:next w:val="8"/>
    <w:link w:val="5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sz w:val="21"/>
    </w:rPr>
  </w:style>
  <w:style w:type="paragraph" w:styleId="3">
    <w:name w:val="Body Text Indent"/>
    <w:basedOn w:val="1"/>
    <w:link w:val="55"/>
    <w:qFormat/>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64"/>
    <w:unhideWhenUsed/>
    <w:qFormat/>
    <w:uiPriority w:val="0"/>
    <w:pPr>
      <w:jc w:val="left"/>
    </w:pPr>
  </w:style>
  <w:style w:type="paragraph" w:styleId="17">
    <w:name w:val="Body Text 3"/>
    <w:basedOn w:val="1"/>
    <w:link w:val="65"/>
    <w:qFormat/>
    <w:uiPriority w:val="0"/>
    <w:pPr>
      <w:spacing w:line="500" w:lineRule="exact"/>
    </w:pPr>
    <w:rPr>
      <w:b/>
      <w:bCs/>
      <w:kern w:val="0"/>
      <w:sz w:val="24"/>
    </w:rPr>
  </w:style>
  <w:style w:type="paragraph" w:styleId="18">
    <w:name w:val="Body Text"/>
    <w:basedOn w:val="1"/>
    <w:link w:val="66"/>
    <w:qFormat/>
    <w:uiPriority w:val="99"/>
    <w:pPr>
      <w:spacing w:line="380" w:lineRule="exact"/>
    </w:pPr>
    <w:rPr>
      <w:kern w:val="0"/>
      <w:sz w:val="24"/>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67"/>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8"/>
    <w:qFormat/>
    <w:uiPriority w:val="0"/>
    <w:pPr>
      <w:ind w:left="100" w:leftChars="2500"/>
    </w:pPr>
    <w:rPr>
      <w:rFonts w:ascii="宋体" w:hAnsi="Courier New"/>
      <w:kern w:val="0"/>
      <w:sz w:val="20"/>
      <w:szCs w:val="21"/>
    </w:rPr>
  </w:style>
  <w:style w:type="paragraph" w:styleId="26">
    <w:name w:val="Body Text Indent 2"/>
    <w:basedOn w:val="1"/>
    <w:link w:val="69"/>
    <w:qFormat/>
    <w:uiPriority w:val="0"/>
    <w:pPr>
      <w:ind w:firstLine="630"/>
    </w:pPr>
    <w:rPr>
      <w:kern w:val="0"/>
      <w:sz w:val="32"/>
      <w:szCs w:val="20"/>
    </w:rPr>
  </w:style>
  <w:style w:type="paragraph" w:styleId="27">
    <w:name w:val="endnote text"/>
    <w:basedOn w:val="1"/>
    <w:link w:val="70"/>
    <w:unhideWhenUsed/>
    <w:qFormat/>
    <w:uiPriority w:val="99"/>
    <w:pPr>
      <w:snapToGrid w:val="0"/>
      <w:jc w:val="left"/>
    </w:pPr>
  </w:style>
  <w:style w:type="paragraph" w:styleId="28">
    <w:name w:val="Balloon Text"/>
    <w:basedOn w:val="1"/>
    <w:link w:val="71"/>
    <w:semiHidden/>
    <w:qFormat/>
    <w:uiPriority w:val="0"/>
    <w:rPr>
      <w:kern w:val="0"/>
      <w:sz w:val="18"/>
      <w:szCs w:val="18"/>
    </w:rPr>
  </w:style>
  <w:style w:type="paragraph" w:styleId="29">
    <w:name w:val="footer"/>
    <w:basedOn w:val="1"/>
    <w:link w:val="72"/>
    <w:unhideWhenUsed/>
    <w:qFormat/>
    <w:uiPriority w:val="99"/>
    <w:pPr>
      <w:tabs>
        <w:tab w:val="center" w:pos="4153"/>
        <w:tab w:val="right" w:pos="8306"/>
      </w:tabs>
      <w:snapToGrid w:val="0"/>
      <w:jc w:val="left"/>
    </w:pPr>
    <w:rPr>
      <w:kern w:val="0"/>
      <w:sz w:val="18"/>
      <w:szCs w:val="18"/>
    </w:rPr>
  </w:style>
  <w:style w:type="paragraph" w:styleId="30">
    <w:name w:val="header"/>
    <w:basedOn w:val="1"/>
    <w:link w:val="73"/>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4"/>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4">
    <w:name w:val="List"/>
    <w:basedOn w:val="1"/>
    <w:qFormat/>
    <w:uiPriority w:val="0"/>
    <w:pPr>
      <w:ind w:left="200" w:hanging="200" w:hangingChars="200"/>
    </w:pPr>
    <w:rPr>
      <w:sz w:val="28"/>
    </w:rPr>
  </w:style>
  <w:style w:type="paragraph" w:styleId="35">
    <w:name w:val="footnote text"/>
    <w:basedOn w:val="1"/>
    <w:link w:val="75"/>
    <w:unhideWhenUsed/>
    <w:qFormat/>
    <w:uiPriority w:val="99"/>
    <w:pPr>
      <w:snapToGrid w:val="0"/>
      <w:jc w:val="left"/>
    </w:pPr>
    <w:rPr>
      <w:sz w:val="18"/>
      <w:szCs w:val="18"/>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76"/>
    <w:qFormat/>
    <w:uiPriority w:val="0"/>
    <w:pPr>
      <w:spacing w:after="120"/>
      <w:ind w:left="420" w:leftChars="200"/>
    </w:pPr>
    <w:rPr>
      <w:kern w:val="0"/>
      <w:sz w:val="16"/>
      <w:szCs w:val="16"/>
    </w:rPr>
  </w:style>
  <w:style w:type="paragraph" w:styleId="38">
    <w:name w:val="toc 2"/>
    <w:basedOn w:val="1"/>
    <w:next w:val="1"/>
    <w:unhideWhenUsed/>
    <w:qFormat/>
    <w:uiPriority w:val="39"/>
    <w:pPr>
      <w:ind w:left="420" w:leftChars="200"/>
    </w:p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link w:val="77"/>
    <w:qFormat/>
    <w:uiPriority w:val="0"/>
    <w:pPr>
      <w:spacing w:after="120" w:line="480" w:lineRule="auto"/>
    </w:pPr>
    <w:rPr>
      <w:kern w:val="0"/>
      <w:sz w:val="20"/>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78"/>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79"/>
    <w:unhideWhenUsed/>
    <w:qFormat/>
    <w:uiPriority w:val="99"/>
    <w:rPr>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endnote reference"/>
    <w:unhideWhenUsed/>
    <w:qFormat/>
    <w:uiPriority w:val="99"/>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styleId="54">
    <w:name w:val="footnote reference"/>
    <w:unhideWhenUsed/>
    <w:qFormat/>
    <w:uiPriority w:val="99"/>
    <w:rPr>
      <w:vertAlign w:val="superscript"/>
    </w:rPr>
  </w:style>
  <w:style w:type="character" w:customStyle="1" w:styleId="55">
    <w:name w:val="正文文本缩进 字符1"/>
    <w:link w:val="3"/>
    <w:qFormat/>
    <w:uiPriority w:val="0"/>
    <w:rPr>
      <w:rFonts w:ascii="仿宋_GB2312" w:hAnsi="Times New Roman" w:eastAsia="仿宋_GB2312" w:cs="Times New Roman"/>
      <w:sz w:val="32"/>
      <w:szCs w:val="20"/>
    </w:rPr>
  </w:style>
  <w:style w:type="character" w:customStyle="1" w:styleId="56">
    <w:name w:val="标题 1 字符1"/>
    <w:link w:val="4"/>
    <w:qFormat/>
    <w:uiPriority w:val="0"/>
    <w:rPr>
      <w:rFonts w:ascii="Times New Roman" w:hAnsi="Times New Roman" w:eastAsia="宋体" w:cs="Times New Roman"/>
      <w:b/>
      <w:bCs/>
      <w:kern w:val="44"/>
      <w:sz w:val="44"/>
      <w:szCs w:val="44"/>
    </w:rPr>
  </w:style>
  <w:style w:type="character" w:customStyle="1" w:styleId="57">
    <w:name w:val="标题 2 字符"/>
    <w:link w:val="5"/>
    <w:qFormat/>
    <w:uiPriority w:val="0"/>
    <w:rPr>
      <w:rFonts w:ascii="Arial" w:hAnsi="Arial" w:eastAsia="黑体" w:cs="Times New Roman"/>
      <w:b/>
      <w:bCs/>
      <w:sz w:val="32"/>
      <w:szCs w:val="32"/>
    </w:rPr>
  </w:style>
  <w:style w:type="character" w:customStyle="1" w:styleId="58">
    <w:name w:val="标题 3 字符"/>
    <w:link w:val="6"/>
    <w:qFormat/>
    <w:uiPriority w:val="0"/>
    <w:rPr>
      <w:rFonts w:ascii="Times New Roman" w:hAnsi="Times New Roman" w:eastAsia="宋体" w:cs="Times New Roman"/>
      <w:b/>
      <w:bCs/>
      <w:sz w:val="32"/>
      <w:szCs w:val="32"/>
    </w:rPr>
  </w:style>
  <w:style w:type="character" w:customStyle="1" w:styleId="59">
    <w:name w:val="标题 5 字符"/>
    <w:link w:val="7"/>
    <w:qFormat/>
    <w:uiPriority w:val="0"/>
    <w:rPr>
      <w:b/>
      <w:kern w:val="2"/>
      <w:sz w:val="28"/>
      <w:szCs w:val="24"/>
    </w:rPr>
  </w:style>
  <w:style w:type="character" w:customStyle="1" w:styleId="60">
    <w:name w:val="标题 6 字符"/>
    <w:link w:val="9"/>
    <w:qFormat/>
    <w:uiPriority w:val="0"/>
    <w:rPr>
      <w:rFonts w:ascii="Arial" w:hAnsi="Arial" w:eastAsia="黑体"/>
      <w:b/>
      <w:kern w:val="2"/>
      <w:sz w:val="24"/>
      <w:szCs w:val="24"/>
    </w:rPr>
  </w:style>
  <w:style w:type="character" w:customStyle="1" w:styleId="61">
    <w:name w:val="标题 7 字符"/>
    <w:link w:val="10"/>
    <w:qFormat/>
    <w:uiPriority w:val="0"/>
    <w:rPr>
      <w:rFonts w:ascii="Times New Roman" w:hAnsi="Times New Roman"/>
      <w:b/>
      <w:kern w:val="2"/>
      <w:sz w:val="24"/>
      <w:szCs w:val="24"/>
    </w:rPr>
  </w:style>
  <w:style w:type="character" w:customStyle="1" w:styleId="62">
    <w:name w:val="标题 8 字符"/>
    <w:link w:val="11"/>
    <w:qFormat/>
    <w:uiPriority w:val="0"/>
    <w:rPr>
      <w:rFonts w:ascii="Arial" w:hAnsi="Arial" w:eastAsia="黑体"/>
      <w:kern w:val="2"/>
      <w:sz w:val="24"/>
      <w:szCs w:val="24"/>
    </w:rPr>
  </w:style>
  <w:style w:type="character" w:customStyle="1" w:styleId="63">
    <w:name w:val="标题 9 字符"/>
    <w:link w:val="12"/>
    <w:qFormat/>
    <w:uiPriority w:val="0"/>
    <w:rPr>
      <w:rFonts w:ascii="Arial" w:hAnsi="Arial" w:eastAsia="黑体"/>
      <w:kern w:val="2"/>
      <w:sz w:val="21"/>
      <w:szCs w:val="24"/>
    </w:rPr>
  </w:style>
  <w:style w:type="character" w:customStyle="1" w:styleId="64">
    <w:name w:val="批注文字 字符1"/>
    <w:link w:val="16"/>
    <w:qFormat/>
    <w:uiPriority w:val="0"/>
    <w:rPr>
      <w:rFonts w:ascii="Times New Roman" w:hAnsi="Times New Roman"/>
      <w:kern w:val="2"/>
      <w:sz w:val="21"/>
      <w:szCs w:val="24"/>
    </w:rPr>
  </w:style>
  <w:style w:type="character" w:customStyle="1" w:styleId="65">
    <w:name w:val="正文文本 3 字符"/>
    <w:link w:val="17"/>
    <w:qFormat/>
    <w:uiPriority w:val="0"/>
    <w:rPr>
      <w:rFonts w:ascii="Times New Roman" w:hAnsi="Times New Roman" w:eastAsia="宋体" w:cs="Times New Roman"/>
      <w:b/>
      <w:bCs/>
      <w:sz w:val="24"/>
      <w:szCs w:val="24"/>
    </w:rPr>
  </w:style>
  <w:style w:type="character" w:customStyle="1" w:styleId="66">
    <w:name w:val="正文文本 字符"/>
    <w:link w:val="18"/>
    <w:qFormat/>
    <w:uiPriority w:val="99"/>
    <w:rPr>
      <w:rFonts w:ascii="Times New Roman" w:hAnsi="Times New Roman" w:eastAsia="宋体" w:cs="Times New Roman"/>
      <w:sz w:val="24"/>
      <w:szCs w:val="24"/>
    </w:rPr>
  </w:style>
  <w:style w:type="character" w:customStyle="1" w:styleId="67">
    <w:name w:val="纯文本 字符2"/>
    <w:link w:val="23"/>
    <w:qFormat/>
    <w:uiPriority w:val="0"/>
    <w:rPr>
      <w:rFonts w:ascii="宋体" w:hAnsi="Courier New" w:eastAsia="宋体" w:cs="Courier New"/>
      <w:szCs w:val="21"/>
    </w:rPr>
  </w:style>
  <w:style w:type="character" w:customStyle="1" w:styleId="68">
    <w:name w:val="日期 字符"/>
    <w:link w:val="25"/>
    <w:qFormat/>
    <w:uiPriority w:val="0"/>
    <w:rPr>
      <w:rFonts w:ascii="宋体" w:hAnsi="Courier New" w:eastAsia="宋体" w:cs="Courier New"/>
      <w:szCs w:val="21"/>
    </w:rPr>
  </w:style>
  <w:style w:type="character" w:customStyle="1" w:styleId="69">
    <w:name w:val="正文文本缩进 2 字符"/>
    <w:link w:val="26"/>
    <w:qFormat/>
    <w:uiPriority w:val="0"/>
    <w:rPr>
      <w:rFonts w:ascii="Times New Roman" w:hAnsi="Times New Roman" w:eastAsia="宋体" w:cs="Times New Roman"/>
      <w:sz w:val="32"/>
      <w:szCs w:val="20"/>
    </w:rPr>
  </w:style>
  <w:style w:type="character" w:customStyle="1" w:styleId="70">
    <w:name w:val="尾注文本 字符"/>
    <w:link w:val="27"/>
    <w:semiHidden/>
    <w:qFormat/>
    <w:uiPriority w:val="99"/>
    <w:rPr>
      <w:rFonts w:ascii="Times New Roman" w:hAnsi="Times New Roman"/>
      <w:kern w:val="2"/>
      <w:sz w:val="21"/>
      <w:szCs w:val="24"/>
    </w:rPr>
  </w:style>
  <w:style w:type="character" w:customStyle="1" w:styleId="71">
    <w:name w:val="批注框文本 字符"/>
    <w:link w:val="28"/>
    <w:semiHidden/>
    <w:qFormat/>
    <w:uiPriority w:val="0"/>
    <w:rPr>
      <w:rFonts w:ascii="Times New Roman" w:hAnsi="Times New Roman" w:eastAsia="宋体" w:cs="Times New Roman"/>
      <w:sz w:val="18"/>
      <w:szCs w:val="18"/>
    </w:rPr>
  </w:style>
  <w:style w:type="character" w:customStyle="1" w:styleId="72">
    <w:name w:val="页脚 字符"/>
    <w:link w:val="29"/>
    <w:qFormat/>
    <w:uiPriority w:val="99"/>
    <w:rPr>
      <w:sz w:val="18"/>
      <w:szCs w:val="18"/>
    </w:rPr>
  </w:style>
  <w:style w:type="character" w:customStyle="1" w:styleId="73">
    <w:name w:val="页眉 字符"/>
    <w:link w:val="30"/>
    <w:qFormat/>
    <w:uiPriority w:val="99"/>
    <w:rPr>
      <w:rFonts w:ascii="Times New Roman" w:hAnsi="Times New Roman"/>
      <w:kern w:val="2"/>
      <w:sz w:val="18"/>
      <w:szCs w:val="18"/>
    </w:rPr>
  </w:style>
  <w:style w:type="character" w:customStyle="1" w:styleId="74">
    <w:name w:val="副标题 字符"/>
    <w:link w:val="33"/>
    <w:qFormat/>
    <w:uiPriority w:val="0"/>
    <w:rPr>
      <w:rFonts w:ascii="Cambria" w:hAnsi="Cambria"/>
      <w:b/>
      <w:bCs/>
      <w:kern w:val="28"/>
      <w:sz w:val="32"/>
      <w:szCs w:val="32"/>
    </w:rPr>
  </w:style>
  <w:style w:type="character" w:customStyle="1" w:styleId="75">
    <w:name w:val="脚注文本 字符"/>
    <w:link w:val="35"/>
    <w:semiHidden/>
    <w:qFormat/>
    <w:uiPriority w:val="99"/>
    <w:rPr>
      <w:rFonts w:ascii="Times New Roman" w:hAnsi="Times New Roman"/>
      <w:kern w:val="2"/>
      <w:sz w:val="18"/>
      <w:szCs w:val="18"/>
    </w:rPr>
  </w:style>
  <w:style w:type="character" w:customStyle="1" w:styleId="76">
    <w:name w:val="正文文本缩进 3 字符"/>
    <w:link w:val="37"/>
    <w:qFormat/>
    <w:uiPriority w:val="0"/>
    <w:rPr>
      <w:rFonts w:ascii="Times New Roman" w:hAnsi="Times New Roman" w:eastAsia="宋体" w:cs="Times New Roman"/>
      <w:sz w:val="16"/>
      <w:szCs w:val="16"/>
    </w:rPr>
  </w:style>
  <w:style w:type="character" w:customStyle="1" w:styleId="77">
    <w:name w:val="正文文本 2 字符"/>
    <w:link w:val="40"/>
    <w:qFormat/>
    <w:uiPriority w:val="0"/>
    <w:rPr>
      <w:rFonts w:ascii="Times New Roman" w:hAnsi="Times New Roman" w:eastAsia="宋体" w:cs="Times New Roman"/>
      <w:szCs w:val="24"/>
    </w:rPr>
  </w:style>
  <w:style w:type="character" w:customStyle="1" w:styleId="78">
    <w:name w:val="标题 字符"/>
    <w:link w:val="43"/>
    <w:qFormat/>
    <w:uiPriority w:val="10"/>
    <w:rPr>
      <w:rFonts w:ascii="Cambria" w:hAnsi="Cambria" w:cs="Times New Roman"/>
      <w:b/>
      <w:bCs/>
      <w:kern w:val="2"/>
      <w:sz w:val="32"/>
      <w:szCs w:val="32"/>
    </w:rPr>
  </w:style>
  <w:style w:type="character" w:customStyle="1" w:styleId="79">
    <w:name w:val="批注主题 字符"/>
    <w:link w:val="44"/>
    <w:semiHidden/>
    <w:qFormat/>
    <w:uiPriority w:val="99"/>
    <w:rPr>
      <w:rFonts w:ascii="Times New Roman" w:hAnsi="Times New Roman"/>
      <w:b/>
      <w:bCs/>
      <w:kern w:val="2"/>
      <w:sz w:val="21"/>
      <w:szCs w:val="24"/>
    </w:rPr>
  </w:style>
  <w:style w:type="character" w:customStyle="1" w:styleId="80">
    <w:name w:val="纯文本 字符1"/>
    <w:qFormat/>
    <w:uiPriority w:val="0"/>
    <w:rPr>
      <w:rFonts w:ascii="宋体" w:hAnsi="Courier New"/>
    </w:rPr>
  </w:style>
  <w:style w:type="character" w:customStyle="1" w:styleId="81">
    <w:name w:val="批注文字 Char1"/>
    <w:semiHidden/>
    <w:qFormat/>
    <w:locked/>
    <w:uiPriority w:val="0"/>
    <w:rPr>
      <w:rFonts w:ascii="Times New Roman" w:hAnsi="Times New Roman"/>
      <w:kern w:val="2"/>
      <w:sz w:val="21"/>
      <w:szCs w:val="24"/>
    </w:rPr>
  </w:style>
  <w:style w:type="character" w:customStyle="1" w:styleId="82">
    <w:name w:val="headline-content4"/>
    <w:qFormat/>
    <w:uiPriority w:val="0"/>
  </w:style>
  <w:style w:type="character" w:customStyle="1" w:styleId="83">
    <w:name w:val="批注文字 字符"/>
    <w:qFormat/>
    <w:uiPriority w:val="0"/>
    <w:rPr>
      <w:rFonts w:ascii="Times New Roman" w:hAnsi="Times New Roman"/>
      <w:kern w:val="2"/>
      <w:sz w:val="21"/>
      <w:szCs w:val="24"/>
    </w:rPr>
  </w:style>
  <w:style w:type="character" w:customStyle="1" w:styleId="84">
    <w:name w:val="标题 5 Char"/>
    <w:qFormat/>
    <w:uiPriority w:val="0"/>
    <w:rPr>
      <w:b/>
      <w:kern w:val="2"/>
      <w:sz w:val="28"/>
      <w:szCs w:val="24"/>
    </w:rPr>
  </w:style>
  <w:style w:type="character" w:customStyle="1" w:styleId="8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6">
    <w:name w:val="批注文字 Char"/>
    <w:qFormat/>
    <w:uiPriority w:val="0"/>
    <w:rPr>
      <w:rFonts w:ascii="Times New Roman" w:hAnsi="Times New Roman"/>
      <w:kern w:val="2"/>
      <w:sz w:val="21"/>
      <w:szCs w:val="24"/>
    </w:rPr>
  </w:style>
  <w:style w:type="character" w:customStyle="1" w:styleId="87">
    <w:name w:val="标题 1 字符"/>
    <w:qFormat/>
    <w:uiPriority w:val="9"/>
    <w:rPr>
      <w:rFonts w:ascii="Times New Roman" w:hAnsi="Times New Roman" w:eastAsia="宋体" w:cs="Times New Roman"/>
      <w:b/>
      <w:bCs/>
      <w:kern w:val="44"/>
      <w:sz w:val="44"/>
      <w:szCs w:val="44"/>
    </w:rPr>
  </w:style>
  <w:style w:type="character" w:customStyle="1" w:styleId="88">
    <w:name w:val="apple-style-span"/>
    <w:qFormat/>
    <w:uiPriority w:val="0"/>
  </w:style>
  <w:style w:type="character" w:customStyle="1" w:styleId="89">
    <w:name w:val="正文文本缩进 字符"/>
    <w:qFormat/>
    <w:uiPriority w:val="0"/>
    <w:rPr>
      <w:rFonts w:ascii="仿宋_GB2312" w:hAnsi="Times New Roman" w:eastAsia="仿宋_GB2312" w:cs="Times New Roman"/>
      <w:sz w:val="32"/>
      <w:szCs w:val="20"/>
    </w:rPr>
  </w:style>
  <w:style w:type="character" w:customStyle="1" w:styleId="90">
    <w:name w:val="case31"/>
    <w:qFormat/>
    <w:uiPriority w:val="0"/>
    <w:rPr>
      <w:rFonts w:hint="default" w:ascii="_x000B__x000C_" w:hAnsi="_x000B__x000C_"/>
      <w:sz w:val="21"/>
      <w:szCs w:val="21"/>
    </w:rPr>
  </w:style>
  <w:style w:type="character" w:customStyle="1" w:styleId="91">
    <w:name w:val="纯文本 字符"/>
    <w:qFormat/>
    <w:uiPriority w:val="0"/>
    <w:rPr>
      <w:rFonts w:ascii="宋体" w:hAnsi="Courier New" w:eastAsia="宋体" w:cs="Courier New"/>
      <w:szCs w:val="21"/>
    </w:rPr>
  </w:style>
  <w:style w:type="character" w:customStyle="1" w:styleId="92">
    <w:name w:val="textcontents"/>
    <w:qFormat/>
    <w:uiPriority w:val="0"/>
  </w:style>
  <w:style w:type="character" w:customStyle="1" w:styleId="93">
    <w:name w:val="普通文字 Char Char2"/>
    <w:qFormat/>
    <w:uiPriority w:val="0"/>
    <w:rPr>
      <w:rFonts w:ascii="宋体" w:hAnsi="Courier New" w:eastAsia="宋体"/>
      <w:kern w:val="2"/>
      <w:sz w:val="21"/>
      <w:lang w:val="en-US" w:eastAsia="zh-CN" w:bidi="ar-SA"/>
    </w:rPr>
  </w:style>
  <w:style w:type="paragraph" w:customStyle="1" w:styleId="94">
    <w:name w:val="正文段"/>
    <w:basedOn w:val="1"/>
    <w:qFormat/>
    <w:uiPriority w:val="0"/>
    <w:pPr>
      <w:widowControl/>
      <w:snapToGrid w:val="0"/>
      <w:spacing w:after="50" w:afterLines="50"/>
      <w:ind w:firstLine="200" w:firstLineChars="200"/>
    </w:pPr>
    <w:rPr>
      <w:kern w:val="0"/>
      <w:sz w:val="24"/>
      <w:szCs w:val="20"/>
    </w:rPr>
  </w:style>
  <w:style w:type="paragraph" w:customStyle="1" w:styleId="9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6">
    <w:name w:val="默认段落字体 Para Char Char Char Char Char Char Char Char Char1 Char Char Char Char"/>
    <w:basedOn w:val="1"/>
    <w:qFormat/>
    <w:uiPriority w:val="0"/>
    <w:rPr>
      <w:rFonts w:ascii="Tahoma" w:hAnsi="Tahoma"/>
      <w:sz w:val="24"/>
      <w:szCs w:val="20"/>
    </w:rPr>
  </w:style>
  <w:style w:type="paragraph" w:customStyle="1" w:styleId="9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0">
    <w:name w:val="Table Paragraph"/>
    <w:basedOn w:val="1"/>
    <w:qFormat/>
    <w:uiPriority w:val="1"/>
    <w:pPr>
      <w:jc w:val="left"/>
    </w:pPr>
    <w:rPr>
      <w:rFonts w:ascii="Calibri" w:hAnsi="Calibri"/>
      <w:kern w:val="0"/>
      <w:sz w:val="22"/>
      <w:szCs w:val="22"/>
      <w:lang w:eastAsia="en-US"/>
    </w:rPr>
  </w:style>
  <w:style w:type="paragraph" w:customStyle="1" w:styleId="101">
    <w:name w:val="Char1"/>
    <w:basedOn w:val="1"/>
    <w:qFormat/>
    <w:uiPriority w:val="0"/>
    <w:rPr>
      <w:szCs w:val="21"/>
    </w:rPr>
  </w:style>
  <w:style w:type="paragraph" w:customStyle="1" w:styleId="102">
    <w:name w:val="正文首行缩进两字符"/>
    <w:basedOn w:val="1"/>
    <w:qFormat/>
    <w:uiPriority w:val="0"/>
    <w:pPr>
      <w:spacing w:line="360" w:lineRule="auto"/>
      <w:ind w:firstLine="200" w:firstLineChars="200"/>
    </w:pPr>
  </w:style>
  <w:style w:type="paragraph" w:customStyle="1" w:styleId="103">
    <w:name w:val="表格"/>
    <w:basedOn w:val="1"/>
    <w:qFormat/>
    <w:uiPriority w:val="0"/>
    <w:pPr>
      <w:spacing w:line="400" w:lineRule="exact"/>
    </w:pPr>
    <w:rPr>
      <w:sz w:val="24"/>
    </w:rPr>
  </w:style>
  <w:style w:type="paragraph" w:customStyle="1" w:styleId="104">
    <w:name w:val="样式 首行缩进:  2 字符"/>
    <w:basedOn w:val="1"/>
    <w:qFormat/>
    <w:uiPriority w:val="0"/>
    <w:pPr>
      <w:spacing w:line="400" w:lineRule="exact"/>
      <w:ind w:firstLine="200" w:firstLineChars="200"/>
    </w:pPr>
    <w:rPr>
      <w:rFonts w:cs="宋体"/>
      <w:sz w:val="24"/>
    </w:rPr>
  </w:style>
  <w:style w:type="paragraph" w:customStyle="1" w:styleId="105">
    <w:name w:val="纯文本1"/>
    <w:basedOn w:val="1"/>
    <w:qFormat/>
    <w:uiPriority w:val="0"/>
    <w:rPr>
      <w:rFonts w:ascii="宋体" w:hAnsi="Courier New" w:cs="Century"/>
      <w:szCs w:val="21"/>
    </w:rPr>
  </w:style>
  <w:style w:type="paragraph" w:customStyle="1" w:styleId="10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styleId="107">
    <w:name w:val="List Paragraph"/>
    <w:basedOn w:val="1"/>
    <w:qFormat/>
    <w:uiPriority w:val="34"/>
    <w:pPr>
      <w:ind w:firstLine="420" w:firstLineChars="200"/>
    </w:pPr>
  </w:style>
  <w:style w:type="table" w:customStyle="1" w:styleId="108">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09">
    <w:name w:val="纯文本 Char1"/>
    <w:qFormat/>
    <w:uiPriority w:val="0"/>
    <w:rPr>
      <w:rFonts w:ascii="宋体" w:hAnsi="Courier New" w:eastAsia="宋体" w:cs="Courier New"/>
      <w:szCs w:val="21"/>
    </w:rPr>
  </w:style>
  <w:style w:type="character" w:customStyle="1" w:styleId="110">
    <w:name w:val="标题 5 Char1"/>
    <w:qFormat/>
    <w:uiPriority w:val="0"/>
    <w:rPr>
      <w:b/>
      <w:kern w:val="2"/>
      <w:sz w:val="28"/>
      <w:szCs w:val="24"/>
    </w:rPr>
  </w:style>
  <w:style w:type="character" w:customStyle="1" w:styleId="111">
    <w:name w:val="批注文字 字符2"/>
    <w:qFormat/>
    <w:uiPriority w:val="0"/>
    <w:rPr>
      <w:rFonts w:ascii="Times New Roman" w:hAnsi="Times New Roman"/>
      <w:kern w:val="2"/>
      <w:sz w:val="21"/>
      <w:szCs w:val="24"/>
    </w:rPr>
  </w:style>
  <w:style w:type="character" w:customStyle="1" w:styleId="112">
    <w:name w:val="纯文本 Char"/>
    <w:qFormat/>
    <w:uiPriority w:val="0"/>
    <w:rPr>
      <w:rFonts w:ascii="宋体" w:hAnsi="Courier New" w:eastAsia="宋体" w:cs="Courier New"/>
      <w:szCs w:val="21"/>
    </w:rPr>
  </w:style>
  <w:style w:type="paragraph" w:customStyle="1" w:styleId="113">
    <w:name w:val="正文2"/>
    <w:basedOn w:val="1"/>
    <w:qFormat/>
    <w:uiPriority w:val="0"/>
    <w:pPr>
      <w:adjustRightInd w:val="0"/>
      <w:spacing w:before="156" w:line="360" w:lineRule="auto"/>
      <w:ind w:firstLine="510" w:firstLineChars="200"/>
    </w:pPr>
    <w:rPr>
      <w:sz w:val="24"/>
      <w:szCs w:val="20"/>
    </w:rPr>
  </w:style>
  <w:style w:type="paragraph" w:customStyle="1" w:styleId="114">
    <w:name w:val="_Style 112"/>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Default"/>
    <w:basedOn w:val="1"/>
    <w:next w:val="1"/>
    <w:semiHidden/>
    <w:qFormat/>
    <w:uiPriority w:val="0"/>
    <w:pPr>
      <w:autoSpaceDE w:val="0"/>
      <w:autoSpaceDN w:val="0"/>
      <w:adjustRightInd w:val="0"/>
      <w:jc w:val="left"/>
    </w:pPr>
    <w:rPr>
      <w:rFonts w:ascii="仿宋_GB2312" w:hAnsi="宋体" w:eastAsia="仿宋_GB2312"/>
      <w:color w:val="000000"/>
      <w:kern w:val="0"/>
      <w:sz w:val="24"/>
    </w:rPr>
  </w:style>
  <w:style w:type="paragraph" w:customStyle="1" w:styleId="1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35758</Words>
  <Characters>37459</Characters>
  <Lines>321</Lines>
  <Paragraphs>90</Paragraphs>
  <TotalTime>10</TotalTime>
  <ScaleCrop>false</ScaleCrop>
  <LinksUpToDate>false</LinksUpToDate>
  <CharactersWithSpaces>43124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2022-08-10T09:23:00Z</dcterms:created>
  <dc:creator>番茄花园</dc:creator>
  <cp:lastModifiedBy>冯坚</cp:lastModifiedBy>
  <cp:lastPrinted>2022-08-11T02:36:00Z</cp:lastPrinted>
  <dcterms:modified xsi:type="dcterms:W3CDTF">2022-09-09T08:12:35Z</dcterms:modified>
  <dc:title>公开招标采购文件范本</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200118A79DF4464EB31D182E947E09A8</vt:lpwstr>
  </property>
</Properties>
</file>