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bookmarkStart w:id="0" w:name="_Toc10319"/>
      <w:bookmarkStart w:id="1" w:name="_Toc7014_WPSOffice_Level1"/>
      <w:r>
        <w:rPr>
          <w:rFonts w:hint="eastAsia" w:ascii="宋体" w:hAnsi="宋体" w:cs="宋体"/>
          <w:b/>
          <w:sz w:val="52"/>
        </w:rPr>
        <w:t xml:space="preserve">  湖北中天宏建设项目管理有限公司</w:t>
      </w:r>
    </w:p>
    <w:p>
      <w:pPr>
        <w:pStyle w:val="15"/>
        <w:rPr>
          <w:rFonts w:ascii="宋体" w:hAnsi="宋体" w:cs="宋体"/>
          <w:b/>
          <w:bCs/>
          <w:sz w:val="52"/>
          <w:szCs w:val="52"/>
        </w:rPr>
      </w:pPr>
    </w:p>
    <w:p>
      <w:pPr>
        <w:pStyle w:val="15"/>
        <w:rPr>
          <w:rFonts w:ascii="宋体" w:hAnsi="宋体" w:cs="宋体"/>
          <w:b/>
          <w:bCs/>
          <w:sz w:val="52"/>
          <w:szCs w:val="52"/>
        </w:rPr>
      </w:pPr>
    </w:p>
    <w:p>
      <w:pPr>
        <w:ind w:left="558" w:right="683"/>
        <w:jc w:val="center"/>
        <w:rPr>
          <w:rFonts w:ascii="宋体" w:hAnsi="宋体" w:cs="宋体"/>
          <w:b/>
          <w:sz w:val="72"/>
          <w:szCs w:val="72"/>
        </w:rPr>
      </w:pPr>
      <w:r>
        <w:rPr>
          <w:rFonts w:hint="eastAsia" w:ascii="宋体" w:hAnsi="宋体" w:cs="宋体"/>
          <w:b/>
          <w:spacing w:val="93"/>
          <w:sz w:val="72"/>
          <w:szCs w:val="72"/>
        </w:rPr>
        <w:t>竞争性磋商文件</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32"/>
          <w:szCs w:val="32"/>
          <w:u w:val="single"/>
        </w:rPr>
      </w:pPr>
      <w:r>
        <w:rPr>
          <w:rFonts w:hint="eastAsia" w:ascii="宋体" w:hAnsi="宋体" w:cs="宋体"/>
          <w:b/>
          <w:bCs/>
          <w:sz w:val="32"/>
          <w:szCs w:val="32"/>
        </w:rPr>
        <w:t>项 目 名 称：</w:t>
      </w:r>
      <w:r>
        <w:rPr>
          <w:rFonts w:hint="eastAsia" w:ascii="宋体" w:hAnsi="宋体" w:cs="宋体"/>
          <w:b/>
          <w:bCs/>
          <w:sz w:val="32"/>
          <w:szCs w:val="32"/>
          <w:u w:val="single"/>
        </w:rPr>
        <w:t>桂林市临桂区交警队交通监控系统服务项目</w:t>
      </w:r>
    </w:p>
    <w:p>
      <w:pPr>
        <w:pStyle w:val="2"/>
      </w:pPr>
    </w:p>
    <w:p>
      <w:pPr>
        <w:ind w:firstLine="960" w:firstLineChars="300"/>
        <w:rPr>
          <w:rFonts w:ascii="宋体" w:hAnsi="宋体" w:cs="宋体"/>
          <w:b/>
          <w:bCs/>
          <w:sz w:val="32"/>
          <w:szCs w:val="32"/>
        </w:rPr>
      </w:pPr>
      <w:r>
        <w:rPr>
          <w:rFonts w:hint="eastAsia" w:ascii="宋体" w:hAnsi="宋体" w:cs="宋体"/>
          <w:b/>
          <w:bCs/>
          <w:sz w:val="32"/>
          <w:szCs w:val="32"/>
        </w:rPr>
        <w:t>项 目 编 号：</w:t>
      </w:r>
      <w:r>
        <w:rPr>
          <w:rFonts w:hint="eastAsia" w:ascii="宋体" w:hAnsi="宋体" w:cs="宋体"/>
          <w:b/>
          <w:bCs/>
          <w:sz w:val="32"/>
          <w:szCs w:val="32"/>
          <w:u w:val="single"/>
        </w:rPr>
        <w:t>GLZC2022-C3-120054-HBZT</w:t>
      </w:r>
    </w:p>
    <w:p>
      <w:pPr>
        <w:ind w:firstLine="1600" w:firstLineChars="500"/>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ind w:firstLine="2240" w:firstLineChars="700"/>
        <w:rPr>
          <w:rFonts w:ascii="宋体" w:hAnsi="宋体" w:cs="宋体"/>
          <w:sz w:val="32"/>
          <w:szCs w:val="32"/>
        </w:rPr>
      </w:pPr>
      <w:r>
        <w:rPr>
          <w:rFonts w:hint="eastAsia" w:ascii="宋体" w:hAnsi="宋体" w:cs="宋体"/>
          <w:sz w:val="32"/>
          <w:szCs w:val="32"/>
        </w:rPr>
        <w:t>采购代理机构：湖北中天宏建设项目管理有限公司</w:t>
      </w:r>
    </w:p>
    <w:p>
      <w:pPr>
        <w:pStyle w:val="9"/>
        <w:rPr>
          <w:rFonts w:ascii="宋体" w:hAnsi="宋体" w:cs="宋体"/>
        </w:rPr>
      </w:pPr>
    </w:p>
    <w:p>
      <w:pPr>
        <w:ind w:firstLine="3840" w:firstLineChars="1200"/>
        <w:rPr>
          <w:rFonts w:ascii="宋体" w:hAnsi="宋体" w:cs="宋体"/>
          <w:sz w:val="48"/>
          <w:szCs w:val="48"/>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rPr>
        <w:t>2022年7月</w:t>
      </w:r>
    </w:p>
    <w:p>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7"/>
        <w:tabs>
          <w:tab w:val="right" w:leader="dot" w:pos="10184"/>
        </w:tabs>
        <w:rPr>
          <w:rFonts w:asciiTheme="minorHAnsi" w:hAnsiTheme="minorHAnsi" w:eastAsiaTheme="minorEastAsia" w:cstheme="minorBidi"/>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"_Toc102642477" </w:instrText>
      </w:r>
      <w:r>
        <w:fldChar w:fldCharType="separate"/>
      </w:r>
      <w:r>
        <w:rPr>
          <w:rStyle w:val="26"/>
          <w:rFonts w:hint="eastAsia" w:ascii="宋体" w:hAnsi="宋体" w:cs="宋体"/>
        </w:rPr>
        <w:t>第一章 竞争性磋商公告</w:t>
      </w:r>
      <w:r>
        <w:tab/>
      </w:r>
      <w:r>
        <w:fldChar w:fldCharType="begin"/>
      </w:r>
      <w:r>
        <w:instrText xml:space="preserve"> PAGEREF _Toc102642477 \h </w:instrText>
      </w:r>
      <w:r>
        <w:fldChar w:fldCharType="separate"/>
      </w:r>
      <w:r>
        <w:t>- 1 -</w:t>
      </w:r>
      <w:r>
        <w:fldChar w:fldCharType="end"/>
      </w:r>
      <w:r>
        <w:fldChar w:fldCharType="end"/>
      </w:r>
    </w:p>
    <w:p>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"_Toc102642478" </w:instrText>
      </w:r>
      <w:r>
        <w:fldChar w:fldCharType="separate"/>
      </w:r>
      <w:r>
        <w:rPr>
          <w:rStyle w:val="26"/>
          <w:rFonts w:hint="eastAsia" w:ascii="宋体" w:hAnsi="宋体" w:cs="宋体"/>
        </w:rPr>
        <w:t>第二章</w:t>
      </w:r>
      <w:r>
        <w:rPr>
          <w:rStyle w:val="26"/>
          <w:rFonts w:ascii="宋体" w:hAnsi="宋体" w:cs="宋体"/>
        </w:rPr>
        <w:t xml:space="preserve"> </w:t>
      </w:r>
      <w:r>
        <w:rPr>
          <w:rStyle w:val="26"/>
          <w:rFonts w:hint="eastAsia" w:ascii="宋体" w:hAnsi="宋体" w:cs="宋体"/>
        </w:rPr>
        <w:t>供应商须知</w:t>
      </w:r>
      <w:r>
        <w:tab/>
      </w:r>
      <w:r>
        <w:fldChar w:fldCharType="begin"/>
      </w:r>
      <w:r>
        <w:instrText xml:space="preserve"> PAGEREF _Toc102642478 \h </w:instrText>
      </w:r>
      <w:r>
        <w:fldChar w:fldCharType="separate"/>
      </w:r>
      <w:r>
        <w:t>- 4 -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"_Toc102642479" </w:instrText>
      </w:r>
      <w:r>
        <w:fldChar w:fldCharType="separate"/>
      </w:r>
      <w:r>
        <w:rPr>
          <w:rStyle w:val="26"/>
          <w:rFonts w:hint="eastAsia" w:ascii="宋体" w:hAnsi="宋体" w:cs="宋体"/>
          <w:b/>
        </w:rPr>
        <w:t>供</w:t>
      </w:r>
      <w:r>
        <w:rPr>
          <w:rStyle w:val="26"/>
          <w:rFonts w:ascii="宋体" w:hAnsi="宋体" w:cs="宋体"/>
          <w:b/>
        </w:rPr>
        <w:t xml:space="preserve"> </w:t>
      </w:r>
      <w:r>
        <w:rPr>
          <w:rStyle w:val="26"/>
          <w:rFonts w:hint="eastAsia" w:ascii="宋体" w:hAnsi="宋体" w:cs="宋体"/>
          <w:b/>
        </w:rPr>
        <w:t>应</w:t>
      </w:r>
      <w:r>
        <w:rPr>
          <w:rStyle w:val="26"/>
          <w:rFonts w:ascii="宋体" w:hAnsi="宋体" w:cs="宋体"/>
          <w:b/>
        </w:rPr>
        <w:t xml:space="preserve"> </w:t>
      </w:r>
      <w:r>
        <w:rPr>
          <w:rStyle w:val="26"/>
          <w:rFonts w:hint="eastAsia" w:ascii="宋体" w:hAnsi="宋体" w:cs="宋体"/>
          <w:b/>
        </w:rPr>
        <w:t>商</w:t>
      </w:r>
      <w:r>
        <w:rPr>
          <w:rStyle w:val="26"/>
          <w:rFonts w:ascii="宋体" w:hAnsi="宋体" w:cs="宋体"/>
          <w:b/>
        </w:rPr>
        <w:t xml:space="preserve"> </w:t>
      </w:r>
      <w:r>
        <w:rPr>
          <w:rStyle w:val="26"/>
          <w:rFonts w:hint="eastAsia" w:ascii="宋体" w:hAnsi="宋体" w:cs="宋体"/>
          <w:b/>
        </w:rPr>
        <w:t>须</w:t>
      </w:r>
      <w:r>
        <w:rPr>
          <w:rStyle w:val="26"/>
          <w:rFonts w:ascii="宋体" w:hAnsi="宋体" w:cs="宋体"/>
          <w:b/>
        </w:rPr>
        <w:t xml:space="preserve"> </w:t>
      </w:r>
      <w:r>
        <w:rPr>
          <w:rStyle w:val="26"/>
          <w:rFonts w:hint="eastAsia" w:ascii="宋体" w:hAnsi="宋体" w:cs="宋体"/>
          <w:b/>
        </w:rPr>
        <w:t>知</w:t>
      </w:r>
      <w:r>
        <w:rPr>
          <w:rStyle w:val="26"/>
          <w:rFonts w:ascii="宋体" w:hAnsi="宋体" w:cs="宋体"/>
          <w:b/>
        </w:rPr>
        <w:t xml:space="preserve"> </w:t>
      </w:r>
      <w:r>
        <w:rPr>
          <w:rStyle w:val="26"/>
          <w:rFonts w:hint="eastAsia" w:ascii="宋体" w:hAnsi="宋体" w:cs="宋体"/>
          <w:b/>
        </w:rPr>
        <w:t>前</w:t>
      </w:r>
      <w:r>
        <w:rPr>
          <w:rStyle w:val="26"/>
          <w:rFonts w:ascii="宋体" w:hAnsi="宋体" w:cs="宋体"/>
          <w:b/>
        </w:rPr>
        <w:t xml:space="preserve"> </w:t>
      </w:r>
      <w:r>
        <w:rPr>
          <w:rStyle w:val="26"/>
          <w:rFonts w:hint="eastAsia" w:ascii="宋体" w:hAnsi="宋体" w:cs="宋体"/>
          <w:b/>
        </w:rPr>
        <w:t>附</w:t>
      </w:r>
      <w:r>
        <w:rPr>
          <w:rStyle w:val="26"/>
          <w:rFonts w:ascii="宋体" w:hAnsi="宋体" w:cs="宋体"/>
          <w:b/>
        </w:rPr>
        <w:t xml:space="preserve"> </w:t>
      </w:r>
      <w:r>
        <w:rPr>
          <w:rStyle w:val="26"/>
          <w:rFonts w:hint="eastAsia" w:ascii="宋体" w:hAnsi="宋体" w:cs="宋体"/>
          <w:b/>
        </w:rPr>
        <w:t>表</w:t>
      </w:r>
      <w:r>
        <w:tab/>
      </w:r>
      <w:r>
        <w:fldChar w:fldCharType="begin"/>
      </w:r>
      <w:r>
        <w:instrText xml:space="preserve"> PAGEREF _Toc102642479 \h </w:instrText>
      </w:r>
      <w:r>
        <w:fldChar w:fldCharType="separate"/>
      </w:r>
      <w:r>
        <w:t>- 4 -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"_Toc102642480" </w:instrText>
      </w:r>
      <w:r>
        <w:fldChar w:fldCharType="separate"/>
      </w:r>
      <w:r>
        <w:rPr>
          <w:rStyle w:val="26"/>
          <w:rFonts w:hint="eastAsia" w:ascii="宋体" w:hAnsi="宋体" w:cs="宋体"/>
          <w:bCs/>
        </w:rPr>
        <w:t>竞争性磋商响应文件的制作</w:t>
      </w:r>
      <w:r>
        <w:tab/>
      </w:r>
      <w:r>
        <w:fldChar w:fldCharType="begin"/>
      </w:r>
      <w:r>
        <w:instrText xml:space="preserve"> PAGEREF _Toc102642480 \h </w:instrText>
      </w:r>
      <w:r>
        <w:fldChar w:fldCharType="separate"/>
      </w:r>
      <w:r>
        <w:t>- 4 -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"_Toc102642481" </w:instrText>
      </w:r>
      <w:r>
        <w:fldChar w:fldCharType="separate"/>
      </w:r>
      <w:r>
        <w:rPr>
          <w:rStyle w:val="26"/>
          <w:rFonts w:hint="eastAsia" w:ascii="宋体" w:hAnsi="宋体" w:cs="宋体"/>
          <w:b/>
        </w:rPr>
        <w:t>一、总则</w:t>
      </w:r>
      <w:r>
        <w:tab/>
      </w:r>
      <w:r>
        <w:fldChar w:fldCharType="begin"/>
      </w:r>
      <w:r>
        <w:instrText xml:space="preserve"> PAGEREF _Toc102642481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"_Toc102642482" </w:instrText>
      </w:r>
      <w:r>
        <w:fldChar w:fldCharType="separate"/>
      </w:r>
      <w:r>
        <w:rPr>
          <w:rStyle w:val="26"/>
          <w:rFonts w:ascii="宋体" w:hAnsi="宋体" w:cs="宋体"/>
        </w:rPr>
        <w:t xml:space="preserve">1. </w:t>
      </w:r>
      <w:r>
        <w:rPr>
          <w:rStyle w:val="26"/>
          <w:rFonts w:hint="eastAsia" w:ascii="宋体" w:hAnsi="宋体" w:cs="宋体"/>
        </w:rPr>
        <w:t>适应范围</w:t>
      </w:r>
      <w:r>
        <w:tab/>
      </w:r>
      <w:r>
        <w:fldChar w:fldCharType="begin"/>
      </w:r>
      <w:r>
        <w:instrText xml:space="preserve"> PAGEREF _Toc102642482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"_Toc102642483" </w:instrText>
      </w:r>
      <w:r>
        <w:fldChar w:fldCharType="separate"/>
      </w:r>
      <w:r>
        <w:rPr>
          <w:rStyle w:val="26"/>
          <w:rFonts w:ascii="宋体" w:hAnsi="宋体" w:cs="宋体"/>
        </w:rPr>
        <w:t xml:space="preserve">2. </w:t>
      </w:r>
      <w:r>
        <w:rPr>
          <w:rStyle w:val="26"/>
          <w:rFonts w:hint="eastAsia" w:ascii="宋体" w:hAnsi="宋体" w:cs="宋体"/>
        </w:rPr>
        <w:t>定义</w:t>
      </w:r>
      <w:r>
        <w:tab/>
      </w:r>
      <w:r>
        <w:fldChar w:fldCharType="begin"/>
      </w:r>
      <w:r>
        <w:instrText xml:space="preserve"> PAGEREF _Toc102642483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"_Toc102642484" </w:instrText>
      </w:r>
      <w:r>
        <w:fldChar w:fldCharType="separate"/>
      </w:r>
      <w:r>
        <w:rPr>
          <w:rStyle w:val="26"/>
          <w:rFonts w:ascii="宋体" w:hAnsi="宋体" w:cs="宋体"/>
        </w:rPr>
        <w:t xml:space="preserve">3. </w:t>
      </w:r>
      <w:r>
        <w:rPr>
          <w:rStyle w:val="26"/>
          <w:rFonts w:hint="eastAsia" w:ascii="宋体" w:hAnsi="宋体" w:cs="宋体"/>
        </w:rPr>
        <w:t>供应商资格</w:t>
      </w:r>
      <w:r>
        <w:tab/>
      </w:r>
      <w:r>
        <w:fldChar w:fldCharType="begin"/>
      </w:r>
      <w:r>
        <w:instrText xml:space="preserve"> PAGEREF _Toc102642484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"_Toc102642485" </w:instrText>
      </w:r>
      <w:r>
        <w:fldChar w:fldCharType="separate"/>
      </w:r>
      <w:r>
        <w:rPr>
          <w:rStyle w:val="26"/>
          <w:rFonts w:ascii="宋体" w:hAnsi="宋体" w:cs="宋体"/>
        </w:rPr>
        <w:t>3.5</w:t>
      </w:r>
      <w:r>
        <w:rPr>
          <w:rStyle w:val="26"/>
          <w:rFonts w:hint="eastAsia" w:ascii="宋体" w:hAnsi="宋体" w:cs="宋体"/>
        </w:rPr>
        <w:t>本项目的特定资格要求</w:t>
      </w:r>
      <w:r>
        <w:tab/>
      </w:r>
      <w:r>
        <w:fldChar w:fldCharType="begin"/>
      </w:r>
      <w:r>
        <w:instrText xml:space="preserve"> PAGEREF _Toc102642485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"_Toc102642486" </w:instrText>
      </w:r>
      <w:r>
        <w:fldChar w:fldCharType="separate"/>
      </w:r>
      <w:r>
        <w:rPr>
          <w:rStyle w:val="26"/>
          <w:rFonts w:ascii="宋体" w:hAnsi="宋体" w:cs="宋体"/>
        </w:rPr>
        <w:t xml:space="preserve">4. </w:t>
      </w:r>
      <w:r>
        <w:rPr>
          <w:rStyle w:val="26"/>
          <w:rFonts w:hint="eastAsia" w:ascii="宋体" w:hAnsi="宋体" w:cs="宋体"/>
        </w:rPr>
        <w:t>磋商费用</w:t>
      </w:r>
      <w:r>
        <w:tab/>
      </w:r>
      <w:r>
        <w:fldChar w:fldCharType="begin"/>
      </w:r>
      <w:r>
        <w:instrText xml:space="preserve"> PAGEREF _Toc102642486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"_Toc102642487" </w:instrText>
      </w:r>
      <w:r>
        <w:fldChar w:fldCharType="separate"/>
      </w:r>
      <w:r>
        <w:rPr>
          <w:rStyle w:val="26"/>
          <w:rFonts w:ascii="宋体" w:hAnsi="宋体" w:cs="宋体"/>
        </w:rPr>
        <w:t>5.</w:t>
      </w:r>
      <w:r>
        <w:rPr>
          <w:rStyle w:val="26"/>
          <w:rFonts w:hint="eastAsia" w:ascii="宋体" w:hAnsi="宋体" w:cs="宋体"/>
        </w:rPr>
        <w:t xml:space="preserve"> 联合体要求</w:t>
      </w:r>
      <w:r>
        <w:tab/>
      </w:r>
      <w:r>
        <w:fldChar w:fldCharType="begin"/>
      </w:r>
      <w:r>
        <w:instrText xml:space="preserve"> PAGEREF _Toc102642487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"_Toc102642488" </w:instrText>
      </w:r>
      <w:r>
        <w:fldChar w:fldCharType="separate"/>
      </w:r>
      <w:r>
        <w:rPr>
          <w:rStyle w:val="26"/>
          <w:rFonts w:ascii="宋体" w:hAnsi="宋体" w:cs="宋体"/>
        </w:rPr>
        <w:t>6.</w:t>
      </w:r>
      <w:r>
        <w:rPr>
          <w:rStyle w:val="26"/>
          <w:rFonts w:hint="eastAsia" w:ascii="宋体" w:hAnsi="宋体" w:cs="宋体"/>
        </w:rPr>
        <w:t xml:space="preserve"> 转包与分包</w:t>
      </w:r>
      <w:r>
        <w:tab/>
      </w:r>
      <w:r>
        <w:fldChar w:fldCharType="begin"/>
      </w:r>
      <w:r>
        <w:instrText xml:space="preserve"> PAGEREF _Toc102642488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"_Toc102642489" </w:instrText>
      </w:r>
      <w:r>
        <w:fldChar w:fldCharType="separate"/>
      </w:r>
      <w:r>
        <w:rPr>
          <w:rStyle w:val="26"/>
          <w:rFonts w:ascii="宋体" w:hAnsi="宋体" w:cs="宋体"/>
        </w:rPr>
        <w:t xml:space="preserve">7. </w:t>
      </w:r>
      <w:r>
        <w:rPr>
          <w:rStyle w:val="26"/>
          <w:rFonts w:hint="eastAsia" w:ascii="宋体" w:hAnsi="宋体" w:cs="宋体"/>
        </w:rPr>
        <w:t>质疑和投诉</w:t>
      </w:r>
      <w:r>
        <w:tab/>
      </w:r>
      <w:r>
        <w:fldChar w:fldCharType="begin"/>
      </w:r>
      <w:r>
        <w:instrText xml:space="preserve"> PAGEREF _Toc102642489 \h </w:instrText>
      </w:r>
      <w:r>
        <w:fldChar w:fldCharType="separate"/>
      </w:r>
      <w:r>
        <w:t>- 8 -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"_Toc102642490" </w:instrText>
      </w:r>
      <w:r>
        <w:fldChar w:fldCharType="separate"/>
      </w:r>
      <w:r>
        <w:rPr>
          <w:rStyle w:val="26"/>
          <w:rFonts w:ascii="宋体" w:hAnsi="宋体" w:cs="宋体"/>
        </w:rPr>
        <w:t xml:space="preserve">8. </w:t>
      </w:r>
      <w:r>
        <w:rPr>
          <w:rStyle w:val="26"/>
          <w:rFonts w:hint="eastAsia" w:ascii="宋体" w:hAnsi="宋体" w:cs="宋体"/>
        </w:rPr>
        <w:t>特别说明</w:t>
      </w:r>
      <w:r>
        <w:tab/>
      </w:r>
      <w:r>
        <w:fldChar w:fldCharType="begin"/>
      </w:r>
      <w:r>
        <w:instrText xml:space="preserve"> PAGEREF _Toc102642490 \h </w:instrText>
      </w:r>
      <w:r>
        <w:fldChar w:fldCharType="separate"/>
      </w:r>
      <w:r>
        <w:t>- 9 -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"_Toc102642491" </w:instrText>
      </w:r>
      <w:r>
        <w:fldChar w:fldCharType="separate"/>
      </w:r>
      <w:r>
        <w:rPr>
          <w:rStyle w:val="26"/>
          <w:rFonts w:hint="eastAsia" w:ascii="宋体" w:hAnsi="宋体" w:cs="宋体"/>
          <w:b/>
        </w:rPr>
        <w:t>二、磋商文件</w:t>
      </w:r>
      <w:r>
        <w:tab/>
      </w:r>
      <w:r>
        <w:fldChar w:fldCharType="begin"/>
      </w:r>
      <w:r>
        <w:instrText xml:space="preserve"> PAGEREF _Toc102642491 \h </w:instrText>
      </w:r>
      <w:r>
        <w:fldChar w:fldCharType="separate"/>
      </w:r>
      <w:r>
        <w:t>- 9 -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"_Toc102642492" </w:instrText>
      </w:r>
      <w:r>
        <w:fldChar w:fldCharType="separate"/>
      </w:r>
      <w:r>
        <w:rPr>
          <w:rStyle w:val="26"/>
          <w:rFonts w:ascii="宋体" w:hAnsi="宋体" w:cs="宋体"/>
          <w:lang w:val="pt-BR"/>
        </w:rPr>
        <w:t xml:space="preserve">9. </w:t>
      </w:r>
      <w:r>
        <w:rPr>
          <w:rStyle w:val="26"/>
          <w:rFonts w:hint="eastAsia" w:ascii="宋体" w:hAnsi="宋体" w:cs="宋体"/>
        </w:rPr>
        <w:t>磋商文件的构成</w:t>
      </w:r>
      <w:r>
        <w:tab/>
      </w:r>
      <w:r>
        <w:fldChar w:fldCharType="begin"/>
      </w:r>
      <w:r>
        <w:instrText xml:space="preserve"> PAGEREF _Toc102642492 \h </w:instrText>
      </w:r>
      <w:r>
        <w:fldChar w:fldCharType="separate"/>
      </w:r>
      <w:r>
        <w:t>- 9 -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"_Toc102642493" </w:instrText>
      </w:r>
      <w:r>
        <w:fldChar w:fldCharType="separate"/>
      </w:r>
      <w:r>
        <w:rPr>
          <w:rStyle w:val="26"/>
          <w:rFonts w:ascii="宋体" w:hAnsi="宋体" w:cs="宋体"/>
        </w:rPr>
        <w:t xml:space="preserve">10. </w:t>
      </w:r>
      <w:r>
        <w:rPr>
          <w:rStyle w:val="26"/>
          <w:rFonts w:hint="eastAsia" w:ascii="宋体" w:hAnsi="宋体" w:cs="宋体"/>
        </w:rPr>
        <w:t>磋商文件的澄清与修改</w:t>
      </w:r>
      <w:r>
        <w:tab/>
      </w:r>
      <w:r>
        <w:fldChar w:fldCharType="begin"/>
      </w:r>
      <w:r>
        <w:instrText xml:space="preserve"> PAGEREF _Toc102642493 \h </w:instrText>
      </w:r>
      <w:r>
        <w:fldChar w:fldCharType="separate"/>
      </w:r>
      <w:r>
        <w:t>- 9 -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"_Toc102642494" </w:instrText>
      </w:r>
      <w:r>
        <w:fldChar w:fldCharType="separate"/>
      </w:r>
      <w:r>
        <w:rPr>
          <w:rStyle w:val="26"/>
          <w:rFonts w:hint="eastAsia" w:ascii="宋体" w:hAnsi="宋体" w:cs="宋体"/>
          <w:b/>
        </w:rPr>
        <w:t>三、竞争性磋商响应文件的编制</w:t>
      </w:r>
      <w:r>
        <w:tab/>
      </w:r>
      <w:r>
        <w:fldChar w:fldCharType="begin"/>
      </w:r>
      <w:r>
        <w:instrText xml:space="preserve"> PAGEREF _Toc102642494 \h </w:instrText>
      </w:r>
      <w:r>
        <w:fldChar w:fldCharType="separate"/>
      </w:r>
      <w:r>
        <w:t>- 10 -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"_Toc102642495" </w:instrText>
      </w:r>
      <w:r>
        <w:fldChar w:fldCharType="separate"/>
      </w:r>
      <w:r>
        <w:rPr>
          <w:rStyle w:val="26"/>
          <w:rFonts w:ascii="宋体" w:hAnsi="宋体" w:cs="宋体"/>
        </w:rPr>
        <w:t>11.</w:t>
      </w:r>
      <w:r>
        <w:rPr>
          <w:rStyle w:val="26"/>
          <w:rFonts w:hint="eastAsia" w:ascii="宋体" w:hAnsi="宋体" w:cs="宋体"/>
        </w:rPr>
        <w:t>竞争性磋商响应文件编制基本要求</w:t>
      </w:r>
      <w:r>
        <w:tab/>
      </w:r>
      <w:r>
        <w:fldChar w:fldCharType="begin"/>
      </w:r>
      <w:r>
        <w:instrText xml:space="preserve"> PAGEREF _Toc102642495 \h </w:instrText>
      </w:r>
      <w:r>
        <w:fldChar w:fldCharType="separate"/>
      </w:r>
      <w:r>
        <w:t>- 10 -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"_Toc102642496" </w:instrText>
      </w:r>
      <w:r>
        <w:fldChar w:fldCharType="separate"/>
      </w:r>
      <w:r>
        <w:rPr>
          <w:rStyle w:val="26"/>
          <w:rFonts w:ascii="宋体" w:hAnsi="宋体" w:cs="宋体"/>
        </w:rPr>
        <w:t xml:space="preserve">12. </w:t>
      </w:r>
      <w:r>
        <w:rPr>
          <w:rStyle w:val="26"/>
          <w:rFonts w:hint="eastAsia" w:ascii="宋体" w:hAnsi="宋体" w:cs="宋体"/>
        </w:rPr>
        <w:t>响应文件的语言及计量</w:t>
      </w:r>
      <w:r>
        <w:tab/>
      </w:r>
      <w:r>
        <w:fldChar w:fldCharType="begin"/>
      </w:r>
      <w:r>
        <w:instrText xml:space="preserve"> PAGEREF _Toc102642496 \h </w:instrText>
      </w:r>
      <w:r>
        <w:fldChar w:fldCharType="separate"/>
      </w:r>
      <w:r>
        <w:t>- 12 -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"_Toc102642497" </w:instrText>
      </w:r>
      <w:r>
        <w:fldChar w:fldCharType="separate"/>
      </w:r>
      <w:r>
        <w:rPr>
          <w:rStyle w:val="26"/>
          <w:rFonts w:ascii="宋体" w:hAnsi="宋体" w:cs="宋体"/>
        </w:rPr>
        <w:t xml:space="preserve">13. </w:t>
      </w:r>
      <w:r>
        <w:rPr>
          <w:rStyle w:val="26"/>
          <w:rFonts w:hint="eastAsia" w:ascii="宋体" w:hAnsi="宋体" w:cs="宋体"/>
        </w:rPr>
        <w:t>磋商报价及采购预算金额</w:t>
      </w:r>
      <w:r>
        <w:tab/>
      </w:r>
      <w:r>
        <w:fldChar w:fldCharType="begin"/>
      </w:r>
      <w:r>
        <w:instrText xml:space="preserve"> PAGEREF _Toc102642497 \h </w:instrText>
      </w:r>
      <w:r>
        <w:fldChar w:fldCharType="separate"/>
      </w:r>
      <w:r>
        <w:t>- 12 -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"_Toc102642498" </w:instrText>
      </w:r>
      <w:r>
        <w:fldChar w:fldCharType="separate"/>
      </w:r>
      <w:r>
        <w:rPr>
          <w:rStyle w:val="26"/>
          <w:rFonts w:ascii="宋体" w:hAnsi="宋体" w:cs="宋体"/>
        </w:rPr>
        <w:t xml:space="preserve">14. </w:t>
      </w:r>
      <w:r>
        <w:rPr>
          <w:rStyle w:val="26"/>
          <w:rFonts w:hint="eastAsia" w:ascii="宋体" w:hAnsi="宋体" w:cs="宋体"/>
        </w:rPr>
        <w:t>响应文件有效期</w:t>
      </w:r>
      <w:r>
        <w:tab/>
      </w:r>
      <w:r>
        <w:fldChar w:fldCharType="begin"/>
      </w:r>
      <w:r>
        <w:instrText xml:space="preserve"> PAGEREF _Toc102642498 \h </w:instrText>
      </w:r>
      <w:r>
        <w:fldChar w:fldCharType="separate"/>
      </w:r>
      <w:r>
        <w:t>- 12 -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"_Toc102642499" </w:instrText>
      </w:r>
      <w:r>
        <w:fldChar w:fldCharType="separate"/>
      </w:r>
      <w:r>
        <w:rPr>
          <w:rStyle w:val="26"/>
          <w:rFonts w:ascii="宋体" w:hAnsi="宋体" w:cs="宋体"/>
        </w:rPr>
        <w:t xml:space="preserve">15. </w:t>
      </w:r>
      <w:r>
        <w:rPr>
          <w:rStyle w:val="26"/>
          <w:rFonts w:hint="eastAsia" w:ascii="宋体" w:hAnsi="宋体" w:cs="宋体"/>
        </w:rPr>
        <w:t>磋商保证金</w:t>
      </w:r>
      <w:r>
        <w:tab/>
      </w:r>
      <w:r>
        <w:fldChar w:fldCharType="begin"/>
      </w:r>
      <w:r>
        <w:instrText xml:space="preserve"> PAGEREF _Toc102642499 \h </w:instrText>
      </w:r>
      <w:r>
        <w:fldChar w:fldCharType="separate"/>
      </w:r>
      <w:r>
        <w:t>- 13 -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"_Toc102642500" </w:instrText>
      </w:r>
      <w:r>
        <w:fldChar w:fldCharType="separate"/>
      </w:r>
      <w:r>
        <w:rPr>
          <w:rStyle w:val="26"/>
          <w:rFonts w:ascii="宋体" w:hAnsi="宋体" w:cs="宋体"/>
        </w:rPr>
        <w:t xml:space="preserve">16. </w:t>
      </w:r>
      <w:r>
        <w:rPr>
          <w:rStyle w:val="26"/>
          <w:rFonts w:hint="eastAsia" w:ascii="宋体" w:hAnsi="宋体" w:cs="宋体"/>
        </w:rPr>
        <w:t>竞争性磋商响应文件的制作</w:t>
      </w:r>
      <w:r>
        <w:tab/>
      </w:r>
      <w:r>
        <w:fldChar w:fldCharType="begin"/>
      </w:r>
      <w:r>
        <w:instrText xml:space="preserve"> PAGEREF _Toc102642500 \h </w:instrText>
      </w:r>
      <w:r>
        <w:fldChar w:fldCharType="separate"/>
      </w:r>
      <w:r>
        <w:t>- 13 -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"_Toc102642501" </w:instrText>
      </w:r>
      <w:r>
        <w:fldChar w:fldCharType="separate"/>
      </w:r>
      <w:r>
        <w:rPr>
          <w:rStyle w:val="26"/>
          <w:rFonts w:ascii="宋体" w:hAnsi="宋体" w:cs="宋体"/>
        </w:rPr>
        <w:t xml:space="preserve">17. </w:t>
      </w:r>
      <w:r>
        <w:rPr>
          <w:rStyle w:val="26"/>
          <w:rFonts w:hint="eastAsia" w:ascii="宋体" w:hAnsi="宋体" w:cs="宋体"/>
        </w:rPr>
        <w:t>响应文件的修改和撤回</w:t>
      </w:r>
      <w:r>
        <w:tab/>
      </w:r>
      <w:r>
        <w:fldChar w:fldCharType="begin"/>
      </w:r>
      <w:r>
        <w:instrText xml:space="preserve"> PAGEREF _Toc102642501 \h </w:instrText>
      </w:r>
      <w:r>
        <w:fldChar w:fldCharType="separate"/>
      </w:r>
      <w:r>
        <w:t>- 13 -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"_Toc102642502" </w:instrText>
      </w:r>
      <w:r>
        <w:fldChar w:fldCharType="separate"/>
      </w:r>
      <w:r>
        <w:rPr>
          <w:rStyle w:val="26"/>
          <w:rFonts w:ascii="宋体" w:hAnsi="宋体" w:cs="宋体"/>
        </w:rPr>
        <w:t xml:space="preserve">18. </w:t>
      </w:r>
      <w:r>
        <w:rPr>
          <w:rStyle w:val="26"/>
          <w:rFonts w:hint="eastAsia" w:ascii="宋体" w:hAnsi="宋体" w:cs="宋体"/>
        </w:rPr>
        <w:t>响应文件的递交和解密</w:t>
      </w:r>
      <w:r>
        <w:tab/>
      </w:r>
      <w:r>
        <w:fldChar w:fldCharType="begin"/>
      </w:r>
      <w:r>
        <w:instrText xml:space="preserve"> PAGEREF _Toc102642502 \h </w:instrText>
      </w:r>
      <w:r>
        <w:fldChar w:fldCharType="separate"/>
      </w:r>
      <w:r>
        <w:t>- 13 -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"_Toc102642503" </w:instrText>
      </w:r>
      <w:r>
        <w:fldChar w:fldCharType="separate"/>
      </w:r>
      <w:r>
        <w:rPr>
          <w:rStyle w:val="26"/>
          <w:rFonts w:hint="eastAsia" w:ascii="宋体" w:hAnsi="宋体" w:cs="宋体"/>
          <w:b/>
        </w:rPr>
        <w:t>四、竞争性磋商（简称磋商）与评审</w:t>
      </w:r>
      <w:r>
        <w:tab/>
      </w:r>
      <w:r>
        <w:fldChar w:fldCharType="begin"/>
      </w:r>
      <w:r>
        <w:instrText xml:space="preserve"> PAGEREF _Toc102642503 \h </w:instrText>
      </w:r>
      <w:r>
        <w:fldChar w:fldCharType="separate"/>
      </w:r>
      <w:r>
        <w:t>- 14 -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"_Toc102642504" </w:instrText>
      </w:r>
      <w:r>
        <w:fldChar w:fldCharType="separate"/>
      </w:r>
      <w:r>
        <w:rPr>
          <w:rStyle w:val="26"/>
          <w:rFonts w:ascii="宋体" w:hAnsi="宋体" w:cs="宋体"/>
        </w:rPr>
        <w:t xml:space="preserve">19. </w:t>
      </w:r>
      <w:r>
        <w:rPr>
          <w:rStyle w:val="26"/>
          <w:rFonts w:hint="eastAsia" w:ascii="宋体" w:hAnsi="宋体" w:cs="宋体"/>
        </w:rPr>
        <w:t>磋商小组组成及磋商时间、地点、人员</w:t>
      </w:r>
      <w:r>
        <w:tab/>
      </w:r>
      <w:r>
        <w:fldChar w:fldCharType="begin"/>
      </w:r>
      <w:r>
        <w:instrText xml:space="preserve"> PAGEREF _Toc102642504 \h </w:instrText>
      </w:r>
      <w:r>
        <w:fldChar w:fldCharType="separate"/>
      </w:r>
      <w:r>
        <w:t>- 14 -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"_Toc102642505" </w:instrText>
      </w:r>
      <w:r>
        <w:fldChar w:fldCharType="separate"/>
      </w:r>
      <w:r>
        <w:rPr>
          <w:rStyle w:val="26"/>
          <w:rFonts w:ascii="宋体" w:hAnsi="宋体" w:cs="宋体"/>
        </w:rPr>
        <w:t xml:space="preserve">20. </w:t>
      </w:r>
      <w:r>
        <w:rPr>
          <w:rStyle w:val="26"/>
          <w:rFonts w:hint="eastAsia" w:ascii="宋体" w:hAnsi="宋体" w:cs="宋体"/>
        </w:rPr>
        <w:t>评审原则</w:t>
      </w:r>
      <w:r>
        <w:tab/>
      </w:r>
      <w:r>
        <w:fldChar w:fldCharType="begin"/>
      </w:r>
      <w:r>
        <w:instrText xml:space="preserve"> PAGEREF _Toc102642505 \h </w:instrText>
      </w:r>
      <w:r>
        <w:fldChar w:fldCharType="separate"/>
      </w:r>
      <w:r>
        <w:t>- 14 -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"_Toc102642506" </w:instrText>
      </w:r>
      <w:r>
        <w:fldChar w:fldCharType="separate"/>
      </w:r>
      <w:r>
        <w:rPr>
          <w:rStyle w:val="26"/>
          <w:rFonts w:ascii="宋体" w:hAnsi="宋体" w:cs="宋体"/>
        </w:rPr>
        <w:t xml:space="preserve">21. </w:t>
      </w:r>
      <w:r>
        <w:rPr>
          <w:rStyle w:val="26"/>
          <w:rFonts w:hint="eastAsia" w:ascii="宋体" w:hAnsi="宋体" w:cs="宋体"/>
        </w:rPr>
        <w:t>评审程序及磋商要求</w:t>
      </w:r>
      <w:r>
        <w:tab/>
      </w:r>
      <w:r>
        <w:fldChar w:fldCharType="begin"/>
      </w:r>
      <w:r>
        <w:instrText xml:space="preserve"> PAGEREF _Toc102642506 \h </w:instrText>
      </w:r>
      <w:r>
        <w:fldChar w:fldCharType="separate"/>
      </w:r>
      <w:r>
        <w:t>- 15 -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"_Toc102642507" </w:instrText>
      </w:r>
      <w:r>
        <w:fldChar w:fldCharType="separate"/>
      </w:r>
      <w:r>
        <w:rPr>
          <w:rStyle w:val="26"/>
          <w:rFonts w:ascii="宋体" w:hAnsi="宋体" w:cs="宋体"/>
        </w:rPr>
        <w:t xml:space="preserve">22. </w:t>
      </w:r>
      <w:r>
        <w:rPr>
          <w:rStyle w:val="26"/>
          <w:rFonts w:hint="eastAsia" w:ascii="宋体" w:hAnsi="宋体" w:cs="宋体"/>
        </w:rPr>
        <w:t>确定成交供应商</w:t>
      </w:r>
      <w:r>
        <w:tab/>
      </w:r>
      <w:r>
        <w:fldChar w:fldCharType="begin"/>
      </w:r>
      <w:r>
        <w:instrText xml:space="preserve"> PAGEREF _Toc102642507 \h </w:instrText>
      </w:r>
      <w:r>
        <w:fldChar w:fldCharType="separate"/>
      </w:r>
      <w:r>
        <w:t>- 18 -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"_Toc102642508" </w:instrText>
      </w:r>
      <w:r>
        <w:fldChar w:fldCharType="separate"/>
      </w:r>
      <w:r>
        <w:rPr>
          <w:rStyle w:val="26"/>
          <w:rFonts w:ascii="宋体" w:hAnsi="宋体" w:cs="宋体"/>
        </w:rPr>
        <w:t xml:space="preserve">23. </w:t>
      </w:r>
      <w:r>
        <w:rPr>
          <w:rStyle w:val="26"/>
          <w:rFonts w:hint="eastAsia" w:ascii="宋体" w:hAnsi="宋体" w:cs="宋体"/>
        </w:rPr>
        <w:t>属于下列情况之一者，响应文件无效</w:t>
      </w:r>
      <w:r>
        <w:tab/>
      </w:r>
      <w:r>
        <w:fldChar w:fldCharType="begin"/>
      </w:r>
      <w:r>
        <w:instrText xml:space="preserve"> PAGEREF _Toc102642508 \h </w:instrText>
      </w:r>
      <w:r>
        <w:fldChar w:fldCharType="separate"/>
      </w:r>
      <w:r>
        <w:t>- 18 -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"_Toc102642509" </w:instrText>
      </w:r>
      <w:r>
        <w:fldChar w:fldCharType="separate"/>
      </w:r>
      <w:r>
        <w:rPr>
          <w:rStyle w:val="26"/>
          <w:rFonts w:ascii="宋体" w:hAnsi="宋体" w:cs="宋体"/>
        </w:rPr>
        <w:t xml:space="preserve">24. </w:t>
      </w:r>
      <w:r>
        <w:rPr>
          <w:rStyle w:val="26"/>
          <w:rFonts w:hint="eastAsia" w:ascii="宋体" w:hAnsi="宋体" w:cs="宋体"/>
        </w:rPr>
        <w:t>出现下列情形之一的，采购人或者采购代理机构应当终止竞争性磋商采购活动，发布项目终止公告并说明原因，重新开展采购活动</w:t>
      </w:r>
      <w:r>
        <w:tab/>
      </w:r>
      <w:r>
        <w:fldChar w:fldCharType="begin"/>
      </w:r>
      <w:r>
        <w:instrText xml:space="preserve"> PAGEREF _Toc102642509 \h </w:instrText>
      </w:r>
      <w:r>
        <w:fldChar w:fldCharType="separate"/>
      </w:r>
      <w:r>
        <w:t>- 19 -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"_Toc102642510" </w:instrText>
      </w:r>
      <w:r>
        <w:fldChar w:fldCharType="separate"/>
      </w:r>
      <w:r>
        <w:rPr>
          <w:rStyle w:val="26"/>
          <w:rFonts w:ascii="宋体" w:hAnsi="宋体" w:cs="宋体"/>
        </w:rPr>
        <w:t xml:space="preserve">25. </w:t>
      </w:r>
      <w:r>
        <w:rPr>
          <w:rStyle w:val="26"/>
          <w:rFonts w:hint="eastAsia" w:ascii="宋体" w:hAnsi="宋体" w:cs="宋体"/>
        </w:rPr>
        <w:t>磋商过程的监控</w:t>
      </w:r>
      <w:r>
        <w:tab/>
      </w:r>
      <w:r>
        <w:fldChar w:fldCharType="begin"/>
      </w:r>
      <w:r>
        <w:instrText xml:space="preserve"> PAGEREF _Toc102642510 \h </w:instrText>
      </w:r>
      <w:r>
        <w:fldChar w:fldCharType="separate"/>
      </w:r>
      <w:r>
        <w:t>- 19 -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"_Toc102642511" </w:instrText>
      </w:r>
      <w:r>
        <w:fldChar w:fldCharType="separate"/>
      </w:r>
      <w:r>
        <w:rPr>
          <w:rStyle w:val="26"/>
          <w:rFonts w:ascii="宋体" w:hAnsi="宋体" w:cs="宋体"/>
        </w:rPr>
        <w:t>26.</w:t>
      </w:r>
      <w:r>
        <w:rPr>
          <w:rStyle w:val="26"/>
          <w:rFonts w:hint="eastAsia" w:ascii="宋体" w:hAnsi="宋体" w:cs="宋体"/>
        </w:rPr>
        <w:t xml:space="preserve"> 信用查询</w:t>
      </w:r>
      <w:r>
        <w:tab/>
      </w:r>
      <w:r>
        <w:fldChar w:fldCharType="begin"/>
      </w:r>
      <w:r>
        <w:instrText xml:space="preserve"> PAGEREF _Toc102642511 \h </w:instrText>
      </w:r>
      <w:r>
        <w:fldChar w:fldCharType="separate"/>
      </w:r>
      <w:r>
        <w:t>- 19 -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"_Toc102642512" </w:instrText>
      </w:r>
      <w:r>
        <w:fldChar w:fldCharType="separate"/>
      </w:r>
      <w:r>
        <w:rPr>
          <w:rStyle w:val="26"/>
          <w:rFonts w:ascii="宋体" w:hAnsi="宋体" w:cs="宋体"/>
        </w:rPr>
        <w:t xml:space="preserve">27. </w:t>
      </w:r>
      <w:r>
        <w:rPr>
          <w:rStyle w:val="26"/>
          <w:rFonts w:hint="eastAsia" w:ascii="宋体" w:hAnsi="宋体" w:cs="宋体"/>
        </w:rPr>
        <w:t>成交结果公告及成交通知书</w:t>
      </w:r>
      <w:r>
        <w:tab/>
      </w:r>
      <w:r>
        <w:fldChar w:fldCharType="begin"/>
      </w:r>
      <w:r>
        <w:instrText xml:space="preserve"> PAGEREF _Toc102642512 \h </w:instrText>
      </w:r>
      <w:r>
        <w:fldChar w:fldCharType="separate"/>
      </w:r>
      <w:r>
        <w:t>- 19 -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"_Toc102642513" </w:instrText>
      </w:r>
      <w:r>
        <w:fldChar w:fldCharType="separate"/>
      </w:r>
      <w:r>
        <w:rPr>
          <w:rStyle w:val="26"/>
          <w:rFonts w:hint="eastAsia" w:ascii="宋体" w:hAnsi="宋体" w:cs="宋体"/>
          <w:b/>
        </w:rPr>
        <w:t>五、履约保证金及签订合同</w:t>
      </w:r>
      <w:r>
        <w:tab/>
      </w:r>
      <w:r>
        <w:fldChar w:fldCharType="begin"/>
      </w:r>
      <w:r>
        <w:instrText xml:space="preserve"> PAGEREF _Toc102642513 \h </w:instrText>
      </w:r>
      <w:r>
        <w:fldChar w:fldCharType="separate"/>
      </w:r>
      <w:r>
        <w:t>- 20 -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"_Toc102642514" </w:instrText>
      </w:r>
      <w:r>
        <w:fldChar w:fldCharType="separate"/>
      </w:r>
      <w:r>
        <w:rPr>
          <w:rStyle w:val="26"/>
          <w:rFonts w:ascii="宋体" w:hAnsi="宋体" w:cs="宋体"/>
        </w:rPr>
        <w:t xml:space="preserve">28. </w:t>
      </w:r>
      <w:r>
        <w:rPr>
          <w:rStyle w:val="26"/>
          <w:rFonts w:hint="eastAsia" w:ascii="宋体" w:hAnsi="宋体" w:cs="宋体"/>
        </w:rPr>
        <w:t>履约保证金</w:t>
      </w:r>
      <w:r>
        <w:tab/>
      </w:r>
      <w:r>
        <w:fldChar w:fldCharType="begin"/>
      </w:r>
      <w:r>
        <w:instrText xml:space="preserve"> PAGEREF _Toc102642514 \h </w:instrText>
      </w:r>
      <w:r>
        <w:fldChar w:fldCharType="separate"/>
      </w:r>
      <w:r>
        <w:t>- 20 -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"_Toc102642515" </w:instrText>
      </w:r>
      <w:r>
        <w:fldChar w:fldCharType="separate"/>
      </w:r>
      <w:r>
        <w:rPr>
          <w:rStyle w:val="26"/>
          <w:rFonts w:hint="eastAsia" w:ascii="宋体" w:hAnsi="宋体" w:cs="宋体"/>
          <w:bCs/>
        </w:rPr>
        <w:t>本项目无需缴纳履约保证金。</w:t>
      </w:r>
      <w:r>
        <w:tab/>
      </w:r>
      <w:r>
        <w:fldChar w:fldCharType="begin"/>
      </w:r>
      <w:r>
        <w:instrText xml:space="preserve"> PAGEREF _Toc102642515 \h </w:instrText>
      </w:r>
      <w:r>
        <w:fldChar w:fldCharType="separate"/>
      </w:r>
      <w:r>
        <w:t>- 20 -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"_Toc102642516" </w:instrText>
      </w:r>
      <w:r>
        <w:fldChar w:fldCharType="separate"/>
      </w:r>
      <w:r>
        <w:rPr>
          <w:rStyle w:val="26"/>
          <w:rFonts w:ascii="宋体" w:hAnsi="宋体" w:cs="宋体"/>
        </w:rPr>
        <w:t xml:space="preserve">29. </w:t>
      </w:r>
      <w:r>
        <w:rPr>
          <w:rStyle w:val="26"/>
          <w:rFonts w:hint="eastAsia" w:ascii="宋体" w:hAnsi="宋体" w:cs="宋体"/>
        </w:rPr>
        <w:t>签订合同</w:t>
      </w:r>
      <w:r>
        <w:tab/>
      </w:r>
      <w:r>
        <w:fldChar w:fldCharType="begin"/>
      </w:r>
      <w:r>
        <w:instrText xml:space="preserve"> PAGEREF _Toc102642516 \h </w:instrText>
      </w:r>
      <w:r>
        <w:fldChar w:fldCharType="separate"/>
      </w:r>
      <w:r>
        <w:t>- 20 -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"_Toc102642517" </w:instrText>
      </w:r>
      <w:r>
        <w:fldChar w:fldCharType="separate"/>
      </w:r>
      <w:r>
        <w:rPr>
          <w:rStyle w:val="26"/>
          <w:rFonts w:hint="eastAsia" w:ascii="宋体" w:hAnsi="宋体" w:cs="宋体"/>
          <w:b/>
        </w:rPr>
        <w:t>六、其他事项</w:t>
      </w:r>
      <w:r>
        <w:tab/>
      </w:r>
      <w:r>
        <w:fldChar w:fldCharType="begin"/>
      </w:r>
      <w:r>
        <w:instrText xml:space="preserve"> PAGEREF _Toc102642517 \h </w:instrText>
      </w:r>
      <w:r>
        <w:fldChar w:fldCharType="separate"/>
      </w:r>
      <w:r>
        <w:t>- 20 -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"_Toc102642518" </w:instrText>
      </w:r>
      <w:r>
        <w:fldChar w:fldCharType="separate"/>
      </w:r>
      <w:r>
        <w:rPr>
          <w:rStyle w:val="26"/>
          <w:rFonts w:ascii="宋体" w:hAnsi="宋体" w:cs="宋体"/>
        </w:rPr>
        <w:t xml:space="preserve">30. </w:t>
      </w:r>
      <w:r>
        <w:rPr>
          <w:rStyle w:val="26"/>
          <w:rFonts w:hint="eastAsia" w:ascii="宋体" w:hAnsi="宋体" w:cs="宋体"/>
        </w:rPr>
        <w:t>采购代理服务费</w:t>
      </w:r>
      <w:r>
        <w:tab/>
      </w:r>
      <w:r>
        <w:fldChar w:fldCharType="begin"/>
      </w:r>
      <w:r>
        <w:instrText xml:space="preserve"> PAGEREF _Toc102642518 \h </w:instrText>
      </w:r>
      <w:r>
        <w:fldChar w:fldCharType="separate"/>
      </w:r>
      <w:r>
        <w:t>- 20 -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"_Toc102642519" </w:instrText>
      </w:r>
      <w:r>
        <w:fldChar w:fldCharType="separate"/>
      </w:r>
      <w:r>
        <w:rPr>
          <w:rStyle w:val="26"/>
          <w:rFonts w:ascii="宋体" w:hAnsi="宋体" w:cs="宋体"/>
        </w:rPr>
        <w:t xml:space="preserve">33. </w:t>
      </w:r>
      <w:r>
        <w:rPr>
          <w:rStyle w:val="26"/>
          <w:rFonts w:hint="eastAsia" w:ascii="宋体" w:hAnsi="宋体" w:cs="宋体"/>
        </w:rPr>
        <w:t>监督管理机构</w:t>
      </w:r>
      <w:r>
        <w:tab/>
      </w:r>
      <w:r>
        <w:fldChar w:fldCharType="begin"/>
      </w:r>
      <w:r>
        <w:instrText xml:space="preserve"> PAGEREF _Toc102642519 \h </w:instrText>
      </w:r>
      <w:r>
        <w:fldChar w:fldCharType="separate"/>
      </w:r>
      <w:r>
        <w:t>- 21 -</w:t>
      </w:r>
      <w:r>
        <w:fldChar w:fldCharType="end"/>
      </w:r>
      <w:r>
        <w:fldChar w:fldCharType="end"/>
      </w:r>
    </w:p>
    <w:p>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"_Toc102642520" </w:instrText>
      </w:r>
      <w:r>
        <w:fldChar w:fldCharType="separate"/>
      </w:r>
      <w:r>
        <w:rPr>
          <w:rStyle w:val="26"/>
          <w:rFonts w:hint="eastAsia" w:ascii="宋体" w:hAnsi="宋体" w:cs="宋体"/>
        </w:rPr>
        <w:t>第三章</w:t>
      </w:r>
      <w:r>
        <w:rPr>
          <w:rStyle w:val="26"/>
          <w:rFonts w:ascii="宋体" w:hAnsi="宋体" w:cs="宋体"/>
        </w:rPr>
        <w:t xml:space="preserve"> </w:t>
      </w:r>
      <w:r>
        <w:rPr>
          <w:rStyle w:val="26"/>
          <w:rFonts w:hint="eastAsia" w:ascii="宋体" w:hAnsi="宋体" w:cs="宋体"/>
        </w:rPr>
        <w:t>采购需求</w:t>
      </w:r>
      <w:r>
        <w:tab/>
      </w:r>
      <w:r>
        <w:fldChar w:fldCharType="begin"/>
      </w:r>
      <w:r>
        <w:instrText xml:space="preserve"> PAGEREF _Toc102642520 \h </w:instrText>
      </w:r>
      <w:r>
        <w:fldChar w:fldCharType="separate"/>
      </w:r>
      <w:r>
        <w:t>- 22 -</w:t>
      </w:r>
      <w:r>
        <w:fldChar w:fldCharType="end"/>
      </w:r>
      <w:r>
        <w:fldChar w:fldCharType="end"/>
      </w:r>
    </w:p>
    <w:p>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"_Toc102642521" </w:instrText>
      </w:r>
      <w:r>
        <w:fldChar w:fldCharType="separate"/>
      </w:r>
      <w:r>
        <w:rPr>
          <w:rStyle w:val="26"/>
          <w:rFonts w:hint="eastAsia" w:ascii="宋体" w:hAnsi="宋体" w:cs="宋体"/>
        </w:rPr>
        <w:t>第四章</w:t>
      </w:r>
      <w:r>
        <w:rPr>
          <w:rStyle w:val="26"/>
          <w:rFonts w:ascii="宋体" w:hAnsi="宋体" w:cs="宋体"/>
        </w:rPr>
        <w:t xml:space="preserve"> </w:t>
      </w:r>
      <w:r>
        <w:rPr>
          <w:rStyle w:val="26"/>
          <w:rFonts w:hint="eastAsia" w:ascii="宋体" w:hAnsi="宋体" w:cs="宋体"/>
        </w:rPr>
        <w:t>评审办法</w:t>
      </w:r>
      <w:r>
        <w:tab/>
      </w:r>
      <w:r>
        <w:fldChar w:fldCharType="begin"/>
      </w:r>
      <w:r>
        <w:instrText xml:space="preserve"> PAGEREF _Toc102642521 \h </w:instrText>
      </w:r>
      <w:r>
        <w:fldChar w:fldCharType="separate"/>
      </w:r>
      <w:r>
        <w:t>- 43 -</w:t>
      </w:r>
      <w:r>
        <w:fldChar w:fldCharType="end"/>
      </w:r>
      <w:r>
        <w:fldChar w:fldCharType="end"/>
      </w:r>
    </w:p>
    <w:p>
      <w:pPr>
        <w:pStyle w:val="12"/>
        <w:tabs>
          <w:tab w:val="right" w:leader="dot" w:pos="10184"/>
        </w:tabs>
        <w:rPr>
          <w:rFonts w:asciiTheme="minorHAnsi" w:hAnsiTheme="minorHAnsi" w:eastAsiaTheme="minorEastAsia" w:cstheme="minorBidi"/>
          <w:szCs w:val="22"/>
        </w:rPr>
      </w:pPr>
      <w:r>
        <w:fldChar w:fldCharType="begin"/>
      </w:r>
      <w:r>
        <w:instrText xml:space="preserve"> HYPERLINK \l "_Toc102642522" </w:instrText>
      </w:r>
      <w:r>
        <w:fldChar w:fldCharType="separate"/>
      </w:r>
      <w:r>
        <w:rPr>
          <w:rStyle w:val="26"/>
          <w:rFonts w:hint="eastAsia"/>
        </w:rPr>
        <w:t>附表</w:t>
      </w:r>
      <w:r>
        <w:tab/>
      </w:r>
      <w:r>
        <w:fldChar w:fldCharType="begin"/>
      </w:r>
      <w:r>
        <w:instrText xml:space="preserve"> PAGEREF _Toc102642522 \h </w:instrText>
      </w:r>
      <w:r>
        <w:fldChar w:fldCharType="separate"/>
      </w:r>
      <w:r>
        <w:t>- 47 -</w:t>
      </w:r>
      <w:r>
        <w:fldChar w:fldCharType="end"/>
      </w:r>
      <w:r>
        <w:fldChar w:fldCharType="end"/>
      </w:r>
    </w:p>
    <w:p>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"_Toc102642523" </w:instrText>
      </w:r>
      <w:r>
        <w:fldChar w:fldCharType="separate"/>
      </w:r>
      <w:r>
        <w:rPr>
          <w:rStyle w:val="26"/>
          <w:rFonts w:hint="eastAsia" w:ascii="宋体" w:hAnsi="宋体" w:cs="宋体"/>
        </w:rPr>
        <w:t>第五章</w:t>
      </w:r>
      <w:r>
        <w:rPr>
          <w:rStyle w:val="26"/>
          <w:rFonts w:ascii="宋体" w:hAnsi="宋体" w:cs="宋体"/>
        </w:rPr>
        <w:t xml:space="preserve"> </w:t>
      </w:r>
      <w:r>
        <w:rPr>
          <w:rStyle w:val="26"/>
          <w:rFonts w:hint="eastAsia" w:ascii="宋体" w:hAnsi="宋体" w:cs="宋体"/>
        </w:rPr>
        <w:t>采购合同（合同主要条款及格式）</w:t>
      </w:r>
      <w:r>
        <w:tab/>
      </w:r>
      <w:r>
        <w:fldChar w:fldCharType="begin"/>
      </w:r>
      <w:r>
        <w:instrText xml:space="preserve"> PAGEREF _Toc102642523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"_Toc102642524" </w:instrText>
      </w:r>
      <w:r>
        <w:fldChar w:fldCharType="separate"/>
      </w:r>
      <w:r>
        <w:rPr>
          <w:rStyle w:val="26"/>
          <w:rFonts w:hint="eastAsia" w:ascii="宋体" w:hAnsi="宋体" w:cs="宋体"/>
          <w:b/>
        </w:rPr>
        <w:t>第一条</w:t>
      </w:r>
      <w:r>
        <w:rPr>
          <w:rStyle w:val="26"/>
          <w:rFonts w:ascii="宋体" w:hAnsi="宋体" w:cs="宋体"/>
          <w:b/>
        </w:rPr>
        <w:t xml:space="preserve"> </w:t>
      </w:r>
      <w:r>
        <w:rPr>
          <w:rStyle w:val="26"/>
          <w:rFonts w:hint="eastAsia" w:ascii="宋体" w:hAnsi="宋体" w:cs="宋体"/>
          <w:b/>
        </w:rPr>
        <w:t>合同文件</w:t>
      </w:r>
      <w:r>
        <w:tab/>
      </w:r>
      <w:r>
        <w:fldChar w:fldCharType="begin"/>
      </w:r>
      <w:r>
        <w:instrText xml:space="preserve"> PAGEREF _Toc102642524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"_Toc102642525" </w:instrText>
      </w:r>
      <w:r>
        <w:fldChar w:fldCharType="separate"/>
      </w:r>
      <w:r>
        <w:rPr>
          <w:rStyle w:val="26"/>
          <w:rFonts w:hint="eastAsia" w:ascii="宋体" w:hAnsi="宋体" w:cs="宋体"/>
          <w:b/>
        </w:rPr>
        <w:t>第二条　合同金额</w:t>
      </w:r>
      <w:r>
        <w:tab/>
      </w:r>
      <w:r>
        <w:fldChar w:fldCharType="begin"/>
      </w:r>
      <w:r>
        <w:instrText xml:space="preserve"> PAGEREF _Toc102642525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"_Toc102642526" </w:instrText>
      </w:r>
      <w:r>
        <w:fldChar w:fldCharType="separate"/>
      </w:r>
      <w:r>
        <w:rPr>
          <w:rStyle w:val="26"/>
          <w:rFonts w:hint="eastAsia" w:ascii="宋体" w:hAnsi="宋体" w:cs="宋体"/>
          <w:b/>
        </w:rPr>
        <w:t>第三条</w:t>
      </w:r>
      <w:r>
        <w:rPr>
          <w:rStyle w:val="26"/>
          <w:rFonts w:ascii="宋体" w:hAnsi="宋体" w:cs="宋体"/>
          <w:b/>
        </w:rPr>
        <w:t xml:space="preserve">  </w:t>
      </w:r>
      <w:r>
        <w:rPr>
          <w:rStyle w:val="26"/>
          <w:rFonts w:hint="eastAsia" w:ascii="宋体" w:hAnsi="宋体" w:cs="宋体"/>
          <w:b/>
        </w:rPr>
        <w:t>服务保证</w:t>
      </w:r>
      <w:r>
        <w:tab/>
      </w:r>
      <w:r>
        <w:fldChar w:fldCharType="begin"/>
      </w:r>
      <w:r>
        <w:instrText xml:space="preserve"> PAGEREF _Toc102642526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"_Toc102642527" </w:instrText>
      </w:r>
      <w:r>
        <w:fldChar w:fldCharType="separate"/>
      </w:r>
      <w:r>
        <w:rPr>
          <w:rStyle w:val="26"/>
          <w:rFonts w:hint="eastAsia" w:ascii="宋体" w:hAnsi="宋体" w:cs="宋体"/>
          <w:b/>
        </w:rPr>
        <w:t>第四条</w:t>
      </w:r>
      <w:r>
        <w:rPr>
          <w:rStyle w:val="26"/>
          <w:rFonts w:ascii="宋体" w:hAnsi="宋体" w:cs="宋体"/>
          <w:b/>
        </w:rPr>
        <w:t xml:space="preserve">  </w:t>
      </w:r>
      <w:r>
        <w:rPr>
          <w:rStyle w:val="26"/>
          <w:rFonts w:hint="eastAsia" w:ascii="宋体" w:hAnsi="宋体" w:cs="宋体"/>
          <w:b/>
        </w:rPr>
        <w:t>服务期限</w:t>
      </w:r>
      <w:r>
        <w:tab/>
      </w:r>
      <w:r>
        <w:fldChar w:fldCharType="begin"/>
      </w:r>
      <w:r>
        <w:instrText xml:space="preserve"> PAGEREF _Toc102642527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"_Toc102642528" </w:instrText>
      </w:r>
      <w:r>
        <w:fldChar w:fldCharType="separate"/>
      </w:r>
      <w:r>
        <w:rPr>
          <w:rStyle w:val="26"/>
          <w:rFonts w:hint="eastAsia" w:ascii="宋体" w:hAnsi="宋体" w:cs="宋体"/>
          <w:b/>
        </w:rPr>
        <w:t>第五条</w:t>
      </w:r>
      <w:r>
        <w:rPr>
          <w:rStyle w:val="26"/>
          <w:rFonts w:ascii="宋体" w:hAnsi="宋体" w:cs="宋体"/>
          <w:b/>
        </w:rPr>
        <w:t xml:space="preserve">  </w:t>
      </w:r>
      <w:r>
        <w:rPr>
          <w:rStyle w:val="26"/>
          <w:rFonts w:hint="eastAsia" w:ascii="宋体" w:hAnsi="宋体" w:cs="宋体"/>
          <w:b/>
        </w:rPr>
        <w:t>交付</w:t>
      </w:r>
      <w:r>
        <w:tab/>
      </w:r>
      <w:r>
        <w:fldChar w:fldCharType="begin"/>
      </w:r>
      <w:r>
        <w:instrText xml:space="preserve"> PAGEREF _Toc102642528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"_Toc102642529" </w:instrText>
      </w:r>
      <w:r>
        <w:fldChar w:fldCharType="separate"/>
      </w:r>
      <w:r>
        <w:rPr>
          <w:rStyle w:val="26"/>
          <w:rFonts w:hint="eastAsia" w:ascii="宋体" w:hAnsi="宋体" w:cs="宋体"/>
          <w:b/>
        </w:rPr>
        <w:t>第六条</w:t>
      </w:r>
      <w:r>
        <w:rPr>
          <w:rStyle w:val="26"/>
          <w:rFonts w:ascii="宋体" w:hAnsi="宋体" w:cs="宋体"/>
          <w:b/>
        </w:rPr>
        <w:t xml:space="preserve">  </w:t>
      </w:r>
      <w:r>
        <w:rPr>
          <w:rStyle w:val="26"/>
          <w:rFonts w:hint="eastAsia" w:ascii="宋体" w:hAnsi="宋体" w:cs="宋体"/>
          <w:b/>
        </w:rPr>
        <w:t>税费</w:t>
      </w:r>
      <w:r>
        <w:tab/>
      </w:r>
      <w:r>
        <w:fldChar w:fldCharType="begin"/>
      </w:r>
      <w:r>
        <w:instrText xml:space="preserve"> PAGEREF _Toc102642529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"_Toc102642530" </w:instrText>
      </w:r>
      <w:r>
        <w:fldChar w:fldCharType="separate"/>
      </w:r>
      <w:r>
        <w:rPr>
          <w:rStyle w:val="26"/>
          <w:rFonts w:hint="eastAsia" w:ascii="宋体" w:hAnsi="宋体" w:cs="宋体"/>
          <w:b/>
        </w:rPr>
        <w:t>第七条</w:t>
      </w:r>
      <w:r>
        <w:rPr>
          <w:rStyle w:val="26"/>
          <w:rFonts w:ascii="宋体" w:hAnsi="宋体" w:cs="宋体"/>
          <w:b/>
        </w:rPr>
        <w:t xml:space="preserve">  </w:t>
      </w:r>
      <w:r>
        <w:rPr>
          <w:rStyle w:val="26"/>
          <w:rFonts w:hint="eastAsia" w:ascii="宋体" w:hAnsi="宋体" w:cs="宋体"/>
          <w:b/>
        </w:rPr>
        <w:t>付款方式</w:t>
      </w:r>
      <w:r>
        <w:tab/>
      </w:r>
      <w:r>
        <w:fldChar w:fldCharType="begin"/>
      </w:r>
      <w:r>
        <w:instrText xml:space="preserve"> PAGEREF _Toc102642530 \h </w:instrText>
      </w:r>
      <w:r>
        <w:fldChar w:fldCharType="separate"/>
      </w:r>
      <w:r>
        <w:t>- 49 -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"_Toc102642531" </w:instrText>
      </w:r>
      <w:r>
        <w:fldChar w:fldCharType="separate"/>
      </w:r>
      <w:r>
        <w:rPr>
          <w:rStyle w:val="26"/>
          <w:rFonts w:hint="eastAsia" w:ascii="宋体" w:hAnsi="宋体"/>
        </w:rPr>
        <w:t>本项目无需缴纳履约保证金。</w:t>
      </w:r>
      <w:r>
        <w:tab/>
      </w:r>
      <w:r>
        <w:fldChar w:fldCharType="begin"/>
      </w:r>
      <w:r>
        <w:instrText xml:space="preserve"> PAGEREF _Toc102642531 \h </w:instrText>
      </w:r>
      <w:r>
        <w:fldChar w:fldCharType="separate"/>
      </w:r>
      <w:r>
        <w:t>- 50 -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"_Toc102642532" </w:instrText>
      </w:r>
      <w:r>
        <w:fldChar w:fldCharType="separate"/>
      </w:r>
      <w:r>
        <w:rPr>
          <w:rStyle w:val="26"/>
          <w:rFonts w:hint="eastAsia" w:ascii="宋体" w:hAnsi="宋体" w:cs="宋体"/>
          <w:b/>
        </w:rPr>
        <w:t>第九条</w:t>
      </w:r>
      <w:r>
        <w:rPr>
          <w:rStyle w:val="26"/>
          <w:rFonts w:ascii="宋体" w:hAnsi="宋体" w:cs="宋体"/>
          <w:b/>
        </w:rPr>
        <w:t xml:space="preserve">  </w:t>
      </w:r>
      <w:r>
        <w:rPr>
          <w:rStyle w:val="26"/>
          <w:rFonts w:hint="eastAsia" w:ascii="宋体" w:hAnsi="宋体" w:cs="宋体"/>
          <w:b/>
        </w:rPr>
        <w:t>违约责任</w:t>
      </w:r>
      <w:r>
        <w:tab/>
      </w:r>
      <w:r>
        <w:fldChar w:fldCharType="begin"/>
      </w:r>
      <w:r>
        <w:instrText xml:space="preserve"> PAGEREF _Toc102642532 \h </w:instrText>
      </w:r>
      <w:r>
        <w:fldChar w:fldCharType="separate"/>
      </w:r>
      <w:r>
        <w:t>- 50 -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"_Toc102642533" </w:instrText>
      </w:r>
      <w:r>
        <w:fldChar w:fldCharType="separate"/>
      </w:r>
      <w:r>
        <w:rPr>
          <w:rStyle w:val="26"/>
          <w:rFonts w:hint="eastAsia" w:ascii="宋体" w:hAnsi="宋体" w:cs="宋体"/>
          <w:b/>
        </w:rPr>
        <w:t>第十条</w:t>
      </w:r>
      <w:r>
        <w:rPr>
          <w:rStyle w:val="26"/>
          <w:rFonts w:ascii="宋体" w:hAnsi="宋体" w:cs="宋体"/>
          <w:b/>
        </w:rPr>
        <w:t xml:space="preserve">  </w:t>
      </w:r>
      <w:r>
        <w:rPr>
          <w:rStyle w:val="26"/>
          <w:rFonts w:hint="eastAsia" w:ascii="宋体" w:hAnsi="宋体" w:cs="宋体"/>
          <w:b/>
        </w:rPr>
        <w:t>不可抗力事件处理</w:t>
      </w:r>
      <w:r>
        <w:tab/>
      </w:r>
      <w:r>
        <w:fldChar w:fldCharType="begin"/>
      </w:r>
      <w:r>
        <w:instrText xml:space="preserve"> PAGEREF _Toc102642533 \h </w:instrText>
      </w:r>
      <w:r>
        <w:fldChar w:fldCharType="separate"/>
      </w:r>
      <w:r>
        <w:t>- 50 -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"_Toc102642534" </w:instrText>
      </w:r>
      <w:r>
        <w:fldChar w:fldCharType="separate"/>
      </w:r>
      <w:r>
        <w:rPr>
          <w:rStyle w:val="26"/>
          <w:rFonts w:hint="eastAsia" w:ascii="宋体" w:hAnsi="宋体" w:cs="宋体"/>
          <w:b/>
        </w:rPr>
        <w:t>第十一条</w:t>
      </w:r>
      <w:r>
        <w:rPr>
          <w:rStyle w:val="26"/>
          <w:rFonts w:ascii="宋体" w:hAnsi="宋体" w:cs="宋体"/>
          <w:b/>
        </w:rPr>
        <w:t xml:space="preserve">  </w:t>
      </w:r>
      <w:r>
        <w:rPr>
          <w:rStyle w:val="26"/>
          <w:rFonts w:hint="eastAsia" w:ascii="宋体" w:hAnsi="宋体" w:cs="宋体"/>
          <w:b/>
        </w:rPr>
        <w:t>合同争议解决</w:t>
      </w:r>
      <w:r>
        <w:tab/>
      </w:r>
      <w:r>
        <w:fldChar w:fldCharType="begin"/>
      </w:r>
      <w:r>
        <w:instrText xml:space="preserve"> PAGEREF _Toc102642534 \h </w:instrText>
      </w:r>
      <w:r>
        <w:fldChar w:fldCharType="separate"/>
      </w:r>
      <w:r>
        <w:t>- 50 -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"_Toc102642535" </w:instrText>
      </w:r>
      <w:r>
        <w:fldChar w:fldCharType="separate"/>
      </w:r>
      <w:r>
        <w:rPr>
          <w:rStyle w:val="26"/>
          <w:rFonts w:hint="eastAsia" w:ascii="宋体" w:hAnsi="宋体" w:cs="宋体"/>
          <w:b/>
        </w:rPr>
        <w:t>第十二条</w:t>
      </w:r>
      <w:r>
        <w:rPr>
          <w:rStyle w:val="26"/>
          <w:rFonts w:ascii="宋体" w:hAnsi="宋体" w:cs="宋体"/>
          <w:b/>
        </w:rPr>
        <w:t xml:space="preserve">  </w:t>
      </w:r>
      <w:r>
        <w:rPr>
          <w:rStyle w:val="26"/>
          <w:rFonts w:hint="eastAsia" w:ascii="宋体" w:hAnsi="宋体" w:cs="宋体"/>
          <w:b/>
        </w:rPr>
        <w:t>合同生效及其它</w:t>
      </w:r>
      <w:r>
        <w:tab/>
      </w:r>
      <w:r>
        <w:fldChar w:fldCharType="begin"/>
      </w:r>
      <w:r>
        <w:instrText xml:space="preserve"> PAGEREF _Toc102642535 \h </w:instrText>
      </w:r>
      <w:r>
        <w:fldChar w:fldCharType="separate"/>
      </w:r>
      <w:r>
        <w:t>- 50 -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"_Toc102642536" </w:instrText>
      </w:r>
      <w:r>
        <w:fldChar w:fldCharType="separate"/>
      </w:r>
      <w:r>
        <w:rPr>
          <w:rStyle w:val="26"/>
          <w:rFonts w:hint="eastAsia" w:ascii="宋体" w:hAnsi="宋体" w:cs="宋体"/>
          <w:b/>
        </w:rPr>
        <w:t>第十三条</w:t>
      </w:r>
      <w:r>
        <w:rPr>
          <w:rStyle w:val="26"/>
          <w:rFonts w:ascii="宋体" w:hAnsi="宋体" w:cs="宋体"/>
          <w:b/>
        </w:rPr>
        <w:t xml:space="preserve">  </w:t>
      </w:r>
      <w:r>
        <w:rPr>
          <w:rStyle w:val="26"/>
          <w:rFonts w:hint="eastAsia" w:ascii="宋体" w:hAnsi="宋体" w:cs="宋体"/>
          <w:b/>
        </w:rPr>
        <w:t>合同的变更、终止与转让</w:t>
      </w:r>
      <w:r>
        <w:tab/>
      </w:r>
      <w:r>
        <w:fldChar w:fldCharType="begin"/>
      </w:r>
      <w:r>
        <w:instrText xml:space="preserve"> PAGEREF _Toc102642536 \h </w:instrText>
      </w:r>
      <w:r>
        <w:fldChar w:fldCharType="separate"/>
      </w:r>
      <w:r>
        <w:t>- 51 -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"_Toc102642537" </w:instrText>
      </w:r>
      <w:r>
        <w:fldChar w:fldCharType="separate"/>
      </w:r>
      <w:r>
        <w:rPr>
          <w:rStyle w:val="26"/>
          <w:rFonts w:hint="eastAsia" w:ascii="宋体" w:hAnsi="宋体" w:cs="宋体"/>
          <w:b/>
        </w:rPr>
        <w:t>第十四条</w:t>
      </w:r>
      <w:r>
        <w:rPr>
          <w:rStyle w:val="26"/>
          <w:rFonts w:ascii="宋体" w:hAnsi="宋体" w:cs="宋体"/>
          <w:b/>
        </w:rPr>
        <w:t xml:space="preserve">  </w:t>
      </w:r>
      <w:r>
        <w:rPr>
          <w:rStyle w:val="26"/>
          <w:rFonts w:hint="eastAsia" w:ascii="宋体" w:hAnsi="宋体" w:cs="宋体"/>
          <w:b/>
        </w:rPr>
        <w:t>签订本合同依据</w:t>
      </w:r>
      <w:r>
        <w:tab/>
      </w:r>
      <w:r>
        <w:fldChar w:fldCharType="begin"/>
      </w:r>
      <w:r>
        <w:instrText xml:space="preserve"> PAGEREF _Toc102642537 \h </w:instrText>
      </w:r>
      <w:r>
        <w:fldChar w:fldCharType="separate"/>
      </w:r>
      <w:r>
        <w:t>- 51 -</w:t>
      </w:r>
      <w:r>
        <w:fldChar w:fldCharType="end"/>
      </w:r>
      <w:r>
        <w:fldChar w:fldCharType="end"/>
      </w:r>
    </w:p>
    <w:p>
      <w:pPr>
        <w:pStyle w:val="18"/>
        <w:tabs>
          <w:tab w:val="right" w:leader="dot" w:pos="10184"/>
        </w:tabs>
        <w:rPr>
          <w:rFonts w:asciiTheme="minorHAnsi" w:hAnsiTheme="minorHAnsi" w:eastAsiaTheme="minorEastAsia" w:cstheme="minorBidi"/>
          <w:szCs w:val="22"/>
        </w:rPr>
      </w:pPr>
      <w:r>
        <w:fldChar w:fldCharType="begin"/>
      </w:r>
      <w:r>
        <w:instrText xml:space="preserve"> HYPERLINK \l "_Toc102642538" </w:instrText>
      </w:r>
      <w:r>
        <w:fldChar w:fldCharType="separate"/>
      </w:r>
      <w:r>
        <w:rPr>
          <w:rStyle w:val="26"/>
          <w:rFonts w:hint="eastAsia" w:ascii="宋体" w:hAnsi="宋体" w:cs="宋体"/>
          <w:b/>
          <w:kern w:val="44"/>
        </w:rPr>
        <w:t>第六章</w:t>
      </w:r>
      <w:r>
        <w:rPr>
          <w:rStyle w:val="26"/>
          <w:rFonts w:ascii="宋体" w:hAnsi="宋体" w:cs="宋体"/>
          <w:b/>
          <w:kern w:val="44"/>
        </w:rPr>
        <w:t xml:space="preserve">  </w:t>
      </w:r>
      <w:r>
        <w:rPr>
          <w:rStyle w:val="26"/>
          <w:rFonts w:hint="eastAsia" w:ascii="宋体" w:hAnsi="宋体" w:cs="宋体"/>
          <w:b/>
        </w:rPr>
        <w:t>响应文件（格式）</w:t>
      </w:r>
      <w:r>
        <w:tab/>
      </w:r>
      <w:r>
        <w:fldChar w:fldCharType="begin"/>
      </w:r>
      <w:r>
        <w:instrText xml:space="preserve"> PAGEREF _Toc102642538 \h </w:instrText>
      </w:r>
      <w:r>
        <w:fldChar w:fldCharType="separate"/>
      </w:r>
      <w:r>
        <w:t>- 52 -</w:t>
      </w:r>
      <w:r>
        <w:fldChar w:fldCharType="end"/>
      </w:r>
      <w:r>
        <w:fldChar w:fldCharType="end"/>
      </w:r>
    </w:p>
    <w:p>
      <w:pPr>
        <w:jc w:val="center"/>
        <w:rPr>
          <w:rFonts w:ascii="宋体" w:hAnsi="宋体" w:cs="宋体"/>
          <w:b/>
          <w:bCs/>
          <w:sz w:val="32"/>
          <w:szCs w:val="32"/>
        </w:rPr>
      </w:pPr>
      <w:r>
        <w:rPr>
          <w:rFonts w:hint="eastAsia" w:ascii="宋体" w:hAnsi="宋体" w:cs="宋体"/>
          <w:bCs/>
          <w:lang w:val="zh-CN"/>
        </w:rPr>
        <w:fldChar w:fldCharType="end"/>
      </w:r>
    </w:p>
    <w:p>
      <w:pPr>
        <w:rPr>
          <w:rFonts w:ascii="宋体" w:hAnsi="宋体" w:cs="宋体"/>
          <w:b/>
          <w:bCs/>
          <w:sz w:val="32"/>
          <w:szCs w:val="32"/>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pPr>
      <w:bookmarkStart w:id="2" w:name="_Toc30170"/>
      <w:bookmarkStart w:id="3" w:name="_Toc35393797"/>
      <w:bookmarkStart w:id="4" w:name="_Toc102642477"/>
      <w:bookmarkStart w:id="5" w:name="_Toc28359011"/>
      <w:bookmarkStart w:id="6" w:name="_Toc26809"/>
      <w:r>
        <w:rPr>
          <w:rFonts w:hint="eastAsia" w:ascii="宋体" w:hAnsi="宋体" w:cs="宋体"/>
          <w:sz w:val="32"/>
          <w:szCs w:val="32"/>
        </w:rPr>
        <w:t>竞争性磋商公告</w:t>
      </w:r>
      <w:bookmarkEnd w:id="2"/>
      <w:bookmarkEnd w:id="3"/>
      <w:bookmarkEnd w:id="4"/>
      <w:bookmarkEnd w:id="5"/>
      <w:bookmarkEnd w:id="6"/>
    </w:p>
    <w:p>
      <w:pPr>
        <w:spacing w:line="360" w:lineRule="exact"/>
        <w:rPr>
          <w:rFonts w:ascii="宋体" w:hAnsi="宋体" w:cs="宋体"/>
        </w:rPr>
      </w:pPr>
    </w:p>
    <w:p>
      <w:pPr>
        <w:widowControl/>
        <w:pBdr>
          <w:top w:val="single" w:color="auto" w:sz="4" w:space="1"/>
          <w:left w:val="single" w:color="auto" w:sz="4" w:space="4"/>
          <w:bottom w:val="single" w:color="auto" w:sz="4" w:space="1"/>
          <w:right w:val="single" w:color="auto" w:sz="4" w:space="4"/>
        </w:pBdr>
        <w:spacing w:before="50" w:after="1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项目概况                                     </w:t>
      </w:r>
    </w:p>
    <w:p>
      <w:pPr>
        <w:widowControl/>
        <w:pBdr>
          <w:top w:val="single" w:color="auto" w:sz="4" w:space="1"/>
          <w:left w:val="single" w:color="auto" w:sz="4" w:space="4"/>
          <w:bottom w:val="single" w:color="auto" w:sz="4" w:space="1"/>
          <w:right w:val="single" w:color="auto" w:sz="4" w:space="4"/>
        </w:pBdr>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    桂林市临桂区交警队交通监控系统服务项目采购项目的潜在供应商应在政采云平台线上获取获取采购文件，并于2022年  月  日 09:30（北京时间）前提交响应文件。          </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一、项目基本情况</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项目编号：GLZC2022-C3-120054-HBZT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项目名称：桂林市临桂区交警队交通监控系统服务项目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采购方式：竞争性磋商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预算总金额（元）：2422390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采购需求：</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标项名称:</w:t>
      </w:r>
      <w:r>
        <w:rPr>
          <w:rFonts w:hint="eastAsia"/>
        </w:rPr>
        <w:t xml:space="preserve"> </w:t>
      </w:r>
      <w:r>
        <w:rPr>
          <w:rFonts w:cs="宋体" w:asciiTheme="minorEastAsia" w:hAnsiTheme="minorEastAsia" w:eastAsiaTheme="minorEastAsia"/>
          <w:kern w:val="0"/>
          <w:szCs w:val="21"/>
        </w:rPr>
        <w:t>桂林市临桂区交警队交通监控系统服务项目；</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数量:不限</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预算金额（元）:2422390</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简要规格描述或项目基本概况介绍、用途：</w:t>
      </w:r>
      <w:r>
        <w:rPr>
          <w:rFonts w:hint="eastAsia" w:cs="宋体" w:asciiTheme="minorEastAsia" w:hAnsiTheme="minorEastAsia" w:eastAsiaTheme="minorEastAsia"/>
          <w:kern w:val="0"/>
          <w:szCs w:val="21"/>
        </w:rPr>
        <w:t>二期交通监控系统到期续费、部分监控点位调整及新增，平台设备更新及扩容等</w:t>
      </w:r>
      <w:r>
        <w:rPr>
          <w:rFonts w:cs="宋体" w:asciiTheme="minorEastAsia" w:hAnsiTheme="minorEastAsia" w:eastAsiaTheme="minorEastAsia"/>
          <w:kern w:val="0"/>
          <w:szCs w:val="21"/>
        </w:rPr>
        <w:t>；</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最高限价（如有）：2422390</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合同履约期限：</w:t>
      </w:r>
      <w:r>
        <w:rPr>
          <w:rFonts w:hint="eastAsia" w:cs="宋体" w:asciiTheme="minorEastAsia" w:hAnsiTheme="minorEastAsia" w:eastAsiaTheme="minorEastAsia"/>
          <w:kern w:val="0"/>
          <w:szCs w:val="21"/>
        </w:rPr>
        <w:t>三</w:t>
      </w:r>
      <w:r>
        <w:rPr>
          <w:rFonts w:cs="宋体" w:asciiTheme="minorEastAsia" w:hAnsiTheme="minorEastAsia" w:eastAsiaTheme="minorEastAsia"/>
          <w:kern w:val="0"/>
          <w:szCs w:val="21"/>
        </w:rPr>
        <w:t>年</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本标项（否）接受联合体投标</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备注：</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二、申请人的资格要求：</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1.满足《中华人民共和国政府采购法》第二十二条规定；</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2.落实政府采购政策需满足的资格要求：无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3.本项目的特定资格要求：无 </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三、获取采购文件</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时间：/至2022年</w:t>
      </w:r>
      <w:r>
        <w:rPr>
          <w:rFonts w:hint="eastAsia" w:cs="宋体" w:asciiTheme="minorEastAsia" w:hAnsiTheme="minorEastAsia" w:eastAsiaTheme="minorEastAsia"/>
          <w:kern w:val="0"/>
          <w:szCs w:val="21"/>
          <w:lang w:val="en-US" w:eastAsia="zh-CN"/>
        </w:rPr>
        <w:t>8</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9</w:t>
      </w:r>
      <w:r>
        <w:rPr>
          <w:rFonts w:cs="宋体" w:asciiTheme="minorEastAsia" w:hAnsiTheme="minorEastAsia" w:eastAsiaTheme="minorEastAsia"/>
          <w:kern w:val="0"/>
          <w:szCs w:val="21"/>
        </w:rPr>
        <w:t xml:space="preserve"> 日，每天上午00:00至12:00，下午12:00至23:59（北京时间，法定节假日除外）</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地点（网址）：政采云平台线上获取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方式：供应商登录政采云平台https://www.zcygov.cn/在线申请获取采购文件（进入“项目采购”应用，在获取采购文件菜单中选择项目，申请获取采购文件）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售价（元）：0 </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四、响应文件提交</w:t>
      </w:r>
      <w:r>
        <w:rPr>
          <w:rFonts w:hint="eastAsia" w:cs="宋体" w:asciiTheme="minorEastAsia" w:hAnsiTheme="minorEastAsia" w:eastAsiaTheme="minorEastAsia"/>
          <w:kern w:val="0"/>
          <w:szCs w:val="21"/>
        </w:rPr>
        <w:t>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    截止时间：2022年 </w:t>
      </w:r>
      <w:r>
        <w:rPr>
          <w:rFonts w:hint="eastAsia" w:cs="宋体" w:asciiTheme="minorEastAsia" w:hAnsiTheme="minorEastAsia" w:eastAsiaTheme="minorEastAsia"/>
          <w:kern w:val="0"/>
          <w:szCs w:val="21"/>
          <w:lang w:val="en-US" w:eastAsia="zh-CN"/>
        </w:rPr>
        <w:t>8</w:t>
      </w:r>
      <w:r>
        <w:rPr>
          <w:rFonts w:cs="宋体" w:asciiTheme="minorEastAsia" w:hAnsiTheme="minorEastAsia" w:eastAsiaTheme="minorEastAsia"/>
          <w:kern w:val="0"/>
          <w:szCs w:val="21"/>
        </w:rPr>
        <w:t xml:space="preserve"> 月 </w:t>
      </w:r>
      <w:r>
        <w:rPr>
          <w:rFonts w:hint="eastAsia" w:cs="宋体" w:asciiTheme="minorEastAsia" w:hAnsiTheme="minorEastAsia" w:eastAsiaTheme="minorEastAsia"/>
          <w:kern w:val="0"/>
          <w:szCs w:val="21"/>
          <w:lang w:val="en-US" w:eastAsia="zh-CN"/>
        </w:rPr>
        <w:t>9</w:t>
      </w:r>
      <w:r>
        <w:rPr>
          <w:rFonts w:cs="宋体" w:asciiTheme="minorEastAsia" w:hAnsiTheme="minorEastAsia" w:eastAsiaTheme="minorEastAsia"/>
          <w:kern w:val="0"/>
          <w:szCs w:val="21"/>
        </w:rPr>
        <w:t xml:space="preserve"> 日 09:30（北京时间）</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地点（网址）：请登录政采云投标客户端投标 </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五、响应文件开启</w:t>
      </w:r>
      <w:r>
        <w:rPr>
          <w:rFonts w:hint="eastAsia" w:cs="宋体" w:asciiTheme="minorEastAsia" w:hAnsiTheme="minorEastAsia" w:eastAsiaTheme="minorEastAsia"/>
          <w:kern w:val="0"/>
          <w:szCs w:val="21"/>
        </w:rPr>
        <w:t> </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开启时间：2022年</w:t>
      </w:r>
      <w:r>
        <w:rPr>
          <w:rFonts w:hint="eastAsia" w:cs="宋体" w:asciiTheme="minorEastAsia" w:hAnsiTheme="minorEastAsia" w:eastAsiaTheme="minorEastAsia"/>
          <w:kern w:val="0"/>
          <w:szCs w:val="21"/>
          <w:lang w:val="en-US" w:eastAsia="zh-CN"/>
        </w:rPr>
        <w:t>8</w:t>
      </w:r>
      <w:r>
        <w:rPr>
          <w:rFonts w:cs="宋体" w:asciiTheme="minorEastAsia" w:hAnsiTheme="minorEastAsia" w:eastAsiaTheme="minorEastAsia"/>
          <w:kern w:val="0"/>
          <w:szCs w:val="21"/>
        </w:rPr>
        <w:t>月</w:t>
      </w:r>
      <w:r>
        <w:rPr>
          <w:rFonts w:hint="eastAsia" w:cs="宋体" w:asciiTheme="minorEastAsia" w:hAnsiTheme="minorEastAsia" w:eastAsiaTheme="minorEastAsia"/>
          <w:kern w:val="0"/>
          <w:szCs w:val="21"/>
          <w:lang w:val="en-US" w:eastAsia="zh-CN"/>
        </w:rPr>
        <w:t>9</w:t>
      </w:r>
      <w:r>
        <w:rPr>
          <w:rFonts w:cs="宋体" w:asciiTheme="minorEastAsia" w:hAnsiTheme="minorEastAsia" w:eastAsiaTheme="minorEastAsia"/>
          <w:kern w:val="0"/>
          <w:szCs w:val="21"/>
        </w:rPr>
        <w:t xml:space="preserve"> 日 09:30 （北京时间）</w:t>
      </w:r>
    </w:p>
    <w:p>
      <w:pPr>
        <w:widowControl/>
        <w:spacing w:before="50" w:after="50" w:line="20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地点：桂林市公共资源交易中心</w:t>
      </w:r>
      <w:r>
        <w:rPr>
          <w:rFonts w:hint="eastAsia" w:cs="宋体" w:asciiTheme="minorEastAsia" w:hAnsiTheme="minorEastAsia" w:eastAsiaTheme="minorEastAsia"/>
          <w:kern w:val="0"/>
          <w:szCs w:val="21"/>
          <w:lang w:val="en-US" w:eastAsia="zh-CN"/>
        </w:rPr>
        <w:t>14</w:t>
      </w:r>
      <w:r>
        <w:rPr>
          <w:rFonts w:cs="宋体" w:asciiTheme="minorEastAsia" w:hAnsiTheme="minorEastAsia" w:eastAsiaTheme="minorEastAsia"/>
          <w:kern w:val="0"/>
          <w:szCs w:val="21"/>
        </w:rPr>
        <w:t>号开标室通过政采云平台实行在线解密开启 </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六、公告期限</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自本公告发布之日起3个工作日。</w:t>
      </w:r>
    </w:p>
    <w:p>
      <w:pPr>
        <w:widowControl/>
        <w:spacing w:before="170" w:after="170" w:line="30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七、其他补充事宜</w:t>
      </w:r>
      <w:r>
        <w:rPr>
          <w:rFonts w:hint="eastAsia" w:cs="宋体" w:asciiTheme="minorEastAsia" w:hAnsiTheme="minorEastAsia" w:eastAsiaTheme="minorEastAsia"/>
          <w:kern w:val="0"/>
          <w:szCs w:val="21"/>
        </w:rPr>
        <w:t> </w:t>
      </w:r>
    </w:p>
    <w:p>
      <w:pPr>
        <w:widowControl/>
        <w:spacing w:before="50" w:after="50" w:line="360"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1.本项目所属行业：信息传输业 </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2.本项目无需缴纳磋商保证金。</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3.本项目信息发布媒体：</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桂林市公共资源交易中心网（glggzy.org.cn）</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桂林市政府采购网（zfcg.czj.guilin.gov.cn）</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广西壮族自治区政府采购网（www.ccgp-guangxi.gov.cn）</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中国政府采购网（www.ccgp.gov.cn）</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4. 磋商响应文件解密时间：截标时间后30分钟内（2022年  月  日上午9时30分至10时00分)磋商供应商可以登录政采云平台，用“项目采购-开标评标”功能进行解密电子磋商响应文件。 </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注：投标文件网上递交截止时间后，各竞标供应商须在解密时限内对上传政采云的投标文件进行解密，所有竞标供应商在规定的解密时限内解密完成或解密时限结束后，我</w:t>
      </w:r>
      <w:r>
        <w:rPr>
          <w:rFonts w:hint="eastAsia" w:cs="宋体" w:asciiTheme="minorEastAsia" w:hAnsiTheme="minorEastAsia" w:eastAsiaTheme="minorEastAsia"/>
          <w:kern w:val="0"/>
          <w:szCs w:val="21"/>
        </w:rPr>
        <w:t>公司</w:t>
      </w:r>
      <w:r>
        <w:rPr>
          <w:rFonts w:cs="宋体" w:asciiTheme="minorEastAsia" w:hAnsiTheme="minorEastAsia" w:eastAsiaTheme="minorEastAsia"/>
          <w:kern w:val="0"/>
          <w:szCs w:val="21"/>
        </w:rPr>
        <w:t>开启已解密的响应文件。竞标供应商超过解密时限未解密的，系统默认自动放弃，造成投标无效的后果由竞标供应商自行承担。</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八、在线投标响应（电子投标）说明</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1.本项目通过政采云平台实行在线投标响应（电子投标），供应商需要先安装“政采云电子交易客户端”，并按照本磋商文件和政采云平台的要求，通过“政采云电子交易客户端”编制并加密响应文件。供应商未按规定编制并加密的响应文件，政采云平台将予以拒收。</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2.为确保网上操作合法、有效和安全，磋商供应商应当在磋商截止时间前完成在“政府采购云平台”的身份认证，确保在电子投标过程中能够对相关数据电文进行加密和使用电子签章。使用“政采云电子交易客户端”需要提前申领CA数字证书，申领流程请自行前往政采云平台网站进行查阅；（完成CA数字证书办理预计一周左右，建议供应商获取磋商文件后立即办理。）</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3.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4.本项目需要磋商供应商代表在截标当天截标后，按磋商小组要求及时登陆政采云平台等候在线磋商及提交最后报价。</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5.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  </w:t>
      </w:r>
    </w:p>
    <w:p>
      <w:pPr>
        <w:widowControl/>
        <w:spacing w:before="170" w:after="170" w:line="320" w:lineRule="atLeas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八、凡对本次招标提出询问，请按以下方式联系</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1.采购人信息</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名    称：桂林市公安局临桂分局交通管理大队 </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地    址：</w:t>
      </w:r>
      <w:r>
        <w:rPr>
          <w:rFonts w:hint="eastAsia" w:ascii="宋体" w:hAnsi="宋体"/>
        </w:rPr>
        <w:t>桂林市临桂区金水路31号</w:t>
      </w:r>
      <w:r>
        <w:rPr>
          <w:rFonts w:cs="宋体" w:asciiTheme="minorEastAsia" w:hAnsiTheme="minorEastAsia" w:eastAsiaTheme="minorEastAsia"/>
          <w:kern w:val="0"/>
          <w:szCs w:val="21"/>
        </w:rPr>
        <w:t> </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项目联系人：</w:t>
      </w:r>
      <w:r>
        <w:rPr>
          <w:rFonts w:hint="eastAsia" w:ascii="宋体" w:hAnsi="宋体"/>
        </w:rPr>
        <w:t xml:space="preserve">唐明才  </w:t>
      </w:r>
      <w:r>
        <w:rPr>
          <w:rFonts w:ascii="宋体" w:hAnsi="宋体"/>
        </w:rPr>
        <w:t>15977316168</w:t>
      </w:r>
      <w:r>
        <w:rPr>
          <w:rFonts w:cs="宋体" w:asciiTheme="minorEastAsia" w:hAnsiTheme="minorEastAsia" w:eastAsiaTheme="minorEastAsia"/>
          <w:kern w:val="0"/>
          <w:szCs w:val="21"/>
        </w:rPr>
        <w:t> </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cs="宋体" w:asciiTheme="minorEastAsia" w:hAnsiTheme="minorEastAsia" w:eastAsiaTheme="minorEastAsia"/>
          <w:kern w:val="0"/>
          <w:szCs w:val="21"/>
        </w:rPr>
        <w:br w:type="textWrapping"/>
      </w: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2.采购代理机构信息</w:t>
      </w:r>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称：湖北中天宏建设项目管理有限公司</w:t>
      </w:r>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地　  址：桂林市七星区骖鸾路东侧新建区五号小区7层 </w:t>
      </w:r>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w:t>
      </w:r>
      <w:bookmarkStart w:id="7" w:name="_Toc28359010"/>
      <w:bookmarkStart w:id="8" w:name="_Toc28359087"/>
      <w:r>
        <w:rPr>
          <w:rFonts w:hint="eastAsia" w:cs="宋体" w:asciiTheme="minorEastAsia" w:hAnsiTheme="minorEastAsia" w:eastAsiaTheme="minorEastAsia"/>
          <w:kern w:val="0"/>
          <w:szCs w:val="21"/>
        </w:rPr>
        <w:t>刘工，18078360268；0773-7597198</w:t>
      </w:r>
    </w:p>
    <w:p>
      <w:pPr>
        <w:widowControl/>
        <w:spacing w:before="50" w:after="50"/>
        <w:jc w:val="left"/>
        <w:rPr>
          <w:rFonts w:cs="宋体" w:asciiTheme="minorEastAsia" w:hAnsiTheme="minorEastAsia" w:eastAsiaTheme="minorEastAsia"/>
          <w:kern w:val="0"/>
          <w:szCs w:val="21"/>
        </w:rPr>
      </w:pPr>
    </w:p>
    <w:p>
      <w:pPr>
        <w:widowControl/>
        <w:spacing w:before="50" w:after="50"/>
        <w:jc w:val="left"/>
        <w:rPr>
          <w:rFonts w:cs="宋体" w:asciiTheme="minorEastAsia" w:hAnsiTheme="minorEastAsia" w:eastAsiaTheme="minorEastAsia"/>
          <w:kern w:val="0"/>
          <w:szCs w:val="21"/>
        </w:rPr>
      </w:pPr>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3.项目</w:t>
      </w:r>
      <w:r>
        <w:rPr>
          <w:rFonts w:cs="宋体" w:asciiTheme="minorEastAsia" w:hAnsiTheme="minorEastAsia" w:eastAsiaTheme="minorEastAsia"/>
          <w:kern w:val="0"/>
          <w:szCs w:val="21"/>
        </w:rPr>
        <w:t>联系方式</w:t>
      </w:r>
      <w:bookmarkEnd w:id="7"/>
      <w:bookmarkEnd w:id="8"/>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项目联系人：刘工</w:t>
      </w:r>
    </w:p>
    <w:p>
      <w:pPr>
        <w:widowControl/>
        <w:spacing w:before="50" w:after="50"/>
        <w:ind w:firstLine="525" w:firstLineChars="2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　  话：18078360268；0773-7597198</w:t>
      </w:r>
    </w:p>
    <w:p>
      <w:pPr>
        <w:widowControl/>
        <w:spacing w:before="50" w:after="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widowControl/>
        <w:jc w:val="left"/>
        <w:rPr>
          <w:rFonts w:ascii="宋体" w:hAnsi="宋体" w:cs="宋体"/>
          <w:b/>
          <w:bCs/>
          <w:color w:val="000000"/>
          <w:kern w:val="44"/>
          <w:sz w:val="32"/>
          <w:szCs w:val="32"/>
        </w:rPr>
      </w:pPr>
      <w:bookmarkStart w:id="9" w:name="_Toc102642478"/>
      <w:r>
        <w:rPr>
          <w:rFonts w:ascii="宋体" w:hAnsi="宋体" w:cs="宋体"/>
          <w:color w:val="000000"/>
          <w:sz w:val="32"/>
          <w:szCs w:val="32"/>
        </w:rPr>
        <w:br w:type="page"/>
      </w:r>
    </w:p>
    <w:p>
      <w:pPr>
        <w:pStyle w:val="3"/>
        <w:spacing w:line="240" w:lineRule="auto"/>
        <w:jc w:val="center"/>
        <w:rPr>
          <w:rFonts w:ascii="宋体" w:hAnsi="宋体" w:cs="宋体"/>
          <w:color w:val="000000"/>
          <w:sz w:val="32"/>
          <w:szCs w:val="32"/>
        </w:rPr>
      </w:pPr>
      <w:r>
        <w:rPr>
          <w:rFonts w:hint="eastAsia" w:ascii="宋体" w:hAnsi="宋体" w:cs="宋体"/>
          <w:color w:val="000000"/>
          <w:sz w:val="32"/>
          <w:szCs w:val="32"/>
        </w:rPr>
        <w:t>第二章 供应商须知</w:t>
      </w:r>
      <w:bookmarkEnd w:id="0"/>
      <w:bookmarkEnd w:id="1"/>
      <w:bookmarkEnd w:id="9"/>
    </w:p>
    <w:p>
      <w:pPr>
        <w:pStyle w:val="4"/>
        <w:jc w:val="center"/>
        <w:rPr>
          <w:rFonts w:ascii="宋体" w:hAnsi="宋体" w:cs="宋体"/>
          <w:b/>
          <w:bCs w:val="0"/>
          <w:sz w:val="24"/>
          <w:szCs w:val="24"/>
        </w:rPr>
      </w:pPr>
      <w:bookmarkStart w:id="10" w:name="_Toc13547"/>
      <w:bookmarkStart w:id="11" w:name="_Toc25063"/>
      <w:bookmarkStart w:id="12" w:name="_Toc102642479"/>
      <w:bookmarkStart w:id="13" w:name="_Toc9508"/>
      <w:r>
        <w:rPr>
          <w:rFonts w:hint="eastAsia" w:ascii="宋体" w:hAnsi="宋体" w:cs="宋体"/>
          <w:b/>
          <w:bCs w:val="0"/>
          <w:sz w:val="24"/>
          <w:szCs w:val="24"/>
        </w:rPr>
        <w:t>供 应 商 须 知 前 附 表</w:t>
      </w:r>
      <w:bookmarkEnd w:id="10"/>
      <w:bookmarkEnd w:id="11"/>
      <w:bookmarkEnd w:id="12"/>
      <w:bookmarkEnd w:id="13"/>
    </w:p>
    <w:tbl>
      <w:tblPr>
        <w:tblStyle w:val="23"/>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条款名称</w:t>
            </w:r>
          </w:p>
        </w:tc>
        <w:tc>
          <w:tcPr>
            <w:tcW w:w="691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项目名称及项目编号</w:t>
            </w:r>
          </w:p>
        </w:tc>
        <w:tc>
          <w:tcPr>
            <w:tcW w:w="6912" w:type="dxa"/>
          </w:tcPr>
          <w:p>
            <w:pPr>
              <w:spacing w:line="360" w:lineRule="auto"/>
              <w:jc w:val="left"/>
              <w:rPr>
                <w:rFonts w:ascii="宋体" w:hAnsi="宋体" w:cs="宋体"/>
                <w:szCs w:val="21"/>
              </w:rPr>
            </w:pPr>
            <w:r>
              <w:rPr>
                <w:rFonts w:hint="eastAsia" w:ascii="宋体" w:hAnsi="宋体" w:cs="宋体"/>
                <w:szCs w:val="21"/>
              </w:rPr>
              <w:t>项目名称：桂林市临桂区交警队交通监控系统服务项目</w:t>
            </w:r>
          </w:p>
          <w:p>
            <w:pPr>
              <w:spacing w:line="360" w:lineRule="auto"/>
              <w:jc w:val="left"/>
              <w:rPr>
                <w:rFonts w:ascii="宋体" w:hAnsi="宋体" w:cs="宋体"/>
                <w:color w:val="000000"/>
              </w:rPr>
            </w:pPr>
            <w:r>
              <w:rPr>
                <w:rFonts w:hint="eastAsia" w:ascii="宋体" w:hAnsi="宋体" w:cs="宋体"/>
                <w:szCs w:val="21"/>
              </w:rPr>
              <w:t>项目编号：GLZC2022-C3-120054-HBZT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供应商资格</w:t>
            </w:r>
          </w:p>
        </w:tc>
        <w:tc>
          <w:tcPr>
            <w:tcW w:w="6912" w:type="dxa"/>
            <w:vAlign w:val="center"/>
          </w:tcPr>
          <w:p>
            <w:pPr>
              <w:spacing w:line="360" w:lineRule="auto"/>
              <w:rPr>
                <w:rFonts w:ascii="宋体" w:hAnsi="宋体" w:cs="宋体"/>
                <w:color w:val="000000"/>
                <w:szCs w:val="21"/>
              </w:rPr>
            </w:pPr>
            <w:r>
              <w:rPr>
                <w:rFonts w:hint="eastAsia" w:ascii="宋体" w:hAnsi="宋体" w:cs="宋体"/>
                <w:color w:val="000000"/>
                <w:szCs w:val="21"/>
              </w:rPr>
              <w:t>3.1符合《中华人民共和国政府采购法》第二十二条和《政府采购法实施条例》第十八条规定，具备合法资格的供应商；</w:t>
            </w:r>
          </w:p>
          <w:p>
            <w:pPr>
              <w:spacing w:line="360" w:lineRule="auto"/>
              <w:rPr>
                <w:rFonts w:ascii="宋体" w:hAnsi="宋体" w:cs="宋体"/>
                <w:szCs w:val="21"/>
              </w:rPr>
            </w:pPr>
            <w:r>
              <w:rPr>
                <w:rFonts w:hint="eastAsia" w:ascii="宋体" w:hAnsi="宋体" w:cs="宋体"/>
                <w:color w:val="000000"/>
                <w:szCs w:val="21"/>
              </w:rPr>
              <w:t>3.2本项目</w:t>
            </w:r>
            <w:r>
              <w:rPr>
                <w:rFonts w:hint="eastAsia" w:ascii="宋体" w:hAnsi="宋体" w:cs="宋体"/>
                <w:szCs w:val="21"/>
              </w:rPr>
              <w:t>不接受联合体参与磋商；</w:t>
            </w:r>
          </w:p>
          <w:p>
            <w:pPr>
              <w:spacing w:line="360" w:lineRule="auto"/>
              <w:rPr>
                <w:rFonts w:ascii="宋体" w:hAnsi="宋体" w:cs="宋体"/>
                <w:szCs w:val="21"/>
              </w:rPr>
            </w:pPr>
            <w:r>
              <w:rPr>
                <w:rFonts w:hint="eastAsia" w:ascii="宋体" w:hAnsi="宋体" w:cs="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rPr>
                <w:rFonts w:ascii="宋体" w:hAnsi="宋体" w:cs="宋体"/>
                <w:bCs/>
                <w:szCs w:val="21"/>
              </w:rPr>
            </w:pPr>
            <w:r>
              <w:rPr>
                <w:rFonts w:hint="eastAsia" w:ascii="宋体" w:hAnsi="宋体" w:cs="宋体"/>
                <w:szCs w:val="21"/>
              </w:rPr>
              <w:t>3.4落实政府采购政策需满足的资格要求：</w:t>
            </w:r>
            <w:r>
              <w:rPr>
                <w:rFonts w:hint="eastAsia" w:ascii="宋体" w:hAnsi="宋体" w:cs="宋体"/>
                <w:bCs/>
                <w:szCs w:val="21"/>
              </w:rPr>
              <w:t>无。</w:t>
            </w:r>
          </w:p>
          <w:p>
            <w:pPr>
              <w:spacing w:line="360" w:lineRule="exact"/>
              <w:rPr>
                <w:rFonts w:ascii="宋体" w:hAnsi="宋体" w:cs="宋体"/>
                <w:color w:val="000000"/>
              </w:rPr>
            </w:pPr>
            <w:r>
              <w:rPr>
                <w:rFonts w:hint="eastAsia" w:ascii="宋体" w:hAnsi="宋体" w:cs="宋体"/>
                <w:szCs w:val="21"/>
              </w:rPr>
              <w:t>3.5本项目的特定资格要求：</w:t>
            </w: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磋商费用</w:t>
            </w:r>
          </w:p>
        </w:tc>
        <w:tc>
          <w:tcPr>
            <w:tcW w:w="691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912" w:type="dxa"/>
            <w:vAlign w:val="center"/>
          </w:tcPr>
          <w:p>
            <w:pPr>
              <w:spacing w:line="360" w:lineRule="auto"/>
              <w:rPr>
                <w:rFonts w:ascii="宋体" w:hAnsi="宋体" w:cs="宋体"/>
                <w:color w:val="000000"/>
                <w:szCs w:val="21"/>
              </w:rPr>
            </w:pPr>
            <w:r>
              <w:rPr>
                <w:rFonts w:hint="eastAsia" w:ascii="宋体" w:hAnsi="宋体" w:cs="宋体"/>
                <w:color w:val="000000"/>
                <w:szCs w:val="21"/>
              </w:rPr>
              <w:t>13.1 磋商报价应按磋商文件中相关附表格式填写。</w:t>
            </w:r>
            <w:r>
              <w:rPr>
                <w:rFonts w:hint="eastAsia" w:ascii="宋体" w:hAnsi="宋体" w:cs="宋体"/>
                <w:b/>
                <w:bCs/>
                <w:color w:val="000000"/>
                <w:szCs w:val="21"/>
              </w:rPr>
              <w:t>采购预算金额人民币贰佰肆拾贰万贰仟叁佰玖拾元整（¥2422390.00元）。</w:t>
            </w:r>
            <w:r>
              <w:rPr>
                <w:rFonts w:hint="eastAsia" w:ascii="宋体" w:hAnsi="宋体" w:cs="宋体"/>
                <w:color w:val="000000"/>
                <w:szCs w:val="21"/>
              </w:rPr>
              <w:t>供应商报价</w:t>
            </w:r>
            <w:r>
              <w:rPr>
                <w:rFonts w:hint="eastAsia" w:ascii="宋体" w:hAnsi="宋体" w:cs="宋体"/>
                <w:color w:val="000000"/>
                <w:kern w:val="0"/>
                <w:szCs w:val="21"/>
              </w:rPr>
              <w:t>超出采购预算金额的，响应文件按无效处理。</w:t>
            </w:r>
          </w:p>
          <w:p>
            <w:pPr>
              <w:snapToGrid w:val="0"/>
              <w:spacing w:line="360" w:lineRule="auto"/>
              <w:jc w:val="left"/>
              <w:rPr>
                <w:rFonts w:ascii="宋体" w:hAnsi="宋体" w:cs="宋体"/>
                <w:color w:val="000000"/>
                <w:szCs w:val="21"/>
              </w:rPr>
            </w:pPr>
            <w:r>
              <w:rPr>
                <w:rFonts w:hint="eastAsia" w:ascii="宋体" w:hAnsi="宋体" w:cs="宋体"/>
                <w:color w:val="000000"/>
                <w:szCs w:val="21"/>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ascii="宋体" w:hAnsi="宋体" w:cs="宋体"/>
                <w:color w:val="000000"/>
                <w:szCs w:val="21"/>
              </w:rPr>
            </w:pPr>
            <w:r>
              <w:rPr>
                <w:rFonts w:hint="eastAsia" w:ascii="宋体" w:hAnsi="宋体" w:cs="宋体"/>
                <w:szCs w:val="21"/>
              </w:rPr>
              <w:t>13.4</w:t>
            </w:r>
            <w:r>
              <w:rPr>
                <w:rFonts w:hint="eastAsia" w:ascii="宋体" w:hAnsi="宋体" w:cs="宋体"/>
                <w:kern w:val="0"/>
                <w:szCs w:val="21"/>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14.1</w:t>
            </w:r>
          </w:p>
        </w:tc>
        <w:tc>
          <w:tcPr>
            <w:tcW w:w="1775"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响应文件有效期</w:t>
            </w:r>
          </w:p>
        </w:tc>
        <w:tc>
          <w:tcPr>
            <w:tcW w:w="6912" w:type="dxa"/>
          </w:tcPr>
          <w:p>
            <w:pPr>
              <w:tabs>
                <w:tab w:val="left" w:pos="1305"/>
              </w:tabs>
              <w:spacing w:line="360" w:lineRule="auto"/>
              <w:rPr>
                <w:rFonts w:ascii="宋体" w:hAnsi="宋体" w:cs="宋体"/>
                <w:color w:val="000000"/>
                <w:szCs w:val="21"/>
              </w:rPr>
            </w:pPr>
            <w:r>
              <w:rPr>
                <w:rFonts w:hint="eastAsia" w:ascii="宋体" w:hAnsi="宋体" w:cs="宋体"/>
                <w:color w:val="000000"/>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912" w:type="dxa"/>
          </w:tcPr>
          <w:p>
            <w:pPr>
              <w:tabs>
                <w:tab w:val="left" w:pos="1305"/>
              </w:tabs>
              <w:spacing w:line="360" w:lineRule="auto"/>
              <w:rPr>
                <w:rFonts w:ascii="宋体" w:hAnsi="宋体" w:cs="宋体"/>
                <w:color w:val="000000"/>
                <w:szCs w:val="21"/>
              </w:rPr>
            </w:pPr>
            <w:r>
              <w:rPr>
                <w:rFonts w:hint="eastAsia" w:ascii="宋体" w:hAnsi="宋体" w:cs="宋体"/>
                <w:b/>
                <w:bCs/>
                <w:color w:val="000000"/>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pPr>
              <w:pStyle w:val="5"/>
              <w:spacing w:line="360" w:lineRule="auto"/>
              <w:jc w:val="center"/>
              <w:rPr>
                <w:rFonts w:ascii="宋体" w:hAnsi="宋体" w:cs="宋体"/>
                <w:b w:val="0"/>
                <w:bCs/>
                <w:color w:val="000000"/>
                <w:sz w:val="21"/>
                <w:szCs w:val="21"/>
              </w:rPr>
            </w:pPr>
            <w:bookmarkStart w:id="14" w:name="_Toc102642480"/>
            <w:bookmarkStart w:id="15" w:name="_Toc27452"/>
            <w:bookmarkStart w:id="16" w:name="_Toc19911"/>
            <w:r>
              <w:rPr>
                <w:rFonts w:hint="eastAsia" w:ascii="宋体" w:hAnsi="宋体" w:cs="宋体"/>
                <w:b w:val="0"/>
                <w:bCs/>
                <w:color w:val="000000"/>
                <w:sz w:val="21"/>
                <w:szCs w:val="21"/>
              </w:rPr>
              <w:t>竞争性磋商响应文件的制作</w:t>
            </w:r>
            <w:bookmarkEnd w:id="14"/>
            <w:bookmarkEnd w:id="15"/>
            <w:bookmarkEnd w:id="16"/>
          </w:p>
          <w:p>
            <w:pPr>
              <w:spacing w:line="360" w:lineRule="auto"/>
              <w:jc w:val="center"/>
              <w:rPr>
                <w:rFonts w:ascii="宋体" w:hAnsi="宋体" w:cs="宋体"/>
                <w:color w:val="000000"/>
                <w:szCs w:val="21"/>
              </w:rPr>
            </w:pPr>
          </w:p>
        </w:tc>
        <w:tc>
          <w:tcPr>
            <w:tcW w:w="6912" w:type="dxa"/>
            <w:vAlign w:val="center"/>
          </w:tcPr>
          <w:p>
            <w:pPr>
              <w:spacing w:line="360" w:lineRule="auto"/>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360" w:lineRule="auto"/>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360" w:lineRule="auto"/>
              <w:rPr>
                <w:rFonts w:ascii="宋体" w:hAnsi="宋体" w:cs="宋体"/>
                <w:color w:val="000000"/>
                <w:szCs w:val="21"/>
              </w:rPr>
            </w:pPr>
            <w:r>
              <w:rPr>
                <w:rFonts w:hint="eastAsia" w:ascii="宋体" w:hAnsi="宋体" w:cs="宋体"/>
                <w:color w:val="000000"/>
                <w:szCs w:val="21"/>
              </w:rPr>
              <w:t xml:space="preserve">16.4磋商前准备 </w:t>
            </w:r>
          </w:p>
          <w:p>
            <w:pPr>
              <w:spacing w:line="360" w:lineRule="auto"/>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360" w:lineRule="auto"/>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响应文件递交截止时间</w:t>
            </w:r>
          </w:p>
        </w:tc>
        <w:tc>
          <w:tcPr>
            <w:tcW w:w="6912" w:type="dxa"/>
            <w:vAlign w:val="center"/>
          </w:tcPr>
          <w:p>
            <w:pPr>
              <w:spacing w:line="360" w:lineRule="auto"/>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 xml:space="preserve">月 </w:t>
            </w:r>
            <w:r>
              <w:rPr>
                <w:rFonts w:hint="eastAsia" w:ascii="宋体" w:hAnsi="宋体" w:cs="宋体"/>
                <w:szCs w:val="21"/>
                <w:u w:val="single"/>
                <w:lang w:val="en-US" w:eastAsia="zh-CN"/>
              </w:rPr>
              <w:t>9</w:t>
            </w:r>
            <w:r>
              <w:rPr>
                <w:rFonts w:hint="eastAsia" w:ascii="宋体" w:hAnsi="宋体" w:cs="宋体"/>
                <w:szCs w:val="21"/>
                <w:u w:val="single"/>
              </w:rPr>
              <w:t xml:space="preserve"> 日上午9时30分</w:t>
            </w:r>
            <w:r>
              <w:rPr>
                <w:rFonts w:hint="eastAsia" w:ascii="宋体" w:hAnsi="宋体" w:cs="宋体"/>
                <w:szCs w:val="21"/>
              </w:rPr>
              <w:t>之</w:t>
            </w:r>
            <w:r>
              <w:rPr>
                <w:rFonts w:hint="eastAsia" w:ascii="宋体" w:hAnsi="宋体" w:cs="宋体"/>
                <w:color w:val="000000"/>
                <w:szCs w:val="21"/>
              </w:rPr>
              <w:t>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9</w:t>
            </w:r>
          </w:p>
        </w:tc>
        <w:tc>
          <w:tcPr>
            <w:tcW w:w="942"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pPr>
              <w:spacing w:line="360" w:lineRule="auto"/>
              <w:jc w:val="center"/>
              <w:rPr>
                <w:rFonts w:ascii="宋体" w:hAnsi="宋体" w:cs="宋体"/>
                <w:color w:val="000000"/>
                <w:position w:val="-2"/>
                <w:szCs w:val="21"/>
              </w:rPr>
            </w:pPr>
            <w:r>
              <w:rPr>
                <w:rFonts w:hint="eastAsia" w:ascii="宋体" w:hAnsi="宋体" w:cs="宋体"/>
                <w:color w:val="000000"/>
                <w:szCs w:val="21"/>
              </w:rPr>
              <w:t>磋商响应文件解密时间及地点</w:t>
            </w:r>
          </w:p>
        </w:tc>
        <w:tc>
          <w:tcPr>
            <w:tcW w:w="6912" w:type="dxa"/>
            <w:vAlign w:val="center"/>
          </w:tcPr>
          <w:p>
            <w:pPr>
              <w:pStyle w:val="8"/>
              <w:rPr>
                <w:rFonts w:ascii="宋体" w:hAnsi="宋体" w:cs="宋体"/>
                <w:color w:val="000000"/>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w:t>
            </w:r>
            <w:r>
              <w:rPr>
                <w:rFonts w:hint="eastAsia" w:ascii="宋体" w:hAnsi="宋体" w:cs="宋体"/>
              </w:rPr>
              <w:t>内（</w:t>
            </w: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 xml:space="preserve"> 月 </w:t>
            </w:r>
            <w:r>
              <w:rPr>
                <w:rFonts w:hint="eastAsia" w:ascii="宋体" w:hAnsi="宋体" w:cs="宋体"/>
                <w:szCs w:val="21"/>
                <w:u w:val="single"/>
                <w:lang w:val="en-US" w:eastAsia="zh-CN"/>
              </w:rPr>
              <w:t>9</w:t>
            </w:r>
            <w:r>
              <w:rPr>
                <w:rFonts w:hint="eastAsia" w:ascii="宋体" w:hAnsi="宋体" w:cs="宋体"/>
                <w:szCs w:val="21"/>
                <w:u w:val="single"/>
              </w:rPr>
              <w:t xml:space="preserve"> 日上午9时30分</w:t>
            </w:r>
            <w:r>
              <w:rPr>
                <w:rFonts w:hint="eastAsia" w:ascii="宋体" w:hAnsi="宋体" w:cs="宋体"/>
                <w:u w:val="single"/>
              </w:rPr>
              <w:t>至10时00分</w:t>
            </w:r>
            <w:r>
              <w:rPr>
                <w:rFonts w:hint="eastAsia" w:ascii="宋体" w:hAnsi="宋体" w:cs="宋体"/>
              </w:rPr>
              <w:t>)</w:t>
            </w:r>
            <w:r>
              <w:rPr>
                <w:rFonts w:hint="eastAsia" w:ascii="宋体" w:hAnsi="宋体" w:cs="宋体"/>
                <w:color w:val="000000"/>
              </w:rPr>
              <w:t>磋商供应商可以登录政采云平台，用“项目采购-开标评标”功能进行解密</w:t>
            </w:r>
            <w:r>
              <w:rPr>
                <w:rFonts w:hint="eastAsia" w:ascii="宋体" w:hAnsi="宋体" w:cs="宋体"/>
              </w:rPr>
              <w:t>磋商响应文件</w:t>
            </w:r>
            <w:r>
              <w:rPr>
                <w:rFonts w:hint="eastAsia" w:ascii="宋体" w:hAnsi="宋体" w:cs="宋体"/>
                <w:color w:val="000000"/>
              </w:rPr>
              <w:t>。</w:t>
            </w:r>
          </w:p>
          <w:p>
            <w:pPr>
              <w:pStyle w:val="8"/>
              <w:rPr>
                <w:rFonts w:ascii="宋体" w:hAnsi="宋体" w:cs="宋体"/>
                <w:color w:val="000000"/>
                <w:szCs w:val="21"/>
              </w:rPr>
            </w:pPr>
            <w:r>
              <w:rPr>
                <w:rFonts w:hint="eastAsia" w:ascii="宋体" w:hAnsi="宋体" w:cs="宋体"/>
                <w:b/>
                <w:bCs/>
                <w:szCs w:val="21"/>
              </w:rPr>
              <w:t>注：投标文件网上递交截止时间后，各竞标供应商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942" w:type="dxa"/>
            <w:vAlign w:val="center"/>
          </w:tcPr>
          <w:p>
            <w:pPr>
              <w:spacing w:line="360" w:lineRule="auto"/>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磋商小组组成</w:t>
            </w:r>
          </w:p>
        </w:tc>
        <w:tc>
          <w:tcPr>
            <w:tcW w:w="6912" w:type="dxa"/>
            <w:vAlign w:val="center"/>
          </w:tcPr>
          <w:p>
            <w:pPr>
              <w:spacing w:line="360" w:lineRule="auto"/>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11</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磋商时间、地点、人员</w:t>
            </w:r>
          </w:p>
        </w:tc>
        <w:tc>
          <w:tcPr>
            <w:tcW w:w="6912" w:type="dxa"/>
          </w:tcPr>
          <w:p>
            <w:pPr>
              <w:spacing w:line="360" w:lineRule="auto"/>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pPr>
              <w:spacing w:line="360" w:lineRule="auto"/>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19.2.2磋商地点：本项目需要磋商供应商代表在截标当天截标后，按磋商小组要求及时登陆政采云平台等候在线磋商。</w:t>
            </w:r>
          </w:p>
          <w:p>
            <w:pPr>
              <w:spacing w:line="360" w:lineRule="auto"/>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19.2.3磋商参加人员：供应商法定代表人、负责人、自然人或相应的委托代理人持有效身份证原件和供应商政采云平台CA数字证书参加磋商。请供应商按时到达指定地点等候磋商。</w:t>
            </w:r>
          </w:p>
          <w:p>
            <w:pPr>
              <w:tabs>
                <w:tab w:val="left" w:pos="1140"/>
              </w:tabs>
              <w:spacing w:line="360" w:lineRule="auto"/>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kern w:val="0"/>
                <w:szCs w:val="21"/>
              </w:rPr>
              <w:t>12</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pPr>
              <w:pStyle w:val="13"/>
              <w:spacing w:line="360" w:lineRule="auto"/>
              <w:jc w:val="center"/>
              <w:rPr>
                <w:rFonts w:hAnsi="宋体" w:cs="宋体"/>
                <w:color w:val="000000"/>
                <w:kern w:val="0"/>
                <w:szCs w:val="21"/>
              </w:rPr>
            </w:pPr>
            <w:r>
              <w:rPr>
                <w:rFonts w:hint="eastAsia" w:hAnsi="宋体" w:cs="宋体"/>
                <w:color w:val="000000"/>
                <w:kern w:val="0"/>
                <w:szCs w:val="21"/>
              </w:rPr>
              <w:t>评审办法</w:t>
            </w:r>
          </w:p>
        </w:tc>
        <w:tc>
          <w:tcPr>
            <w:tcW w:w="6912" w:type="dxa"/>
            <w:vAlign w:val="center"/>
          </w:tcPr>
          <w:p>
            <w:pPr>
              <w:tabs>
                <w:tab w:val="left" w:pos="1140"/>
              </w:tabs>
              <w:spacing w:line="360" w:lineRule="auto"/>
              <w:rPr>
                <w:rFonts w:ascii="宋体" w:hAnsi="宋体" w:cs="宋体"/>
                <w:color w:val="000000"/>
                <w:szCs w:val="21"/>
              </w:rPr>
            </w:pPr>
            <w:r>
              <w:rPr>
                <w:rFonts w:hint="eastAsia" w:ascii="宋体" w:hAnsi="宋体" w:cs="宋体"/>
                <w:color w:val="00000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13</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信用查询</w:t>
            </w:r>
          </w:p>
        </w:tc>
        <w:tc>
          <w:tcPr>
            <w:tcW w:w="6912" w:type="dxa"/>
            <w:vAlign w:val="center"/>
          </w:tcPr>
          <w:p>
            <w:pPr>
              <w:spacing w:line="360" w:lineRule="auto"/>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w:t>
            </w:r>
            <w:r>
              <w:rPr>
                <w:rFonts w:hint="eastAsia"/>
              </w:rPr>
              <w:t>号</w:t>
            </w:r>
            <w:r>
              <w:rPr>
                <w:rFonts w:hint="eastAsia" w:ascii="宋体" w:hAnsi="宋体" w:cs="宋体"/>
                <w:color w:val="000000"/>
                <w:szCs w:val="21"/>
              </w:rPr>
              <w:t>），由采购代理机构对第一成交候选人进行信用查询：</w:t>
            </w:r>
          </w:p>
          <w:p>
            <w:pPr>
              <w:spacing w:line="360" w:lineRule="auto"/>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spacing w:line="360" w:lineRule="auto"/>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pPr>
              <w:spacing w:line="360" w:lineRule="auto"/>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360" w:lineRule="auto"/>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ascii="宋体" w:hAnsi="宋体" w:cs="宋体"/>
                <w:color w:val="000000"/>
                <w:szCs w:val="21"/>
              </w:rPr>
            </w:pPr>
            <w:r>
              <w:rPr>
                <w:rFonts w:hint="eastAsia" w:ascii="宋体" w:hAnsi="宋体" w:cs="宋体"/>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14</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成交结果公告</w:t>
            </w:r>
          </w:p>
          <w:p>
            <w:pPr>
              <w:spacing w:line="360" w:lineRule="auto"/>
              <w:jc w:val="center"/>
              <w:rPr>
                <w:rFonts w:ascii="宋体" w:hAnsi="宋体" w:cs="宋体"/>
                <w:color w:val="000000"/>
                <w:szCs w:val="21"/>
              </w:rPr>
            </w:pPr>
            <w:r>
              <w:rPr>
                <w:rFonts w:hint="eastAsia" w:ascii="宋体" w:hAnsi="宋体" w:cs="宋体"/>
                <w:color w:val="000000"/>
                <w:szCs w:val="21"/>
              </w:rPr>
              <w:t>及成交通知书</w:t>
            </w:r>
          </w:p>
        </w:tc>
        <w:tc>
          <w:tcPr>
            <w:tcW w:w="6912" w:type="dxa"/>
          </w:tcPr>
          <w:p>
            <w:pPr>
              <w:spacing w:line="360" w:lineRule="auto"/>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15</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履约保证金</w:t>
            </w:r>
          </w:p>
        </w:tc>
        <w:tc>
          <w:tcPr>
            <w:tcW w:w="6912" w:type="dxa"/>
            <w:vAlign w:val="center"/>
          </w:tcPr>
          <w:p>
            <w:pPr>
              <w:widowControl/>
              <w:jc w:val="left"/>
              <w:rPr>
                <w:rFonts w:ascii="宋体" w:hAnsi="宋体" w:cs="宋体"/>
                <w:color w:val="000000"/>
                <w:szCs w:val="21"/>
              </w:rPr>
            </w:pPr>
            <w:r>
              <w:rPr>
                <w:rFonts w:hint="eastAsia" w:ascii="宋体" w:hAnsi="宋体" w:cs="宋体"/>
                <w:bCs/>
                <w:kern w:val="0"/>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16</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pPr>
              <w:spacing w:line="360" w:lineRule="auto"/>
              <w:jc w:val="center"/>
              <w:rPr>
                <w:rFonts w:ascii="宋体" w:hAnsi="宋体" w:cs="宋体"/>
                <w:szCs w:val="21"/>
              </w:rPr>
            </w:pPr>
            <w:r>
              <w:rPr>
                <w:rFonts w:hint="eastAsia" w:ascii="宋体" w:hAnsi="宋体" w:cs="宋体"/>
                <w:szCs w:val="21"/>
              </w:rPr>
              <w:t>签订合同时间</w:t>
            </w:r>
          </w:p>
        </w:tc>
        <w:tc>
          <w:tcPr>
            <w:tcW w:w="6912" w:type="dxa"/>
          </w:tcPr>
          <w:p>
            <w:pPr>
              <w:spacing w:line="360" w:lineRule="auto"/>
              <w:rPr>
                <w:rFonts w:ascii="宋体" w:hAnsi="宋体" w:cs="宋体"/>
                <w:szCs w:val="21"/>
              </w:rPr>
            </w:pPr>
            <w:r>
              <w:rPr>
                <w:rFonts w:hint="eastAsia" w:ascii="宋体" w:hAnsi="宋体" w:cs="宋体"/>
                <w:bCs/>
                <w:kern w:val="0"/>
                <w:szCs w:val="21"/>
              </w:rPr>
              <w:t>成交通知书发出之日起二十日内签订合同</w:t>
            </w:r>
            <w:r>
              <w:rPr>
                <w:rFonts w:hint="eastAsia" w:ascii="宋体" w:hAnsi="宋体" w:cs="宋体"/>
              </w:rPr>
              <w:t>。</w:t>
            </w:r>
            <w:r>
              <w:rPr>
                <w:rFonts w:hint="eastAsia" w:ascii="宋体" w:hAnsi="宋体" w:cs="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17</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合同备案存档</w:t>
            </w:r>
          </w:p>
        </w:tc>
        <w:tc>
          <w:tcPr>
            <w:tcW w:w="6912" w:type="dxa"/>
            <w:vAlign w:val="center"/>
          </w:tcPr>
          <w:p>
            <w:pPr>
              <w:spacing w:line="360" w:lineRule="auto"/>
              <w:rPr>
                <w:rFonts w:ascii="宋体" w:hAnsi="宋体" w:cs="宋体"/>
                <w:color w:val="000000"/>
                <w:szCs w:val="21"/>
              </w:rPr>
            </w:pP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桂林市临桂区政府采购监督管理股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18</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采购代理服务费</w:t>
            </w:r>
          </w:p>
        </w:tc>
        <w:tc>
          <w:tcPr>
            <w:tcW w:w="6912" w:type="dxa"/>
          </w:tcPr>
          <w:p>
            <w:pPr>
              <w:spacing w:line="360" w:lineRule="auto"/>
              <w:rPr>
                <w:rFonts w:ascii="宋体" w:hAnsi="宋体" w:cs="宋体"/>
                <w:color w:val="000000"/>
                <w:szCs w:val="21"/>
              </w:rPr>
            </w:pPr>
            <w:r>
              <w:rPr>
                <w:rFonts w:hint="eastAsia" w:ascii="宋体" w:hAnsi="宋体"/>
                <w:szCs w:val="21"/>
              </w:rPr>
              <w:t>本项目的采购代理服务收费标准按计价格[2002]1980号《招标代理服务收费管理暂行办法》服务类收费标准和发改办价格[2003]857号文的规定向成交磋商供应商收取。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19</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解释权</w:t>
            </w:r>
          </w:p>
        </w:tc>
        <w:tc>
          <w:tcPr>
            <w:tcW w:w="6912" w:type="dxa"/>
          </w:tcPr>
          <w:p>
            <w:pPr>
              <w:spacing w:line="360" w:lineRule="auto"/>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w:t>
            </w:r>
          </w:p>
        </w:tc>
        <w:tc>
          <w:tcPr>
            <w:tcW w:w="9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监督管理机构</w:t>
            </w:r>
          </w:p>
        </w:tc>
        <w:tc>
          <w:tcPr>
            <w:tcW w:w="6912" w:type="dxa"/>
            <w:vAlign w:val="center"/>
          </w:tcPr>
          <w:p>
            <w:pPr>
              <w:spacing w:line="360" w:lineRule="auto"/>
              <w:rPr>
                <w:rFonts w:ascii="宋体" w:hAnsi="宋体" w:cs="宋体"/>
                <w:color w:val="000000"/>
                <w:szCs w:val="21"/>
              </w:rPr>
            </w:pPr>
            <w:r>
              <w:rPr>
                <w:rFonts w:hint="eastAsia" w:ascii="宋体" w:hAnsi="宋体"/>
                <w:szCs w:val="21"/>
              </w:rPr>
              <w:t>桂林市临桂区政府采购监督管理股      电话：0773-5593932</w:t>
            </w:r>
          </w:p>
        </w:tc>
      </w:tr>
    </w:tbl>
    <w:p>
      <w:pPr>
        <w:pStyle w:val="22"/>
        <w:ind w:left="0" w:leftChars="0" w:firstLine="0" w:firstLineChars="0"/>
        <w:rPr>
          <w:rFonts w:ascii="宋体" w:hAnsi="宋体" w:cs="宋体"/>
          <w:b/>
          <w:color w:val="000000"/>
          <w:sz w:val="28"/>
          <w:szCs w:val="28"/>
        </w:rPr>
      </w:pPr>
    </w:p>
    <w:p>
      <w:pPr>
        <w:pStyle w:val="4"/>
        <w:ind w:left="0" w:firstLine="0"/>
        <w:rPr>
          <w:rFonts w:ascii="宋体" w:hAnsi="宋体" w:cs="宋体"/>
          <w:b/>
          <w:bCs w:val="0"/>
          <w:szCs w:val="28"/>
        </w:rPr>
      </w:pPr>
    </w:p>
    <w:p>
      <w:pPr>
        <w:pStyle w:val="4"/>
        <w:ind w:left="0" w:firstLine="0"/>
        <w:rPr>
          <w:rFonts w:ascii="宋体" w:hAnsi="宋体" w:cs="宋体"/>
          <w:b/>
          <w:bCs w:val="0"/>
          <w:szCs w:val="28"/>
        </w:rPr>
      </w:pPr>
      <w:bookmarkStart w:id="17" w:name="_Toc22792"/>
    </w:p>
    <w:p/>
    <w:p>
      <w:pPr>
        <w:pStyle w:val="4"/>
        <w:jc w:val="center"/>
        <w:rPr>
          <w:rFonts w:ascii="宋体" w:hAnsi="宋体" w:cs="宋体"/>
          <w:b/>
          <w:bCs w:val="0"/>
          <w:szCs w:val="28"/>
        </w:rPr>
      </w:pPr>
      <w:bookmarkStart w:id="18" w:name="_Toc102642481"/>
      <w:r>
        <w:rPr>
          <w:rFonts w:hint="eastAsia" w:ascii="宋体" w:hAnsi="宋体" w:cs="宋体"/>
          <w:b/>
          <w:bCs w:val="0"/>
          <w:szCs w:val="28"/>
        </w:rPr>
        <w:t>一、总则</w:t>
      </w:r>
      <w:bookmarkEnd w:id="17"/>
      <w:bookmarkEnd w:id="18"/>
    </w:p>
    <w:p>
      <w:pPr>
        <w:pStyle w:val="5"/>
        <w:spacing w:line="360" w:lineRule="auto"/>
        <w:ind w:firstLine="420" w:firstLineChars="200"/>
        <w:rPr>
          <w:rFonts w:ascii="宋体" w:hAnsi="宋体" w:cs="宋体"/>
          <w:color w:val="000000"/>
          <w:sz w:val="21"/>
          <w:szCs w:val="21"/>
        </w:rPr>
      </w:pPr>
      <w:bookmarkStart w:id="19" w:name="_Toc6626"/>
      <w:bookmarkStart w:id="20" w:name="_Toc102642482"/>
      <w:r>
        <w:rPr>
          <w:rFonts w:hint="eastAsia" w:ascii="宋体" w:hAnsi="宋体" w:cs="宋体"/>
          <w:color w:val="000000"/>
          <w:sz w:val="21"/>
          <w:szCs w:val="21"/>
        </w:rPr>
        <w:t>1. 适应范围</w:t>
      </w:r>
      <w:bookmarkEnd w:id="19"/>
      <w:bookmarkEnd w:id="20"/>
    </w:p>
    <w:p>
      <w:pPr>
        <w:spacing w:line="360" w:lineRule="exact"/>
        <w:ind w:firstLine="435"/>
        <w:rPr>
          <w:rFonts w:ascii="宋体" w:hAnsi="宋体" w:cs="宋体"/>
          <w:color w:val="000000"/>
          <w:szCs w:val="21"/>
        </w:rPr>
      </w:pPr>
      <w:r>
        <w:rPr>
          <w:rFonts w:hint="eastAsia" w:ascii="宋体" w:hAnsi="宋体" w:cs="宋体"/>
          <w:color w:val="000000"/>
          <w:szCs w:val="21"/>
        </w:rPr>
        <w:t>1.1  项目名称及项目编号：</w:t>
      </w:r>
    </w:p>
    <w:p>
      <w:pPr>
        <w:spacing w:line="360" w:lineRule="auto"/>
        <w:ind w:firstLine="420" w:firstLineChars="200"/>
        <w:rPr>
          <w:rFonts w:ascii="宋体" w:hAnsi="宋体" w:cs="宋体"/>
          <w:szCs w:val="21"/>
        </w:rPr>
      </w:pPr>
      <w:r>
        <w:rPr>
          <w:rFonts w:hint="eastAsia" w:ascii="宋体" w:hAnsi="宋体" w:cs="宋体"/>
          <w:szCs w:val="21"/>
        </w:rPr>
        <w:t>项目名称：桂林市临桂区交警队交通监控系统服务项目</w:t>
      </w:r>
    </w:p>
    <w:p>
      <w:pPr>
        <w:spacing w:line="360" w:lineRule="auto"/>
        <w:ind w:firstLine="420" w:firstLineChars="200"/>
        <w:rPr>
          <w:rFonts w:ascii="宋体" w:hAnsi="宋体" w:cs="宋体"/>
          <w:szCs w:val="21"/>
        </w:rPr>
      </w:pPr>
      <w:r>
        <w:rPr>
          <w:rFonts w:hint="eastAsia" w:ascii="宋体" w:hAnsi="宋体" w:cs="宋体"/>
          <w:szCs w:val="21"/>
        </w:rPr>
        <w:t>项目编号：GLZC2022-C3-120054-HBZT</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pPr>
        <w:pStyle w:val="5"/>
        <w:spacing w:line="360" w:lineRule="auto"/>
        <w:ind w:firstLine="420" w:firstLineChars="200"/>
        <w:rPr>
          <w:rFonts w:ascii="宋体" w:hAnsi="宋体" w:cs="宋体"/>
          <w:color w:val="000000"/>
          <w:sz w:val="21"/>
          <w:szCs w:val="21"/>
        </w:rPr>
      </w:pPr>
      <w:bookmarkStart w:id="21" w:name="_Toc28336"/>
      <w:bookmarkStart w:id="22" w:name="_Toc102642483"/>
      <w:r>
        <w:rPr>
          <w:rFonts w:hint="eastAsia" w:ascii="宋体" w:hAnsi="宋体" w:cs="宋体"/>
          <w:color w:val="000000"/>
          <w:sz w:val="21"/>
          <w:szCs w:val="21"/>
        </w:rPr>
        <w:t>2. 定义</w:t>
      </w:r>
      <w:bookmarkEnd w:id="21"/>
      <w:bookmarkEnd w:id="22"/>
    </w:p>
    <w:p>
      <w:pPr>
        <w:spacing w:line="360" w:lineRule="exact"/>
        <w:ind w:firstLine="435"/>
        <w:rPr>
          <w:rFonts w:ascii="宋体" w:hAnsi="宋体" w:cs="宋体"/>
          <w:color w:val="000000"/>
          <w:szCs w:val="21"/>
        </w:rPr>
      </w:pPr>
      <w:r>
        <w:rPr>
          <w:rFonts w:hint="eastAsia" w:ascii="宋体" w:hAnsi="宋体" w:cs="宋体"/>
          <w:color w:val="000000"/>
          <w:szCs w:val="21"/>
        </w:rPr>
        <w:t>2.1“供应商”是指符合本次采购项目的供应商资格并提交响应文件、参加磋商的供应商。如果该供应商在本次磋商中成交，即成为“成交供应商”。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color w:val="000000"/>
          <w:szCs w:val="21"/>
        </w:rPr>
      </w:pPr>
      <w:r>
        <w:rPr>
          <w:rFonts w:hint="eastAsia" w:ascii="宋体" w:hAnsi="宋体" w:cs="宋体"/>
          <w:color w:val="000000"/>
          <w:szCs w:val="21"/>
        </w:rPr>
        <w:t>2.2“货物”系指按磋商文件规定，供应商须向采购人提供的一切设备、保险、税金、备品备件、工具、手册及其它有关技术资料和材料。</w:t>
      </w:r>
    </w:p>
    <w:p>
      <w:pPr>
        <w:spacing w:line="360" w:lineRule="exact"/>
        <w:ind w:firstLine="435"/>
        <w:rPr>
          <w:rFonts w:ascii="宋体" w:hAnsi="宋体" w:cs="宋体"/>
          <w:color w:val="000000"/>
          <w:szCs w:val="21"/>
        </w:rPr>
      </w:pPr>
      <w:r>
        <w:rPr>
          <w:rFonts w:hint="eastAsia" w:ascii="宋体" w:hAnsi="宋体" w:cs="宋体"/>
          <w:color w:val="000000"/>
          <w:szCs w:val="21"/>
        </w:rPr>
        <w:t>2.3“服务”系指按磋商文件规定，供应商须承担的安装、调试、技术协助、校准、培训、技术指导以及其他类似的义务。</w:t>
      </w:r>
    </w:p>
    <w:p>
      <w:pPr>
        <w:spacing w:line="360" w:lineRule="exact"/>
        <w:ind w:firstLine="435"/>
        <w:rPr>
          <w:rFonts w:ascii="宋体" w:hAnsi="宋体" w:cs="宋体"/>
          <w:color w:val="000000"/>
          <w:szCs w:val="21"/>
        </w:rPr>
      </w:pPr>
      <w:r>
        <w:rPr>
          <w:rFonts w:hint="eastAsia" w:ascii="宋体" w:hAnsi="宋体" w:cs="宋体"/>
          <w:color w:val="000000"/>
          <w:szCs w:val="21"/>
        </w:rPr>
        <w:t>2.4“项目”系指供应商按磋商文件规定向采购人提供的货物和服务。</w:t>
      </w:r>
    </w:p>
    <w:p>
      <w:pPr>
        <w:spacing w:line="360" w:lineRule="exact"/>
        <w:ind w:firstLine="435"/>
        <w:rPr>
          <w:rFonts w:ascii="宋体" w:hAnsi="宋体" w:cs="宋体"/>
          <w:color w:val="000000"/>
          <w:szCs w:val="21"/>
        </w:rPr>
      </w:pPr>
      <w:r>
        <w:rPr>
          <w:rFonts w:hint="eastAsia" w:ascii="宋体" w:hAnsi="宋体" w:cs="宋体"/>
          <w:color w:val="000000"/>
          <w:szCs w:val="21"/>
        </w:rPr>
        <w:t>2.5“书面形式”包括信函、传真、电报等。</w:t>
      </w:r>
    </w:p>
    <w:p>
      <w:pPr>
        <w:spacing w:line="360" w:lineRule="exact"/>
        <w:ind w:firstLine="435"/>
        <w:rPr>
          <w:rFonts w:ascii="宋体" w:hAnsi="宋体" w:cs="宋体"/>
          <w:b/>
          <w:sz w:val="24"/>
        </w:rPr>
      </w:pPr>
      <w:r>
        <w:rPr>
          <w:rFonts w:hint="eastAsia" w:ascii="宋体" w:hAnsi="宋体" w:cs="宋体"/>
          <w:b/>
          <w:sz w:val="24"/>
          <w:u w:val="single"/>
        </w:rPr>
        <w:t>2.6实质性要求：</w:t>
      </w:r>
      <w:r>
        <w:rPr>
          <w:rFonts w:hint="eastAsia" w:ascii="宋体" w:hAnsi="宋体" w:cs="宋体"/>
          <w:b/>
          <w:szCs w:val="21"/>
          <w:u w:val="single"/>
        </w:rPr>
        <w:t>“采购需求”中所有的内容均为实质性要求，不允许负偏离，否则投标无效。</w:t>
      </w:r>
    </w:p>
    <w:p>
      <w:pPr>
        <w:pStyle w:val="5"/>
        <w:spacing w:line="360" w:lineRule="auto"/>
        <w:ind w:firstLine="420" w:firstLineChars="200"/>
        <w:rPr>
          <w:rFonts w:ascii="宋体" w:hAnsi="宋体" w:cs="宋体"/>
          <w:color w:val="000000"/>
          <w:sz w:val="21"/>
          <w:szCs w:val="21"/>
        </w:rPr>
      </w:pPr>
      <w:bookmarkStart w:id="23" w:name="_Toc102642484"/>
      <w:bookmarkStart w:id="24" w:name="_Toc25441"/>
      <w:r>
        <w:rPr>
          <w:rFonts w:hint="eastAsia" w:ascii="宋体" w:hAnsi="宋体" w:cs="宋体"/>
          <w:color w:val="000000"/>
          <w:sz w:val="21"/>
          <w:szCs w:val="21"/>
        </w:rPr>
        <w:t>3. 供应商资格</w:t>
      </w:r>
      <w:bookmarkEnd w:id="23"/>
      <w:bookmarkEnd w:id="24"/>
    </w:p>
    <w:p>
      <w:pPr>
        <w:spacing w:line="360" w:lineRule="exact"/>
        <w:ind w:firstLine="435"/>
        <w:rPr>
          <w:rFonts w:ascii="宋体" w:hAnsi="宋体" w:cs="宋体"/>
          <w:bCs/>
          <w:color w:val="000000"/>
          <w:szCs w:val="21"/>
        </w:rPr>
      </w:pPr>
      <w:r>
        <w:rPr>
          <w:rFonts w:hint="eastAsia" w:ascii="宋体" w:hAnsi="宋体" w:cs="宋体"/>
          <w:bCs/>
          <w:color w:val="000000"/>
          <w:szCs w:val="21"/>
        </w:rPr>
        <w:t>3.1符合《中华人民共和国政府采购法》第二十二条和《政府采购法实施条例》第十八条规定，具备合法资格的供应商；</w:t>
      </w:r>
    </w:p>
    <w:p>
      <w:pPr>
        <w:spacing w:line="360" w:lineRule="exact"/>
        <w:ind w:firstLine="435"/>
        <w:rPr>
          <w:rFonts w:ascii="宋体" w:hAnsi="宋体" w:cs="宋体"/>
          <w:bCs/>
          <w:szCs w:val="21"/>
        </w:rPr>
      </w:pPr>
      <w:r>
        <w:rPr>
          <w:rFonts w:hint="eastAsia" w:ascii="宋体" w:hAnsi="宋体" w:cs="宋体"/>
          <w:bCs/>
          <w:color w:val="000000"/>
          <w:szCs w:val="21"/>
        </w:rPr>
        <w:t>3.2本项</w:t>
      </w:r>
      <w:r>
        <w:rPr>
          <w:rFonts w:hint="eastAsia" w:ascii="宋体" w:hAnsi="宋体" w:cs="宋体"/>
          <w:bCs/>
          <w:szCs w:val="21"/>
        </w:rPr>
        <w:t>目不接受联合体参与磋商；</w:t>
      </w:r>
    </w:p>
    <w:p>
      <w:pPr>
        <w:spacing w:line="360" w:lineRule="exact"/>
        <w:ind w:firstLine="435"/>
        <w:rPr>
          <w:rFonts w:ascii="宋体" w:hAnsi="宋体" w:cs="宋体"/>
          <w:bCs/>
          <w:szCs w:val="21"/>
        </w:rPr>
      </w:pPr>
      <w:r>
        <w:rPr>
          <w:rFonts w:hint="eastAsia" w:ascii="宋体" w:hAnsi="宋体" w:cs="宋体"/>
          <w:bCs/>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b/>
          <w:bCs/>
          <w:szCs w:val="21"/>
        </w:rPr>
      </w:pPr>
      <w:bookmarkStart w:id="25" w:name="_Toc16496"/>
      <w:r>
        <w:rPr>
          <w:rFonts w:hint="eastAsia" w:ascii="宋体" w:hAnsi="宋体" w:cs="宋体"/>
          <w:szCs w:val="21"/>
        </w:rPr>
        <w:t>3.4落实政府采购政策需满足的资格要求：无。</w:t>
      </w:r>
    </w:p>
    <w:p>
      <w:pPr>
        <w:pStyle w:val="5"/>
        <w:spacing w:line="360" w:lineRule="auto"/>
        <w:ind w:firstLine="420" w:firstLineChars="200"/>
        <w:rPr>
          <w:rFonts w:ascii="宋体" w:hAnsi="宋体" w:cs="宋体"/>
          <w:sz w:val="21"/>
          <w:szCs w:val="21"/>
        </w:rPr>
      </w:pPr>
      <w:bookmarkStart w:id="26" w:name="_Toc4527"/>
      <w:bookmarkStart w:id="27" w:name="_Toc5736"/>
      <w:bookmarkStart w:id="28" w:name="_Toc102642485"/>
      <w:bookmarkStart w:id="29" w:name="_Toc19004"/>
      <w:r>
        <w:rPr>
          <w:rFonts w:hint="eastAsia" w:ascii="宋体" w:hAnsi="宋体" w:cs="宋体"/>
          <w:b w:val="0"/>
          <w:sz w:val="21"/>
          <w:szCs w:val="21"/>
        </w:rPr>
        <w:t>3.5本项目的特定资格要求：</w:t>
      </w:r>
      <w:bookmarkEnd w:id="26"/>
      <w:bookmarkEnd w:id="27"/>
      <w:r>
        <w:rPr>
          <w:rFonts w:hint="eastAsia" w:ascii="宋体" w:hAnsi="宋体" w:cs="宋体"/>
          <w:b w:val="0"/>
          <w:sz w:val="21"/>
          <w:szCs w:val="21"/>
        </w:rPr>
        <w:t>无。</w:t>
      </w:r>
      <w:bookmarkEnd w:id="28"/>
      <w:bookmarkEnd w:id="29"/>
    </w:p>
    <w:p>
      <w:pPr>
        <w:pStyle w:val="5"/>
        <w:spacing w:line="360" w:lineRule="auto"/>
        <w:ind w:firstLine="420" w:firstLineChars="200"/>
        <w:rPr>
          <w:rFonts w:ascii="宋体" w:hAnsi="宋体" w:cs="宋体"/>
          <w:sz w:val="21"/>
          <w:szCs w:val="21"/>
        </w:rPr>
      </w:pPr>
      <w:bookmarkStart w:id="30" w:name="_Toc102642486"/>
      <w:r>
        <w:rPr>
          <w:rFonts w:hint="eastAsia" w:ascii="宋体" w:hAnsi="宋体" w:cs="宋体"/>
          <w:sz w:val="21"/>
          <w:szCs w:val="21"/>
        </w:rPr>
        <w:t>4. 磋商费用</w:t>
      </w:r>
      <w:bookmarkEnd w:id="25"/>
      <w:bookmarkEnd w:id="30"/>
    </w:p>
    <w:p>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pPr>
        <w:pStyle w:val="5"/>
        <w:numPr>
          <w:ilvl w:val="0"/>
          <w:numId w:val="2"/>
        </w:numPr>
        <w:spacing w:line="360" w:lineRule="auto"/>
        <w:ind w:firstLine="420" w:firstLineChars="200"/>
        <w:rPr>
          <w:rFonts w:ascii="宋体" w:hAnsi="宋体" w:cs="宋体"/>
          <w:sz w:val="21"/>
          <w:szCs w:val="21"/>
        </w:rPr>
      </w:pPr>
      <w:bookmarkStart w:id="31" w:name="_Toc102642487"/>
      <w:bookmarkStart w:id="32" w:name="_Toc31376"/>
      <w:r>
        <w:rPr>
          <w:rFonts w:hint="eastAsia" w:ascii="宋体" w:hAnsi="宋体" w:cs="宋体"/>
          <w:sz w:val="21"/>
          <w:szCs w:val="21"/>
        </w:rPr>
        <w:t>联合体要求</w:t>
      </w:r>
      <w:bookmarkEnd w:id="31"/>
      <w:bookmarkEnd w:id="32"/>
    </w:p>
    <w:p>
      <w:pPr>
        <w:ind w:firstLine="420" w:firstLineChars="200"/>
        <w:rPr>
          <w:rFonts w:ascii="宋体" w:hAnsi="宋体" w:cs="宋体"/>
          <w:bCs/>
          <w:szCs w:val="21"/>
        </w:rPr>
      </w:pPr>
      <w:r>
        <w:rPr>
          <w:rFonts w:hint="eastAsia" w:ascii="宋体" w:hAnsi="宋体" w:cs="宋体"/>
          <w:bCs/>
          <w:szCs w:val="21"/>
        </w:rPr>
        <w:t>本项目不接受联合体参与磋商</w:t>
      </w:r>
      <w:bookmarkStart w:id="33" w:name="_Toc6998"/>
    </w:p>
    <w:p>
      <w:pPr>
        <w:pStyle w:val="5"/>
        <w:numPr>
          <w:ilvl w:val="0"/>
          <w:numId w:val="2"/>
        </w:numPr>
        <w:spacing w:line="360" w:lineRule="auto"/>
        <w:ind w:firstLine="420" w:firstLineChars="200"/>
        <w:rPr>
          <w:rFonts w:ascii="宋体" w:hAnsi="宋体" w:cs="宋体"/>
          <w:sz w:val="21"/>
          <w:szCs w:val="21"/>
        </w:rPr>
      </w:pPr>
      <w:bookmarkStart w:id="34" w:name="_Toc102642488"/>
      <w:r>
        <w:rPr>
          <w:rFonts w:hint="eastAsia" w:ascii="宋体" w:hAnsi="宋体" w:cs="宋体"/>
          <w:sz w:val="21"/>
          <w:szCs w:val="21"/>
        </w:rPr>
        <w:t>转包与分包</w:t>
      </w:r>
      <w:bookmarkEnd w:id="33"/>
      <w:bookmarkEnd w:id="34"/>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 本项目不允许转包。</w:t>
      </w:r>
    </w:p>
    <w:p>
      <w:pPr>
        <w:ind w:firstLine="420" w:firstLineChars="200"/>
        <w:rPr>
          <w:rFonts w:ascii="宋体" w:hAnsi="宋体" w:cs="宋体"/>
          <w:bCs/>
          <w:color w:val="000000"/>
          <w:szCs w:val="21"/>
        </w:rPr>
      </w:pPr>
      <w:r>
        <w:rPr>
          <w:rFonts w:hint="eastAsia" w:asciiTheme="minorEastAsia" w:hAnsiTheme="minorEastAsia" w:eastAsiaTheme="minorEastAsia" w:cstheme="minorEastAsia"/>
        </w:rPr>
        <w:t xml:space="preserve">6.2 </w:t>
      </w:r>
      <w:r>
        <w:rPr>
          <w:rFonts w:hint="eastAsia"/>
        </w:rPr>
        <w:t>本项目不可以分包。</w:t>
      </w:r>
    </w:p>
    <w:p>
      <w:pPr>
        <w:pStyle w:val="5"/>
        <w:spacing w:line="360" w:lineRule="auto"/>
        <w:ind w:firstLine="420" w:firstLineChars="200"/>
        <w:rPr>
          <w:rFonts w:ascii="宋体" w:hAnsi="宋体" w:cs="宋体"/>
          <w:color w:val="000000"/>
          <w:sz w:val="21"/>
          <w:szCs w:val="21"/>
        </w:rPr>
      </w:pPr>
      <w:bookmarkStart w:id="35" w:name="_Toc102642489"/>
      <w:bookmarkStart w:id="36" w:name="_Toc4152"/>
      <w:r>
        <w:rPr>
          <w:rFonts w:hint="eastAsia" w:ascii="宋体" w:hAnsi="宋体" w:cs="宋体"/>
          <w:color w:val="000000"/>
          <w:sz w:val="21"/>
          <w:szCs w:val="21"/>
        </w:rPr>
        <w:t>7. 质疑和投诉</w:t>
      </w:r>
      <w:bookmarkEnd w:id="35"/>
      <w:bookmarkEnd w:id="36"/>
      <w:r>
        <w:rPr>
          <w:rFonts w:hint="eastAsia" w:ascii="宋体" w:hAnsi="宋体" w:cs="宋体"/>
          <w:color w:val="000000"/>
          <w:sz w:val="21"/>
          <w:szCs w:val="21"/>
        </w:rPr>
        <w:tab/>
      </w:r>
    </w:p>
    <w:p>
      <w:pPr>
        <w:tabs>
          <w:tab w:val="left" w:pos="2190"/>
        </w:tabs>
        <w:spacing w:line="360" w:lineRule="exact"/>
        <w:ind w:firstLine="435"/>
        <w:rPr>
          <w:rFonts w:ascii="宋体" w:hAnsi="宋体" w:cs="宋体"/>
          <w:color w:val="000000"/>
          <w:szCs w:val="21"/>
        </w:rPr>
      </w:pPr>
      <w:bookmarkStart w:id="37" w:name="_Toc8195"/>
      <w:bookmarkStart w:id="38" w:name="_Toc26087"/>
      <w:r>
        <w:rPr>
          <w:rFonts w:hint="eastAsia" w:ascii="宋体" w:hAnsi="宋体" w:cs="宋体"/>
          <w:color w:val="000000"/>
          <w:szCs w:val="21"/>
        </w:rPr>
        <w:t>7.1供应对政府采购活动事项有疑问的，可以向采购人提出询问。</w:t>
      </w:r>
    </w:p>
    <w:p>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7.2供应商认为磋商文件使自己的合法权益受到损害的，应当在竞争性磋商公告期限届满之日起七个工作日内，以书面形式向采购代理机构（湖北中天宏建设项目管理有限公司）提出质疑。供应商认为采购过程或成交结果使自己的合法权益受到损害的，应当在各采购程序环节结束之日起七个工作日内，以书面形式向采购代理机构（湖北中天宏建设项目管理有限公司）提出质疑。采购代理机构应认真做好质疑处理工作。</w:t>
      </w:r>
    </w:p>
    <w:p>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7.3供应商对采购代理机构的质疑答复不满意或者采购代理机构未在规定的时间内作出答复的，可以在答复期满后十五个工作日内向本级财政部门投诉。</w:t>
      </w:r>
    </w:p>
    <w:p>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7.4质疑、投诉应当采用书面形式，质疑书、投诉书实行实名制，均应明确阐述磋商文件、采购过程或成交结果中使自己合法权益受到损害的实质性内容，提供相关事实、明确的请求，并提供必要的证明材料。</w:t>
      </w:r>
    </w:p>
    <w:p>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7.5质疑联系部门：湖北中天宏建设项目管理有限公司；联系电话：0773-7597198；</w:t>
      </w:r>
    </w:p>
    <w:p>
      <w:pPr>
        <w:tabs>
          <w:tab w:val="left" w:pos="2190"/>
        </w:tabs>
        <w:spacing w:line="360" w:lineRule="exact"/>
        <w:ind w:firstLine="420" w:firstLineChars="200"/>
        <w:rPr>
          <w:rFonts w:ascii="宋体" w:hAnsi="宋体" w:cs="宋体"/>
          <w:color w:val="000000"/>
          <w:szCs w:val="21"/>
        </w:rPr>
      </w:pPr>
      <w:r>
        <w:rPr>
          <w:rFonts w:hint="eastAsia" w:ascii="宋体" w:hAnsi="宋体" w:cs="宋体"/>
          <w:color w:val="000000"/>
          <w:szCs w:val="21"/>
        </w:rPr>
        <w:t>通讯地址：桂林市七星区骖鸾路东侧新建区五号小区7层。</w:t>
      </w:r>
    </w:p>
    <w:p>
      <w:pPr>
        <w:tabs>
          <w:tab w:val="left" w:pos="2190"/>
        </w:tabs>
        <w:spacing w:line="360" w:lineRule="exact"/>
        <w:ind w:firstLine="435"/>
        <w:rPr>
          <w:color w:val="C00000"/>
          <w:highlight w:val="yellow"/>
        </w:rPr>
      </w:pPr>
      <w:r>
        <w:rPr>
          <w:rFonts w:hint="eastAsia" w:ascii="宋体" w:hAnsi="宋体" w:cs="宋体"/>
          <w:color w:val="000000"/>
          <w:szCs w:val="21"/>
        </w:rPr>
        <w:t>7.6 投诉联系部门：</w:t>
      </w:r>
      <w:bookmarkEnd w:id="37"/>
      <w:bookmarkEnd w:id="38"/>
      <w:r>
        <w:rPr>
          <w:rFonts w:hint="eastAsia" w:ascii="宋体" w:hAnsi="宋体"/>
          <w:szCs w:val="21"/>
        </w:rPr>
        <w:t>桂林市临桂区政府采购监督管理股；联系电话：0773-5593932</w:t>
      </w:r>
    </w:p>
    <w:p>
      <w:pPr>
        <w:pStyle w:val="2"/>
        <w:ind w:firstLine="420" w:firstLineChars="200"/>
        <w:rPr>
          <w:rFonts w:ascii="宋体" w:hAnsi="宋体" w:cs="宋体"/>
          <w:kern w:val="2"/>
          <w:sz w:val="21"/>
          <w:szCs w:val="21"/>
        </w:rPr>
      </w:pPr>
      <w:r>
        <w:rPr>
          <w:rFonts w:hint="eastAsia" w:ascii="宋体" w:hAnsi="宋体" w:cs="宋体"/>
          <w:kern w:val="2"/>
          <w:sz w:val="21"/>
          <w:szCs w:val="21"/>
        </w:rPr>
        <w:t>7.7 供应商在法定质疑期内应当一次性提出针对同一采购程序环节的质疑。</w:t>
      </w:r>
    </w:p>
    <w:p>
      <w:pPr>
        <w:pStyle w:val="2"/>
        <w:ind w:firstLine="420" w:firstLineChars="200"/>
        <w:rPr>
          <w:rFonts w:ascii="宋体" w:hAnsi="宋体" w:cs="宋体"/>
          <w:szCs w:val="21"/>
        </w:rPr>
      </w:pPr>
      <w:r>
        <w:rPr>
          <w:rFonts w:hint="eastAsia" w:ascii="宋体" w:hAnsi="宋体" w:cs="宋体"/>
          <w:kern w:val="2"/>
          <w:sz w:val="21"/>
          <w:szCs w:val="21"/>
        </w:rPr>
        <w:t>7.8 不在法定质疑期内提出的质疑函可以拒收。不符合要求的质疑函在法定质疑期内及时补充完整，否则作质疑不成立处理。</w:t>
      </w:r>
    </w:p>
    <w:p>
      <w:pPr>
        <w:pStyle w:val="5"/>
        <w:spacing w:line="360" w:lineRule="auto"/>
        <w:ind w:firstLine="420" w:firstLineChars="200"/>
        <w:rPr>
          <w:rFonts w:ascii="宋体" w:hAnsi="宋体" w:cs="宋体"/>
          <w:color w:val="000000"/>
          <w:sz w:val="21"/>
          <w:szCs w:val="21"/>
        </w:rPr>
      </w:pPr>
      <w:bookmarkStart w:id="39" w:name="_Toc3368"/>
      <w:bookmarkStart w:id="40" w:name="_Toc102642490"/>
      <w:r>
        <w:rPr>
          <w:rFonts w:hint="eastAsia" w:ascii="宋体" w:hAnsi="宋体" w:cs="宋体"/>
          <w:color w:val="000000"/>
          <w:sz w:val="21"/>
          <w:szCs w:val="21"/>
        </w:rPr>
        <w:t>8. 特别说明</w:t>
      </w:r>
      <w:bookmarkEnd w:id="39"/>
      <w:bookmarkEnd w:id="40"/>
    </w:p>
    <w:p>
      <w:pPr>
        <w:tabs>
          <w:tab w:val="left" w:pos="1635"/>
        </w:tabs>
        <w:spacing w:line="360" w:lineRule="exact"/>
        <w:ind w:firstLine="420"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tabs>
          <w:tab w:val="left" w:pos="1635"/>
        </w:tabs>
        <w:spacing w:line="360" w:lineRule="exact"/>
        <w:ind w:firstLine="435"/>
        <w:rPr>
          <w:rFonts w:ascii="宋体" w:hAnsi="宋体" w:cs="宋体"/>
          <w:b/>
          <w:bCs/>
          <w:color w:val="000000"/>
          <w:szCs w:val="21"/>
        </w:rPr>
      </w:pPr>
      <w:r>
        <w:rPr>
          <w:rFonts w:hint="eastAsia" w:ascii="宋体" w:hAnsi="宋体" w:cs="宋体"/>
          <w:b/>
          <w:color w:val="000000"/>
          <w:szCs w:val="21"/>
        </w:rPr>
        <w:t>8.2</w:t>
      </w:r>
      <w:r>
        <w:rPr>
          <w:rFonts w:hint="eastAsia" w:ascii="宋体" w:hAnsi="宋体" w:cs="宋体"/>
          <w:b/>
          <w:bCs/>
          <w:color w:val="000000"/>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9"/>
        <w:rPr>
          <w:rFonts w:ascii="宋体" w:hAnsi="宋体" w:cs="宋体"/>
          <w:color w:val="000000"/>
        </w:rPr>
      </w:pPr>
    </w:p>
    <w:p>
      <w:pPr>
        <w:pStyle w:val="4"/>
        <w:jc w:val="center"/>
        <w:rPr>
          <w:rFonts w:ascii="宋体" w:hAnsi="宋体" w:cs="宋体"/>
          <w:b/>
          <w:bCs w:val="0"/>
          <w:szCs w:val="28"/>
        </w:rPr>
      </w:pPr>
      <w:bookmarkStart w:id="41" w:name="_Toc22498"/>
      <w:bookmarkStart w:id="42" w:name="_Toc102642491"/>
      <w:r>
        <w:rPr>
          <w:rFonts w:hint="eastAsia" w:ascii="宋体" w:hAnsi="宋体" w:cs="宋体"/>
          <w:b/>
          <w:bCs w:val="0"/>
          <w:szCs w:val="28"/>
        </w:rPr>
        <w:t>二、磋商文件</w:t>
      </w:r>
      <w:bookmarkEnd w:id="41"/>
      <w:bookmarkEnd w:id="42"/>
    </w:p>
    <w:p>
      <w:pPr>
        <w:pStyle w:val="5"/>
        <w:spacing w:line="360" w:lineRule="auto"/>
        <w:ind w:firstLine="420" w:firstLineChars="200"/>
        <w:rPr>
          <w:rFonts w:ascii="宋体" w:hAnsi="宋体" w:cs="宋体"/>
          <w:color w:val="000000"/>
          <w:sz w:val="21"/>
          <w:szCs w:val="21"/>
          <w:lang w:val="pt-BR"/>
        </w:rPr>
      </w:pPr>
      <w:bookmarkStart w:id="43" w:name="_Toc102642492"/>
      <w:bookmarkStart w:id="44" w:name="_Toc18964"/>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43"/>
      <w:bookmarkEnd w:id="44"/>
    </w:p>
    <w:p>
      <w:pPr>
        <w:spacing w:line="360" w:lineRule="auto"/>
        <w:ind w:firstLine="420" w:firstLineChars="200"/>
        <w:rPr>
          <w:rFonts w:ascii="宋体" w:hAnsi="宋体" w:cs="宋体"/>
          <w:color w:val="000000"/>
          <w:szCs w:val="21"/>
        </w:rPr>
      </w:pPr>
      <w:r>
        <w:rPr>
          <w:rFonts w:hint="eastAsia" w:ascii="宋体" w:hAnsi="宋体" w:cs="宋体"/>
          <w:color w:val="000000"/>
          <w:szCs w:val="21"/>
        </w:rPr>
        <w:t>（1）竞争性磋商公告；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（2）供应商须知；</w:t>
      </w:r>
    </w:p>
    <w:p>
      <w:pPr>
        <w:spacing w:line="360" w:lineRule="auto"/>
        <w:ind w:firstLine="420" w:firstLineChars="200"/>
        <w:rPr>
          <w:rFonts w:ascii="宋体" w:hAnsi="宋体" w:cs="宋体"/>
          <w:b/>
          <w:color w:val="000000"/>
          <w:szCs w:val="21"/>
        </w:rPr>
      </w:pPr>
      <w:r>
        <w:rPr>
          <w:rFonts w:hint="eastAsia" w:ascii="宋体" w:hAnsi="宋体" w:cs="宋体"/>
          <w:color w:val="000000"/>
          <w:szCs w:val="21"/>
        </w:rPr>
        <w:t>（3）采购需求</w:t>
      </w:r>
      <w:r>
        <w:rPr>
          <w:rFonts w:hint="eastAsia" w:ascii="宋体" w:hAnsi="宋体" w:cs="宋体"/>
          <w:bCs/>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（4）评审办法；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（5）采购合同（合同主要条款及格式）；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（6）响应文件（格式）。</w:t>
      </w:r>
    </w:p>
    <w:p>
      <w:pPr>
        <w:pStyle w:val="5"/>
        <w:spacing w:line="360" w:lineRule="auto"/>
        <w:ind w:firstLine="420" w:firstLineChars="200"/>
        <w:rPr>
          <w:rFonts w:ascii="宋体" w:hAnsi="宋体" w:cs="宋体"/>
          <w:color w:val="000000"/>
          <w:sz w:val="21"/>
          <w:szCs w:val="21"/>
        </w:rPr>
      </w:pPr>
      <w:bookmarkStart w:id="45" w:name="_Toc102642493"/>
      <w:bookmarkStart w:id="46" w:name="_Toc9103"/>
      <w:r>
        <w:rPr>
          <w:rFonts w:hint="eastAsia" w:ascii="宋体" w:hAnsi="宋体" w:cs="宋体"/>
          <w:color w:val="000000"/>
          <w:sz w:val="21"/>
          <w:szCs w:val="21"/>
        </w:rPr>
        <w:t>10. 磋商文件的澄清与修改</w:t>
      </w:r>
      <w:bookmarkEnd w:id="45"/>
      <w:bookmarkEnd w:id="46"/>
    </w:p>
    <w:p>
      <w:pPr>
        <w:spacing w:line="360" w:lineRule="auto"/>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提交首次响应文件截止之日前，采购代理机构可以对已发出的磋商文件进行必要澄清、答复、修改或</w:t>
      </w:r>
    </w:p>
    <w:p>
      <w:pPr>
        <w:spacing w:line="360" w:lineRule="auto"/>
        <w:jc w:val="left"/>
        <w:rPr>
          <w:rFonts w:ascii="宋体" w:hAnsi="宋体" w:cs="宋体"/>
          <w:color w:val="000000"/>
          <w:szCs w:val="21"/>
        </w:rPr>
      </w:pPr>
      <w:r>
        <w:rPr>
          <w:rFonts w:hint="eastAsia" w:ascii="宋体" w:hAnsi="宋体" w:cs="宋体"/>
          <w:color w:val="000000"/>
          <w:szCs w:val="21"/>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rPr>
        <w:t>五日</w:t>
      </w:r>
      <w:r>
        <w:rPr>
          <w:rFonts w:hint="eastAsia" w:ascii="宋体" w:hAnsi="宋体" w:cs="宋体"/>
          <w:color w:val="000000"/>
          <w:szCs w:val="21"/>
        </w:rPr>
        <w:t>前在本项目竞争性磋商公告发布的同一媒体上发布更正公告，不足</w:t>
      </w:r>
      <w:r>
        <w:rPr>
          <w:rFonts w:hint="eastAsia" w:ascii="宋体" w:hAnsi="宋体" w:cs="宋体"/>
          <w:b/>
          <w:bCs/>
          <w:color w:val="000000"/>
          <w:szCs w:val="21"/>
        </w:rPr>
        <w:t>五日</w:t>
      </w:r>
      <w:r>
        <w:rPr>
          <w:rFonts w:hint="eastAsia" w:ascii="宋体" w:hAnsi="宋体" w:cs="宋体"/>
          <w:color w:val="000000"/>
          <w:szCs w:val="21"/>
        </w:rPr>
        <w:t>的，应当顺延首次响应文件递交截止时间。</w:t>
      </w:r>
    </w:p>
    <w:p>
      <w:pPr>
        <w:spacing w:line="360" w:lineRule="auto"/>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供应商应实时关注本项目信息公告发布媒体相关网站了解澄清、修改等与项目有关的内容，如因供应</w:t>
      </w:r>
    </w:p>
    <w:p>
      <w:pPr>
        <w:spacing w:line="360" w:lineRule="auto"/>
        <w:jc w:val="left"/>
        <w:rPr>
          <w:rFonts w:ascii="宋体" w:hAnsi="宋体" w:cs="宋体"/>
          <w:b/>
          <w:bCs/>
          <w:color w:val="000000"/>
          <w:szCs w:val="21"/>
        </w:rPr>
      </w:pPr>
      <w:r>
        <w:rPr>
          <w:rFonts w:hint="eastAsia" w:ascii="宋体" w:hAnsi="宋体" w:cs="宋体"/>
          <w:b/>
          <w:bCs/>
          <w:color w:val="000000"/>
          <w:szCs w:val="21"/>
        </w:rPr>
        <w:t>商未及时登录相关网站了解澄清、修改等与项目有关的内容，从而导致响应文件无效的，由供应商自行承担责任。</w:t>
      </w:r>
    </w:p>
    <w:p>
      <w:pPr>
        <w:spacing w:line="360" w:lineRule="auto"/>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10.3澄清或者修改的内容为磋商文件的组成部分。当澄清或者修改通知就同一内容的表述不一致时，以最</w:t>
      </w:r>
    </w:p>
    <w:p>
      <w:pPr>
        <w:spacing w:line="360" w:lineRule="auto"/>
        <w:jc w:val="left"/>
        <w:rPr>
          <w:rFonts w:ascii="宋体" w:hAnsi="宋体" w:cs="宋体"/>
          <w:color w:val="000000"/>
          <w:szCs w:val="21"/>
        </w:rPr>
      </w:pPr>
      <w:r>
        <w:rPr>
          <w:rFonts w:hint="eastAsia" w:ascii="宋体" w:hAnsi="宋体" w:cs="宋体"/>
          <w:color w:val="000000"/>
          <w:szCs w:val="21"/>
        </w:rPr>
        <w:t>后发出的文件为准。</w:t>
      </w:r>
    </w:p>
    <w:p>
      <w:pPr>
        <w:spacing w:line="360" w:lineRule="auto"/>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磋商文件的澄清或者修改都应该通过本项目采购代理机构以法定形式发布，采购人非通过本机构，不</w:t>
      </w:r>
    </w:p>
    <w:p>
      <w:pPr>
        <w:spacing w:line="360" w:lineRule="auto"/>
        <w:jc w:val="left"/>
        <w:rPr>
          <w:rFonts w:ascii="宋体" w:hAnsi="宋体" w:cs="宋体"/>
          <w:color w:val="000000"/>
          <w:szCs w:val="21"/>
        </w:rPr>
      </w:pPr>
      <w:r>
        <w:rPr>
          <w:rFonts w:hint="eastAsia" w:ascii="宋体" w:hAnsi="宋体" w:cs="宋体"/>
          <w:color w:val="000000"/>
          <w:szCs w:val="21"/>
        </w:rPr>
        <w:t>得擅自澄清或者修改磋商文件。</w:t>
      </w:r>
    </w:p>
    <w:p>
      <w:pPr>
        <w:spacing w:line="360" w:lineRule="auto"/>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10.5采购单位可以视采购具体情况，延长响应文件截止时间和磋商时间，在本项目竞争性磋商公告发布的</w:t>
      </w:r>
    </w:p>
    <w:p>
      <w:pPr>
        <w:spacing w:line="360" w:lineRule="auto"/>
        <w:jc w:val="left"/>
        <w:rPr>
          <w:rFonts w:ascii="宋体" w:hAnsi="宋体" w:cs="宋体"/>
          <w:color w:val="000000"/>
          <w:szCs w:val="21"/>
        </w:rPr>
      </w:pPr>
      <w:r>
        <w:rPr>
          <w:rFonts w:hint="eastAsia" w:ascii="宋体" w:hAnsi="宋体" w:cs="宋体"/>
          <w:color w:val="000000"/>
          <w:szCs w:val="21"/>
        </w:rPr>
        <w:t>同一媒体上发布变更公告。</w:t>
      </w:r>
    </w:p>
    <w:p>
      <w:pPr>
        <w:pStyle w:val="2"/>
        <w:rPr>
          <w:rFonts w:ascii="宋体" w:hAnsi="宋体" w:cs="宋体"/>
        </w:rPr>
      </w:pPr>
    </w:p>
    <w:p>
      <w:pPr>
        <w:pStyle w:val="4"/>
        <w:jc w:val="center"/>
        <w:rPr>
          <w:rFonts w:ascii="宋体" w:hAnsi="宋体" w:cs="宋体"/>
          <w:b/>
          <w:bCs w:val="0"/>
          <w:szCs w:val="28"/>
        </w:rPr>
      </w:pPr>
      <w:bookmarkStart w:id="47" w:name="_Toc102642494"/>
      <w:bookmarkStart w:id="48" w:name="_Toc20830"/>
      <w:r>
        <w:rPr>
          <w:rFonts w:hint="eastAsia" w:ascii="宋体" w:hAnsi="宋体" w:cs="宋体"/>
          <w:b/>
          <w:bCs w:val="0"/>
          <w:szCs w:val="28"/>
        </w:rPr>
        <w:t>三、竞争性磋商响应文件的编制</w:t>
      </w:r>
      <w:bookmarkEnd w:id="47"/>
      <w:bookmarkEnd w:id="48"/>
    </w:p>
    <w:p>
      <w:pPr>
        <w:pStyle w:val="5"/>
        <w:spacing w:line="360" w:lineRule="auto"/>
        <w:ind w:firstLine="420" w:firstLineChars="200"/>
        <w:rPr>
          <w:rFonts w:ascii="宋体" w:hAnsi="宋体" w:cs="宋体"/>
          <w:color w:val="000000"/>
          <w:sz w:val="21"/>
          <w:szCs w:val="21"/>
        </w:rPr>
      </w:pPr>
      <w:bookmarkStart w:id="49" w:name="_Toc102642495"/>
      <w:r>
        <w:rPr>
          <w:rFonts w:hint="eastAsia" w:ascii="宋体" w:hAnsi="宋体" w:cs="宋体"/>
          <w:color w:val="000000"/>
          <w:sz w:val="21"/>
          <w:szCs w:val="21"/>
        </w:rPr>
        <w:t>11.竞争性磋商响应文件编制基本要求</w:t>
      </w:r>
      <w:bookmarkEnd w:id="49"/>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11.1 本项目实行电子投标，供应商应准备电子磋商响应文件：</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pPr>
        <w:spacing w:line="360" w:lineRule="auto"/>
        <w:ind w:firstLine="420" w:firstLineChars="200"/>
        <w:rPr>
          <w:rFonts w:ascii="宋体" w:hAnsi="宋体" w:cs="宋体"/>
          <w:color w:val="000000"/>
          <w:szCs w:val="21"/>
        </w:rPr>
      </w:pPr>
      <w:r>
        <w:rPr>
          <w:rFonts w:hint="eastAsia" w:ascii="宋体" w:hAnsi="宋体" w:cs="宋体"/>
          <w:b/>
          <w:bCs/>
          <w:color w:val="000000"/>
          <w:szCs w:val="21"/>
        </w:rPr>
        <w:t>11.2.1.1资格性响应证明材料：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①如供应商为截标时间前60日以内成立的公司，可以提供供应商与委托代理人签订的劳动合同复印件代替养老保险证明复印件；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②如供应商为事业单位，可以提供事业单位机构编制管理证复印件或事业单位机构为其发放工资的工资条复印件代替养老保险证明复印件；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③如委托代理人为免缴纳社保人员，提供免缴纳社保的证明材料复印件及供应商与委托代理人签订的劳动合同复印件代替养老保险证明复印件。</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pPr>
        <w:spacing w:line="360" w:lineRule="auto"/>
        <w:ind w:firstLine="420" w:firstLineChars="200"/>
        <w:rPr>
          <w:rFonts w:ascii="宋体" w:hAnsi="宋体" w:cs="宋体"/>
          <w:color w:val="000000"/>
        </w:rPr>
      </w:pPr>
      <w:r>
        <w:rPr>
          <w:rFonts w:hint="eastAsia" w:ascii="宋体" w:hAnsi="宋体" w:cs="宋体"/>
          <w:color w:val="000000"/>
          <w:szCs w:val="21"/>
        </w:rPr>
        <w:t>（3）供应商参加政府采购活动前3年内在经营活动中没有重大违法记录及有关信用信息的书面声明</w:t>
      </w:r>
      <w:r>
        <w:rPr>
          <w:rFonts w:hint="eastAsia" w:ascii="宋体" w:hAnsi="宋体" w:cs="宋体"/>
          <w:b/>
          <w:bCs/>
          <w:color w:val="000000"/>
          <w:szCs w:val="21"/>
        </w:rPr>
        <w:t>（必须提供）；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（4）供应商的法人或者其他组织营业执照等证明文件复印件</w:t>
      </w:r>
      <w:r>
        <w:rPr>
          <w:rFonts w:hint="eastAsia" w:ascii="宋体" w:hAnsi="宋体" w:cs="宋体"/>
          <w:b/>
          <w:color w:val="000000"/>
          <w:szCs w:val="21"/>
        </w:rPr>
        <w:t>（必须提供，自然人除外）；</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（5）《中小企业声明函》（见附件）</w:t>
      </w:r>
      <w:r>
        <w:rPr>
          <w:rFonts w:hint="eastAsia" w:ascii="宋体" w:hAnsi="宋体" w:cs="宋体"/>
          <w:b/>
          <w:color w:val="000000"/>
          <w:szCs w:val="21"/>
        </w:rPr>
        <w:t>（如有，请提供）；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rPr>
        <w:t>（如供应商属于监狱企业的，则必须提供）；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（7）符合条件的残疾人福利性单位在参加政府采购活动时，应当提供《残疾人福利性单位声明函》（见附件），并对声明的真实性负责；</w:t>
      </w:r>
      <w:r>
        <w:rPr>
          <w:rFonts w:hint="eastAsia" w:ascii="宋体" w:hAnsi="宋体" w:cs="宋体"/>
          <w:b/>
          <w:color w:val="000000"/>
          <w:szCs w:val="21"/>
        </w:rPr>
        <w:t>（如供应商属于残疾人福利性单位的，则必须提供）。</w:t>
      </w:r>
    </w:p>
    <w:p>
      <w:pPr>
        <w:pStyle w:val="22"/>
        <w:ind w:left="0" w:leftChars="0" w:firstLine="422"/>
        <w:rPr>
          <w:rFonts w:ascii="宋体" w:hAnsi="宋体" w:cs="宋体"/>
          <w:color w:val="000000"/>
        </w:rPr>
      </w:pPr>
      <w:r>
        <w:rPr>
          <w:rFonts w:hint="eastAsia" w:ascii="宋体" w:hAnsi="宋体" w:cs="宋体"/>
          <w:b/>
          <w:bCs/>
          <w:color w:val="000000"/>
          <w:szCs w:val="21"/>
        </w:rPr>
        <w:t>11.2.1.2符合性响应证明材料：</w:t>
      </w:r>
    </w:p>
    <w:p>
      <w:pPr>
        <w:spacing w:line="360" w:lineRule="auto"/>
        <w:ind w:firstLine="420" w:firstLineChars="200"/>
        <w:rPr>
          <w:rFonts w:ascii="宋体" w:hAnsi="宋体" w:cs="宋体"/>
          <w:color w:val="000000"/>
          <w:szCs w:val="21"/>
        </w:rPr>
      </w:pPr>
      <w:bookmarkStart w:id="50" w:name="_Toc16312"/>
      <w:bookmarkStart w:id="51" w:name="_Toc28932"/>
      <w:bookmarkStart w:id="52" w:name="_Toc2809"/>
      <w:r>
        <w:rPr>
          <w:rFonts w:hint="eastAsia" w:ascii="宋体" w:hAnsi="宋体" w:cs="宋体"/>
          <w:szCs w:val="21"/>
        </w:rPr>
        <w:t>（1）响应函（格式见附件）</w:t>
      </w:r>
      <w:r>
        <w:rPr>
          <w:rFonts w:hint="eastAsia" w:ascii="宋体" w:hAnsi="宋体" w:cs="宋体"/>
          <w:b/>
          <w:szCs w:val="21"/>
        </w:rPr>
        <w:t>（必须提供）</w:t>
      </w:r>
      <w:bookmarkEnd w:id="50"/>
      <w:r>
        <w:rPr>
          <w:rFonts w:hint="eastAsia" w:ascii="宋体" w:hAnsi="宋体" w:cs="宋体"/>
          <w:b/>
          <w:szCs w:val="21"/>
        </w:rPr>
        <w:t>；</w:t>
      </w:r>
      <w:bookmarkEnd w:id="51"/>
      <w:bookmarkEnd w:id="52"/>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（2）磋商报价表（格式见附件）</w:t>
      </w:r>
      <w:r>
        <w:rPr>
          <w:rFonts w:hint="eastAsia" w:ascii="宋体" w:hAnsi="宋体" w:cs="宋体"/>
          <w:b/>
          <w:bCs/>
          <w:color w:val="000000"/>
          <w:szCs w:val="21"/>
        </w:rPr>
        <w:t>（必须提供）；</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（3）服务（技术）响应、商务偏离情况说明表（格式见附件）</w:t>
      </w:r>
      <w:r>
        <w:rPr>
          <w:rFonts w:hint="eastAsia" w:ascii="宋体" w:hAnsi="宋体" w:cs="宋体"/>
          <w:b/>
          <w:bCs/>
          <w:color w:val="000000"/>
          <w:szCs w:val="21"/>
        </w:rPr>
        <w:t>(必须提供)；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（4）售后服务、应急方案（由供应商根据本项目服务采购需求、特点及供应商自身的处理能力自行编写，承诺书内容至少应包括“采购需求”中的所有服务条款）（格式见附件）</w:t>
      </w:r>
      <w:r>
        <w:rPr>
          <w:rFonts w:hint="eastAsia" w:ascii="宋体" w:hAnsi="宋体" w:cs="宋体"/>
          <w:b/>
          <w:bCs/>
          <w:color w:val="000000"/>
          <w:szCs w:val="21"/>
        </w:rPr>
        <w:t>（必须提供）；</w:t>
      </w:r>
    </w:p>
    <w:p>
      <w:pPr>
        <w:spacing w:line="360" w:lineRule="auto"/>
        <w:ind w:firstLine="420" w:firstLineChars="200"/>
        <w:rPr>
          <w:rFonts w:ascii="宋体" w:hAnsi="宋体" w:cs="宋体"/>
          <w:b/>
          <w:bCs/>
          <w:szCs w:val="21"/>
        </w:rPr>
      </w:pPr>
      <w:r>
        <w:rPr>
          <w:rFonts w:hint="eastAsia" w:ascii="宋体" w:hAnsi="宋体" w:cs="宋体"/>
          <w:szCs w:val="21"/>
        </w:rPr>
        <w:t>（5）针对本项目的技术、项目实施方案（格式见附件）</w:t>
      </w:r>
      <w:r>
        <w:rPr>
          <w:rFonts w:hint="eastAsia" w:ascii="宋体" w:hAnsi="宋体" w:cs="宋体"/>
          <w:b/>
          <w:bCs/>
          <w:szCs w:val="21"/>
        </w:rPr>
        <w:t>（必须提供）。</w:t>
      </w:r>
    </w:p>
    <w:p>
      <w:pPr>
        <w:pStyle w:val="22"/>
        <w:ind w:left="0" w:leftChars="0" w:firstLine="422"/>
        <w:rPr>
          <w:rFonts w:ascii="宋体" w:hAnsi="宋体" w:cs="宋体"/>
          <w:b/>
          <w:bCs/>
          <w:szCs w:val="21"/>
        </w:rPr>
      </w:pPr>
      <w:r>
        <w:rPr>
          <w:rFonts w:hint="eastAsia" w:ascii="宋体" w:hAnsi="宋体" w:cs="宋体"/>
          <w:b/>
          <w:bCs/>
          <w:szCs w:val="21"/>
        </w:rPr>
        <w:t>11.2.1.3其他有效证明材料</w:t>
      </w:r>
    </w:p>
    <w:p>
      <w:pPr>
        <w:spacing w:line="360" w:lineRule="auto"/>
        <w:ind w:firstLine="420" w:firstLineChars="200"/>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并一起提供由县级以上（含县级）社会养老保险经办机构出具的投标人为项目实施人员交纳的开标截止时间前三个月内任意一个月养老保险证明复印件（如投标人为截标时间前60日以内成立的公司，可以提供投标人与项目实施人员签订的劳动合同复印件代替养老保险证明复印件；项目实施人员为免缴纳社保人员，提供免缴纳社保的证明材料复印件及投标人与项目实施人员签订的劳动合同复印件代替养老保险证明复印件）】；</w:t>
      </w:r>
    </w:p>
    <w:p>
      <w:pPr>
        <w:spacing w:line="360" w:lineRule="auto"/>
        <w:ind w:firstLine="420" w:firstLineChars="200"/>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pPr>
        <w:spacing w:line="360" w:lineRule="auto"/>
        <w:ind w:firstLine="420" w:firstLineChars="200"/>
        <w:rPr>
          <w:rFonts w:ascii="宋体" w:hAnsi="宋体" w:cs="宋体"/>
          <w:b/>
          <w:bCs/>
          <w:szCs w:val="21"/>
        </w:rPr>
      </w:pPr>
      <w:r>
        <w:rPr>
          <w:rFonts w:hint="eastAsia" w:ascii="宋体" w:hAnsi="宋体" w:cs="宋体"/>
          <w:szCs w:val="21"/>
        </w:rPr>
        <w:t>（3）供应商具有同类项目的业绩相关证明材料（无不良记录，以中标、成交通知书或签订的合同为准，并能清晰反映项目的名称、采购内容、采购金额、采购时间）</w:t>
      </w:r>
      <w:r>
        <w:rPr>
          <w:rFonts w:hint="eastAsia" w:ascii="宋体" w:hAnsi="宋体" w:cs="宋体"/>
          <w:b/>
          <w:bCs/>
          <w:szCs w:val="21"/>
        </w:rPr>
        <w:t>（如有，请按照评分办法要求提供）；</w:t>
      </w:r>
    </w:p>
    <w:p>
      <w:pPr>
        <w:spacing w:line="360" w:lineRule="auto"/>
        <w:ind w:firstLine="420" w:firstLineChars="200"/>
        <w:rPr>
          <w:rFonts w:ascii="宋体" w:hAnsi="宋体" w:cs="宋体"/>
          <w:szCs w:val="21"/>
        </w:rPr>
      </w:pPr>
      <w:r>
        <w:rPr>
          <w:rFonts w:hint="eastAsia" w:ascii="宋体" w:hAnsi="宋体" w:cs="宋体"/>
          <w:szCs w:val="21"/>
        </w:rPr>
        <w:t>（4）供应商可结合本项目的评审办法视自身情况自行提交其它相关证明材料。</w:t>
      </w:r>
    </w:p>
    <w:p>
      <w:pPr>
        <w:spacing w:line="40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pPr>
        <w:spacing w:line="360" w:lineRule="exact"/>
        <w:ind w:firstLine="420" w:firstLineChars="200"/>
        <w:rPr>
          <w:rFonts w:ascii="宋体" w:hAnsi="宋体" w:cs="宋体"/>
          <w:b/>
          <w:bCs/>
          <w:color w:val="000000"/>
          <w:szCs w:val="21"/>
        </w:rPr>
      </w:pPr>
      <w:r>
        <w:rPr>
          <w:rFonts w:hint="eastAsia" w:ascii="宋体" w:hAnsi="宋体" w:cs="宋体"/>
          <w:b/>
          <w:bCs/>
          <w:color w:val="000000"/>
          <w:szCs w:val="21"/>
        </w:rPr>
        <w:t>特别说明：</w:t>
      </w:r>
    </w:p>
    <w:p>
      <w:pPr>
        <w:spacing w:line="360" w:lineRule="exact"/>
        <w:ind w:firstLine="420"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3"/>
        </w:numPr>
        <w:spacing w:line="360" w:lineRule="exact"/>
        <w:ind w:firstLine="420"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 pdf 格式上传（或加盖个人CA签章），无签字的视为响应无效。</w:t>
      </w:r>
    </w:p>
    <w:p>
      <w:pPr>
        <w:pStyle w:val="5"/>
        <w:spacing w:line="360" w:lineRule="auto"/>
        <w:ind w:firstLine="420" w:firstLineChars="200"/>
        <w:rPr>
          <w:rFonts w:ascii="宋体" w:hAnsi="宋体" w:cs="宋体"/>
          <w:color w:val="000000"/>
          <w:sz w:val="21"/>
          <w:szCs w:val="21"/>
        </w:rPr>
      </w:pPr>
      <w:bookmarkStart w:id="53" w:name="_Toc102642496"/>
      <w:bookmarkStart w:id="54" w:name="_Toc2180"/>
      <w:r>
        <w:rPr>
          <w:rFonts w:hint="eastAsia" w:ascii="宋体" w:hAnsi="宋体" w:cs="宋体"/>
          <w:color w:val="000000"/>
          <w:sz w:val="21"/>
          <w:szCs w:val="21"/>
        </w:rPr>
        <w:t>12. 响应文件的语言及计量</w:t>
      </w:r>
      <w:bookmarkEnd w:id="53"/>
      <w:bookmarkEnd w:id="54"/>
    </w:p>
    <w:p>
      <w:pPr>
        <w:spacing w:line="360" w:lineRule="auto"/>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pPr>
        <w:pStyle w:val="5"/>
        <w:spacing w:line="360" w:lineRule="auto"/>
        <w:ind w:firstLine="420" w:firstLineChars="200"/>
        <w:rPr>
          <w:rFonts w:ascii="宋体" w:hAnsi="宋体" w:cs="宋体"/>
          <w:color w:val="000000"/>
          <w:sz w:val="21"/>
          <w:szCs w:val="21"/>
        </w:rPr>
      </w:pPr>
      <w:bookmarkStart w:id="55" w:name="_Toc10838"/>
      <w:bookmarkStart w:id="56" w:name="_Toc102642497"/>
      <w:r>
        <w:rPr>
          <w:rFonts w:hint="eastAsia" w:ascii="宋体" w:hAnsi="宋体" w:cs="宋体"/>
          <w:color w:val="000000"/>
          <w:sz w:val="21"/>
          <w:szCs w:val="21"/>
        </w:rPr>
        <w:t>13. 磋商报价及采购预算金额</w:t>
      </w:r>
      <w:bookmarkEnd w:id="55"/>
      <w:bookmarkEnd w:id="56"/>
    </w:p>
    <w:p>
      <w:pPr>
        <w:spacing w:line="360" w:lineRule="auto"/>
        <w:ind w:firstLine="420" w:firstLineChars="200"/>
        <w:rPr>
          <w:rFonts w:ascii="宋体" w:hAnsi="宋体" w:cs="宋体"/>
          <w:color w:val="000000"/>
          <w:szCs w:val="21"/>
        </w:rPr>
      </w:pPr>
      <w:r>
        <w:rPr>
          <w:rFonts w:hint="eastAsia" w:ascii="宋体" w:hAnsi="宋体" w:cs="宋体"/>
          <w:color w:val="000000"/>
          <w:szCs w:val="21"/>
        </w:rPr>
        <w:t>13.1 磋商报价应按磋商文件中相关附表格式填写。采购预算金额（人民币）：</w:t>
      </w:r>
      <w:r>
        <w:rPr>
          <w:rFonts w:hint="eastAsia" w:ascii="宋体" w:hAnsi="宋体" w:cs="宋体"/>
          <w:b/>
          <w:bCs/>
          <w:szCs w:val="21"/>
          <w:u w:val="single"/>
        </w:rPr>
        <w:t>贰佰肆拾贰万贰仟叁佰玖拾元整（¥2422390.00元）</w:t>
      </w:r>
      <w:r>
        <w:rPr>
          <w:rFonts w:hint="eastAsia" w:ascii="宋体" w:hAnsi="宋体" w:cs="宋体"/>
          <w:color w:val="000000"/>
          <w:szCs w:val="21"/>
        </w:rPr>
        <w:t>。报价超过相应采购预算金额的，响应文件按无效处理。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5"/>
        <w:spacing w:line="360" w:lineRule="auto"/>
        <w:ind w:firstLine="420" w:firstLineChars="200"/>
        <w:rPr>
          <w:rFonts w:ascii="宋体" w:hAnsi="宋体" w:cs="宋体"/>
          <w:color w:val="000000"/>
          <w:sz w:val="21"/>
          <w:szCs w:val="21"/>
        </w:rPr>
      </w:pPr>
      <w:bookmarkStart w:id="57" w:name="_Toc102642498"/>
      <w:bookmarkStart w:id="58" w:name="_Toc26881"/>
      <w:r>
        <w:rPr>
          <w:rFonts w:hint="eastAsia" w:ascii="宋体" w:hAnsi="宋体" w:cs="宋体"/>
          <w:color w:val="000000"/>
          <w:sz w:val="21"/>
          <w:szCs w:val="21"/>
        </w:rPr>
        <w:t>14. 响应文件有效期</w:t>
      </w:r>
      <w:bookmarkEnd w:id="57"/>
      <w:bookmarkEnd w:id="58"/>
    </w:p>
    <w:p>
      <w:pPr>
        <w:spacing w:line="360" w:lineRule="auto"/>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pPr>
        <w:pStyle w:val="5"/>
        <w:spacing w:line="360" w:lineRule="auto"/>
        <w:ind w:firstLine="420" w:firstLineChars="200"/>
        <w:rPr>
          <w:rFonts w:ascii="宋体" w:hAnsi="宋体" w:cs="宋体"/>
          <w:color w:val="000000"/>
          <w:sz w:val="21"/>
          <w:szCs w:val="21"/>
        </w:rPr>
      </w:pPr>
      <w:bookmarkStart w:id="59" w:name="_Toc102642499"/>
      <w:bookmarkStart w:id="60" w:name="_Toc22602"/>
      <w:r>
        <w:rPr>
          <w:rFonts w:hint="eastAsia" w:ascii="宋体" w:hAnsi="宋体" w:cs="宋体"/>
          <w:color w:val="000000"/>
          <w:sz w:val="21"/>
          <w:szCs w:val="21"/>
        </w:rPr>
        <w:t>15. 磋商保证金</w:t>
      </w:r>
      <w:bookmarkEnd w:id="59"/>
      <w:bookmarkEnd w:id="60"/>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本项目无需缴纳磋商保证金。</w:t>
      </w:r>
    </w:p>
    <w:p>
      <w:pPr>
        <w:pStyle w:val="5"/>
        <w:spacing w:line="360" w:lineRule="auto"/>
        <w:ind w:firstLine="420" w:firstLineChars="200"/>
        <w:rPr>
          <w:rFonts w:ascii="宋体" w:hAnsi="宋体" w:cs="宋体"/>
          <w:color w:val="000000"/>
          <w:sz w:val="21"/>
          <w:szCs w:val="21"/>
        </w:rPr>
      </w:pPr>
      <w:bookmarkStart w:id="61" w:name="_Toc387"/>
      <w:bookmarkStart w:id="62" w:name="_Toc102642500"/>
      <w:r>
        <w:rPr>
          <w:rFonts w:hint="eastAsia" w:ascii="宋体" w:hAnsi="宋体" w:cs="宋体"/>
          <w:color w:val="000000"/>
          <w:sz w:val="21"/>
          <w:szCs w:val="21"/>
        </w:rPr>
        <w:t>16. 竞争性磋商响应文件的</w:t>
      </w:r>
      <w:bookmarkEnd w:id="61"/>
      <w:r>
        <w:rPr>
          <w:rFonts w:hint="eastAsia" w:ascii="宋体" w:hAnsi="宋体" w:cs="宋体"/>
          <w:color w:val="000000"/>
          <w:sz w:val="21"/>
          <w:szCs w:val="21"/>
        </w:rPr>
        <w:t>制作</w:t>
      </w:r>
      <w:bookmarkEnd w:id="62"/>
    </w:p>
    <w:p>
      <w:pPr>
        <w:spacing w:line="360" w:lineRule="auto"/>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360" w:lineRule="auto"/>
        <w:ind w:firstLine="420" w:firstLineChars="200"/>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pStyle w:val="5"/>
        <w:spacing w:line="360" w:lineRule="auto"/>
        <w:ind w:firstLine="420" w:firstLineChars="200"/>
        <w:rPr>
          <w:rFonts w:ascii="宋体" w:hAnsi="宋体" w:cs="宋体"/>
          <w:color w:val="000000"/>
          <w:sz w:val="21"/>
          <w:szCs w:val="21"/>
        </w:rPr>
      </w:pPr>
      <w:bookmarkStart w:id="63" w:name="_Toc102642501"/>
      <w:r>
        <w:rPr>
          <w:rFonts w:hint="eastAsia" w:ascii="宋体" w:hAnsi="宋体" w:cs="宋体"/>
          <w:color w:val="000000"/>
          <w:sz w:val="21"/>
          <w:szCs w:val="21"/>
        </w:rPr>
        <w:t>17. 响应文件的修改和撤回</w:t>
      </w:r>
      <w:bookmarkEnd w:id="63"/>
    </w:p>
    <w:p>
      <w:pPr>
        <w:spacing w:line="360" w:lineRule="auto"/>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pPr>
        <w:pStyle w:val="5"/>
        <w:spacing w:line="360" w:lineRule="auto"/>
        <w:ind w:firstLine="420" w:firstLineChars="200"/>
        <w:rPr>
          <w:rFonts w:ascii="宋体" w:hAnsi="宋体" w:cs="宋体"/>
          <w:color w:val="000000"/>
          <w:sz w:val="21"/>
          <w:szCs w:val="21"/>
        </w:rPr>
      </w:pPr>
      <w:bookmarkStart w:id="64" w:name="_Toc30156"/>
      <w:bookmarkStart w:id="65" w:name="_Toc102642502"/>
      <w:r>
        <w:rPr>
          <w:rFonts w:hint="eastAsia" w:ascii="宋体" w:hAnsi="宋体" w:cs="宋体"/>
          <w:color w:val="000000"/>
          <w:sz w:val="21"/>
          <w:szCs w:val="21"/>
        </w:rPr>
        <w:t>18. 响应文件的递交和解密</w:t>
      </w:r>
      <w:bookmarkEnd w:id="64"/>
      <w:bookmarkEnd w:id="65"/>
    </w:p>
    <w:p>
      <w:pPr>
        <w:spacing w:line="360" w:lineRule="auto"/>
        <w:ind w:firstLine="420" w:firstLineChars="200"/>
        <w:rPr>
          <w:rFonts w:ascii="宋体" w:hAnsi="宋体" w:cs="宋体"/>
          <w:color w:val="000000"/>
          <w:szCs w:val="21"/>
        </w:rPr>
      </w:pPr>
      <w:r>
        <w:rPr>
          <w:rFonts w:hint="eastAsia" w:ascii="宋体" w:hAnsi="宋体" w:cs="宋体"/>
          <w:color w:val="000000"/>
          <w:szCs w:val="21"/>
        </w:rPr>
        <w:t>18.1响应文件递交截止时间：于</w:t>
      </w: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 xml:space="preserve">月 </w:t>
      </w:r>
      <w:r>
        <w:rPr>
          <w:rFonts w:hint="eastAsia" w:ascii="宋体" w:hAnsi="宋体" w:cs="宋体"/>
          <w:szCs w:val="21"/>
          <w:u w:val="single"/>
          <w:lang w:val="en-US" w:eastAsia="zh-CN"/>
        </w:rPr>
        <w:t>9</w:t>
      </w:r>
      <w:r>
        <w:rPr>
          <w:rFonts w:hint="eastAsia" w:ascii="宋体" w:hAnsi="宋体" w:cs="宋体"/>
          <w:szCs w:val="21"/>
          <w:u w:val="single"/>
        </w:rPr>
        <w:t xml:space="preserve"> 日上午9时30分</w:t>
      </w:r>
      <w:r>
        <w:rPr>
          <w:rFonts w:hint="eastAsia" w:ascii="宋体" w:hAnsi="宋体" w:cs="宋体"/>
          <w:color w:val="000000"/>
          <w:szCs w:val="21"/>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18.2磋商响应文件解密时间：截标时间后</w:t>
      </w:r>
      <w:r>
        <w:rPr>
          <w:rFonts w:hint="eastAsia" w:ascii="宋体" w:hAnsi="宋体" w:cs="宋体"/>
          <w:color w:val="000000"/>
          <w:szCs w:val="21"/>
          <w:u w:val="single"/>
        </w:rPr>
        <w:t>30</w:t>
      </w:r>
      <w:r>
        <w:rPr>
          <w:rFonts w:hint="eastAsia" w:ascii="宋体" w:hAnsi="宋体" w:cs="宋体"/>
          <w:color w:val="000000"/>
          <w:szCs w:val="21"/>
        </w:rPr>
        <w:t>分钟内</w:t>
      </w:r>
      <w:r>
        <w:rPr>
          <w:rFonts w:hint="eastAsia" w:ascii="宋体" w:hAnsi="宋体" w:cs="宋体"/>
          <w:szCs w:val="21"/>
        </w:rPr>
        <w:t>（</w:t>
      </w:r>
      <w:r>
        <w:rPr>
          <w:rFonts w:hint="eastAsia" w:ascii="宋体" w:hAnsi="宋体" w:cs="宋体"/>
          <w:szCs w:val="21"/>
          <w:u w:val="single"/>
        </w:rPr>
        <w:t xml:space="preserve">2022年 </w:t>
      </w:r>
      <w:r>
        <w:rPr>
          <w:rFonts w:hint="eastAsia" w:ascii="宋体" w:hAnsi="宋体" w:cs="宋体"/>
          <w:szCs w:val="21"/>
          <w:u w:val="single"/>
          <w:lang w:val="en-US" w:eastAsia="zh-CN"/>
        </w:rPr>
        <w:t>8</w:t>
      </w:r>
      <w:r>
        <w:rPr>
          <w:rFonts w:hint="eastAsia" w:ascii="宋体" w:hAnsi="宋体" w:cs="宋体"/>
          <w:szCs w:val="21"/>
          <w:u w:val="single"/>
        </w:rPr>
        <w:t xml:space="preserve">月 </w:t>
      </w:r>
      <w:r>
        <w:rPr>
          <w:rFonts w:hint="eastAsia" w:ascii="宋体" w:hAnsi="宋体" w:cs="宋体"/>
          <w:szCs w:val="21"/>
          <w:u w:val="single"/>
          <w:lang w:val="en-US" w:eastAsia="zh-CN"/>
        </w:rPr>
        <w:t>9</w:t>
      </w:r>
      <w:r>
        <w:rPr>
          <w:rFonts w:hint="eastAsia" w:ascii="宋体" w:hAnsi="宋体" w:cs="宋体"/>
          <w:szCs w:val="21"/>
          <w:u w:val="single"/>
        </w:rPr>
        <w:t xml:space="preserve"> 日上午9时</w:t>
      </w:r>
      <w:bookmarkStart w:id="205" w:name="_GoBack"/>
      <w:bookmarkEnd w:id="205"/>
      <w:r>
        <w:rPr>
          <w:rFonts w:hint="eastAsia" w:ascii="宋体" w:hAnsi="宋体" w:cs="宋体"/>
          <w:szCs w:val="21"/>
          <w:u w:val="single"/>
        </w:rPr>
        <w:t>30分至10时00分</w:t>
      </w:r>
      <w:r>
        <w:rPr>
          <w:rFonts w:hint="eastAsia" w:ascii="宋体" w:hAnsi="宋体" w:cs="宋体"/>
          <w:szCs w:val="21"/>
        </w:rPr>
        <w:t>)磋商</w:t>
      </w:r>
      <w:r>
        <w:rPr>
          <w:rFonts w:hint="eastAsia" w:ascii="宋体" w:hAnsi="宋体" w:cs="宋体"/>
          <w:color w:val="000000"/>
          <w:szCs w:val="21"/>
        </w:rPr>
        <w:t>供应商可以登录政采云平台，用“项目采购-开标评标”功能进行解密磋商文件。</w:t>
      </w:r>
    </w:p>
    <w:p>
      <w:pPr>
        <w:spacing w:line="360" w:lineRule="auto"/>
        <w:ind w:firstLine="420" w:firstLineChars="200"/>
        <w:rPr>
          <w:rFonts w:ascii="宋体" w:hAnsi="宋体" w:cs="宋体"/>
          <w:b/>
          <w:bCs/>
          <w:szCs w:val="21"/>
        </w:rPr>
      </w:pPr>
      <w:r>
        <w:rPr>
          <w:rFonts w:hint="eastAsia" w:ascii="宋体" w:hAnsi="宋体" w:cs="宋体"/>
          <w:b/>
          <w:bCs/>
          <w:szCs w:val="21"/>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18.3 除竞争性磋商文件另有规定外，供应商所递交的响应文件不予退还。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18.4 电子响应文件的相关说明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360" w:lineRule="auto"/>
        <w:ind w:firstLine="420" w:firstLineChars="200"/>
        <w:rPr>
          <w:rFonts w:ascii="宋体" w:hAnsi="宋体" w:cs="宋体"/>
          <w:color w:val="000000"/>
        </w:rPr>
      </w:pPr>
      <w:r>
        <w:rPr>
          <w:rFonts w:hint="eastAsia" w:ascii="宋体" w:hAnsi="宋体" w:cs="宋体"/>
          <w:color w:val="000000"/>
          <w:szCs w:val="21"/>
        </w:rPr>
        <w:t>（2）如有特殊情况，采购代理机构延长截止时间和开标时间，采购代理机构和供应商的权利和义务将受到新的截止时间和开标时间的约束。</w:t>
      </w:r>
    </w:p>
    <w:p>
      <w:pPr>
        <w:pStyle w:val="4"/>
        <w:jc w:val="center"/>
        <w:rPr>
          <w:rFonts w:ascii="宋体" w:hAnsi="宋体" w:cs="宋体"/>
          <w:b/>
          <w:bCs w:val="0"/>
          <w:szCs w:val="28"/>
        </w:rPr>
      </w:pPr>
      <w:bookmarkStart w:id="66" w:name="_Toc2433"/>
      <w:bookmarkStart w:id="67" w:name="_Toc102642503"/>
      <w:r>
        <w:rPr>
          <w:rFonts w:hint="eastAsia" w:ascii="宋体" w:hAnsi="宋体" w:cs="宋体"/>
          <w:b/>
          <w:bCs w:val="0"/>
          <w:szCs w:val="28"/>
        </w:rPr>
        <w:t>四、竞争性磋商（简称磋商）与评审</w:t>
      </w:r>
      <w:bookmarkEnd w:id="66"/>
      <w:bookmarkEnd w:id="67"/>
    </w:p>
    <w:p>
      <w:pPr>
        <w:pStyle w:val="5"/>
        <w:spacing w:line="360" w:lineRule="auto"/>
        <w:ind w:firstLine="420" w:firstLineChars="200"/>
        <w:rPr>
          <w:rFonts w:ascii="宋体" w:hAnsi="宋体" w:cs="宋体"/>
          <w:color w:val="000000"/>
          <w:sz w:val="21"/>
          <w:szCs w:val="21"/>
        </w:rPr>
      </w:pPr>
      <w:bookmarkStart w:id="68" w:name="_Toc31588"/>
      <w:bookmarkStart w:id="69" w:name="_Toc102642504"/>
      <w:r>
        <w:rPr>
          <w:rFonts w:hint="eastAsia" w:ascii="宋体" w:hAnsi="宋体" w:cs="宋体"/>
          <w:color w:val="000000"/>
          <w:sz w:val="21"/>
          <w:szCs w:val="21"/>
        </w:rPr>
        <w:t>19. 磋商小组组成及磋商时间、地点、人员</w:t>
      </w:r>
      <w:bookmarkEnd w:id="68"/>
      <w:bookmarkEnd w:id="69"/>
    </w:p>
    <w:p>
      <w:pPr>
        <w:spacing w:line="360" w:lineRule="auto"/>
        <w:ind w:firstLine="420" w:firstLineChars="200"/>
        <w:rPr>
          <w:rFonts w:ascii="宋体" w:hAnsi="宋体" w:cs="宋体"/>
          <w:color w:val="000000"/>
          <w:szCs w:val="21"/>
        </w:rPr>
      </w:pPr>
      <w:r>
        <w:rPr>
          <w:rFonts w:hint="eastAsia" w:ascii="宋体" w:hAnsi="宋体" w:cs="宋体"/>
          <w:color w:val="000000"/>
          <w:szCs w:val="21"/>
        </w:rPr>
        <w:t>19.1 磋商小组组成：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19.2 磋商时间、地点、人员：</w:t>
      </w:r>
    </w:p>
    <w:p>
      <w:pPr>
        <w:spacing w:line="360" w:lineRule="auto"/>
        <w:ind w:firstLine="420" w:firstLineChars="200"/>
        <w:rPr>
          <w:rFonts w:ascii="宋体" w:hAnsi="宋体" w:cs="宋体"/>
          <w:color w:val="000000"/>
          <w:szCs w:val="21"/>
        </w:rPr>
      </w:pPr>
      <w:bookmarkStart w:id="70" w:name="_Toc9878"/>
      <w:r>
        <w:rPr>
          <w:rFonts w:hint="eastAsia" w:ascii="宋体" w:hAnsi="宋体" w:cs="宋体"/>
          <w:color w:val="000000"/>
          <w:szCs w:val="21"/>
        </w:rPr>
        <w:t>19.2.1磋商时间：响应文件递交截止时间后。</w:t>
      </w:r>
      <w:bookmarkEnd w:id="70"/>
    </w:p>
    <w:p>
      <w:pPr>
        <w:spacing w:line="360" w:lineRule="auto"/>
        <w:ind w:firstLine="420" w:firstLineChars="200"/>
        <w:rPr>
          <w:rFonts w:ascii="宋体" w:hAnsi="宋体" w:cs="宋体"/>
          <w:color w:val="000000"/>
          <w:szCs w:val="21"/>
        </w:rPr>
      </w:pPr>
      <w:bookmarkStart w:id="71" w:name="_Toc29268"/>
      <w:r>
        <w:rPr>
          <w:rFonts w:hint="eastAsia" w:ascii="宋体" w:hAnsi="宋体" w:cs="宋体"/>
          <w:color w:val="000000"/>
          <w:szCs w:val="21"/>
        </w:rPr>
        <w:t>19.2.2磋商地点：</w:t>
      </w:r>
      <w:bookmarkEnd w:id="71"/>
      <w:r>
        <w:rPr>
          <w:rFonts w:hint="eastAsia" w:ascii="宋体" w:hAnsi="宋体" w:cs="宋体"/>
          <w:color w:val="000000"/>
          <w:szCs w:val="21"/>
        </w:rPr>
        <w:t>本项目需要磋商供应商代表在截标当天截标后，按磋商小组要求及时登陆政采云平台等候在线磋商。</w:t>
      </w:r>
    </w:p>
    <w:p>
      <w:pPr>
        <w:spacing w:line="360" w:lineRule="auto"/>
        <w:ind w:firstLine="420" w:firstLineChars="200"/>
        <w:rPr>
          <w:rFonts w:ascii="宋体" w:hAnsi="宋体" w:cs="宋体"/>
          <w:bCs/>
          <w:color w:val="000000"/>
          <w:szCs w:val="21"/>
        </w:rPr>
      </w:pPr>
      <w:bookmarkStart w:id="72" w:name="_Toc21307"/>
      <w:r>
        <w:rPr>
          <w:rFonts w:hint="eastAsia" w:ascii="宋体" w:hAnsi="宋体" w:cs="宋体"/>
          <w:color w:val="000000"/>
          <w:szCs w:val="21"/>
        </w:rPr>
        <w:t>19</w:t>
      </w:r>
      <w:r>
        <w:rPr>
          <w:rFonts w:hint="eastAsia" w:ascii="宋体" w:hAnsi="宋体" w:cs="宋体"/>
          <w:bCs/>
          <w:color w:val="000000"/>
          <w:szCs w:val="21"/>
        </w:rPr>
        <w:t>.2.3磋商参加人员：供应商法定代表人、负责人、自然人或相应的委托代理人持</w:t>
      </w:r>
      <w:r>
        <w:rPr>
          <w:rFonts w:hint="eastAsia" w:ascii="宋体" w:hAnsi="宋体" w:cs="宋体"/>
          <w:bCs/>
          <w:color w:val="000000"/>
          <w:szCs w:val="21"/>
          <w:u w:val="single"/>
        </w:rPr>
        <w:t>有效身份证原件</w:t>
      </w:r>
      <w:r>
        <w:rPr>
          <w:rFonts w:hint="eastAsia" w:ascii="宋体" w:hAnsi="宋体" w:cs="宋体"/>
          <w:bCs/>
          <w:color w:val="000000"/>
          <w:szCs w:val="21"/>
        </w:rPr>
        <w:t>和供应商</w:t>
      </w:r>
      <w:r>
        <w:rPr>
          <w:rFonts w:hint="eastAsia" w:ascii="宋体" w:hAnsi="宋体" w:cs="宋体"/>
          <w:bCs/>
          <w:color w:val="000000"/>
          <w:szCs w:val="21"/>
          <w:u w:val="single"/>
        </w:rPr>
        <w:t>政采云平台CA数字证书</w:t>
      </w:r>
      <w:r>
        <w:rPr>
          <w:rFonts w:hint="eastAsia" w:ascii="宋体" w:hAnsi="宋体" w:cs="宋体"/>
          <w:bCs/>
          <w:color w:val="000000"/>
          <w:szCs w:val="21"/>
        </w:rPr>
        <w:t>参加磋商。请供应商按时到达指定地点等候磋商。</w:t>
      </w:r>
      <w:bookmarkEnd w:id="72"/>
    </w:p>
    <w:p>
      <w:pPr>
        <w:spacing w:line="360" w:lineRule="auto"/>
        <w:ind w:firstLine="420" w:firstLineChars="200"/>
        <w:rPr>
          <w:rFonts w:ascii="宋体" w:hAnsi="宋体" w:cs="宋体"/>
          <w:bCs/>
          <w:color w:val="000000"/>
          <w:szCs w:val="21"/>
        </w:rPr>
      </w:pPr>
      <w:bookmarkStart w:id="73" w:name="_Toc6288"/>
      <w:r>
        <w:rPr>
          <w:rFonts w:hint="eastAsia" w:ascii="宋体" w:hAnsi="宋体" w:cs="宋体"/>
          <w:bCs/>
          <w:color w:val="000000"/>
          <w:szCs w:val="21"/>
        </w:rPr>
        <w:t>19.2.4响应文件递交截止时间后，由磋商小组在评标室内线上开启响应文件。</w:t>
      </w:r>
      <w:bookmarkEnd w:id="73"/>
    </w:p>
    <w:p>
      <w:pPr>
        <w:pStyle w:val="5"/>
        <w:spacing w:line="360" w:lineRule="auto"/>
        <w:ind w:firstLine="420" w:firstLineChars="200"/>
        <w:rPr>
          <w:rFonts w:ascii="宋体" w:hAnsi="宋体" w:cs="宋体"/>
          <w:color w:val="000000"/>
          <w:sz w:val="21"/>
          <w:szCs w:val="21"/>
        </w:rPr>
      </w:pPr>
      <w:bookmarkStart w:id="74" w:name="_Toc25258"/>
      <w:bookmarkStart w:id="75" w:name="_Toc102642505"/>
      <w:r>
        <w:rPr>
          <w:rFonts w:hint="eastAsia" w:ascii="宋体" w:hAnsi="宋体" w:cs="宋体"/>
          <w:color w:val="000000"/>
          <w:sz w:val="21"/>
          <w:szCs w:val="21"/>
        </w:rPr>
        <w:t>20. 评审原则</w:t>
      </w:r>
      <w:bookmarkEnd w:id="74"/>
      <w:bookmarkEnd w:id="75"/>
    </w:p>
    <w:p>
      <w:pPr>
        <w:spacing w:line="360" w:lineRule="auto"/>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line="360" w:lineRule="auto"/>
        <w:ind w:firstLine="420" w:firstLineChars="200"/>
        <w:rPr>
          <w:rFonts w:ascii="宋体" w:hAnsi="宋体" w:cs="宋体"/>
          <w:color w:val="000000"/>
          <w:sz w:val="21"/>
          <w:szCs w:val="21"/>
        </w:rPr>
      </w:pPr>
      <w:bookmarkStart w:id="76" w:name="_Toc102642506"/>
      <w:bookmarkStart w:id="77" w:name="_Toc27193"/>
      <w:r>
        <w:rPr>
          <w:rFonts w:hint="eastAsia" w:ascii="宋体" w:hAnsi="宋体" w:cs="宋体"/>
          <w:color w:val="000000"/>
          <w:sz w:val="21"/>
          <w:szCs w:val="21"/>
        </w:rPr>
        <w:t>21. 评审程序及磋商要求</w:t>
      </w:r>
      <w:bookmarkEnd w:id="76"/>
      <w:bookmarkEnd w:id="77"/>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21.1磋商小组成员的通讯工具或相关电子设备交由桂林市公共资源交易中心统一保管后到达评标室，采购 </w:t>
      </w:r>
    </w:p>
    <w:p>
      <w:pPr>
        <w:spacing w:line="360" w:lineRule="auto"/>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21.4.2 审查流程：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21.5 磋商小组如发现供应商提供的证明文件不齐全或不符合规定格式的，应一次性告知供应商，供应</w:t>
      </w:r>
    </w:p>
    <w:p>
      <w:pPr>
        <w:spacing w:line="360" w:lineRule="auto"/>
        <w:rPr>
          <w:rFonts w:ascii="宋体" w:hAnsi="宋体" w:cs="宋体"/>
          <w:b/>
          <w:bCs/>
          <w:color w:val="000000"/>
          <w:szCs w:val="21"/>
        </w:rPr>
      </w:pPr>
      <w:r>
        <w:rPr>
          <w:rFonts w:hint="eastAsia" w:ascii="宋体" w:hAnsi="宋体" w:cs="宋体"/>
          <w:b/>
          <w:bCs/>
          <w:color w:val="000000"/>
          <w:szCs w:val="21"/>
        </w:rPr>
        <w:t>商应在规定的时间内线上补正或更正。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21.6 磋商小组在对响应文件的有效性、完整性和响应程度进行审查时，可以要求供应商对响应文件中含义 </w:t>
      </w:r>
    </w:p>
    <w:p>
      <w:pPr>
        <w:spacing w:line="360" w:lineRule="auto"/>
        <w:rPr>
          <w:rFonts w:ascii="宋体" w:hAnsi="宋体" w:cs="宋体"/>
          <w:color w:val="000000"/>
          <w:szCs w:val="21"/>
        </w:rPr>
      </w:pPr>
      <w:r>
        <w:rPr>
          <w:rFonts w:hint="eastAsia" w:ascii="宋体" w:hAnsi="宋体" w:cs="宋体"/>
          <w:color w:val="000000"/>
          <w:szCs w:val="21"/>
        </w:rPr>
        <w:t xml:space="preserve">不明确、同类问题表述不一致或者有明显文字和计算错误的内容等作出必要的澄清、说明或者更正。供应商的 </w:t>
      </w:r>
    </w:p>
    <w:p>
      <w:pPr>
        <w:spacing w:line="360" w:lineRule="auto"/>
        <w:rPr>
          <w:rFonts w:ascii="宋体" w:hAnsi="宋体" w:cs="宋体"/>
          <w:color w:val="000000"/>
          <w:szCs w:val="21"/>
        </w:rPr>
      </w:pPr>
      <w:r>
        <w:rPr>
          <w:rFonts w:hint="eastAsia" w:ascii="宋体" w:hAnsi="宋体" w:cs="宋体"/>
          <w:color w:val="000000"/>
          <w:szCs w:val="21"/>
        </w:rPr>
        <w:t xml:space="preserve">澄清、说明或者更正不得超出响应文件的范围或者改变响应文件的实质性内容。澄清、说明或者更正应由其法 </w:t>
      </w:r>
    </w:p>
    <w:p>
      <w:pPr>
        <w:pStyle w:val="8"/>
        <w:rPr>
          <w:rFonts w:ascii="宋体" w:hAnsi="宋体" w:cs="宋体"/>
          <w:color w:val="000000"/>
          <w:szCs w:val="21"/>
        </w:rPr>
      </w:pPr>
      <w:r>
        <w:rPr>
          <w:rFonts w:hint="eastAsia" w:ascii="宋体" w:hAnsi="宋体" w:cs="宋体"/>
          <w:color w:val="000000"/>
          <w:szCs w:val="21"/>
        </w:rPr>
        <w:t>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根据磋商文件规定的程序、评定成交的标准等事项与实质性响应竞争性磋商文件要求的供应商进行磋商。 </w:t>
      </w:r>
    </w:p>
    <w:p>
      <w:pPr>
        <w:spacing w:line="360" w:lineRule="auto"/>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磋商小组所有成员应当按已确定的磋商顺序集中与单一供应商分别进行磋商，并给予所有实质性响应竞争 </w:t>
      </w:r>
    </w:p>
    <w:p>
      <w:pPr>
        <w:spacing w:line="360" w:lineRule="auto"/>
        <w:rPr>
          <w:rFonts w:ascii="宋体" w:hAnsi="宋体" w:cs="宋体"/>
          <w:color w:val="000000"/>
          <w:szCs w:val="21"/>
        </w:rPr>
      </w:pPr>
      <w:r>
        <w:rPr>
          <w:rFonts w:hint="eastAsia" w:ascii="宋体" w:hAnsi="宋体" w:cs="宋体"/>
          <w:color w:val="000000"/>
          <w:szCs w:val="21"/>
        </w:rPr>
        <w:t xml:space="preserve">性磋商文件要求的供应商平等的磋商机会。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磋商小组对磋商过程和重要磋商内容进行记录，磋商双方在记录上签字确认。 </w:t>
      </w:r>
    </w:p>
    <w:p>
      <w:pPr>
        <w:spacing w:line="360" w:lineRule="auto"/>
        <w:ind w:firstLine="420" w:firstLineChars="200"/>
        <w:rPr>
          <w:rFonts w:ascii="宋体" w:hAnsi="宋体" w:cs="宋体"/>
          <w:color w:val="000000"/>
        </w:rPr>
      </w:pPr>
      <w:r>
        <w:rPr>
          <w:rFonts w:hint="eastAsia" w:ascii="宋体" w:hAnsi="宋体" w:cs="宋体"/>
          <w:color w:val="000000"/>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21.8 在磋商过程中，磋商小组可以根据磋商文件和磋商情况实质性变动项目需求中的技术、服务要求以及 </w:t>
      </w:r>
    </w:p>
    <w:p>
      <w:pPr>
        <w:spacing w:line="360" w:lineRule="auto"/>
        <w:rPr>
          <w:rFonts w:ascii="宋体" w:hAnsi="宋体" w:cs="宋体"/>
          <w:color w:val="000000"/>
          <w:szCs w:val="21"/>
        </w:rPr>
      </w:pPr>
      <w:r>
        <w:rPr>
          <w:rFonts w:hint="eastAsia" w:ascii="宋体" w:hAnsi="宋体" w:cs="宋体"/>
          <w:color w:val="000000"/>
          <w:szCs w:val="21"/>
        </w:rPr>
        <w:t xml:space="preserve">合同草案条款，但不得变动磋商文件中的其他内容。实质性变动的内容，须经采购人代表确认。 </w:t>
      </w:r>
    </w:p>
    <w:p>
      <w:pPr>
        <w:spacing w:line="360" w:lineRule="auto"/>
        <w:rPr>
          <w:rFonts w:ascii="宋体" w:hAnsi="宋体" w:cs="宋体"/>
          <w:color w:val="000000"/>
          <w:szCs w:val="21"/>
        </w:rPr>
      </w:pPr>
      <w:r>
        <w:rPr>
          <w:rFonts w:hint="eastAsia" w:ascii="宋体" w:hAnsi="宋体" w:cs="宋体"/>
          <w:color w:val="000000"/>
          <w:szCs w:val="21"/>
        </w:rPr>
        <w:t xml:space="preserve">对磋商文件作出的实质性变动是磋商文件的有效组成部分，磋商小组应当及时通过政采云平台同时通知所有参加磋商的供应商。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21.9 第二轮磋商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pPr>
        <w:spacing w:line="360" w:lineRule="auto"/>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 最后报价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360" w:lineRule="auto"/>
        <w:ind w:firstLine="420" w:firstLineChars="200"/>
        <w:rPr>
          <w:rFonts w:ascii="宋体" w:hAnsi="宋体" w:cs="宋体"/>
          <w:color w:val="000000"/>
        </w:rPr>
      </w:pPr>
      <w:r>
        <w:rPr>
          <w:rFonts w:hint="eastAsia" w:ascii="宋体" w:hAnsi="宋体" w:cs="宋体"/>
          <w:color w:val="000000"/>
          <w:szCs w:val="21"/>
        </w:rPr>
        <w:t xml:space="preserve">21.11.3 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 号)的规定：</w:t>
      </w:r>
      <w:r>
        <w:rPr>
          <w:rFonts w:hint="eastAsia" w:ascii="宋体" w:hAnsi="宋体" w:cs="宋体"/>
          <w:b/>
          <w:bCs/>
          <w:color w:val="000000"/>
          <w:szCs w:val="21"/>
        </w:rPr>
        <w:t xml:space="preserve">最后报价是供应商响应文件的有效组成部分。 </w:t>
      </w:r>
      <w:r>
        <w:rPr>
          <w:rFonts w:hint="eastAsia" w:ascii="宋体" w:hAnsi="宋体" w:cs="宋体"/>
          <w:color w:val="000000"/>
          <w:szCs w:val="21"/>
        </w:rPr>
        <w:t>符合本办法(财库〔2014〕214号)第三条第四项情形的，提交最后报价的供应商可以为2家。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21.12 已提交响应文件的供应商，在提交最后报价之前，可以根据磋商情况书面退出磋商。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未书面退出磋商的供应商在规定时间内线上提交最后报价，其最后报价超出采购预算导致已通过评审的响 </w:t>
      </w:r>
    </w:p>
    <w:p>
      <w:pPr>
        <w:spacing w:line="360" w:lineRule="auto"/>
        <w:rPr>
          <w:rFonts w:ascii="宋体" w:hAnsi="宋体" w:cs="宋体"/>
          <w:color w:val="000000"/>
          <w:szCs w:val="21"/>
        </w:rPr>
      </w:pPr>
      <w:r>
        <w:rPr>
          <w:rFonts w:hint="eastAsia" w:ascii="宋体" w:hAnsi="宋体" w:cs="宋体"/>
          <w:color w:val="000000"/>
          <w:szCs w:val="21"/>
        </w:rPr>
        <w:t xml:space="preserve">应文件无效的，按供应商在提交响应文件截止时间后撤回响应文件处理。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21.13 评审报告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21.14 在评审过程中出现法律法规和磋商文件均没有明确规定的情形时，由磋商小组现场协商解决，协商 </w:t>
      </w:r>
    </w:p>
    <w:p>
      <w:pPr>
        <w:spacing w:line="360" w:lineRule="auto"/>
        <w:rPr>
          <w:rFonts w:ascii="宋体" w:hAnsi="宋体" w:cs="宋体"/>
          <w:color w:val="000000"/>
          <w:szCs w:val="21"/>
        </w:rPr>
      </w:pPr>
      <w:r>
        <w:rPr>
          <w:rFonts w:hint="eastAsia" w:ascii="宋体" w:hAnsi="宋体" w:cs="宋体"/>
          <w:color w:val="000000"/>
          <w:szCs w:val="21"/>
        </w:rPr>
        <w:t xml:space="preserve">不一致的，由全体磋商小组投票表决，以得票率二分之一以上磋商小组成员的意见为准。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21.15 采购代理机构发现磋商小组有明显的违规倾向或歧视现象，或不按评审办法进行，或其他不正常行 </w:t>
      </w:r>
    </w:p>
    <w:p>
      <w:pPr>
        <w:spacing w:line="360" w:lineRule="auto"/>
        <w:rPr>
          <w:rFonts w:ascii="宋体" w:hAnsi="宋体" w:cs="宋体"/>
          <w:color w:val="000000"/>
          <w:szCs w:val="21"/>
        </w:rPr>
      </w:pPr>
      <w:r>
        <w:rPr>
          <w:rFonts w:hint="eastAsia" w:ascii="宋体" w:hAnsi="宋体" w:cs="宋体"/>
          <w:color w:val="000000"/>
          <w:szCs w:val="21"/>
        </w:rPr>
        <w:t>为的，应当及时制止。如制止无效，应及时向桂林市临桂区政府采购监督管理机构报告。</w:t>
      </w:r>
    </w:p>
    <w:p>
      <w:pPr>
        <w:spacing w:line="360" w:lineRule="auto"/>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pPr>
        <w:pStyle w:val="5"/>
        <w:spacing w:line="360" w:lineRule="auto"/>
        <w:ind w:firstLine="420" w:firstLineChars="200"/>
        <w:rPr>
          <w:rFonts w:ascii="宋体" w:hAnsi="宋体" w:cs="宋体"/>
          <w:color w:val="000000"/>
          <w:sz w:val="21"/>
          <w:szCs w:val="21"/>
        </w:rPr>
      </w:pPr>
      <w:bookmarkStart w:id="78" w:name="_Toc32470"/>
      <w:bookmarkStart w:id="79" w:name="_Toc102642507"/>
      <w:r>
        <w:rPr>
          <w:rFonts w:hint="eastAsia" w:ascii="宋体" w:hAnsi="宋体" w:cs="宋体"/>
          <w:color w:val="000000"/>
          <w:sz w:val="21"/>
          <w:szCs w:val="21"/>
        </w:rPr>
        <w:t>22. 确定成交供应商</w:t>
      </w:r>
      <w:bookmarkEnd w:id="78"/>
      <w:bookmarkEnd w:id="79"/>
    </w:p>
    <w:p>
      <w:pPr>
        <w:spacing w:line="360" w:lineRule="auto"/>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22.4排名第二的成交候选人因前款规定的同样原因不能签订合同的，采购单位可以确定排名第三的成交候选人为成交供应商。</w:t>
      </w:r>
    </w:p>
    <w:p>
      <w:pPr>
        <w:pStyle w:val="5"/>
        <w:spacing w:line="360" w:lineRule="auto"/>
        <w:ind w:firstLine="420" w:firstLineChars="200"/>
        <w:rPr>
          <w:rFonts w:ascii="宋体" w:hAnsi="宋体" w:cs="宋体"/>
          <w:color w:val="000000"/>
          <w:sz w:val="21"/>
          <w:szCs w:val="21"/>
        </w:rPr>
      </w:pPr>
      <w:bookmarkStart w:id="80" w:name="_Toc102642508"/>
      <w:bookmarkStart w:id="81" w:name="_Toc21715"/>
      <w:r>
        <w:rPr>
          <w:rFonts w:hint="eastAsia" w:ascii="宋体" w:hAnsi="宋体" w:cs="宋体"/>
          <w:color w:val="000000"/>
          <w:sz w:val="21"/>
          <w:szCs w:val="21"/>
        </w:rPr>
        <w:t>23. 属于下列情况之一者，响应文件无效</w:t>
      </w:r>
      <w:bookmarkEnd w:id="80"/>
      <w:bookmarkEnd w:id="81"/>
    </w:p>
    <w:p>
      <w:pPr>
        <w:spacing w:line="360" w:lineRule="auto"/>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pPr>
        <w:spacing w:line="360" w:lineRule="auto"/>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（6）不同供应商的磋商保证金从同一单位或者个人账户转出。</w:t>
      </w:r>
    </w:p>
    <w:p>
      <w:pPr>
        <w:pStyle w:val="5"/>
        <w:spacing w:line="360" w:lineRule="auto"/>
        <w:ind w:firstLine="420" w:firstLineChars="200"/>
        <w:rPr>
          <w:rFonts w:ascii="宋体" w:hAnsi="宋体" w:cs="宋体"/>
          <w:color w:val="000000"/>
          <w:sz w:val="21"/>
          <w:szCs w:val="21"/>
        </w:rPr>
      </w:pPr>
      <w:bookmarkStart w:id="82" w:name="_Toc5714"/>
      <w:bookmarkStart w:id="83" w:name="_Toc102642509"/>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82"/>
      <w:bookmarkEnd w:id="83"/>
    </w:p>
    <w:p>
      <w:pPr>
        <w:spacing w:line="360" w:lineRule="auto"/>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pPr>
        <w:pStyle w:val="5"/>
        <w:spacing w:line="360" w:lineRule="auto"/>
        <w:ind w:firstLine="420" w:firstLineChars="200"/>
        <w:rPr>
          <w:rFonts w:ascii="宋体" w:hAnsi="宋体" w:cs="宋体"/>
          <w:color w:val="000000"/>
          <w:sz w:val="21"/>
          <w:szCs w:val="21"/>
        </w:rPr>
      </w:pPr>
      <w:bookmarkStart w:id="84" w:name="_Toc19105"/>
      <w:bookmarkStart w:id="85" w:name="_Toc102642510"/>
      <w:r>
        <w:rPr>
          <w:rFonts w:hint="eastAsia" w:ascii="宋体" w:hAnsi="宋体" w:cs="宋体"/>
          <w:color w:val="000000"/>
          <w:sz w:val="21"/>
          <w:szCs w:val="21"/>
        </w:rPr>
        <w:t>25. 磋商过程的监控</w:t>
      </w:r>
      <w:bookmarkEnd w:id="84"/>
      <w:bookmarkEnd w:id="85"/>
    </w:p>
    <w:p>
      <w:pPr>
        <w:spacing w:line="360" w:lineRule="auto"/>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pPr>
        <w:pStyle w:val="5"/>
        <w:numPr>
          <w:ilvl w:val="0"/>
          <w:numId w:val="4"/>
        </w:numPr>
        <w:spacing w:line="360" w:lineRule="auto"/>
        <w:ind w:firstLine="420" w:firstLineChars="200"/>
        <w:rPr>
          <w:rFonts w:ascii="宋体" w:hAnsi="宋体" w:cs="宋体"/>
          <w:color w:val="000000"/>
          <w:sz w:val="21"/>
          <w:szCs w:val="21"/>
        </w:rPr>
      </w:pPr>
      <w:bookmarkStart w:id="86" w:name="_Toc102642511"/>
      <w:bookmarkStart w:id="87" w:name="_Toc14787"/>
      <w:r>
        <w:rPr>
          <w:rFonts w:hint="eastAsia" w:ascii="宋体" w:hAnsi="宋体" w:cs="宋体"/>
          <w:color w:val="000000"/>
          <w:sz w:val="21"/>
          <w:szCs w:val="21"/>
        </w:rPr>
        <w:t>信用查询</w:t>
      </w:r>
      <w:bookmarkEnd w:id="86"/>
      <w:bookmarkEnd w:id="87"/>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w:t>
      </w:r>
      <w:r>
        <w:rPr>
          <w:rFonts w:hint="eastAsia"/>
        </w:rPr>
        <w:t>）</w:t>
      </w:r>
      <w:r>
        <w:rPr>
          <w:rFonts w:hint="eastAsia" w:ascii="宋体" w:hAnsi="宋体" w:cs="宋体"/>
          <w:color w:val="000000"/>
          <w:szCs w:val="21"/>
        </w:rPr>
        <w:t>，采购代理机构对成交人的成交资格进行信用查询：</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288" w:lineRule="auto"/>
        <w:ind w:firstLine="420" w:firstLineChars="200"/>
        <w:rPr>
          <w:rFonts w:ascii="宋体" w:hAnsi="宋体" w:cs="宋体"/>
          <w:color w:val="000000"/>
        </w:rPr>
      </w:pPr>
      <w:r>
        <w:rPr>
          <w:rFonts w:hint="eastAsia" w:ascii="宋体" w:hAnsi="宋体" w:cs="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spacing w:line="288" w:lineRule="auto"/>
        <w:ind w:firstLine="420" w:firstLineChars="200"/>
        <w:rPr>
          <w:rFonts w:ascii="宋体" w:hAnsi="宋体" w:cs="宋体"/>
          <w:color w:val="000000"/>
          <w:sz w:val="21"/>
          <w:szCs w:val="21"/>
        </w:rPr>
      </w:pPr>
      <w:bookmarkStart w:id="88" w:name="_Toc9438"/>
      <w:bookmarkStart w:id="89" w:name="_Toc102642512"/>
      <w:r>
        <w:rPr>
          <w:rFonts w:hint="eastAsia" w:ascii="宋体" w:hAnsi="宋体" w:cs="宋体"/>
          <w:color w:val="000000"/>
          <w:sz w:val="21"/>
          <w:szCs w:val="21"/>
        </w:rPr>
        <w:t>27. 成交结果公告及成交通知书</w:t>
      </w:r>
      <w:bookmarkEnd w:id="88"/>
      <w:bookmarkEnd w:id="89"/>
    </w:p>
    <w:p>
      <w:pPr>
        <w:spacing w:line="288" w:lineRule="auto"/>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pPr>
        <w:pStyle w:val="4"/>
        <w:spacing w:line="288" w:lineRule="auto"/>
        <w:jc w:val="center"/>
        <w:rPr>
          <w:rFonts w:ascii="宋体" w:hAnsi="宋体" w:cs="宋体"/>
          <w:b/>
          <w:bCs w:val="0"/>
          <w:szCs w:val="28"/>
        </w:rPr>
      </w:pPr>
      <w:bookmarkStart w:id="90" w:name="_Toc102642513"/>
      <w:bookmarkStart w:id="91" w:name="_Toc25593"/>
      <w:r>
        <w:rPr>
          <w:rFonts w:hint="eastAsia" w:ascii="宋体" w:hAnsi="宋体" w:cs="宋体"/>
          <w:b/>
          <w:bCs w:val="0"/>
          <w:szCs w:val="28"/>
        </w:rPr>
        <w:t>五、</w:t>
      </w:r>
      <w:r>
        <w:rPr>
          <w:rFonts w:hint="eastAsia" w:ascii="宋体" w:hAnsi="宋体" w:cs="宋体"/>
          <w:b/>
          <w:szCs w:val="28"/>
        </w:rPr>
        <w:t>履约保证金及</w:t>
      </w:r>
      <w:r>
        <w:rPr>
          <w:rFonts w:hint="eastAsia" w:ascii="宋体" w:hAnsi="宋体" w:cs="宋体"/>
          <w:b/>
          <w:bCs w:val="0"/>
          <w:szCs w:val="28"/>
        </w:rPr>
        <w:t>签订合同</w:t>
      </w:r>
      <w:bookmarkEnd w:id="90"/>
      <w:bookmarkEnd w:id="91"/>
    </w:p>
    <w:p>
      <w:pPr>
        <w:pStyle w:val="5"/>
        <w:spacing w:line="288" w:lineRule="auto"/>
        <w:ind w:firstLine="420" w:firstLineChars="200"/>
        <w:rPr>
          <w:rFonts w:ascii="宋体" w:hAnsi="宋体" w:cs="宋体"/>
        </w:rPr>
      </w:pPr>
      <w:bookmarkStart w:id="92" w:name="_Toc26520"/>
      <w:bookmarkStart w:id="93" w:name="_Toc102642514"/>
      <w:r>
        <w:rPr>
          <w:rFonts w:hint="eastAsia" w:ascii="宋体" w:hAnsi="宋体" w:cs="宋体"/>
          <w:sz w:val="21"/>
          <w:szCs w:val="21"/>
        </w:rPr>
        <w:t>28. 履约保证金</w:t>
      </w:r>
      <w:bookmarkEnd w:id="92"/>
      <w:bookmarkEnd w:id="93"/>
    </w:p>
    <w:p>
      <w:pPr>
        <w:pStyle w:val="5"/>
        <w:spacing w:line="288" w:lineRule="auto"/>
        <w:ind w:firstLine="420" w:firstLineChars="200"/>
        <w:rPr>
          <w:rFonts w:ascii="宋体" w:hAnsi="宋体" w:cs="宋体"/>
          <w:bCs/>
          <w:sz w:val="21"/>
          <w:szCs w:val="21"/>
        </w:rPr>
      </w:pPr>
      <w:bookmarkStart w:id="94" w:name="_Toc102642515"/>
      <w:bookmarkStart w:id="95" w:name="_Toc4956"/>
      <w:r>
        <w:rPr>
          <w:rFonts w:hint="eastAsia" w:ascii="宋体" w:hAnsi="宋体" w:cs="宋体"/>
          <w:bCs/>
          <w:sz w:val="21"/>
          <w:szCs w:val="21"/>
        </w:rPr>
        <w:t>本项目无需缴纳履约保证金。</w:t>
      </w:r>
      <w:bookmarkEnd w:id="94"/>
    </w:p>
    <w:p>
      <w:pPr>
        <w:pStyle w:val="5"/>
        <w:spacing w:line="288" w:lineRule="auto"/>
        <w:ind w:firstLine="420" w:firstLineChars="200"/>
        <w:rPr>
          <w:rFonts w:ascii="宋体" w:hAnsi="宋体" w:cs="宋体"/>
          <w:sz w:val="21"/>
          <w:szCs w:val="21"/>
        </w:rPr>
      </w:pPr>
      <w:bookmarkStart w:id="96" w:name="_Toc102642516"/>
      <w:r>
        <w:rPr>
          <w:rFonts w:hint="eastAsia" w:ascii="宋体" w:hAnsi="宋体" w:cs="宋体"/>
          <w:sz w:val="21"/>
          <w:szCs w:val="21"/>
        </w:rPr>
        <w:t>29. 签订合同</w:t>
      </w:r>
      <w:bookmarkEnd w:id="95"/>
      <w:bookmarkEnd w:id="96"/>
    </w:p>
    <w:p>
      <w:pPr>
        <w:spacing w:line="288" w:lineRule="auto"/>
        <w:ind w:firstLine="420" w:firstLineChars="200"/>
        <w:rPr>
          <w:rFonts w:ascii="宋体" w:hAnsi="宋体" w:cs="宋体"/>
          <w:b/>
          <w:bCs/>
          <w:szCs w:val="21"/>
        </w:rPr>
      </w:pPr>
      <w:r>
        <w:rPr>
          <w:rFonts w:hint="eastAsia" w:ascii="宋体" w:hAnsi="宋体" w:cs="宋体"/>
          <w:b/>
          <w:bCs/>
          <w:szCs w:val="21"/>
        </w:rPr>
        <w:t>29.1 签订合同时间：成交通知书发出之日起二十五日内签订合同。成交供应商领取成交通知书后，应按规定与采购人签订合同。</w:t>
      </w:r>
    </w:p>
    <w:p>
      <w:pPr>
        <w:spacing w:line="288" w:lineRule="auto"/>
        <w:ind w:firstLine="420" w:firstLineChars="200"/>
        <w:rPr>
          <w:rFonts w:ascii="宋体" w:hAnsi="宋体" w:cs="宋体"/>
          <w:color w:val="000000"/>
          <w:szCs w:val="21"/>
        </w:rPr>
      </w:pPr>
      <w:r>
        <w:rPr>
          <w:rFonts w:hint="eastAsia" w:ascii="宋体" w:hAnsi="宋体" w:cs="宋体"/>
          <w:szCs w:val="21"/>
        </w:rPr>
        <w:t>29.2 如成交供应商有下列情形之一的，情节严重的，</w:t>
      </w:r>
      <w:r>
        <w:rPr>
          <w:rFonts w:hint="eastAsia" w:ascii="宋体" w:hAnsi="宋体" w:cs="宋体"/>
          <w:color w:val="000000"/>
          <w:szCs w:val="21"/>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（3）拒绝履行合同义务的。</w:t>
      </w:r>
    </w:p>
    <w:p>
      <w:pPr>
        <w:spacing w:line="288" w:lineRule="auto"/>
        <w:ind w:firstLine="420" w:firstLineChars="200"/>
        <w:rPr>
          <w:rFonts w:ascii="宋体" w:hAnsi="宋体" w:cs="宋体"/>
          <w:color w:val="000000"/>
        </w:rPr>
      </w:pPr>
      <w:r>
        <w:rPr>
          <w:rFonts w:hint="eastAsia" w:ascii="宋体" w:hAnsi="宋体" w:cs="宋体"/>
          <w:color w:val="000000"/>
          <w:szCs w:val="21"/>
        </w:rPr>
        <w:t>29.3 合同备案存档：</w:t>
      </w: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桂林市临桂区政府采购监督管理股备案，一份由采购代理机构存档。</w:t>
      </w:r>
    </w:p>
    <w:p>
      <w:pPr>
        <w:pStyle w:val="4"/>
        <w:spacing w:line="288" w:lineRule="auto"/>
        <w:jc w:val="center"/>
        <w:rPr>
          <w:rFonts w:ascii="宋体" w:hAnsi="宋体" w:cs="宋体"/>
          <w:b/>
          <w:bCs w:val="0"/>
          <w:szCs w:val="28"/>
        </w:rPr>
      </w:pPr>
      <w:bookmarkStart w:id="97" w:name="_Toc102642517"/>
      <w:bookmarkStart w:id="98" w:name="_Toc16348"/>
      <w:r>
        <w:rPr>
          <w:rFonts w:hint="eastAsia" w:ascii="宋体" w:hAnsi="宋体" w:cs="宋体"/>
          <w:b/>
          <w:bCs w:val="0"/>
          <w:szCs w:val="28"/>
        </w:rPr>
        <w:t>六、其他事项</w:t>
      </w:r>
      <w:bookmarkEnd w:id="97"/>
      <w:bookmarkEnd w:id="98"/>
    </w:p>
    <w:p>
      <w:pPr>
        <w:pStyle w:val="5"/>
        <w:spacing w:line="288" w:lineRule="auto"/>
        <w:ind w:firstLine="420" w:firstLineChars="200"/>
        <w:rPr>
          <w:rFonts w:ascii="宋体" w:hAnsi="宋体" w:cs="宋体"/>
          <w:color w:val="000000"/>
          <w:sz w:val="21"/>
          <w:szCs w:val="21"/>
        </w:rPr>
      </w:pPr>
      <w:bookmarkStart w:id="99" w:name="_Toc102642518"/>
      <w:bookmarkStart w:id="100" w:name="_Toc28647"/>
      <w:r>
        <w:rPr>
          <w:rFonts w:hint="eastAsia" w:ascii="宋体" w:hAnsi="宋体" w:cs="宋体"/>
          <w:color w:val="000000"/>
          <w:sz w:val="21"/>
          <w:szCs w:val="21"/>
        </w:rPr>
        <w:t>30. 采购代理服务费</w:t>
      </w:r>
      <w:bookmarkEnd w:id="99"/>
      <w:bookmarkEnd w:id="100"/>
    </w:p>
    <w:p>
      <w:pPr>
        <w:pStyle w:val="13"/>
        <w:spacing w:line="380" w:lineRule="exact"/>
        <w:ind w:firstLine="420" w:firstLineChars="200"/>
        <w:rPr>
          <w:rFonts w:hAnsi="宋体"/>
          <w:szCs w:val="21"/>
        </w:rPr>
      </w:pPr>
      <w:r>
        <w:rPr>
          <w:rFonts w:hint="eastAsia" w:hAnsi="宋体"/>
          <w:szCs w:val="21"/>
        </w:rPr>
        <w:t>1、成交供应商领取成交通知书前，向湖北中天宏建设项目管理有限公司一次性付清采购代理服务费。本项目的采购代理服务收费标准按计价格[2002]1980号《招标代理服务收费管理暂行办法》服务类收费标准和发改办价格[2003]857号文的规定向成交磋商供应商收取。</w:t>
      </w:r>
    </w:p>
    <w:p>
      <w:pPr>
        <w:spacing w:line="380" w:lineRule="exact"/>
        <w:jc w:val="center"/>
        <w:rPr>
          <w:rFonts w:ascii="宋体" w:hAnsi="宋体"/>
          <w:szCs w:val="21"/>
        </w:rPr>
      </w:pPr>
      <w:r>
        <w:rPr>
          <w:rFonts w:hint="eastAsia" w:ascii="宋体" w:hAnsi="宋体"/>
          <w:szCs w:val="21"/>
        </w:rPr>
        <w:t>采购代理服务收费标准</w:t>
      </w:r>
    </w:p>
    <w:tbl>
      <w:tblPr>
        <w:tblStyle w:val="2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3"/>
              <w:spacing w:line="380" w:lineRule="exact"/>
              <w:ind w:left="25"/>
              <w:rPr>
                <w:rFonts w:hAnsi="宋体"/>
              </w:rPr>
            </w:pPr>
            <w:r>
              <w:rPr>
                <w:rFonts w:hAnsi="宋体"/>
              </w:rPr>
              <w:pict>
                <v:line id="直线 101" o:spid="_x0000_s1027" o:spt="20" style="position:absolute;left:0pt;margin-left:23.35pt;margin-top:0.85pt;height:49.7pt;width:106.5pt;z-index:251661312;mso-width-relative:page;mso-height-relative:page;" coordsize="21600,21600">
                  <v:path arrowok="t"/>
                  <v:fill focussize="0,0"/>
                  <v:stroke/>
                  <v:imagedata o:title=""/>
                  <o:lock v:ext="edit"/>
                </v:line>
              </w:pict>
            </w:r>
            <w:r>
              <w:rPr>
                <w:rFonts w:hint="eastAsia" w:hAnsi="宋体"/>
              </w:rPr>
              <w:t>费率           服务类型</w:t>
            </w:r>
          </w:p>
          <w:p>
            <w:pPr>
              <w:pStyle w:val="13"/>
              <w:spacing w:line="380" w:lineRule="exact"/>
              <w:ind w:left="25"/>
              <w:rPr>
                <w:rFonts w:hAnsi="宋体"/>
              </w:rPr>
            </w:pPr>
            <w:r>
              <w:rPr>
                <w:rFonts w:hAnsi="宋体"/>
              </w:rPr>
              <w:pict>
                <v:line id="直线 102" o:spid="_x0000_s1028" o:spt="20" style="position:absolute;left:0pt;margin-left:-5.35pt;margin-top:3.55pt;height:31.2pt;width:135pt;z-index:251662336;mso-width-relative:page;mso-height-relative:page;" coordsize="21600,21600">
                  <v:path arrowok="t"/>
                  <v:fill focussize="0,0"/>
                  <v:stroke/>
                  <v:imagedata o:title=""/>
                  <o:lock v:ext="edit"/>
                </v:line>
              </w:pict>
            </w:r>
          </w:p>
          <w:p>
            <w:pPr>
              <w:pStyle w:val="13"/>
              <w:spacing w:line="380" w:lineRule="exact"/>
              <w:ind w:left="25"/>
              <w:rPr>
                <w:rFonts w:hAnsi="宋体"/>
              </w:rPr>
            </w:pPr>
            <w:r>
              <w:rPr>
                <w:rFonts w:hint="eastAsia" w:hAnsi="宋体"/>
              </w:rPr>
              <w:t>中标金额（万元）</w:t>
            </w:r>
          </w:p>
        </w:tc>
        <w:tc>
          <w:tcPr>
            <w:tcW w:w="2002" w:type="dxa"/>
            <w:vAlign w:val="center"/>
          </w:tcPr>
          <w:p>
            <w:pPr>
              <w:pStyle w:val="13"/>
              <w:spacing w:line="380" w:lineRule="exact"/>
              <w:ind w:left="25"/>
              <w:jc w:val="center"/>
              <w:rPr>
                <w:rFonts w:hAnsi="宋体"/>
              </w:rPr>
            </w:pPr>
            <w:r>
              <w:rPr>
                <w:rFonts w:hint="eastAsia" w:hAnsi="宋体"/>
              </w:rPr>
              <w:t>货物招标</w:t>
            </w:r>
          </w:p>
        </w:tc>
        <w:tc>
          <w:tcPr>
            <w:tcW w:w="1992" w:type="dxa"/>
            <w:vAlign w:val="center"/>
          </w:tcPr>
          <w:p>
            <w:pPr>
              <w:pStyle w:val="13"/>
              <w:spacing w:line="380" w:lineRule="exact"/>
              <w:ind w:left="25"/>
              <w:jc w:val="center"/>
              <w:rPr>
                <w:rFonts w:hAnsi="宋体"/>
              </w:rPr>
            </w:pPr>
            <w:r>
              <w:rPr>
                <w:rFonts w:hint="eastAsia" w:hAnsi="宋体"/>
              </w:rPr>
              <w:t>服务招标</w:t>
            </w:r>
          </w:p>
        </w:tc>
        <w:tc>
          <w:tcPr>
            <w:tcW w:w="2293" w:type="dxa"/>
            <w:vAlign w:val="center"/>
          </w:tcPr>
          <w:p>
            <w:pPr>
              <w:pStyle w:val="13"/>
              <w:spacing w:line="380" w:lineRule="exact"/>
              <w:ind w:left="25"/>
              <w:jc w:val="center"/>
              <w:rPr>
                <w:rFonts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3"/>
              <w:spacing w:line="380" w:lineRule="exact"/>
              <w:ind w:left="25"/>
              <w:rPr>
                <w:rFonts w:hAnsi="宋体"/>
              </w:rPr>
            </w:pPr>
            <w:r>
              <w:rPr>
                <w:rFonts w:hint="eastAsia" w:hAnsi="宋体"/>
              </w:rPr>
              <w:t>100以下</w:t>
            </w:r>
          </w:p>
        </w:tc>
        <w:tc>
          <w:tcPr>
            <w:tcW w:w="2002" w:type="dxa"/>
          </w:tcPr>
          <w:p>
            <w:pPr>
              <w:pStyle w:val="13"/>
              <w:spacing w:line="380" w:lineRule="exact"/>
              <w:ind w:left="25"/>
              <w:jc w:val="center"/>
              <w:rPr>
                <w:rFonts w:hAnsi="宋体"/>
              </w:rPr>
            </w:pPr>
            <w:r>
              <w:rPr>
                <w:rFonts w:hint="eastAsia" w:hAnsi="宋体"/>
              </w:rPr>
              <w:t>1.5%</w:t>
            </w:r>
          </w:p>
        </w:tc>
        <w:tc>
          <w:tcPr>
            <w:tcW w:w="1992" w:type="dxa"/>
          </w:tcPr>
          <w:p>
            <w:pPr>
              <w:pStyle w:val="13"/>
              <w:spacing w:line="380" w:lineRule="exact"/>
              <w:ind w:left="25"/>
              <w:jc w:val="center"/>
              <w:rPr>
                <w:rFonts w:hAnsi="宋体"/>
              </w:rPr>
            </w:pPr>
            <w:r>
              <w:rPr>
                <w:rFonts w:hint="eastAsia" w:hAnsi="宋体"/>
              </w:rPr>
              <w:t>1.5%</w:t>
            </w:r>
          </w:p>
        </w:tc>
        <w:tc>
          <w:tcPr>
            <w:tcW w:w="2293" w:type="dxa"/>
          </w:tcPr>
          <w:p>
            <w:pPr>
              <w:pStyle w:val="13"/>
              <w:spacing w:line="380" w:lineRule="exact"/>
              <w:ind w:left="25"/>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3"/>
              <w:spacing w:line="380" w:lineRule="exact"/>
              <w:ind w:left="25"/>
              <w:rPr>
                <w:rFonts w:hAnsi="宋体"/>
              </w:rPr>
            </w:pPr>
            <w:r>
              <w:rPr>
                <w:rFonts w:hint="eastAsia" w:hAnsi="宋体"/>
              </w:rPr>
              <w:t>100-500</w:t>
            </w:r>
          </w:p>
        </w:tc>
        <w:tc>
          <w:tcPr>
            <w:tcW w:w="2002" w:type="dxa"/>
          </w:tcPr>
          <w:p>
            <w:pPr>
              <w:pStyle w:val="13"/>
              <w:spacing w:line="380" w:lineRule="exact"/>
              <w:ind w:left="25"/>
              <w:jc w:val="center"/>
              <w:rPr>
                <w:rFonts w:hAnsi="宋体"/>
              </w:rPr>
            </w:pPr>
            <w:r>
              <w:rPr>
                <w:rFonts w:hint="eastAsia" w:hAnsi="宋体"/>
              </w:rPr>
              <w:t>1.1%</w:t>
            </w:r>
          </w:p>
        </w:tc>
        <w:tc>
          <w:tcPr>
            <w:tcW w:w="1992" w:type="dxa"/>
          </w:tcPr>
          <w:p>
            <w:pPr>
              <w:pStyle w:val="13"/>
              <w:spacing w:line="380" w:lineRule="exact"/>
              <w:ind w:left="25"/>
              <w:jc w:val="center"/>
              <w:rPr>
                <w:rFonts w:hAnsi="宋体"/>
              </w:rPr>
            </w:pPr>
            <w:r>
              <w:rPr>
                <w:rFonts w:hint="eastAsia" w:hAnsi="宋体"/>
              </w:rPr>
              <w:t>0.8%</w:t>
            </w:r>
          </w:p>
        </w:tc>
        <w:tc>
          <w:tcPr>
            <w:tcW w:w="2293" w:type="dxa"/>
          </w:tcPr>
          <w:p>
            <w:pPr>
              <w:pStyle w:val="13"/>
              <w:spacing w:line="380" w:lineRule="exact"/>
              <w:ind w:left="25"/>
              <w:jc w:val="center"/>
              <w:rPr>
                <w:rFonts w:hAnsi="宋体"/>
              </w:rPr>
            </w:pPr>
            <w:r>
              <w:rPr>
                <w:rFonts w:hint="eastAsia"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3"/>
              <w:spacing w:line="380" w:lineRule="exact"/>
              <w:ind w:left="25"/>
              <w:rPr>
                <w:rFonts w:hAnsi="宋体"/>
              </w:rPr>
            </w:pPr>
            <w:r>
              <w:rPr>
                <w:rFonts w:hint="eastAsia" w:hAnsi="宋体"/>
              </w:rPr>
              <w:t>500-1000</w:t>
            </w:r>
          </w:p>
        </w:tc>
        <w:tc>
          <w:tcPr>
            <w:tcW w:w="2002" w:type="dxa"/>
          </w:tcPr>
          <w:p>
            <w:pPr>
              <w:pStyle w:val="13"/>
              <w:spacing w:line="380" w:lineRule="exact"/>
              <w:ind w:left="25"/>
              <w:jc w:val="center"/>
              <w:rPr>
                <w:rFonts w:hAnsi="宋体"/>
              </w:rPr>
            </w:pPr>
            <w:r>
              <w:rPr>
                <w:rFonts w:hint="eastAsia" w:hAnsi="宋体"/>
              </w:rPr>
              <w:t>0.8%</w:t>
            </w:r>
          </w:p>
        </w:tc>
        <w:tc>
          <w:tcPr>
            <w:tcW w:w="1992" w:type="dxa"/>
          </w:tcPr>
          <w:p>
            <w:pPr>
              <w:pStyle w:val="13"/>
              <w:spacing w:line="380" w:lineRule="exact"/>
              <w:ind w:left="25"/>
              <w:jc w:val="center"/>
              <w:rPr>
                <w:rFonts w:hAnsi="宋体"/>
              </w:rPr>
            </w:pPr>
            <w:r>
              <w:rPr>
                <w:rFonts w:hint="eastAsia" w:hAnsi="宋体"/>
              </w:rPr>
              <w:t>0.45%</w:t>
            </w:r>
          </w:p>
        </w:tc>
        <w:tc>
          <w:tcPr>
            <w:tcW w:w="2293" w:type="dxa"/>
          </w:tcPr>
          <w:p>
            <w:pPr>
              <w:pStyle w:val="13"/>
              <w:spacing w:line="380" w:lineRule="exact"/>
              <w:ind w:left="25"/>
              <w:jc w:val="center"/>
              <w:rPr>
                <w:rFonts w:hAnsi="宋体"/>
              </w:rPr>
            </w:pPr>
            <w:r>
              <w:rPr>
                <w:rFonts w:hint="eastAsia"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3"/>
              <w:spacing w:line="380" w:lineRule="exact"/>
              <w:ind w:left="25"/>
              <w:rPr>
                <w:rFonts w:hAnsi="宋体"/>
              </w:rPr>
            </w:pPr>
            <w:r>
              <w:rPr>
                <w:rFonts w:hint="eastAsia" w:hAnsi="宋体"/>
              </w:rPr>
              <w:t>1000-5000</w:t>
            </w:r>
          </w:p>
        </w:tc>
        <w:tc>
          <w:tcPr>
            <w:tcW w:w="2002" w:type="dxa"/>
          </w:tcPr>
          <w:p>
            <w:pPr>
              <w:pStyle w:val="13"/>
              <w:spacing w:line="380" w:lineRule="exact"/>
              <w:ind w:left="25"/>
              <w:jc w:val="center"/>
              <w:rPr>
                <w:rFonts w:hAnsi="宋体"/>
              </w:rPr>
            </w:pPr>
            <w:r>
              <w:rPr>
                <w:rFonts w:hint="eastAsia" w:hAnsi="宋体"/>
              </w:rPr>
              <w:t>0.5%</w:t>
            </w:r>
          </w:p>
        </w:tc>
        <w:tc>
          <w:tcPr>
            <w:tcW w:w="1992" w:type="dxa"/>
          </w:tcPr>
          <w:p>
            <w:pPr>
              <w:pStyle w:val="13"/>
              <w:spacing w:line="380" w:lineRule="exact"/>
              <w:ind w:left="25"/>
              <w:jc w:val="center"/>
              <w:rPr>
                <w:rFonts w:hAnsi="宋体"/>
              </w:rPr>
            </w:pPr>
            <w:r>
              <w:rPr>
                <w:rFonts w:hint="eastAsia" w:hAnsi="宋体"/>
              </w:rPr>
              <w:t>0.25%</w:t>
            </w:r>
          </w:p>
        </w:tc>
        <w:tc>
          <w:tcPr>
            <w:tcW w:w="2293" w:type="dxa"/>
          </w:tcPr>
          <w:p>
            <w:pPr>
              <w:pStyle w:val="13"/>
              <w:spacing w:line="380" w:lineRule="exact"/>
              <w:ind w:left="25"/>
              <w:jc w:val="center"/>
              <w:rPr>
                <w:rFonts w:hAnsi="宋体"/>
              </w:rPr>
            </w:pPr>
            <w:r>
              <w:rPr>
                <w:rFonts w:hint="eastAsia"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3"/>
              <w:spacing w:line="380" w:lineRule="exact"/>
              <w:ind w:left="25"/>
              <w:rPr>
                <w:rFonts w:hAnsi="宋体"/>
              </w:rPr>
            </w:pPr>
            <w:r>
              <w:rPr>
                <w:rFonts w:hint="eastAsia" w:hAnsi="宋体"/>
              </w:rPr>
              <w:t>5000-10000</w:t>
            </w:r>
          </w:p>
        </w:tc>
        <w:tc>
          <w:tcPr>
            <w:tcW w:w="2002" w:type="dxa"/>
          </w:tcPr>
          <w:p>
            <w:pPr>
              <w:pStyle w:val="13"/>
              <w:spacing w:line="380" w:lineRule="exact"/>
              <w:ind w:left="25"/>
              <w:jc w:val="center"/>
              <w:rPr>
                <w:rFonts w:hAnsi="宋体"/>
              </w:rPr>
            </w:pPr>
            <w:r>
              <w:rPr>
                <w:rFonts w:hint="eastAsia" w:hAnsi="宋体"/>
              </w:rPr>
              <w:t>0.25%</w:t>
            </w:r>
          </w:p>
        </w:tc>
        <w:tc>
          <w:tcPr>
            <w:tcW w:w="1992" w:type="dxa"/>
          </w:tcPr>
          <w:p>
            <w:pPr>
              <w:pStyle w:val="13"/>
              <w:spacing w:line="380" w:lineRule="exact"/>
              <w:ind w:left="25"/>
              <w:jc w:val="center"/>
              <w:rPr>
                <w:rFonts w:hAnsi="宋体"/>
              </w:rPr>
            </w:pPr>
            <w:r>
              <w:rPr>
                <w:rFonts w:hint="eastAsia" w:hAnsi="宋体"/>
              </w:rPr>
              <w:t>0.1%</w:t>
            </w:r>
          </w:p>
        </w:tc>
        <w:tc>
          <w:tcPr>
            <w:tcW w:w="2293" w:type="dxa"/>
          </w:tcPr>
          <w:p>
            <w:pPr>
              <w:pStyle w:val="13"/>
              <w:spacing w:line="380" w:lineRule="exact"/>
              <w:ind w:left="25"/>
              <w:jc w:val="center"/>
              <w:rPr>
                <w:rFonts w:hAnsi="宋体"/>
              </w:rPr>
            </w:pPr>
            <w:r>
              <w:rPr>
                <w:rFonts w:hint="eastAsia"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3"/>
              <w:spacing w:line="380" w:lineRule="exact"/>
              <w:ind w:left="25"/>
              <w:rPr>
                <w:rFonts w:hAnsi="宋体"/>
              </w:rPr>
            </w:pPr>
            <w:r>
              <w:rPr>
                <w:rFonts w:hint="eastAsia" w:hAnsi="宋体"/>
              </w:rPr>
              <w:t>10000-100000</w:t>
            </w:r>
          </w:p>
        </w:tc>
        <w:tc>
          <w:tcPr>
            <w:tcW w:w="2002" w:type="dxa"/>
          </w:tcPr>
          <w:p>
            <w:pPr>
              <w:pStyle w:val="13"/>
              <w:spacing w:line="380" w:lineRule="exact"/>
              <w:ind w:left="25"/>
              <w:jc w:val="center"/>
              <w:rPr>
                <w:rFonts w:hAnsi="宋体"/>
              </w:rPr>
            </w:pPr>
            <w:r>
              <w:rPr>
                <w:rFonts w:hint="eastAsia" w:hAnsi="宋体"/>
              </w:rPr>
              <w:t>0.05%</w:t>
            </w:r>
          </w:p>
        </w:tc>
        <w:tc>
          <w:tcPr>
            <w:tcW w:w="1992" w:type="dxa"/>
          </w:tcPr>
          <w:p>
            <w:pPr>
              <w:pStyle w:val="13"/>
              <w:spacing w:line="380" w:lineRule="exact"/>
              <w:ind w:left="25"/>
              <w:jc w:val="center"/>
              <w:rPr>
                <w:rFonts w:hAnsi="宋体"/>
              </w:rPr>
            </w:pPr>
            <w:r>
              <w:rPr>
                <w:rFonts w:hint="eastAsia" w:hAnsi="宋体"/>
              </w:rPr>
              <w:t>0.05%</w:t>
            </w:r>
          </w:p>
        </w:tc>
        <w:tc>
          <w:tcPr>
            <w:tcW w:w="2293" w:type="dxa"/>
          </w:tcPr>
          <w:p>
            <w:pPr>
              <w:pStyle w:val="13"/>
              <w:spacing w:line="380" w:lineRule="exact"/>
              <w:ind w:left="25"/>
              <w:jc w:val="center"/>
              <w:rPr>
                <w:rFonts w:hAnsi="宋体"/>
              </w:rPr>
            </w:pPr>
            <w:r>
              <w:rPr>
                <w:rFonts w:hint="eastAsia" w:hAnsi="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3"/>
              <w:spacing w:line="380" w:lineRule="exact"/>
              <w:ind w:left="25"/>
              <w:rPr>
                <w:rFonts w:hAnsi="宋体"/>
              </w:rPr>
            </w:pPr>
            <w:r>
              <w:rPr>
                <w:rFonts w:hint="eastAsia" w:hAnsi="宋体"/>
              </w:rPr>
              <w:t>100000以上</w:t>
            </w:r>
          </w:p>
        </w:tc>
        <w:tc>
          <w:tcPr>
            <w:tcW w:w="2002" w:type="dxa"/>
          </w:tcPr>
          <w:p>
            <w:pPr>
              <w:pStyle w:val="13"/>
              <w:spacing w:line="380" w:lineRule="exact"/>
              <w:ind w:left="25"/>
              <w:jc w:val="center"/>
              <w:rPr>
                <w:rFonts w:hAnsi="宋体"/>
              </w:rPr>
            </w:pPr>
            <w:r>
              <w:rPr>
                <w:rFonts w:hint="eastAsia" w:hAnsi="宋体"/>
              </w:rPr>
              <w:t>0.01%</w:t>
            </w:r>
          </w:p>
        </w:tc>
        <w:tc>
          <w:tcPr>
            <w:tcW w:w="1992" w:type="dxa"/>
          </w:tcPr>
          <w:p>
            <w:pPr>
              <w:pStyle w:val="13"/>
              <w:spacing w:line="380" w:lineRule="exact"/>
              <w:ind w:left="25"/>
              <w:jc w:val="center"/>
              <w:rPr>
                <w:rFonts w:hAnsi="宋体"/>
              </w:rPr>
            </w:pPr>
            <w:r>
              <w:rPr>
                <w:rFonts w:hint="eastAsia" w:hAnsi="宋体"/>
              </w:rPr>
              <w:t>0.01%</w:t>
            </w:r>
          </w:p>
        </w:tc>
        <w:tc>
          <w:tcPr>
            <w:tcW w:w="2293" w:type="dxa"/>
          </w:tcPr>
          <w:p>
            <w:pPr>
              <w:pStyle w:val="13"/>
              <w:spacing w:line="380" w:lineRule="exact"/>
              <w:ind w:left="25"/>
              <w:jc w:val="center"/>
              <w:rPr>
                <w:rFonts w:hAnsi="宋体"/>
              </w:rPr>
            </w:pPr>
            <w:r>
              <w:rPr>
                <w:rFonts w:hint="eastAsia" w:hAnsi="宋体"/>
              </w:rPr>
              <w:t>0.01%</w:t>
            </w:r>
          </w:p>
        </w:tc>
      </w:tr>
    </w:tbl>
    <w:p>
      <w:pPr>
        <w:pStyle w:val="13"/>
        <w:spacing w:line="380" w:lineRule="exact"/>
        <w:ind w:left="25"/>
        <w:rPr>
          <w:rFonts w:hAnsi="宋体"/>
        </w:rPr>
      </w:pPr>
      <w:r>
        <w:rPr>
          <w:rFonts w:hint="eastAsia" w:hAnsi="宋体"/>
        </w:rPr>
        <w:t>注：采购代理服务收费按差额定率累进法计算。</w:t>
      </w:r>
    </w:p>
    <w:p>
      <w:pPr>
        <w:spacing w:line="380" w:lineRule="exact"/>
        <w:ind w:firstLine="420" w:firstLineChars="200"/>
        <w:rPr>
          <w:rFonts w:ascii="宋体" w:hAnsi="宋体"/>
        </w:rPr>
      </w:pPr>
      <w:r>
        <w:rPr>
          <w:rFonts w:hint="eastAsia" w:ascii="宋体" w:hAnsi="宋体"/>
        </w:rPr>
        <w:t>31、</w:t>
      </w:r>
      <w:r>
        <w:rPr>
          <w:rFonts w:hint="eastAsia" w:ascii="宋体" w:hAnsi="宋体"/>
          <w:b/>
        </w:rPr>
        <w:t>交纳代理服务费银行账户：</w:t>
      </w:r>
    </w:p>
    <w:p>
      <w:pPr>
        <w:pStyle w:val="13"/>
        <w:snapToGrid w:val="0"/>
        <w:spacing w:line="380" w:lineRule="exact"/>
        <w:ind w:firstLine="420" w:firstLineChars="200"/>
        <w:rPr>
          <w:rFonts w:hAnsi="宋体"/>
        </w:rPr>
      </w:pPr>
      <w:r>
        <w:rPr>
          <w:rFonts w:hint="eastAsia" w:hAnsi="宋体"/>
        </w:rPr>
        <w:t>采购代理机构银行账户：</w:t>
      </w:r>
    </w:p>
    <w:p>
      <w:pPr>
        <w:pStyle w:val="13"/>
        <w:snapToGrid w:val="0"/>
        <w:spacing w:line="380" w:lineRule="exact"/>
        <w:ind w:firstLine="420" w:firstLineChars="200"/>
        <w:rPr>
          <w:rFonts w:hAnsi="宋体" w:cs="宋体"/>
        </w:rPr>
      </w:pPr>
      <w:r>
        <w:rPr>
          <w:rFonts w:hint="eastAsia" w:hAnsi="宋体" w:cs="宋体"/>
        </w:rPr>
        <w:t>账户名称：湖北中天宏建设项目管理有限公司广西分公司</w:t>
      </w:r>
    </w:p>
    <w:p>
      <w:pPr>
        <w:pStyle w:val="13"/>
        <w:snapToGrid w:val="0"/>
        <w:spacing w:line="380" w:lineRule="exact"/>
        <w:ind w:firstLine="420" w:firstLineChars="200"/>
        <w:rPr>
          <w:rFonts w:hAnsi="宋体" w:cs="宋体"/>
        </w:rPr>
      </w:pPr>
      <w:r>
        <w:rPr>
          <w:rFonts w:hint="eastAsia" w:hAnsi="宋体" w:cs="宋体"/>
        </w:rPr>
        <w:t>开户银行：中国建设银行股份有限公司桂林穿山东路支行</w:t>
      </w:r>
    </w:p>
    <w:p>
      <w:pPr>
        <w:pStyle w:val="13"/>
        <w:snapToGrid w:val="0"/>
        <w:spacing w:line="380" w:lineRule="exact"/>
        <w:ind w:firstLine="420" w:firstLineChars="200"/>
        <w:rPr>
          <w:rFonts w:hAnsi="宋体" w:cs="宋体"/>
        </w:rPr>
      </w:pPr>
      <w:r>
        <w:rPr>
          <w:rFonts w:hint="eastAsia" w:hAnsi="宋体" w:cs="宋体"/>
        </w:rPr>
        <w:t>银行账号：4505016300430000</w:t>
      </w:r>
      <w:r>
        <w:rPr>
          <w:rFonts w:hint="eastAsia" w:hAnsi="宋体" w:cs="宋体"/>
          <w:lang w:val="en-US" w:eastAsia="zh-CN"/>
        </w:rPr>
        <w:t>0</w:t>
      </w:r>
      <w:r>
        <w:rPr>
          <w:rFonts w:hint="eastAsia" w:hAnsi="宋体" w:cs="宋体"/>
        </w:rPr>
        <w:t>241</w:t>
      </w:r>
    </w:p>
    <w:p>
      <w:pPr>
        <w:pStyle w:val="13"/>
        <w:snapToGrid w:val="0"/>
        <w:spacing w:line="380" w:lineRule="exact"/>
        <w:ind w:firstLine="420" w:firstLineChars="200"/>
        <w:rPr>
          <w:rFonts w:hAnsi="宋体"/>
        </w:rPr>
      </w:pPr>
      <w:r>
        <w:rPr>
          <w:rFonts w:hint="eastAsia" w:hAnsi="宋体"/>
        </w:rPr>
        <w:t>32、解释权：本竞争性磋商文件是根据</w:t>
      </w:r>
      <w:r>
        <w:rPr>
          <w:rFonts w:hint="eastAsia" w:hAnsi="宋体"/>
          <w:bCs/>
        </w:rPr>
        <w:t>《中华人民共和国政府采购法》、《中华人民共和国政府采购法实施条例》、</w:t>
      </w:r>
      <w:r>
        <w:rPr>
          <w:rFonts w:hAnsi="宋体"/>
          <w:bCs/>
        </w:rPr>
        <w:t>《政府采购竞争性磋商采购方式管理暂行办法》</w:t>
      </w:r>
      <w:r>
        <w:rPr>
          <w:rFonts w:hint="eastAsia" w:hAnsi="宋体"/>
        </w:rPr>
        <w:t>和政府采购管理有关规定编制，本竞争性磋商文件的解释权属于采购代理机构。</w:t>
      </w:r>
    </w:p>
    <w:p>
      <w:pPr>
        <w:snapToGrid w:val="0"/>
        <w:spacing w:line="288" w:lineRule="auto"/>
        <w:ind w:firstLine="420" w:firstLineChars="200"/>
      </w:pPr>
      <w:bookmarkStart w:id="101" w:name="_Toc102642519"/>
      <w:r>
        <w:rPr>
          <w:rStyle w:val="29"/>
          <w:rFonts w:hint="eastAsia" w:ascii="宋体" w:hAnsi="宋体" w:cs="宋体"/>
          <w:sz w:val="21"/>
          <w:szCs w:val="21"/>
        </w:rPr>
        <w:t>33. 监督管理机构</w:t>
      </w:r>
      <w:bookmarkEnd w:id="101"/>
      <w:r>
        <w:rPr>
          <w:rFonts w:hint="eastAsia" w:ascii="宋体" w:hAnsi="宋体" w:cs="宋体"/>
          <w:szCs w:val="21"/>
        </w:rPr>
        <w:t>：桂林市临桂区政府采购监督管理股；联系电话：</w:t>
      </w:r>
      <w:r>
        <w:rPr>
          <w:rFonts w:hint="eastAsia" w:ascii="宋体" w:hAnsi="宋体"/>
          <w:szCs w:val="21"/>
        </w:rPr>
        <w:t>0773-5593932</w:t>
      </w:r>
      <w:r>
        <w:rPr>
          <w:rFonts w:hint="eastAsia" w:ascii="宋体" w:hAnsi="宋体" w:cs="宋体"/>
          <w:szCs w:val="21"/>
        </w:rPr>
        <w:t>。</w:t>
      </w:r>
    </w:p>
    <w:p>
      <w:pPr>
        <w:pStyle w:val="3"/>
        <w:tabs>
          <w:tab w:val="left" w:pos="0"/>
        </w:tabs>
        <w:autoSpaceDE w:val="0"/>
        <w:autoSpaceDN w:val="0"/>
        <w:adjustRightInd w:val="0"/>
        <w:spacing w:before="0" w:after="0" w:line="360" w:lineRule="auto"/>
        <w:jc w:val="center"/>
        <w:rPr>
          <w:rFonts w:ascii="宋体" w:hAnsi="宋体" w:cs="宋体"/>
          <w:sz w:val="32"/>
          <w:szCs w:val="32"/>
        </w:rPr>
      </w:pPr>
    </w:p>
    <w:p>
      <w:pPr>
        <w:rPr>
          <w:rFonts w:ascii="宋体" w:hAnsi="宋体" w:cs="宋体"/>
          <w:sz w:val="32"/>
          <w:szCs w:val="32"/>
        </w:rPr>
      </w:pPr>
    </w:p>
    <w:p>
      <w:pPr>
        <w:pStyle w:val="9"/>
        <w:rPr>
          <w:rFonts w:ascii="宋体" w:hAnsi="宋体" w:cs="宋体"/>
          <w:sz w:val="32"/>
          <w:szCs w:val="32"/>
        </w:rPr>
      </w:pPr>
    </w:p>
    <w:p>
      <w:pPr>
        <w:rPr>
          <w:rFonts w:ascii="宋体" w:hAnsi="宋体" w:cs="宋体"/>
          <w:sz w:val="32"/>
          <w:szCs w:val="32"/>
        </w:rPr>
      </w:pPr>
    </w:p>
    <w:p>
      <w:pPr>
        <w:pStyle w:val="9"/>
        <w:rPr>
          <w:rFonts w:ascii="宋体" w:hAnsi="宋体" w:cs="宋体"/>
          <w:sz w:val="32"/>
          <w:szCs w:val="32"/>
        </w:rPr>
      </w:pPr>
    </w:p>
    <w:p/>
    <w:p>
      <w:pPr>
        <w:widowControl/>
        <w:jc w:val="left"/>
        <w:rPr>
          <w:rFonts w:ascii="宋体" w:hAnsi="宋体" w:cs="宋体"/>
          <w:b/>
          <w:bCs/>
          <w:kern w:val="44"/>
          <w:sz w:val="32"/>
          <w:szCs w:val="32"/>
        </w:rPr>
      </w:pPr>
      <w:r>
        <w:rPr>
          <w:rFonts w:ascii="宋体" w:hAnsi="宋体" w:cs="宋体"/>
          <w:sz w:val="32"/>
          <w:szCs w:val="32"/>
        </w:rPr>
        <w:br w:type="page"/>
      </w: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102" w:name="_Toc102642520"/>
      <w:r>
        <w:rPr>
          <w:rFonts w:hint="eastAsia" w:ascii="宋体" w:hAnsi="宋体" w:cs="宋体"/>
          <w:sz w:val="32"/>
          <w:szCs w:val="32"/>
        </w:rPr>
        <w:t xml:space="preserve">第三章 </w:t>
      </w:r>
      <w:bookmarkStart w:id="103" w:name="_Toc22353"/>
      <w:bookmarkStart w:id="104" w:name="_Toc24601"/>
      <w:r>
        <w:rPr>
          <w:rFonts w:hint="eastAsia" w:ascii="宋体" w:hAnsi="宋体" w:cs="宋体"/>
          <w:sz w:val="32"/>
          <w:szCs w:val="32"/>
        </w:rPr>
        <w:t>采购需求</w:t>
      </w:r>
      <w:bookmarkEnd w:id="102"/>
      <w:bookmarkEnd w:id="103"/>
      <w:bookmarkEnd w:id="104"/>
    </w:p>
    <w:tbl>
      <w:tblPr>
        <w:tblStyle w:val="23"/>
        <w:tblW w:w="995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7"/>
        <w:gridCol w:w="402"/>
        <w:gridCol w:w="5528"/>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pPr>
              <w:spacing w:line="380" w:lineRule="exact"/>
              <w:jc w:val="center"/>
              <w:rPr>
                <w:rFonts w:ascii="宋体" w:hAnsi="宋体"/>
                <w:b/>
                <w:szCs w:val="21"/>
              </w:rPr>
            </w:pPr>
            <w:bookmarkStart w:id="105" w:name="_Toc2989"/>
            <w:r>
              <w:rPr>
                <w:rFonts w:hint="eastAsia" w:ascii="宋体" w:hAnsi="宋体"/>
                <w:b/>
                <w:szCs w:val="21"/>
              </w:rPr>
              <w:t>项号</w:t>
            </w:r>
          </w:p>
        </w:tc>
        <w:tc>
          <w:tcPr>
            <w:tcW w:w="1199" w:type="dxa"/>
            <w:gridSpan w:val="2"/>
            <w:vAlign w:val="center"/>
          </w:tcPr>
          <w:p>
            <w:pPr>
              <w:spacing w:line="380" w:lineRule="exact"/>
              <w:jc w:val="center"/>
              <w:rPr>
                <w:rFonts w:ascii="宋体" w:hAnsi="宋体"/>
                <w:b/>
                <w:szCs w:val="21"/>
              </w:rPr>
            </w:pPr>
            <w:r>
              <w:rPr>
                <w:rFonts w:hint="eastAsia" w:ascii="宋体" w:hAnsi="宋体"/>
                <w:b/>
                <w:szCs w:val="21"/>
              </w:rPr>
              <w:t>采购标的内容</w:t>
            </w:r>
          </w:p>
        </w:tc>
        <w:tc>
          <w:tcPr>
            <w:tcW w:w="5528" w:type="dxa"/>
            <w:vAlign w:val="center"/>
          </w:tcPr>
          <w:p>
            <w:pPr>
              <w:spacing w:line="4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服务需求及配套设备技术参数</w:t>
            </w:r>
          </w:p>
        </w:tc>
        <w:tc>
          <w:tcPr>
            <w:tcW w:w="709" w:type="dxa"/>
            <w:vAlign w:val="center"/>
          </w:tcPr>
          <w:p>
            <w:pPr>
              <w:spacing w:line="4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单位</w:t>
            </w:r>
          </w:p>
        </w:tc>
        <w:tc>
          <w:tcPr>
            <w:tcW w:w="709" w:type="dxa"/>
            <w:vAlign w:val="center"/>
          </w:tcPr>
          <w:p>
            <w:pPr>
              <w:spacing w:line="4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数量</w:t>
            </w:r>
          </w:p>
        </w:tc>
        <w:tc>
          <w:tcPr>
            <w:tcW w:w="1134" w:type="dxa"/>
            <w:vAlign w:val="center"/>
          </w:tcPr>
          <w:p>
            <w:pPr>
              <w:spacing w:line="4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单价参考（元）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673" w:type="dxa"/>
            <w:vAlign w:val="center"/>
          </w:tcPr>
          <w:p>
            <w:pPr>
              <w:tabs>
                <w:tab w:val="left" w:pos="525"/>
              </w:tabs>
              <w:spacing w:line="380" w:lineRule="exact"/>
              <w:ind w:left="105"/>
              <w:jc w:val="center"/>
              <w:rPr>
                <w:rFonts w:ascii="宋体" w:hAnsi="宋体"/>
                <w:szCs w:val="21"/>
              </w:rPr>
            </w:pPr>
            <w:r>
              <w:rPr>
                <w:rFonts w:hint="eastAsia" w:ascii="宋体" w:hAnsi="宋体"/>
                <w:szCs w:val="21"/>
              </w:rPr>
              <w:t>1</w:t>
            </w:r>
          </w:p>
        </w:tc>
        <w:tc>
          <w:tcPr>
            <w:tcW w:w="1199" w:type="dxa"/>
            <w:gridSpan w:val="2"/>
            <w:vAlign w:val="center"/>
          </w:tcPr>
          <w:p>
            <w:pPr>
              <w:widowControl/>
              <w:jc w:val="center"/>
              <w:textAlignment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kern w:val="0"/>
                <w:szCs w:val="21"/>
              </w:rPr>
              <w:t>交通执法违章、违停视频采集服务</w:t>
            </w:r>
          </w:p>
        </w:tc>
        <w:tc>
          <w:tcPr>
            <w:tcW w:w="5528" w:type="dxa"/>
          </w:tcPr>
          <w:p>
            <w:pPr>
              <w:widowControl/>
              <w:numPr>
                <w:ilvl w:val="0"/>
                <w:numId w:val="5"/>
              </w:numPr>
              <w:spacing w:after="220" w:line="360" w:lineRule="auto"/>
              <w:jc w:val="left"/>
              <w:textAlignment w:val="top"/>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服务总体要求</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（一）在选定位置完成27套违停抓拍及电警卡口设备的抓拍服务；在原有位置拆除25套违停抓拍及电警卡口服务；</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（二）在临桂区城区的各个交叉路口，包括：城乡重要部位周边的交叉路口；车流、人流量较大的交叉路口；交通状况复杂、交通秩序紊乱的交叉路口完成高清电警抓拍服务；</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三）配置高清违停抓拍服务，利用机器视觉代替人工视觉进行车辆目标提取、违法行为自动判定、自动跟踪放大、自动车牌识别，兼具机器连续工作优势和人类部分认知能力，准确、快速地对机动车违法停车行为从车辆前部或尾部进行取证记录，适用于对城市道路上的机动车违法停车行为进行取证治理。</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b/>
                <w:bCs/>
                <w:kern w:val="0"/>
                <w:szCs w:val="21"/>
              </w:rPr>
              <w:t>二、具体服务指标要求如下</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b/>
                <w:bCs/>
                <w:kern w:val="0"/>
                <w:szCs w:val="21"/>
              </w:rPr>
              <w:t>（1）提供3套环保卡口图像及数据采集服务，需具备以下功能（需在技术偏离表中注明设备生产厂家、规格型号）：</w:t>
            </w:r>
          </w:p>
          <w:p>
            <w:pPr>
              <w:widowControl/>
              <w:tabs>
                <w:tab w:val="left" w:pos="3067"/>
              </w:tabs>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1、像素≥900万，采用一体化设计，包含高清摄像机、防护罩、补光灯、电源模块等，支持H.265、H.264视频压缩，视频帧率在1～25fps内可调。</w:t>
            </w:r>
          </w:p>
          <w:p>
            <w:pPr>
              <w:widowControl/>
              <w:tabs>
                <w:tab w:val="left" w:pos="3067"/>
              </w:tabs>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2、支持流量整形、曝光补偿、OSD颜色自定义、自动开启补光设备、信息发布、断电保护、区域曝光、IP地址过滤等功能。</w:t>
            </w:r>
          </w:p>
          <w:p>
            <w:pPr>
              <w:widowControl/>
              <w:tabs>
                <w:tab w:val="left" w:pos="3067"/>
              </w:tabs>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3、支持设置多帧识别功能开启/关闭，具备循环过滤功能，客户端和web端支持设置循环过滤功能，可对重复过车进行过滤。</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4、▲抓拍单元支持车牌黑/白名单设置，最大可设置≥80万条黑/ 白名单，支持对机动车、非机动车、行人等混合目标进行检测，设备能同时检测不少于120个混合的静态目标并对这些目标进行绿框跟踪，可同时对至少120个混合的静态目标进行优选、抓拍及属性分析。</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5、支持识别的号牌类型包括大型汽车、小型汽车、港澳入出境车、警用汽车、普通摩托车、教练汽车、小型新能源汽车等，抓拍图片大小可设置。</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6、具有非机动车管控功能，支持非机动车载人、不戴头盔、逆行、占用机动车道等违法行为管控。</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7、支持主码流同时输出不少于30路4096×2160、2Mbps的25帧/s图像以提供客户端浏览。</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8、▲支持对非机动车占用机动车道的违法进行检测和抓拍，识别准确率：白天≥99%，晚上≥99%，支持对斑马线不礼让行人的违法行为进行检测和抓拍，识别准确率：白天≥99%，晚上≥99%。</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9、支持安全接入功能，设备开启安全接入功能后，只能被管理平台控制，不能通过其他方式登录或者控制设备，支持低置信度过滤功能，可过滤置信度低的车牌。</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10、可通过IE浏览器对布防时段进行设置，可设置≥8个布防时段。</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支持检出两眼瞳距13像素点以上的人脸图片，支持侧脸过滤功能，过滤的人脸上下、左右角度阈值可设置，支持检测并跟踪指定区域内≥160个目标（机动车、非机动车及行人），具有重瞳设置选项，开启后可自动调节优化画面中人脸和车牌区域的曝光。</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12、支持场景自适应功能，可根据监控场景中车辆速度、背光情况、雾影响效果自动调节图像参数。</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13、支持黑名单功能，在黑名单模式中，悬挂添加在黑名单中车牌的车辆通过监控区域应触发报警并进行图片抓拍，黑名单中可添加≥10000个车牌。</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14、▲宽动态能力≥120dB，支持车标识别功能，数据库中包含≥400种车标信息，可在抓拍图片上叠加识别结果OSD信息，白天准确率≥99%，晚上准确率≥99%；支持≥14种车身颜色识别，至少包括黑、白、灰、红、绿、蓝、黄、粉、紫、棕、青、金、橙、银灰。</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15、支持单排和双排号牌识别，图片清晰度设置范围为1～100。</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16、可显示设定区域内各像素点的RGB分量值，设备抓拍JPEG格式的图片后，可查看抓拍图片的压缩因子，支持1～4 张图片合成一张图片。</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17、支持数字降噪、信噪比、宽动态、快门自适应等功能，支持有雾情况能见度检测。</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0"/>
                <w:szCs w:val="21"/>
              </w:rPr>
              <w:t>（2）提供5套环保电警图像及数据采集服务，需具备以下功能</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1、支持分辨率≥900万，采用不小于1英寸GMOS图像传感器，采用一体化设计，包含高清摄像机、防护罩、补光灯、电源模块等。</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2、支持H.265、H.264等多种视频压缩标准，图片输出格式支持JPEG。</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3、最大图像尺寸≥4096×2160像素，视频帧率支持在1～25fps之间调整。</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4、最低照度彩色≤0.01Lux，黑色≤0.008Lux，宽动态能力≥120dB。</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支持大型货车闯红灯抓拍功能，包括拖车、挂车、罐车、平板货车、集装箱牵引车、渣土车等货车类型，支持是否危化品车辆识别功能，车辆捕获率≥99%，危化品车识别准确率≥99%，支持根据现场违章抓拍需求通过web界面设置事件优先度，事件优先度1-12可设，设置后可按事件优先度进行违章抓拍及图片存储。</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7、支持异常车牌检测功能，可对故意遮挡及污损车牌进行判断和识别。</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8、支持闯红灯抓拍功能，在天气晴朗无雾，号牌无遮挡、无污损，白天环境光照度不低于200lx，晚上辅助光照度不高于30lx的条件下测试，白天和晚上闯红灯的捕获率均≥99%。</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9、支持对设定区域内的机动车、非机动车是否悬挂车牌的情况进行检测并显示。</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支持对斑马线不礼让行人的违法行为进行检测和抓拍，识别准确率：白天≥99%，晚上≥99%，支持对非机动车占用机动车道的违法进行检测和抓拍，识别准确率：白天≥99%，晚上≥99%，抓拍单元支持车牌黑/白名单设置，可设置≥80万条黑/白名单。</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11、支持事故检测功能且可上传设备位置信息及事故图片，事故包括两车相撞、多车相撞、人车相撞、非机动车与机动车相撞。</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12、支持车标识别功能，数据库中包含≥400种车标信息，可在抓拍图片上叠加识别结果OSD信息，白天准确率≥99%，晚上准确率≥99%，支持≥14种车身颜色识别，至少包括黑、白、灰、红、绿、蓝、黄、粉、紫、棕、青、金、橙、银灰。</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13、支持摩托车闯红灯、不按导向、闯禁令等违法行为抓拍，支持非机动车不戴头盔、载人、逆行、闯红灯等检测抓拍。</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14、支持车辆子品牌识别功能，通过车头可识别车辆子品牌≥7000种，通过车尾可识别车辆子品牌≥3800种。</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15、支持对机动车、非机动车和行人自动区分，区分准确率≥99%。</w:t>
            </w:r>
          </w:p>
          <w:p>
            <w:pPr>
              <w:widowControl/>
              <w:spacing w:after="220" w:line="360" w:lineRule="auto"/>
              <w:jc w:val="left"/>
              <w:textAlignment w:val="top"/>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（3）、具备20套频闪灯补光功能，需满足以下要求：</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1、支持倍频设置功能检查，支持倍频1~15可调，支持频率0-250HZ可调，支持通过调整占空比1%~39%进行亮度调节；</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2、支持爆闪功能，爆闪持续时间、延迟时间及最小间隔时间可设。</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3、支持频率及占空比保护功能，支持自闪、跟随、自动频闪（外部摄像机触发）模式。</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4、支持支持通过RS485远程控制补光灯的亮度、开启/关闭，支持通过RS485对补光灯升级程序。</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5、频闪响应时间≤20微秒，当设备占空比设置≤5%时，功耗≤10W，电源电压在AC80V~264V范围内变化时，能正常工作。</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6、支持远程显示补光灯故障、正常、开启、关闭等工作状态。</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7、支持工作环境-40℃~85℃，电源电压在AC80V~264V范围内变化时，能正常工作；</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8、防护等级不低于IP66。</w:t>
            </w:r>
          </w:p>
          <w:p>
            <w:pPr>
              <w:widowControl/>
              <w:spacing w:after="220" w:line="360" w:lineRule="auto"/>
              <w:jc w:val="left"/>
              <w:textAlignment w:val="top"/>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（4）、提供满足上述服务的立杆服务，需具备以下功能：</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1、提供5套6.5L8监控立杆，主杆高:6.5米，横臂长8米，采用 Q235 钢筋，热镀锌防腐处理；</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2、提供4套6.5L14监控立杆，主杆高:6.5米，横臂长14米。材质为Q235材质，杆身表面热镀锌处理；</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3、提供安装支架服务：采用铝合金材质，尺寸定制</w:t>
            </w:r>
          </w:p>
          <w:p>
            <w:pPr>
              <w:widowControl/>
              <w:spacing w:after="220"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4、提供27套防雷器：最大持续工作电压Uc=电源：30V，网络：6V； 标称放电电流In=电源：5KA，网络：3KA； 最大放电电流Imax=电源：10KA，网络：5KA； 电压保护水平Up=电源：≤120V，网络：≤25V；传输速率Vs=网络：100M； 插入损耗≤0.5dB;响应时间ta≤1ns； 工作环境：－40～＋85℃； 接线端口：接线端子+RJ45；</w:t>
            </w:r>
          </w:p>
          <w:p>
            <w:pPr>
              <w:widowControl/>
              <w:spacing w:after="220" w:line="360" w:lineRule="auto"/>
              <w:jc w:val="left"/>
              <w:textAlignment w:val="top"/>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（5）、提供满足上述服务的配套设施服务</w:t>
            </w:r>
          </w:p>
          <w:p>
            <w:pPr>
              <w:widowControl/>
              <w:spacing w:after="220" w:line="360" w:lineRule="auto"/>
              <w:jc w:val="left"/>
              <w:textAlignment w:val="top"/>
              <w:rPr>
                <w:rFonts w:asciiTheme="majorEastAsia" w:hAnsiTheme="majorEastAsia" w:eastAsiaTheme="majorEastAsia" w:cstheme="majorEastAsia"/>
                <w:b/>
                <w:bCs/>
                <w:szCs w:val="21"/>
              </w:rPr>
            </w:pPr>
            <w:r>
              <w:rPr>
                <w:rFonts w:hint="eastAsia" w:asciiTheme="majorEastAsia" w:hAnsiTheme="majorEastAsia" w:eastAsiaTheme="majorEastAsia" w:cstheme="majorEastAsia"/>
                <w:kern w:val="0"/>
                <w:szCs w:val="21"/>
              </w:rPr>
              <w:t>提供满足上述服务的配套设施服务。</w:t>
            </w:r>
          </w:p>
        </w:tc>
        <w:tc>
          <w:tcPr>
            <w:tcW w:w="709" w:type="dxa"/>
            <w:vAlign w:val="center"/>
          </w:tcPr>
          <w:p>
            <w:pPr>
              <w:widowControl/>
              <w:jc w:val="center"/>
              <w:textAlignment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kern w:val="0"/>
                <w:szCs w:val="21"/>
              </w:rPr>
              <w:t>项</w:t>
            </w:r>
          </w:p>
        </w:tc>
        <w:tc>
          <w:tcPr>
            <w:tcW w:w="709" w:type="dxa"/>
            <w:vAlign w:val="center"/>
          </w:tcPr>
          <w:p>
            <w:pPr>
              <w:widowControl/>
              <w:jc w:val="center"/>
              <w:textAlignment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kern w:val="0"/>
                <w:szCs w:val="21"/>
              </w:rPr>
              <w:t>1</w:t>
            </w:r>
          </w:p>
        </w:tc>
        <w:tc>
          <w:tcPr>
            <w:tcW w:w="1134" w:type="dxa"/>
            <w:vAlign w:val="center"/>
          </w:tcPr>
          <w:p>
            <w:pPr>
              <w:widowControl/>
              <w:jc w:val="center"/>
              <w:textAlignment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kern w:val="0"/>
                <w:szCs w:val="21"/>
              </w:rPr>
              <w:t xml:space="preserve">916940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pPr>
              <w:tabs>
                <w:tab w:val="left" w:pos="525"/>
              </w:tabs>
              <w:spacing w:line="380" w:lineRule="exact"/>
              <w:ind w:left="105"/>
              <w:jc w:val="center"/>
              <w:rPr>
                <w:rFonts w:ascii="宋体" w:hAnsi="宋体"/>
                <w:szCs w:val="21"/>
              </w:rPr>
            </w:pPr>
            <w:r>
              <w:rPr>
                <w:rFonts w:hint="eastAsia" w:ascii="宋体" w:hAnsi="宋体"/>
                <w:szCs w:val="21"/>
              </w:rPr>
              <w:t>2</w:t>
            </w:r>
          </w:p>
        </w:tc>
        <w:tc>
          <w:tcPr>
            <w:tcW w:w="1199" w:type="dxa"/>
            <w:gridSpan w:val="2"/>
            <w:vAlign w:val="center"/>
          </w:tcPr>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视频监控管理平台及云存储服务</w:t>
            </w:r>
          </w:p>
        </w:tc>
        <w:tc>
          <w:tcPr>
            <w:tcW w:w="5528" w:type="dxa"/>
          </w:tcPr>
          <w:p>
            <w:pPr>
              <w:widowControl/>
              <w:spacing w:after="220" w:line="360" w:lineRule="auto"/>
              <w:jc w:val="left"/>
              <w:textAlignment w:val="top"/>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一、服务总体要求</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kern w:val="0"/>
                <w:szCs w:val="21"/>
              </w:rPr>
              <w:t>（一）按照采购人需求；本次服务需实现前端采集画面及数据，并进行24小时不间断录像存储，为解决传统视频存储系统遇到的问题，本期将接入基于视频云技术的云存储服务系统，实现接入监控视频全天24小时存储、采用25帧率录像保存30天，机动车通行图片信息需保存365天，高清车牌识别数据、违章记录及</w:t>
            </w:r>
            <w:r>
              <w:rPr>
                <w:rFonts w:hint="eastAsia" w:asciiTheme="majorEastAsia" w:hAnsiTheme="majorEastAsia" w:eastAsiaTheme="majorEastAsia" w:cstheme="majorEastAsia"/>
                <w:szCs w:val="21"/>
              </w:rPr>
              <w:t>图片保存1年。</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二）实现统一管理高清电子警察系统、边界卡口抓拍、全景监控系统、违停抓拍系统融合道路交通监测系统、视频图片云存储系统，实现车辆查询、车辆研判、视频预览回放上墙等基础应用，实现违法管理，缉查布控、非机动车违法、套牌、异常牌照等业务应用。本期提供的平台将视频资源汇聚后通过安全方式上传至桂林市社会管理视频监控联网平台，实现上级平台对图像资源的统一调阅。</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b/>
                <w:bCs/>
                <w:kern w:val="0"/>
                <w:szCs w:val="21"/>
              </w:rPr>
              <w:t>二、具体服务指标要求如下</w:t>
            </w:r>
          </w:p>
          <w:p>
            <w:pPr>
              <w:widowControl/>
              <w:spacing w:after="220" w:line="360" w:lineRule="auto"/>
              <w:jc w:val="left"/>
              <w:textAlignment w:val="top"/>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szCs w:val="21"/>
              </w:rPr>
              <w:t>（一）提供1套交通综合管控平台标准版服务，需具备以下功能</w:t>
            </w:r>
            <w:r>
              <w:rPr>
                <w:rFonts w:hint="eastAsia" w:asciiTheme="majorEastAsia" w:hAnsiTheme="majorEastAsia" w:eastAsiaTheme="majorEastAsia" w:cstheme="majorEastAsia"/>
                <w:b/>
                <w:bCs/>
                <w:kern w:val="0"/>
                <w:szCs w:val="21"/>
              </w:rPr>
              <w:t>（需在技术偏离表中注明设备生产厂家、规格型号）</w:t>
            </w:r>
            <w:r>
              <w:rPr>
                <w:rFonts w:hint="eastAsia" w:asciiTheme="majorEastAsia" w:hAnsiTheme="majorEastAsia" w:eastAsiaTheme="majorEastAsia" w:cstheme="majorEastAsia"/>
                <w:b/>
                <w:bCs/>
                <w:szCs w:val="21"/>
              </w:rPr>
              <w:t>：</w:t>
            </w:r>
            <w:r>
              <w:rPr>
                <w:rFonts w:hint="eastAsia" w:asciiTheme="majorEastAsia" w:hAnsiTheme="majorEastAsia" w:eastAsiaTheme="majorEastAsia" w:cstheme="majorEastAsia"/>
                <w:b/>
                <w:bCs/>
                <w:szCs w:val="21"/>
              </w:rPr>
              <w:br w:type="textWrapping"/>
            </w:r>
            <w:r>
              <w:rPr>
                <w:rFonts w:hint="eastAsia" w:asciiTheme="majorEastAsia" w:hAnsiTheme="majorEastAsia" w:eastAsiaTheme="majorEastAsia" w:cstheme="majorEastAsia"/>
                <w:b/>
                <w:bCs/>
                <w:kern w:val="0"/>
                <w:szCs w:val="21"/>
              </w:rPr>
              <w:t>（1）、交通综合管控基础模块</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1、支持目录基础信息的增删改查、导入、导出等功能，支持配置多个业务目录。</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2、支持用户所在部门基础信息的增删改查、导入、导出等功能。</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3、支持用户信息的增删改查、导入、导出，支持用户安全管理，可绑定用户mac地址及IP，可自行修改用户密码或者管理员重置密码。</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4、支持设备统一接入管理，包括视频设备、卡口设备、报警设备。</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5、支持车辆感知数据的采集、存储，支持车辆名单信息管理能力，支持车辆红名单管理。</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6、支持名单下发到前端或者后端比对设备，支持名单标签管理，支持名单按照关联的标签自动分类归档到对应名单库中。</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（2）、本级监控通道数</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支持对视频设备的接入通道数进行管理，授权通道数≥500。</w:t>
            </w:r>
          </w:p>
          <w:p>
            <w:pPr>
              <w:pStyle w:val="38"/>
              <w:numPr>
                <w:ilvl w:val="0"/>
                <w:numId w:val="6"/>
              </w:numPr>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、本级车道接入数</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对卡口、电警、违停球等设备的接入车道数进行管理，授权通道数≥350。</w:t>
            </w:r>
          </w:p>
          <w:p>
            <w:pPr>
              <w:pStyle w:val="38"/>
              <w:numPr>
                <w:ilvl w:val="0"/>
                <w:numId w:val="6"/>
              </w:numPr>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视频监控应用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1、支持视频实时预览能力，实现预览窗口布局切换、预览画面自适应及全屏切换。</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2、支持云台控制、实时抓图、紧急录像、即时回放、主子码流切换、声音开启\关闭、辅屏预览（≥1个辅屏）、对讲、广播、报警输出控制的能力。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3、支持资源视图管理能力，以视图形式管理监控点、视频预览轮巡等自定义资源组，其中视图类型包含公有视图和私有视图。</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4、支持全景视频监控预览能力，支持智能规则展示的能力。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5、支持录像计划管理能力，支持实时录像计划、录像回传计划。</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6、支持录像回放能力，支持多画面同步回放和异步回放切换、超高倍速回放、分段回放、录像下载、录像剪辑、录像标签、录像锁定、录像抓图。</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7、支持视频预览与图片实时监控模式切换能力，实现图片监控模式，支持图片下载能力。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8、支持图片查询回放能力，实现按监控点、时间段展示抓拍图片，支持图片自动播放能力，支持图片自动播放速度可设置。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9、支持电视墙场景管理能力，实现场景窗口配置、场景切换计划配置以及轮巡计划的管理。</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10、支持上墙控制能力，实现场景一键上墙、场景切换、电视墙切换、监控点上下墙、轮巡控制操作。</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（5）、车辆缉查布控</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1、支持车辆布控，支持模型布控（图片布控）、名单库布控、车牌布控等多种布控方式。</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2、支持查看布控基本信息和联动报警信息，支持设置布控范围、布控原因、有效期限。</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3、支持高、中、低≥三种布控等级，支持全部导出和部分导出布控信息。</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4、支持按审核状态、布控类型、布控原因、布控名称、布控目标、创建人查询布控信息。</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5、支持对已经布控的车辆进行撤控和重新布控，支持批量撤控。</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6、支持按布控类型、布控原因、布控名称、布控目标、创建人查询撤控信息。</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7、支持报警推送，支持移动端App、客户端等方式接收布控报警，支持报警按卡口推送和按布控任务订阅推送两种模式。</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8、支持报警查询，支持对于布控任务产生的报警，可以通过列表上的报警记录进行查看，也可以在布控报警查询页面进行明细查询，报警详情结合电子地图展示。</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（6）、视频运维应用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1、支持设备运行状态采集，支持对设备在线情况进行检测。</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2、支持视频质量检测，支持对视频的图像质量进行检测。</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3、支持录像质量检测，支持对录像的完整性进行检测。</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4、支持运维告警的查询和处理。</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5、支持按月、时间区间对各区域监控点在线率、图像正常率、录像完整率进行统计考核。</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（7）、视频级联网关</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1、支持上下级域注册管理能力，实现平台数据级联。</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2、支持资源同步能力。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3、支持级联视频点位实时预览、录像回放、录像下载、语音对讲能力。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4、支持基于视频通用标准协议（GB/T28181-2011,GB/T28181-2016）与外域平台互联互通，实现上级平台对下级平台视频资源点位的操作控制。</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（8）、地图应用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1、支持业务资源图上展示，支持监控点、卡口资源、单兵、车载、无人机、探针、报警设备及报警输入/输出在地图上的显示与隐藏。</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2、支持查看选中目标的GPS详情（编号、速度、方向及经纬度），可进行视频预览。</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3、支持按时间查询单兵、车载、无人机等在地图上的经过的GPS位置，将轨迹展示在地图上。</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（9）、地图引擎</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1、支持基础地理资源的全图搜索、路径分析，矢量切片的切图和配图。</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2、支持矢量切片地图，支持标准的地图服务，地图包含不仅限于高德、天地图、arcgis等。</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（10）、智能车辆应用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1、支持车辆属性查询，支持根据过车类型、车辆颜色、车辆类型等属性查询匹配的过车数据。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2、支持以车搜车，支持通过车辆图片为条件，在过车数据中根据车辆外形特征检索出与其最相似的车辆，同时支持分析结果按照车牌分组展示，支持查询结果与目标查询车辆对比功能。</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3、支持车辆数据统计，支持按卡口、时间、归属地、车型、品牌、区域分析某个卡口某段时间的车流量数据，并可以以日报表，月报表的形式提供分析结果。</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4、支持车辆研判，支持昼伏夜出、区域碰撞、初次入城、车辆落脚点、频繁过车、行车规律分析、同行车辆、夜间面部遮挡、隐匿车、一车一档等车辆研判技战法</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5、支持区间测速，支持区间配置、字符叠加，以及以车辆区间属性（车牌号码、车牌颜色 、违法时间、区间名称、超速比）搜索区间违法超速数据，查询区间违法超速数据的超速比、平均速度等超速信息。</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 红名单过车查询，支持在用户选择的时段、点位范围、方向及车道，根据车牌号码 、结果关联、车辆颜色、车辆品牌、车辆类型、车牌类型、车牌颜色进行红名单过车记录检索。</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（11）、车辆非现场执法</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1、支持违法数据汇聚，支持前端设备的违法数据接入。</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2、支持非机动车违法、区间测速、道路限行管控等应用产生的违法数据接入。</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3、支持违法数据审核，支持违法初审、违法复审、审核工作量统计。</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4、支持违法数据统计，支持违法总数概览、违法地点排行、违法类型排行、违法趋势、违法车辆归属地分布情况的图表展示。</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5、支持按卡口、违法类型条件对相关违法数据对应过车录像自动备份到指定中心存储。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6、支持过滤无牌车、重复违法数据过滤、特殊车辆过滤、卡口\车道、违法类型过滤规则。</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7、支持违法代码统一管理，并支持违法代码转换配置、以及违法地点配置管理。</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（12）、道路限行管控</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1、应用于交警为减轻城市和特定路段的交通压力，缓解道路拥堵，对车辆进行限行管控的场景，支持模糊车牌、车辆名单库、放行节假日配置。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2、支持车辆类型、车牌颜色、车牌尾号、模糊车牌、区域条件（号牌归属地）、车辆名单库、卡口、车道、方向、时间(按月、日、星期、单双日、时间段)配置。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3、持将闯限行违法数据对接到非现场执法应用能力。</w:t>
            </w:r>
          </w:p>
          <w:p>
            <w:pPr>
              <w:pStyle w:val="38"/>
              <w:ind w:firstLine="422"/>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（13）、违停提醒劝离</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1、实现对机动车违法停车的车主进行提醒劝离的功能，满足城市交警用户查处机动车违法停车的违法行为需先行提醒通知后处罚的需求，支持配置集成指挥平台对接信息。</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2、支持上传参数配置，包括图片大小限制、接口重试次数、提醒方式、是否开启多张图片上传等。</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3、支持非严管路段的违停取证，接收到违停事件后先调用集成指挥平台接口进行提醒，10分钟后车辆未驶离接收到设备上传的违停取证后再调用集成指挥平台接口上传违停数据。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4、支持严管路的违停取证，接收到设备上传的违停取证数据后先调用集成指挥平台接口进行提醒，再调用集成指挥平台接口上传违停数据。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5、支持对违停数据进行查询，并支持展示违停数据详情包括违停结构化数据、图片数据、调用接口结果。</w:t>
            </w:r>
          </w:p>
          <w:p>
            <w:pPr>
              <w:pStyle w:val="38"/>
              <w:ind w:firstLine="0" w:firstLineChars="0"/>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szCs w:val="21"/>
              </w:rPr>
              <w:t>（二）提</w:t>
            </w:r>
            <w:r>
              <w:rPr>
                <w:rFonts w:hint="eastAsia" w:asciiTheme="majorEastAsia" w:hAnsiTheme="majorEastAsia" w:eastAsiaTheme="majorEastAsia" w:cstheme="majorEastAsia"/>
                <w:b/>
                <w:bCs/>
                <w:kern w:val="0"/>
                <w:szCs w:val="21"/>
              </w:rPr>
              <w:t>供1套智慧交通系统云存储软件服务，需具</w:t>
            </w:r>
            <w:r>
              <w:rPr>
                <w:rFonts w:hint="eastAsia" w:asciiTheme="majorEastAsia" w:hAnsiTheme="majorEastAsia" w:eastAsiaTheme="majorEastAsia" w:cstheme="majorEastAsia"/>
                <w:b/>
                <w:bCs/>
                <w:szCs w:val="21"/>
              </w:rPr>
              <w:t>备以下功能</w:t>
            </w:r>
            <w:r>
              <w:rPr>
                <w:rFonts w:hint="eastAsia" w:asciiTheme="majorEastAsia" w:hAnsiTheme="majorEastAsia" w:eastAsiaTheme="majorEastAsia" w:cstheme="majorEastAsia"/>
                <w:b/>
                <w:bCs/>
                <w:kern w:val="0"/>
                <w:szCs w:val="21"/>
              </w:rPr>
              <w:t>（需在技术偏离表中注明设备生产厂家、规格型号）</w:t>
            </w:r>
            <w:r>
              <w:rPr>
                <w:rFonts w:hint="eastAsia" w:asciiTheme="majorEastAsia" w:hAnsiTheme="majorEastAsia" w:eastAsiaTheme="majorEastAsia" w:cstheme="majorEastAsia"/>
                <w:b/>
                <w:bCs/>
                <w:szCs w:val="21"/>
              </w:rPr>
              <w:t>：</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1、系统由管理节点和/或存储节点组成，且系统可扩容，增加管理或存储节点。在多节点系统中，任何一个存储节点出现故障，应不影响数据的正常存取。</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2、支持分布式对称架构与非对称架构相互自由切换。</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不同类型数据（全景大图、人脸/车辆/人体小图，动态库图片、静态库图片）分层存储到云存储系统的不同介质中：支持热数据以高速SSD为介质进行存储，温数据以机械盘为介质进行存储，冷数据以磁带为介质进行存储，不同数据实现分层管理及分级加速。</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一套云存储系统可对外提供多种类型数据混合存储，同时支持分布式流式存储，分布式对象存储、分布式文件存储、分布式块存储，支持回收站功能，防止数据误删，缓存用户删除文件，支持回收时间配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5、支持视频直存技术，能够直接接入支持GB/T28181-2011、GB/T28181-2016、ONVIF、RTSP、PSIA 标准的前端设备。</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6、云存储系统空间利用率可调，根据N+M容错配置，可使空间利用率到达95%以上。</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7、▲支持SATA、SAS、SSD、SMR等类型硬盘混插，其中支持7200/10000/15000转SAS盘，同时支持SATA、SAS、SSD、SMR硬盘分组隔离，实现冷热数据的分层存储。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8、一套云存储系统中，支持的存储节点个数不小于4096个，多云集群系统支持不小于1024个云存储系统。</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9、支持单个客户端从多台存储设备并行高速下载指定时间段的录像，下载速度≥1.14GB/s。</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10、单台存储节点图片存储性能≥1.5Gb/s,且不受图片大小影响。</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11、视音频流能直接在云系统上进行存储，支持采用流媒体直存转发方式，由云存储服务器本机直接对流媒体进行存储转发，无需配置存储转发/流媒体服务器。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支持图片文件以缩略图和裁剪图的形式下载，支持图片按URL单张下载，支持图片批量下载，图片按URL地址下载或按时间段批量下载时，均支持按压缩比例、按缩放比例、按区域（坐标、指定宽高）进行裁剪、按指定宽高下载。</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支持存储节点及硬盘即插即用，原数据无需迁移，无需任何配置，一分钟内完成扩容。支持在线增加和移除存储节点、硬盘，期间不影响读写业务，扩容后新写入的数据可自动被分配到新的节点上，支持自动负载均衡。</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具备节点间容错功能，容忍N-1（N≤29）台存储节点设备同时故障后，只要有1台以上存储节点设备正常，即可保证录像可写入，写入录像依然具备磁盘间容错能力，支持设备维护模式，读取业务（历史数据）不受影响可读取，新业务接管保证业务不中断。</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15、支持业务数据的存储周期管理。可按策略对业务数据进行自动清理，存储周期可以按容量或时间方式进行配置。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16、云存储系统支持分域管理，当单个域中设备接入到同一个交换机时，可实现数据流分域控制管理，域内业务不受其他域影响。</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存储设备根据自身业务量，自适应重构速度，当设备空间资源较为充裕时，重构速度自动提高，当设备空间资源较为紧张时，重构速度自动降低，支持磁盘故障、设备故障后，根据业务情况，调整设置重构的等级，分别调整为高速重构、中速重构、低速重构，支持重构速度展示。</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18、支持在线修改资源池的N+M冗余级别，N值和M值能动态调整，数据不丢失，业务不中断，系统根据当前节点状态使用相应的容错算法以提高节点容错能力。</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19、▲支持视频片段的对象化，支持指定视频片段的唯一对象名称并可下发开启录像指令，云存储从监控点取流之后进行对象化存储，后期用户可以根据该对象名称提取该对象数据。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支持云存储系统中内嵌智能和大数据分析功能，支持视频流实时结构化，海量摘要分析及查询等功能，无需单独智能服务器，智能模块支持集群部署，具有负载均衡、集群容灾、性能线性提升、横向扩展等集群特性。</w:t>
            </w:r>
          </w:p>
          <w:p>
            <w:pPr>
              <w:pStyle w:val="38"/>
              <w:ind w:firstLine="0" w:firstLineChars="0"/>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szCs w:val="21"/>
              </w:rPr>
              <w:t>（三）提供1套智慧交通系统图片存储服务，</w:t>
            </w:r>
            <w:r>
              <w:rPr>
                <w:rFonts w:hint="eastAsia" w:asciiTheme="majorEastAsia" w:hAnsiTheme="majorEastAsia" w:eastAsiaTheme="majorEastAsia" w:cstheme="majorEastAsia"/>
                <w:b/>
                <w:bCs/>
                <w:kern w:val="0"/>
                <w:szCs w:val="21"/>
              </w:rPr>
              <w:t>需具</w:t>
            </w:r>
            <w:r>
              <w:rPr>
                <w:rFonts w:hint="eastAsia" w:asciiTheme="majorEastAsia" w:hAnsiTheme="majorEastAsia" w:eastAsiaTheme="majorEastAsia" w:cstheme="majorEastAsia"/>
                <w:b/>
                <w:bCs/>
                <w:szCs w:val="21"/>
              </w:rPr>
              <w:t>备以下功能：</w:t>
            </w:r>
            <w:r>
              <w:rPr>
                <w:rFonts w:hint="eastAsia" w:asciiTheme="majorEastAsia" w:hAnsiTheme="majorEastAsia" w:eastAsiaTheme="majorEastAsia" w:cstheme="majorEastAsia"/>
                <w:b/>
                <w:bCs/>
                <w:kern w:val="0"/>
                <w:szCs w:val="21"/>
              </w:rPr>
              <w:t>（需在技术偏离表中注明设备生产厂家、规格型号）</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1、采用64位多核处理器，双控制器架构，缓存≥16GB，可扩展至≥256GB，实现海量数据检索、分析及存储，信息深化应用。</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2、支持≥24个硬盘插槽，支持接入2T/3T/4T/6T/8T SATA磁盘，支持磁交错启动和漫游，并支持在线热插拔。</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3、支持双系统，支持FCSAN、IPSAN、NAS存储功能。</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可对视音频、图片、结构化数据、对象等文件进行混合存储，并可通过http和https方式下载，可配置3～6个容器，存储业务模块可存放在不同容器中，业务之间互相隔离，一个业务模块发生故障时，不影响其它业务模块，当一个业务模块异常，系统可自动重启业务模块并恢复原有业务。</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5、应能接入并存储≥1880Mbps视频图像，同时转发≥1880Mbps的视频图像，同时回放≥512Mbps的视频图像。</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6、可接入Onvif、H.264、H.265、SVAC的前端设备并存储录像文件。</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7、支持并发≥8路文件上传中心存储，单路带宽可设，支持不同大小的硬盘混合使用，可显示硬盘总容量。</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容器镜像管理，包括容器镜像启动/暂停、业务升级/回退、上传/删除，支持添加新业务，支持修改容器镜像IP地址、业务参数，支持查看容器镜像中业务信息（包括：CPU使用率、内存使用量、网络流量、业务所在节点）。</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10、设备可同时支持视频、图片、智能流和文件直写存储，支持多路文件采用非NAS方式直接上传存储，且速度可设置。</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11、可对指定的录像段或指定事件的1个或多个前端的不同时间段的录像段添加标签，并自动备份到存档卷中，使之不会被覆盖删除。</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12、可根据事件名称查询所有相关联的不同前端或时间的录像段并进行回放和下载。</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13、支持存储空间虚拟化管理。支持多存储设备容量整合，形成录像池；可根据用户业务分配通用、文件、视频、图片等类型存储空间，支持在线弹性伸缩录像池的容量空间，不影响业务继续读写。</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可在KVM虚拟化环境下进行U盘等硬件热插拔，可对虚机镜像进行异常监控，可在无独立显卡情况下，使用主板CPU集成显卡为虚拟机提供视频图像显示能力，支持系统盘更换功能，更换系统盘并配置好信息后，再次开机无需人工介入，可自动恢复业务，历史数据不应丢失。</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15、支持按照模板批量导入导出布控信息，支持历史布控记录检索。</w:t>
            </w:r>
          </w:p>
          <w:p>
            <w:pPr>
              <w:widowControl/>
              <w:spacing w:after="220"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16、支持按毫秒级自定义时间段进行视频精准检索、回放、下载，回放支持豪秒级定位回放、关键帧回放、回放暂停、倍速快放、慢放等。</w:t>
            </w:r>
          </w:p>
          <w:p>
            <w:pPr>
              <w:pStyle w:val="38"/>
              <w:ind w:firstLine="0" w:firstLineChars="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（四）提供1套智慧交通系统视图终端服务，需具备以下功能：</w:t>
            </w:r>
            <w:r>
              <w:rPr>
                <w:rFonts w:hint="eastAsia" w:asciiTheme="majorEastAsia" w:hAnsiTheme="majorEastAsia" w:eastAsiaTheme="majorEastAsia" w:cstheme="majorEastAsia"/>
                <w:b/>
                <w:bCs/>
                <w:kern w:val="0"/>
                <w:szCs w:val="21"/>
              </w:rPr>
              <w:t>（需在技术偏离表中注明设备生产厂家、规格型号）</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1、处理器：不低于六核2.9GHz主频处理器。</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2、内存：不低于8GB，支持扩展到32GB以上。</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3、≥2G显存独立显卡。</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4、≥128GB SATA SSD和≥1TB SATA HDD硬盘。</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5、支持≥16个窗口同时1或2倍速播放，或支持≥9个窗口同时4倍速播放，或支持≥4个窗口同时8倍速或16倍速播放。</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6、支持播放GA/T1154.2-2014中4.4.2.1规定的≥70种视频格式文件功能，支持全屏、单屏、2分屏、4分屏、9分屏、16分屏播放。</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7、支持应用软件向导式启动及更新升级，支持应用软件打开即可全屏显示。</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8、支持视频客户端实现画中画显示，支持将≥2个IPC画面合成1个画面，支持在≥1个大画面叠加1个小画面，支持≥2个画面分2个窗口显示。</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9、可实现≥400万像素解码不低于16路。</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10、支持硬盘断电保护，支持将硬盘数据还原到指定还原点。</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11、支持windows系统、UOS系统、麒麟系统、CentOS系统等系统安装，支持上述双系统、三系统、四系统安装，含正版Windows 10系统或UOS系统或麒麟系统或CentOS系统授权。</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13、支持视频客户端进行画中画显示，把≥二个IPC的画面合并成一个画面，在≥一个大画面叠加一个小画面，也可以分≥二个窗口显示。</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支持Windows应用虚拟化，支持双系统同时开机同时使用；支持安装云盘软件，能对指定目录进行增备、全备及双向同步；支持对操作系统进行镜像备份和恢复；支持使用视图播放器对文件进行播放；支持使用浏览器对IPC进行预览回放操作，使用浏览器对平台软件进行操作。</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15、支持远程开关机、远程唤醒。</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16、≥21.5英寸 1920*1080 高清显示，USB接口≥10个、PCI-E插槽≥2个、以太网口：≥1个RJ45 10M、100M、1000M自适应以太网口、显示输出接口：≥2个VGA接口、≥2个HDMI接口，支持扩展机箱风扇进行散热。</w:t>
            </w:r>
          </w:p>
          <w:p>
            <w:pPr>
              <w:pStyle w:val="38"/>
              <w:ind w:firstLine="0" w:firstLineChars="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（五）提供2套智慧交通系统平台服务器终端服务，需具备以下功能：</w:t>
            </w:r>
            <w:r>
              <w:rPr>
                <w:rFonts w:hint="eastAsia" w:asciiTheme="majorEastAsia" w:hAnsiTheme="majorEastAsia" w:eastAsiaTheme="majorEastAsia" w:cstheme="majorEastAsia"/>
                <w:b/>
                <w:bCs/>
                <w:kern w:val="0"/>
                <w:szCs w:val="21"/>
              </w:rPr>
              <w:t>（需在技术偏离表中注明设备生产厂家、规格型号）</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1、支持用户自定义快捷入口，支持支持自定义菜单内容，支持页面元素设置，支持上传页面logo图标、修改网站标题、设置并添加网站外部链接。</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2、支持所有设备统一校时，支持登录类型（Web端、PC客户端、移动端）和认证方式（密码、PKI）的配置。</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3、约2U机架式，≥2颗CPU处理器，核数≥10核，主频≥2.2GHz。</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4、≥2个千兆电口，≥2个万兆光口，≥1个千兆RJ45管理接口，≥4个USB 3.0接口，≥1个VGA接口。</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5、支持≥6个PCIE扩展插槽。</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6、内存：≥64GB DDR4，≥16根内存插槽，支持扩展至≥2TB内存。</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7、配置SAS_HBA卡,支持RAID 0/1/10。</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8、硬盘：≥4块600G 10K 2.5英寸SAS盘。</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9、配置550W（1+1）冗余电源。</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10、支持在5-40℃温度变化范围内稳定运行。</w:t>
            </w:r>
          </w:p>
        </w:tc>
        <w:tc>
          <w:tcPr>
            <w:tcW w:w="709" w:type="dxa"/>
            <w:vAlign w:val="center"/>
          </w:tcPr>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项</w:t>
            </w:r>
          </w:p>
        </w:tc>
        <w:tc>
          <w:tcPr>
            <w:tcW w:w="709" w:type="dxa"/>
            <w:vAlign w:val="center"/>
          </w:tcPr>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1 </w:t>
            </w:r>
          </w:p>
        </w:tc>
        <w:tc>
          <w:tcPr>
            <w:tcW w:w="1134" w:type="dxa"/>
            <w:vAlign w:val="center"/>
          </w:tcPr>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385250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pPr>
              <w:tabs>
                <w:tab w:val="left" w:pos="525"/>
              </w:tabs>
              <w:spacing w:line="380" w:lineRule="exact"/>
              <w:ind w:left="105"/>
              <w:jc w:val="center"/>
              <w:rPr>
                <w:rFonts w:ascii="宋体" w:hAnsi="宋体"/>
                <w:szCs w:val="21"/>
              </w:rPr>
            </w:pPr>
            <w:r>
              <w:rPr>
                <w:rFonts w:hint="eastAsia" w:ascii="宋体" w:hAnsi="宋体"/>
                <w:szCs w:val="21"/>
              </w:rPr>
              <w:t>3</w:t>
            </w:r>
          </w:p>
        </w:tc>
        <w:tc>
          <w:tcPr>
            <w:tcW w:w="1199" w:type="dxa"/>
            <w:gridSpan w:val="2"/>
            <w:vAlign w:val="center"/>
          </w:tcPr>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视频数据专线服务及售后服务</w:t>
            </w:r>
          </w:p>
        </w:tc>
        <w:tc>
          <w:tcPr>
            <w:tcW w:w="5528" w:type="dxa"/>
            <w:vAlign w:val="center"/>
          </w:tcPr>
          <w:p>
            <w:pPr>
              <w:pStyle w:val="38"/>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b/>
                <w:bCs/>
                <w:kern w:val="0"/>
                <w:szCs w:val="21"/>
              </w:rPr>
              <w:t>一、视频采集服务</w:t>
            </w:r>
            <w:r>
              <w:rPr>
                <w:rFonts w:hint="eastAsia" w:asciiTheme="majorEastAsia" w:hAnsiTheme="majorEastAsia" w:eastAsiaTheme="majorEastAsia" w:cstheme="majorEastAsia"/>
                <w:b/>
                <w:bCs/>
                <w:szCs w:val="21"/>
              </w:rPr>
              <w:t>配套监控设备网络传输服务，需具备以下功能：</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提供本次优化前端141个监控设备的联网传输服务，带宽≧20M/条/点，使用36个月，传输到桂林市公安局临桂分局交通管理大队监控中心。光纤线路路程由供应商自行勘探并建设，接口类型支持RJ45接口或SC/FC等接口，终端网络接入ping测1M报文时间小于10毫秒，线路丢帧率小于0.5%，且不允许出现连续丢包。</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2、提供4张5G（物联网）无线网络套餐服务：套餐包含每年通用数据流量≥100GB，提供3年。</w:t>
            </w:r>
          </w:p>
          <w:p>
            <w:pPr>
              <w:pStyle w:val="38"/>
              <w:ind w:firstLine="0" w:firstLineChars="0"/>
              <w:rPr>
                <w:rFonts w:asciiTheme="majorEastAsia" w:hAnsiTheme="majorEastAsia" w:eastAsiaTheme="majorEastAsia" w:cstheme="majorEastAsia"/>
                <w:szCs w:val="21"/>
              </w:rPr>
            </w:pPr>
            <w:r>
              <w:rPr>
                <w:rFonts w:hint="eastAsia" w:asciiTheme="majorEastAsia" w:hAnsiTheme="majorEastAsia" w:eastAsiaTheme="majorEastAsia" w:cstheme="majorEastAsia"/>
                <w:b/>
                <w:bCs/>
                <w:kern w:val="0"/>
                <w:szCs w:val="21"/>
              </w:rPr>
              <w:t>二、</w:t>
            </w:r>
            <w:r>
              <w:rPr>
                <w:rFonts w:hint="eastAsia" w:asciiTheme="majorEastAsia" w:hAnsiTheme="majorEastAsia" w:eastAsiaTheme="majorEastAsia" w:cstheme="majorEastAsia"/>
                <w:b/>
                <w:bCs/>
                <w:szCs w:val="21"/>
              </w:rPr>
              <w:t>智慧交通系统平台</w:t>
            </w:r>
            <w:r>
              <w:rPr>
                <w:rFonts w:hint="eastAsia" w:asciiTheme="majorEastAsia" w:hAnsiTheme="majorEastAsia" w:eastAsiaTheme="majorEastAsia" w:cstheme="majorEastAsia"/>
                <w:b/>
                <w:bCs/>
                <w:kern w:val="0"/>
                <w:szCs w:val="21"/>
              </w:rPr>
              <w:t>服务</w:t>
            </w:r>
            <w:r>
              <w:rPr>
                <w:rFonts w:hint="eastAsia" w:asciiTheme="majorEastAsia" w:hAnsiTheme="majorEastAsia" w:eastAsiaTheme="majorEastAsia" w:cstheme="majorEastAsia"/>
                <w:b/>
                <w:bCs/>
                <w:szCs w:val="21"/>
              </w:rPr>
              <w:t>配套维护要求</w:t>
            </w:r>
          </w:p>
          <w:p>
            <w:pPr>
              <w:widowControl/>
              <w:spacing w:line="360" w:lineRule="auto"/>
              <w:jc w:val="left"/>
              <w:textAlignment w:val="top"/>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提供前端141个监控设备以及视频监控管理平台的维护保修服务，为确保有形的设备和物理环境（前端监控头、闪光灯、主机、云存储、服务器、软件等）在使用期内正常运行，所必需的维护、保养等，并指派专人到临桂交警大队监控中心进行驻场服务，提供3年。</w:t>
            </w:r>
          </w:p>
          <w:p>
            <w:pPr>
              <w:widowControl/>
              <w:spacing w:line="360" w:lineRule="auto"/>
              <w:jc w:val="left"/>
              <w:textAlignment w:val="top"/>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2、包含提供前端141个监控设备的电费，保证设备正常使用，包含3年电费。</w:t>
            </w:r>
          </w:p>
        </w:tc>
        <w:tc>
          <w:tcPr>
            <w:tcW w:w="709" w:type="dxa"/>
            <w:vAlign w:val="center"/>
          </w:tcPr>
          <w:p>
            <w:pPr>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项</w:t>
            </w:r>
          </w:p>
        </w:tc>
        <w:tc>
          <w:tcPr>
            <w:tcW w:w="709" w:type="dxa"/>
            <w:vAlign w:val="center"/>
          </w:tcPr>
          <w:p>
            <w:pPr>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1134" w:type="dxa"/>
            <w:vAlign w:val="center"/>
          </w:tcPr>
          <w:p>
            <w:pPr>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1120200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995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b/>
                <w:color w:val="000000"/>
                <w:szCs w:val="21"/>
              </w:rPr>
            </w:pPr>
            <w:r>
              <w:rPr>
                <w:rFonts w:hint="eastAsia" w:ascii="宋体" w:hAnsi="宋体"/>
                <w:b/>
                <w:color w:val="000000"/>
                <w:szCs w:val="21"/>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1"/>
              </w:rPr>
            </w:pPr>
            <w:r>
              <w:rPr>
                <w:rFonts w:hint="eastAsia" w:ascii="宋体" w:hAnsi="宋体" w:cs="宋体"/>
                <w:b/>
                <w:szCs w:val="21"/>
              </w:rPr>
              <w:t>交付期及服务时间：</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000000"/>
                <w:szCs w:val="21"/>
              </w:rPr>
            </w:pPr>
            <w:r>
              <w:rPr>
                <w:rFonts w:hint="eastAsia" w:ascii="宋体" w:hAnsi="宋体"/>
                <w:color w:val="000000"/>
                <w:szCs w:val="21"/>
              </w:rPr>
              <w:t>一、服务期限：3年（“采购需求”中特别规定的，按规定执行）。</w:t>
            </w:r>
          </w:p>
          <w:p>
            <w:pPr>
              <w:tabs>
                <w:tab w:val="left" w:pos="7797"/>
              </w:tabs>
              <w:snapToGrid w:val="0"/>
              <w:spacing w:line="420" w:lineRule="exact"/>
              <w:rPr>
                <w:rFonts w:ascii="宋体" w:hAnsi="宋体"/>
                <w:szCs w:val="21"/>
              </w:rPr>
            </w:pPr>
            <w:r>
              <w:rPr>
                <w:rFonts w:hint="eastAsia" w:ascii="宋体" w:hAnsi="宋体"/>
                <w:szCs w:val="21"/>
              </w:rPr>
              <w:t>二、交付使用期及地点：</w:t>
            </w:r>
          </w:p>
          <w:p>
            <w:pPr>
              <w:tabs>
                <w:tab w:val="left" w:pos="7797"/>
              </w:tabs>
              <w:snapToGrid w:val="0"/>
              <w:spacing w:line="420" w:lineRule="exact"/>
              <w:rPr>
                <w:rFonts w:ascii="宋体" w:hAnsi="宋体"/>
                <w:szCs w:val="21"/>
              </w:rPr>
            </w:pPr>
            <w:r>
              <w:rPr>
                <w:rFonts w:hint="eastAsia" w:ascii="宋体" w:hAnsi="宋体"/>
                <w:szCs w:val="21"/>
              </w:rPr>
              <w:t>1、交付使用期：签订合同之日起30个工作日内安装完毕交付使用，售后服务期限3年</w:t>
            </w:r>
            <w:r>
              <w:rPr>
                <w:rFonts w:ascii="宋体" w:hAnsi="宋体"/>
                <w:szCs w:val="21"/>
              </w:rPr>
              <w:t>；</w:t>
            </w:r>
          </w:p>
          <w:p>
            <w:pPr>
              <w:tabs>
                <w:tab w:val="left" w:pos="7797"/>
              </w:tabs>
              <w:snapToGrid w:val="0"/>
              <w:spacing w:line="420" w:lineRule="exact"/>
              <w:rPr>
                <w:rFonts w:ascii="宋体" w:hAnsi="宋体"/>
                <w:color w:val="000000"/>
                <w:szCs w:val="21"/>
              </w:rPr>
            </w:pPr>
            <w:r>
              <w:rPr>
                <w:rFonts w:hint="eastAsia" w:ascii="宋体" w:hAnsi="宋体"/>
                <w:szCs w:val="21"/>
              </w:rPr>
              <w:t>2、服务地点：</w:t>
            </w:r>
            <w:r>
              <w:rPr>
                <w:rFonts w:ascii="宋体" w:hAnsi="宋体"/>
                <w:szCs w:val="21"/>
              </w:rPr>
              <w:t>采购人指定地点。</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1"/>
              </w:rPr>
            </w:pPr>
            <w:r>
              <w:rPr>
                <w:rFonts w:hint="eastAsia" w:ascii="宋体" w:hAnsi="宋体"/>
                <w:b/>
                <w:color w:val="000000"/>
                <w:szCs w:val="21"/>
              </w:rPr>
              <w:t>售后服务要求</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tabs>
                <w:tab w:val="left" w:pos="7797"/>
              </w:tabs>
              <w:snapToGrid w:val="0"/>
              <w:spacing w:line="420" w:lineRule="exact"/>
              <w:rPr>
                <w:rFonts w:ascii="宋体" w:hAnsi="宋体"/>
                <w:szCs w:val="21"/>
              </w:rPr>
            </w:pPr>
            <w:r>
              <w:rPr>
                <w:rFonts w:hint="eastAsia" w:ascii="宋体" w:hAnsi="宋体"/>
                <w:szCs w:val="21"/>
              </w:rPr>
              <w:t>1、</w:t>
            </w:r>
            <w:r>
              <w:rPr>
                <w:rFonts w:ascii="宋体" w:hAnsi="宋体"/>
                <w:szCs w:val="21"/>
              </w:rPr>
              <w:t>定期进行回访并对今后系统升级改造后的软硬件继续提供技术支持。</w:t>
            </w:r>
          </w:p>
          <w:p>
            <w:pPr>
              <w:tabs>
                <w:tab w:val="left" w:pos="7797"/>
              </w:tabs>
              <w:snapToGrid w:val="0"/>
              <w:spacing w:line="420" w:lineRule="exact"/>
              <w:rPr>
                <w:rFonts w:ascii="宋体" w:hAnsi="宋体"/>
                <w:szCs w:val="21"/>
              </w:rPr>
            </w:pPr>
            <w:r>
              <w:rPr>
                <w:rFonts w:hint="eastAsia" w:ascii="宋体" w:hAnsi="宋体"/>
                <w:szCs w:val="21"/>
              </w:rPr>
              <w:t>2、</w:t>
            </w:r>
            <w:r>
              <w:rPr>
                <w:rFonts w:ascii="宋体" w:hAnsi="宋体"/>
                <w:szCs w:val="21"/>
              </w:rPr>
              <w:t>应急响应服务：</w:t>
            </w:r>
            <w:r>
              <w:rPr>
                <w:rFonts w:hint="eastAsia" w:ascii="宋体" w:hAnsi="宋体"/>
                <w:szCs w:val="21"/>
              </w:rPr>
              <w:t>提供7×24小时上门服务，接采购人报故障电话2小时内响应，产品生产厂家或其授权工程师需在4小时内抵达现场。</w:t>
            </w:r>
          </w:p>
          <w:p>
            <w:pPr>
              <w:spacing w:line="276" w:lineRule="auto"/>
              <w:jc w:val="left"/>
              <w:rPr>
                <w:rFonts w:ascii="宋体" w:hAnsi="宋体"/>
                <w:color w:val="000000"/>
                <w:szCs w:val="21"/>
              </w:rPr>
            </w:pPr>
            <w:r>
              <w:rPr>
                <w:rFonts w:hint="eastAsia" w:ascii="宋体" w:hAnsi="宋体"/>
                <w:szCs w:val="21"/>
              </w:rPr>
              <w:t>3、</w:t>
            </w:r>
            <w:r>
              <w:rPr>
                <w:rFonts w:ascii="宋体" w:hAnsi="宋体"/>
                <w:szCs w:val="21"/>
              </w:rPr>
              <w:t>中标供应商须在离采购人尽可能近的地方提供技术服务人员和售后服务点，以便缩短售后服务响应时间和售后服务满意度。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1"/>
              </w:rPr>
            </w:pPr>
            <w:r>
              <w:rPr>
                <w:rFonts w:hint="eastAsia" w:ascii="宋体" w:hAnsi="宋体"/>
                <w:b/>
                <w:color w:val="000000"/>
              </w:rPr>
              <w:t>付款方式</w:t>
            </w:r>
          </w:p>
        </w:tc>
        <w:tc>
          <w:tcPr>
            <w:tcW w:w="8482" w:type="dxa"/>
            <w:gridSpan w:val="5"/>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000000"/>
                <w:kern w:val="0"/>
                <w:szCs w:val="21"/>
              </w:rPr>
            </w:pPr>
            <w:bookmarkStart w:id="106" w:name="_Hlk19544049"/>
            <w:r>
              <w:rPr>
                <w:rFonts w:hint="eastAsia" w:ascii="宋体" w:hAnsi="宋体"/>
                <w:szCs w:val="21"/>
              </w:rPr>
              <w:t>项目验收合格正常使用后分三年支付，第1年支付合同金额的三分之一，第2年支付合同金额的三分之一，第3年支付合同金额的三分之一；</w:t>
            </w:r>
            <w:bookmarkEnd w:id="10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现场勘查</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tabs>
                <w:tab w:val="left" w:pos="7797"/>
              </w:tabs>
              <w:snapToGrid w:val="0"/>
              <w:spacing w:line="420" w:lineRule="exact"/>
              <w:rPr>
                <w:rFonts w:ascii="宋体" w:hAnsi="宋体"/>
                <w:szCs w:val="21"/>
              </w:rPr>
            </w:pPr>
            <w:r>
              <w:rPr>
                <w:rFonts w:hint="eastAsia" w:ascii="宋体" w:hAnsi="宋体"/>
                <w:szCs w:val="21"/>
              </w:rPr>
              <w:t>1、潜在供应商可自行（</w:t>
            </w:r>
            <w:r>
              <w:rPr>
                <w:rFonts w:hint="eastAsia" w:ascii="宋体" w:hAnsi="宋体"/>
                <w:b/>
                <w:szCs w:val="21"/>
              </w:rPr>
              <w:t>非强制性要求</w:t>
            </w:r>
            <w:r>
              <w:rPr>
                <w:rFonts w:hint="eastAsia" w:ascii="宋体" w:hAnsi="宋体"/>
                <w:szCs w:val="21"/>
              </w:rPr>
              <w:t>）勘查现场，本项目需要安装的设备点位覆盖临桂区内，每个覆盖点位的立杆施工及杆件长度不一致，潜在投标人通过现场勘察制定设计及安装施工方案。</w:t>
            </w:r>
          </w:p>
          <w:p>
            <w:pPr>
              <w:tabs>
                <w:tab w:val="left" w:pos="7797"/>
              </w:tabs>
              <w:snapToGrid w:val="0"/>
              <w:spacing w:line="420" w:lineRule="exact"/>
              <w:rPr>
                <w:rFonts w:ascii="宋体" w:hAnsi="宋体"/>
                <w:szCs w:val="21"/>
              </w:rPr>
            </w:pPr>
            <w:r>
              <w:rPr>
                <w:rFonts w:hint="eastAsia" w:ascii="宋体" w:hAnsi="宋体"/>
                <w:szCs w:val="21"/>
              </w:rPr>
              <w:t>2、由各潜在投标人自行勘查，</w:t>
            </w:r>
            <w:r>
              <w:rPr>
                <w:rFonts w:hint="eastAsia" w:ascii="宋体" w:hAnsi="宋体" w:cs="宋体"/>
                <w:bCs/>
                <w:kern w:val="0"/>
                <w:szCs w:val="21"/>
              </w:rPr>
              <w:t>联系人：唐明才，联系电话：0773-5592422，请参加人员自行准备交通工具，现场勘察所发生的一切费用及人生安全自行承担。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rPr>
            </w:pPr>
            <w:r>
              <w:rPr>
                <w:rFonts w:hint="eastAsia" w:ascii="宋体" w:hAnsi="宋体"/>
                <w:b/>
                <w:color w:val="000000"/>
              </w:rPr>
              <w:t>验收要求</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szCs w:val="21"/>
              </w:rPr>
            </w:pPr>
            <w:r>
              <w:rPr>
                <w:rFonts w:hint="eastAsia" w:ascii="宋体" w:hAnsi="宋体" w:cs="宋体"/>
                <w:color w:val="000000"/>
                <w:szCs w:val="21"/>
              </w:rPr>
              <w:t>依据竞争性磋商文件要求、响应文件承诺、强制执行的国家、行业、地方标准。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rPr>
            </w:pPr>
            <w:r>
              <w:rPr>
                <w:rFonts w:hint="eastAsia" w:ascii="宋体" w:hAnsi="宋体"/>
                <w:b/>
                <w:color w:val="000000"/>
              </w:rPr>
              <w:t xml:space="preserve">其他要求 </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szCs w:val="21"/>
              </w:rPr>
            </w:pPr>
            <w:r>
              <w:rPr>
                <w:rFonts w:hint="eastAsia" w:ascii="宋体" w:hAnsi="宋体"/>
                <w:kern w:val="0"/>
                <w:szCs w:val="21"/>
              </w:rPr>
              <w:t>1、</w:t>
            </w:r>
            <w:r>
              <w:rPr>
                <w:rFonts w:hint="eastAsia" w:ascii="宋体" w:hAnsi="宋体" w:cs="宋体"/>
                <w:szCs w:val="21"/>
              </w:rPr>
              <w:t>为保证系统稳定性及兼容性，投标人必须确保本期新建的前端设备（900万卡口抓拍单元服务）能与采购人现有智能交通管理平台（海康威视IVMS-8600）无缝对接，通过GB/T28181-2016协议实现视频资源的统一管理和联网控制，</w:t>
            </w:r>
            <w:r>
              <w:rPr>
                <w:rFonts w:hint="eastAsia" w:ascii="宋体" w:hAnsi="宋体" w:cs="宋体"/>
                <w:b/>
                <w:szCs w:val="21"/>
              </w:rPr>
              <w:t>投标时必须提供互联互通承诺书，未提供，投标无效。</w:t>
            </w:r>
          </w:p>
          <w:p>
            <w:pPr>
              <w:tabs>
                <w:tab w:val="left" w:pos="7797"/>
              </w:tabs>
              <w:snapToGrid w:val="0"/>
              <w:spacing w:line="420" w:lineRule="exact"/>
              <w:rPr>
                <w:rFonts w:ascii="宋体" w:hAnsi="宋体" w:cs="宋体"/>
                <w:bCs/>
                <w:kern w:val="0"/>
                <w:szCs w:val="21"/>
              </w:rPr>
            </w:pPr>
            <w:r>
              <w:rPr>
                <w:rFonts w:hint="eastAsia" w:ascii="宋体" w:hAnsi="宋体" w:cs="宋体"/>
                <w:bCs/>
                <w:kern w:val="0"/>
                <w:szCs w:val="21"/>
              </w:rPr>
              <w:t>2、本标服务不接受进口产品（即通过中国海关报关验放进入中国境内且产自关境外的产品）参与投标，如有此类产品参与投标的，作投标无效处理。</w:t>
            </w:r>
          </w:p>
          <w:p>
            <w:pPr>
              <w:tabs>
                <w:tab w:val="left" w:pos="180"/>
                <w:tab w:val="left" w:pos="1620"/>
              </w:tabs>
              <w:spacing w:line="276" w:lineRule="auto"/>
            </w:pPr>
            <w:r>
              <w:rPr>
                <w:rFonts w:hint="eastAsia" w:ascii="宋体" w:hAnsi="宋体"/>
                <w:color w:val="000000"/>
              </w:rPr>
              <w:t>4、本项目政府采购预算金额为人民币：</w:t>
            </w:r>
            <w:r>
              <w:rPr>
                <w:rFonts w:hint="eastAsia" w:ascii="宋体" w:hAnsi="宋体"/>
                <w:b/>
                <w:color w:val="000000"/>
              </w:rPr>
              <w:t>贰佰肆拾贰万贰仟叁佰玖拾元整（¥2422390.00元）</w:t>
            </w:r>
            <w:r>
              <w:rPr>
                <w:rFonts w:hint="eastAsia" w:ascii="宋体" w:hAnsi="宋体"/>
                <w:color w:val="000000"/>
              </w:rPr>
              <w:t>，投标报价超出采购预算金额的将被视为无效投标。投标报价超出采购预算金额的将被视为无效投标。</w:t>
            </w:r>
          </w:p>
        </w:tc>
      </w:tr>
    </w:tbl>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107" w:name="_Toc102642521"/>
    </w:p>
    <w:p>
      <w:pPr>
        <w:rPr>
          <w:kern w:val="44"/>
        </w:rPr>
      </w:pPr>
      <w:r>
        <w:br w:type="page"/>
      </w:r>
    </w:p>
    <w:p>
      <w:pPr>
        <w:pStyle w:val="3"/>
        <w:tabs>
          <w:tab w:val="left" w:pos="0"/>
        </w:tabs>
        <w:autoSpaceDE w:val="0"/>
        <w:autoSpaceDN w:val="0"/>
        <w:adjustRightInd w:val="0"/>
        <w:spacing w:before="0" w:after="0" w:line="360" w:lineRule="auto"/>
        <w:jc w:val="center"/>
        <w:rPr>
          <w:rFonts w:ascii="宋体" w:hAnsi="宋体" w:cs="宋体"/>
          <w:sz w:val="32"/>
          <w:szCs w:val="32"/>
        </w:rPr>
      </w:pPr>
      <w:r>
        <w:rPr>
          <w:rFonts w:hint="eastAsia" w:ascii="宋体" w:hAnsi="宋体" w:cs="宋体"/>
          <w:sz w:val="32"/>
          <w:szCs w:val="32"/>
        </w:rPr>
        <w:t>第四章 评审办法</w:t>
      </w:r>
      <w:bookmarkEnd w:id="105"/>
      <w:bookmarkEnd w:id="107"/>
    </w:p>
    <w:p>
      <w:pPr>
        <w:spacing w:line="360" w:lineRule="exact"/>
        <w:ind w:firstLine="420" w:firstLineChars="200"/>
        <w:rPr>
          <w:rFonts w:ascii="宋体" w:hAnsi="宋体" w:cs="宋体"/>
          <w:b/>
          <w:bCs/>
          <w:color w:val="000000" w:themeColor="text1"/>
          <w:szCs w:val="21"/>
        </w:rPr>
      </w:pPr>
      <w:r>
        <w:rPr>
          <w:rFonts w:hint="eastAsia" w:ascii="宋体" w:hAnsi="宋体" w:cs="宋体"/>
          <w:b/>
          <w:bCs/>
          <w:color w:val="000000" w:themeColor="text1"/>
          <w:szCs w:val="21"/>
        </w:rPr>
        <w:t>一、评审依据</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 评审依据：磋商小组以磋商文件和响应文件为评审依据，对供应商的响应文件进行评审。</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 评审方式：以封闭方式进行评审。</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3.采购人和采购代理机构、竞争性磋商小组成员要严格遵守政府采购相关法律制度，依法履行各自职责，公正、客观、审慎地组织和参与评审工作。</w:t>
      </w:r>
    </w:p>
    <w:p>
      <w:pPr>
        <w:spacing w:line="360" w:lineRule="exact"/>
        <w:ind w:firstLine="420" w:firstLineChars="200"/>
        <w:rPr>
          <w:rFonts w:ascii="宋体" w:hAnsi="宋体" w:cs="宋体"/>
          <w:b/>
          <w:bCs/>
          <w:color w:val="000000" w:themeColor="text1"/>
          <w:szCs w:val="21"/>
        </w:rPr>
      </w:pPr>
      <w:r>
        <w:rPr>
          <w:rFonts w:hint="eastAsia" w:ascii="宋体" w:hAnsi="宋体" w:cs="宋体"/>
          <w:b/>
          <w:bCs/>
          <w:color w:val="000000" w:themeColor="text1"/>
          <w:szCs w:val="21"/>
        </w:rPr>
        <w:t>二、评审办法</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（一）对进入详评的，采用</w:t>
      </w:r>
      <w:r>
        <w:rPr>
          <w:rFonts w:hint="eastAsia" w:ascii="宋体" w:hAnsi="宋体" w:cs="宋体"/>
          <w:b/>
          <w:bCs/>
          <w:color w:val="000000" w:themeColor="text1"/>
          <w:szCs w:val="21"/>
        </w:rPr>
        <w:t>综合评分法</w:t>
      </w:r>
      <w:r>
        <w:rPr>
          <w:rFonts w:hint="eastAsia" w:ascii="宋体" w:hAnsi="宋体" w:cs="宋体"/>
          <w:color w:val="000000" w:themeColor="text1"/>
          <w:szCs w:val="21"/>
        </w:rPr>
        <w:t>。</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（二）计分办法（</w:t>
      </w:r>
      <w:r>
        <w:rPr>
          <w:rFonts w:hint="eastAsia" w:hAnsi="宋体" w:cs="宋体"/>
          <w:bCs/>
          <w:szCs w:val="21"/>
        </w:rPr>
        <w:t>按四舍五入取至百分位</w:t>
      </w:r>
      <w:r>
        <w:rPr>
          <w:rFonts w:hint="eastAsia" w:ascii="宋体" w:hAnsi="宋体" w:cs="宋体"/>
          <w:color w:val="000000" w:themeColor="text1"/>
          <w:szCs w:val="21"/>
        </w:rPr>
        <w:t>）</w:t>
      </w:r>
    </w:p>
    <w:p>
      <w:pPr>
        <w:spacing w:line="360" w:lineRule="exact"/>
        <w:ind w:firstLine="420" w:firstLineChars="200"/>
        <w:jc w:val="left"/>
        <w:rPr>
          <w:rFonts w:ascii="宋体" w:hAnsi="宋体" w:cs="宋体"/>
          <w:highlight w:val="yellow"/>
        </w:rPr>
      </w:pPr>
      <w:r>
        <w:rPr>
          <w:rFonts w:hint="eastAsia" w:ascii="宋体" w:hAnsi="宋体" w:cs="宋体"/>
          <w:b/>
          <w:bCs/>
          <w:color w:val="000000" w:themeColor="text1"/>
          <w:szCs w:val="21"/>
        </w:rPr>
        <w:t>1、价格分……………………………………………………………………………………………………</w:t>
      </w:r>
      <w:r>
        <w:rPr>
          <w:rFonts w:hint="eastAsia" w:ascii="宋体" w:hAnsi="宋体" w:cs="宋体"/>
          <w:b/>
          <w:bCs/>
          <w:szCs w:val="21"/>
        </w:rPr>
        <w:t>…30分</w:t>
      </w:r>
    </w:p>
    <w:p>
      <w:pPr>
        <w:tabs>
          <w:tab w:val="left" w:pos="651"/>
        </w:tabs>
        <w:spacing w:line="360" w:lineRule="auto"/>
        <w:ind w:firstLine="420" w:firstLineChars="200"/>
        <w:jc w:val="left"/>
      </w:pPr>
      <w:r>
        <w:rPr>
          <w:rFonts w:hint="eastAsia"/>
        </w:rPr>
        <w:t>（1） 按照《政府采购促进中小企业发展暂行办法》（财库[2020]46 号）规定 ：</w:t>
      </w:r>
    </w:p>
    <w:p>
      <w:pPr>
        <w:tabs>
          <w:tab w:val="left" w:pos="651"/>
        </w:tabs>
        <w:spacing w:line="360" w:lineRule="auto"/>
        <w:ind w:firstLine="420" w:firstLineChars="200"/>
        <w:jc w:val="left"/>
      </w:pPr>
      <w:r>
        <w:rPr>
          <w:rFonts w:hint="eastAsia"/>
        </w:rPr>
        <w:t>对竞标供应商认定为小型和微型企业且所投产品均为小型、微型企业产品的（以投标文件提供的符合规</w:t>
      </w:r>
    </w:p>
    <w:p>
      <w:pPr>
        <w:tabs>
          <w:tab w:val="left" w:pos="651"/>
        </w:tabs>
        <w:spacing w:line="360" w:lineRule="auto"/>
        <w:ind w:firstLine="420" w:firstLineChars="200"/>
        <w:jc w:val="left"/>
      </w:pPr>
      <w:r>
        <w:rPr>
          <w:rFonts w:hint="eastAsia"/>
        </w:rPr>
        <w:t>定的有关证明材料为准），投标价给予 20%的扣除，扣除后的价格为评标报价，即评标报价=投标报价×（1-20%）；除上述情况外，评标报价=投标报价。</w:t>
      </w:r>
    </w:p>
    <w:p>
      <w:pPr>
        <w:tabs>
          <w:tab w:val="left" w:pos="651"/>
        </w:tabs>
        <w:spacing w:line="360" w:lineRule="auto"/>
        <w:ind w:firstLine="420" w:firstLineChars="200"/>
        <w:jc w:val="left"/>
      </w:pPr>
      <w:r>
        <w:rPr>
          <w:rFonts w:hint="eastAsia"/>
        </w:rPr>
        <w:t>注：小型、微型企业提供中型企业制造的货物的，视同为中型企业。</w:t>
      </w:r>
    </w:p>
    <w:p>
      <w:pPr>
        <w:tabs>
          <w:tab w:val="left" w:pos="651"/>
        </w:tabs>
        <w:spacing w:line="360" w:lineRule="auto"/>
        <w:ind w:firstLine="420" w:firstLineChars="200"/>
        <w:jc w:val="left"/>
      </w:pPr>
      <w:r>
        <w:rPr>
          <w:rFonts w:hint="eastAsia"/>
        </w:rPr>
        <w:t>（2）根据财政部、司法部关于政府采购支持监狱企业发展有关问题的通知（财库[2014]68 号），监狱企业视同小型、微型企业，享受小型、微型企业评审中价格扣除的政府采购政策。</w:t>
      </w:r>
    </w:p>
    <w:p>
      <w:pPr>
        <w:tabs>
          <w:tab w:val="left" w:pos="651"/>
        </w:tabs>
        <w:spacing w:line="360" w:lineRule="auto"/>
        <w:ind w:firstLine="420" w:firstLineChars="200"/>
        <w:jc w:val="left"/>
      </w:pPr>
      <w:r>
        <w:rPr>
          <w:rFonts w:hint="eastAsia"/>
        </w:rPr>
        <w:t>（3）以进入评审的最低的评审报价为</w:t>
      </w:r>
      <w:r>
        <w:rPr>
          <w:rFonts w:hint="eastAsia" w:ascii="宋体" w:hAnsi="宋体" w:cs="宋体"/>
        </w:rPr>
        <w:t>30</w:t>
      </w:r>
      <w:r>
        <w:rPr>
          <w:rFonts w:hint="eastAsia"/>
        </w:rPr>
        <w:t>分。</w:t>
      </w:r>
    </w:p>
    <w:p>
      <w:pPr>
        <w:pStyle w:val="13"/>
        <w:spacing w:line="360" w:lineRule="auto"/>
        <w:ind w:firstLine="3087" w:firstLineChars="1470"/>
        <w:rPr>
          <w:rFonts w:hAnsi="宋体" w:cs="宋体"/>
          <w:bCs/>
          <w:szCs w:val="21"/>
        </w:rPr>
      </w:pPr>
      <w:r>
        <w:rPr>
          <w:rFonts w:hint="eastAsia" w:hAnsi="宋体" w:cs="宋体"/>
          <w:bCs/>
          <w:szCs w:val="21"/>
        </w:rPr>
        <w:t>最低竞标供应商</w:t>
      </w:r>
      <w:r>
        <w:rPr>
          <w:rFonts w:hint="eastAsia" w:hAnsi="宋体" w:cs="宋体"/>
          <w:szCs w:val="21"/>
        </w:rPr>
        <w:t>评标报价</w:t>
      </w:r>
      <w:r>
        <w:rPr>
          <w:rFonts w:hint="eastAsia" w:hAnsi="宋体" w:cs="宋体"/>
          <w:bCs/>
          <w:szCs w:val="21"/>
        </w:rPr>
        <w:t xml:space="preserve">金额          </w:t>
      </w:r>
    </w:p>
    <w:p>
      <w:pPr>
        <w:pStyle w:val="13"/>
        <w:spacing w:line="360" w:lineRule="auto"/>
        <w:ind w:firstLine="420"/>
        <w:rPr>
          <w:rFonts w:hAnsi="宋体" w:cs="宋体"/>
          <w:bCs/>
          <w:szCs w:val="21"/>
        </w:rPr>
      </w:pPr>
      <w:r>
        <w:rPr>
          <w:rFonts w:hAnsi="宋体" w:cs="宋体"/>
          <w:bCs/>
          <w:szCs w:val="21"/>
        </w:rPr>
        <w:pict>
          <v:line id="_x0000_s1026" o:spid="_x0000_s1026" o:spt="20" style="position:absolute;left:0pt;margin-left:143.25pt;margin-top:11.75pt;height:0.05pt;width:156pt;z-index:251659264;mso-width-relative:page;mso-height-relative:page;"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path arrowok="t"/>
            <v:fill focussize="0,0"/>
            <v:stroke/>
            <v:imagedata o:title=""/>
            <o:lock v:ext="edit"/>
          </v:line>
        </w:pict>
      </w:r>
      <w:r>
        <w:rPr>
          <w:rFonts w:hint="eastAsia" w:hAnsi="宋体" w:cs="宋体"/>
          <w:bCs/>
          <w:szCs w:val="21"/>
        </w:rPr>
        <w:t>（4）某竞标供应商价格分 =                                      ×30分</w:t>
      </w:r>
    </w:p>
    <w:p>
      <w:pPr>
        <w:pStyle w:val="13"/>
        <w:spacing w:line="360" w:lineRule="auto"/>
        <w:ind w:firstLine="420" w:firstLineChars="200"/>
        <w:rPr>
          <w:rFonts w:hAnsi="宋体" w:cs="宋体"/>
          <w:b/>
          <w:szCs w:val="21"/>
        </w:rPr>
      </w:pPr>
      <w:r>
        <w:rPr>
          <w:rFonts w:hint="eastAsia" w:hAnsi="宋体" w:cs="宋体"/>
          <w:bCs/>
          <w:szCs w:val="21"/>
        </w:rPr>
        <w:t xml:space="preserve">                           某竞标供应商</w:t>
      </w:r>
      <w:r>
        <w:rPr>
          <w:rFonts w:hint="eastAsia" w:hAnsi="宋体" w:cs="宋体"/>
          <w:szCs w:val="21"/>
        </w:rPr>
        <w:t>评标报价</w:t>
      </w:r>
      <w:r>
        <w:rPr>
          <w:rFonts w:hint="eastAsia" w:hAnsi="宋体" w:cs="宋体"/>
          <w:bCs/>
          <w:szCs w:val="21"/>
        </w:rPr>
        <w:t xml:space="preserve">金额  </w:t>
      </w:r>
    </w:p>
    <w:p>
      <w:pPr>
        <w:pStyle w:val="13"/>
        <w:spacing w:line="360" w:lineRule="auto"/>
        <w:ind w:firstLine="420" w:firstLineChars="200"/>
        <w:rPr>
          <w:rFonts w:hAnsi="宋体" w:cs="宋体"/>
          <w:szCs w:val="21"/>
        </w:rPr>
      </w:pPr>
      <w:r>
        <w:rPr>
          <w:rFonts w:hint="eastAsia" w:hAnsi="宋体" w:cs="宋体"/>
          <w:szCs w:val="21"/>
        </w:rPr>
        <w:t>（5） 为了确保采购项目的完成质量和维护公平的竞争及合同的正常履行，根据《中华人民共和国财政部第 87 号令》第六十条评标委员会认为竞标供应商的报价明显低于其他通过符合性审查竞标供应商的报价，有可能影响产品质量或者不能诚信履约的，应当要求其在评标现场合理的时间内提供书面说明，必要时提交相关证明材料；竞标供应商不能证明其报价合理性的，评标委员会应当将其作为无效投标处理。</w:t>
      </w:r>
    </w:p>
    <w:p>
      <w:pPr>
        <w:pStyle w:val="13"/>
        <w:spacing w:line="360" w:lineRule="auto"/>
        <w:ind w:firstLine="420" w:firstLineChars="200"/>
        <w:rPr>
          <w:rFonts w:hAnsi="宋体" w:cs="宋体"/>
          <w:b/>
          <w:szCs w:val="21"/>
          <w:highlight w:val="yellow"/>
        </w:rPr>
      </w:pPr>
      <w:r>
        <w:rPr>
          <w:rFonts w:hint="eastAsia" w:hAnsi="宋体" w:cs="宋体"/>
          <w:b/>
          <w:szCs w:val="21"/>
        </w:rPr>
        <w:t>2.技术方案分</w:t>
      </w:r>
      <w:r>
        <w:rPr>
          <w:rFonts w:hint="eastAsia" w:hAnsi="宋体" w:cs="宋体"/>
          <w:b/>
          <w:bCs/>
          <w:kern w:val="0"/>
          <w:szCs w:val="21"/>
        </w:rPr>
        <w:t>……………………………………………………………………………………………</w:t>
      </w:r>
      <w:r>
        <w:rPr>
          <w:rFonts w:hint="eastAsia" w:hAnsi="宋体" w:cs="宋体"/>
          <w:b/>
          <w:szCs w:val="21"/>
        </w:rPr>
        <w:t>24分</w:t>
      </w:r>
    </w:p>
    <w:p>
      <w:pPr>
        <w:pStyle w:val="13"/>
        <w:tabs>
          <w:tab w:val="left" w:pos="4214"/>
        </w:tabs>
        <w:spacing w:line="360" w:lineRule="auto"/>
        <w:ind w:firstLine="420" w:firstLineChars="200"/>
        <w:rPr>
          <w:rFonts w:hAnsi="宋体"/>
          <w:bCs/>
          <w:szCs w:val="21"/>
        </w:rPr>
      </w:pPr>
      <w:r>
        <w:rPr>
          <w:rFonts w:hint="eastAsia" w:hAnsi="宋体"/>
          <w:bCs/>
          <w:szCs w:val="21"/>
        </w:rPr>
        <w:t>评委根据竞争性磋商文件要求，对满足竞争性磋商文件全部实质性要求进入详评的各竞标供应商响应文件中对“项目需求”的投标响应情况进行独立评审，并按如下计分方式确定得分：</w:t>
      </w:r>
    </w:p>
    <w:p>
      <w:pPr>
        <w:pStyle w:val="13"/>
        <w:tabs>
          <w:tab w:val="left" w:pos="4214"/>
        </w:tabs>
        <w:spacing w:line="360" w:lineRule="auto"/>
        <w:ind w:firstLine="420" w:firstLineChars="200"/>
        <w:rPr>
          <w:rFonts w:hAnsi="宋体"/>
          <w:bCs/>
          <w:szCs w:val="21"/>
        </w:rPr>
      </w:pPr>
      <w:r>
        <w:rPr>
          <w:rFonts w:hint="eastAsia" w:hAnsi="宋体"/>
          <w:bCs/>
          <w:szCs w:val="21"/>
        </w:rPr>
        <w:t>针对标注“▲”号项技术参数，竞标供应商于投标文件中提供了由国家认可的第三方检测机构出具的合格有效的检测报告复印件佐证投标文件相应承诺的，“▲”的技术参数负偏离或未能提供检验（测）报告或检验（测）报告中无体现的，每少一项扣2分，扣完为止，不计负分（提供相关证明材料复印件并加盖竞标供应商公章（或CA签章）)。</w:t>
      </w:r>
    </w:p>
    <w:p>
      <w:pPr>
        <w:pStyle w:val="13"/>
        <w:spacing w:line="360" w:lineRule="auto"/>
        <w:ind w:firstLine="420" w:firstLineChars="200"/>
        <w:rPr>
          <w:rFonts w:hAnsi="宋体"/>
          <w:bCs/>
        </w:rPr>
      </w:pPr>
      <w:r>
        <w:rPr>
          <w:rFonts w:hint="eastAsia" w:hAnsi="宋体"/>
          <w:b/>
          <w:bCs/>
        </w:rPr>
        <w:t>3、项目</w:t>
      </w:r>
      <w:r>
        <w:rPr>
          <w:rFonts w:hint="eastAsia" w:hAnsi="宋体" w:cs="宋体"/>
          <w:b/>
          <w:bCs/>
          <w:szCs w:val="21"/>
          <w:lang w:val="zh-TW"/>
        </w:rPr>
        <w:t>实施方案分</w:t>
      </w:r>
      <w:r>
        <w:rPr>
          <w:rFonts w:hint="eastAsia" w:hAnsi="宋体"/>
          <w:bCs/>
        </w:rPr>
        <w:t>……………………………………………………………………………………</w:t>
      </w:r>
      <w:r>
        <w:rPr>
          <w:rFonts w:hint="eastAsia" w:hAnsi="宋体"/>
          <w:b/>
          <w:bCs/>
        </w:rPr>
        <w:t>……9分</w:t>
      </w:r>
    </w:p>
    <w:p>
      <w:pPr>
        <w:pStyle w:val="13"/>
        <w:tabs>
          <w:tab w:val="left" w:pos="4214"/>
        </w:tabs>
        <w:spacing w:line="360" w:lineRule="auto"/>
        <w:ind w:firstLine="420" w:firstLineChars="200"/>
        <w:rPr>
          <w:rFonts w:hAnsi="宋体"/>
          <w:bCs/>
          <w:szCs w:val="21"/>
        </w:rPr>
      </w:pPr>
      <w:r>
        <w:rPr>
          <w:rFonts w:hint="eastAsia" w:hAnsi="宋体"/>
          <w:bCs/>
          <w:szCs w:val="21"/>
        </w:rPr>
        <w:t>（1）评委根据竞标供应商提供的项目实施方案内容中的“供货组织、人员配置、施工进度、投入装备、现场管理、质量保证措施、具体实施内容、培训方案”内容进行评审并独立打分：</w:t>
      </w:r>
    </w:p>
    <w:p>
      <w:pPr>
        <w:pStyle w:val="13"/>
        <w:tabs>
          <w:tab w:val="left" w:pos="4214"/>
        </w:tabs>
        <w:spacing w:line="360" w:lineRule="auto"/>
        <w:ind w:firstLine="420" w:firstLineChars="200"/>
        <w:rPr>
          <w:rFonts w:hAnsi="宋体"/>
          <w:bCs/>
          <w:szCs w:val="21"/>
        </w:rPr>
      </w:pPr>
      <w:r>
        <w:rPr>
          <w:rFonts w:hint="eastAsia" w:hAnsi="宋体"/>
          <w:bCs/>
          <w:szCs w:val="21"/>
        </w:rPr>
        <w:t>一档（3 分）：项目实施方案描述较简单，项目实施的技术力量、实施内容仅基本满足项目要求，针对性不强的。</w:t>
      </w:r>
    </w:p>
    <w:p>
      <w:pPr>
        <w:pStyle w:val="13"/>
        <w:tabs>
          <w:tab w:val="left" w:pos="4214"/>
        </w:tabs>
        <w:spacing w:line="360" w:lineRule="auto"/>
        <w:ind w:firstLine="420" w:firstLineChars="200"/>
        <w:rPr>
          <w:rFonts w:hAnsi="宋体"/>
          <w:bCs/>
          <w:szCs w:val="21"/>
        </w:rPr>
      </w:pPr>
      <w:r>
        <w:rPr>
          <w:rFonts w:hint="eastAsia" w:hAnsi="宋体"/>
          <w:bCs/>
          <w:szCs w:val="21"/>
        </w:rPr>
        <w:t>二档（6 分）：在满足一档基础上，项目实施方案全面详细，保证项目实施的技术力量安排满足项目实施要求，竞标供应商提供项目实施方案符合项目实际情况，能够给采购人提供部分建议、各个阶段工作安排有详细说明，施工进度计划、工期保证措施、安全施工措施表述清晰、完整，措施具体有效，并投入5辆（包含5辆）中型或以上非载货应急专项作业车用于项目实施。</w:t>
      </w:r>
    </w:p>
    <w:p>
      <w:pPr>
        <w:pStyle w:val="13"/>
        <w:tabs>
          <w:tab w:val="left" w:pos="4214"/>
        </w:tabs>
        <w:spacing w:line="360" w:lineRule="auto"/>
        <w:ind w:firstLine="420" w:firstLineChars="200"/>
        <w:rPr>
          <w:rFonts w:hAnsi="宋体"/>
          <w:bCs/>
          <w:szCs w:val="21"/>
        </w:rPr>
      </w:pPr>
      <w:r>
        <w:rPr>
          <w:rFonts w:hint="eastAsia" w:hAnsi="宋体"/>
          <w:bCs/>
          <w:szCs w:val="21"/>
        </w:rPr>
        <w:t>三档（9 分）：在满足二档基础上，项目实施方案全面详实，方案能清楚的表明对本项目的熟悉程度，能提供完整详细的系统建设实施方案且具有针对性，给采购人提供有效建议且完整详细、各个阶段工作安排全面完善，施工进度计划、工期保证措施、安全控制措施和质量保证措施表述清晰、完整、严谨、合理、措施先进、具体、有效、成熟，并投入10辆（包含10辆）中型或以上非载货应急专项作业车用于项目实施。竞标供应商或所投服务技术终端产品生产厂家具有科技创新实力和制造能力，具备完善的专业研究开发和产业化条件并于投标文件中提供了相关有效证明材料复印件。</w:t>
      </w:r>
    </w:p>
    <w:p>
      <w:pPr>
        <w:pStyle w:val="13"/>
        <w:adjustRightInd w:val="0"/>
        <w:snapToGrid w:val="0"/>
        <w:spacing w:line="500" w:lineRule="exact"/>
        <w:ind w:firstLine="420" w:firstLineChars="200"/>
        <w:rPr>
          <w:rFonts w:hAnsi="宋体" w:cs="宋体"/>
          <w:b/>
          <w:szCs w:val="21"/>
        </w:rPr>
      </w:pPr>
      <w:r>
        <w:rPr>
          <w:rFonts w:hint="eastAsia" w:hAnsi="宋体" w:cs="宋体"/>
          <w:b/>
          <w:color w:val="000000"/>
          <w:szCs w:val="21"/>
        </w:rPr>
        <w:t>4</w:t>
      </w:r>
      <w:r>
        <w:rPr>
          <w:rFonts w:hint="eastAsia" w:hAnsi="宋体" w:cs="宋体"/>
          <w:b/>
          <w:szCs w:val="21"/>
        </w:rPr>
        <w:t>.</w:t>
      </w:r>
      <w:r>
        <w:rPr>
          <w:rFonts w:hint="eastAsia" w:hAnsi="宋体" w:cs="宋体"/>
          <w:b/>
        </w:rPr>
        <w:t xml:space="preserve"> 售后服务及应急保障分</w:t>
      </w:r>
      <w:r>
        <w:rPr>
          <w:rFonts w:hint="eastAsia" w:hAnsi="宋体" w:cs="宋体"/>
          <w:b/>
          <w:bCs/>
          <w:kern w:val="0"/>
          <w:szCs w:val="21"/>
        </w:rPr>
        <w:t>…………………………………………………………………………………</w:t>
      </w:r>
      <w:r>
        <w:rPr>
          <w:rFonts w:hint="eastAsia" w:hAnsi="宋体" w:cs="宋体"/>
          <w:b/>
          <w:szCs w:val="21"/>
        </w:rPr>
        <w:t>22分</w:t>
      </w:r>
    </w:p>
    <w:p>
      <w:pPr>
        <w:pStyle w:val="13"/>
        <w:tabs>
          <w:tab w:val="left" w:pos="4214"/>
        </w:tabs>
        <w:spacing w:line="360" w:lineRule="auto"/>
        <w:ind w:firstLine="420" w:firstLineChars="200"/>
        <w:rPr>
          <w:rFonts w:hAnsi="宋体"/>
          <w:bCs/>
          <w:szCs w:val="21"/>
        </w:rPr>
      </w:pPr>
      <w:r>
        <w:rPr>
          <w:rFonts w:hint="eastAsia" w:hAnsi="宋体"/>
          <w:bCs/>
          <w:szCs w:val="21"/>
        </w:rPr>
        <w:t>1、由评委根据投标文件中提供的项目售后服务方案，按照分档标准独立打分。</w:t>
      </w:r>
    </w:p>
    <w:p>
      <w:pPr>
        <w:pStyle w:val="13"/>
        <w:tabs>
          <w:tab w:val="left" w:pos="4214"/>
        </w:tabs>
        <w:spacing w:line="360" w:lineRule="auto"/>
        <w:ind w:firstLine="420" w:firstLineChars="200"/>
        <w:rPr>
          <w:rFonts w:hAnsi="宋体"/>
          <w:bCs/>
          <w:szCs w:val="21"/>
        </w:rPr>
      </w:pPr>
      <w:r>
        <w:rPr>
          <w:rFonts w:hint="eastAsia" w:hAnsi="宋体"/>
          <w:bCs/>
          <w:szCs w:val="21"/>
        </w:rPr>
        <w:t>一档（6分）竞标供应商的售后服务方案较完整，各项承诺内容基本合理，服务措施明确，应急服务承诺、本地化服务、后续服务方案基本满足项目需求，故障响应时间不超过2个小时。拟投入本项目的售后服务人员数量不低于12人；</w:t>
      </w:r>
    </w:p>
    <w:p>
      <w:pPr>
        <w:pStyle w:val="13"/>
        <w:tabs>
          <w:tab w:val="left" w:pos="4214"/>
        </w:tabs>
        <w:spacing w:line="360" w:lineRule="auto"/>
        <w:ind w:firstLine="420" w:firstLineChars="200"/>
        <w:rPr>
          <w:rFonts w:hAnsi="宋体"/>
          <w:bCs/>
          <w:szCs w:val="21"/>
        </w:rPr>
      </w:pPr>
      <w:r>
        <w:rPr>
          <w:rFonts w:hint="eastAsia" w:hAnsi="宋体"/>
          <w:bCs/>
          <w:szCs w:val="21"/>
        </w:rPr>
        <w:t>二档（12分）竞标供应商的售后服务方案详细，各项承诺内容合理，针对性强，服务措施详细可行，服务质量承诺方案完全满足项目需求，后续服务方案充分为采购人考虑，故障响应时间不超过1个小时，24小时内达到现场，并注明竞标供应商服务网点详细地址、联系人及联系电话等相关信息）。可提供全国统一的7×24售后服务热线。投标人在重大突发事件、拟投入本项目的售后服务人员数量不低于16人，要求至少2人具备工信部部属单位颁发的设备管理专业知识测评证书、2人具备系统管理专业知识测评证书；</w:t>
      </w:r>
    </w:p>
    <w:p>
      <w:pPr>
        <w:pStyle w:val="13"/>
        <w:tabs>
          <w:tab w:val="left" w:pos="4214"/>
        </w:tabs>
        <w:spacing w:line="360" w:lineRule="auto"/>
        <w:ind w:firstLine="420" w:firstLineChars="200"/>
        <w:rPr>
          <w:rFonts w:hAnsi="宋体"/>
          <w:bCs/>
          <w:szCs w:val="21"/>
        </w:rPr>
      </w:pPr>
      <w:r>
        <w:rPr>
          <w:rFonts w:hint="eastAsia" w:hAnsi="宋体"/>
          <w:bCs/>
          <w:szCs w:val="21"/>
        </w:rPr>
        <w:t>三档（18分）竞标供应商的售后服务方案详细，各项承诺内容合理，针对性强，服务措施详细可行，服务质量承诺方案完全满足项目需求，后续服务方案充分为采购人考虑，故障响应时间不超过0.5个小时，24小时到现场，并注明竞标供应商服务网点详细地址、联系人及联系电话等相关信息）。可提供全国统一的7×24售后服务热线。竞标供应商在重大突发事件、，拟投入本项目的售后服务人员数量不低于20人，要求至少有5人具备工信部部属单位颁发的设备管理专业知识测评证书、5人具备系统管理专业知识测评证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b/>
          <w:color w:val="000000"/>
          <w:szCs w:val="21"/>
        </w:rPr>
        <w:t>应急保障分：</w:t>
      </w:r>
      <w:r>
        <w:rPr>
          <w:rFonts w:hint="eastAsia" w:ascii="宋体" w:hAnsi="宋体"/>
          <w:bCs/>
          <w:szCs w:val="21"/>
        </w:rPr>
        <w:t>竞标供应商能够为采购人提供无人机对智能球型摄像机服务技术终端进行巡检的【竞标供应商人至少配备 1 名以上具有国家认可的民用无人机飞行执照的驾驶员，响应文件中提供有效的飞行执照证件复印件及由县级以上（含县级）社会养老保险经办机构出具的竞标供应商为驾驶人员缴纳的最近三个月的社保证明复印件，无缴费记录的，应提供由社保部门出具的《依法缴纳或依法免缴社保证明》社保证明复印件】，得4分。</w:t>
      </w:r>
    </w:p>
    <w:p>
      <w:pPr>
        <w:pStyle w:val="13"/>
        <w:adjustRightInd w:val="0"/>
        <w:snapToGrid w:val="0"/>
        <w:spacing w:line="500" w:lineRule="exact"/>
        <w:ind w:firstLine="420" w:firstLineChars="200"/>
        <w:rPr>
          <w:rFonts w:hAnsi="宋体" w:cs="宋体"/>
          <w:b/>
          <w:szCs w:val="21"/>
        </w:rPr>
      </w:pPr>
      <w:r>
        <w:rPr>
          <w:rFonts w:hint="eastAsia" w:hAnsi="宋体" w:cs="宋体"/>
          <w:b/>
          <w:color w:val="000000"/>
          <w:szCs w:val="21"/>
        </w:rPr>
        <w:t>4</w:t>
      </w:r>
      <w:r>
        <w:rPr>
          <w:rFonts w:hint="eastAsia" w:hAnsi="宋体" w:cs="宋体"/>
          <w:b/>
          <w:szCs w:val="21"/>
        </w:rPr>
        <w:t>.履约能力</w:t>
      </w:r>
      <w:r>
        <w:rPr>
          <w:rFonts w:hint="eastAsia" w:hAnsi="宋体" w:cs="宋体"/>
          <w:b/>
        </w:rPr>
        <w:t>分</w:t>
      </w:r>
      <w:r>
        <w:rPr>
          <w:rFonts w:hint="eastAsia" w:hAnsi="宋体" w:cs="宋体"/>
          <w:b/>
          <w:bCs/>
          <w:kern w:val="0"/>
          <w:szCs w:val="21"/>
        </w:rPr>
        <w:t>…………………………………………………………………………………………</w:t>
      </w:r>
      <w:r>
        <w:rPr>
          <w:rFonts w:hint="eastAsia" w:hAnsi="宋体" w:cs="宋体"/>
          <w:b/>
          <w:szCs w:val="21"/>
        </w:rPr>
        <w:t>15分</w:t>
      </w:r>
    </w:p>
    <w:p>
      <w:pPr>
        <w:pStyle w:val="13"/>
        <w:tabs>
          <w:tab w:val="left" w:pos="4214"/>
        </w:tabs>
        <w:spacing w:line="360" w:lineRule="auto"/>
        <w:ind w:firstLine="420" w:firstLineChars="200"/>
        <w:rPr>
          <w:rFonts w:hAnsi="宋体"/>
          <w:bCs/>
          <w:szCs w:val="21"/>
        </w:rPr>
      </w:pPr>
      <w:r>
        <w:rPr>
          <w:rFonts w:hint="eastAsia" w:hAnsi="宋体"/>
          <w:bCs/>
          <w:szCs w:val="21"/>
        </w:rPr>
        <w:t>（1）竞标供应商或其上级公司自2016年以来获得过国家级科学技术进步特等奖的得5分，一等奖的得2分，二等奖的得1分。满分5分。（提供相关证明材料复印件并加盖单位公章（CA签章））</w:t>
      </w:r>
    </w:p>
    <w:p>
      <w:pPr>
        <w:pStyle w:val="13"/>
        <w:tabs>
          <w:tab w:val="left" w:pos="4214"/>
        </w:tabs>
        <w:spacing w:line="360" w:lineRule="auto"/>
        <w:ind w:firstLine="420" w:firstLineChars="200"/>
        <w:rPr>
          <w:rFonts w:hAnsi="宋体"/>
          <w:bCs/>
          <w:szCs w:val="21"/>
        </w:rPr>
      </w:pPr>
      <w:r>
        <w:rPr>
          <w:rFonts w:hint="eastAsia" w:hAnsi="宋体"/>
          <w:bCs/>
          <w:szCs w:val="21"/>
        </w:rPr>
        <w:t>（2）竞标供应商或其上级公司具有信息技术服务管理体系认证证书（认证范围含IDC机房运维服务所涉及的信息技术管理活动）及信息安全管理体系认证证书（认证范围含IDC机房电信业务涉及到的信息安全管理活动），每提供1个得1分，未提供不得分，满分2分。（提供相关证明材料复印件并加盖单位公章（CA签章））</w:t>
      </w:r>
    </w:p>
    <w:p>
      <w:pPr>
        <w:pStyle w:val="13"/>
        <w:tabs>
          <w:tab w:val="left" w:pos="4214"/>
        </w:tabs>
        <w:spacing w:line="360" w:lineRule="auto"/>
        <w:ind w:firstLine="420" w:firstLineChars="200"/>
        <w:rPr>
          <w:rFonts w:hAnsi="宋体"/>
          <w:bCs/>
          <w:szCs w:val="21"/>
        </w:rPr>
      </w:pPr>
      <w:r>
        <w:rPr>
          <w:rFonts w:hint="eastAsia" w:hAnsi="宋体"/>
          <w:bCs/>
          <w:szCs w:val="21"/>
        </w:rPr>
        <w:t>（3）竞标供应商或其上级公司获得环境管理体系认证证书、职业健康管理体系认证证书，投标时提供相关证明材料复印件并加盖投标人公章（CA签章），每提供一项得1分，满分2分；</w:t>
      </w:r>
    </w:p>
    <w:p>
      <w:pPr>
        <w:pStyle w:val="13"/>
        <w:tabs>
          <w:tab w:val="left" w:pos="4214"/>
        </w:tabs>
        <w:spacing w:line="360" w:lineRule="auto"/>
        <w:ind w:firstLine="420" w:firstLineChars="200"/>
        <w:rPr>
          <w:rFonts w:hAnsi="宋体"/>
          <w:bCs/>
          <w:szCs w:val="21"/>
        </w:rPr>
      </w:pPr>
      <w:r>
        <w:rPr>
          <w:rFonts w:hint="eastAsia" w:hAnsi="宋体"/>
          <w:bCs/>
          <w:szCs w:val="21"/>
        </w:rPr>
        <w:t>（4）竞标供应商或所投服务技术终端产品生产厂家获得智能制造标准化工作先进奖的（竞标供应商于投标文件中提供相关有效证书复印件，并加盖竞标供应商公章（或CA签章）），得2分。</w:t>
      </w:r>
    </w:p>
    <w:p>
      <w:pPr>
        <w:spacing w:line="360" w:lineRule="auto"/>
        <w:ind w:firstLine="420" w:firstLineChars="200"/>
        <w:rPr>
          <w:rFonts w:hAnsi="宋体"/>
          <w:bCs/>
          <w:szCs w:val="21"/>
        </w:rPr>
      </w:pPr>
      <w:r>
        <w:rPr>
          <w:rFonts w:hint="eastAsia" w:hAnsi="宋体"/>
          <w:bCs/>
          <w:szCs w:val="21"/>
        </w:rPr>
        <w:t>（5）竞标</w:t>
      </w:r>
      <w:r>
        <w:rPr>
          <w:rFonts w:hint="eastAsia" w:ascii="宋体" w:hAnsi="宋体" w:cs="宋体"/>
          <w:color w:val="000000"/>
          <w:szCs w:val="21"/>
        </w:rPr>
        <w:t>供应商自2018年以来有类似项目业绩（（无不良记录，以中标、成交通知书或签订的合同为准，并能清晰反映项目的名称、采购内容、采购金额、采购时间），每提供1份，得1分，满分4分。</w:t>
      </w:r>
    </w:p>
    <w:p>
      <w:pPr>
        <w:spacing w:line="360" w:lineRule="auto"/>
        <w:ind w:firstLine="420" w:firstLineChars="200"/>
        <w:rPr>
          <w:rFonts w:ascii="宋体" w:hAnsi="宋体" w:cs="宋体"/>
          <w:b/>
          <w:color w:val="000000"/>
          <w:szCs w:val="21"/>
        </w:rPr>
      </w:pPr>
      <w:r>
        <w:rPr>
          <w:rFonts w:hint="eastAsia" w:ascii="宋体" w:hAnsi="宋体" w:cs="宋体"/>
          <w:b/>
          <w:color w:val="000000"/>
          <w:szCs w:val="21"/>
        </w:rPr>
        <w:t>5.综合得分＝1+2+3+4</w:t>
      </w:r>
    </w:p>
    <w:p>
      <w:pPr>
        <w:spacing w:line="360" w:lineRule="auto"/>
        <w:ind w:firstLine="420" w:firstLineChars="200"/>
        <w:rPr>
          <w:b/>
          <w:bCs/>
          <w:color w:val="000000"/>
        </w:rPr>
      </w:pPr>
      <w:r>
        <w:rPr>
          <w:rFonts w:hint="eastAsia" w:hAnsi="宋体" w:cs="宋体"/>
          <w:b/>
          <w:bCs/>
          <w:color w:val="000000"/>
          <w:szCs w:val="21"/>
        </w:rPr>
        <w:t>注：以上证书提供相关复印件，如查实为虚假的投标无效，未提供不计分。</w:t>
      </w:r>
    </w:p>
    <w:p>
      <w:pPr>
        <w:pStyle w:val="13"/>
        <w:tabs>
          <w:tab w:val="left" w:pos="4214"/>
        </w:tabs>
        <w:spacing w:line="360" w:lineRule="auto"/>
        <w:ind w:firstLine="420" w:firstLineChars="200"/>
        <w:rPr>
          <w:rFonts w:hAnsi="宋体" w:cs="宋体"/>
          <w:b/>
          <w:color w:val="000000"/>
          <w:szCs w:val="21"/>
        </w:rPr>
      </w:pPr>
      <w:r>
        <w:rPr>
          <w:rFonts w:hint="eastAsia" w:hAnsi="宋体" w:cs="宋体"/>
          <w:b/>
          <w:color w:val="000000"/>
          <w:szCs w:val="21"/>
        </w:rPr>
        <w:t>三、推荐及确定成交候选供应商原则</w:t>
      </w:r>
    </w:p>
    <w:p>
      <w:pPr>
        <w:pStyle w:val="13"/>
        <w:tabs>
          <w:tab w:val="left" w:pos="4214"/>
        </w:tabs>
        <w:spacing w:line="360" w:lineRule="auto"/>
        <w:ind w:firstLine="420" w:firstLineChars="200"/>
        <w:rPr>
          <w:rFonts w:hAnsi="宋体" w:cs="宋体"/>
          <w:color w:val="000000"/>
          <w:szCs w:val="21"/>
        </w:rPr>
      </w:pPr>
      <w:r>
        <w:rPr>
          <w:rFonts w:hint="eastAsia" w:hAnsi="宋体" w:cs="宋体"/>
          <w:color w:val="000000"/>
          <w:szCs w:val="21"/>
        </w:rPr>
        <w:t>1.评标委员会根据综合得分由高到低排列次序，若得分相同时，按评标价由低到高顺序排列；得分相同且评标价也相同的由评标委员会按照抽签的方式决定排次次序。</w:t>
      </w:r>
    </w:p>
    <w:p>
      <w:pPr>
        <w:pStyle w:val="13"/>
        <w:tabs>
          <w:tab w:val="left" w:pos="4214"/>
        </w:tabs>
        <w:spacing w:line="360" w:lineRule="auto"/>
        <w:ind w:firstLine="420" w:firstLineChars="200"/>
        <w:rPr>
          <w:rFonts w:hAnsi="宋体" w:cs="宋体"/>
          <w:color w:val="000000"/>
          <w:szCs w:val="21"/>
        </w:rPr>
      </w:pPr>
      <w:r>
        <w:rPr>
          <w:rFonts w:hint="eastAsia" w:hAnsi="宋体" w:cs="宋体"/>
          <w:color w:val="000000"/>
          <w:szCs w:val="21"/>
        </w:rPr>
        <w:t>2.评标委员会可推荐前三名为成交候选人，采购人应当确定评标委员会推荐排名第一的成交候选人为成交人。</w:t>
      </w:r>
    </w:p>
    <w:p>
      <w:pPr>
        <w:pStyle w:val="13"/>
        <w:tabs>
          <w:tab w:val="left" w:pos="4214"/>
        </w:tabs>
        <w:spacing w:line="360" w:lineRule="auto"/>
        <w:ind w:firstLine="420" w:firstLineChars="200"/>
        <w:rPr>
          <w:rFonts w:hAnsi="宋体" w:cs="宋体"/>
          <w:color w:val="000000"/>
          <w:szCs w:val="21"/>
        </w:rPr>
      </w:pPr>
      <w:r>
        <w:rPr>
          <w:rFonts w:hint="eastAsia" w:hAnsi="宋体" w:cs="宋体"/>
          <w:color w:val="000000"/>
          <w:szCs w:val="21"/>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pPr>
        <w:spacing w:line="360" w:lineRule="auto"/>
        <w:ind w:firstLine="424" w:firstLineChars="202"/>
        <w:jc w:val="left"/>
        <w:rPr>
          <w:rFonts w:ascii="宋体" w:hAnsi="宋体" w:cs="宋体"/>
          <w:b/>
          <w:color w:val="000000"/>
          <w:szCs w:val="21"/>
        </w:rPr>
      </w:pPr>
      <w:r>
        <w:rPr>
          <w:rFonts w:hint="eastAsia" w:ascii="宋体" w:hAnsi="宋体" w:cs="宋体"/>
          <w:b/>
          <w:color w:val="000000"/>
          <w:szCs w:val="21"/>
        </w:rPr>
        <w:t>四、特别说明</w:t>
      </w:r>
    </w:p>
    <w:p>
      <w:pPr>
        <w:spacing w:line="340" w:lineRule="exact"/>
        <w:ind w:firstLine="420" w:firstLineChars="200"/>
        <w:rPr>
          <w:rFonts w:ascii="宋体" w:hAnsi="宋体" w:cs="宋体"/>
          <w:b/>
          <w:sz w:val="28"/>
          <w:szCs w:val="28"/>
        </w:rPr>
      </w:pPr>
      <w:r>
        <w:rPr>
          <w:rFonts w:hint="eastAsia" w:ascii="宋体" w:hAnsi="宋体" w:cs="宋体"/>
          <w:b/>
          <w:bCs/>
          <w:color w:val="000000"/>
          <w:szCs w:val="21"/>
          <w:u w:val="double"/>
        </w:rPr>
        <w:t>评审时，评标委员会认为竞标供应商的报价明显低于其他通过符合性审查竞标供应商的报价，有可能影响产品质量或者不能诚信履约的，应当要求其在评标现场合理的时间内提供书面说明，必要时提交相关证明材料；竞标供应商不能证明其报价合理性的，评标委员会应当将其作为无效投标处理。</w:t>
      </w:r>
    </w:p>
    <w:p>
      <w:pPr>
        <w:pStyle w:val="22"/>
        <w:ind w:firstLine="562"/>
        <w:rPr>
          <w:rFonts w:ascii="宋体" w:hAnsi="宋体" w:cs="宋体"/>
          <w:b/>
          <w:sz w:val="28"/>
          <w:szCs w:val="28"/>
        </w:rPr>
      </w:pPr>
    </w:p>
    <w:p>
      <w:pPr>
        <w:pStyle w:val="22"/>
        <w:ind w:firstLine="562"/>
        <w:rPr>
          <w:rFonts w:ascii="宋体" w:hAnsi="宋体" w:cs="宋体"/>
          <w:b/>
          <w:sz w:val="28"/>
          <w:szCs w:val="28"/>
        </w:rPr>
      </w:pPr>
    </w:p>
    <w:p>
      <w:pPr>
        <w:pStyle w:val="22"/>
        <w:ind w:firstLine="562"/>
        <w:rPr>
          <w:rFonts w:ascii="宋体" w:hAnsi="宋体" w:cs="宋体"/>
          <w:b/>
          <w:sz w:val="28"/>
          <w:szCs w:val="28"/>
        </w:rPr>
      </w:pPr>
    </w:p>
    <w:p>
      <w:pPr>
        <w:pStyle w:val="22"/>
        <w:ind w:firstLine="562"/>
        <w:rPr>
          <w:rFonts w:ascii="宋体" w:hAnsi="宋体" w:cs="宋体"/>
          <w:b/>
          <w:sz w:val="28"/>
          <w:szCs w:val="28"/>
        </w:rPr>
      </w:pPr>
    </w:p>
    <w:p>
      <w:pPr>
        <w:pStyle w:val="22"/>
        <w:ind w:left="0" w:leftChars="0" w:firstLine="0" w:firstLineChars="0"/>
        <w:rPr>
          <w:rFonts w:ascii="宋体" w:hAnsi="宋体" w:cs="宋体"/>
          <w:b/>
          <w:sz w:val="28"/>
          <w:szCs w:val="28"/>
        </w:rPr>
      </w:pPr>
    </w:p>
    <w:p>
      <w:pPr>
        <w:spacing w:line="280" w:lineRule="exact"/>
        <w:rPr>
          <w:rFonts w:ascii="宋体" w:hAnsi="宋体" w:cs="宋体"/>
          <w:b/>
          <w:bCs/>
          <w:sz w:val="24"/>
        </w:rPr>
      </w:pPr>
    </w:p>
    <w:p>
      <w:pPr>
        <w:widowControl/>
        <w:jc w:val="left"/>
      </w:pPr>
      <w:r>
        <w:br w:type="page"/>
      </w:r>
      <w:bookmarkStart w:id="108" w:name="_Toc102642522"/>
      <w:r>
        <w:rPr>
          <w:rFonts w:hint="eastAsia"/>
        </w:rPr>
        <w:t>附表</w:t>
      </w:r>
      <w:bookmarkEnd w:id="108"/>
    </w:p>
    <w:p>
      <w:pPr>
        <w:widowControl/>
        <w:spacing w:beforeLines="50" w:afterLines="50" w:line="280" w:lineRule="exact"/>
        <w:jc w:val="center"/>
        <w:rPr>
          <w:rFonts w:ascii="宋体" w:hAnsi="宋体" w:cs="宋体"/>
          <w:b/>
          <w:bCs/>
          <w:kern w:val="0"/>
          <w:sz w:val="30"/>
          <w:szCs w:val="30"/>
        </w:rPr>
      </w:pPr>
      <w:bookmarkStart w:id="109" w:name="_Toc28361_WPSOffice_Level2"/>
      <w:r>
        <w:rPr>
          <w:rFonts w:hint="eastAsia" w:ascii="宋体" w:hAnsi="宋体" w:cs="宋体"/>
          <w:b/>
          <w:bCs/>
          <w:kern w:val="0"/>
          <w:sz w:val="30"/>
          <w:szCs w:val="30"/>
        </w:rPr>
        <w:t>统计上大中小微型企业划分标准</w:t>
      </w:r>
      <w:bookmarkEnd w:id="109"/>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280" w:lineRule="exact"/>
        <w:rPr>
          <w:rFonts w:ascii="宋体" w:hAnsi="宋体" w:cs="宋体"/>
          <w:spacing w:val="8"/>
          <w:kern w:val="0"/>
          <w:sz w:val="24"/>
        </w:rPr>
      </w:pPr>
    </w:p>
    <w:p>
      <w:pPr>
        <w:widowControl/>
        <w:spacing w:line="280" w:lineRule="exact"/>
        <w:rPr>
          <w:rFonts w:ascii="宋体" w:hAnsi="宋体" w:cs="宋体"/>
          <w:spacing w:val="8"/>
          <w:kern w:val="0"/>
          <w:sz w:val="24"/>
        </w:rPr>
      </w:pPr>
    </w:p>
    <w:p>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3"/>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280" w:lineRule="exact"/>
        <w:ind w:firstLine="512" w:firstLineChars="200"/>
        <w:rPr>
          <w:rFonts w:hAnsi="宋体" w:cs="宋体"/>
          <w:spacing w:val="8"/>
          <w:kern w:val="0"/>
          <w:sz w:val="24"/>
          <w:szCs w:val="24"/>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10" w:name="_Toc4774"/>
      <w:bookmarkStart w:id="111" w:name="_Toc8466"/>
    </w:p>
    <w:p>
      <w:pPr>
        <w:pStyle w:val="7"/>
        <w:rPr>
          <w:rFonts w:ascii="宋体" w:hAnsi="宋体" w:cs="宋体"/>
          <w:spacing w:val="8"/>
          <w:kern w:val="0"/>
          <w:sz w:val="24"/>
        </w:rPr>
      </w:pPr>
    </w:p>
    <w:p>
      <w:pPr>
        <w:rPr>
          <w:rFonts w:ascii="宋体" w:hAnsi="宋体" w:cs="宋体"/>
          <w:spacing w:val="8"/>
          <w:kern w:val="0"/>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rPr>
          <w:rFonts w:ascii="宋体" w:hAnsi="宋体" w:cs="宋体"/>
        </w:rPr>
      </w:pPr>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112" w:name="_Toc102642523"/>
      <w:r>
        <w:rPr>
          <w:rFonts w:hint="eastAsia" w:ascii="宋体" w:hAnsi="宋体" w:cs="宋体"/>
          <w:sz w:val="32"/>
          <w:szCs w:val="32"/>
        </w:rPr>
        <w:t>第五章 采购合同（合同主要条款及格式）</w:t>
      </w:r>
      <w:bookmarkEnd w:id="110"/>
      <w:bookmarkEnd w:id="111"/>
      <w:bookmarkEnd w:id="112"/>
    </w:p>
    <w:p>
      <w:pPr>
        <w:spacing w:line="420" w:lineRule="exact"/>
        <w:rPr>
          <w:rFonts w:ascii="宋体" w:hAnsi="宋体" w:cs="宋体"/>
          <w:szCs w:val="21"/>
        </w:rPr>
      </w:pPr>
      <w:r>
        <w:rPr>
          <w:rFonts w:hint="eastAsia" w:ascii="宋体" w:hAnsi="宋体" w:cs="宋体"/>
          <w:szCs w:val="21"/>
        </w:rPr>
        <w:t>合同编号：GLZC2022-C3-120054-HBZT</w:t>
      </w:r>
    </w:p>
    <w:p>
      <w:pPr>
        <w:spacing w:line="420" w:lineRule="exact"/>
        <w:rPr>
          <w:rFonts w:ascii="宋体" w:hAnsi="宋体" w:cs="宋体"/>
          <w:szCs w:val="21"/>
        </w:rPr>
      </w:pPr>
      <w:r>
        <w:rPr>
          <w:rFonts w:hint="eastAsia" w:ascii="宋体" w:hAnsi="宋体" w:cs="宋体"/>
          <w:szCs w:val="21"/>
        </w:rPr>
        <w:t xml:space="preserve">项目名称：桂林市临桂区交警队交通监控系统服务项目  </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甲方：</w:t>
      </w:r>
      <w:r>
        <w:rPr>
          <w:rFonts w:hint="eastAsia" w:ascii="宋体" w:hAnsi="宋体" w:cs="宋体"/>
          <w:u w:val="single"/>
        </w:rPr>
        <w:t xml:space="preserve">    业主单位名称         </w:t>
      </w:r>
      <w:r>
        <w:rPr>
          <w:rFonts w:hint="eastAsia" w:ascii="宋体" w:hAnsi="宋体" w:cs="宋体"/>
        </w:rPr>
        <w:t>（采购人）</w:t>
      </w:r>
    </w:p>
    <w:p>
      <w:pPr>
        <w:spacing w:line="360" w:lineRule="auto"/>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pPr>
        <w:pStyle w:val="4"/>
        <w:ind w:left="567" w:leftChars="200" w:hanging="147" w:hangingChars="70"/>
        <w:rPr>
          <w:rFonts w:ascii="宋体" w:hAnsi="宋体" w:cs="宋体"/>
          <w:b/>
          <w:bCs w:val="0"/>
          <w:color w:val="auto"/>
          <w:sz w:val="21"/>
          <w:szCs w:val="21"/>
        </w:rPr>
      </w:pPr>
      <w:bookmarkStart w:id="113" w:name="_Toc30275"/>
      <w:bookmarkStart w:id="114" w:name="_Toc102642524"/>
      <w:bookmarkStart w:id="115" w:name="_Toc20217"/>
      <w:r>
        <w:rPr>
          <w:rFonts w:hint="eastAsia" w:ascii="宋体" w:hAnsi="宋体" w:cs="宋体"/>
          <w:b/>
          <w:bCs w:val="0"/>
          <w:color w:val="auto"/>
          <w:sz w:val="21"/>
          <w:szCs w:val="21"/>
        </w:rPr>
        <w:t>第一条 合同文件</w:t>
      </w:r>
      <w:bookmarkEnd w:id="113"/>
      <w:bookmarkEnd w:id="114"/>
      <w:bookmarkEnd w:id="115"/>
    </w:p>
    <w:p>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针对本项目的服务承诺书、服务方案</w:t>
      </w:r>
      <w:r>
        <w:rPr>
          <w:rFonts w:hint="eastAsia" w:ascii="宋体" w:hAnsi="宋体" w:cs="宋体"/>
        </w:rPr>
        <w:t>；</w:t>
      </w:r>
    </w:p>
    <w:p>
      <w:pPr>
        <w:spacing w:line="360" w:lineRule="auto"/>
        <w:ind w:firstLine="315" w:firstLineChars="150"/>
        <w:rPr>
          <w:rFonts w:ascii="宋体" w:hAnsi="宋体" w:cs="宋体"/>
        </w:rPr>
      </w:pPr>
      <w:r>
        <w:rPr>
          <w:rFonts w:hint="eastAsia" w:ascii="宋体" w:hAnsi="宋体" w:cs="宋体"/>
        </w:rPr>
        <w:t>（2）成交通知书；</w:t>
      </w:r>
    </w:p>
    <w:p>
      <w:pPr>
        <w:spacing w:line="360" w:lineRule="auto"/>
        <w:ind w:firstLine="315" w:firstLineChars="150"/>
        <w:rPr>
          <w:rFonts w:ascii="宋体" w:hAnsi="宋体" w:cs="宋体"/>
        </w:rPr>
      </w:pPr>
      <w:r>
        <w:rPr>
          <w:rFonts w:hint="eastAsia" w:ascii="宋体" w:hAnsi="宋体" w:cs="宋体"/>
        </w:rPr>
        <w:t>（3）本合同协议书及有关补充资料；</w:t>
      </w:r>
    </w:p>
    <w:p>
      <w:pPr>
        <w:spacing w:line="360" w:lineRule="auto"/>
        <w:ind w:firstLine="315" w:firstLineChars="150"/>
        <w:rPr>
          <w:rFonts w:ascii="宋体" w:hAnsi="宋体" w:cs="宋体"/>
        </w:rPr>
      </w:pPr>
      <w:r>
        <w:rPr>
          <w:rFonts w:hint="eastAsia" w:ascii="宋体" w:hAnsi="宋体" w:cs="宋体"/>
        </w:rPr>
        <w:t>（4）磋商文件的条款要求。</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pPr>
        <w:pStyle w:val="4"/>
        <w:ind w:left="567" w:leftChars="200" w:hanging="147" w:hangingChars="70"/>
        <w:rPr>
          <w:rFonts w:ascii="宋体" w:hAnsi="宋体" w:cs="宋体"/>
          <w:b/>
          <w:bCs w:val="0"/>
          <w:color w:val="auto"/>
          <w:sz w:val="21"/>
          <w:szCs w:val="21"/>
        </w:rPr>
      </w:pPr>
      <w:bookmarkStart w:id="116" w:name="_Toc28710"/>
      <w:bookmarkStart w:id="117" w:name="_Toc6972"/>
      <w:bookmarkStart w:id="118" w:name="_Toc102642525"/>
      <w:r>
        <w:rPr>
          <w:rFonts w:hint="eastAsia" w:ascii="宋体" w:hAnsi="宋体" w:cs="宋体"/>
          <w:b/>
          <w:bCs w:val="0"/>
          <w:color w:val="auto"/>
          <w:sz w:val="21"/>
          <w:szCs w:val="21"/>
        </w:rPr>
        <w:t>第二条　合同金额</w:t>
      </w:r>
      <w:bookmarkEnd w:id="116"/>
      <w:bookmarkEnd w:id="117"/>
      <w:bookmarkEnd w:id="118"/>
    </w:p>
    <w:p>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pPr>
        <w:pStyle w:val="4"/>
        <w:ind w:left="567" w:leftChars="200" w:hanging="147" w:hangingChars="70"/>
        <w:rPr>
          <w:rFonts w:ascii="宋体" w:hAnsi="宋体" w:cs="宋体"/>
          <w:b/>
          <w:bCs w:val="0"/>
          <w:color w:val="auto"/>
          <w:sz w:val="21"/>
          <w:szCs w:val="21"/>
        </w:rPr>
      </w:pPr>
      <w:bookmarkStart w:id="119" w:name="_Toc9581"/>
      <w:bookmarkStart w:id="120" w:name="_Toc16138"/>
      <w:bookmarkStart w:id="121" w:name="_Toc102642526"/>
      <w:r>
        <w:rPr>
          <w:rFonts w:hint="eastAsia" w:ascii="宋体" w:hAnsi="宋体" w:cs="宋体"/>
          <w:b/>
          <w:bCs w:val="0"/>
          <w:color w:val="auto"/>
          <w:sz w:val="21"/>
          <w:szCs w:val="21"/>
        </w:rPr>
        <w:t>第三条  服务保证</w:t>
      </w:r>
      <w:bookmarkEnd w:id="119"/>
      <w:bookmarkEnd w:id="120"/>
      <w:bookmarkEnd w:id="121"/>
    </w:p>
    <w:p>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pPr>
        <w:pStyle w:val="4"/>
        <w:ind w:left="567" w:leftChars="200" w:hanging="147" w:hangingChars="70"/>
        <w:rPr>
          <w:rFonts w:ascii="宋体" w:hAnsi="宋体" w:cs="宋体"/>
          <w:b/>
          <w:bCs w:val="0"/>
          <w:color w:val="auto"/>
          <w:sz w:val="21"/>
          <w:szCs w:val="21"/>
        </w:rPr>
      </w:pPr>
      <w:bookmarkStart w:id="122" w:name="_Toc102642527"/>
      <w:bookmarkStart w:id="123" w:name="_Toc25056"/>
      <w:bookmarkStart w:id="124" w:name="_Toc8669"/>
      <w:r>
        <w:rPr>
          <w:rFonts w:hint="eastAsia" w:ascii="宋体" w:hAnsi="宋体" w:cs="宋体"/>
          <w:b/>
          <w:bCs w:val="0"/>
          <w:color w:val="auto"/>
          <w:sz w:val="21"/>
          <w:szCs w:val="21"/>
        </w:rPr>
        <w:t>第四条  服务期限</w:t>
      </w:r>
      <w:bookmarkEnd w:id="122"/>
      <w:bookmarkEnd w:id="123"/>
      <w:bookmarkEnd w:id="124"/>
    </w:p>
    <w:p>
      <w:pPr>
        <w:spacing w:line="360" w:lineRule="auto"/>
        <w:ind w:firstLine="411" w:firstLineChars="196"/>
        <w:rPr>
          <w:rFonts w:ascii="宋体" w:hAnsi="宋体" w:cs="宋体"/>
          <w:szCs w:val="21"/>
          <w:u w:val="single"/>
        </w:rPr>
      </w:pPr>
      <w:bookmarkStart w:id="125" w:name="_Toc25521"/>
      <w:bookmarkStart w:id="126" w:name="_Toc15179"/>
      <w:r>
        <w:rPr>
          <w:rFonts w:hint="eastAsia" w:ascii="宋体" w:hAnsi="宋体" w:cs="宋体"/>
          <w:szCs w:val="21"/>
        </w:rPr>
        <w:t>服务期限: 自合同签订之日起至服务期满。</w:t>
      </w:r>
    </w:p>
    <w:p>
      <w:pPr>
        <w:pStyle w:val="4"/>
        <w:ind w:left="567" w:leftChars="200" w:hanging="147" w:hangingChars="70"/>
        <w:rPr>
          <w:rFonts w:ascii="宋体" w:hAnsi="宋体" w:cs="宋体"/>
          <w:b/>
          <w:bCs w:val="0"/>
          <w:color w:val="auto"/>
          <w:sz w:val="21"/>
          <w:szCs w:val="21"/>
        </w:rPr>
      </w:pPr>
      <w:bookmarkStart w:id="127" w:name="_Toc102642528"/>
      <w:r>
        <w:rPr>
          <w:rFonts w:hint="eastAsia" w:ascii="宋体" w:hAnsi="宋体" w:cs="宋体"/>
          <w:b/>
          <w:bCs w:val="0"/>
          <w:color w:val="auto"/>
          <w:sz w:val="21"/>
          <w:szCs w:val="21"/>
        </w:rPr>
        <w:t>第五条  交付</w:t>
      </w:r>
      <w:bookmarkEnd w:id="125"/>
      <w:bookmarkEnd w:id="126"/>
      <w:bookmarkEnd w:id="127"/>
    </w:p>
    <w:p>
      <w:pPr>
        <w:spacing w:line="360" w:lineRule="auto"/>
        <w:ind w:firstLine="420" w:firstLineChars="200"/>
        <w:rPr>
          <w:rFonts w:ascii="宋体" w:hAnsi="宋体" w:cs="宋体"/>
          <w:szCs w:val="21"/>
          <w:u w:val="single"/>
        </w:rPr>
      </w:pPr>
      <w:bookmarkStart w:id="128" w:name="_Toc8253"/>
      <w:bookmarkStart w:id="129" w:name="_Toc22519"/>
      <w:r>
        <w:rPr>
          <w:rFonts w:hint="eastAsia" w:ascii="宋体" w:hAnsi="宋体" w:cs="宋体"/>
          <w:szCs w:val="21"/>
        </w:rPr>
        <w:t>1、服务时间 ：</w:t>
      </w:r>
      <w:r>
        <w:rPr>
          <w:rFonts w:hint="eastAsia" w:ascii="宋体" w:hAnsi="宋体" w:cs="宋体"/>
          <w:szCs w:val="21"/>
          <w:u w:val="single"/>
        </w:rPr>
        <w:t>3年（“项目要求及技术需求”中特别规定的，按规定执行）</w:t>
      </w:r>
      <w:r>
        <w:rPr>
          <w:rFonts w:hint="eastAsia" w:ascii="宋体" w:hAnsi="宋体" w:cs="宋体"/>
          <w:szCs w:val="21"/>
        </w:rPr>
        <w:t>。</w:t>
      </w:r>
    </w:p>
    <w:p>
      <w:pPr>
        <w:spacing w:line="360" w:lineRule="auto"/>
        <w:ind w:firstLine="735" w:firstLineChars="350"/>
        <w:rPr>
          <w:rFonts w:ascii="宋体" w:hAnsi="宋体" w:cs="宋体"/>
          <w:szCs w:val="21"/>
        </w:rPr>
      </w:pPr>
      <w:r>
        <w:rPr>
          <w:rFonts w:hint="eastAsia" w:ascii="宋体" w:hAnsi="宋体" w:cs="宋体"/>
          <w:szCs w:val="21"/>
        </w:rPr>
        <w:t>地点：</w:t>
      </w:r>
      <w:r>
        <w:rPr>
          <w:rFonts w:hint="eastAsia" w:ascii="宋体" w:hAnsi="宋体" w:cs="宋体"/>
          <w:szCs w:val="21"/>
          <w:u w:val="single"/>
        </w:rPr>
        <w:t xml:space="preserve">   采购人指定地点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pPr>
        <w:pStyle w:val="4"/>
        <w:ind w:left="567" w:leftChars="200" w:hanging="147" w:hangingChars="70"/>
        <w:rPr>
          <w:rFonts w:ascii="宋体" w:hAnsi="宋体" w:cs="宋体"/>
          <w:b/>
          <w:bCs w:val="0"/>
          <w:color w:val="auto"/>
          <w:sz w:val="21"/>
          <w:szCs w:val="21"/>
        </w:rPr>
      </w:pPr>
      <w:bookmarkStart w:id="130" w:name="_Toc102642529"/>
      <w:r>
        <w:rPr>
          <w:rFonts w:hint="eastAsia" w:ascii="宋体" w:hAnsi="宋体" w:cs="宋体"/>
          <w:b/>
          <w:bCs w:val="0"/>
          <w:color w:val="auto"/>
          <w:sz w:val="21"/>
          <w:szCs w:val="21"/>
        </w:rPr>
        <w:t>第六条  税费</w:t>
      </w:r>
      <w:bookmarkEnd w:id="128"/>
      <w:bookmarkEnd w:id="129"/>
      <w:bookmarkEnd w:id="130"/>
    </w:p>
    <w:p>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bookmarkStart w:id="131" w:name="_Toc31516"/>
      <w:bookmarkStart w:id="132" w:name="_Toc11829"/>
      <w:bookmarkStart w:id="133" w:name="_Toc102642530"/>
    </w:p>
    <w:p>
      <w:pPr>
        <w:spacing w:line="360" w:lineRule="auto"/>
        <w:ind w:firstLine="411" w:firstLineChars="196"/>
        <w:rPr>
          <w:rFonts w:ascii="宋体" w:hAnsi="宋体" w:cs="宋体"/>
          <w:b/>
          <w:szCs w:val="21"/>
        </w:rPr>
      </w:pPr>
      <w:r>
        <w:rPr>
          <w:rFonts w:hint="eastAsia" w:ascii="宋体" w:hAnsi="宋体" w:cs="宋体"/>
          <w:b/>
          <w:szCs w:val="21"/>
        </w:rPr>
        <w:t>第七条  付款方式</w:t>
      </w:r>
      <w:bookmarkEnd w:id="131"/>
      <w:bookmarkEnd w:id="132"/>
      <w:bookmarkEnd w:id="133"/>
      <w:bookmarkStart w:id="134" w:name="_Toc2652"/>
      <w:bookmarkStart w:id="135" w:name="_Toc7272"/>
    </w:p>
    <w:p>
      <w:pPr>
        <w:spacing w:line="360" w:lineRule="auto"/>
        <w:ind w:firstLine="411" w:firstLineChars="196"/>
        <w:rPr>
          <w:rFonts w:ascii="宋体" w:hAnsi="宋体"/>
          <w:color w:val="000000"/>
          <w:szCs w:val="21"/>
          <w:lang w:val="zh-CN"/>
        </w:rPr>
      </w:pPr>
      <w:r>
        <w:rPr>
          <w:rFonts w:hint="eastAsia" w:ascii="宋体" w:hAnsi="宋体"/>
          <w:szCs w:val="21"/>
        </w:rPr>
        <w:t>项目验收合格正常使用后分三年支付，第1年支付合同金额的三分之一，第2年支付合同金额的三分之一，第3年支付合同金额的三分之一；</w:t>
      </w:r>
    </w:p>
    <w:p>
      <w:pPr>
        <w:widowControl/>
        <w:spacing w:line="400" w:lineRule="exact"/>
        <w:ind w:firstLine="422" w:firstLineChars="201"/>
        <w:jc w:val="left"/>
        <w:rPr>
          <w:rFonts w:ascii="宋体" w:hAnsi="宋体" w:cs="宋体"/>
          <w:color w:val="000000"/>
          <w:kern w:val="0"/>
          <w:szCs w:val="21"/>
        </w:rPr>
      </w:pPr>
      <w:r>
        <w:rPr>
          <w:rFonts w:hint="eastAsia" w:ascii="宋体" w:hAnsi="宋体" w:cs="宋体"/>
          <w:b/>
          <w:szCs w:val="21"/>
        </w:rPr>
        <w:t xml:space="preserve">第八条 </w:t>
      </w:r>
      <w:r>
        <w:rPr>
          <w:rFonts w:hint="eastAsia" w:ascii="宋体" w:hAnsi="宋体" w:cs="宋体"/>
          <w:color w:val="000000"/>
          <w:kern w:val="0"/>
          <w:szCs w:val="21"/>
        </w:rPr>
        <w:t xml:space="preserve"> </w:t>
      </w:r>
      <w:r>
        <w:rPr>
          <w:rFonts w:hint="eastAsia" w:ascii="宋体" w:hAnsi="宋体" w:cs="宋体"/>
          <w:b/>
          <w:szCs w:val="21"/>
        </w:rPr>
        <w:t>履约保证金</w:t>
      </w:r>
    </w:p>
    <w:p>
      <w:pPr>
        <w:pStyle w:val="4"/>
        <w:ind w:leftChars="200" w:hanging="147" w:hangingChars="70"/>
        <w:rPr>
          <w:rFonts w:ascii="宋体" w:hAnsi="宋体"/>
          <w:bCs w:val="0"/>
          <w:color w:val="auto"/>
          <w:sz w:val="21"/>
          <w:szCs w:val="21"/>
          <w:lang w:val="en-US"/>
        </w:rPr>
      </w:pPr>
      <w:bookmarkStart w:id="136" w:name="_Toc102642531"/>
      <w:r>
        <w:rPr>
          <w:rFonts w:hint="eastAsia" w:ascii="宋体" w:hAnsi="宋体"/>
          <w:bCs w:val="0"/>
          <w:color w:val="auto"/>
          <w:sz w:val="21"/>
          <w:szCs w:val="21"/>
          <w:lang w:val="en-US"/>
        </w:rPr>
        <w:t>本项目无需缴纳履约保证金。</w:t>
      </w:r>
      <w:bookmarkEnd w:id="136"/>
    </w:p>
    <w:p>
      <w:pPr>
        <w:pStyle w:val="4"/>
        <w:ind w:left="567" w:leftChars="200" w:hanging="147" w:hangingChars="70"/>
        <w:rPr>
          <w:rFonts w:ascii="宋体" w:hAnsi="宋体" w:cs="宋体"/>
          <w:b/>
          <w:bCs w:val="0"/>
          <w:color w:val="auto"/>
          <w:sz w:val="21"/>
          <w:szCs w:val="21"/>
        </w:rPr>
      </w:pPr>
      <w:bookmarkStart w:id="137" w:name="_Toc102642532"/>
      <w:r>
        <w:rPr>
          <w:rFonts w:hint="eastAsia" w:ascii="宋体" w:hAnsi="宋体" w:cs="宋体"/>
          <w:b/>
          <w:bCs w:val="0"/>
          <w:color w:val="auto"/>
          <w:sz w:val="21"/>
          <w:szCs w:val="21"/>
        </w:rPr>
        <w:t>第九条  违约责任</w:t>
      </w:r>
      <w:bookmarkEnd w:id="134"/>
      <w:bookmarkEnd w:id="135"/>
      <w:bookmarkEnd w:id="137"/>
    </w:p>
    <w:p>
      <w:pPr>
        <w:spacing w:line="380" w:lineRule="exact"/>
        <w:ind w:firstLine="420" w:firstLineChars="200"/>
        <w:rPr>
          <w:rFonts w:ascii="宋体" w:hAnsi="宋体" w:cs="宋体"/>
          <w:szCs w:val="21"/>
        </w:rPr>
      </w:pPr>
      <w:r>
        <w:rPr>
          <w:rFonts w:hint="eastAsia" w:ascii="宋体" w:hAnsi="宋体" w:cs="宋体"/>
          <w:szCs w:val="21"/>
        </w:rPr>
        <w:t>1、乙方所提供的服务质量不合格的，应及时调整，调整不及时的按逾期处罚，乙方应向甲方支付合同金额</w:t>
      </w:r>
      <w:r>
        <w:rPr>
          <w:rFonts w:hint="eastAsia" w:ascii="宋体" w:hAnsi="宋体" w:cs="宋体"/>
          <w:szCs w:val="21"/>
          <w:u w:val="single"/>
        </w:rPr>
        <w:t xml:space="preserve">   %</w:t>
      </w:r>
      <w:r>
        <w:rPr>
          <w:rFonts w:hint="eastAsia" w:ascii="宋体" w:hAnsi="宋体" w:cs="宋体"/>
          <w:szCs w:val="21"/>
        </w:rPr>
        <w:t>违约金并赔偿甲方经济损失。</w:t>
      </w:r>
    </w:p>
    <w:p>
      <w:pPr>
        <w:spacing w:line="380" w:lineRule="exact"/>
        <w:ind w:firstLine="411" w:firstLineChars="196"/>
        <w:rPr>
          <w:rFonts w:ascii="宋体" w:hAnsi="宋体" w:cs="宋体"/>
          <w:szCs w:val="21"/>
        </w:rPr>
      </w:pPr>
      <w:r>
        <w:rPr>
          <w:rFonts w:hint="eastAsia" w:ascii="宋体" w:hAnsi="宋体" w:cs="宋体"/>
          <w:szCs w:val="21"/>
        </w:rPr>
        <w:t>2、乙方提供的服务如果侵犯了第三方合法权益而引发的任何纠纷或诉讼，均由乙方负责交涉并承担全部责任。</w:t>
      </w:r>
    </w:p>
    <w:p>
      <w:pPr>
        <w:spacing w:line="360" w:lineRule="auto"/>
        <w:ind w:firstLine="420" w:firstLineChars="200"/>
        <w:rPr>
          <w:rFonts w:ascii="宋体" w:hAnsi="宋体" w:cs="宋体"/>
          <w:szCs w:val="21"/>
        </w:rPr>
      </w:pPr>
      <w:r>
        <w:rPr>
          <w:rFonts w:hint="eastAsia" w:ascii="宋体" w:hAnsi="宋体" w:cs="宋体"/>
          <w:szCs w:val="21"/>
        </w:rPr>
        <w:t>3、乙方无故延期服务交付的，每天向甲方偿付违约合同金额</w:t>
      </w:r>
      <w:r>
        <w:rPr>
          <w:rFonts w:hint="eastAsia" w:ascii="宋体" w:hAnsi="宋体" w:cs="宋体"/>
          <w:szCs w:val="21"/>
          <w:u w:val="single"/>
        </w:rPr>
        <w:t xml:space="preserve">   </w:t>
      </w:r>
      <w:r>
        <w:rPr>
          <w:rFonts w:hint="eastAsia" w:ascii="宋体" w:hAnsi="宋体" w:cs="宋体"/>
          <w:szCs w:val="21"/>
        </w:rPr>
        <w:t>违约金，但违约金累计不得超过合同金额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天甲方有权解除合同，违约方承担因此给对方造成经济损失；甲方不能按期付款的，每天向乙方偿付延合同金额</w:t>
      </w:r>
      <w:r>
        <w:rPr>
          <w:rFonts w:hint="eastAsia" w:ascii="宋体" w:hAnsi="宋体" w:cs="宋体"/>
          <w:szCs w:val="21"/>
          <w:u w:val="single"/>
        </w:rPr>
        <w:t xml:space="preserve">     </w:t>
      </w:r>
      <w:r>
        <w:rPr>
          <w:rFonts w:hint="eastAsia" w:ascii="宋体" w:hAnsi="宋体" w:cs="宋体"/>
          <w:szCs w:val="21"/>
        </w:rPr>
        <w:t>滞纳金，但滞纳金累计不得超过合同金额</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1" w:firstLineChars="196"/>
        <w:rPr>
          <w:rFonts w:ascii="宋体" w:hAnsi="宋体" w:cs="宋体"/>
          <w:szCs w:val="21"/>
        </w:rPr>
      </w:pPr>
      <w:r>
        <w:rPr>
          <w:rFonts w:hint="eastAsia" w:ascii="宋体" w:hAnsi="宋体" w:cs="宋体"/>
          <w:szCs w:val="21"/>
        </w:rPr>
        <w:t>4、乙方未按本合同和投标文件中规定的服务承诺提供服务的，乙方应按本合同合同金额</w:t>
      </w:r>
      <w:r>
        <w:rPr>
          <w:rFonts w:hint="eastAsia" w:ascii="宋体" w:hAnsi="宋体" w:cs="宋体"/>
          <w:szCs w:val="21"/>
          <w:u w:val="single"/>
        </w:rPr>
        <w:t xml:space="preserve">    </w:t>
      </w:r>
      <w:r>
        <w:rPr>
          <w:rFonts w:hint="eastAsia" w:ascii="宋体" w:hAnsi="宋体" w:cs="宋体"/>
          <w:szCs w:val="21"/>
        </w:rPr>
        <w:t>向甲方支付违约金。</w:t>
      </w:r>
    </w:p>
    <w:p>
      <w:pPr>
        <w:spacing w:line="360" w:lineRule="auto"/>
        <w:ind w:firstLine="420" w:firstLineChars="200"/>
        <w:rPr>
          <w:rFonts w:ascii="宋体" w:hAnsi="宋体" w:cs="宋体"/>
          <w:szCs w:val="21"/>
        </w:rPr>
      </w:pPr>
      <w:r>
        <w:rPr>
          <w:rFonts w:hint="eastAsia" w:ascii="宋体" w:hAnsi="宋体" w:cs="宋体"/>
          <w:szCs w:val="21"/>
        </w:rPr>
        <w:t>5、其他违约行为按照合同金额额</w:t>
      </w:r>
      <w:r>
        <w:rPr>
          <w:rFonts w:hint="eastAsia" w:ascii="宋体" w:hAnsi="宋体" w:cs="宋体"/>
          <w:szCs w:val="21"/>
          <w:u w:val="single"/>
        </w:rPr>
        <w:t xml:space="preserve">     </w:t>
      </w:r>
      <w:r>
        <w:rPr>
          <w:rFonts w:hint="eastAsia" w:ascii="宋体" w:hAnsi="宋体" w:cs="宋体"/>
          <w:szCs w:val="21"/>
        </w:rPr>
        <w:t>收取违约金并赔偿经济损失。</w:t>
      </w:r>
    </w:p>
    <w:p>
      <w:pPr>
        <w:pStyle w:val="4"/>
        <w:ind w:left="567" w:leftChars="200" w:hanging="147" w:hangingChars="70"/>
        <w:rPr>
          <w:rFonts w:ascii="宋体" w:hAnsi="宋体" w:cs="宋体"/>
          <w:b/>
          <w:bCs w:val="0"/>
          <w:color w:val="auto"/>
          <w:sz w:val="21"/>
          <w:szCs w:val="21"/>
        </w:rPr>
      </w:pPr>
      <w:bookmarkStart w:id="138" w:name="_Toc1538"/>
      <w:bookmarkStart w:id="139" w:name="_Toc8363"/>
      <w:bookmarkStart w:id="140" w:name="_Toc102642533"/>
      <w:r>
        <w:rPr>
          <w:rFonts w:hint="eastAsia" w:ascii="宋体" w:hAnsi="宋体" w:cs="宋体"/>
          <w:b/>
          <w:bCs w:val="0"/>
          <w:color w:val="auto"/>
          <w:sz w:val="21"/>
          <w:szCs w:val="21"/>
        </w:rPr>
        <w:t>第十条  不可抗力事件处理</w:t>
      </w:r>
      <w:bookmarkEnd w:id="138"/>
      <w:bookmarkEnd w:id="139"/>
      <w:bookmarkEnd w:id="140"/>
    </w:p>
    <w:p>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pPr>
        <w:numPr>
          <w:ilvl w:val="0"/>
          <w:numId w:val="7"/>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pPr>
        <w:numPr>
          <w:ilvl w:val="0"/>
          <w:numId w:val="7"/>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pPr>
        <w:pStyle w:val="4"/>
        <w:ind w:left="567" w:leftChars="200" w:hanging="147" w:hangingChars="70"/>
        <w:rPr>
          <w:rFonts w:ascii="宋体" w:hAnsi="宋体" w:cs="宋体"/>
          <w:b/>
          <w:bCs w:val="0"/>
          <w:color w:val="auto"/>
          <w:sz w:val="21"/>
          <w:szCs w:val="21"/>
        </w:rPr>
      </w:pPr>
      <w:bookmarkStart w:id="141" w:name="_Toc8638"/>
      <w:bookmarkStart w:id="142" w:name="_Toc7311"/>
      <w:bookmarkStart w:id="143" w:name="_Toc102642534"/>
      <w:r>
        <w:rPr>
          <w:rFonts w:hint="eastAsia" w:ascii="宋体" w:hAnsi="宋体" w:cs="宋体"/>
          <w:b/>
          <w:bCs w:val="0"/>
          <w:color w:val="auto"/>
          <w:sz w:val="21"/>
          <w:szCs w:val="21"/>
        </w:rPr>
        <w:t>第十一条  合同争议解决</w:t>
      </w:r>
      <w:bookmarkEnd w:id="141"/>
      <w:bookmarkEnd w:id="142"/>
      <w:bookmarkEnd w:id="143"/>
    </w:p>
    <w:p>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Fonts w:hint="eastAsia" w:ascii="宋体" w:hAnsi="宋体" w:cs="宋体"/>
        </w:rPr>
        <w:t>项目所在地</w:t>
      </w:r>
      <w:r>
        <w:rPr>
          <w:rFonts w:hint="eastAsia" w:ascii="宋体" w:hAnsi="宋体" w:cs="宋体"/>
          <w:szCs w:val="21"/>
        </w:rPr>
        <w:t>人民法院提起诉讼。</w:t>
      </w:r>
    </w:p>
    <w:p>
      <w:pPr>
        <w:spacing w:line="360" w:lineRule="auto"/>
        <w:ind w:left="435"/>
        <w:rPr>
          <w:rFonts w:ascii="宋体" w:hAnsi="宋体" w:cs="宋体"/>
          <w:szCs w:val="21"/>
        </w:rPr>
      </w:pPr>
      <w:r>
        <w:rPr>
          <w:rFonts w:hint="eastAsia" w:ascii="宋体" w:hAnsi="宋体" w:cs="宋体"/>
          <w:szCs w:val="21"/>
        </w:rPr>
        <w:t>3、诉讼期间，本合同继续履行。</w:t>
      </w:r>
    </w:p>
    <w:p>
      <w:pPr>
        <w:pStyle w:val="4"/>
        <w:ind w:left="567" w:leftChars="200" w:hanging="147" w:hangingChars="70"/>
        <w:rPr>
          <w:rFonts w:ascii="宋体" w:hAnsi="宋体" w:cs="宋体"/>
          <w:b/>
          <w:bCs w:val="0"/>
          <w:color w:val="auto"/>
          <w:sz w:val="21"/>
          <w:szCs w:val="21"/>
        </w:rPr>
      </w:pPr>
      <w:bookmarkStart w:id="144" w:name="_Toc102642535"/>
      <w:bookmarkStart w:id="145" w:name="_Toc27483"/>
      <w:bookmarkStart w:id="146" w:name="_Toc17823"/>
      <w:r>
        <w:rPr>
          <w:rFonts w:hint="eastAsia" w:ascii="宋体" w:hAnsi="宋体" w:cs="宋体"/>
          <w:b/>
          <w:bCs w:val="0"/>
          <w:color w:val="auto"/>
          <w:sz w:val="21"/>
          <w:szCs w:val="21"/>
        </w:rPr>
        <w:t>第十二条  合同生效及其它</w:t>
      </w:r>
      <w:bookmarkEnd w:id="144"/>
      <w:bookmarkEnd w:id="145"/>
      <w:bookmarkEnd w:id="146"/>
    </w:p>
    <w:p>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pPr>
        <w:pStyle w:val="4"/>
        <w:ind w:left="567" w:leftChars="200" w:hanging="147" w:hangingChars="70"/>
        <w:rPr>
          <w:rFonts w:ascii="宋体" w:hAnsi="宋体" w:cs="宋体"/>
          <w:b/>
          <w:bCs w:val="0"/>
          <w:color w:val="auto"/>
          <w:sz w:val="21"/>
          <w:szCs w:val="21"/>
        </w:rPr>
      </w:pPr>
      <w:bookmarkStart w:id="147" w:name="_Toc12956"/>
      <w:bookmarkStart w:id="148" w:name="_Toc102642536"/>
      <w:bookmarkStart w:id="149" w:name="_Toc31438"/>
      <w:r>
        <w:rPr>
          <w:rFonts w:hint="eastAsia" w:ascii="宋体" w:hAnsi="宋体" w:cs="宋体"/>
          <w:b/>
          <w:bCs w:val="0"/>
          <w:color w:val="auto"/>
          <w:sz w:val="21"/>
          <w:szCs w:val="21"/>
        </w:rPr>
        <w:t>第十三条  合同的变更、终止与转让</w:t>
      </w:r>
      <w:bookmarkEnd w:id="147"/>
      <w:bookmarkEnd w:id="148"/>
      <w:bookmarkEnd w:id="149"/>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numPr>
          <w:ilvl w:val="0"/>
          <w:numId w:val="8"/>
        </w:numPr>
        <w:spacing w:line="360" w:lineRule="auto"/>
        <w:rPr>
          <w:rFonts w:ascii="宋体" w:hAnsi="宋体" w:cs="宋体"/>
          <w:szCs w:val="21"/>
        </w:rPr>
      </w:pPr>
      <w:r>
        <w:rPr>
          <w:rFonts w:hint="eastAsia" w:ascii="宋体" w:hAnsi="宋体" w:cs="宋体"/>
          <w:szCs w:val="21"/>
        </w:rPr>
        <w:t>成交供应商不得擅自转让其应履行的合同义务。</w:t>
      </w:r>
    </w:p>
    <w:p>
      <w:pPr>
        <w:pStyle w:val="4"/>
        <w:ind w:left="567" w:leftChars="200" w:hanging="147" w:hangingChars="70"/>
        <w:rPr>
          <w:rFonts w:ascii="宋体" w:hAnsi="宋体" w:cs="宋体"/>
          <w:b/>
          <w:bCs w:val="0"/>
          <w:color w:val="auto"/>
          <w:sz w:val="21"/>
          <w:szCs w:val="21"/>
        </w:rPr>
      </w:pPr>
      <w:bookmarkStart w:id="150" w:name="_Toc32608"/>
      <w:bookmarkStart w:id="151" w:name="_Toc102642537"/>
      <w:bookmarkStart w:id="152" w:name="_Toc14327"/>
      <w:r>
        <w:rPr>
          <w:rFonts w:hint="eastAsia" w:ascii="宋体" w:hAnsi="宋体" w:cs="宋体"/>
          <w:b/>
          <w:bCs w:val="0"/>
          <w:color w:val="auto"/>
          <w:sz w:val="21"/>
          <w:szCs w:val="21"/>
        </w:rPr>
        <w:t>第十四条  签订本合同依据</w:t>
      </w:r>
      <w:bookmarkEnd w:id="150"/>
      <w:bookmarkEnd w:id="151"/>
      <w:bookmarkEnd w:id="152"/>
    </w:p>
    <w:p>
      <w:pPr>
        <w:spacing w:line="360" w:lineRule="auto"/>
        <w:ind w:left="420"/>
        <w:rPr>
          <w:rFonts w:ascii="宋体" w:hAnsi="宋体" w:cs="宋体"/>
          <w:szCs w:val="21"/>
        </w:rPr>
      </w:pPr>
      <w:r>
        <w:rPr>
          <w:rFonts w:hint="eastAsia" w:ascii="宋体" w:hAnsi="宋体" w:cs="宋体"/>
          <w:szCs w:val="21"/>
        </w:rPr>
        <w:t>1、竞争性磋商文件；</w:t>
      </w:r>
    </w:p>
    <w:p>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pPr>
        <w:spacing w:line="360" w:lineRule="auto"/>
        <w:ind w:left="224" w:leftChars="107" w:firstLine="210" w:firstLineChars="100"/>
        <w:rPr>
          <w:rFonts w:ascii="宋体" w:hAnsi="宋体" w:cs="宋体"/>
          <w:szCs w:val="21"/>
        </w:rPr>
      </w:pPr>
      <w:r>
        <w:rPr>
          <w:rFonts w:hint="eastAsia" w:ascii="宋体" w:hAnsi="宋体" w:cs="宋体"/>
          <w:szCs w:val="21"/>
        </w:rPr>
        <w:t>3、服务承诺书、服务方案；</w:t>
      </w:r>
    </w:p>
    <w:p>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pPr>
        <w:spacing w:line="360" w:lineRule="auto"/>
        <w:ind w:firstLine="420" w:firstLineChars="200"/>
        <w:rPr>
          <w:rFonts w:ascii="宋体" w:hAnsi="宋体" w:cs="宋体"/>
        </w:rPr>
      </w:pPr>
      <w:r>
        <w:rPr>
          <w:rFonts w:hint="eastAsia" w:ascii="宋体" w:hAnsi="宋体" w:cs="宋体"/>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采购人名称（公章）：</w:t>
      </w:r>
      <w:r>
        <w:rPr>
          <w:rFonts w:hint="eastAsia" w:ascii="宋体" w:hAnsi="宋体" w:cs="宋体"/>
          <w:szCs w:val="21"/>
          <w:u w:val="single"/>
        </w:rPr>
        <w:t xml:space="preserve">                      </w:t>
      </w:r>
      <w:r>
        <w:rPr>
          <w:rFonts w:hint="eastAsia" w:ascii="宋体" w:hAnsi="宋体" w:cs="宋体"/>
          <w:szCs w:val="21"/>
        </w:rPr>
        <w:t xml:space="preserve">     成交供应商名称（公章）：</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pPr>
        <w:tabs>
          <w:tab w:val="left" w:pos="4680"/>
        </w:tabs>
        <w:spacing w:line="360" w:lineRule="auto"/>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tabs>
          <w:tab w:val="left" w:pos="5040"/>
        </w:tabs>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 </w:t>
      </w:r>
      <w:r>
        <w:rPr>
          <w:rFonts w:hint="eastAsia" w:ascii="宋体" w:hAnsi="宋体" w:cs="宋体"/>
          <w:szCs w:val="21"/>
          <w:u w:val="single"/>
        </w:rPr>
        <w:t xml:space="preserve">                                  </w:t>
      </w:r>
    </w:p>
    <w:p>
      <w:pPr>
        <w:tabs>
          <w:tab w:val="left" w:pos="5040"/>
        </w:tabs>
        <w:spacing w:line="360" w:lineRule="auto"/>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r>
        <w:rPr>
          <w:rFonts w:hint="eastAsia" w:ascii="宋体" w:hAnsi="宋体" w:cs="宋体"/>
          <w:szCs w:val="21"/>
        </w:rPr>
        <w:t xml:space="preserve">     </w:t>
      </w:r>
    </w:p>
    <w:p>
      <w:pPr>
        <w:tabs>
          <w:tab w:val="left" w:pos="5040"/>
        </w:tabs>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r>
        <w:rPr>
          <w:rFonts w:hint="eastAsia" w:ascii="宋体" w:hAnsi="宋体" w:cs="宋体"/>
          <w:szCs w:val="21"/>
        </w:rPr>
        <w:t xml:space="preserve">     </w:t>
      </w:r>
    </w:p>
    <w:p>
      <w:pPr>
        <w:tabs>
          <w:tab w:val="left" w:pos="5040"/>
        </w:tabs>
        <w:spacing w:line="360" w:lineRule="auto"/>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r>
        <w:rPr>
          <w:rFonts w:hint="eastAsia" w:ascii="宋体" w:hAnsi="宋体" w:cs="宋体"/>
          <w:szCs w:val="21"/>
        </w:rPr>
        <w:t xml:space="preserve">     </w:t>
      </w:r>
    </w:p>
    <w:p>
      <w:pPr>
        <w:tabs>
          <w:tab w:val="left" w:pos="5040"/>
        </w:tabs>
        <w:spacing w:line="360" w:lineRule="auto"/>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 xml:space="preserve"> </w:t>
      </w:r>
    </w:p>
    <w:p>
      <w:pPr>
        <w:rPr>
          <w:rFonts w:ascii="宋体" w:hAnsi="宋体" w:cs="宋体"/>
        </w:rPr>
      </w:pPr>
    </w:p>
    <w:p>
      <w:pPr>
        <w:pStyle w:val="9"/>
        <w:rPr>
          <w:rFonts w:ascii="宋体" w:hAnsi="宋体" w:cs="宋体"/>
        </w:rPr>
      </w:pPr>
    </w:p>
    <w:p>
      <w:pPr>
        <w:pStyle w:val="4"/>
        <w:ind w:left="0" w:firstLine="0"/>
        <w:rPr>
          <w:rFonts w:ascii="宋体" w:hAnsi="宋体" w:cs="宋体"/>
          <w:b/>
          <w:color w:val="auto"/>
          <w:kern w:val="44"/>
          <w:sz w:val="32"/>
        </w:rPr>
      </w:pPr>
      <w:bookmarkStart w:id="153" w:name="_Toc24269"/>
      <w:bookmarkStart w:id="154" w:name="_Toc10014"/>
    </w:p>
    <w:p>
      <w:pPr>
        <w:rPr>
          <w:rFonts w:ascii="宋体" w:hAnsi="宋体" w:cs="宋体"/>
          <w:b/>
          <w:bCs/>
          <w:kern w:val="44"/>
          <w:sz w:val="32"/>
          <w:szCs w:val="32"/>
        </w:rPr>
      </w:pPr>
    </w:p>
    <w:p>
      <w:pPr>
        <w:pStyle w:val="9"/>
        <w:rPr>
          <w:rFonts w:ascii="宋体" w:hAnsi="宋体" w:cs="宋体"/>
          <w:b/>
          <w:bCs/>
          <w:kern w:val="44"/>
          <w:sz w:val="32"/>
          <w:szCs w:val="32"/>
        </w:rPr>
      </w:pPr>
    </w:p>
    <w:p/>
    <w:p>
      <w:pPr>
        <w:widowControl/>
        <w:jc w:val="left"/>
        <w:rPr>
          <w:rFonts w:ascii="宋体" w:hAnsi="宋体" w:cs="宋体"/>
          <w:b/>
          <w:bCs/>
          <w:kern w:val="44"/>
          <w:sz w:val="32"/>
          <w:szCs w:val="32"/>
          <w:lang w:val="pt-BR"/>
        </w:rPr>
      </w:pPr>
      <w:r>
        <w:rPr>
          <w:rFonts w:ascii="宋体" w:hAnsi="宋体" w:cs="宋体"/>
          <w:b/>
          <w:kern w:val="44"/>
          <w:sz w:val="32"/>
        </w:rPr>
        <w:br w:type="page"/>
      </w:r>
    </w:p>
    <w:p>
      <w:pPr>
        <w:pStyle w:val="4"/>
        <w:ind w:left="0" w:firstLine="0"/>
        <w:jc w:val="center"/>
        <w:rPr>
          <w:rFonts w:ascii="宋体" w:hAnsi="宋体" w:cs="宋体"/>
          <w:b/>
        </w:rPr>
      </w:pPr>
      <w:bookmarkStart w:id="155" w:name="_Toc102642538"/>
      <w:r>
        <w:rPr>
          <w:rFonts w:hint="eastAsia" w:ascii="宋体" w:hAnsi="宋体" w:cs="宋体"/>
          <w:b/>
          <w:color w:val="auto"/>
          <w:kern w:val="44"/>
          <w:sz w:val="32"/>
        </w:rPr>
        <w:t xml:space="preserve">第六章  </w:t>
      </w:r>
      <w:bookmarkEnd w:id="153"/>
      <w:bookmarkEnd w:id="154"/>
      <w:bookmarkStart w:id="156" w:name="_Toc13185"/>
      <w:r>
        <w:rPr>
          <w:rFonts w:hint="eastAsia" w:ascii="宋体" w:hAnsi="宋体" w:cs="宋体"/>
          <w:b/>
          <w:color w:val="auto"/>
          <w:sz w:val="32"/>
        </w:rPr>
        <w:t>响应文件（格式）</w:t>
      </w:r>
      <w:bookmarkEnd w:id="155"/>
      <w:bookmarkEnd w:id="156"/>
    </w:p>
    <w:p>
      <w:pPr>
        <w:rPr>
          <w:rFonts w:ascii="宋体" w:hAnsi="宋体" w:cs="宋体"/>
        </w:rPr>
      </w:pPr>
    </w:p>
    <w:p>
      <w:pPr>
        <w:pStyle w:val="13"/>
        <w:rPr>
          <w:rFonts w:hAnsi="宋体" w:cs="宋体"/>
          <w:b/>
          <w:sz w:val="32"/>
        </w:rPr>
      </w:pPr>
      <w:bookmarkStart w:id="157" w:name="_Toc21496"/>
      <w:bookmarkStart w:id="158" w:name="_Toc18351"/>
      <w:bookmarkStart w:id="159" w:name="_Toc497927069"/>
      <w:r>
        <w:rPr>
          <w:rFonts w:hint="eastAsia" w:hAnsi="宋体" w:cs="宋体"/>
          <w:b/>
          <w:sz w:val="32"/>
        </w:rPr>
        <w:t>一、响应文件袋（盒、箱）标记</w:t>
      </w:r>
      <w:bookmarkEnd w:id="157"/>
      <w:bookmarkEnd w:id="158"/>
      <w:bookmarkEnd w:id="159"/>
    </w:p>
    <w:p>
      <w:pPr>
        <w:adjustRightInd w:val="0"/>
        <w:snapToGrid w:val="0"/>
        <w:rPr>
          <w:rFonts w:ascii="宋体" w:hAnsi="宋体" w:cs="宋体"/>
          <w:b/>
          <w:sz w:val="44"/>
          <w:szCs w:val="44"/>
        </w:rPr>
      </w:pPr>
    </w:p>
    <w:p>
      <w:pPr>
        <w:pStyle w:val="2"/>
        <w:rPr>
          <w:rFonts w:ascii="宋体" w:hAnsi="宋体" w:cs="宋体"/>
        </w:rPr>
      </w:pPr>
    </w:p>
    <w:p>
      <w:pPr>
        <w:snapToGrid w:val="0"/>
        <w:spacing w:beforeLines="50" w:after="50"/>
        <w:jc w:val="center"/>
        <w:rPr>
          <w:rFonts w:ascii="宋体" w:hAnsi="宋体" w:cs="宋体"/>
          <w:b/>
          <w:sz w:val="36"/>
          <w:szCs w:val="36"/>
        </w:rPr>
      </w:pPr>
      <w:r>
        <w:rPr>
          <w:rFonts w:hint="eastAsia" w:ascii="宋体" w:hAnsi="宋体" w:cs="宋体"/>
          <w:b/>
          <w:sz w:val="36"/>
          <w:szCs w:val="36"/>
        </w:rPr>
        <w:t>响 应 文 件</w:t>
      </w:r>
    </w:p>
    <w:p>
      <w:pPr>
        <w:snapToGrid w:val="0"/>
        <w:spacing w:beforeLines="50" w:after="50"/>
        <w:ind w:firstLine="480" w:firstLineChars="150"/>
        <w:rPr>
          <w:rFonts w:ascii="宋体" w:hAnsi="宋体" w:cs="宋体"/>
          <w:b/>
          <w:sz w:val="28"/>
          <w:szCs w:val="28"/>
        </w:rPr>
      </w:pPr>
      <w:r>
        <w:rPr>
          <w:rFonts w:hint="eastAsia" w:ascii="宋体" w:hAnsi="宋体" w:cs="宋体"/>
          <w:sz w:val="32"/>
          <w:szCs w:val="32"/>
        </w:rPr>
        <w:t xml:space="preserve">                       </w:t>
      </w:r>
    </w:p>
    <w:p>
      <w:pPr>
        <w:snapToGrid w:val="0"/>
        <w:spacing w:beforeLines="50" w:after="50"/>
        <w:ind w:firstLine="420" w:firstLineChars="150"/>
        <w:rPr>
          <w:rFonts w:ascii="宋体" w:hAnsi="宋体" w:cs="宋体"/>
          <w:b/>
          <w:sz w:val="28"/>
          <w:szCs w:val="28"/>
        </w:rPr>
      </w:pPr>
    </w:p>
    <w:p>
      <w:pPr>
        <w:snapToGrid w:val="0"/>
        <w:spacing w:beforeLines="50" w:after="50"/>
        <w:ind w:firstLine="2259" w:firstLineChars="807"/>
        <w:rPr>
          <w:rFonts w:ascii="宋体" w:hAnsi="宋体" w:cs="宋体"/>
          <w:b/>
          <w:sz w:val="28"/>
          <w:szCs w:val="28"/>
        </w:rPr>
      </w:pPr>
    </w:p>
    <w:p>
      <w:pPr>
        <w:snapToGrid w:val="0"/>
        <w:spacing w:beforeLines="50" w:after="50"/>
        <w:ind w:firstLine="2259" w:firstLineChars="807"/>
        <w:rPr>
          <w:rFonts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桂林市临桂区交警队交通监控系统服务项目</w:t>
      </w:r>
    </w:p>
    <w:p>
      <w:pPr>
        <w:snapToGrid w:val="0"/>
        <w:spacing w:beforeLines="50" w:after="50"/>
        <w:ind w:firstLine="2693" w:firstLineChars="962"/>
        <w:rPr>
          <w:rFonts w:ascii="宋体" w:hAnsi="宋体" w:cs="宋体"/>
          <w:b/>
          <w:sz w:val="28"/>
          <w:szCs w:val="28"/>
        </w:rPr>
      </w:pPr>
    </w:p>
    <w:p>
      <w:pPr>
        <w:snapToGrid w:val="0"/>
        <w:spacing w:beforeLines="50" w:after="50"/>
        <w:ind w:firstLine="2693" w:firstLineChars="962"/>
        <w:rPr>
          <w:rFonts w:ascii="宋体" w:hAnsi="宋体" w:cs="宋体"/>
          <w:b/>
          <w:sz w:val="28"/>
          <w:szCs w:val="28"/>
        </w:rPr>
      </w:pPr>
      <w:r>
        <w:rPr>
          <w:rFonts w:hint="eastAsia" w:ascii="宋体" w:hAnsi="宋体" w:cs="宋体"/>
          <w:b/>
          <w:sz w:val="28"/>
          <w:szCs w:val="28"/>
        </w:rPr>
        <w:t>项目编号：</w:t>
      </w:r>
      <w:r>
        <w:rPr>
          <w:rFonts w:hint="eastAsia" w:ascii="宋体" w:hAnsi="宋体" w:cs="宋体"/>
          <w:b/>
          <w:sz w:val="28"/>
          <w:szCs w:val="28"/>
          <w:u w:val="single"/>
        </w:rPr>
        <w:t>GLZC2022-C3-120054-HBZT</w:t>
      </w:r>
    </w:p>
    <w:p>
      <w:pPr>
        <w:rPr>
          <w:rFonts w:ascii="宋体" w:hAnsi="宋体" w:cs="宋体"/>
          <w:b/>
        </w:rPr>
      </w:pPr>
    </w:p>
    <w:p>
      <w:pPr>
        <w:spacing w:line="400" w:lineRule="exact"/>
        <w:ind w:firstLine="2693" w:firstLineChars="962"/>
        <w:rPr>
          <w:rFonts w:ascii="宋体" w:hAnsi="宋体" w:cs="宋体"/>
          <w:b/>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snapToGrid w:val="0"/>
        <w:spacing w:beforeLines="50" w:after="50"/>
        <w:ind w:firstLine="2693" w:firstLineChars="962"/>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湖北中天宏建设项目管理有限公司   </w:t>
      </w:r>
    </w:p>
    <w:p>
      <w:pPr>
        <w:pStyle w:val="10"/>
        <w:ind w:left="980" w:hanging="560" w:hangingChars="200"/>
        <w:rPr>
          <w:rFonts w:ascii="宋体" w:hAnsi="宋体" w:cs="宋体"/>
          <w:bCs/>
          <w:sz w:val="28"/>
          <w:szCs w:val="28"/>
        </w:rPr>
      </w:pPr>
      <w:bookmarkStart w:id="160" w:name="_Toc4932_WPSOffice_Level2"/>
      <w:bookmarkStart w:id="161" w:name="_Toc20319_WPSOffice_Level2"/>
      <w:r>
        <w:rPr>
          <w:rFonts w:hint="eastAsia" w:ascii="宋体" w:hAnsi="宋体" w:cs="宋体"/>
          <w:bCs/>
          <w:sz w:val="28"/>
          <w:szCs w:val="28"/>
        </w:rPr>
        <w:t>磋商供应商[公章(CA签章)、自然人除外]：</w:t>
      </w:r>
      <w:r>
        <w:rPr>
          <w:rFonts w:hint="eastAsia" w:ascii="宋体" w:hAnsi="宋体" w:cs="宋体"/>
          <w:bCs/>
          <w:sz w:val="28"/>
          <w:szCs w:val="28"/>
          <w:u w:val="single"/>
        </w:rPr>
        <w:t xml:space="preserve">                       </w:t>
      </w:r>
      <w:bookmarkEnd w:id="160"/>
      <w:bookmarkEnd w:id="161"/>
      <w:r>
        <w:rPr>
          <w:rFonts w:hint="eastAsia" w:ascii="宋体" w:hAnsi="宋体" w:cs="宋体"/>
          <w:bCs/>
          <w:sz w:val="28"/>
          <w:szCs w:val="28"/>
          <w:u w:val="single"/>
        </w:rPr>
        <w:t xml:space="preserve">       </w:t>
      </w:r>
    </w:p>
    <w:p>
      <w:pPr>
        <w:pStyle w:val="13"/>
        <w:spacing w:line="320" w:lineRule="exact"/>
        <w:ind w:firstLine="420"/>
        <w:rPr>
          <w:rFonts w:hAnsi="宋体" w:cs="宋体"/>
          <w:sz w:val="28"/>
          <w:szCs w:val="28"/>
        </w:rPr>
      </w:pPr>
      <w:bookmarkStart w:id="162" w:name="_Toc32056_WPSOffice_Level2"/>
      <w:bookmarkStart w:id="163" w:name="_Toc9622_WPSOffice_Level2"/>
      <w:r>
        <w:rPr>
          <w:rFonts w:hint="eastAsia" w:hAnsi="宋体" w:cs="宋体"/>
          <w:sz w:val="28"/>
          <w:szCs w:val="28"/>
        </w:rPr>
        <w:t>法定代表人、负责人、自然人或相应的委托代理人签字[或盖章(CA签章)]</w:t>
      </w:r>
    </w:p>
    <w:p>
      <w:pPr>
        <w:pStyle w:val="10"/>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162"/>
      <w:bookmarkEnd w:id="163"/>
      <w:r>
        <w:rPr>
          <w:rFonts w:hint="eastAsia" w:ascii="宋体" w:hAnsi="宋体" w:cs="宋体"/>
          <w:bCs/>
          <w:sz w:val="28"/>
          <w:szCs w:val="28"/>
          <w:u w:val="single"/>
        </w:rPr>
        <w:t xml:space="preserve">                                                </w:t>
      </w:r>
    </w:p>
    <w:p>
      <w:pPr>
        <w:pStyle w:val="10"/>
        <w:ind w:left="980" w:hanging="560" w:hangingChars="200"/>
        <w:rPr>
          <w:rFonts w:ascii="宋体" w:hAnsi="宋体" w:cs="宋体"/>
          <w:bCs/>
          <w:sz w:val="28"/>
          <w:szCs w:val="28"/>
        </w:rPr>
      </w:pPr>
      <w:bookmarkStart w:id="164" w:name="_Toc15933_WPSOffice_Level2"/>
      <w:bookmarkStart w:id="165" w:name="_Toc26465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164"/>
      <w:bookmarkEnd w:id="165"/>
    </w:p>
    <w:p>
      <w:pPr>
        <w:pStyle w:val="10"/>
        <w:ind w:left="980" w:hanging="560" w:hangingChars="200"/>
        <w:rPr>
          <w:rFonts w:ascii="宋体" w:hAnsi="宋体" w:cs="宋体"/>
          <w:bCs/>
          <w:sz w:val="28"/>
          <w:szCs w:val="28"/>
        </w:rPr>
      </w:pPr>
    </w:p>
    <w:p>
      <w:pPr>
        <w:pStyle w:val="10"/>
        <w:ind w:left="980" w:hanging="560" w:hangingChars="200"/>
        <w:rPr>
          <w:rFonts w:ascii="宋体" w:hAnsi="宋体" w:cs="宋体"/>
          <w:bCs/>
          <w:sz w:val="28"/>
          <w:szCs w:val="28"/>
        </w:rPr>
      </w:pPr>
    </w:p>
    <w:p>
      <w:pPr>
        <w:numPr>
          <w:ilvl w:val="0"/>
          <w:numId w:val="9"/>
        </w:numPr>
        <w:rPr>
          <w:rFonts w:ascii="宋体" w:hAnsi="宋体" w:cs="宋体"/>
          <w:b/>
          <w:bCs/>
          <w:sz w:val="32"/>
          <w:szCs w:val="32"/>
        </w:rPr>
      </w:pPr>
      <w:bookmarkStart w:id="166" w:name="_Toc19430"/>
      <w:bookmarkStart w:id="167" w:name="_Toc21615"/>
      <w:bookmarkStart w:id="168" w:name="_Toc497927070"/>
      <w:r>
        <w:rPr>
          <w:rFonts w:hint="eastAsia" w:ascii="宋体" w:hAnsi="宋体" w:cs="宋体"/>
          <w:b/>
          <w:bCs/>
          <w:sz w:val="32"/>
          <w:szCs w:val="32"/>
        </w:rPr>
        <w:t>响应文件组成</w:t>
      </w:r>
      <w:bookmarkEnd w:id="166"/>
      <w:bookmarkEnd w:id="167"/>
      <w:bookmarkEnd w:id="168"/>
    </w:p>
    <w:p>
      <w:pPr>
        <w:pStyle w:val="9"/>
        <w:rPr>
          <w:rFonts w:ascii="宋体" w:hAnsi="宋体" w:cs="宋体"/>
        </w:rPr>
      </w:pPr>
    </w:p>
    <w:p>
      <w:pPr>
        <w:pStyle w:val="9"/>
        <w:rPr>
          <w:rFonts w:ascii="宋体" w:hAnsi="宋体" w:cs="宋体"/>
        </w:rPr>
      </w:pPr>
    </w:p>
    <w:p>
      <w:pPr>
        <w:spacing w:line="400" w:lineRule="exact"/>
        <w:rPr>
          <w:rFonts w:ascii="宋体" w:hAnsi="宋体" w:cs="宋体"/>
          <w:b/>
          <w:bCs/>
          <w:sz w:val="28"/>
          <w:szCs w:val="28"/>
        </w:rPr>
      </w:pPr>
    </w:p>
    <w:p>
      <w:pPr>
        <w:pStyle w:val="9"/>
        <w:rPr>
          <w:rFonts w:ascii="宋体" w:hAnsi="宋体" w:cs="宋体"/>
          <w:b/>
          <w:bCs/>
          <w:sz w:val="28"/>
          <w:szCs w:val="28"/>
        </w:rPr>
      </w:pPr>
    </w:p>
    <w:p>
      <w:pPr>
        <w:numPr>
          <w:ilvl w:val="0"/>
          <w:numId w:val="10"/>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0"/>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10"/>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pPr>
        <w:pStyle w:val="2"/>
        <w:rPr>
          <w:rFonts w:ascii="宋体" w:hAnsi="宋体" w:cs="宋体"/>
          <w:color w:val="auto"/>
        </w:rPr>
      </w:pPr>
    </w:p>
    <w:p>
      <w:pPr>
        <w:tabs>
          <w:tab w:val="left" w:pos="5040"/>
        </w:tabs>
        <w:spacing w:line="400" w:lineRule="exact"/>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rPr>
          <w:rFonts w:ascii="宋体" w:hAnsi="宋体" w:cs="宋体"/>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rPr>
          <w:rFonts w:ascii="宋体" w:hAnsi="宋体" w:cs="宋体"/>
        </w:rPr>
      </w:pPr>
      <w:bookmarkStart w:id="169" w:name="_Toc7185"/>
      <w:bookmarkStart w:id="170" w:name="_Toc11067"/>
      <w:bookmarkStart w:id="171" w:name="_Toc497927071"/>
    </w:p>
    <w:p>
      <w:pPr>
        <w:pStyle w:val="6"/>
        <w:jc w:val="center"/>
        <w:rPr>
          <w:rFonts w:ascii="宋体" w:hAnsi="宋体" w:cs="宋体"/>
          <w:sz w:val="32"/>
          <w:szCs w:val="32"/>
        </w:rPr>
      </w:pPr>
      <w:r>
        <w:rPr>
          <w:rFonts w:hint="eastAsia" w:ascii="宋体" w:hAnsi="宋体" w:cs="宋体"/>
          <w:sz w:val="32"/>
          <w:szCs w:val="32"/>
        </w:rPr>
        <w:t>（一）资格性响应证明材料目录</w:t>
      </w:r>
      <w:bookmarkEnd w:id="169"/>
      <w:bookmarkEnd w:id="170"/>
      <w:bookmarkEnd w:id="171"/>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1.供应商相应的法定代表人、负责人、自然人身份证正反两面复印件</w:t>
      </w:r>
      <w:r>
        <w:rPr>
          <w:rFonts w:hint="eastAsia" w:ascii="宋体" w:hAnsi="宋体" w:cs="宋体"/>
          <w:b/>
          <w:bCs/>
          <w:sz w:val="24"/>
        </w:rPr>
        <w:t>（必须提供）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如供应商为截标时间前60日以内成立的公司，可以提供供应商与委托代理人签订的劳动合同复印件代替养老保险证明复印件；</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（2）如供应商为事业单位，可以提供事业单位机构编制管理证复印件或事业单位机构为其发放工资的工资条复印件代替养老保险证明复印件；</w:t>
      </w:r>
    </w:p>
    <w:p>
      <w:pPr>
        <w:spacing w:line="360" w:lineRule="auto"/>
        <w:ind w:firstLine="480" w:firstLineChars="200"/>
        <w:rPr>
          <w:rFonts w:ascii="宋体" w:hAnsi="宋体" w:cs="宋体"/>
          <w:sz w:val="24"/>
        </w:rPr>
      </w:pPr>
      <w:r>
        <w:rPr>
          <w:rFonts w:hint="eastAsia" w:ascii="宋体" w:hAnsi="宋体" w:cs="宋体"/>
          <w:sz w:val="24"/>
        </w:rPr>
        <w:t>（3）如委托代理人为免缴纳社保人员，提供免缴纳社保的证明材料复印件及供应商与委托代理人签订的劳动合同复印件代替养老保险证明复印件。</w:t>
      </w:r>
    </w:p>
    <w:p>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rPr>
        <w:t>】</w:t>
      </w:r>
      <w:r>
        <w:rPr>
          <w:rFonts w:hint="eastAsia" w:ascii="宋体" w:hAnsi="宋体" w:cs="宋体"/>
          <w:b/>
          <w:bCs/>
          <w:sz w:val="24"/>
        </w:rPr>
        <w:t>（委托代理时必须提供）；</w:t>
      </w:r>
    </w:p>
    <w:p>
      <w:pPr>
        <w:spacing w:line="360" w:lineRule="auto"/>
        <w:ind w:firstLine="480" w:firstLineChars="200"/>
        <w:rPr>
          <w:rFonts w:ascii="宋体" w:hAnsi="宋体" w:cs="宋体"/>
          <w:b/>
          <w:bCs/>
          <w:sz w:val="24"/>
        </w:rPr>
      </w:pPr>
      <w:r>
        <w:rPr>
          <w:rFonts w:hint="eastAsia" w:ascii="宋体" w:hAnsi="宋体" w:cs="宋体"/>
          <w:sz w:val="24"/>
        </w:rPr>
        <w:t>3.供应商参加政府采购活动前3年内在经营活动中没有重大违法记录及有关信用信息的书面声明</w:t>
      </w:r>
      <w:r>
        <w:rPr>
          <w:rFonts w:hint="eastAsia" w:ascii="宋体" w:hAnsi="宋体" w:cs="宋体"/>
          <w:b/>
          <w:bCs/>
          <w:sz w:val="24"/>
        </w:rPr>
        <w:t>（必须提供）；</w:t>
      </w:r>
    </w:p>
    <w:p>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4.供应商的法人或者其他组织营业执照等证明文件复印件</w:t>
      </w:r>
      <w:r>
        <w:rPr>
          <w:rFonts w:hint="eastAsia" w:ascii="宋体" w:hAnsi="宋体" w:cs="宋体"/>
          <w:b/>
          <w:bCs/>
          <w:sz w:val="24"/>
        </w:rPr>
        <w:t>（必须提供，自然人除外）；</w:t>
      </w:r>
    </w:p>
    <w:p>
      <w:pPr>
        <w:pStyle w:val="9"/>
        <w:spacing w:line="360" w:lineRule="auto"/>
        <w:ind w:firstLine="480" w:firstLineChars="200"/>
        <w:rPr>
          <w:rFonts w:ascii="宋体" w:hAnsi="宋体" w:cs="宋体"/>
          <w:sz w:val="24"/>
        </w:rPr>
      </w:pPr>
      <w:r>
        <w:rPr>
          <w:rFonts w:hint="eastAsia" w:ascii="宋体" w:hAnsi="宋体" w:cs="宋体"/>
          <w:sz w:val="24"/>
        </w:rPr>
        <w:t>5.《中小企业声明函》（见附件）</w:t>
      </w:r>
      <w:r>
        <w:rPr>
          <w:rFonts w:hint="eastAsia" w:ascii="宋体" w:hAnsi="宋体" w:cs="宋体"/>
          <w:b/>
          <w:bCs/>
          <w:sz w:val="24"/>
        </w:rPr>
        <w:t>（如有，请提供）</w:t>
      </w:r>
      <w:r>
        <w:rPr>
          <w:rFonts w:hint="eastAsia" w:ascii="宋体" w:hAnsi="宋体" w:cs="宋体"/>
          <w:sz w:val="24"/>
        </w:rPr>
        <w:t>；</w:t>
      </w:r>
    </w:p>
    <w:p>
      <w:pPr>
        <w:pStyle w:val="9"/>
        <w:spacing w:line="360" w:lineRule="auto"/>
        <w:ind w:firstLine="480" w:firstLineChars="200"/>
        <w:rPr>
          <w:rFonts w:ascii="宋体" w:hAnsi="宋体" w:cs="宋体"/>
          <w:sz w:val="24"/>
        </w:rPr>
      </w:pPr>
      <w:r>
        <w:rPr>
          <w:rFonts w:hint="eastAsia" w:ascii="宋体" w:hAnsi="宋体" w:cs="宋体"/>
          <w:sz w:val="24"/>
        </w:rPr>
        <w:t>6.如提供服务的供应商属于监狱企业的，应当提供由省级以上监狱管理局、戒毒管理局等（含新疆生产建设兵团）出具的属于监狱企业的证明文件,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rPr>
        <w:t>（如供应商属于监狱企业的，则必须提供）</w:t>
      </w:r>
      <w:r>
        <w:rPr>
          <w:rFonts w:hint="eastAsia" w:ascii="宋体" w:hAnsi="宋体" w:cs="宋体"/>
          <w:sz w:val="24"/>
        </w:rPr>
        <w:t>；</w:t>
      </w:r>
    </w:p>
    <w:p>
      <w:pPr>
        <w:pStyle w:val="9"/>
        <w:spacing w:line="360" w:lineRule="auto"/>
        <w:ind w:left="420" w:leftChars="200"/>
        <w:rPr>
          <w:rFonts w:ascii="宋体" w:hAnsi="宋体" w:cs="宋体"/>
          <w:b/>
          <w:bCs/>
          <w:sz w:val="24"/>
        </w:rPr>
      </w:pPr>
      <w:r>
        <w:rPr>
          <w:rFonts w:hint="eastAsia" w:ascii="宋体" w:hAnsi="宋体" w:cs="宋体"/>
          <w:sz w:val="24"/>
        </w:rPr>
        <w:t>7.符合条件的残疾人福利性单位在参加政府采购活动时，应当提供《残疾人福利性单位声明函》（见附件），并对声明的真实性负责；</w:t>
      </w:r>
      <w:r>
        <w:rPr>
          <w:rFonts w:hint="eastAsia" w:ascii="宋体" w:hAnsi="宋体" w:cs="宋体"/>
          <w:b/>
          <w:bCs/>
          <w:sz w:val="24"/>
        </w:rPr>
        <w:t>（如供应商属于残疾人福利性单位的，则必须提供）。</w:t>
      </w:r>
    </w:p>
    <w:p/>
    <w:p>
      <w:pPr>
        <w:pStyle w:val="2"/>
      </w:pPr>
    </w:p>
    <w:p>
      <w:pPr>
        <w:pStyle w:val="2"/>
      </w:pPr>
    </w:p>
    <w:p>
      <w:pPr>
        <w:pStyle w:val="2"/>
      </w:pPr>
    </w:p>
    <w:p>
      <w:pPr>
        <w:pStyle w:val="2"/>
      </w:pPr>
    </w:p>
    <w:p>
      <w:pPr>
        <w:pStyle w:val="2"/>
        <w:rPr>
          <w:rFonts w:ascii="宋体" w:hAnsi="宋体" w:cs="宋体"/>
          <w:color w:val="auto"/>
        </w:rPr>
      </w:pPr>
    </w:p>
    <w:p>
      <w:pPr>
        <w:spacing w:line="440" w:lineRule="atLeast"/>
        <w:rPr>
          <w:rFonts w:ascii="宋体" w:hAnsi="宋体" w:cs="宋体"/>
          <w:b/>
          <w:sz w:val="28"/>
          <w:szCs w:val="28"/>
        </w:rPr>
      </w:pPr>
      <w:r>
        <w:rPr>
          <w:rFonts w:hint="eastAsia" w:ascii="宋体" w:hAnsi="宋体" w:cs="宋体"/>
          <w:b/>
          <w:sz w:val="28"/>
          <w:szCs w:val="28"/>
        </w:rPr>
        <w:t>1.供应商相应的法定代表人、负责人、自然人身份证正反两面复印件（必须提供）；</w:t>
      </w:r>
    </w:p>
    <w:p>
      <w:pPr>
        <w:spacing w:line="440" w:lineRule="atLeast"/>
        <w:rPr>
          <w:rFonts w:ascii="宋体" w:hAnsi="宋体" w:cs="宋体"/>
          <w:b/>
          <w:sz w:val="28"/>
          <w:szCs w:val="28"/>
        </w:rPr>
      </w:pPr>
    </w:p>
    <w:p>
      <w:pPr>
        <w:spacing w:line="440" w:lineRule="atLeast"/>
        <w:rPr>
          <w:rFonts w:ascii="宋体" w:hAnsi="宋体" w:cs="宋体"/>
          <w:b/>
          <w:sz w:val="28"/>
          <w:szCs w:val="28"/>
        </w:rPr>
      </w:pPr>
      <w:r>
        <w:rPr>
          <w:rFonts w:hint="eastAsia" w:ascii="宋体" w:hAnsi="宋体" w:cs="宋体"/>
          <w:b/>
          <w:sz w:val="28"/>
          <w:szCs w:val="28"/>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如供应商为截标时间前60日以内成立的公司，可以提供供应商与委托代理人签订的劳动合同复印件代替养老保险证明复印件；</w:t>
      </w:r>
    </w:p>
    <w:p>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（2）如供应商为事业单位，可以提供事业单位机构编制管理证复印件或事业单位机构为其发放工资的工资条复印件代替养老保险证明复印件；</w:t>
      </w:r>
    </w:p>
    <w:p>
      <w:pPr>
        <w:spacing w:line="440" w:lineRule="atLeast"/>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（3）如委托代理人为免缴纳社保人员，提供免缴纳社保的证明材料复印件及供应商与委托代理人签订的劳动合同复印件代替养老保险证明复印件。</w:t>
      </w:r>
    </w:p>
    <w:p>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pPr>
        <w:spacing w:line="440" w:lineRule="atLeast"/>
        <w:rPr>
          <w:rFonts w:ascii="宋体" w:hAnsi="宋体" w:cs="宋体"/>
          <w:b/>
          <w:sz w:val="28"/>
          <w:szCs w:val="28"/>
        </w:rPr>
      </w:pPr>
    </w:p>
    <w:p>
      <w:pPr>
        <w:pStyle w:val="13"/>
        <w:rPr>
          <w:rFonts w:hAnsi="宋体" w:cs="宋体"/>
          <w:b/>
          <w:sz w:val="32"/>
        </w:rPr>
      </w:pPr>
    </w:p>
    <w:p>
      <w:pPr>
        <w:rPr>
          <w:rFonts w:ascii="宋体" w:hAnsi="宋体" w:cs="宋体"/>
          <w:b/>
          <w:sz w:val="32"/>
        </w:rPr>
      </w:pPr>
    </w:p>
    <w:p>
      <w:pPr>
        <w:pStyle w:val="9"/>
        <w:rPr>
          <w:rFonts w:ascii="宋体" w:hAnsi="宋体" w:cs="宋体"/>
          <w:b/>
          <w:sz w:val="32"/>
        </w:rPr>
      </w:pPr>
    </w:p>
    <w:p>
      <w:pPr>
        <w:pStyle w:val="9"/>
        <w:rPr>
          <w:rFonts w:ascii="宋体" w:hAnsi="宋体" w:cs="宋体"/>
          <w:b/>
          <w:sz w:val="32"/>
        </w:rPr>
      </w:pPr>
    </w:p>
    <w:p>
      <w:pPr>
        <w:rPr>
          <w:rFonts w:ascii="宋体" w:hAnsi="宋体" w:cs="宋体"/>
        </w:rPr>
      </w:pPr>
    </w:p>
    <w:p>
      <w:pPr>
        <w:pStyle w:val="4"/>
        <w:rPr>
          <w:rFonts w:ascii="宋体" w:hAnsi="宋体" w:cs="宋体"/>
        </w:rPr>
      </w:pPr>
    </w:p>
    <w:p>
      <w:pPr>
        <w:rPr>
          <w:rFonts w:ascii="宋体" w:hAnsi="宋体" w:cs="宋体"/>
        </w:rPr>
      </w:pPr>
    </w:p>
    <w:p>
      <w:pPr>
        <w:pStyle w:val="13"/>
        <w:rPr>
          <w:rFonts w:hAnsi="宋体" w:cs="宋体"/>
          <w:b/>
          <w:sz w:val="32"/>
        </w:rPr>
      </w:pPr>
      <w:r>
        <w:rPr>
          <w:rFonts w:hint="eastAsia" w:hAnsi="宋体" w:cs="宋体"/>
          <w:b/>
          <w:sz w:val="32"/>
        </w:rPr>
        <w:t xml:space="preserve">附件：            </w:t>
      </w:r>
    </w:p>
    <w:p>
      <w:pPr>
        <w:pStyle w:val="13"/>
        <w:ind w:firstLine="627" w:firstLineChars="196"/>
        <w:jc w:val="center"/>
        <w:rPr>
          <w:rFonts w:hAnsi="宋体" w:cs="宋体"/>
          <w:b/>
          <w:sz w:val="32"/>
        </w:rPr>
      </w:pPr>
      <w:bookmarkStart w:id="172" w:name="_Toc964_WPSOffice_Level1"/>
      <w:bookmarkStart w:id="173" w:name="_Toc5420_WPSOffice_Level1"/>
      <w:r>
        <w:rPr>
          <w:rFonts w:hint="eastAsia" w:hAnsi="宋体" w:cs="宋体"/>
          <w:b/>
          <w:sz w:val="32"/>
        </w:rPr>
        <w:t>授权委托书（格式一）</w:t>
      </w:r>
      <w:bookmarkEnd w:id="172"/>
      <w:bookmarkEnd w:id="173"/>
    </w:p>
    <w:p>
      <w:pPr>
        <w:pStyle w:val="13"/>
        <w:rPr>
          <w:rFonts w:hAnsi="宋体" w:cs="宋体"/>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湖北中天宏建设项目管理有限公司 </w:t>
      </w:r>
    </w:p>
    <w:p>
      <w:pPr>
        <w:spacing w:line="400" w:lineRule="exact"/>
        <w:rPr>
          <w:rFonts w:ascii="宋体" w:hAnsi="宋体" w:cs="宋体"/>
          <w:szCs w:val="21"/>
        </w:rPr>
      </w:pPr>
    </w:p>
    <w:p>
      <w:pPr>
        <w:pStyle w:val="13"/>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3"/>
        <w:spacing w:line="400" w:lineRule="exact"/>
        <w:ind w:firstLine="420" w:firstLineChars="200"/>
        <w:rPr>
          <w:rFonts w:hAnsi="宋体" w:cs="宋体"/>
        </w:rPr>
      </w:pPr>
      <w:r>
        <w:rPr>
          <w:rFonts w:hint="eastAsia" w:hAnsi="宋体" w:cs="宋体"/>
        </w:rPr>
        <w:t>我方对被授权人的签字事项负全部责任。</w:t>
      </w:r>
    </w:p>
    <w:p>
      <w:pPr>
        <w:pStyle w:val="13"/>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法定代表人（负责人）签字或盖章（或个人CA签章）：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szCs w:val="21"/>
        </w:rPr>
      </w:pPr>
    </w:p>
    <w:p>
      <w:pPr>
        <w:pStyle w:val="9"/>
        <w:rPr>
          <w:rFonts w:ascii="宋体" w:hAnsi="宋体" w:cs="宋体"/>
        </w:rPr>
      </w:pPr>
    </w:p>
    <w:p>
      <w:pPr>
        <w:pStyle w:val="13"/>
        <w:spacing w:line="340" w:lineRule="exact"/>
        <w:ind w:firstLine="480" w:firstLineChars="200"/>
        <w:rPr>
          <w:rFonts w:hAnsi="宋体" w:cs="宋体"/>
        </w:rPr>
      </w:pPr>
      <w:r>
        <w:rPr>
          <w:rFonts w:hint="eastAsia" w:hAnsi="宋体" w:cs="宋体"/>
          <w:b/>
          <w:color w:val="000000"/>
          <w:sz w:val="24"/>
        </w:rPr>
        <w:t>注：竞标供应商的授权委托书原件、委托代理人身份证正反面复印件以及由县级以上（含县级）社会养老保险经办机构出具的竞标供应商为委托代理人交纳的开标截止时间前三个月内任意一个月养老保险证明复印件（如竞标供应商为截标时间前60日以内成立的公司，可以提供竞标供应商与委托代理人签订的劳动合同复印件代替养老保险证明复印件；如竞标供应商为事业单位，可以提供事业单位机构编制管理证复印件或事业单位机构为其发放工资的工资条复印件代替养老保险证明复印件；如委托代理人为免缴纳社保人员，提供免缴纳社保的证明材料复印件及竞标供应商与委托代理人签订的劳动合同复印件代替养老保险证明复印件）委托代理时必须提供。</w:t>
      </w:r>
    </w:p>
    <w:p>
      <w:pPr>
        <w:pStyle w:val="13"/>
        <w:spacing w:line="340" w:lineRule="exact"/>
        <w:ind w:firstLine="420" w:firstLineChars="200"/>
        <w:rPr>
          <w:rFonts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4"/>
        <w:rPr>
          <w:rFonts w:ascii="宋体" w:hAnsi="宋体" w:cs="宋体"/>
          <w:color w:val="auto"/>
        </w:rPr>
      </w:pPr>
    </w:p>
    <w:p/>
    <w:p>
      <w:pPr>
        <w:pStyle w:val="13"/>
        <w:jc w:val="center"/>
        <w:rPr>
          <w:rFonts w:hAnsi="宋体" w:cs="宋体"/>
          <w:b/>
          <w:sz w:val="32"/>
        </w:rPr>
      </w:pPr>
      <w:bookmarkStart w:id="174" w:name="_Toc6975_WPSOffice_Level1"/>
      <w:bookmarkStart w:id="175" w:name="_Toc21370_WPSOffice_Level1"/>
      <w:r>
        <w:rPr>
          <w:rFonts w:hint="eastAsia" w:hAnsi="宋体" w:cs="宋体"/>
          <w:b/>
          <w:sz w:val="32"/>
        </w:rPr>
        <w:t>授权委托书（格式二）</w:t>
      </w:r>
      <w:bookmarkEnd w:id="174"/>
      <w:bookmarkEnd w:id="175"/>
    </w:p>
    <w:p>
      <w:pPr>
        <w:pStyle w:val="13"/>
        <w:rPr>
          <w:rFonts w:hAnsi="宋体" w:cs="宋体"/>
          <w:b/>
          <w:sz w:val="32"/>
        </w:rPr>
      </w:pPr>
    </w:p>
    <w:p>
      <w:pPr>
        <w:pStyle w:val="13"/>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湖北中天宏建设项目管理有限公司 </w:t>
      </w:r>
    </w:p>
    <w:p>
      <w:pPr>
        <w:rPr>
          <w:rFonts w:ascii="宋体" w:hAnsi="宋体" w:cs="宋体"/>
        </w:rPr>
      </w:pPr>
    </w:p>
    <w:p>
      <w:pPr>
        <w:pStyle w:val="13"/>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3"/>
        <w:spacing w:line="340" w:lineRule="exact"/>
        <w:ind w:firstLine="420" w:firstLineChars="200"/>
        <w:rPr>
          <w:rFonts w:hAnsi="宋体" w:cs="宋体"/>
        </w:rPr>
      </w:pPr>
      <w:r>
        <w:rPr>
          <w:rFonts w:hint="eastAsia" w:hAnsi="宋体" w:cs="宋体"/>
        </w:rPr>
        <w:t>本人对被授权人的签字事项负全部责任。</w:t>
      </w:r>
    </w:p>
    <w:p>
      <w:pPr>
        <w:pStyle w:val="13"/>
        <w:spacing w:line="34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pPr>
        <w:pStyle w:val="13"/>
        <w:spacing w:line="340" w:lineRule="exact"/>
        <w:rPr>
          <w:rFonts w:hAnsi="宋体" w:cs="宋体"/>
          <w:u w:val="single"/>
        </w:rPr>
      </w:pPr>
      <w:r>
        <w:rPr>
          <w:rFonts w:hint="eastAsia" w:hAnsi="宋体" w:cs="宋体"/>
        </w:rPr>
        <w:t xml:space="preserve">                                                                                             </w:t>
      </w: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40" w:lineRule="exact"/>
        <w:ind w:firstLine="420" w:firstLineChars="200"/>
        <w:rPr>
          <w:rFonts w:ascii="宋体" w:hAnsi="宋体" w:cs="宋体"/>
          <w:kern w:val="0"/>
        </w:rPr>
      </w:pPr>
    </w:p>
    <w:p>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pPr>
        <w:spacing w:line="340" w:lineRule="exact"/>
        <w:ind w:firstLine="420" w:firstLineChars="20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3"/>
        <w:spacing w:line="400" w:lineRule="exact"/>
        <w:ind w:left="420" w:leftChars="200"/>
        <w:rPr>
          <w:rFonts w:hAnsi="宋体" w:cs="宋体"/>
          <w:szCs w:val="21"/>
        </w:rPr>
      </w:pPr>
    </w:p>
    <w:p>
      <w:pPr>
        <w:pStyle w:val="13"/>
        <w:spacing w:line="400" w:lineRule="exact"/>
        <w:rPr>
          <w:rFonts w:hAnsi="宋体" w:cs="宋体"/>
          <w:b/>
          <w:szCs w:val="21"/>
        </w:rPr>
      </w:pPr>
      <w:r>
        <w:rPr>
          <w:rFonts w:hint="eastAsia" w:hAnsi="宋体" w:cs="宋体"/>
          <w:b/>
          <w:szCs w:val="21"/>
        </w:rPr>
        <w:t>附：委托代理人身份证正反面复印件</w:t>
      </w:r>
    </w:p>
    <w:p>
      <w:pPr>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pStyle w:val="9"/>
        <w:rPr>
          <w:rFonts w:ascii="宋体" w:hAnsi="宋体" w:cs="宋体"/>
          <w:b/>
          <w:szCs w:val="21"/>
        </w:rPr>
      </w:pPr>
    </w:p>
    <w:p>
      <w:pPr>
        <w:rPr>
          <w:rFonts w:ascii="宋体" w:hAnsi="宋体" w:cs="宋体"/>
          <w:b/>
          <w:szCs w:val="21"/>
        </w:rPr>
      </w:pPr>
    </w:p>
    <w:p>
      <w:pPr>
        <w:rPr>
          <w:rFonts w:ascii="宋体" w:hAnsi="宋体" w:cs="宋体"/>
        </w:rPr>
      </w:pPr>
    </w:p>
    <w:p>
      <w:pPr>
        <w:spacing w:line="440" w:lineRule="atLeast"/>
        <w:rPr>
          <w:rFonts w:ascii="宋体" w:hAnsi="宋体" w:cs="宋体"/>
          <w:b/>
          <w:sz w:val="28"/>
          <w:szCs w:val="28"/>
        </w:rPr>
      </w:pPr>
      <w:r>
        <w:rPr>
          <w:rFonts w:hint="eastAsia" w:ascii="宋体" w:hAnsi="宋体" w:cs="宋体"/>
          <w:b/>
          <w:sz w:val="28"/>
          <w:szCs w:val="28"/>
        </w:rPr>
        <w:t>3.供应商参加政府采购活动前3年内在经营活动中没有重大违法记录及有关信用信息的书面声明（必须提供）；</w:t>
      </w:r>
    </w:p>
    <w:p>
      <w:pPr>
        <w:pStyle w:val="13"/>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pPr>
        <w:pStyle w:val="13"/>
        <w:spacing w:line="400" w:lineRule="exact"/>
        <w:rPr>
          <w:rFonts w:hAnsi="宋体" w:cs="宋体"/>
          <w:b/>
          <w:sz w:val="32"/>
          <w:szCs w:val="32"/>
        </w:rPr>
      </w:pPr>
      <w:r>
        <w:rPr>
          <w:rFonts w:hint="eastAsia" w:hAnsi="宋体" w:cs="宋体"/>
          <w:b/>
          <w:sz w:val="32"/>
          <w:szCs w:val="32"/>
        </w:rPr>
        <w:t>附件：</w:t>
      </w:r>
    </w:p>
    <w:p>
      <w:pPr>
        <w:pStyle w:val="13"/>
        <w:spacing w:line="400" w:lineRule="exact"/>
        <w:jc w:val="center"/>
        <w:rPr>
          <w:rFonts w:hAnsi="宋体" w:cs="宋体"/>
          <w:b/>
          <w:sz w:val="32"/>
          <w:szCs w:val="32"/>
        </w:rPr>
      </w:pPr>
      <w:bookmarkStart w:id="176" w:name="_Toc30304_WPSOffice_Level1"/>
      <w:bookmarkStart w:id="177" w:name="_Toc30890_WPSOffice_Level1"/>
      <w:r>
        <w:rPr>
          <w:rFonts w:hint="eastAsia" w:hAnsi="宋体" w:cs="宋体"/>
          <w:b/>
          <w:sz w:val="32"/>
          <w:szCs w:val="32"/>
        </w:rPr>
        <w:t>声   明</w:t>
      </w:r>
      <w:bookmarkEnd w:id="176"/>
      <w:bookmarkEnd w:id="177"/>
    </w:p>
    <w:p>
      <w:pPr>
        <w:pStyle w:val="13"/>
        <w:spacing w:line="400" w:lineRule="exact"/>
        <w:rPr>
          <w:rFonts w:hAnsi="宋体" w:cs="宋体"/>
          <w:b/>
          <w:sz w:val="32"/>
          <w:szCs w:val="32"/>
        </w:rPr>
      </w:pPr>
    </w:p>
    <w:p>
      <w:pPr>
        <w:pStyle w:val="13"/>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湖北中天宏建设项目管理有限公司 </w:t>
      </w:r>
    </w:p>
    <w:p>
      <w:pPr>
        <w:rPr>
          <w:rFonts w:ascii="宋体" w:hAnsi="宋体" w:cs="宋体"/>
          <w:szCs w:val="21"/>
          <w:u w:val="single"/>
        </w:rPr>
      </w:pPr>
    </w:p>
    <w:p>
      <w:pPr>
        <w:pStyle w:val="9"/>
        <w:rPr>
          <w:rFonts w:ascii="宋体" w:hAnsi="宋体" w:cs="宋体"/>
        </w:rPr>
      </w:pPr>
    </w:p>
    <w:p>
      <w:pPr>
        <w:pStyle w:val="13"/>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ind w:firstLine="3990" w:firstLineChars="1900"/>
        <w:rPr>
          <w:rFonts w:hAnsi="宋体" w:cs="宋体"/>
          <w:u w:val="single"/>
        </w:rPr>
      </w:pPr>
      <w:r>
        <w:rPr>
          <w:rFonts w:hint="eastAsia" w:hAnsi="宋体" w:cs="宋体"/>
        </w:rPr>
        <w:t>日          期：</w:t>
      </w:r>
      <w:r>
        <w:rPr>
          <w:rFonts w:hint="eastAsia" w:hAnsi="宋体" w:cs="宋体"/>
          <w:u w:val="single"/>
        </w:rPr>
        <w:t xml:space="preserve">                            </w:t>
      </w: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4.供应商的法人或者其他组织营业执照等证明文件复印件（必须提供，自然人除外）；</w:t>
      </w:r>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sz w:val="28"/>
          <w:szCs w:val="28"/>
        </w:rPr>
      </w:pPr>
    </w:p>
    <w:p>
      <w:pPr>
        <w:pStyle w:val="9"/>
        <w:rPr>
          <w:rFonts w:ascii="宋体" w:hAnsi="Courier New"/>
          <w:b/>
          <w:kern w:val="0"/>
          <w:sz w:val="28"/>
          <w:szCs w:val="28"/>
        </w:rPr>
      </w:pPr>
    </w:p>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r>
        <w:rPr>
          <w:rFonts w:hint="eastAsia" w:ascii="宋体" w:hAnsi="Courier New"/>
          <w:b/>
          <w:kern w:val="0"/>
          <w:sz w:val="28"/>
          <w:szCs w:val="28"/>
        </w:rPr>
        <w:t>5.《中小企业声明函》（见附件）（如有，请提供）；</w:t>
      </w:r>
    </w:p>
    <w:p>
      <w:pPr>
        <w:pStyle w:val="13"/>
        <w:rPr>
          <w:rFonts w:ascii="Times New Roman" w:hAnsi="Times New Roman"/>
          <w:b/>
          <w:bCs/>
          <w:sz w:val="32"/>
          <w:szCs w:val="32"/>
        </w:rPr>
      </w:pPr>
      <w:r>
        <w:rPr>
          <w:rFonts w:hint="eastAsia" w:ascii="Times New Roman" w:hAnsi="Times New Roman"/>
          <w:b/>
          <w:bCs/>
          <w:sz w:val="32"/>
          <w:szCs w:val="32"/>
        </w:rPr>
        <w:t>附件：</w:t>
      </w:r>
    </w:p>
    <w:p>
      <w:pPr>
        <w:pStyle w:val="13"/>
        <w:spacing w:line="440" w:lineRule="exact"/>
        <w:jc w:val="center"/>
        <w:rPr>
          <w:rFonts w:ascii="Times New Roman" w:hAnsi="Times New Roman"/>
          <w:b/>
          <w:bCs/>
          <w:sz w:val="28"/>
          <w:szCs w:val="28"/>
        </w:rPr>
      </w:pPr>
      <w:r>
        <w:rPr>
          <w:rFonts w:ascii="Times New Roman" w:hAnsi="Times New Roman"/>
          <w:b/>
          <w:bCs/>
          <w:sz w:val="28"/>
          <w:szCs w:val="28"/>
        </w:rPr>
        <w:t>中小企业声明函</w:t>
      </w:r>
    </w:p>
    <w:p>
      <w:pPr>
        <w:pStyle w:val="13"/>
        <w:spacing w:line="440" w:lineRule="exact"/>
        <w:ind w:firstLine="504" w:firstLineChars="200"/>
        <w:rPr>
          <w:rFonts w:hAnsi="宋体" w:cs="宋体"/>
          <w:spacing w:val="6"/>
          <w:sz w:val="24"/>
          <w:szCs w:val="24"/>
        </w:rPr>
      </w:pPr>
      <w:r>
        <w:rPr>
          <w:rFonts w:hint="eastAsia" w:hAnsi="宋体" w:cs="宋体"/>
          <w:spacing w:val="6"/>
          <w:sz w:val="24"/>
          <w:szCs w:val="24"/>
        </w:rPr>
        <w:t>本公司（联合体）郑重声明，根据《政府采购促进中小企业发展管理办法》（财库﹝2020﹞46 号）的规定，本公司（联合体）参加（</w:t>
      </w:r>
      <w:r>
        <w:rPr>
          <w:rFonts w:hint="eastAsia" w:hAnsi="宋体" w:cs="宋体"/>
          <w:spacing w:val="6"/>
          <w:sz w:val="24"/>
          <w:szCs w:val="24"/>
          <w:u w:val="single"/>
        </w:rPr>
        <w:t>单位名称</w:t>
      </w:r>
      <w:r>
        <w:rPr>
          <w:rFonts w:hint="eastAsia" w:hAnsi="宋体" w:cs="宋体"/>
          <w:spacing w:val="6"/>
          <w:sz w:val="24"/>
          <w:szCs w:val="24"/>
        </w:rPr>
        <w:t>）的（</w:t>
      </w:r>
      <w:r>
        <w:rPr>
          <w:rFonts w:hint="eastAsia" w:hAnsi="宋体" w:cs="宋体"/>
          <w:spacing w:val="6"/>
          <w:sz w:val="24"/>
          <w:szCs w:val="24"/>
          <w:u w:val="single"/>
        </w:rPr>
        <w:t>项目名称</w:t>
      </w:r>
      <w:r>
        <w:rPr>
          <w:rFonts w:hint="eastAsia" w:hAnsi="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440" w:lineRule="exact"/>
        <w:ind w:firstLine="504" w:firstLineChars="200"/>
      </w:pPr>
      <w:r>
        <w:rPr>
          <w:rFonts w:hint="eastAsia" w:hAnsi="宋体" w:cs="宋体"/>
          <w:spacing w:val="6"/>
          <w:sz w:val="24"/>
          <w:szCs w:val="24"/>
        </w:rPr>
        <w:t>1.</w:t>
      </w:r>
      <w:r>
        <w:rPr>
          <w:rFonts w:hint="eastAsia" w:hAnsi="宋体" w:cs="宋体"/>
          <w:spacing w:val="6"/>
          <w:sz w:val="24"/>
          <w:szCs w:val="24"/>
          <w:u w:val="single"/>
        </w:rPr>
        <w:t xml:space="preserve">（标的名称） </w:t>
      </w:r>
      <w:r>
        <w:rPr>
          <w:rFonts w:hint="eastAsia" w:hAnsi="宋体" w:cs="宋体"/>
          <w:spacing w:val="6"/>
          <w:sz w:val="24"/>
          <w:szCs w:val="24"/>
        </w:rPr>
        <w:t>，属于</w:t>
      </w:r>
      <w:r>
        <w:rPr>
          <w:rFonts w:hint="eastAsia" w:hAnsi="宋体" w:cs="宋体"/>
          <w:spacing w:val="6"/>
          <w:sz w:val="24"/>
          <w:szCs w:val="24"/>
          <w:u w:val="single"/>
        </w:rPr>
        <w:t>（采购文件中明确的所属行业）</w:t>
      </w:r>
      <w:r>
        <w:rPr>
          <w:rFonts w:hint="eastAsia" w:hAnsi="宋体" w:cs="宋体"/>
          <w:spacing w:val="6"/>
          <w:sz w:val="24"/>
          <w:szCs w:val="24"/>
        </w:rPr>
        <w:t>； 承建（承接）企业为（</w:t>
      </w:r>
      <w:r>
        <w:rPr>
          <w:rFonts w:hint="eastAsia" w:hAnsi="宋体" w:cs="宋体"/>
          <w:spacing w:val="6"/>
          <w:sz w:val="24"/>
          <w:szCs w:val="24"/>
          <w:u w:val="single"/>
        </w:rPr>
        <w:t>企业名称</w:t>
      </w:r>
      <w:r>
        <w:rPr>
          <w:rFonts w:hint="eastAsia" w:hAnsi="宋体" w:cs="宋体"/>
          <w:spacing w:val="6"/>
          <w:sz w:val="24"/>
          <w:szCs w:val="24"/>
        </w:rPr>
        <w:t>），从业人员</w:t>
      </w:r>
      <w:r>
        <w:rPr>
          <w:rFonts w:hint="eastAsia" w:hAnsi="宋体" w:cs="宋体"/>
          <w:spacing w:val="6"/>
          <w:sz w:val="24"/>
          <w:szCs w:val="24"/>
          <w:u w:val="single"/>
        </w:rPr>
        <w:t xml:space="preserve">   </w:t>
      </w:r>
      <w:r>
        <w:rPr>
          <w:rFonts w:hint="eastAsia" w:hAnsi="宋体" w:cs="宋体"/>
          <w:spacing w:val="6"/>
          <w:sz w:val="24"/>
          <w:szCs w:val="24"/>
        </w:rPr>
        <w:t>人，营业 收入为</w:t>
      </w:r>
      <w:r>
        <w:rPr>
          <w:rFonts w:hint="eastAsia" w:hAnsi="宋体" w:cs="宋体"/>
          <w:spacing w:val="6"/>
          <w:sz w:val="24"/>
          <w:szCs w:val="24"/>
          <w:u w:val="single"/>
        </w:rPr>
        <w:t xml:space="preserve">  </w:t>
      </w:r>
      <w:r>
        <w:rPr>
          <w:rFonts w:hint="eastAsia" w:hAnsi="宋体" w:cs="宋体"/>
          <w:spacing w:val="6"/>
          <w:sz w:val="24"/>
          <w:szCs w:val="24"/>
        </w:rPr>
        <w:t>万元，资产总额为 万元，属于（</w:t>
      </w:r>
      <w:r>
        <w:rPr>
          <w:rFonts w:hint="eastAsia" w:hAnsi="宋体" w:cs="宋体"/>
          <w:spacing w:val="6"/>
          <w:sz w:val="24"/>
          <w:szCs w:val="24"/>
          <w:u w:val="single"/>
        </w:rPr>
        <w:t>中型企业、 小型企业、微型企业</w:t>
      </w:r>
      <w:r>
        <w:rPr>
          <w:rFonts w:hint="eastAsia" w:hAnsi="宋体" w:cs="宋体"/>
          <w:spacing w:val="6"/>
          <w:sz w:val="24"/>
          <w:szCs w:val="24"/>
        </w:rPr>
        <w:t>）</w:t>
      </w:r>
    </w:p>
    <w:p>
      <w:pPr>
        <w:widowControl/>
        <w:ind w:firstLine="504" w:firstLineChars="200"/>
        <w:jc w:val="left"/>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 小型企业、微型企业</w:t>
      </w:r>
      <w:r>
        <w:rPr>
          <w:rFonts w:hint="eastAsia" w:ascii="宋体" w:hAnsi="宋体" w:cs="宋体"/>
          <w:spacing w:val="6"/>
          <w:sz w:val="24"/>
        </w:rPr>
        <w:t>）；</w:t>
      </w:r>
    </w:p>
    <w:p>
      <w:pPr>
        <w:pStyle w:val="7"/>
        <w:ind w:left="0"/>
      </w:pPr>
      <w:r>
        <w:rPr>
          <w:rFonts w:hint="eastAsia"/>
        </w:rPr>
        <w:t>……</w:t>
      </w:r>
    </w:p>
    <w:p>
      <w:pPr>
        <w:widowControl/>
        <w:jc w:val="left"/>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widowControl/>
        <w:jc w:val="left"/>
        <w:rPr>
          <w:rFonts w:ascii="宋体" w:hAnsi="宋体" w:cs="宋体"/>
          <w:spacing w:val="6"/>
          <w:sz w:val="24"/>
        </w:rPr>
      </w:pPr>
      <w:r>
        <w:rPr>
          <w:rFonts w:hint="eastAsia" w:ascii="宋体" w:hAnsi="宋体" w:cs="宋体"/>
          <w:spacing w:val="6"/>
          <w:sz w:val="24"/>
        </w:rPr>
        <w:t xml:space="preserve">本企业对上述声明内容的真实性负责。如有虚假，将依法承担相应责任。 </w:t>
      </w:r>
    </w:p>
    <w:p>
      <w:pPr>
        <w:widowControl/>
        <w:ind w:firstLine="5796" w:firstLineChars="2300"/>
        <w:jc w:val="left"/>
        <w:rPr>
          <w:rFonts w:ascii="宋体" w:hAnsi="宋体" w:cs="宋体"/>
          <w:spacing w:val="6"/>
          <w:sz w:val="24"/>
        </w:rPr>
      </w:pPr>
      <w:r>
        <w:rPr>
          <w:rFonts w:hint="eastAsia" w:ascii="宋体" w:hAnsi="宋体" w:cs="宋体"/>
          <w:spacing w:val="6"/>
          <w:sz w:val="24"/>
        </w:rPr>
        <w:t xml:space="preserve">企业名称（盖章）： </w:t>
      </w:r>
    </w:p>
    <w:p>
      <w:pPr>
        <w:widowControl/>
        <w:ind w:firstLine="5796" w:firstLineChars="2300"/>
        <w:jc w:val="left"/>
        <w:rPr>
          <w:rFonts w:ascii="宋体" w:hAnsi="宋体" w:cs="宋体"/>
          <w:spacing w:val="6"/>
          <w:sz w:val="24"/>
        </w:rPr>
      </w:pPr>
      <w:r>
        <w:rPr>
          <w:rFonts w:hint="eastAsia" w:ascii="宋体" w:hAnsi="宋体" w:cs="宋体"/>
          <w:spacing w:val="6"/>
          <w:sz w:val="24"/>
        </w:rPr>
        <w:t>日 期：</w:t>
      </w:r>
    </w:p>
    <w:p>
      <w:pPr>
        <w:pStyle w:val="7"/>
        <w:ind w:left="0"/>
      </w:pPr>
    </w:p>
    <w:p>
      <w:pPr>
        <w:widowControl/>
        <w:jc w:val="left"/>
      </w:pPr>
    </w:p>
    <w:p>
      <w:pPr>
        <w:widowControl/>
        <w:jc w:val="left"/>
        <w:rPr>
          <w:rFonts w:ascii="宋体" w:hAnsi="Courier New"/>
          <w:b/>
          <w:kern w:val="0"/>
          <w:sz w:val="28"/>
          <w:szCs w:val="28"/>
        </w:rPr>
      </w:pPr>
      <w:r>
        <w:rPr>
          <w:rFonts w:hint="eastAsia" w:ascii="宋体" w:hAnsi="宋体" w:cs="宋体"/>
          <w:color w:val="000000"/>
          <w:kern w:val="0"/>
          <w:sz w:val="18"/>
          <w:szCs w:val="18"/>
        </w:rPr>
        <w:t>注：从业人员、营业收入、资产总额填报上一年度数据，无上一年度数据的新成立企业可不填报。</w:t>
      </w: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r>
        <w:rPr>
          <w:rFonts w:hint="eastAsia" w:ascii="宋体" w:hAnsi="Courier New"/>
          <w:b/>
          <w:kern w:val="0"/>
          <w:sz w:val="28"/>
          <w:szCs w:val="28"/>
        </w:rPr>
        <w:t>6.如提供服务的供应商属于监狱企业的，应当提供由省级以上监狱管理局、戒毒管理局等（含新疆生产建设兵团）出具的属于监狱企业的证明文件, 否则不予享受优惠政策（如供应商属于监狱企业的，则必须提供）；</w:t>
      </w:r>
    </w:p>
    <w:p>
      <w:pPr>
        <w:spacing w:line="588" w:lineRule="exact"/>
        <w:jc w:val="center"/>
        <w:rPr>
          <w:rFonts w:ascii="宋体" w:hAnsi="宋体" w:cs="宋体"/>
          <w:b/>
          <w:spacing w:val="6"/>
          <w:sz w:val="28"/>
          <w:szCs w:val="28"/>
        </w:rPr>
      </w:pPr>
    </w:p>
    <w:p>
      <w:pPr>
        <w:spacing w:line="588" w:lineRule="exact"/>
        <w:jc w:val="center"/>
        <w:rPr>
          <w:rFonts w:ascii="宋体" w:cs="宋体"/>
          <w:b/>
          <w:spacing w:val="6"/>
          <w:sz w:val="28"/>
          <w:szCs w:val="28"/>
        </w:rPr>
      </w:pPr>
      <w:r>
        <w:rPr>
          <w:rFonts w:hint="eastAsia" w:ascii="宋体" w:hAnsi="宋体" w:cs="宋体"/>
          <w:b/>
          <w:spacing w:val="6"/>
          <w:sz w:val="28"/>
          <w:szCs w:val="28"/>
        </w:rPr>
        <w:t>残疾人福利性单位声明函</w:t>
      </w:r>
    </w:p>
    <w:p>
      <w:pPr>
        <w:spacing w:line="588" w:lineRule="exact"/>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pPr>
        <w:rPr>
          <w:rFonts w:ascii="宋体" w:cs="宋体"/>
        </w:rPr>
      </w:pPr>
    </w:p>
    <w:p>
      <w:pPr>
        <w:tabs>
          <w:tab w:val="left" w:pos="4860"/>
        </w:tabs>
        <w:spacing w:line="588" w:lineRule="exact"/>
        <w:ind w:right="1560" w:firstLine="584" w:firstLineChars="200"/>
        <w:jc w:val="center"/>
        <w:rPr>
          <w:rFonts w:ascii="宋体" w:cs="宋体"/>
          <w:spacing w:val="6"/>
          <w:sz w:val="24"/>
        </w:rPr>
      </w:pPr>
      <w:r>
        <w:rPr>
          <w:rFonts w:ascii="宋体" w:hAnsi="宋体" w:cs="宋体"/>
          <w:spacing w:val="6"/>
          <w:sz w:val="28"/>
          <w:szCs w:val="28"/>
        </w:rPr>
        <w:t xml:space="preserve">          </w:t>
      </w:r>
      <w:r>
        <w:rPr>
          <w:rFonts w:ascii="宋体" w:hAnsi="宋体" w:cs="宋体"/>
          <w:spacing w:val="6"/>
          <w:sz w:val="24"/>
        </w:rPr>
        <w:t xml:space="preserve">  </w:t>
      </w:r>
      <w:r>
        <w:rPr>
          <w:rFonts w:hint="eastAsia" w:ascii="宋体" w:hAnsi="宋体" w:cs="宋体"/>
          <w:spacing w:val="6"/>
          <w:sz w:val="24"/>
        </w:rPr>
        <w:t>单位名称（公章(CA签章)）：</w:t>
      </w:r>
      <w:r>
        <w:rPr>
          <w:rFonts w:ascii="宋体" w:hAnsi="宋体" w:cs="宋体"/>
          <w:spacing w:val="6"/>
          <w:sz w:val="24"/>
        </w:rPr>
        <w:t xml:space="preserve"> </w:t>
      </w:r>
    </w:p>
    <w:p>
      <w:pPr>
        <w:pStyle w:val="13"/>
        <w:ind w:firstLine="4032" w:firstLineChars="1600"/>
        <w:rPr>
          <w:rFonts w:hAnsi="宋体" w:cs="宋体"/>
          <w:spacing w:val="6"/>
          <w:sz w:val="24"/>
          <w:szCs w:val="24"/>
        </w:rPr>
      </w:pPr>
      <w:r>
        <w:rPr>
          <w:rFonts w:hint="eastAsia" w:hAnsi="宋体" w:cs="宋体"/>
          <w:spacing w:val="6"/>
          <w:sz w:val="24"/>
          <w:szCs w:val="24"/>
        </w:rPr>
        <w:t>日</w:t>
      </w:r>
      <w:r>
        <w:rPr>
          <w:rFonts w:hAnsi="宋体" w:cs="宋体"/>
          <w:spacing w:val="6"/>
          <w:sz w:val="24"/>
          <w:szCs w:val="24"/>
        </w:rPr>
        <w:t xml:space="preserve">    </w:t>
      </w:r>
      <w:r>
        <w:rPr>
          <w:rFonts w:hint="eastAsia" w:hAnsi="宋体" w:cs="宋体"/>
          <w:spacing w:val="6"/>
          <w:sz w:val="24"/>
          <w:szCs w:val="24"/>
        </w:rPr>
        <w:t>期：</w:t>
      </w:r>
      <w:r>
        <w:rPr>
          <w:rFonts w:hAnsi="宋体" w:cs="宋体"/>
          <w:spacing w:val="6"/>
          <w:sz w:val="24"/>
          <w:szCs w:val="24"/>
        </w:rPr>
        <w:t xml:space="preserve">  </w:t>
      </w:r>
      <w:r>
        <w:rPr>
          <w:rFonts w:hint="eastAsia" w:hAnsi="宋体" w:cs="宋体"/>
          <w:spacing w:val="6"/>
          <w:sz w:val="24"/>
          <w:szCs w:val="24"/>
        </w:rPr>
        <w:t>年</w:t>
      </w:r>
      <w:r>
        <w:rPr>
          <w:rFonts w:hAnsi="宋体" w:cs="宋体"/>
          <w:spacing w:val="6"/>
          <w:sz w:val="24"/>
          <w:szCs w:val="24"/>
        </w:rPr>
        <w:t xml:space="preserve">  </w:t>
      </w:r>
      <w:r>
        <w:rPr>
          <w:rFonts w:hint="eastAsia" w:hAnsi="宋体" w:cs="宋体"/>
          <w:spacing w:val="6"/>
          <w:sz w:val="24"/>
          <w:szCs w:val="24"/>
        </w:rPr>
        <w:t>月</w:t>
      </w:r>
      <w:r>
        <w:rPr>
          <w:rFonts w:hAnsi="宋体" w:cs="宋体"/>
          <w:spacing w:val="6"/>
          <w:sz w:val="24"/>
          <w:szCs w:val="24"/>
        </w:rPr>
        <w:t xml:space="preserve">  </w:t>
      </w:r>
      <w:r>
        <w:rPr>
          <w:rFonts w:hint="eastAsia" w:hAnsi="宋体" w:cs="宋体"/>
          <w:spacing w:val="6"/>
          <w:sz w:val="24"/>
          <w:szCs w:val="24"/>
        </w:rPr>
        <w:t>日</w:t>
      </w:r>
    </w:p>
    <w:p>
      <w:pPr>
        <w:rPr>
          <w:rFonts w:hAnsi="宋体" w:cs="宋体"/>
          <w:spacing w:val="6"/>
          <w:sz w:val="24"/>
        </w:rPr>
      </w:pPr>
    </w:p>
    <w:p>
      <w:pPr>
        <w:pStyle w:val="9"/>
      </w:pPr>
    </w:p>
    <w:p>
      <w:pPr>
        <w:pStyle w:val="9"/>
        <w:tabs>
          <w:tab w:val="left" w:pos="2299"/>
        </w:tabs>
      </w:pPr>
      <w:r>
        <w:rPr>
          <w:rFonts w:hint="eastAsia"/>
        </w:rPr>
        <w:tab/>
      </w:r>
    </w:p>
    <w:p>
      <w:pPr>
        <w:pStyle w:val="9"/>
      </w:pPr>
    </w:p>
    <w:p>
      <w:pPr>
        <w:tabs>
          <w:tab w:val="left" w:pos="1305"/>
        </w:tabs>
        <w:rPr>
          <w:rFonts w:ascii="宋体" w:hAnsi="宋体" w:cs="宋体"/>
          <w:sz w:val="24"/>
        </w:rPr>
      </w:pPr>
      <w:r>
        <w:rPr>
          <w:rFonts w:hint="eastAsia" w:ascii="宋体" w:hAnsi="宋体" w:cs="宋体"/>
          <w:b/>
          <w:bCs/>
          <w:sz w:val="24"/>
        </w:rPr>
        <w:t>注：</w:t>
      </w:r>
      <w:r>
        <w:rPr>
          <w:rFonts w:hint="eastAsia" w:ascii="宋体" w:hAnsi="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rPr>
        <w:t>。</w:t>
      </w:r>
    </w:p>
    <w:p>
      <w:pPr>
        <w:pStyle w:val="9"/>
        <w:rPr>
          <w:rFonts w:ascii="宋体" w:hAnsi="Courier New"/>
          <w:b/>
          <w:kern w:val="0"/>
          <w:sz w:val="28"/>
          <w:szCs w:val="28"/>
        </w:rPr>
      </w:pPr>
    </w:p>
    <w:p>
      <w:pPr>
        <w:pStyle w:val="9"/>
        <w:rPr>
          <w:rFonts w:ascii="宋体" w:hAnsi="Courier New"/>
          <w:b/>
          <w:kern w:val="0"/>
          <w:sz w:val="28"/>
          <w:szCs w:val="28"/>
        </w:rPr>
      </w:pPr>
    </w:p>
    <w:p>
      <w:pPr>
        <w:pStyle w:val="9"/>
        <w:rPr>
          <w:rFonts w:ascii="宋体" w:hAnsi="Courier New"/>
          <w:b/>
          <w:kern w:val="0"/>
          <w:sz w:val="28"/>
          <w:szCs w:val="28"/>
        </w:rPr>
      </w:pPr>
      <w:r>
        <w:rPr>
          <w:rFonts w:hint="eastAsia" w:ascii="宋体" w:hAnsi="Courier New"/>
          <w:b/>
          <w:kern w:val="0"/>
          <w:sz w:val="28"/>
          <w:szCs w:val="28"/>
        </w:rPr>
        <w:t>7.符合条件的残疾人福利性单位在参加政府采购活动时，应当提供《残疾人福利性单位声明函》（见附件），并对声明的真实性负责；（如供应商属于残疾人福利性单位的，则必须提供）；</w:t>
      </w:r>
    </w:p>
    <w:p/>
    <w:p>
      <w:pPr>
        <w:pStyle w:val="2"/>
      </w:pPr>
    </w:p>
    <w:p>
      <w:pPr>
        <w:pStyle w:val="2"/>
        <w:rPr>
          <w:rFonts w:ascii="宋体" w:hAnsi="宋体" w:cs="宋体"/>
        </w:rPr>
      </w:pPr>
    </w:p>
    <w:p>
      <w:pPr>
        <w:widowControl/>
        <w:jc w:val="left"/>
        <w:rPr>
          <w:rFonts w:ascii="宋体" w:hAnsi="宋体" w:cs="宋体"/>
          <w:b/>
          <w:bCs/>
          <w:sz w:val="32"/>
          <w:szCs w:val="32"/>
        </w:rPr>
      </w:pPr>
      <w:r>
        <w:rPr>
          <w:rFonts w:ascii="宋体" w:hAnsi="宋体" w:cs="宋体"/>
          <w:b/>
          <w:bCs/>
          <w:sz w:val="32"/>
          <w:szCs w:val="32"/>
        </w:rPr>
        <w:br w:type="page"/>
      </w:r>
    </w:p>
    <w:p>
      <w:pPr>
        <w:ind w:left="420"/>
        <w:jc w:val="center"/>
        <w:rPr>
          <w:rFonts w:ascii="宋体" w:hAnsi="宋体" w:cs="宋体"/>
          <w:b/>
          <w:bCs/>
          <w:sz w:val="32"/>
          <w:szCs w:val="32"/>
        </w:rPr>
      </w:pPr>
      <w:r>
        <w:rPr>
          <w:rFonts w:hint="eastAsia" w:ascii="宋体" w:hAnsi="宋体" w:cs="宋体"/>
          <w:b/>
          <w:bCs/>
          <w:sz w:val="32"/>
          <w:szCs w:val="32"/>
        </w:rPr>
        <w:t>（二）符合性响应证明材料目录</w:t>
      </w:r>
    </w:p>
    <w:p>
      <w:pPr>
        <w:numPr>
          <w:ilvl w:val="0"/>
          <w:numId w:val="11"/>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pPr>
        <w:spacing w:line="360" w:lineRule="auto"/>
        <w:rPr>
          <w:rFonts w:ascii="宋体" w:hAnsi="宋体" w:cs="宋体"/>
          <w:sz w:val="24"/>
        </w:rPr>
      </w:pPr>
    </w:p>
    <w:p>
      <w:pPr>
        <w:numPr>
          <w:ilvl w:val="0"/>
          <w:numId w:val="11"/>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pPr>
        <w:pStyle w:val="9"/>
        <w:rPr>
          <w:rFonts w:ascii="宋体" w:hAnsi="宋体" w:cs="宋体"/>
        </w:rPr>
      </w:pPr>
    </w:p>
    <w:p>
      <w:pPr>
        <w:numPr>
          <w:ilvl w:val="0"/>
          <w:numId w:val="11"/>
        </w:numPr>
        <w:spacing w:line="360" w:lineRule="auto"/>
        <w:ind w:firstLine="480"/>
        <w:rPr>
          <w:rFonts w:ascii="宋体" w:hAnsi="宋体" w:cs="宋体"/>
          <w:sz w:val="24"/>
        </w:rPr>
      </w:pPr>
      <w:r>
        <w:rPr>
          <w:rFonts w:hint="eastAsia" w:ascii="宋体" w:hAnsi="宋体" w:cs="宋体"/>
          <w:color w:val="000000"/>
          <w:szCs w:val="21"/>
        </w:rPr>
        <w:t>服务（技术）响应、商务偏离情况说明表</w:t>
      </w:r>
      <w:r>
        <w:rPr>
          <w:rFonts w:hint="eastAsia" w:ascii="宋体" w:hAnsi="宋体" w:cs="宋体"/>
          <w:b/>
          <w:bCs/>
          <w:sz w:val="24"/>
        </w:rPr>
        <w:t>（格式见附件）（必须提供）；</w:t>
      </w:r>
    </w:p>
    <w:p>
      <w:pPr>
        <w:pStyle w:val="9"/>
        <w:rPr>
          <w:rFonts w:ascii="宋体" w:hAnsi="宋体" w:cs="宋体"/>
        </w:rPr>
      </w:pPr>
    </w:p>
    <w:p>
      <w:pPr>
        <w:numPr>
          <w:ilvl w:val="0"/>
          <w:numId w:val="11"/>
        </w:numPr>
        <w:spacing w:line="360" w:lineRule="auto"/>
        <w:ind w:firstLine="480"/>
        <w:rPr>
          <w:rFonts w:ascii="宋体" w:hAnsi="宋体" w:cs="宋体"/>
          <w:b/>
          <w:bCs/>
          <w:sz w:val="24"/>
        </w:rPr>
      </w:pPr>
      <w:r>
        <w:rPr>
          <w:rFonts w:hint="eastAsia" w:ascii="宋体" w:hAnsi="宋体" w:cs="宋体"/>
          <w:sz w:val="24"/>
        </w:rPr>
        <w:t>售后服务、应急方案（由供应商根据本项目采购需求、特点及供应商自身的处理能力自行编写，承诺书内容至少应包括“采购需求”的所有服务条款）</w:t>
      </w:r>
      <w:r>
        <w:rPr>
          <w:rFonts w:hint="eastAsia" w:ascii="宋体" w:hAnsi="宋体" w:cs="宋体"/>
          <w:b/>
          <w:bCs/>
          <w:sz w:val="24"/>
        </w:rPr>
        <w:t>（格式见附件）（必须提供）；</w:t>
      </w:r>
    </w:p>
    <w:p>
      <w:pPr>
        <w:pStyle w:val="2"/>
      </w:pPr>
    </w:p>
    <w:p>
      <w:pPr>
        <w:numPr>
          <w:ilvl w:val="0"/>
          <w:numId w:val="11"/>
        </w:numPr>
        <w:spacing w:line="360" w:lineRule="auto"/>
        <w:ind w:firstLine="480"/>
        <w:rPr>
          <w:rFonts w:ascii="宋体" w:hAnsi="宋体" w:cs="宋体"/>
          <w:sz w:val="24"/>
        </w:rPr>
      </w:pPr>
      <w:r>
        <w:rPr>
          <w:rFonts w:hint="eastAsia" w:ascii="宋体" w:hAnsi="宋体" w:cs="宋体"/>
          <w:sz w:val="24"/>
        </w:rPr>
        <w:t>针对本项目的技术、项目实施方案</w:t>
      </w:r>
      <w:r>
        <w:rPr>
          <w:rFonts w:hint="eastAsia" w:ascii="宋体" w:hAnsi="宋体" w:cs="宋体"/>
          <w:b/>
          <w:bCs/>
          <w:sz w:val="24"/>
        </w:rPr>
        <w:t>（格式见附件）（必须提供）。</w:t>
      </w:r>
    </w:p>
    <w:p>
      <w:pPr>
        <w:pStyle w:val="2"/>
        <w:rPr>
          <w:rFonts w:ascii="宋体" w:hAnsi="宋体" w:cs="宋体"/>
          <w:color w:val="auto"/>
        </w:rPr>
      </w:pPr>
    </w:p>
    <w:p>
      <w:pPr>
        <w:pStyle w:val="9"/>
        <w:rPr>
          <w:rFonts w:ascii="宋体" w:hAnsi="宋体" w:cs="宋体"/>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pStyle w:val="9"/>
      </w:pPr>
    </w:p>
    <w:p>
      <w:pPr>
        <w:spacing w:line="400" w:lineRule="exact"/>
        <w:rPr>
          <w:rFonts w:ascii="宋体" w:hAnsi="宋体" w:cs="宋体"/>
          <w:b/>
          <w:bCs/>
          <w:sz w:val="28"/>
          <w:szCs w:val="28"/>
        </w:rPr>
      </w:pPr>
      <w:bookmarkStart w:id="178" w:name="_Toc497927072"/>
      <w:bookmarkStart w:id="179" w:name="_Toc17617"/>
      <w:bookmarkStart w:id="180" w:name="_Toc12920"/>
      <w:r>
        <w:rPr>
          <w:rFonts w:hint="eastAsia" w:ascii="宋体" w:hAnsi="宋体" w:cs="宋体"/>
          <w:b/>
          <w:bCs/>
          <w:sz w:val="28"/>
          <w:szCs w:val="28"/>
        </w:rPr>
        <w:t>1.响应函（格式见附件）（必须提供）</w:t>
      </w:r>
      <w:bookmarkEnd w:id="178"/>
      <w:bookmarkEnd w:id="179"/>
      <w:bookmarkEnd w:id="180"/>
    </w:p>
    <w:p>
      <w:pPr>
        <w:pStyle w:val="2"/>
        <w:rPr>
          <w:rFonts w:ascii="宋体" w:hAnsi="宋体" w:cs="宋体"/>
        </w:rPr>
      </w:pPr>
    </w:p>
    <w:p>
      <w:pPr>
        <w:pStyle w:val="13"/>
        <w:rPr>
          <w:rFonts w:hAnsi="宋体" w:cs="宋体"/>
          <w:b/>
          <w:sz w:val="32"/>
        </w:rPr>
      </w:pPr>
      <w:r>
        <w:rPr>
          <w:rFonts w:hint="eastAsia" w:hAnsi="宋体" w:cs="宋体"/>
          <w:b/>
          <w:sz w:val="32"/>
        </w:rPr>
        <w:t>附件：</w:t>
      </w:r>
    </w:p>
    <w:p>
      <w:pPr>
        <w:pStyle w:val="13"/>
        <w:ind w:firstLine="800" w:firstLineChars="250"/>
        <w:jc w:val="center"/>
        <w:rPr>
          <w:rFonts w:hAnsi="宋体" w:cs="宋体"/>
          <w:b/>
          <w:sz w:val="32"/>
        </w:rPr>
      </w:pPr>
      <w:bookmarkStart w:id="181" w:name="_Toc17832_WPSOffice_Level1"/>
      <w:bookmarkStart w:id="182" w:name="_Toc7273_WPSOffice_Level1"/>
      <w:r>
        <w:rPr>
          <w:rFonts w:hint="eastAsia" w:hAnsi="宋体" w:cs="宋体"/>
          <w:b/>
          <w:sz w:val="32"/>
        </w:rPr>
        <w:t>响 应 函 （格 式）</w:t>
      </w:r>
      <w:bookmarkEnd w:id="181"/>
      <w:bookmarkEnd w:id="182"/>
    </w:p>
    <w:p>
      <w:pPr>
        <w:spacing w:line="240" w:lineRule="exact"/>
        <w:jc w:val="center"/>
        <w:rPr>
          <w:rFonts w:ascii="宋体" w:hAnsi="宋体" w:cs="宋体"/>
          <w:sz w:val="32"/>
        </w:rPr>
      </w:pPr>
    </w:p>
    <w:p>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：湖北中天宏建设项目管理有限公司</w:t>
      </w:r>
    </w:p>
    <w:p>
      <w:pPr>
        <w:spacing w:line="400" w:lineRule="exact"/>
        <w:rPr>
          <w:rFonts w:ascii="宋体" w:hAnsi="宋体" w:cs="宋体"/>
          <w:szCs w:val="21"/>
        </w:rPr>
      </w:pPr>
    </w:p>
    <w:p>
      <w:pPr>
        <w:pStyle w:val="13"/>
        <w:spacing w:line="36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pPr>
        <w:pStyle w:val="13"/>
        <w:spacing w:line="360" w:lineRule="exact"/>
        <w:ind w:firstLine="420"/>
        <w:rPr>
          <w:rFonts w:hAnsi="宋体" w:cs="宋体"/>
        </w:rPr>
      </w:pPr>
      <w:r>
        <w:rPr>
          <w:rFonts w:hint="eastAsia" w:hAnsi="宋体" w:cs="宋体"/>
        </w:rPr>
        <w:t>据此函，签字代表宣布同意如下：</w:t>
      </w:r>
    </w:p>
    <w:p>
      <w:pPr>
        <w:pStyle w:val="13"/>
        <w:spacing w:line="360" w:lineRule="exact"/>
        <w:ind w:firstLine="420"/>
        <w:rPr>
          <w:rFonts w:hAnsi="宋体" w:cs="宋体"/>
        </w:rPr>
      </w:pPr>
      <w:r>
        <w:rPr>
          <w:rFonts w:hint="eastAsia" w:hAnsi="宋体" w:cs="宋体"/>
        </w:rPr>
        <w:t>1. 按磋商文件采购需求和磋商报价表：</w:t>
      </w:r>
    </w:p>
    <w:p>
      <w:pPr>
        <w:pStyle w:val="13"/>
        <w:spacing w:line="36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pPr>
        <w:pStyle w:val="13"/>
        <w:spacing w:line="360" w:lineRule="exact"/>
        <w:ind w:firstLine="420"/>
        <w:rPr>
          <w:rFonts w:hAnsi="宋体" w:cs="宋体"/>
        </w:rPr>
      </w:pPr>
      <w:r>
        <w:rPr>
          <w:rFonts w:hint="eastAsia" w:hAnsi="宋体" w:cs="宋体"/>
        </w:rPr>
        <w:t>2.我方承诺已具备磋商文件规定的供应商资格条件。</w:t>
      </w:r>
    </w:p>
    <w:p>
      <w:pPr>
        <w:pStyle w:val="13"/>
        <w:spacing w:line="36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pPr>
        <w:pStyle w:val="13"/>
        <w:spacing w:line="36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pPr>
        <w:pStyle w:val="13"/>
        <w:spacing w:line="360" w:lineRule="exact"/>
        <w:ind w:firstLine="420"/>
        <w:rPr>
          <w:rFonts w:hAnsi="宋体" w:cs="宋体"/>
        </w:rPr>
      </w:pPr>
      <w:r>
        <w:rPr>
          <w:rFonts w:hint="eastAsia" w:hAnsi="宋体" w:cs="宋体"/>
        </w:rPr>
        <w:t>5. 如我方成交：</w:t>
      </w:r>
    </w:p>
    <w:p>
      <w:pPr>
        <w:pStyle w:val="13"/>
        <w:spacing w:line="360" w:lineRule="exact"/>
        <w:ind w:firstLine="420"/>
        <w:rPr>
          <w:rFonts w:hAnsi="宋体" w:cs="宋体"/>
        </w:rPr>
      </w:pPr>
      <w:r>
        <w:rPr>
          <w:rFonts w:hint="eastAsia" w:hAnsi="宋体" w:cs="宋体"/>
        </w:rPr>
        <w:t>（1）我方承诺在收到成交通知书后，在成交通知书规定的期限内与采购人签订合同。</w:t>
      </w:r>
    </w:p>
    <w:p>
      <w:pPr>
        <w:pStyle w:val="13"/>
        <w:spacing w:line="360" w:lineRule="exact"/>
        <w:ind w:firstLine="420"/>
        <w:rPr>
          <w:rFonts w:hAnsi="宋体" w:cs="宋体"/>
          <w:szCs w:val="21"/>
        </w:rPr>
      </w:pPr>
      <w:r>
        <w:rPr>
          <w:rFonts w:hint="eastAsia" w:hAnsi="宋体" w:cs="宋体"/>
          <w:szCs w:val="21"/>
        </w:rPr>
        <w:t>（2）我方承诺按照磋商文件规定递交履约担保。</w:t>
      </w:r>
    </w:p>
    <w:p>
      <w:pPr>
        <w:pStyle w:val="13"/>
        <w:spacing w:line="36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pPr>
        <w:pStyle w:val="13"/>
        <w:spacing w:line="360" w:lineRule="exact"/>
        <w:ind w:firstLine="420"/>
        <w:rPr>
          <w:rFonts w:hAnsi="宋体" w:cs="宋体"/>
          <w:szCs w:val="21"/>
        </w:rPr>
      </w:pPr>
      <w:r>
        <w:rPr>
          <w:rFonts w:hint="eastAsia" w:hAnsi="宋体" w:cs="宋体"/>
          <w:szCs w:val="21"/>
        </w:rPr>
        <w:t>与本项目有关的正式通讯地址为：</w:t>
      </w:r>
    </w:p>
    <w:p>
      <w:pPr>
        <w:rPr>
          <w:rFonts w:ascii="宋体" w:hAnsi="宋体" w:cs="宋体"/>
          <w:szCs w:val="21"/>
        </w:rPr>
      </w:pPr>
    </w:p>
    <w:p>
      <w:pPr>
        <w:pStyle w:val="13"/>
        <w:spacing w:line="32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13"/>
        <w:spacing w:line="32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pPr>
        <w:pStyle w:val="13"/>
        <w:spacing w:line="32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pPr>
        <w:pStyle w:val="13"/>
        <w:spacing w:line="32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pPr>
        <w:pStyle w:val="13"/>
        <w:spacing w:line="32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pPr>
        <w:pStyle w:val="7"/>
        <w:rPr>
          <w:rFonts w:ascii="宋体" w:hAnsi="宋体" w:cs="宋体"/>
          <w:szCs w:val="21"/>
          <w:u w:val="single"/>
        </w:rPr>
      </w:pPr>
    </w:p>
    <w:p>
      <w:pPr>
        <w:rPr>
          <w:rFonts w:ascii="宋体" w:hAnsi="宋体" w:cs="宋体"/>
          <w:szCs w:val="21"/>
          <w:u w:val="single"/>
        </w:rPr>
      </w:pPr>
    </w:p>
    <w:p>
      <w:pPr>
        <w:pStyle w:val="4"/>
        <w:rPr>
          <w:rFonts w:ascii="宋体" w:hAnsi="宋体" w:cs="宋体"/>
          <w:color w:val="auto"/>
          <w:sz w:val="21"/>
          <w:szCs w:val="21"/>
          <w:u w:val="single"/>
        </w:rPr>
      </w:pPr>
    </w:p>
    <w:p>
      <w:pPr>
        <w:rPr>
          <w:rFonts w:ascii="宋体" w:hAnsi="宋体" w:cs="宋体"/>
          <w:szCs w:val="21"/>
          <w:u w:val="single"/>
        </w:rPr>
      </w:pPr>
    </w:p>
    <w:p>
      <w:pPr>
        <w:pStyle w:val="4"/>
      </w:pPr>
    </w:p>
    <w:p>
      <w:pPr>
        <w:pStyle w:val="13"/>
        <w:spacing w:line="340" w:lineRule="exact"/>
        <w:rPr>
          <w:rFonts w:hAnsi="宋体" w:cs="宋体"/>
          <w:b/>
          <w:sz w:val="28"/>
          <w:szCs w:val="28"/>
        </w:rPr>
      </w:pPr>
    </w:p>
    <w:p>
      <w:pPr>
        <w:pStyle w:val="13"/>
        <w:spacing w:line="340" w:lineRule="exact"/>
        <w:rPr>
          <w:rFonts w:hAnsi="宋体" w:cs="宋体"/>
        </w:rPr>
      </w:pPr>
      <w:r>
        <w:rPr>
          <w:rFonts w:hint="eastAsia" w:hAnsi="宋体" w:cs="宋体"/>
          <w:b/>
          <w:sz w:val="28"/>
          <w:szCs w:val="28"/>
        </w:rPr>
        <w:t>2. 磋商报价表（必须提供）；</w:t>
      </w:r>
    </w:p>
    <w:p>
      <w:pPr>
        <w:pStyle w:val="13"/>
        <w:spacing w:line="320" w:lineRule="exact"/>
        <w:jc w:val="left"/>
        <w:rPr>
          <w:rFonts w:hAnsi="宋体" w:cs="宋体"/>
          <w:b/>
          <w:sz w:val="28"/>
          <w:szCs w:val="28"/>
        </w:rPr>
      </w:pPr>
    </w:p>
    <w:p>
      <w:pPr>
        <w:pStyle w:val="7"/>
        <w:ind w:left="0"/>
        <w:rPr>
          <w:rFonts w:ascii="宋体" w:hAnsi="宋体" w:cs="宋体"/>
          <w:color w:val="000000"/>
        </w:rPr>
      </w:pPr>
      <w:r>
        <w:rPr>
          <w:rFonts w:hint="eastAsia" w:ascii="宋体" w:hAnsi="宋体" w:cs="宋体"/>
          <w:b/>
          <w:bCs/>
          <w:color w:val="000000"/>
          <w:sz w:val="30"/>
          <w:szCs w:val="30"/>
        </w:rPr>
        <w:t>附件：</w:t>
      </w:r>
    </w:p>
    <w:p>
      <w:pPr>
        <w:pStyle w:val="13"/>
        <w:spacing w:line="480" w:lineRule="exact"/>
        <w:ind w:left="420"/>
        <w:jc w:val="center"/>
        <w:rPr>
          <w:rFonts w:hAnsi="宋体" w:cs="宋体"/>
          <w:b/>
          <w:color w:val="000000"/>
          <w:szCs w:val="21"/>
        </w:rPr>
      </w:pPr>
      <w:r>
        <w:rPr>
          <w:rFonts w:hint="eastAsia" w:hAnsi="宋体" w:cs="宋体"/>
          <w:b/>
          <w:color w:val="000000"/>
          <w:szCs w:val="21"/>
        </w:rPr>
        <w:t>磋商报价表（格式）</w:t>
      </w:r>
    </w:p>
    <w:tbl>
      <w:tblPr>
        <w:tblStyle w:val="23"/>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项号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单价②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单项合计=数量×单价</w:t>
            </w:r>
          </w:p>
          <w:p>
            <w:pPr>
              <w:jc w:val="center"/>
              <w:rPr>
                <w:rFonts w:ascii="宋体" w:hAnsi="宋体" w:cs="宋体"/>
              </w:rPr>
            </w:pPr>
            <w:r>
              <w:rPr>
                <w:rFonts w:hint="eastAsia" w:ascii="宋体" w:hAnsi="宋体" w:cs="宋体"/>
              </w:rPr>
              <w:t>③=</w:t>
            </w:r>
            <w:r>
              <w:rPr>
                <w:rFonts w:hint="eastAsia" w:ascii="宋体" w:hAnsi="宋体" w:cs="宋体"/>
                <w:color w:val="000000"/>
                <w:szCs w:val="21"/>
              </w:rPr>
              <w:t>①</w:t>
            </w:r>
            <w:r>
              <w:rPr>
                <w:rFonts w:hint="eastAsia" w:ascii="宋体" w:hAnsi="宋体" w:cs="宋体"/>
              </w:rPr>
              <w:t>×</w:t>
            </w:r>
            <w:r>
              <w:rPr>
                <w:rFonts w:hint="eastAsia" w:ascii="宋体" w:hAnsi="宋体" w:cs="宋体"/>
                <w:color w:val="000000"/>
                <w:szCs w:val="21"/>
              </w:rPr>
              <w:t>②</w:t>
            </w:r>
          </w:p>
        </w:tc>
        <w:tc>
          <w:tcPr>
            <w:tcW w:w="1710" w:type="dxa"/>
            <w:tcBorders>
              <w:top w:val="single" w:color="auto" w:sz="4" w:space="0"/>
              <w:bottom w:val="single" w:color="auto"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pPr>
              <w:spacing w:line="300" w:lineRule="exact"/>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color w:val="000000"/>
                <w:spacing w:val="-6"/>
                <w:szCs w:val="21"/>
              </w:rPr>
            </w:pPr>
            <w:r>
              <w:rPr>
                <w:rFonts w:hint="eastAsia" w:ascii="宋体" w:hAnsi="宋体" w:cs="宋体"/>
                <w:color w:val="000000"/>
                <w:spacing w:val="-6"/>
                <w:szCs w:val="21"/>
              </w:rPr>
              <w:t>磋商总报价（大写）：人民币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pPr>
              <w:spacing w:line="300" w:lineRule="exact"/>
              <w:rPr>
                <w:rFonts w:ascii="宋体" w:hAnsi="宋体" w:cs="宋体"/>
                <w:color w:val="000000"/>
                <w:spacing w:val="-6"/>
                <w:szCs w:val="21"/>
              </w:rPr>
            </w:pPr>
            <w:r>
              <w:rPr>
                <w:rFonts w:hint="eastAsia" w:ascii="宋体" w:hAnsi="宋体" w:cs="宋体"/>
                <w:color w:val="000000"/>
                <w:spacing w:val="-6"/>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pPr>
              <w:spacing w:line="340" w:lineRule="exact"/>
              <w:rPr>
                <w:rFonts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pacing w:val="-6"/>
                <w:szCs w:val="21"/>
              </w:rPr>
              <w:t>磋商</w:t>
            </w:r>
            <w:r>
              <w:rPr>
                <w:rFonts w:hint="eastAsia" w:ascii="宋体" w:hAnsi="宋体" w:cs="宋体"/>
                <w:color w:val="000000"/>
                <w:szCs w:val="21"/>
              </w:rPr>
              <w:t>报价指本次招标采购范围内服务价款、服务随配标准附件、包装、运输、装卸、保险、税金、及其他所有成本费用的总和；供应商综合考虑在报价中。</w:t>
            </w:r>
          </w:p>
        </w:tc>
      </w:tr>
    </w:tbl>
    <w:p>
      <w:pPr>
        <w:spacing w:line="340" w:lineRule="exact"/>
        <w:rPr>
          <w:rFonts w:ascii="宋体" w:hAnsi="宋体" w:cs="宋体"/>
          <w:color w:val="000000"/>
          <w:szCs w:val="21"/>
        </w:rPr>
      </w:pPr>
    </w:p>
    <w:p>
      <w:pPr>
        <w:spacing w:line="340" w:lineRule="exact"/>
        <w:rPr>
          <w:rFonts w:ascii="宋体" w:hAnsi="宋体" w:cs="宋体"/>
          <w:color w:val="000000"/>
          <w:szCs w:val="21"/>
          <w:u w:val="single"/>
        </w:rPr>
      </w:pPr>
      <w:r>
        <w:rPr>
          <w:rFonts w:hint="eastAsia" w:ascii="宋体" w:hAnsi="宋体" w:cs="宋体"/>
          <w:color w:val="000000"/>
          <w:szCs w:val="21"/>
        </w:rPr>
        <w:t>供应商（CA签章，自然人除外）：</w:t>
      </w:r>
      <w:r>
        <w:rPr>
          <w:rFonts w:hint="eastAsia" w:ascii="宋体" w:hAnsi="宋体" w:cs="宋体"/>
          <w:color w:val="000000"/>
          <w:szCs w:val="21"/>
          <w:u w:val="single"/>
        </w:rPr>
        <w:t xml:space="preserve">                                        </w:t>
      </w:r>
    </w:p>
    <w:p>
      <w:pPr>
        <w:spacing w:line="340" w:lineRule="exact"/>
        <w:rPr>
          <w:rFonts w:ascii="宋体" w:hAnsi="宋体" w:cs="宋体"/>
          <w:color w:val="000000"/>
          <w:szCs w:val="21"/>
          <w:u w:val="single"/>
        </w:rPr>
      </w:pPr>
      <w:r>
        <w:rPr>
          <w:rFonts w:hint="eastAsia" w:ascii="宋体" w:hAnsi="宋体" w:cs="宋体"/>
          <w:color w:val="000000"/>
        </w:rPr>
        <w:t>法定代表人、负责人、自然人或相应的委托代理人签字或个人CA签章（属自然人的应在签名处加盖食指指印或个人CA签章）：</w:t>
      </w:r>
      <w:r>
        <w:rPr>
          <w:rFonts w:hint="eastAsia" w:ascii="宋体" w:hAnsi="宋体" w:cs="宋体"/>
          <w:color w:val="000000"/>
          <w:szCs w:val="21"/>
          <w:u w:val="single"/>
        </w:rPr>
        <w:t xml:space="preserve">                                    </w:t>
      </w:r>
    </w:p>
    <w:p>
      <w:pPr>
        <w:tabs>
          <w:tab w:val="left" w:pos="1305"/>
        </w:tabs>
        <w:spacing w:line="340" w:lineRule="exact"/>
        <w:rPr>
          <w:rFonts w:ascii="宋体" w:hAnsi="宋体" w:cs="宋体"/>
          <w:bCs/>
          <w:color w:val="000000"/>
          <w:szCs w:val="21"/>
        </w:rPr>
      </w:pPr>
    </w:p>
    <w:p>
      <w:pPr>
        <w:tabs>
          <w:tab w:val="left" w:pos="1305"/>
        </w:tabs>
        <w:spacing w:line="340" w:lineRule="exact"/>
        <w:rPr>
          <w:rFonts w:ascii="宋体" w:hAnsi="宋体" w:cs="宋体"/>
          <w:bCs/>
          <w:color w:val="000000"/>
          <w:szCs w:val="21"/>
        </w:rPr>
      </w:pPr>
      <w:r>
        <w:rPr>
          <w:rFonts w:hint="eastAsia" w:ascii="宋体" w:hAnsi="宋体" w:cs="宋体"/>
          <w:bCs/>
          <w:color w:val="000000"/>
          <w:szCs w:val="21"/>
        </w:rPr>
        <w:t>注</w:t>
      </w:r>
      <w:r>
        <w:rPr>
          <w:rFonts w:hint="eastAsia" w:ascii="宋体" w:hAnsi="宋体" w:cs="宋体"/>
          <w:b/>
          <w:bCs/>
          <w:color w:val="000000"/>
          <w:szCs w:val="21"/>
        </w:rPr>
        <w:t>：</w:t>
      </w:r>
      <w:r>
        <w:rPr>
          <w:rFonts w:hint="eastAsia" w:ascii="宋体" w:hAnsi="宋体" w:cs="宋体"/>
          <w:bCs/>
          <w:color w:val="000000"/>
          <w:szCs w:val="21"/>
        </w:rPr>
        <w:t>1.各</w:t>
      </w:r>
      <w:r>
        <w:rPr>
          <w:rFonts w:hint="eastAsia" w:ascii="宋体" w:hAnsi="宋体" w:cs="宋体"/>
          <w:color w:val="000000"/>
          <w:szCs w:val="21"/>
        </w:rPr>
        <w:t>供应商必须就“服务采购需求”中所投分标的所有内容作完整唯一报价，否则，其投标将被拒绝。投标文件只允许有一个报价。</w:t>
      </w:r>
    </w:p>
    <w:p>
      <w:pPr>
        <w:pStyle w:val="13"/>
        <w:spacing w:line="360" w:lineRule="exact"/>
        <w:ind w:firstLine="420" w:firstLineChars="200"/>
        <w:rPr>
          <w:rFonts w:hAnsi="宋体" w:cs="宋体"/>
          <w:color w:val="000000"/>
          <w:szCs w:val="21"/>
        </w:rPr>
      </w:pPr>
      <w:r>
        <w:rPr>
          <w:rFonts w:hint="eastAsia" w:hAnsi="宋体" w:cs="宋体"/>
          <w:color w:val="000000"/>
          <w:szCs w:val="21"/>
        </w:rPr>
        <w:t>2.供应商应根据所投项目如实填写投标报价表</w:t>
      </w:r>
      <w:r>
        <w:rPr>
          <w:rFonts w:hint="eastAsia" w:hAnsi="宋体" w:cs="宋体"/>
          <w:bCs/>
          <w:color w:val="000000"/>
          <w:szCs w:val="21"/>
        </w:rPr>
        <w:t>的各项内容。</w:t>
      </w:r>
    </w:p>
    <w:p>
      <w:pPr>
        <w:ind w:firstLine="420" w:firstLineChars="200"/>
        <w:rPr>
          <w:rFonts w:ascii="宋体" w:hAnsi="宋体" w:cs="宋体"/>
          <w:b/>
          <w:bCs/>
          <w:color w:val="000000"/>
          <w:sz w:val="32"/>
          <w:szCs w:val="32"/>
        </w:rPr>
      </w:pPr>
      <w:r>
        <w:rPr>
          <w:rFonts w:hint="eastAsia" w:ascii="宋体" w:hAnsi="宋体" w:cs="宋体"/>
          <w:color w:val="000000"/>
          <w:szCs w:val="21"/>
        </w:rPr>
        <w:t>3.</w:t>
      </w:r>
      <w:r>
        <w:rPr>
          <w:rFonts w:hint="eastAsia" w:ascii="宋体" w:hAnsi="宋体" w:cs="宋体"/>
          <w:color w:val="000000"/>
        </w:rPr>
        <w:t>磋商报价表须由法定代表人负责人、自然人或相应的委托代理人签字或个人CA签章（属自然人的应在签名处加盖食指指印或个人CA签章）并加盖竞标供应商CA签章（自然人除外）。</w:t>
      </w:r>
      <w:r>
        <w:rPr>
          <w:rFonts w:hint="eastAsia" w:ascii="宋体" w:hAnsi="宋体" w:cs="宋体"/>
          <w:b/>
          <w:color w:val="000000"/>
        </w:rPr>
        <w:t>当本表由多页构成时，需逐页加盖竞标供应商CA签章（属自然人的须逐页签字或个人CA签章）</w:t>
      </w:r>
    </w:p>
    <w:p>
      <w:pPr>
        <w:rPr>
          <w:rFonts w:ascii="宋体" w:hAnsi="宋体" w:cs="宋体"/>
          <w:b/>
          <w:bCs/>
          <w:color w:val="000000"/>
          <w:sz w:val="32"/>
          <w:szCs w:val="32"/>
        </w:rPr>
      </w:pPr>
    </w:p>
    <w:p>
      <w:pPr>
        <w:pStyle w:val="8"/>
        <w:rPr>
          <w:rFonts w:ascii="宋体" w:hAnsi="宋体" w:cs="宋体"/>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pPr>
        <w:pStyle w:val="13"/>
        <w:spacing w:line="340" w:lineRule="exact"/>
        <w:rPr>
          <w:rFonts w:hAnsi="宋体" w:cs="宋体"/>
          <w:b/>
          <w:sz w:val="28"/>
          <w:szCs w:val="28"/>
        </w:rPr>
      </w:pPr>
      <w:r>
        <w:rPr>
          <w:rFonts w:hint="eastAsia" w:hAnsi="宋体" w:cs="宋体"/>
          <w:b/>
          <w:sz w:val="28"/>
          <w:szCs w:val="28"/>
        </w:rPr>
        <w:t>3.</w:t>
      </w:r>
      <w:r>
        <w:rPr>
          <w:rFonts w:hint="eastAsia"/>
        </w:rPr>
        <w:t xml:space="preserve"> </w:t>
      </w:r>
      <w:r>
        <w:rPr>
          <w:rFonts w:hint="eastAsia" w:hAnsi="宋体" w:cs="宋体"/>
          <w:b/>
          <w:sz w:val="28"/>
          <w:szCs w:val="28"/>
        </w:rPr>
        <w:t>服务（技术）响应、商务偏离情况说明表（格式见附件）(必须提供)；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spacing w:line="5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3"/>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序号</w:t>
            </w:r>
          </w:p>
        </w:tc>
        <w:tc>
          <w:tcPr>
            <w:tcW w:w="2251" w:type="dxa"/>
            <w:vAlign w:val="center"/>
          </w:tcPr>
          <w:p>
            <w:pPr>
              <w:jc w:val="center"/>
              <w:rPr>
                <w:rFonts w:ascii="宋体" w:hAnsi="宋体" w:cs="宋体"/>
              </w:rPr>
            </w:pPr>
            <w:bookmarkStart w:id="183" w:name="_Toc254970730"/>
            <w:bookmarkStart w:id="184" w:name="_Toc173066402"/>
            <w:bookmarkStart w:id="185" w:name="_Toc254970589"/>
            <w:bookmarkStart w:id="186" w:name="_Toc173211901"/>
            <w:r>
              <w:rPr>
                <w:rFonts w:hint="eastAsia" w:ascii="宋体" w:hAnsi="宋体" w:cs="宋体"/>
              </w:rPr>
              <w:t>竞争性磋商文件要求</w:t>
            </w:r>
            <w:bookmarkEnd w:id="183"/>
            <w:bookmarkEnd w:id="184"/>
            <w:bookmarkEnd w:id="185"/>
            <w:bookmarkEnd w:id="186"/>
          </w:p>
        </w:tc>
        <w:tc>
          <w:tcPr>
            <w:tcW w:w="3195" w:type="dxa"/>
            <w:vAlign w:val="center"/>
          </w:tcPr>
          <w:p>
            <w:pPr>
              <w:jc w:val="center"/>
              <w:rPr>
                <w:rFonts w:ascii="宋体" w:hAnsi="宋体" w:cs="宋体"/>
              </w:rPr>
            </w:pPr>
            <w:bookmarkStart w:id="187" w:name="_Toc254970590"/>
            <w:bookmarkStart w:id="188" w:name="_Toc173211902"/>
            <w:bookmarkStart w:id="189" w:name="_Toc173066403"/>
            <w:bookmarkStart w:id="190" w:name="_Toc254970731"/>
            <w:r>
              <w:rPr>
                <w:rFonts w:hint="eastAsia" w:ascii="宋体" w:hAnsi="宋体" w:cs="宋体"/>
              </w:rPr>
              <w:t>竞争性磋商响应文件具体响应</w:t>
            </w:r>
            <w:bookmarkEnd w:id="187"/>
            <w:bookmarkEnd w:id="188"/>
            <w:bookmarkEnd w:id="189"/>
            <w:bookmarkEnd w:id="190"/>
          </w:p>
        </w:tc>
        <w:tc>
          <w:tcPr>
            <w:tcW w:w="1920" w:type="dxa"/>
            <w:vAlign w:val="center"/>
          </w:tcPr>
          <w:p>
            <w:pPr>
              <w:jc w:val="center"/>
              <w:rPr>
                <w:rFonts w:ascii="宋体" w:hAnsi="宋体" w:cs="宋体"/>
              </w:rPr>
            </w:pPr>
            <w:bookmarkStart w:id="191" w:name="_Toc254970591"/>
            <w:bookmarkStart w:id="192" w:name="_Toc173211903"/>
            <w:bookmarkStart w:id="193" w:name="_Toc254970732"/>
            <w:bookmarkStart w:id="194" w:name="_Toc173066404"/>
            <w:r>
              <w:rPr>
                <w:rFonts w:hint="eastAsia" w:ascii="宋体" w:hAnsi="宋体" w:cs="宋体"/>
              </w:rPr>
              <w:t>响应/偏离</w:t>
            </w:r>
            <w:bookmarkEnd w:id="191"/>
            <w:bookmarkEnd w:id="192"/>
            <w:bookmarkEnd w:id="193"/>
            <w:bookmarkEnd w:id="194"/>
          </w:p>
        </w:tc>
        <w:tc>
          <w:tcPr>
            <w:tcW w:w="1920" w:type="dxa"/>
            <w:vAlign w:val="center"/>
          </w:tcPr>
          <w:p>
            <w:pPr>
              <w:jc w:val="center"/>
              <w:rPr>
                <w:rFonts w:ascii="宋体" w:hAnsi="宋体" w:cs="宋体"/>
              </w:rPr>
            </w:pPr>
            <w:bookmarkStart w:id="195" w:name="_Toc254970733"/>
            <w:bookmarkStart w:id="196" w:name="_Toc254970592"/>
            <w:bookmarkStart w:id="197" w:name="_Toc173066405"/>
            <w:bookmarkStart w:id="198" w:name="_Toc173211904"/>
            <w:r>
              <w:rPr>
                <w:rFonts w:hint="eastAsia" w:ascii="宋体" w:hAnsi="宋体" w:cs="宋体"/>
              </w:rPr>
              <w:t>说明</w:t>
            </w:r>
            <w:bookmarkEnd w:id="195"/>
            <w:bookmarkEnd w:id="196"/>
            <w:bookmarkEnd w:id="197"/>
            <w:bookmarkEnd w:id="19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cs="宋体"/>
              </w:rPr>
            </w:pPr>
            <w:r>
              <w:rPr>
                <w:rFonts w:hint="eastAsia" w:ascii="宋体" w:hAnsi="宋体" w:cs="宋体"/>
              </w:rPr>
              <w:t>1</w:t>
            </w:r>
          </w:p>
        </w:tc>
        <w:tc>
          <w:tcPr>
            <w:tcW w:w="2251" w:type="dxa"/>
            <w:vAlign w:val="center"/>
          </w:tcPr>
          <w:p>
            <w:pPr>
              <w:jc w:val="center"/>
              <w:rPr>
                <w:rFonts w:hint="eastAsia" w:ascii="宋体" w:hAnsi="宋体" w:cs="宋体"/>
              </w:rPr>
            </w:pPr>
          </w:p>
        </w:tc>
        <w:tc>
          <w:tcPr>
            <w:tcW w:w="3195" w:type="dxa"/>
            <w:vAlign w:val="center"/>
          </w:tcPr>
          <w:p>
            <w:pPr>
              <w:jc w:val="center"/>
              <w:rPr>
                <w:rFonts w:hint="eastAsia" w:ascii="宋体" w:hAnsi="宋体" w:cs="宋体"/>
              </w:rPr>
            </w:pPr>
          </w:p>
        </w:tc>
        <w:tc>
          <w:tcPr>
            <w:tcW w:w="1920" w:type="dxa"/>
            <w:vAlign w:val="center"/>
          </w:tcPr>
          <w:p>
            <w:pPr>
              <w:jc w:val="center"/>
              <w:rPr>
                <w:rFonts w:hint="eastAsia" w:ascii="宋体" w:hAnsi="宋体" w:cs="宋体"/>
              </w:rPr>
            </w:pPr>
          </w:p>
        </w:tc>
        <w:tc>
          <w:tcPr>
            <w:tcW w:w="1920"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cs="宋体"/>
              </w:rPr>
            </w:pPr>
            <w:r>
              <w:rPr>
                <w:rFonts w:hint="eastAsia" w:ascii="宋体" w:hAnsi="宋体" w:cs="宋体"/>
              </w:rPr>
              <w:t>2</w:t>
            </w:r>
          </w:p>
        </w:tc>
        <w:tc>
          <w:tcPr>
            <w:tcW w:w="2251" w:type="dxa"/>
            <w:vAlign w:val="center"/>
          </w:tcPr>
          <w:p>
            <w:pPr>
              <w:jc w:val="center"/>
              <w:rPr>
                <w:rFonts w:hint="eastAsia" w:ascii="宋体" w:hAnsi="宋体" w:cs="宋体"/>
              </w:rPr>
            </w:pPr>
          </w:p>
        </w:tc>
        <w:tc>
          <w:tcPr>
            <w:tcW w:w="3195" w:type="dxa"/>
            <w:vAlign w:val="center"/>
          </w:tcPr>
          <w:p>
            <w:pPr>
              <w:jc w:val="center"/>
              <w:rPr>
                <w:rFonts w:hint="eastAsia" w:ascii="宋体" w:hAnsi="宋体" w:cs="宋体"/>
              </w:rPr>
            </w:pPr>
          </w:p>
        </w:tc>
        <w:tc>
          <w:tcPr>
            <w:tcW w:w="1920" w:type="dxa"/>
            <w:vAlign w:val="center"/>
          </w:tcPr>
          <w:p>
            <w:pPr>
              <w:jc w:val="center"/>
              <w:rPr>
                <w:rFonts w:hint="eastAsia" w:ascii="宋体" w:hAnsi="宋体" w:cs="宋体"/>
              </w:rPr>
            </w:pPr>
          </w:p>
        </w:tc>
        <w:tc>
          <w:tcPr>
            <w:tcW w:w="1920"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ascii="宋体" w:hAnsi="宋体" w:cs="宋体"/>
              </w:rPr>
            </w:pPr>
            <w:r>
              <w:rPr>
                <w:rFonts w:hint="eastAsia" w:ascii="宋体" w:hAnsi="宋体" w:cs="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1</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2</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3</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ascii="宋体" w:hAnsi="宋体" w:cs="宋体"/>
              </w:rPr>
            </w:pPr>
            <w:r>
              <w:rPr>
                <w:rFonts w:hint="eastAsia" w:ascii="宋体" w:hAnsi="宋体" w:cs="宋体"/>
              </w:rPr>
              <w:t>…</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tcBorders>
              <w:right w:val="single" w:color="auto" w:sz="4" w:space="0"/>
            </w:tcBorders>
            <w:vAlign w:val="center"/>
          </w:tcPr>
          <w:p>
            <w:pPr>
              <w:adjustRightInd w:val="0"/>
              <w:snapToGrid w:val="0"/>
              <w:spacing w:line="300" w:lineRule="auto"/>
              <w:jc w:val="center"/>
              <w:outlineLvl w:val="0"/>
              <w:rPr>
                <w:rFonts w:ascii="宋体" w:hAnsi="宋体" w:cs="宋体"/>
                <w:szCs w:val="21"/>
              </w:rPr>
            </w:pPr>
          </w:p>
        </w:tc>
        <w:tc>
          <w:tcPr>
            <w:tcW w:w="1920" w:type="dxa"/>
            <w:tcBorders>
              <w:left w:val="single" w:color="auto" w:sz="4" w:space="0"/>
            </w:tcBorders>
            <w:vAlign w:val="center"/>
          </w:tcPr>
          <w:p>
            <w:pPr>
              <w:adjustRightInd w:val="0"/>
              <w:snapToGrid w:val="0"/>
              <w:spacing w:line="300" w:lineRule="auto"/>
              <w:jc w:val="center"/>
              <w:outlineLvl w:val="0"/>
              <w:rPr>
                <w:rFonts w:ascii="宋体" w:hAnsi="宋体" w:cs="宋体"/>
                <w:szCs w:val="21"/>
              </w:rPr>
            </w:pPr>
          </w:p>
        </w:tc>
      </w:tr>
    </w:tbl>
    <w:p>
      <w:pPr>
        <w:spacing w:line="34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spacing w:line="340" w:lineRule="exact"/>
        <w:rPr>
          <w:rFonts w:ascii="宋体" w:hAnsi="宋体" w:cs="宋体"/>
        </w:rPr>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2.当本表由多页构成时，需逐页加盖磋商供应商公章（CA签章）（属自然人的须逐页签字或个人CA签章）。</w:t>
      </w: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rPr>
          <w:rFonts w:hAnsi="宋体" w:cs="宋体"/>
          <w:b/>
          <w:sz w:val="28"/>
          <w:szCs w:val="28"/>
        </w:rPr>
      </w:pPr>
      <w:r>
        <w:rPr>
          <w:rFonts w:hint="eastAsia" w:hAnsi="宋体" w:cs="宋体"/>
          <w:b/>
          <w:sz w:val="28"/>
          <w:szCs w:val="28"/>
        </w:rPr>
        <w:t>4.售后服务、应急方案（由供应商根据本项目采购需求、特点及供应商自身的处理能力自行编写，承诺书内容至少应包括“采购需求”的所有服务条款）（必须提供）；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售后服务、应急方案（格式）</w:t>
      </w: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pStyle w:val="13"/>
        <w:spacing w:line="340" w:lineRule="exact"/>
        <w:jc w:val="center"/>
        <w:rPr>
          <w:rFonts w:hAnsi="宋体" w:cs="宋体"/>
          <w:b/>
          <w:sz w:val="32"/>
          <w:szCs w:val="32"/>
        </w:rPr>
      </w:pPr>
    </w:p>
    <w:p>
      <w:pPr>
        <w:rPr>
          <w:rFonts w:ascii="宋体" w:hAnsi="宋体" w:cs="宋体"/>
          <w:b/>
          <w:sz w:val="32"/>
          <w:szCs w:val="32"/>
        </w:rPr>
      </w:pPr>
    </w:p>
    <w:p>
      <w:pPr>
        <w:pStyle w:val="9"/>
        <w:rPr>
          <w:rFonts w:ascii="宋体" w:hAnsi="宋体" w:cs="宋体"/>
        </w:rPr>
      </w:pPr>
    </w:p>
    <w:p>
      <w:pPr>
        <w:pStyle w:val="9"/>
        <w:rPr>
          <w:rFonts w:ascii="宋体" w:hAnsi="宋体" w:cs="宋体"/>
          <w:b/>
          <w:sz w:val="32"/>
          <w:szCs w:val="32"/>
        </w:rPr>
      </w:pPr>
    </w:p>
    <w:p>
      <w:pPr>
        <w:pStyle w:val="13"/>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rPr>
      </w:pPr>
    </w:p>
    <w:p>
      <w:pPr>
        <w:snapToGrid w:val="0"/>
        <w:spacing w:line="400" w:lineRule="exact"/>
        <w:ind w:firstLine="1680" w:firstLineChars="800"/>
        <w:rPr>
          <w:rFonts w:ascii="宋体" w:hAnsi="宋体" w:cs="宋体"/>
          <w:b/>
          <w:bCs/>
          <w:szCs w:val="21"/>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b/>
          <w:bCs/>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13"/>
        <w:spacing w:line="340" w:lineRule="exact"/>
        <w:rPr>
          <w:rFonts w:hAnsi="宋体" w:cs="宋体"/>
          <w:b/>
          <w:sz w:val="28"/>
          <w:szCs w:val="28"/>
        </w:rPr>
      </w:pPr>
      <w:r>
        <w:rPr>
          <w:rFonts w:hint="eastAsia" w:hAnsi="宋体" w:cs="宋体"/>
          <w:b/>
          <w:sz w:val="28"/>
          <w:szCs w:val="28"/>
        </w:rPr>
        <w:t>5. 针对本项目的技术、项目实施方案（必须提供）。</w:t>
      </w:r>
    </w:p>
    <w:p>
      <w:pPr>
        <w:rPr>
          <w:rFonts w:ascii="宋体" w:hAnsi="宋体" w:cs="宋体"/>
        </w:rPr>
      </w:pPr>
    </w:p>
    <w:p>
      <w:pPr>
        <w:pStyle w:val="13"/>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rPr>
          <w:rFonts w:ascii="宋体" w:hAnsi="宋体" w:cs="宋体"/>
        </w:rPr>
      </w:pPr>
    </w:p>
    <w:p>
      <w:pPr>
        <w:pStyle w:val="13"/>
        <w:spacing w:line="340" w:lineRule="exact"/>
        <w:jc w:val="center"/>
        <w:rPr>
          <w:rFonts w:hAnsi="宋体" w:cs="宋体"/>
          <w:b/>
          <w:sz w:val="32"/>
          <w:szCs w:val="32"/>
        </w:rPr>
      </w:pPr>
      <w:r>
        <w:rPr>
          <w:rFonts w:hint="eastAsia" w:hAnsi="宋体" w:cs="宋体"/>
          <w:b/>
          <w:sz w:val="32"/>
          <w:szCs w:val="32"/>
        </w:rPr>
        <w:t>技术、项目实施方案 （格式）</w:t>
      </w:r>
    </w:p>
    <w:p>
      <w:pPr>
        <w:rPr>
          <w:rFonts w:ascii="宋体" w:hAnsi="宋体" w:cs="宋体"/>
          <w:b/>
          <w:sz w:val="32"/>
          <w:szCs w:val="32"/>
        </w:rPr>
      </w:pPr>
    </w:p>
    <w:p>
      <w:pPr>
        <w:pStyle w:val="9"/>
        <w:rPr>
          <w:rFonts w:ascii="宋体" w:hAnsi="宋体" w:cs="宋体"/>
        </w:rPr>
      </w:pPr>
    </w:p>
    <w:p>
      <w:pPr>
        <w:widowControl/>
        <w:ind w:firstLine="3092" w:firstLineChars="1100"/>
        <w:jc w:val="left"/>
        <w:rPr>
          <w:rFonts w:ascii="宋体" w:hAnsi="宋体" w:cs="宋体"/>
          <w:b/>
          <w:kern w:val="0"/>
          <w:sz w:val="28"/>
          <w:szCs w:val="28"/>
        </w:rPr>
      </w:pPr>
      <w:r>
        <w:rPr>
          <w:rFonts w:hint="eastAsia" w:ascii="宋体" w:hAnsi="宋体" w:cs="宋体"/>
          <w:b/>
          <w:kern w:val="0"/>
          <w:sz w:val="28"/>
          <w:szCs w:val="28"/>
        </w:rPr>
        <w:t>（根据采购需求自行编制）</w:t>
      </w: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13"/>
        <w:spacing w:line="300" w:lineRule="exact"/>
        <w:ind w:left="2940" w:leftChars="1400" w:firstLine="630" w:firstLineChars="300"/>
        <w:rPr>
          <w:rFonts w:hAnsi="宋体" w:cs="宋体"/>
        </w:rPr>
      </w:pPr>
    </w:p>
    <w:p>
      <w:pPr>
        <w:pStyle w:val="13"/>
        <w:spacing w:line="300" w:lineRule="exact"/>
        <w:ind w:firstLine="4638" w:firstLineChars="1650"/>
        <w:rPr>
          <w:rFonts w:hAnsi="宋体" w:cs="宋体"/>
          <w:b/>
          <w:sz w:val="28"/>
          <w:szCs w:val="28"/>
        </w:rPr>
      </w:pPr>
      <w:r>
        <w:rPr>
          <w:rFonts w:hint="eastAsia" w:hAnsi="宋体" w:cs="宋体"/>
          <w:b/>
          <w:sz w:val="28"/>
          <w:szCs w:val="28"/>
        </w:rPr>
        <w:t xml:space="preserve"> </w:t>
      </w:r>
    </w:p>
    <w:p>
      <w:pPr>
        <w:pStyle w:val="13"/>
        <w:spacing w:line="300" w:lineRule="exact"/>
        <w:rPr>
          <w:rFonts w:hAnsi="宋体" w:cs="宋体"/>
          <w:b/>
          <w:sz w:val="28"/>
          <w:szCs w:val="28"/>
        </w:rPr>
      </w:pPr>
    </w:p>
    <w:p>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napToGrid w:val="0"/>
        <w:spacing w:line="300" w:lineRule="exact"/>
        <w:ind w:firstLine="3570" w:firstLineChars="1700"/>
        <w:rPr>
          <w:rFonts w:ascii="宋体" w:hAnsi="宋体" w:cs="宋体"/>
          <w:u w:val="single"/>
        </w:rPr>
      </w:pPr>
    </w:p>
    <w:p>
      <w:pPr>
        <w:pStyle w:val="9"/>
        <w:rPr>
          <w:rFonts w:ascii="宋体" w:hAnsi="宋体" w:cs="宋体"/>
          <w:u w:val="single"/>
        </w:rPr>
      </w:pPr>
    </w:p>
    <w:p>
      <w:pPr>
        <w:pStyle w:val="9"/>
        <w:rPr>
          <w:rFonts w:ascii="宋体" w:hAnsi="宋体" w:cs="宋体"/>
          <w:u w:val="single"/>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pStyle w:val="9"/>
        <w:rPr>
          <w:rFonts w:ascii="宋体" w:hAnsi="宋体" w:cs="宋体"/>
          <w:b/>
          <w:bCs/>
          <w:szCs w:val="21"/>
        </w:rPr>
      </w:pPr>
    </w:p>
    <w:p>
      <w:pPr>
        <w:rPr>
          <w:rFonts w:ascii="宋体" w:hAnsi="宋体" w:cs="宋体"/>
        </w:rPr>
      </w:pPr>
    </w:p>
    <w:p>
      <w:pPr>
        <w:pStyle w:val="9"/>
        <w:rPr>
          <w:rFonts w:ascii="宋体" w:hAnsi="宋体" w:cs="宋体"/>
          <w:b/>
          <w:bCs/>
          <w:szCs w:val="21"/>
        </w:rPr>
      </w:pPr>
    </w:p>
    <w:p>
      <w:pPr>
        <w:pStyle w:val="13"/>
        <w:spacing w:line="340" w:lineRule="exact"/>
        <w:rPr>
          <w:rFonts w:hAnsi="宋体" w:cs="宋体"/>
          <w:b/>
          <w:sz w:val="28"/>
          <w:szCs w:val="28"/>
        </w:rPr>
      </w:pPr>
    </w:p>
    <w:p>
      <w:pPr>
        <w:spacing w:line="340" w:lineRule="exact"/>
        <w:ind w:left="420"/>
        <w:jc w:val="center"/>
        <w:rPr>
          <w:rFonts w:ascii="宋体" w:hAnsi="宋体" w:cs="宋体"/>
          <w:szCs w:val="21"/>
        </w:rPr>
      </w:pPr>
      <w:bookmarkStart w:id="199" w:name="_Toc9339"/>
      <w:bookmarkStart w:id="200" w:name="_Toc28672"/>
      <w:bookmarkStart w:id="201" w:name="_Toc497927084"/>
      <w:r>
        <w:rPr>
          <w:rFonts w:hint="eastAsia" w:ascii="宋体" w:hAnsi="宋体" w:cs="宋体"/>
          <w:b/>
          <w:bCs/>
          <w:sz w:val="32"/>
          <w:szCs w:val="32"/>
        </w:rPr>
        <w:t>（三）其他有效证明材料目录</w:t>
      </w:r>
      <w:bookmarkEnd w:id="199"/>
      <w:bookmarkEnd w:id="200"/>
      <w:bookmarkEnd w:id="201"/>
    </w:p>
    <w:p>
      <w:pPr>
        <w:spacing w:line="360" w:lineRule="auto"/>
        <w:ind w:firstLine="480" w:firstLineChars="200"/>
        <w:rPr>
          <w:rFonts w:ascii="宋体" w:hAnsi="宋体" w:cs="宋体"/>
          <w:b/>
          <w:bCs/>
          <w:sz w:val="24"/>
        </w:rPr>
      </w:pPr>
      <w:r>
        <w:rPr>
          <w:rFonts w:hint="eastAsia" w:ascii="宋体" w:hAnsi="宋体" w:cs="宋体"/>
          <w:sz w:val="24"/>
        </w:rPr>
        <w:t>1.项目实施人员一览表（格式见附件）</w:t>
      </w:r>
      <w:r>
        <w:rPr>
          <w:rFonts w:hint="eastAsia" w:ascii="宋体" w:hAnsi="宋体" w:cs="宋体"/>
          <w:b/>
          <w:bCs/>
          <w:sz w:val="24"/>
        </w:rPr>
        <w:t>（如有，请提供，并一起提供由县级以上（含县级）社会养老保险经办机构出具的供应商为项目实施人员交纳的响应文件递交截止时间前三个月内任意一个月养老保险证明复印件，</w:t>
      </w:r>
      <w:r>
        <w:rPr>
          <w:rFonts w:hint="eastAsia" w:ascii="宋体" w:hAnsi="宋体" w:cs="宋体"/>
          <w:sz w:val="24"/>
        </w:rPr>
        <w:t>除供应商为以下三种情形的：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如供应商为截标时间前60日以内成立的公司，可以提供供应商与委托代理人签订的劳动合同复印件代替养老保险证明复印件；</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（2）如供应商为事业单位，可以提供事业单位机构编制管理证复印件或事业单位机构为其发放工资的工资条复印件代替养老保险证明复印件；</w:t>
      </w:r>
    </w:p>
    <w:p>
      <w:pPr>
        <w:spacing w:line="360" w:lineRule="auto"/>
        <w:ind w:firstLine="480" w:firstLineChars="200"/>
        <w:rPr>
          <w:rFonts w:ascii="宋体" w:hAnsi="宋体" w:cs="宋体"/>
          <w:b/>
          <w:bCs/>
        </w:rPr>
      </w:pPr>
      <w:r>
        <w:rPr>
          <w:rFonts w:hint="eastAsia" w:ascii="宋体" w:hAnsi="宋体" w:cs="宋体"/>
          <w:sz w:val="24"/>
        </w:rPr>
        <w:t>（3）如委托代理人为免缴纳社保人员，提供免缴纳社保的证明材料复印件及供应商与委托代理人签订的劳动合同复印件代替养老保险证明复印件。</w:t>
      </w:r>
      <w:r>
        <w:rPr>
          <w:rFonts w:hint="eastAsia" w:ascii="宋体" w:hAnsi="宋体" w:cs="宋体"/>
          <w:b/>
          <w:bCs/>
          <w:sz w:val="24"/>
        </w:rPr>
        <w:t>）；</w:t>
      </w:r>
    </w:p>
    <w:p>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3.供应商具有同类项目业绩相关证明材料（无不良记录，以中标、成交通知书或签订的合同为准，并能清晰反映项目的名称、采购内容、采购金额、采购时间）</w:t>
      </w:r>
      <w:r>
        <w:rPr>
          <w:rFonts w:hint="eastAsia" w:ascii="宋体" w:hAnsi="宋体" w:cs="宋体"/>
          <w:b/>
          <w:bCs/>
          <w:sz w:val="24"/>
        </w:rPr>
        <w:t>（如有，请按照评分办法要求提供）；</w:t>
      </w:r>
    </w:p>
    <w:p>
      <w:pPr>
        <w:spacing w:line="360" w:lineRule="auto"/>
        <w:ind w:firstLine="480" w:firstLineChars="200"/>
        <w:rPr>
          <w:rFonts w:ascii="宋体" w:hAnsi="宋体" w:cs="宋体"/>
          <w:sz w:val="24"/>
        </w:rPr>
      </w:pPr>
      <w:r>
        <w:rPr>
          <w:rFonts w:hint="eastAsia" w:ascii="宋体" w:hAnsi="宋体" w:cs="宋体"/>
          <w:sz w:val="24"/>
        </w:rPr>
        <w:t>4.供应商可结合本项目的评审办法视自身情况自行提交其它相关证明材料。</w:t>
      </w:r>
    </w:p>
    <w:p>
      <w:pPr>
        <w:spacing w:line="360" w:lineRule="auto"/>
        <w:ind w:firstLine="480" w:firstLineChars="200"/>
        <w:rPr>
          <w:rFonts w:ascii="宋体" w:hAnsi="宋体" w:cs="宋体"/>
          <w:sz w:val="24"/>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2"/>
        <w:rPr>
          <w:rFonts w:ascii="宋体" w:hAnsi="宋体" w:cs="宋体"/>
          <w:b/>
          <w:bCs/>
          <w:color w:val="auto"/>
        </w:rPr>
      </w:pPr>
    </w:p>
    <w:p>
      <w:pPr>
        <w:pStyle w:val="9"/>
        <w:rPr>
          <w:rFonts w:ascii="宋体" w:hAnsi="宋体" w:cs="宋体"/>
          <w:b/>
          <w:sz w:val="28"/>
          <w:szCs w:val="28"/>
        </w:rPr>
      </w:pPr>
    </w:p>
    <w:p>
      <w:pPr>
        <w:pStyle w:val="13"/>
        <w:numPr>
          <w:ilvl w:val="0"/>
          <w:numId w:val="12"/>
        </w:numPr>
        <w:spacing w:line="340" w:lineRule="exact"/>
        <w:rPr>
          <w:rFonts w:hAnsi="宋体" w:cs="宋体"/>
          <w:b/>
          <w:sz w:val="28"/>
          <w:szCs w:val="28"/>
        </w:rPr>
      </w:pPr>
      <w:r>
        <w:rPr>
          <w:rFonts w:hint="eastAsia" w:hAnsi="宋体" w:cs="宋体"/>
          <w:b/>
          <w:sz w:val="28"/>
          <w:szCs w:val="28"/>
        </w:rPr>
        <w:t>项目实施人员一览表 （如有，请提供,并一起提供由县级以上（含县级）社会养</w:t>
      </w:r>
    </w:p>
    <w:p>
      <w:pPr>
        <w:pStyle w:val="13"/>
        <w:spacing w:line="340" w:lineRule="exact"/>
        <w:rPr>
          <w:rFonts w:hAnsi="宋体" w:cs="宋体"/>
          <w:b/>
          <w:sz w:val="28"/>
          <w:szCs w:val="28"/>
        </w:rPr>
      </w:pPr>
      <w:r>
        <w:rPr>
          <w:rFonts w:hint="eastAsia" w:hAnsi="宋体" w:cs="宋体"/>
          <w:b/>
          <w:sz w:val="28"/>
          <w:szCs w:val="28"/>
        </w:rPr>
        <w:t>老保险经办机构出具的供应商为项目实施人员交纳的响应文件递交截止时间前三个月内任意一个月养老保险证明复印件，除供应商为以下三种情形的：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如供应商为截标时间前60日以内成立的公司，可以提供供应商与委托代理人签订的劳动合同复印件代替养老保险证明复印件；</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（2）如供应商为事业单位，可以提供事业单位机构编制管理证复印件或事业单位机构为其发放工资的工资条复印件代替养老保险证明复印件；</w:t>
      </w:r>
    </w:p>
    <w:p>
      <w:pPr>
        <w:pStyle w:val="13"/>
        <w:spacing w:line="340" w:lineRule="exact"/>
        <w:ind w:firstLine="480" w:firstLineChars="200"/>
        <w:rPr>
          <w:rFonts w:hAnsi="宋体" w:cs="宋体"/>
          <w:b/>
          <w:sz w:val="28"/>
          <w:szCs w:val="28"/>
        </w:rPr>
      </w:pPr>
      <w:r>
        <w:rPr>
          <w:rFonts w:hint="eastAsia" w:hAnsi="宋体" w:cs="宋体"/>
          <w:sz w:val="24"/>
          <w:szCs w:val="24"/>
        </w:rPr>
        <w:t>（3）如委托代理人为免缴纳社保人员，提供免缴纳社保的证明材料复印件及供应商与委托代理人签订的劳动合同复印件代替养老保险证明复印件。</w:t>
      </w:r>
      <w:r>
        <w:rPr>
          <w:rFonts w:hint="eastAsia" w:hAnsi="宋体" w:cs="宋体"/>
          <w:b/>
          <w:sz w:val="28"/>
          <w:szCs w:val="28"/>
        </w:rPr>
        <w:t>）；</w:t>
      </w:r>
    </w:p>
    <w:p>
      <w:pPr>
        <w:rPr>
          <w:rFonts w:ascii="宋体" w:hAnsi="宋体" w:cs="宋体"/>
        </w:rPr>
      </w:pPr>
    </w:p>
    <w:p>
      <w:pPr>
        <w:pStyle w:val="13"/>
        <w:rPr>
          <w:rFonts w:hAnsi="宋体" w:cs="宋体"/>
          <w:b/>
          <w:bCs/>
          <w:sz w:val="32"/>
          <w:szCs w:val="32"/>
        </w:rPr>
      </w:pPr>
      <w:r>
        <w:rPr>
          <w:rFonts w:hint="eastAsia" w:hAnsi="宋体" w:cs="宋体"/>
          <w:b/>
          <w:bCs/>
          <w:sz w:val="32"/>
          <w:szCs w:val="32"/>
        </w:rPr>
        <w:t>附件：</w:t>
      </w:r>
    </w:p>
    <w:p>
      <w:pPr>
        <w:pStyle w:val="13"/>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3"/>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pPr>
        <w:pStyle w:val="4"/>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pStyle w:val="9"/>
        <w:rPr>
          <w:rFonts w:ascii="宋体" w:hAnsi="宋体" w:cs="宋体"/>
        </w:rPr>
      </w:pPr>
    </w:p>
    <w:p>
      <w:pPr>
        <w:spacing w:line="360" w:lineRule="auto"/>
        <w:rPr>
          <w:rFonts w:ascii="宋体" w:hAnsi="宋体" w:cs="宋体"/>
          <w:u w:val="single"/>
        </w:rPr>
      </w:pPr>
      <w:r>
        <w:rPr>
          <w:rFonts w:hint="eastAsia" w:ascii="宋体" w:hAnsi="宋体" w:cs="宋体"/>
          <w:b/>
          <w:bCs/>
          <w:sz w:val="24"/>
        </w:rPr>
        <w:t>注：供应商根据自身情况结合本项目自行制定</w:t>
      </w:r>
    </w:p>
    <w:p>
      <w:pPr>
        <w:pStyle w:val="13"/>
        <w:spacing w:line="340" w:lineRule="exact"/>
        <w:rPr>
          <w:rFonts w:hAnsi="宋体" w:cs="宋体"/>
          <w:b/>
          <w:sz w:val="28"/>
          <w:szCs w:val="28"/>
        </w:rPr>
      </w:pPr>
    </w:p>
    <w:p>
      <w:pPr>
        <w:pStyle w:val="13"/>
        <w:spacing w:line="340" w:lineRule="exact"/>
        <w:rPr>
          <w:rFonts w:hAnsi="宋体" w:cs="宋体"/>
          <w:b/>
          <w:sz w:val="28"/>
          <w:szCs w:val="28"/>
        </w:rPr>
      </w:pPr>
      <w:r>
        <w:rPr>
          <w:rFonts w:hint="eastAsia" w:hAnsi="宋体" w:cs="宋体"/>
          <w:b/>
          <w:sz w:val="28"/>
          <w:szCs w:val="28"/>
        </w:rPr>
        <w:t>2.“采购需求”需提供的有效证明文件（如有，请提供）；</w:t>
      </w:r>
    </w:p>
    <w:p>
      <w:pPr>
        <w:pStyle w:val="9"/>
        <w:rPr>
          <w:rFonts w:ascii="宋体" w:hAnsi="宋体" w:cs="宋体"/>
          <w:b/>
        </w:rPr>
      </w:pPr>
    </w:p>
    <w:p>
      <w:pPr>
        <w:pStyle w:val="13"/>
        <w:spacing w:line="340" w:lineRule="exact"/>
        <w:rPr>
          <w:rFonts w:hAnsi="宋体" w:cs="宋体"/>
          <w:b/>
          <w:sz w:val="28"/>
          <w:szCs w:val="28"/>
        </w:rPr>
      </w:pPr>
      <w:bookmarkStart w:id="202" w:name="_Toc3052"/>
      <w:bookmarkStart w:id="203" w:name="_Toc497927090"/>
      <w:bookmarkStart w:id="204" w:name="_Toc10161"/>
    </w:p>
    <w:p>
      <w:pPr>
        <w:pStyle w:val="13"/>
        <w:spacing w:line="340" w:lineRule="exact"/>
        <w:rPr>
          <w:rFonts w:hAnsi="宋体" w:cs="宋体"/>
          <w:b/>
          <w:sz w:val="28"/>
          <w:szCs w:val="28"/>
        </w:rPr>
      </w:pPr>
      <w:r>
        <w:rPr>
          <w:rFonts w:hint="eastAsia" w:hAnsi="宋体" w:cs="宋体"/>
          <w:b/>
          <w:sz w:val="28"/>
          <w:szCs w:val="28"/>
        </w:rPr>
        <w:t>3.供应商具有同类项目业绩相关证明材料（无不良记录，以中标、成交通知书或签订的合同为准，并能清晰反映项目的名称、采购内容、采购金额、采购时间）（如有，请按照评分办法要求提供）；</w:t>
      </w:r>
      <w:bookmarkEnd w:id="202"/>
      <w:bookmarkEnd w:id="203"/>
      <w:bookmarkEnd w:id="204"/>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13"/>
        <w:spacing w:line="340" w:lineRule="exact"/>
        <w:rPr>
          <w:rFonts w:hAnsi="宋体" w:cs="宋体"/>
          <w:b/>
          <w:sz w:val="28"/>
          <w:szCs w:val="28"/>
        </w:rPr>
      </w:pPr>
    </w:p>
    <w:p>
      <w:pPr>
        <w:pStyle w:val="2"/>
        <w:rPr>
          <w:rFonts w:ascii="宋体" w:hAnsi="宋体" w:cs="宋体"/>
          <w:b/>
          <w:color w:val="auto"/>
          <w:sz w:val="28"/>
          <w:szCs w:val="28"/>
        </w:rPr>
      </w:pPr>
    </w:p>
    <w:p>
      <w:pPr>
        <w:pStyle w:val="13"/>
        <w:spacing w:line="340" w:lineRule="exact"/>
        <w:rPr>
          <w:rFonts w:hAnsi="宋体" w:cs="宋体"/>
        </w:rPr>
      </w:pPr>
      <w:r>
        <w:rPr>
          <w:rFonts w:hint="eastAsia" w:hAnsi="宋体" w:cs="宋体"/>
          <w:b/>
          <w:sz w:val="28"/>
          <w:szCs w:val="28"/>
        </w:rPr>
        <w:t xml:space="preserve">4.供应商可结合本项目的评审办法视自身情况自行提交其它相关证明材料。           </w:t>
      </w:r>
      <w:r>
        <w:rPr>
          <w:rFonts w:hint="eastAsia" w:hAnsi="宋体" w:cs="宋体"/>
          <w:sz w:val="28"/>
          <w:szCs w:val="28"/>
        </w:rPr>
        <w:t xml:space="preserve"> </w:t>
      </w:r>
      <w:r>
        <w:rPr>
          <w:rFonts w:hint="eastAsia" w:hAnsi="宋体" w:cs="宋体"/>
        </w:rPr>
        <w:t xml:space="preserve">      </w:t>
      </w:r>
    </w:p>
    <w:p>
      <w:pPr>
        <w:rPr>
          <w:rFonts w:ascii="宋体" w:hAnsi="宋体" w:cs="宋体"/>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w:r>
  </w:p>
  <w:p>
    <w:pPr>
      <w:pStyle w:val="15"/>
    </w:pPr>
    <w:r>
      <w:rPr>
        <w:rFonts w:hint="eastAsia"/>
      </w:rPr>
      <w:t>湖北中天宏建设项目管理有限公司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w:r>
  </w:p>
  <w:p>
    <w:pPr>
      <w:pStyle w:val="15"/>
    </w:pPr>
    <w:r>
      <w:rPr>
        <w:rFonts w:hint="eastAsia"/>
      </w:rPr>
      <w:t>广西嘉华建设项目管理咨询有限公司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s>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w:r>
  </w:p>
  <w:p>
    <w:pPr>
      <w:pStyle w:val="15"/>
    </w:pPr>
    <w:r>
      <w:rPr>
        <w:rFonts w:hint="eastAsia"/>
      </w:rPr>
      <w:t>湖北中天宏建设项目管理有限公司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A50AE973"/>
    <w:multiLevelType w:val="singleLevel"/>
    <w:tmpl w:val="A50AE973"/>
    <w:lvl w:ilvl="0" w:tentative="0">
      <w:start w:val="1"/>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BEB4BA"/>
    <w:multiLevelType w:val="singleLevel"/>
    <w:tmpl w:val="2EBEB4BA"/>
    <w:lvl w:ilvl="0" w:tentative="0">
      <w:start w:val="26"/>
      <w:numFmt w:val="decimal"/>
      <w:suff w:val="space"/>
      <w:lvlText w:val="%1."/>
      <w:lvlJc w:val="left"/>
    </w:lvl>
  </w:abstractNum>
  <w:abstractNum w:abstractNumId="7">
    <w:nsid w:val="56C07EBF"/>
    <w:multiLevelType w:val="singleLevel"/>
    <w:tmpl w:val="56C07EBF"/>
    <w:lvl w:ilvl="0" w:tentative="0">
      <w:start w:val="3"/>
      <w:numFmt w:val="decimal"/>
      <w:suff w:val="nothing"/>
      <w:lvlText w:val="（%1）"/>
      <w:lvlJc w:val="left"/>
    </w:lvl>
  </w:abstractNum>
  <w:abstractNum w:abstractNumId="8">
    <w:nsid w:val="5FDE38C3"/>
    <w:multiLevelType w:val="singleLevel"/>
    <w:tmpl w:val="5FDE38C3"/>
    <w:lvl w:ilvl="0" w:tentative="0">
      <w:start w:val="1"/>
      <w:numFmt w:val="decimal"/>
      <w:suff w:val="nothing"/>
      <w:lvlText w:val="%1．"/>
      <w:lvlJc w:val="left"/>
      <w:pPr>
        <w:ind w:left="26" w:firstLine="400"/>
      </w:pPr>
      <w:rPr>
        <w:rFonts w:hint="default"/>
        <w:b w:val="0"/>
        <w:bCs w:val="0"/>
      </w:rPr>
    </w:lvl>
  </w:abstractNum>
  <w:abstractNum w:abstractNumId="9">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AD43707"/>
    <w:multiLevelType w:val="singleLevel"/>
    <w:tmpl w:val="6AD43707"/>
    <w:lvl w:ilvl="0" w:tentative="0">
      <w:start w:val="5"/>
      <w:numFmt w:val="decimal"/>
      <w:suff w:val="space"/>
      <w:lvlText w:val="%1."/>
      <w:lvlJc w:val="left"/>
    </w:lvl>
  </w:abstractNum>
  <w:abstractNum w:abstractNumId="11">
    <w:nsid w:val="7D48D8E6"/>
    <w:multiLevelType w:val="singleLevel"/>
    <w:tmpl w:val="7D48D8E6"/>
    <w:lvl w:ilvl="0" w:tentative="0">
      <w:start w:val="1"/>
      <w:numFmt w:val="decimal"/>
      <w:lvlText w:val="%1."/>
      <w:lvlJc w:val="left"/>
      <w:pPr>
        <w:ind w:left="425" w:hanging="425"/>
      </w:pPr>
      <w:rPr>
        <w:rFonts w:hint="default"/>
      </w:rPr>
    </w:lvl>
  </w:abstractNum>
  <w:num w:numId="1">
    <w:abstractNumId w:val="3"/>
  </w:num>
  <w:num w:numId="2">
    <w:abstractNumId w:val="10"/>
  </w:num>
  <w:num w:numId="3">
    <w:abstractNumId w:val="2"/>
  </w:num>
  <w:num w:numId="4">
    <w:abstractNumId w:val="6"/>
  </w:num>
  <w:num w:numId="5">
    <w:abstractNumId w:val="1"/>
  </w:num>
  <w:num w:numId="6">
    <w:abstractNumId w:val="7"/>
  </w:num>
  <w:num w:numId="7">
    <w:abstractNumId w:val="9"/>
    <w:lvlOverride w:ilvl="0">
      <w:startOverride w:val="2"/>
    </w:lvlOverride>
  </w:num>
  <w:num w:numId="8">
    <w:abstractNumId w:val="5"/>
    <w:lvlOverride w:ilvl="0">
      <w:startOverride w:val="2"/>
    </w:lvlOverride>
  </w:num>
  <w:num w:numId="9">
    <w:abstractNumId w:val="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5N2EzZDVkZmUzMDQ0ODdkOGYyYjJjODk4OWE4MjkifQ=="/>
  </w:docVars>
  <w:rsids>
    <w:rsidRoot w:val="003F48A7"/>
    <w:rsid w:val="00005BD1"/>
    <w:rsid w:val="0000774E"/>
    <w:rsid w:val="0002751E"/>
    <w:rsid w:val="00046F39"/>
    <w:rsid w:val="00054D96"/>
    <w:rsid w:val="00064790"/>
    <w:rsid w:val="00072BBD"/>
    <w:rsid w:val="00090CD9"/>
    <w:rsid w:val="000A7643"/>
    <w:rsid w:val="000E5348"/>
    <w:rsid w:val="00121BA3"/>
    <w:rsid w:val="00153C18"/>
    <w:rsid w:val="001702A3"/>
    <w:rsid w:val="001A5F25"/>
    <w:rsid w:val="001D411F"/>
    <w:rsid w:val="001F537D"/>
    <w:rsid w:val="0023677D"/>
    <w:rsid w:val="00245E49"/>
    <w:rsid w:val="00292840"/>
    <w:rsid w:val="002A6B18"/>
    <w:rsid w:val="002D3C20"/>
    <w:rsid w:val="002D6546"/>
    <w:rsid w:val="002E6403"/>
    <w:rsid w:val="002F3364"/>
    <w:rsid w:val="002F7AA1"/>
    <w:rsid w:val="003012AF"/>
    <w:rsid w:val="00321DAA"/>
    <w:rsid w:val="0033715A"/>
    <w:rsid w:val="00345C41"/>
    <w:rsid w:val="0035785C"/>
    <w:rsid w:val="00371531"/>
    <w:rsid w:val="0039055D"/>
    <w:rsid w:val="003B336E"/>
    <w:rsid w:val="003C240B"/>
    <w:rsid w:val="003F48A7"/>
    <w:rsid w:val="00431DAD"/>
    <w:rsid w:val="00435E4F"/>
    <w:rsid w:val="00451E30"/>
    <w:rsid w:val="0045370E"/>
    <w:rsid w:val="004538CF"/>
    <w:rsid w:val="00453EBB"/>
    <w:rsid w:val="0045562F"/>
    <w:rsid w:val="00466024"/>
    <w:rsid w:val="004979C5"/>
    <w:rsid w:val="00503FC5"/>
    <w:rsid w:val="00506675"/>
    <w:rsid w:val="005120BE"/>
    <w:rsid w:val="0051331E"/>
    <w:rsid w:val="00536E2D"/>
    <w:rsid w:val="005914E4"/>
    <w:rsid w:val="00595E29"/>
    <w:rsid w:val="00603F39"/>
    <w:rsid w:val="00631B51"/>
    <w:rsid w:val="00641048"/>
    <w:rsid w:val="00690B8C"/>
    <w:rsid w:val="00693A09"/>
    <w:rsid w:val="006A447F"/>
    <w:rsid w:val="006D490D"/>
    <w:rsid w:val="006F0A36"/>
    <w:rsid w:val="007579A2"/>
    <w:rsid w:val="00782B10"/>
    <w:rsid w:val="008853B0"/>
    <w:rsid w:val="008A0500"/>
    <w:rsid w:val="008A75B4"/>
    <w:rsid w:val="008D1F52"/>
    <w:rsid w:val="008F0E01"/>
    <w:rsid w:val="008F1C8C"/>
    <w:rsid w:val="0093506D"/>
    <w:rsid w:val="00937B83"/>
    <w:rsid w:val="00951F76"/>
    <w:rsid w:val="00954587"/>
    <w:rsid w:val="0096095F"/>
    <w:rsid w:val="00984D1D"/>
    <w:rsid w:val="00984F4A"/>
    <w:rsid w:val="009B372D"/>
    <w:rsid w:val="009D3AF1"/>
    <w:rsid w:val="009E14E4"/>
    <w:rsid w:val="00A10CD7"/>
    <w:rsid w:val="00A467A6"/>
    <w:rsid w:val="00AD7D5E"/>
    <w:rsid w:val="00B70AE2"/>
    <w:rsid w:val="00BA0D3C"/>
    <w:rsid w:val="00BC33FE"/>
    <w:rsid w:val="00BE539C"/>
    <w:rsid w:val="00BF1AC8"/>
    <w:rsid w:val="00C0042E"/>
    <w:rsid w:val="00C333F1"/>
    <w:rsid w:val="00C8044C"/>
    <w:rsid w:val="00CA0711"/>
    <w:rsid w:val="00CA761F"/>
    <w:rsid w:val="00CD3890"/>
    <w:rsid w:val="00D454CF"/>
    <w:rsid w:val="00D55139"/>
    <w:rsid w:val="00D57A5B"/>
    <w:rsid w:val="00D61899"/>
    <w:rsid w:val="00D761B6"/>
    <w:rsid w:val="00D82912"/>
    <w:rsid w:val="00DF1330"/>
    <w:rsid w:val="00DF4A82"/>
    <w:rsid w:val="00E04C6D"/>
    <w:rsid w:val="00E340BD"/>
    <w:rsid w:val="00E63E98"/>
    <w:rsid w:val="00E664F7"/>
    <w:rsid w:val="00E83D19"/>
    <w:rsid w:val="00E943E7"/>
    <w:rsid w:val="00EA63B0"/>
    <w:rsid w:val="00EE604A"/>
    <w:rsid w:val="00F34182"/>
    <w:rsid w:val="00F5260C"/>
    <w:rsid w:val="00F56105"/>
    <w:rsid w:val="00F56768"/>
    <w:rsid w:val="00F9514D"/>
    <w:rsid w:val="00FA13E2"/>
    <w:rsid w:val="00FB2AD9"/>
    <w:rsid w:val="00FD1FF4"/>
    <w:rsid w:val="0100033D"/>
    <w:rsid w:val="02B95509"/>
    <w:rsid w:val="031406F5"/>
    <w:rsid w:val="036C7E00"/>
    <w:rsid w:val="05075F25"/>
    <w:rsid w:val="051031AE"/>
    <w:rsid w:val="053048A1"/>
    <w:rsid w:val="05E82D27"/>
    <w:rsid w:val="060C5A1F"/>
    <w:rsid w:val="065000D1"/>
    <w:rsid w:val="065B15E4"/>
    <w:rsid w:val="06AE1DE6"/>
    <w:rsid w:val="076C2901"/>
    <w:rsid w:val="079052BE"/>
    <w:rsid w:val="083F7130"/>
    <w:rsid w:val="0AA70314"/>
    <w:rsid w:val="0B523DCB"/>
    <w:rsid w:val="0B6A2EE0"/>
    <w:rsid w:val="0C825799"/>
    <w:rsid w:val="0C9C22B2"/>
    <w:rsid w:val="0EBA28D2"/>
    <w:rsid w:val="0F152394"/>
    <w:rsid w:val="0F2549CB"/>
    <w:rsid w:val="0F6B6C1D"/>
    <w:rsid w:val="110660A6"/>
    <w:rsid w:val="125C471A"/>
    <w:rsid w:val="125C726E"/>
    <w:rsid w:val="13916645"/>
    <w:rsid w:val="1506135C"/>
    <w:rsid w:val="15565967"/>
    <w:rsid w:val="184F13F4"/>
    <w:rsid w:val="19516B4A"/>
    <w:rsid w:val="1A41745E"/>
    <w:rsid w:val="1A606D71"/>
    <w:rsid w:val="1ABB044E"/>
    <w:rsid w:val="1C08226C"/>
    <w:rsid w:val="1C624D13"/>
    <w:rsid w:val="1D1207F7"/>
    <w:rsid w:val="1E9439C2"/>
    <w:rsid w:val="1FE74446"/>
    <w:rsid w:val="211F672C"/>
    <w:rsid w:val="225455FE"/>
    <w:rsid w:val="25212425"/>
    <w:rsid w:val="26FB3479"/>
    <w:rsid w:val="28534CC7"/>
    <w:rsid w:val="28C8445F"/>
    <w:rsid w:val="2B336409"/>
    <w:rsid w:val="2B352B08"/>
    <w:rsid w:val="2B50775C"/>
    <w:rsid w:val="2B880C7A"/>
    <w:rsid w:val="2C730BFF"/>
    <w:rsid w:val="2F1958D0"/>
    <w:rsid w:val="2FB344DB"/>
    <w:rsid w:val="31BF7BF7"/>
    <w:rsid w:val="3220692E"/>
    <w:rsid w:val="33196C24"/>
    <w:rsid w:val="337A3E72"/>
    <w:rsid w:val="34F110E0"/>
    <w:rsid w:val="35033E7C"/>
    <w:rsid w:val="369E0EF6"/>
    <w:rsid w:val="375E31F0"/>
    <w:rsid w:val="37F250A8"/>
    <w:rsid w:val="389153B5"/>
    <w:rsid w:val="38BB18EB"/>
    <w:rsid w:val="3B721655"/>
    <w:rsid w:val="3BE41159"/>
    <w:rsid w:val="3E6E4482"/>
    <w:rsid w:val="41166258"/>
    <w:rsid w:val="427A0DB5"/>
    <w:rsid w:val="429F0D52"/>
    <w:rsid w:val="43727F57"/>
    <w:rsid w:val="47226FD9"/>
    <w:rsid w:val="4822043E"/>
    <w:rsid w:val="483F0499"/>
    <w:rsid w:val="48557468"/>
    <w:rsid w:val="492B03C7"/>
    <w:rsid w:val="4A615E38"/>
    <w:rsid w:val="4B6052BB"/>
    <w:rsid w:val="4D085C18"/>
    <w:rsid w:val="4DF07841"/>
    <w:rsid w:val="4E3F5A59"/>
    <w:rsid w:val="4E5C54C6"/>
    <w:rsid w:val="4E784900"/>
    <w:rsid w:val="500B71A4"/>
    <w:rsid w:val="50A2103A"/>
    <w:rsid w:val="50DD43F7"/>
    <w:rsid w:val="51456CD1"/>
    <w:rsid w:val="52DF5E29"/>
    <w:rsid w:val="53DE45D6"/>
    <w:rsid w:val="54356616"/>
    <w:rsid w:val="54EA1A57"/>
    <w:rsid w:val="552A1E7A"/>
    <w:rsid w:val="558A20A7"/>
    <w:rsid w:val="55DB7536"/>
    <w:rsid w:val="575E5568"/>
    <w:rsid w:val="58201313"/>
    <w:rsid w:val="58DB5A41"/>
    <w:rsid w:val="591E55AF"/>
    <w:rsid w:val="598F630D"/>
    <w:rsid w:val="5A643739"/>
    <w:rsid w:val="5BA37FCD"/>
    <w:rsid w:val="5D056076"/>
    <w:rsid w:val="5E847F27"/>
    <w:rsid w:val="5E985640"/>
    <w:rsid w:val="5EB23D46"/>
    <w:rsid w:val="5F006C29"/>
    <w:rsid w:val="610139BB"/>
    <w:rsid w:val="61680316"/>
    <w:rsid w:val="629E6C38"/>
    <w:rsid w:val="63CA40E4"/>
    <w:rsid w:val="657123B4"/>
    <w:rsid w:val="65AE1BAE"/>
    <w:rsid w:val="67386876"/>
    <w:rsid w:val="67EB1AD0"/>
    <w:rsid w:val="681B125A"/>
    <w:rsid w:val="690A0C77"/>
    <w:rsid w:val="69960D5D"/>
    <w:rsid w:val="6BB3513A"/>
    <w:rsid w:val="6C9C7F3A"/>
    <w:rsid w:val="6CE35466"/>
    <w:rsid w:val="6E9F12D8"/>
    <w:rsid w:val="7026759E"/>
    <w:rsid w:val="70D56AB2"/>
    <w:rsid w:val="71924FC1"/>
    <w:rsid w:val="719B6B25"/>
    <w:rsid w:val="72AE7DEA"/>
    <w:rsid w:val="734736CB"/>
    <w:rsid w:val="73994D87"/>
    <w:rsid w:val="73F05BE5"/>
    <w:rsid w:val="74026044"/>
    <w:rsid w:val="75E26C5D"/>
    <w:rsid w:val="75E5251D"/>
    <w:rsid w:val="75FF0362"/>
    <w:rsid w:val="7645008C"/>
    <w:rsid w:val="77D31AA6"/>
    <w:rsid w:val="77DD0911"/>
    <w:rsid w:val="7C3E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9"/>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index 8"/>
    <w:basedOn w:val="1"/>
    <w:next w:val="1"/>
    <w:qFormat/>
    <w:uiPriority w:val="0"/>
    <w:pPr>
      <w:ind w:left="2940"/>
    </w:pPr>
  </w:style>
  <w:style w:type="paragraph" w:styleId="8">
    <w:name w:val="annotation text"/>
    <w:basedOn w:val="1"/>
    <w:link w:val="35"/>
    <w:qFormat/>
    <w:uiPriority w:val="0"/>
    <w:pPr>
      <w:jc w:val="left"/>
    </w:pPr>
  </w:style>
  <w:style w:type="paragraph" w:styleId="9">
    <w:name w:val="Body Text"/>
    <w:basedOn w:val="1"/>
    <w:next w:val="1"/>
    <w:qFormat/>
    <w:uiPriority w:val="0"/>
  </w:style>
  <w:style w:type="paragraph" w:styleId="10">
    <w:name w:val="Body Text Indent"/>
    <w:basedOn w:val="1"/>
    <w:qFormat/>
    <w:uiPriority w:val="0"/>
    <w:pPr>
      <w:spacing w:after="120"/>
      <w:ind w:left="420" w:leftChars="200"/>
    </w:pPr>
  </w:style>
  <w:style w:type="paragraph" w:styleId="11">
    <w:name w:val="Block Text"/>
    <w:basedOn w:val="1"/>
    <w:qFormat/>
    <w:uiPriority w:val="0"/>
    <w:pPr>
      <w:ind w:left="1440" w:leftChars="700" w:right="700" w:rightChars="700"/>
    </w:pPr>
    <w:rPr>
      <w:rFonts w:ascii="Calibri" w:hAnsi="Calibri"/>
    </w:rPr>
  </w:style>
  <w:style w:type="paragraph" w:styleId="12">
    <w:name w:val="toc 3"/>
    <w:basedOn w:val="1"/>
    <w:next w:val="1"/>
    <w:unhideWhenUsed/>
    <w:qFormat/>
    <w:uiPriority w:val="39"/>
    <w:pPr>
      <w:ind w:left="840" w:leftChars="400"/>
    </w:pPr>
  </w:style>
  <w:style w:type="paragraph" w:styleId="13">
    <w:name w:val="Plain Text"/>
    <w:basedOn w:val="1"/>
    <w:next w:val="7"/>
    <w:link w:val="33"/>
    <w:qFormat/>
    <w:uiPriority w:val="0"/>
    <w:rPr>
      <w:rFonts w:ascii="宋体" w:hAnsi="Courier New"/>
      <w:szCs w:val="20"/>
    </w:rPr>
  </w:style>
  <w:style w:type="paragraph" w:styleId="14">
    <w:name w:val="Balloon Text"/>
    <w:basedOn w:val="1"/>
    <w:link w:val="37"/>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List 4"/>
    <w:basedOn w:val="1"/>
    <w:unhideWhenUsed/>
    <w:qFormat/>
    <w:uiPriority w:val="99"/>
    <w:pPr>
      <w:ind w:left="100" w:leftChars="600" w:hanging="200" w:hangingChars="200"/>
      <w:contextualSpacing/>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36"/>
    <w:qFormat/>
    <w:uiPriority w:val="0"/>
    <w:rPr>
      <w:b/>
      <w:bCs/>
    </w:rPr>
  </w:style>
  <w:style w:type="paragraph" w:styleId="22">
    <w:name w:val="Body Text First Indent 2"/>
    <w:basedOn w:val="10"/>
    <w:unhideWhenUsed/>
    <w:qFormat/>
    <w:uiPriority w:val="99"/>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qFormat/>
    <w:uiPriority w:val="99"/>
    <w:rPr>
      <w:color w:val="0000FF" w:themeColor="hyperlink"/>
      <w:u w:val="single"/>
    </w:rPr>
  </w:style>
  <w:style w:type="character" w:styleId="27">
    <w:name w:val="annotation reference"/>
    <w:basedOn w:val="25"/>
    <w:qFormat/>
    <w:uiPriority w:val="0"/>
    <w:rPr>
      <w:sz w:val="21"/>
      <w:szCs w:val="21"/>
    </w:rPr>
  </w:style>
  <w:style w:type="paragraph" w:customStyle="1" w:styleId="28">
    <w:name w:val="列出段落1"/>
    <w:basedOn w:val="1"/>
    <w:qFormat/>
    <w:uiPriority w:val="99"/>
    <w:pPr>
      <w:ind w:firstLine="420" w:firstLineChars="200"/>
    </w:pPr>
  </w:style>
  <w:style w:type="character" w:customStyle="1" w:styleId="29">
    <w:name w:val="标题 3 Char"/>
    <w:link w:val="5"/>
    <w:qFormat/>
    <w:uiPriority w:val="0"/>
    <w:rPr>
      <w:rFonts w:ascii="Calibri" w:hAnsi="Calibri" w:eastAsia="宋体"/>
      <w:b/>
      <w:sz w:val="32"/>
    </w:rPr>
  </w:style>
  <w:style w:type="paragraph" w:customStyle="1" w:styleId="30">
    <w:name w:val="Char1 Char Char Char Char Char Char"/>
    <w:basedOn w:val="1"/>
    <w:qFormat/>
    <w:uiPriority w:val="0"/>
    <w:rPr>
      <w:rFonts w:ascii="Tahoma" w:hAnsi="Tahoma"/>
      <w:sz w:val="24"/>
      <w:szCs w:val="20"/>
    </w:rPr>
  </w:style>
  <w:style w:type="character" w:customStyle="1" w:styleId="31">
    <w:name w:val="unnamed4"/>
    <w:basedOn w:val="25"/>
    <w:qFormat/>
    <w:uiPriority w:val="0"/>
  </w:style>
  <w:style w:type="character" w:customStyle="1" w:styleId="32">
    <w:name w:val="unnamed2"/>
    <w:basedOn w:val="25"/>
    <w:qFormat/>
    <w:uiPriority w:val="0"/>
  </w:style>
  <w:style w:type="character" w:customStyle="1" w:styleId="33">
    <w:name w:val="纯文本 Char"/>
    <w:basedOn w:val="25"/>
    <w:link w:val="13"/>
    <w:qFormat/>
    <w:uiPriority w:val="0"/>
    <w:rPr>
      <w:rFonts w:ascii="宋体" w:hAnsi="Courier New"/>
      <w:kern w:val="2"/>
      <w:sz w:val="21"/>
    </w:rPr>
  </w:style>
  <w:style w:type="paragraph" w:customStyle="1" w:styleId="34">
    <w:name w:val="样式 正文文本 + 宋体 首行缩进:  0.74 厘米 行距: 1.5 倍行距"/>
    <w:basedOn w:val="9"/>
    <w:qFormat/>
    <w:uiPriority w:val="0"/>
    <w:pPr>
      <w:spacing w:after="120" w:line="360" w:lineRule="auto"/>
      <w:ind w:firstLine="200" w:firstLineChars="200"/>
    </w:pPr>
    <w:rPr>
      <w:rFonts w:ascii="Calibri" w:hAnsi="Calibri"/>
      <w:sz w:val="24"/>
      <w:szCs w:val="22"/>
    </w:rPr>
  </w:style>
  <w:style w:type="character" w:customStyle="1" w:styleId="35">
    <w:name w:val="批注文字 Char"/>
    <w:basedOn w:val="25"/>
    <w:link w:val="8"/>
    <w:qFormat/>
    <w:uiPriority w:val="0"/>
    <w:rPr>
      <w:kern w:val="2"/>
      <w:sz w:val="21"/>
      <w:szCs w:val="24"/>
    </w:rPr>
  </w:style>
  <w:style w:type="character" w:customStyle="1" w:styleId="36">
    <w:name w:val="批注主题 Char"/>
    <w:basedOn w:val="35"/>
    <w:link w:val="21"/>
    <w:qFormat/>
    <w:uiPriority w:val="0"/>
  </w:style>
  <w:style w:type="character" w:customStyle="1" w:styleId="37">
    <w:name w:val="批注框文本 Char"/>
    <w:basedOn w:val="25"/>
    <w:link w:val="14"/>
    <w:qFormat/>
    <w:uiPriority w:val="0"/>
    <w:rPr>
      <w:kern w:val="2"/>
      <w:sz w:val="18"/>
      <w:szCs w:val="18"/>
    </w:rPr>
  </w:style>
  <w:style w:type="paragraph" w:customStyle="1" w:styleId="38">
    <w:name w:val="_Style 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41583</Words>
  <Characters>45012</Characters>
  <Lines>384</Lines>
  <Paragraphs>108</Paragraphs>
  <TotalTime>547</TotalTime>
  <ScaleCrop>false</ScaleCrop>
  <LinksUpToDate>false</LinksUpToDate>
  <CharactersWithSpaces>48432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越努力越幸运</cp:lastModifiedBy>
  <dcterms:modified xsi:type="dcterms:W3CDTF">2022-07-28T08:07:57Z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E40AE4D9A8394659B6F96CA17FECFA26</vt:lpwstr>
  </property>
</Properties>
</file>