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Ansi="宋体"/>
          <w:b/>
          <w:spacing w:val="30"/>
          <w:kern w:val="52"/>
          <w:sz w:val="44"/>
          <w:szCs w:val="44"/>
        </w:rPr>
      </w:pPr>
      <w:bookmarkStart w:id="0" w:name="_Toc217446030"/>
      <w:bookmarkStart w:id="1" w:name="_Toc183682338"/>
    </w:p>
    <w:p>
      <w:pPr>
        <w:pStyle w:val="12"/>
        <w:jc w:val="center"/>
        <w:rPr>
          <w:rFonts w:hAnsi="宋体"/>
          <w:b/>
          <w:spacing w:val="30"/>
          <w:kern w:val="52"/>
          <w:sz w:val="44"/>
          <w:szCs w:val="44"/>
        </w:rPr>
      </w:pPr>
      <w:r>
        <w:rPr>
          <w:rFonts w:hint="eastAsia" w:hAnsi="宋体"/>
          <w:b/>
          <w:spacing w:val="30"/>
          <w:kern w:val="52"/>
          <w:sz w:val="48"/>
          <w:szCs w:val="48"/>
        </w:rPr>
        <w:t>广西无线电管理信息化建设—一体化基础平台建设和应用系统接入</w:t>
      </w:r>
    </w:p>
    <w:p>
      <w:pPr>
        <w:pStyle w:val="12"/>
        <w:ind w:firstLine="490" w:firstLineChars="244"/>
        <w:rPr>
          <w:rFonts w:hAnsi="宋体"/>
          <w:spacing w:val="28"/>
          <w:sz w:val="32"/>
        </w:rPr>
      </w:pPr>
      <w:r>
        <w:rPr>
          <w:b/>
          <w:sz w:val="20"/>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328930</wp:posOffset>
                </wp:positionV>
                <wp:extent cx="6057900" cy="0"/>
                <wp:effectExtent l="0" t="28575" r="0" b="28575"/>
                <wp:wrapNone/>
                <wp:docPr id="6" name="直接连接符 6"/>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5pt;margin-top:25.9pt;height:0pt;width:477pt;z-index:251660288;mso-width-relative:page;mso-height-relative:page;" filled="f" stroked="t" coordsize="21600,21600" o:gfxdata="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QZaW2QAAAAkBAAAPAAAA&#10;AAAAAAEAIAAAACIAAABkcnMvZG93bnJldi54bWxQSwECFAAUAAAACACHTuJAR8xHddsBAACfAwAA&#10;DgAAAAAAAAABACAAAAAoAQAAZHJzL2Uyb0RvYy54bWxQSwUGAAAAAAYABgBZAQAAdQUAAAAA&#10;">
                <v:fill on="f" focussize="0,0"/>
                <v:stroke weight="4.5pt" color="#000000" linestyle="thinThick" joinstyle="round"/>
                <v:imagedata o:title=""/>
                <o:lock v:ext="edit" aspectratio="f"/>
              </v:line>
            </w:pict>
          </mc:Fallback>
        </mc:AlternateContent>
      </w:r>
    </w:p>
    <w:p>
      <w:pPr>
        <w:pStyle w:val="12"/>
        <w:ind w:firstLine="917" w:firstLineChars="244"/>
        <w:rPr>
          <w:rFonts w:hAnsi="宋体"/>
          <w:spacing w:val="28"/>
          <w:sz w:val="32"/>
        </w:rPr>
      </w:pPr>
    </w:p>
    <w:p>
      <w:pPr>
        <w:rPr>
          <w:rFonts w:ascii="宋体" w:hAnsi="宋体" w:cs="宋体"/>
          <w:kern w:val="1"/>
        </w:rPr>
      </w:pPr>
    </w:p>
    <w:p>
      <w:pPr>
        <w:jc w:val="center"/>
        <w:rPr>
          <w:rFonts w:ascii="宋体" w:hAnsi="宋体" w:cs="宋体"/>
          <w:kern w:val="1"/>
        </w:rPr>
      </w:pPr>
    </w:p>
    <w:p>
      <w:pPr>
        <w:jc w:val="center"/>
        <w:rPr>
          <w:rFonts w:ascii="宋体" w:hAnsi="宋体" w:cs="宋体"/>
          <w:kern w:val="1"/>
        </w:rPr>
      </w:pPr>
    </w:p>
    <w:p>
      <w:pPr>
        <w:jc w:val="center"/>
        <w:rPr>
          <w:rFonts w:ascii="宋体" w:hAnsi="宋体" w:cs="宋体"/>
          <w:kern w:val="1"/>
        </w:rPr>
      </w:pPr>
    </w:p>
    <w:p>
      <w:pPr>
        <w:jc w:val="center"/>
      </w:pPr>
      <w:r>
        <w:rPr>
          <w:rFonts w:ascii="宋体" w:hAnsi="宋体" w:cs="宋体"/>
          <w:kern w:val="1"/>
        </w:rPr>
        <w:drawing>
          <wp:inline distT="0" distB="0" distL="114300" distR="114300">
            <wp:extent cx="2468245" cy="1844040"/>
            <wp:effectExtent l="0" t="0" r="8255" b="3810"/>
            <wp:docPr id="5"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_clip_image-22531"/>
                    <pic:cNvPicPr>
                      <a:picLocks noChangeAspect="1"/>
                    </pic:cNvPicPr>
                  </pic:nvPicPr>
                  <pic:blipFill>
                    <a:blip r:embed="rId11"/>
                    <a:stretch>
                      <a:fillRect/>
                    </a:stretch>
                  </pic:blipFill>
                  <pic:spPr>
                    <a:xfrm>
                      <a:off x="0" y="0"/>
                      <a:ext cx="2468245" cy="1844040"/>
                    </a:xfrm>
                    <a:prstGeom prst="rect">
                      <a:avLst/>
                    </a:prstGeom>
                    <a:noFill/>
                    <a:ln w="9525">
                      <a:noFill/>
                    </a:ln>
                  </pic:spPr>
                </pic:pic>
              </a:graphicData>
            </a:graphic>
          </wp:inline>
        </w:drawing>
      </w:r>
    </w:p>
    <w:p/>
    <w:p/>
    <w:p/>
    <w:p>
      <w:pPr>
        <w:pStyle w:val="12"/>
        <w:jc w:val="center"/>
        <w:rPr>
          <w:rFonts w:hAnsi="宋体"/>
          <w:b/>
          <w:spacing w:val="-18"/>
          <w:sz w:val="96"/>
          <w:szCs w:val="96"/>
        </w:rPr>
      </w:pPr>
      <w:r>
        <w:rPr>
          <w:rFonts w:hint="eastAsia" w:hAnsi="宋体"/>
          <w:b/>
          <w:spacing w:val="-18"/>
          <w:sz w:val="96"/>
          <w:szCs w:val="96"/>
        </w:rPr>
        <w:t xml:space="preserve">公 开 招 标 </w:t>
      </w:r>
      <w:r>
        <w:rPr>
          <w:rFonts w:hAnsi="宋体"/>
          <w:b/>
          <w:spacing w:val="-18"/>
          <w:sz w:val="96"/>
          <w:szCs w:val="96"/>
        </w:rPr>
        <w:t>文</w:t>
      </w:r>
      <w:r>
        <w:rPr>
          <w:rFonts w:hint="eastAsia" w:hAnsi="宋体"/>
          <w:b/>
          <w:spacing w:val="-18"/>
          <w:sz w:val="96"/>
          <w:szCs w:val="96"/>
        </w:rPr>
        <w:t xml:space="preserve"> </w:t>
      </w:r>
      <w:r>
        <w:rPr>
          <w:rFonts w:hAnsi="宋体"/>
          <w:b/>
          <w:spacing w:val="-18"/>
          <w:sz w:val="96"/>
          <w:szCs w:val="96"/>
        </w:rPr>
        <w:t>件</w:t>
      </w:r>
    </w:p>
    <w:p/>
    <w:p>
      <w:pPr>
        <w:widowControl/>
        <w:shd w:val="clear" w:color="auto" w:fill="FFFFFF"/>
        <w:snapToGrid w:val="0"/>
        <w:spacing w:line="320" w:lineRule="atLeast"/>
        <w:ind w:firstLine="480"/>
        <w:jc w:val="left"/>
        <w:rPr>
          <w:rFonts w:ascii="仿宋" w:hAnsi="仿宋" w:eastAsia="仿宋" w:cs="仿宋"/>
          <w:color w:val="000000"/>
          <w:sz w:val="24"/>
        </w:rPr>
      </w:pPr>
      <w:r>
        <w:rPr>
          <w:rFonts w:hint="eastAsia"/>
          <w:b/>
          <w:sz w:val="36"/>
          <w:szCs w:val="36"/>
        </w:rPr>
        <w:t xml:space="preserve">  项目编号：GXZC2020-G1-003272-GXJL</w:t>
      </w:r>
    </w:p>
    <w:p>
      <w:pPr>
        <w:rPr>
          <w:b/>
          <w:sz w:val="36"/>
          <w:szCs w:val="36"/>
        </w:rPr>
      </w:pPr>
    </w:p>
    <w:p>
      <w:pPr>
        <w:rPr>
          <w:b/>
          <w:sz w:val="24"/>
        </w:rPr>
      </w:pPr>
    </w:p>
    <w:p>
      <w:pPr>
        <w:rPr>
          <w:b/>
          <w:sz w:val="24"/>
        </w:rPr>
      </w:pPr>
    </w:p>
    <w:p>
      <w:pPr>
        <w:rPr>
          <w:b/>
          <w:sz w:val="24"/>
        </w:rPr>
      </w:pPr>
    </w:p>
    <w:p>
      <w:pPr>
        <w:rPr>
          <w:b/>
          <w:sz w:val="36"/>
          <w:szCs w:val="36"/>
        </w:rPr>
      </w:pPr>
    </w:p>
    <w:p>
      <w:pPr>
        <w:pStyle w:val="12"/>
        <w:ind w:left="-7" w:leftChars="-8" w:hanging="10" w:hangingChars="5"/>
        <w:rPr>
          <w:b/>
          <w:sz w:val="20"/>
        </w:rPr>
      </w:pPr>
    </w:p>
    <w:p>
      <w:pPr>
        <w:pStyle w:val="12"/>
        <w:rPr>
          <w:rFonts w:hAnsi="宋体"/>
          <w:b/>
          <w:spacing w:val="-6"/>
          <w:sz w:val="36"/>
          <w:szCs w:val="36"/>
        </w:rPr>
      </w:pPr>
      <w:r>
        <w:rPr>
          <w:b/>
          <w:sz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127635</wp:posOffset>
                </wp:positionV>
                <wp:extent cx="60579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5pt;margin-top:10.05pt;height:0pt;width:477pt;z-index:251659264;mso-width-relative:page;mso-height-relative:page;" filled="f" stroked="t" coordsize="21600,21600" o:gfxdata="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5fOJ2AAAAAkBAAAPAAAA&#10;AAAAAAEAIAAAACIAAABkcnMvZG93bnJldi54bWxQSwECFAAUAAAACACHTuJAXPdlVdwBAACfAwAA&#10;DgAAAAAAAAABACAAAAAnAQAAZHJzL2Uyb0RvYy54bWxQSwUGAAAAAAYABgBZAQAAdQUAAAAA&#10;">
                <v:fill on="f" focussize="0,0"/>
                <v:stroke weight="4.5pt" color="#000000" linestyle="thinThick" joinstyle="round"/>
                <v:imagedata o:title=""/>
                <o:lock v:ext="edit" aspectratio="f"/>
              </v:line>
            </w:pict>
          </mc:Fallback>
        </mc:AlternateContent>
      </w:r>
    </w:p>
    <w:p>
      <w:pPr>
        <w:pStyle w:val="12"/>
        <w:ind w:left="231" w:leftChars="-95" w:hanging="430" w:hangingChars="100"/>
        <w:jc w:val="center"/>
        <w:rPr>
          <w:rFonts w:hAnsi="宋体"/>
          <w:b/>
          <w:spacing w:val="-6"/>
          <w:sz w:val="44"/>
          <w:szCs w:val="44"/>
        </w:rPr>
      </w:pPr>
      <w:r>
        <w:rPr>
          <w:rFonts w:hint="eastAsia" w:hAnsi="宋体"/>
          <w:b/>
          <w:spacing w:val="-6"/>
          <w:sz w:val="44"/>
          <w:szCs w:val="44"/>
        </w:rPr>
        <w:t>采购代理机构：广西建隆工程咨询有限公司（盖章）</w:t>
      </w:r>
    </w:p>
    <w:p>
      <w:pPr>
        <w:pStyle w:val="6"/>
        <w:rPr>
          <w:sz w:val="32"/>
          <w:szCs w:val="32"/>
        </w:rPr>
      </w:pPr>
    </w:p>
    <w:p>
      <w:pPr>
        <w:pStyle w:val="13"/>
        <w:ind w:left="125" w:leftChars="0" w:hanging="125" w:hangingChars="29"/>
        <w:jc w:val="center"/>
        <w:rPr>
          <w:rFonts w:hAnsi="宋体"/>
          <w:b/>
          <w:spacing w:val="-6"/>
          <w:sz w:val="44"/>
          <w:szCs w:val="44"/>
        </w:rPr>
      </w:pPr>
      <w:r>
        <w:rPr>
          <w:rFonts w:hint="eastAsia" w:hAnsi="宋体"/>
          <w:b/>
          <w:spacing w:val="-6"/>
          <w:sz w:val="44"/>
          <w:szCs w:val="44"/>
        </w:rPr>
        <w:t>二O二O年八月</w:t>
      </w:r>
    </w:p>
    <w:p>
      <w:pPr>
        <w:ind w:firstLine="360" w:firstLineChars="100"/>
        <w:jc w:val="center"/>
        <w:rPr>
          <w:sz w:val="36"/>
          <w:szCs w:val="32"/>
        </w:rPr>
        <w:sectPr>
          <w:footerReference r:id="rId5" w:type="first"/>
          <w:footerReference r:id="rId3" w:type="default"/>
          <w:footerReference r:id="rId4" w:type="even"/>
          <w:pgSz w:w="11906" w:h="16838"/>
          <w:pgMar w:top="1418" w:right="1418" w:bottom="1246" w:left="1418" w:header="851" w:footer="992" w:gutter="0"/>
          <w:pgNumType w:start="0"/>
          <w:cols w:space="720" w:num="1"/>
          <w:titlePg/>
          <w:docGrid w:linePitch="312" w:charSpace="0"/>
        </w:sectPr>
      </w:pPr>
    </w:p>
    <w:p>
      <w:pPr>
        <w:pStyle w:val="12"/>
        <w:spacing w:before="120" w:after="120" w:line="360" w:lineRule="auto"/>
        <w:jc w:val="center"/>
        <w:rPr>
          <w:rFonts w:ascii="黑体" w:hAnsi="黑体" w:eastAsia="黑体"/>
          <w:sz w:val="44"/>
          <w:szCs w:val="44"/>
        </w:rPr>
      </w:pPr>
      <w:r>
        <w:rPr>
          <w:rFonts w:hint="eastAsia" w:ascii="黑体" w:hAnsi="黑体" w:eastAsia="黑体"/>
          <w:sz w:val="44"/>
          <w:szCs w:val="44"/>
        </w:rPr>
        <w:t>目    录</w:t>
      </w:r>
    </w:p>
    <w:p>
      <w:pPr>
        <w:pStyle w:val="12"/>
        <w:spacing w:before="120" w:after="120" w:line="360" w:lineRule="auto"/>
        <w:jc w:val="center"/>
        <w:rPr>
          <w:rFonts w:ascii="黑体" w:hAnsi="黑体" w:eastAsia="黑体"/>
          <w:sz w:val="44"/>
          <w:szCs w:val="44"/>
        </w:rPr>
      </w:pPr>
    </w:p>
    <w:p>
      <w:pPr>
        <w:pStyle w:val="15"/>
        <w:ind w:firstLine="238"/>
        <w:rPr>
          <w:rFonts w:asciiTheme="minorHAnsi" w:hAnsiTheme="minorHAnsi" w:eastAsiaTheme="minorEastAsia" w:cstheme="minorBidi"/>
          <w:b w:val="0"/>
          <w:bCs w:val="0"/>
          <w:caps w:val="0"/>
          <w:sz w:val="21"/>
          <w:szCs w:val="22"/>
        </w:rPr>
      </w:pPr>
      <w:r>
        <w:rPr>
          <w:b w:val="0"/>
          <w:sz w:val="28"/>
          <w:szCs w:val="28"/>
        </w:rPr>
        <w:fldChar w:fldCharType="begin"/>
      </w:r>
      <w:r>
        <w:rPr>
          <w:b w:val="0"/>
          <w:sz w:val="28"/>
          <w:szCs w:val="28"/>
        </w:rPr>
        <w:instrText xml:space="preserve"> </w:instrText>
      </w:r>
      <w:r>
        <w:rPr>
          <w:rFonts w:hint="eastAsia"/>
          <w:b w:val="0"/>
          <w:sz w:val="28"/>
          <w:szCs w:val="28"/>
        </w:rPr>
        <w:instrText xml:space="preserve">TOC \o "1-1" \h \z \u</w:instrText>
      </w:r>
      <w:r>
        <w:rPr>
          <w:b w:val="0"/>
          <w:sz w:val="28"/>
          <w:szCs w:val="28"/>
        </w:rPr>
        <w:instrText xml:space="preserve"> </w:instrText>
      </w:r>
      <w:r>
        <w:rPr>
          <w:b w:val="0"/>
          <w:sz w:val="28"/>
          <w:szCs w:val="28"/>
        </w:rPr>
        <w:fldChar w:fldCharType="separate"/>
      </w:r>
      <w:r>
        <w:fldChar w:fldCharType="begin"/>
      </w:r>
      <w:r>
        <w:instrText xml:space="preserve"> HYPERLINK \l "_Toc48031709" </w:instrText>
      </w:r>
      <w:r>
        <w:fldChar w:fldCharType="separate"/>
      </w:r>
      <w:r>
        <w:rPr>
          <w:rStyle w:val="27"/>
          <w:rFonts w:hint="eastAsia" w:ascii="黑体" w:eastAsia="黑体"/>
        </w:rPr>
        <w:t>第一章</w:t>
      </w:r>
      <w:r>
        <w:rPr>
          <w:rStyle w:val="27"/>
          <w:rFonts w:ascii="黑体" w:eastAsia="黑体"/>
        </w:rPr>
        <w:t xml:space="preserve">  </w:t>
      </w:r>
      <w:r>
        <w:rPr>
          <w:rStyle w:val="27"/>
          <w:rFonts w:hint="eastAsia" w:ascii="黑体" w:eastAsia="黑体"/>
        </w:rPr>
        <w:t>招标公告</w:t>
      </w:r>
      <w:r>
        <w:tab/>
      </w:r>
      <w:r>
        <w:fldChar w:fldCharType="begin"/>
      </w:r>
      <w:r>
        <w:instrText xml:space="preserve"> PAGEREF _Toc48031709 \h </w:instrText>
      </w:r>
      <w:r>
        <w:fldChar w:fldCharType="separate"/>
      </w:r>
      <w:r>
        <w:t>2</w:t>
      </w:r>
      <w:r>
        <w:fldChar w:fldCharType="end"/>
      </w:r>
      <w:r>
        <w:fldChar w:fldCharType="end"/>
      </w:r>
    </w:p>
    <w:p>
      <w:pPr>
        <w:pStyle w:val="15"/>
        <w:ind w:firstLine="205"/>
        <w:rPr>
          <w:rFonts w:asciiTheme="minorHAnsi" w:hAnsiTheme="minorHAnsi" w:eastAsiaTheme="minorEastAsia" w:cstheme="minorBidi"/>
          <w:b w:val="0"/>
          <w:bCs w:val="0"/>
          <w:caps w:val="0"/>
          <w:sz w:val="21"/>
          <w:szCs w:val="22"/>
        </w:rPr>
      </w:pPr>
      <w:r>
        <w:fldChar w:fldCharType="begin"/>
      </w:r>
      <w:r>
        <w:instrText xml:space="preserve"> HYPERLINK \l "_Toc48031711" </w:instrText>
      </w:r>
      <w:r>
        <w:fldChar w:fldCharType="separate"/>
      </w:r>
      <w:r>
        <w:rPr>
          <w:rStyle w:val="27"/>
          <w:rFonts w:hint="eastAsia" w:ascii="黑体" w:eastAsia="黑体"/>
        </w:rPr>
        <w:t>第二章</w:t>
      </w:r>
      <w:r>
        <w:rPr>
          <w:rStyle w:val="27"/>
          <w:rFonts w:ascii="黑体" w:eastAsia="黑体"/>
        </w:rPr>
        <w:t xml:space="preserve">  </w:t>
      </w:r>
      <w:r>
        <w:rPr>
          <w:rStyle w:val="27"/>
          <w:rFonts w:hint="eastAsia" w:ascii="黑体" w:eastAsia="黑体"/>
        </w:rPr>
        <w:t>采购需求一览表</w:t>
      </w:r>
      <w:r>
        <w:tab/>
      </w:r>
      <w:r>
        <w:fldChar w:fldCharType="begin"/>
      </w:r>
      <w:r>
        <w:instrText xml:space="preserve"> PAGEREF _Toc48031711 \h </w:instrText>
      </w:r>
      <w:r>
        <w:fldChar w:fldCharType="separate"/>
      </w:r>
      <w:r>
        <w:t>5</w:t>
      </w:r>
      <w:r>
        <w:fldChar w:fldCharType="end"/>
      </w:r>
      <w:r>
        <w:fldChar w:fldCharType="end"/>
      </w:r>
    </w:p>
    <w:p>
      <w:pPr>
        <w:pStyle w:val="15"/>
        <w:ind w:firstLine="205"/>
        <w:rPr>
          <w:rFonts w:asciiTheme="minorHAnsi" w:hAnsiTheme="minorHAnsi" w:eastAsiaTheme="minorEastAsia" w:cstheme="minorBidi"/>
          <w:b w:val="0"/>
          <w:bCs w:val="0"/>
          <w:caps w:val="0"/>
          <w:sz w:val="21"/>
          <w:szCs w:val="22"/>
        </w:rPr>
      </w:pPr>
      <w:r>
        <w:fldChar w:fldCharType="begin"/>
      </w:r>
      <w:r>
        <w:instrText xml:space="preserve"> HYPERLINK \l "_Toc48031712" </w:instrText>
      </w:r>
      <w:r>
        <w:fldChar w:fldCharType="separate"/>
      </w:r>
      <w:r>
        <w:rPr>
          <w:rStyle w:val="27"/>
          <w:rFonts w:hint="eastAsia" w:ascii="黑体" w:eastAsia="黑体"/>
        </w:rPr>
        <w:t>第三章</w:t>
      </w:r>
      <w:r>
        <w:rPr>
          <w:rStyle w:val="27"/>
          <w:rFonts w:ascii="黑体" w:eastAsia="黑体"/>
        </w:rPr>
        <w:t xml:space="preserve">  </w:t>
      </w:r>
      <w:r>
        <w:rPr>
          <w:rStyle w:val="27"/>
          <w:rFonts w:hint="eastAsia" w:ascii="黑体" w:eastAsia="黑体"/>
        </w:rPr>
        <w:t>投标人须知</w:t>
      </w:r>
      <w:r>
        <w:tab/>
      </w:r>
      <w:r>
        <w:fldChar w:fldCharType="begin"/>
      </w:r>
      <w:r>
        <w:instrText xml:space="preserve"> PAGEREF _Toc48031712 \h </w:instrText>
      </w:r>
      <w:r>
        <w:fldChar w:fldCharType="separate"/>
      </w:r>
      <w:r>
        <w:t>13</w:t>
      </w:r>
      <w:r>
        <w:fldChar w:fldCharType="end"/>
      </w:r>
      <w:r>
        <w:fldChar w:fldCharType="end"/>
      </w:r>
    </w:p>
    <w:p>
      <w:pPr>
        <w:pStyle w:val="15"/>
        <w:ind w:firstLine="205"/>
        <w:rPr>
          <w:rFonts w:asciiTheme="minorHAnsi" w:hAnsiTheme="minorHAnsi" w:eastAsiaTheme="minorEastAsia" w:cstheme="minorBidi"/>
          <w:b w:val="0"/>
          <w:bCs w:val="0"/>
          <w:caps w:val="0"/>
          <w:sz w:val="21"/>
          <w:szCs w:val="22"/>
        </w:rPr>
      </w:pPr>
      <w:r>
        <w:fldChar w:fldCharType="begin"/>
      </w:r>
      <w:r>
        <w:instrText xml:space="preserve"> HYPERLINK \l "_Toc48031713" </w:instrText>
      </w:r>
      <w:r>
        <w:fldChar w:fldCharType="separate"/>
      </w:r>
      <w:r>
        <w:rPr>
          <w:rStyle w:val="27"/>
          <w:rFonts w:hint="eastAsia" w:ascii="黑体" w:eastAsia="黑体"/>
        </w:rPr>
        <w:t>第四章</w:t>
      </w:r>
      <w:r>
        <w:rPr>
          <w:rStyle w:val="27"/>
          <w:rFonts w:ascii="黑体" w:eastAsia="黑体"/>
        </w:rPr>
        <w:t xml:space="preserve">  </w:t>
      </w:r>
      <w:r>
        <w:rPr>
          <w:rStyle w:val="27"/>
          <w:rFonts w:hint="eastAsia" w:ascii="黑体" w:eastAsia="黑体"/>
        </w:rPr>
        <w:t>评标办法及评分标准</w:t>
      </w:r>
      <w:r>
        <w:tab/>
      </w:r>
      <w:r>
        <w:fldChar w:fldCharType="begin"/>
      </w:r>
      <w:r>
        <w:instrText xml:space="preserve"> PAGEREF _Toc48031713 \h </w:instrText>
      </w:r>
      <w:r>
        <w:fldChar w:fldCharType="separate"/>
      </w:r>
      <w:r>
        <w:t>24</w:t>
      </w:r>
      <w:r>
        <w:fldChar w:fldCharType="end"/>
      </w:r>
      <w:r>
        <w:fldChar w:fldCharType="end"/>
      </w:r>
    </w:p>
    <w:p>
      <w:pPr>
        <w:pStyle w:val="15"/>
        <w:ind w:firstLine="205"/>
        <w:rPr>
          <w:rFonts w:asciiTheme="minorHAnsi" w:hAnsiTheme="minorHAnsi" w:eastAsiaTheme="minorEastAsia" w:cstheme="minorBidi"/>
          <w:b w:val="0"/>
          <w:bCs w:val="0"/>
          <w:caps w:val="0"/>
          <w:sz w:val="21"/>
          <w:szCs w:val="22"/>
        </w:rPr>
      </w:pPr>
      <w:r>
        <w:fldChar w:fldCharType="begin"/>
      </w:r>
      <w:r>
        <w:instrText xml:space="preserve"> HYPERLINK \l "_Toc48031719" </w:instrText>
      </w:r>
      <w:r>
        <w:fldChar w:fldCharType="separate"/>
      </w:r>
      <w:r>
        <w:rPr>
          <w:rStyle w:val="27"/>
          <w:rFonts w:hint="eastAsia" w:ascii="黑体" w:eastAsia="黑体"/>
        </w:rPr>
        <w:t>第五章</w:t>
      </w:r>
      <w:r>
        <w:rPr>
          <w:rStyle w:val="27"/>
          <w:rFonts w:ascii="黑体" w:eastAsia="黑体"/>
        </w:rPr>
        <w:t xml:space="preserve">  </w:t>
      </w:r>
      <w:r>
        <w:rPr>
          <w:rStyle w:val="27"/>
          <w:rFonts w:hint="eastAsia" w:ascii="黑体" w:eastAsia="黑体"/>
        </w:rPr>
        <w:t>合同主要条款格式</w:t>
      </w:r>
      <w:r>
        <w:tab/>
      </w:r>
      <w:r>
        <w:fldChar w:fldCharType="begin"/>
      </w:r>
      <w:r>
        <w:instrText xml:space="preserve"> PAGEREF _Toc48031719 \h </w:instrText>
      </w:r>
      <w:r>
        <w:fldChar w:fldCharType="separate"/>
      </w:r>
      <w:r>
        <w:t>27</w:t>
      </w:r>
      <w:r>
        <w:fldChar w:fldCharType="end"/>
      </w:r>
      <w:r>
        <w:fldChar w:fldCharType="end"/>
      </w:r>
    </w:p>
    <w:p>
      <w:pPr>
        <w:pStyle w:val="15"/>
        <w:ind w:firstLine="205"/>
        <w:rPr>
          <w:rFonts w:asciiTheme="minorHAnsi" w:hAnsiTheme="minorHAnsi" w:eastAsiaTheme="minorEastAsia" w:cstheme="minorBidi"/>
          <w:b w:val="0"/>
          <w:bCs w:val="0"/>
          <w:caps w:val="0"/>
          <w:sz w:val="21"/>
          <w:szCs w:val="22"/>
        </w:rPr>
      </w:pPr>
      <w:r>
        <w:fldChar w:fldCharType="begin"/>
      </w:r>
      <w:r>
        <w:instrText xml:space="preserve"> HYPERLINK \l "_Toc48031720" </w:instrText>
      </w:r>
      <w:r>
        <w:fldChar w:fldCharType="separate"/>
      </w:r>
      <w:r>
        <w:rPr>
          <w:rStyle w:val="27"/>
          <w:rFonts w:hint="eastAsia" w:ascii="黑体" w:eastAsia="黑体"/>
        </w:rPr>
        <w:t>第六章</w:t>
      </w:r>
      <w:r>
        <w:rPr>
          <w:rStyle w:val="27"/>
          <w:rFonts w:ascii="黑体" w:eastAsia="黑体"/>
        </w:rPr>
        <w:t xml:space="preserve">  </w:t>
      </w:r>
      <w:r>
        <w:rPr>
          <w:rStyle w:val="27"/>
          <w:rFonts w:hint="eastAsia" w:ascii="黑体" w:eastAsia="黑体"/>
        </w:rPr>
        <w:t>投标文件格式</w:t>
      </w:r>
      <w:r>
        <w:tab/>
      </w:r>
      <w:r>
        <w:fldChar w:fldCharType="begin"/>
      </w:r>
      <w:r>
        <w:instrText xml:space="preserve"> PAGEREF _Toc48031720 \h </w:instrText>
      </w:r>
      <w:r>
        <w:fldChar w:fldCharType="separate"/>
      </w:r>
      <w:r>
        <w:t>32</w:t>
      </w:r>
      <w:r>
        <w:fldChar w:fldCharType="end"/>
      </w:r>
      <w:r>
        <w:fldChar w:fldCharType="end"/>
      </w:r>
    </w:p>
    <w:p>
      <w:pPr>
        <w:spacing w:line="360" w:lineRule="auto"/>
        <w:rPr>
          <w:rFonts w:ascii="宋体" w:hAnsi="宋体"/>
          <w:sz w:val="28"/>
          <w:szCs w:val="28"/>
        </w:rPr>
      </w:pPr>
      <w:r>
        <w:rPr>
          <w:rFonts w:ascii="宋体" w:hAnsi="宋体"/>
          <w:sz w:val="28"/>
          <w:szCs w:val="28"/>
        </w:rPr>
        <w:fldChar w:fldCharType="end"/>
      </w:r>
    </w:p>
    <w:p>
      <w:pPr>
        <w:spacing w:before="120" w:beforeLines="50" w:line="480" w:lineRule="exact"/>
        <w:rPr>
          <w:rFonts w:ascii="仿宋_GB2312" w:hAnsi="宋体" w:eastAsia="仿宋_GB2312"/>
          <w:sz w:val="28"/>
          <w:szCs w:val="28"/>
        </w:rPr>
      </w:pPr>
    </w:p>
    <w:p>
      <w:pPr>
        <w:spacing w:before="120" w:beforeLines="50" w:line="480" w:lineRule="exact"/>
        <w:rPr>
          <w:rFonts w:ascii="仿宋_GB2312" w:hAnsi="宋体" w:eastAsia="仿宋_GB2312"/>
          <w:sz w:val="30"/>
        </w:rPr>
        <w:sectPr>
          <w:footerReference r:id="rId7" w:type="first"/>
          <w:footerReference r:id="rId6" w:type="default"/>
          <w:pgSz w:w="11906" w:h="16838"/>
          <w:pgMar w:top="1418" w:right="1418" w:bottom="1246" w:left="1418" w:header="851" w:footer="992" w:gutter="0"/>
          <w:pgNumType w:start="1"/>
          <w:cols w:space="720" w:num="1"/>
          <w:titlePg/>
          <w:docGrid w:linePitch="312" w:charSpace="0"/>
        </w:sectPr>
      </w:pPr>
    </w:p>
    <w:p>
      <w:pPr>
        <w:pStyle w:val="12"/>
        <w:snapToGrid w:val="0"/>
        <w:spacing w:before="120" w:after="120" w:line="320" w:lineRule="exact"/>
        <w:jc w:val="center"/>
        <w:outlineLvl w:val="0"/>
        <w:rPr>
          <w:rFonts w:ascii="黑体" w:hAnsi="宋体" w:eastAsia="黑体"/>
          <w:color w:val="auto"/>
          <w:sz w:val="32"/>
          <w:szCs w:val="32"/>
        </w:rPr>
      </w:pPr>
      <w:bookmarkStart w:id="2" w:name="_Toc254970489"/>
      <w:bookmarkStart w:id="3" w:name="_Toc254970630"/>
      <w:bookmarkStart w:id="4" w:name="_Toc48031709"/>
      <w:r>
        <w:rPr>
          <w:rFonts w:hint="eastAsia" w:ascii="黑体" w:hAnsi="宋体" w:eastAsia="黑体"/>
          <w:color w:val="auto"/>
          <w:sz w:val="32"/>
          <w:szCs w:val="32"/>
        </w:rPr>
        <w:t xml:space="preserve">第一章  </w:t>
      </w:r>
      <w:bookmarkEnd w:id="2"/>
      <w:bookmarkEnd w:id="3"/>
      <w:r>
        <w:rPr>
          <w:rFonts w:hint="eastAsia" w:ascii="黑体" w:hAnsi="宋体" w:eastAsia="黑体"/>
          <w:color w:val="auto"/>
          <w:sz w:val="32"/>
          <w:szCs w:val="32"/>
        </w:rPr>
        <w:t>招标公告</w:t>
      </w:r>
      <w:bookmarkEnd w:id="4"/>
    </w:p>
    <w:p>
      <w:pPr>
        <w:pBdr>
          <w:top w:val="single" w:color="auto" w:sz="4" w:space="1"/>
          <w:left w:val="single" w:color="auto" w:sz="4" w:space="4"/>
          <w:bottom w:val="single" w:color="auto" w:sz="4" w:space="1"/>
          <w:right w:val="single" w:color="auto" w:sz="4" w:space="4"/>
        </w:pBd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w:t>
      </w:r>
    </w:p>
    <w:p>
      <w:pPr>
        <w:pBdr>
          <w:top w:val="single" w:color="auto" w:sz="4" w:space="1"/>
          <w:left w:val="single" w:color="auto" w:sz="4" w:space="4"/>
          <w:bottom w:val="single" w:color="auto" w:sz="4" w:space="1"/>
          <w:right w:val="single" w:color="auto" w:sz="4" w:space="4"/>
        </w:pBdr>
        <w:snapToGrid w:val="0"/>
        <w:spacing w:line="3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广西无线电管理信息化建设—一体化基础平台建设和应用系统接入</w:t>
      </w:r>
      <w:r>
        <w:rPr>
          <w:rFonts w:hint="eastAsia" w:asciiTheme="minorEastAsia" w:hAnsiTheme="minorEastAsia" w:eastAsiaTheme="minorEastAsia" w:cstheme="minorEastAsia"/>
          <w:color w:val="auto"/>
          <w:szCs w:val="21"/>
        </w:rPr>
        <w:t>招标项目的潜在投标人应在</w:t>
      </w:r>
      <w:r>
        <w:rPr>
          <w:rFonts w:hint="eastAsia" w:asciiTheme="minorEastAsia" w:hAnsiTheme="minorEastAsia" w:eastAsiaTheme="minorEastAsia" w:cstheme="minorEastAsia"/>
          <w:color w:val="auto"/>
          <w:szCs w:val="21"/>
          <w:u w:val="single"/>
        </w:rPr>
        <w:t>广西建隆工程咨询有限公司（（广西南宁市竹溪大道36号青湖中心1301号））</w:t>
      </w:r>
      <w:r>
        <w:rPr>
          <w:rFonts w:hint="eastAsia" w:asciiTheme="minorEastAsia" w:hAnsiTheme="minorEastAsia" w:eastAsiaTheme="minorEastAsia" w:cstheme="minorEastAsia"/>
          <w:color w:val="auto"/>
          <w:szCs w:val="21"/>
        </w:rPr>
        <w:t>获取招标文件，并于</w:t>
      </w:r>
      <w:r>
        <w:rPr>
          <w:rFonts w:hint="eastAsia" w:asciiTheme="minorEastAsia" w:hAnsiTheme="minorEastAsia" w:eastAsiaTheme="minorEastAsia" w:cstheme="minorEastAsia"/>
          <w:color w:val="auto"/>
          <w:szCs w:val="21"/>
          <w:u w:val="single"/>
          <w:lang w:val="en-US" w:eastAsia="zh-CN"/>
        </w:rPr>
        <w:t>2020</w:t>
      </w:r>
      <w:r>
        <w:rPr>
          <w:rFonts w:hint="eastAsia" w:asciiTheme="minorEastAsia" w:hAnsiTheme="minorEastAsia" w:eastAsiaTheme="minorEastAsia" w:cstheme="minorEastAsia"/>
          <w:bCs/>
          <w:color w:val="auto"/>
          <w:szCs w:val="21"/>
          <w:u w:val="single"/>
        </w:rPr>
        <w:t>年</w:t>
      </w:r>
      <w:r>
        <w:rPr>
          <w:rFonts w:hint="eastAsia" w:asciiTheme="minorEastAsia" w:hAnsiTheme="minorEastAsia" w:eastAsiaTheme="minorEastAsia" w:cstheme="minorEastAsia"/>
          <w:bCs/>
          <w:color w:val="auto"/>
          <w:szCs w:val="21"/>
          <w:u w:val="single"/>
          <w:lang w:val="en-US" w:eastAsia="zh-CN"/>
        </w:rPr>
        <w:t>9</w:t>
      </w:r>
      <w:r>
        <w:rPr>
          <w:rFonts w:hint="eastAsia" w:asciiTheme="minorEastAsia" w:hAnsiTheme="minorEastAsia" w:eastAsiaTheme="minorEastAsia" w:cstheme="minorEastAsia"/>
          <w:bCs/>
          <w:color w:val="auto"/>
          <w:szCs w:val="21"/>
          <w:u w:val="single"/>
        </w:rPr>
        <w:t>月</w:t>
      </w:r>
      <w:r>
        <w:rPr>
          <w:rFonts w:hint="eastAsia" w:asciiTheme="minorEastAsia" w:hAnsiTheme="minorEastAsia" w:eastAsiaTheme="minorEastAsia" w:cstheme="minorEastAsia"/>
          <w:bCs/>
          <w:color w:val="auto"/>
          <w:szCs w:val="21"/>
          <w:u w:val="single"/>
          <w:lang w:val="en-US" w:eastAsia="zh-CN"/>
        </w:rPr>
        <w:t>16</w:t>
      </w:r>
      <w:r>
        <w:rPr>
          <w:rFonts w:hint="eastAsia" w:asciiTheme="minorEastAsia" w:hAnsiTheme="minorEastAsia" w:eastAsiaTheme="minorEastAsia" w:cstheme="minorEastAsia"/>
          <w:bCs/>
          <w:color w:val="auto"/>
          <w:szCs w:val="21"/>
          <w:u w:val="single"/>
        </w:rPr>
        <w:t>日</w:t>
      </w:r>
      <w:r>
        <w:rPr>
          <w:rFonts w:hint="eastAsia" w:asciiTheme="minorEastAsia" w:hAnsiTheme="minorEastAsia" w:eastAsiaTheme="minorEastAsia" w:cstheme="minorEastAsia"/>
          <w:bCs/>
          <w:color w:val="auto"/>
          <w:szCs w:val="21"/>
          <w:u w:val="single"/>
          <w:lang w:val="en-US" w:eastAsia="zh-CN"/>
        </w:rPr>
        <w:t>11</w:t>
      </w:r>
      <w:r>
        <w:rPr>
          <w:rFonts w:hint="eastAsia" w:asciiTheme="minorEastAsia" w:hAnsiTheme="minorEastAsia" w:eastAsiaTheme="minorEastAsia" w:cstheme="minorEastAsia"/>
          <w:bCs/>
          <w:color w:val="auto"/>
          <w:szCs w:val="21"/>
          <w:u w:val="single"/>
        </w:rPr>
        <w:t>点</w:t>
      </w:r>
      <w:r>
        <w:rPr>
          <w:rFonts w:hint="eastAsia" w:asciiTheme="minorEastAsia" w:hAnsiTheme="minorEastAsia" w:eastAsiaTheme="minorEastAsia" w:cstheme="minorEastAsia"/>
          <w:bCs/>
          <w:color w:val="auto"/>
          <w:szCs w:val="21"/>
          <w:u w:val="single"/>
          <w:lang w:val="en-US" w:eastAsia="zh-CN"/>
        </w:rPr>
        <w:t>30</w:t>
      </w:r>
      <w:r>
        <w:rPr>
          <w:rFonts w:hint="eastAsia" w:asciiTheme="minorEastAsia" w:hAnsiTheme="minorEastAsia" w:eastAsiaTheme="minorEastAsia" w:cstheme="minorEastAsia"/>
          <w:bCs/>
          <w:color w:val="auto"/>
          <w:szCs w:val="21"/>
          <w:u w:val="single"/>
        </w:rPr>
        <w:t>分（</w:t>
      </w:r>
      <w:r>
        <w:rPr>
          <w:rFonts w:hint="eastAsia" w:asciiTheme="minorEastAsia" w:hAnsiTheme="minorEastAsia" w:eastAsiaTheme="minorEastAsia" w:cstheme="minorEastAsia"/>
          <w:bCs/>
          <w:color w:val="auto"/>
          <w:szCs w:val="21"/>
        </w:rPr>
        <w:t>北京时间）前递交投标文件</w:t>
      </w:r>
      <w:r>
        <w:rPr>
          <w:rFonts w:hint="eastAsia" w:asciiTheme="minorEastAsia" w:hAnsiTheme="minorEastAsia" w:eastAsiaTheme="minorEastAsia" w:cstheme="minorEastAsia"/>
          <w:color w:val="auto"/>
          <w:szCs w:val="21"/>
        </w:rPr>
        <w:t>。</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bookmarkStart w:id="5" w:name="_Toc35393790"/>
      <w:bookmarkStart w:id="6" w:name="_Toc35393621"/>
      <w:bookmarkStart w:id="7" w:name="_Toc28359002"/>
      <w:bookmarkStart w:id="8" w:name="_Toc28359079"/>
      <w:bookmarkStart w:id="9" w:name="_Hlk24379207"/>
      <w:r>
        <w:rPr>
          <w:rFonts w:hint="eastAsia" w:asciiTheme="minorEastAsia" w:hAnsiTheme="minorEastAsia" w:eastAsiaTheme="minorEastAsia" w:cstheme="minorEastAsia"/>
          <w:bCs/>
          <w:color w:val="auto"/>
          <w:szCs w:val="21"/>
        </w:rPr>
        <w:t>一、项目基本情况</w:t>
      </w:r>
      <w:bookmarkEnd w:id="5"/>
      <w:bookmarkEnd w:id="6"/>
      <w:bookmarkEnd w:id="7"/>
      <w:bookmarkEnd w:id="8"/>
    </w:p>
    <w:p>
      <w:pPr>
        <w:snapToGrid w:val="0"/>
        <w:spacing w:line="3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项目编号：GXZC2020-G1-003272-GXJL</w:t>
      </w:r>
    </w:p>
    <w:p>
      <w:pPr>
        <w:snapToGrid w:val="0"/>
        <w:spacing w:line="30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政府采购计划编号：广西政采[2020]14514号</w:t>
      </w:r>
      <w:r>
        <w:rPr>
          <w:rFonts w:hint="eastAsia" w:asciiTheme="minorEastAsia" w:hAnsiTheme="minorEastAsia" w:eastAsiaTheme="minorEastAsia" w:cstheme="minorEastAsia"/>
          <w:color w:val="auto"/>
          <w:szCs w:val="21"/>
          <w:lang w:val="en-US" w:eastAsia="zh-CN"/>
        </w:rPr>
        <w:t>-001</w:t>
      </w:r>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项目名称：广西无线电管理信息化建设—一体化基础平台建设和应用系统接入</w:t>
      </w:r>
    </w:p>
    <w:bookmarkEnd w:id="9"/>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预算金额：人民币309.0万元</w:t>
      </w:r>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最高限价：人民币309.0万元</w:t>
      </w:r>
    </w:p>
    <w:p>
      <w:pPr>
        <w:snapToGrid w:val="0"/>
        <w:spacing w:line="300" w:lineRule="exact"/>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采购需求：广西无线电管理信息化建设—一体化基础平台建设和应用系统接入，对无线电管理一体化平台进行优化升级，详情见招标文件。</w:t>
      </w:r>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本项目不接受联合体投标。</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bookmarkStart w:id="10" w:name="_Toc35393791"/>
      <w:bookmarkStart w:id="11" w:name="_Toc35393622"/>
      <w:bookmarkStart w:id="12" w:name="_Toc28359003"/>
      <w:bookmarkStart w:id="13" w:name="_Toc28359080"/>
      <w:r>
        <w:rPr>
          <w:rFonts w:hint="eastAsia" w:asciiTheme="minorEastAsia" w:hAnsiTheme="minorEastAsia" w:eastAsiaTheme="minorEastAsia" w:cstheme="minorEastAsia"/>
          <w:bCs/>
          <w:color w:val="auto"/>
          <w:szCs w:val="21"/>
        </w:rPr>
        <w:t>二、申请人的资格要求：</w:t>
      </w:r>
      <w:bookmarkEnd w:id="10"/>
      <w:bookmarkEnd w:id="11"/>
      <w:bookmarkEnd w:id="12"/>
      <w:bookmarkEnd w:id="13"/>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1.满足《中华人民共和国政府采购法》第二十二条规定；</w:t>
      </w:r>
    </w:p>
    <w:p>
      <w:pPr>
        <w:snapToGrid w:val="0"/>
        <w:spacing w:line="300" w:lineRule="exact"/>
        <w:ind w:firstLine="420" w:firstLineChars="200"/>
        <w:rPr>
          <w:rFonts w:asciiTheme="minorEastAsia" w:hAnsiTheme="minorEastAsia" w:eastAsiaTheme="minorEastAsia" w:cstheme="minorEastAsia"/>
          <w:color w:val="auto"/>
          <w:szCs w:val="21"/>
        </w:rPr>
      </w:pPr>
      <w:bookmarkStart w:id="14" w:name="_Toc28359004"/>
      <w:bookmarkStart w:id="15" w:name="_Toc28359081"/>
      <w:r>
        <w:rPr>
          <w:rFonts w:hint="eastAsia" w:asciiTheme="minorEastAsia" w:hAnsiTheme="minorEastAsia" w:eastAsiaTheme="minorEastAsia" w:cstheme="minorEastAsia"/>
          <w:color w:val="auto"/>
          <w:szCs w:val="21"/>
        </w:rPr>
        <w:t>2.落实政府采购政策需满足的资格要求：</w:t>
      </w:r>
      <w:r>
        <w:rPr>
          <w:rFonts w:hint="eastAsia" w:asciiTheme="minorEastAsia" w:hAnsiTheme="minorEastAsia" w:eastAsiaTheme="minorEastAsia" w:cstheme="minorEastAsia"/>
          <w:color w:val="auto"/>
          <w:szCs w:val="21"/>
          <w:u w:val="single"/>
        </w:rPr>
        <w:t>无</w:t>
      </w:r>
    </w:p>
    <w:p>
      <w:pPr>
        <w:snapToGrid w:val="0"/>
        <w:spacing w:line="300" w:lineRule="exact"/>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3.本项目的特定资格要求：</w:t>
      </w:r>
      <w:r>
        <w:rPr>
          <w:rFonts w:hint="eastAsia" w:asciiTheme="minorEastAsia" w:hAnsiTheme="minorEastAsia" w:eastAsiaTheme="minorEastAsia" w:cstheme="minorEastAsia"/>
          <w:color w:val="auto"/>
          <w:szCs w:val="21"/>
          <w:u w:val="single"/>
        </w:rPr>
        <w:t>无</w:t>
      </w:r>
    </w:p>
    <w:p>
      <w:pPr>
        <w:snapToGrid w:val="0"/>
        <w:spacing w:line="3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00" w:lineRule="exact"/>
        <w:ind w:firstLine="420" w:firstLineChars="200"/>
        <w:rPr>
          <w:color w:val="auto"/>
        </w:rPr>
      </w:pPr>
      <w:r>
        <w:rPr>
          <w:rFonts w:hint="eastAsia" w:asciiTheme="minorEastAsia" w:hAnsiTheme="minorEastAsia" w:eastAsiaTheme="minorEastAsia" w:cstheme="minorEastAsia"/>
          <w:color w:val="auto"/>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bookmarkStart w:id="16" w:name="_Toc35393792"/>
      <w:bookmarkStart w:id="17" w:name="_Toc35393623"/>
      <w:r>
        <w:rPr>
          <w:rFonts w:hint="eastAsia" w:asciiTheme="minorEastAsia" w:hAnsiTheme="minorEastAsia" w:eastAsiaTheme="minorEastAsia" w:cstheme="minorEastAsia"/>
          <w:bCs/>
          <w:color w:val="auto"/>
          <w:szCs w:val="21"/>
        </w:rPr>
        <w:t>三、获取招标文件</w:t>
      </w:r>
      <w:bookmarkEnd w:id="14"/>
      <w:bookmarkEnd w:id="15"/>
      <w:bookmarkEnd w:id="16"/>
      <w:bookmarkEnd w:id="17"/>
    </w:p>
    <w:p>
      <w:pPr>
        <w:snapToGrid w:val="0"/>
        <w:spacing w:line="340" w:lineRule="exact"/>
        <w:ind w:firstLine="540"/>
        <w:rPr>
          <w:rFonts w:asciiTheme="minorEastAsia" w:hAnsiTheme="minorEastAsia" w:eastAsiaTheme="minorEastAsia" w:cstheme="minorEastAsia"/>
          <w:color w:val="auto"/>
          <w:szCs w:val="21"/>
        </w:rPr>
      </w:pPr>
      <w:bookmarkStart w:id="18" w:name="_Toc28359005"/>
      <w:bookmarkStart w:id="19" w:name="_Toc28359082"/>
      <w:bookmarkStart w:id="20" w:name="_Toc35393624"/>
      <w:bookmarkStart w:id="21" w:name="_Toc35393793"/>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u w:val="single"/>
          <w:lang w:val="en-US" w:eastAsia="zh-CN"/>
        </w:rPr>
        <w:t>2020</w:t>
      </w:r>
      <w:r>
        <w:rPr>
          <w:rFonts w:hint="eastAsia" w:asciiTheme="minorEastAsia" w:hAnsiTheme="minorEastAsia" w:eastAsiaTheme="minorEastAsia" w:cstheme="minorEastAsia"/>
          <w:color w:val="auto"/>
          <w:szCs w:val="21"/>
          <w:u w:val="single"/>
        </w:rPr>
        <w:t>年</w:t>
      </w:r>
      <w:r>
        <w:rPr>
          <w:rFonts w:hint="eastAsia" w:asciiTheme="minorEastAsia" w:hAnsiTheme="minorEastAsia" w:eastAsiaTheme="minorEastAsia" w:cstheme="minorEastAsia"/>
          <w:color w:val="auto"/>
          <w:szCs w:val="21"/>
          <w:u w:val="single"/>
          <w:lang w:val="en-US" w:eastAsia="zh-CN"/>
        </w:rPr>
        <w:t>8</w:t>
      </w:r>
      <w:r>
        <w:rPr>
          <w:rFonts w:hint="eastAsia" w:asciiTheme="minorEastAsia" w:hAnsiTheme="minorEastAsia" w:eastAsiaTheme="minorEastAsia" w:cstheme="minorEastAsia"/>
          <w:color w:val="auto"/>
          <w:szCs w:val="21"/>
          <w:u w:val="single"/>
        </w:rPr>
        <w:t>月</w:t>
      </w:r>
      <w:r>
        <w:rPr>
          <w:rFonts w:hint="eastAsia" w:asciiTheme="minorEastAsia" w:hAnsiTheme="minorEastAsia" w:eastAsiaTheme="minorEastAsia" w:cstheme="minorEastAsia"/>
          <w:color w:val="auto"/>
          <w:szCs w:val="21"/>
          <w:u w:val="single"/>
          <w:lang w:val="en-US" w:eastAsia="zh-CN"/>
        </w:rPr>
        <w:t>21</w:t>
      </w:r>
      <w:r>
        <w:rPr>
          <w:rFonts w:hint="eastAsia" w:asciiTheme="minorEastAsia" w:hAnsiTheme="minorEastAsia" w:eastAsiaTheme="minorEastAsia" w:cstheme="minorEastAsia"/>
          <w:color w:val="auto"/>
          <w:szCs w:val="21"/>
          <w:u w:val="single"/>
        </w:rPr>
        <w:t>日</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lang w:val="en-US" w:eastAsia="zh-CN"/>
        </w:rPr>
        <w:t>2020</w:t>
      </w:r>
      <w:r>
        <w:rPr>
          <w:rFonts w:hint="eastAsia" w:asciiTheme="minorEastAsia" w:hAnsiTheme="minorEastAsia" w:eastAsiaTheme="minorEastAsia" w:cstheme="minorEastAsia"/>
          <w:color w:val="auto"/>
          <w:szCs w:val="21"/>
          <w:u w:val="single"/>
        </w:rPr>
        <w:t>年</w:t>
      </w:r>
      <w:r>
        <w:rPr>
          <w:rFonts w:hint="eastAsia" w:asciiTheme="minorEastAsia" w:hAnsiTheme="minorEastAsia" w:eastAsiaTheme="minorEastAsia" w:cstheme="minorEastAsia"/>
          <w:color w:val="auto"/>
          <w:szCs w:val="21"/>
          <w:u w:val="single"/>
          <w:lang w:val="en-US" w:eastAsia="zh-CN"/>
        </w:rPr>
        <w:t>8</w:t>
      </w:r>
      <w:r>
        <w:rPr>
          <w:rFonts w:hint="eastAsia" w:asciiTheme="minorEastAsia" w:hAnsiTheme="minorEastAsia" w:eastAsiaTheme="minorEastAsia" w:cstheme="minorEastAsia"/>
          <w:color w:val="auto"/>
          <w:szCs w:val="21"/>
          <w:u w:val="single"/>
        </w:rPr>
        <w:t>月</w:t>
      </w:r>
      <w:r>
        <w:rPr>
          <w:rFonts w:hint="eastAsia" w:asciiTheme="minorEastAsia" w:hAnsiTheme="minorEastAsia" w:eastAsiaTheme="minorEastAsia" w:cstheme="minorEastAsia"/>
          <w:color w:val="auto"/>
          <w:szCs w:val="21"/>
          <w:u w:val="single"/>
          <w:lang w:val="en-US" w:eastAsia="zh-CN"/>
        </w:rPr>
        <w:t>28</w:t>
      </w:r>
      <w:r>
        <w:rPr>
          <w:rFonts w:hint="eastAsia" w:asciiTheme="minorEastAsia" w:hAnsiTheme="minorEastAsia" w:eastAsiaTheme="minorEastAsia" w:cstheme="minorEastAsia"/>
          <w:color w:val="auto"/>
          <w:szCs w:val="21"/>
          <w:u w:val="single"/>
        </w:rPr>
        <w:t xml:space="preserve"> 日（提供期限自本公告发布之日起不得少于5个工作日）</w:t>
      </w:r>
      <w:r>
        <w:rPr>
          <w:rFonts w:hint="eastAsia" w:asciiTheme="minorEastAsia" w:hAnsiTheme="minorEastAsia" w:eastAsiaTheme="minorEastAsia" w:cstheme="minorEastAsia"/>
          <w:color w:val="auto"/>
          <w:szCs w:val="21"/>
        </w:rPr>
        <w:t>，每天上午</w:t>
      </w:r>
      <w:r>
        <w:rPr>
          <w:rFonts w:hint="eastAsia" w:asciiTheme="minorEastAsia" w:hAnsiTheme="minorEastAsia" w:eastAsiaTheme="minorEastAsia" w:cstheme="minorEastAsia"/>
          <w:color w:val="auto"/>
          <w:szCs w:val="21"/>
          <w:u w:val="single"/>
          <w:lang w:val="en-US" w:eastAsia="zh-CN"/>
        </w:rPr>
        <w:t>08:30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lang w:val="en-US" w:eastAsia="zh-CN"/>
        </w:rPr>
        <w:t>12:00</w:t>
      </w:r>
      <w:r>
        <w:rPr>
          <w:rFonts w:hint="eastAsia" w:asciiTheme="minorEastAsia" w:hAnsiTheme="minorEastAsia" w:eastAsiaTheme="minorEastAsia" w:cstheme="minorEastAsia"/>
          <w:color w:val="auto"/>
          <w:szCs w:val="21"/>
        </w:rPr>
        <w:t>，下午</w:t>
      </w:r>
      <w:r>
        <w:rPr>
          <w:rFonts w:hint="eastAsia" w:asciiTheme="minorEastAsia" w:hAnsiTheme="minorEastAsia" w:eastAsiaTheme="minorEastAsia" w:cstheme="minorEastAsia"/>
          <w:color w:val="auto"/>
          <w:szCs w:val="21"/>
          <w:u w:val="single"/>
          <w:lang w:val="en-US" w:eastAsia="zh-CN"/>
        </w:rPr>
        <w:t>15:00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lang w:val="en-US" w:eastAsia="zh-CN"/>
        </w:rPr>
        <w:t>18:00</w:t>
      </w:r>
      <w:r>
        <w:rPr>
          <w:rFonts w:hint="eastAsia" w:asciiTheme="minorEastAsia" w:hAnsiTheme="minorEastAsia" w:eastAsiaTheme="minorEastAsia" w:cstheme="minorEastAsia"/>
          <w:color w:val="auto"/>
          <w:szCs w:val="21"/>
        </w:rPr>
        <w:t>（北京时间，法定节假日除外）</w:t>
      </w:r>
    </w:p>
    <w:p>
      <w:pPr>
        <w:snapToGrid w:val="0"/>
        <w:spacing w:line="340" w:lineRule="exact"/>
        <w:ind w:firstLine="54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地点：广西建隆工程咨询有限公司（广西南宁市竹溪大道36号青湖中心1301号）</w:t>
      </w:r>
    </w:p>
    <w:p>
      <w:pPr>
        <w:snapToGrid w:val="0"/>
        <w:spacing w:line="340" w:lineRule="exact"/>
        <w:ind w:firstLine="54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方式：请符合上述条件的投标单位的法定代表人或授权委托代理人持以下资料购买招标文件：法人营业执照副本复印件、企业税务登记证副本复印件、企业组织机构代码证复印件（已取得“三证合一”的单位不需提供组织机构代码证及税务登记证）、法人代表授权委托书原件、法定代表人或授权委托人身份证复印件、投标人为委托人缴纳近三个月社会保险的凭证复印件，以上复印件须加盖公章，否则不予受理。</w:t>
      </w:r>
    </w:p>
    <w:p>
      <w:pPr>
        <w:snapToGrid w:val="0"/>
        <w:spacing w:line="340" w:lineRule="exact"/>
        <w:ind w:firstLine="54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售价：招标文件工本费每套300元，售后不退。</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四、提交投标文件</w:t>
      </w:r>
      <w:bookmarkEnd w:id="18"/>
      <w:bookmarkEnd w:id="19"/>
      <w:r>
        <w:rPr>
          <w:rFonts w:hint="eastAsia" w:asciiTheme="minorEastAsia" w:hAnsiTheme="minorEastAsia" w:eastAsiaTheme="minorEastAsia" w:cstheme="minorEastAsia"/>
          <w:bCs/>
          <w:color w:val="auto"/>
          <w:szCs w:val="21"/>
        </w:rPr>
        <w:t>截止时间、开标时间和地点</w:t>
      </w:r>
      <w:bookmarkEnd w:id="20"/>
      <w:bookmarkEnd w:id="21"/>
    </w:p>
    <w:p>
      <w:pPr>
        <w:snapToGrid w:val="0"/>
        <w:spacing w:line="300" w:lineRule="exact"/>
        <w:ind w:firstLine="420" w:firstLineChars="2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u w:val="single"/>
        </w:rPr>
        <w:t>2020年</w:t>
      </w:r>
      <w:r>
        <w:rPr>
          <w:rFonts w:hint="eastAsia" w:asciiTheme="minorEastAsia" w:hAnsiTheme="minorEastAsia" w:eastAsiaTheme="minorEastAsia" w:cstheme="minorEastAsia"/>
          <w:bCs/>
          <w:color w:val="auto"/>
          <w:szCs w:val="21"/>
          <w:u w:val="single"/>
          <w:lang w:val="en-US" w:eastAsia="zh-CN"/>
        </w:rPr>
        <w:t>9</w:t>
      </w:r>
      <w:r>
        <w:rPr>
          <w:rFonts w:hint="eastAsia" w:asciiTheme="minorEastAsia" w:hAnsiTheme="minorEastAsia" w:eastAsiaTheme="minorEastAsia" w:cstheme="minorEastAsia"/>
          <w:bCs/>
          <w:color w:val="auto"/>
          <w:szCs w:val="21"/>
          <w:u w:val="single"/>
        </w:rPr>
        <w:t>月</w:t>
      </w:r>
      <w:r>
        <w:rPr>
          <w:rFonts w:hint="eastAsia" w:asciiTheme="minorEastAsia" w:hAnsiTheme="minorEastAsia" w:eastAsiaTheme="minorEastAsia" w:cstheme="minorEastAsia"/>
          <w:bCs/>
          <w:color w:val="auto"/>
          <w:szCs w:val="21"/>
          <w:u w:val="single"/>
          <w:lang w:val="en-US" w:eastAsia="zh-CN"/>
        </w:rPr>
        <w:t>16</w:t>
      </w:r>
      <w:r>
        <w:rPr>
          <w:rFonts w:hint="eastAsia" w:asciiTheme="minorEastAsia" w:hAnsiTheme="minorEastAsia" w:eastAsiaTheme="minorEastAsia" w:cstheme="minorEastAsia"/>
          <w:bCs/>
          <w:color w:val="auto"/>
          <w:szCs w:val="21"/>
          <w:u w:val="single"/>
        </w:rPr>
        <w:t>日</w:t>
      </w:r>
      <w:r>
        <w:rPr>
          <w:rFonts w:hint="eastAsia" w:asciiTheme="minorEastAsia" w:hAnsiTheme="minorEastAsia" w:eastAsiaTheme="minorEastAsia" w:cstheme="minorEastAsia"/>
          <w:bCs/>
          <w:color w:val="auto"/>
          <w:szCs w:val="21"/>
          <w:u w:val="single"/>
          <w:lang w:val="en-US" w:eastAsia="zh-CN"/>
        </w:rPr>
        <w:t>11</w:t>
      </w:r>
      <w:r>
        <w:rPr>
          <w:rFonts w:hint="eastAsia" w:asciiTheme="minorEastAsia" w:hAnsiTheme="minorEastAsia" w:eastAsiaTheme="minorEastAsia" w:cstheme="minorEastAsia"/>
          <w:bCs/>
          <w:color w:val="auto"/>
          <w:szCs w:val="21"/>
          <w:u w:val="single"/>
        </w:rPr>
        <w:t>点</w:t>
      </w:r>
      <w:r>
        <w:rPr>
          <w:rFonts w:hint="eastAsia" w:asciiTheme="minorEastAsia" w:hAnsiTheme="minorEastAsia" w:eastAsiaTheme="minorEastAsia" w:cstheme="minorEastAsia"/>
          <w:bCs/>
          <w:color w:val="auto"/>
          <w:szCs w:val="21"/>
          <w:u w:val="single"/>
          <w:lang w:val="en-US" w:eastAsia="zh-CN"/>
        </w:rPr>
        <w:t>00</w:t>
      </w:r>
      <w:r>
        <w:rPr>
          <w:rFonts w:hint="eastAsia" w:asciiTheme="minorEastAsia" w:hAnsiTheme="minorEastAsia" w:eastAsiaTheme="minorEastAsia" w:cstheme="minorEastAsia"/>
          <w:bCs/>
          <w:color w:val="auto"/>
          <w:szCs w:val="21"/>
          <w:u w:val="single"/>
        </w:rPr>
        <w:t>分</w:t>
      </w:r>
      <w:r>
        <w:rPr>
          <w:rFonts w:hint="eastAsia" w:asciiTheme="minorEastAsia" w:hAnsiTheme="minorEastAsia" w:eastAsiaTheme="minorEastAsia" w:cstheme="minorEastAsia"/>
          <w:bCs/>
          <w:color w:val="auto"/>
          <w:szCs w:val="21"/>
        </w:rPr>
        <w:t>（北京时间）</w:t>
      </w:r>
    </w:p>
    <w:p>
      <w:pPr>
        <w:pStyle w:val="16"/>
        <w:widowControl/>
        <w:snapToGrid w:val="0"/>
        <w:spacing w:line="300" w:lineRule="exact"/>
        <w:ind w:firstLine="42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地点：</w:t>
      </w:r>
      <w:r>
        <w:rPr>
          <w:rStyle w:val="20"/>
          <w:rFonts w:hint="eastAsia" w:asciiTheme="minorEastAsia" w:hAnsiTheme="minorEastAsia" w:eastAsiaTheme="minorEastAsia" w:cstheme="minorEastAsia"/>
          <w:b w:val="0"/>
          <w:bCs/>
          <w:color w:val="auto"/>
          <w:sz w:val="21"/>
          <w:szCs w:val="21"/>
        </w:rPr>
        <w:t>广西壮族自治区公共资源交易中心（广西南宁市青秀区怡宾路6号自治区政务服务中心4楼）（具体开标室根据电子屏幕显示的安排）；</w:t>
      </w:r>
      <w:r>
        <w:rPr>
          <w:rFonts w:hint="eastAsia" w:asciiTheme="minorEastAsia" w:hAnsiTheme="minorEastAsia" w:eastAsiaTheme="minorEastAsia" w:cstheme="minorEastAsia"/>
          <w:bCs/>
          <w:color w:val="auto"/>
          <w:sz w:val="21"/>
          <w:szCs w:val="21"/>
        </w:rPr>
        <w:t>未在规定时间内送达或未按照招标文件要求密封的投标文件，将予以拒收。</w:t>
      </w:r>
    </w:p>
    <w:p>
      <w:pPr>
        <w:pStyle w:val="16"/>
        <w:widowControl/>
        <w:spacing w:line="300" w:lineRule="exact"/>
        <w:ind w:firstLine="420"/>
        <w:rPr>
          <w:color w:val="auto"/>
        </w:rPr>
      </w:pPr>
      <w:r>
        <w:rPr>
          <w:rStyle w:val="20"/>
          <w:rFonts w:hint="eastAsia" w:ascii="宋体" w:hAnsi="宋体" w:cs="宋体"/>
          <w:color w:val="auto"/>
        </w:rPr>
        <w:t>特别说明和提醒：</w:t>
      </w:r>
    </w:p>
    <w:p>
      <w:pPr>
        <w:pStyle w:val="16"/>
        <w:widowControl/>
        <w:spacing w:line="300" w:lineRule="exact"/>
        <w:ind w:firstLine="420"/>
        <w:rPr>
          <w:bCs/>
          <w:color w:val="auto"/>
          <w:sz w:val="21"/>
          <w:szCs w:val="21"/>
        </w:rPr>
      </w:pPr>
      <w:r>
        <w:rPr>
          <w:rStyle w:val="20"/>
          <w:rFonts w:hint="eastAsia" w:ascii="宋体" w:hAnsi="宋体" w:cs="宋体"/>
          <w:b w:val="0"/>
          <w:bCs/>
          <w:color w:val="auto"/>
          <w:sz w:val="21"/>
          <w:szCs w:val="21"/>
        </w:rPr>
        <w:t>（1）投标文件可采用现场递交或邮寄方式送达。采用邮寄方式的，送达时间以交易中心签收时间为准。交易中心收到邮寄文件后，及时通知投标人（供应商），并于开标前运送到指定开标室。在投标截止时间前邮寄送达的投标文件视为投标人现场递交。</w:t>
      </w:r>
    </w:p>
    <w:p>
      <w:pPr>
        <w:pStyle w:val="16"/>
        <w:widowControl/>
        <w:spacing w:line="300" w:lineRule="exact"/>
        <w:ind w:firstLine="420"/>
        <w:rPr>
          <w:bCs/>
          <w:color w:val="auto"/>
          <w:sz w:val="21"/>
          <w:szCs w:val="21"/>
        </w:rPr>
      </w:pPr>
      <w:r>
        <w:rPr>
          <w:rStyle w:val="20"/>
          <w:rFonts w:hint="eastAsia" w:ascii="宋体" w:hAnsi="宋体" w:cs="宋体"/>
          <w:b w:val="0"/>
          <w:bCs/>
          <w:color w:val="auto"/>
          <w:sz w:val="21"/>
          <w:szCs w:val="21"/>
        </w:rPr>
        <w:t>（2）投标人（供应商）应预留邮寄投标文件行程的足够时间，如邮寄投标文件的快件无法按照本项目招标文件要求的投标截止时间前送达的（寄出不能等同于送达），将予以拒收，后果由投标人自行承担。</w:t>
      </w:r>
    </w:p>
    <w:p>
      <w:pPr>
        <w:pStyle w:val="16"/>
        <w:widowControl/>
        <w:spacing w:line="300" w:lineRule="exact"/>
        <w:ind w:firstLine="420"/>
        <w:rPr>
          <w:bCs/>
          <w:color w:val="auto"/>
          <w:sz w:val="21"/>
          <w:szCs w:val="21"/>
        </w:rPr>
      </w:pPr>
      <w:r>
        <w:rPr>
          <w:rStyle w:val="20"/>
          <w:rFonts w:hint="eastAsia" w:ascii="宋体" w:hAnsi="宋体" w:cs="宋体"/>
          <w:b w:val="0"/>
          <w:bCs/>
          <w:color w:val="auto"/>
          <w:sz w:val="21"/>
          <w:szCs w:val="21"/>
        </w:rPr>
        <w:t>（3）采用邮寄方式送达的请按下列邮寄信息办理：</w:t>
      </w:r>
    </w:p>
    <w:p>
      <w:pPr>
        <w:pStyle w:val="16"/>
        <w:widowControl/>
        <w:spacing w:line="300" w:lineRule="exact"/>
        <w:ind w:firstLine="420"/>
        <w:rPr>
          <w:bCs/>
          <w:color w:val="auto"/>
          <w:sz w:val="21"/>
          <w:szCs w:val="21"/>
        </w:rPr>
      </w:pPr>
      <w:r>
        <w:rPr>
          <w:rStyle w:val="20"/>
          <w:rFonts w:hint="eastAsia" w:ascii="宋体" w:hAnsi="宋体" w:cs="宋体"/>
          <w:b w:val="0"/>
          <w:bCs/>
          <w:color w:val="auto"/>
          <w:sz w:val="21"/>
          <w:szCs w:val="21"/>
        </w:rPr>
        <w:t>①收件地址：广西南宁市怡宾路6号四楼广西壮族自治区公共资源交易中心。</w:t>
      </w:r>
    </w:p>
    <w:p>
      <w:pPr>
        <w:pStyle w:val="16"/>
        <w:widowControl/>
        <w:spacing w:line="300" w:lineRule="exact"/>
        <w:ind w:firstLine="420"/>
        <w:rPr>
          <w:bCs/>
          <w:color w:val="auto"/>
          <w:sz w:val="21"/>
          <w:szCs w:val="21"/>
        </w:rPr>
      </w:pPr>
      <w:r>
        <w:rPr>
          <w:rStyle w:val="20"/>
          <w:rFonts w:hint="eastAsia" w:ascii="宋体" w:hAnsi="宋体" w:cs="宋体"/>
          <w:b w:val="0"/>
          <w:bCs/>
          <w:color w:val="auto"/>
          <w:sz w:val="21"/>
          <w:szCs w:val="21"/>
        </w:rPr>
        <w:t>②收件人：何芮，电话13558331127。</w:t>
      </w:r>
    </w:p>
    <w:p>
      <w:pPr>
        <w:pStyle w:val="16"/>
        <w:widowControl/>
        <w:spacing w:line="300" w:lineRule="exact"/>
        <w:ind w:firstLine="420"/>
        <w:rPr>
          <w:rStyle w:val="20"/>
          <w:rFonts w:ascii="宋体" w:hAnsi="宋体" w:cs="宋体"/>
          <w:b w:val="0"/>
          <w:bCs/>
          <w:color w:val="auto"/>
          <w:sz w:val="21"/>
          <w:szCs w:val="21"/>
        </w:rPr>
      </w:pPr>
      <w:r>
        <w:rPr>
          <w:rStyle w:val="20"/>
          <w:rFonts w:hint="eastAsia" w:ascii="宋体" w:hAnsi="宋体" w:cs="宋体"/>
          <w:b w:val="0"/>
          <w:bCs/>
          <w:color w:val="auto"/>
          <w:sz w:val="21"/>
          <w:szCs w:val="21"/>
        </w:rPr>
        <w:t>③请寄件人在邮件外包装写清楚是“广西无线电管理信息化建设—一体化基础平台建设和应用系统接入（项目编号：</w:t>
      </w:r>
      <w:r>
        <w:rPr>
          <w:rStyle w:val="20"/>
          <w:rFonts w:hint="eastAsia" w:ascii="宋体" w:hAnsi="宋体" w:cs="宋体"/>
          <w:b w:val="0"/>
          <w:bCs/>
          <w:color w:val="auto"/>
          <w:sz w:val="21"/>
          <w:szCs w:val="21"/>
          <w:lang w:eastAsia="zh-CN"/>
        </w:rPr>
        <w:t>GXZC2020-G1-003272-GXJL</w:t>
      </w:r>
      <w:r>
        <w:rPr>
          <w:rStyle w:val="20"/>
          <w:rFonts w:hint="eastAsia" w:ascii="宋体" w:hAnsi="宋体" w:cs="宋体"/>
          <w:b w:val="0"/>
          <w:bCs/>
          <w:color w:val="auto"/>
          <w:sz w:val="21"/>
          <w:szCs w:val="21"/>
        </w:rPr>
        <w:t>）项目投标文件”，并留真实姓名和联系电话。如有疑问请咨询开评标科：0771-2610595。</w:t>
      </w:r>
    </w:p>
    <w:p>
      <w:pPr>
        <w:numPr>
          <w:ilvl w:val="0"/>
          <w:numId w:val="1"/>
        </w:numPr>
        <w:spacing w:line="300" w:lineRule="exact"/>
        <w:ind w:firstLine="435"/>
        <w:jc w:val="left"/>
        <w:rPr>
          <w:rFonts w:ascii="宋体" w:hAnsi="宋体" w:cs="宋体"/>
          <w:color w:val="auto"/>
          <w:kern w:val="0"/>
          <w:szCs w:val="21"/>
          <w:lang w:bidi="ar"/>
        </w:rPr>
      </w:pPr>
      <w:r>
        <w:rPr>
          <w:rFonts w:hint="eastAsia" w:ascii="宋体" w:hAnsi="宋体" w:cs="宋体"/>
          <w:color w:val="auto"/>
          <w:kern w:val="0"/>
          <w:szCs w:val="21"/>
          <w:lang w:bidi="ar"/>
        </w:rPr>
        <w:t>投标人的投标文件应密封严密、包装结实，投标人对自己的投标文件的快递包封和密封负责，未在规定时间内送（寄）达或未按照招标文件要求密封的投标文件，将予以拒收。如送达的快递包裹出现破损导致投标文件包封破损而产生的一切后果，投标人自行承担。</w:t>
      </w:r>
    </w:p>
    <w:p>
      <w:pPr>
        <w:spacing w:line="300" w:lineRule="exact"/>
        <w:ind w:firstLine="420" w:firstLineChars="200"/>
        <w:jc w:val="left"/>
        <w:rPr>
          <w:color w:val="auto"/>
          <w:szCs w:val="21"/>
        </w:rPr>
      </w:pPr>
      <w:r>
        <w:rPr>
          <w:rFonts w:hint="eastAsia" w:ascii="宋体" w:hAnsi="宋体" w:cs="宋体"/>
          <w:color w:val="auto"/>
          <w:kern w:val="0"/>
          <w:szCs w:val="21"/>
          <w:lang w:bidi="ar"/>
        </w:rPr>
        <w:t>（5）选择邮寄的投标人视为对本项目的唱标记录直接确认，签到表和唱标记录表中将对投标人标注“邮寄”字样。</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bookmarkStart w:id="22" w:name="_Toc28359084"/>
      <w:bookmarkStart w:id="23" w:name="_Toc35393625"/>
      <w:bookmarkStart w:id="24" w:name="_Toc28359007"/>
      <w:bookmarkStart w:id="25" w:name="_Toc35393794"/>
      <w:r>
        <w:rPr>
          <w:rFonts w:hint="eastAsia" w:asciiTheme="minorEastAsia" w:hAnsiTheme="minorEastAsia" w:eastAsiaTheme="minorEastAsia" w:cstheme="minorEastAsia"/>
          <w:bCs/>
          <w:color w:val="auto"/>
          <w:szCs w:val="21"/>
        </w:rPr>
        <w:t>五、公告期限</w:t>
      </w:r>
      <w:bookmarkEnd w:id="22"/>
      <w:bookmarkEnd w:id="23"/>
      <w:bookmarkEnd w:id="24"/>
      <w:bookmarkEnd w:id="25"/>
    </w:p>
    <w:p>
      <w:pPr>
        <w:snapToGrid w:val="0"/>
        <w:spacing w:line="3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自本公告发布之日起5个工作日。</w:t>
      </w:r>
    </w:p>
    <w:p>
      <w:pPr>
        <w:keepNext/>
        <w:keepLines/>
        <w:numPr>
          <w:ilvl w:val="0"/>
          <w:numId w:val="2"/>
        </w:numPr>
        <w:snapToGrid w:val="0"/>
        <w:spacing w:before="260" w:after="260" w:line="300" w:lineRule="exact"/>
        <w:outlineLvl w:val="1"/>
        <w:rPr>
          <w:rFonts w:asciiTheme="minorEastAsia" w:hAnsiTheme="minorEastAsia" w:eastAsiaTheme="minorEastAsia" w:cstheme="minorEastAsia"/>
          <w:bCs/>
          <w:color w:val="auto"/>
          <w:szCs w:val="21"/>
        </w:rPr>
      </w:pPr>
      <w:bookmarkStart w:id="26" w:name="_Toc35393626"/>
      <w:bookmarkStart w:id="27" w:name="_Toc35393795"/>
      <w:r>
        <w:rPr>
          <w:rFonts w:hint="eastAsia" w:asciiTheme="minorEastAsia" w:hAnsiTheme="minorEastAsia" w:eastAsiaTheme="minorEastAsia" w:cstheme="minorEastAsia"/>
          <w:bCs/>
          <w:color w:val="auto"/>
          <w:szCs w:val="21"/>
        </w:rPr>
        <w:t>其他补充事宜</w:t>
      </w:r>
      <w:bookmarkEnd w:id="26"/>
      <w:bookmarkEnd w:id="27"/>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1.投标保证金：</w:t>
      </w:r>
      <w:r>
        <w:rPr>
          <w:rStyle w:val="20"/>
          <w:rFonts w:hint="eastAsia" w:asciiTheme="minorEastAsia" w:hAnsiTheme="minorEastAsia" w:eastAsiaTheme="minorEastAsia" w:cstheme="minorEastAsia"/>
          <w:b w:val="0"/>
          <w:color w:val="auto"/>
          <w:sz w:val="21"/>
          <w:szCs w:val="21"/>
        </w:rPr>
        <w:t>陆万元整（¥60000.00）。</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的交纳方式：银行转账、支票、汇票，禁止采用现钞方式。采用银行转账方式的，在投标截止时间前交至采购代理机构指定账户并且到账：开户名称：广西建隆工程咨询有限公司，开户银行：广西北部湾银行南宁市琅东支行，银行帐号：8000 7529 4800 010。采用支票、汇票等方式的，在投标截止时间前，投标人应当递交单独密封的支票、汇票原件。投标保证金交纳截止时间：2020年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日17:00时（以到</w:t>
      </w:r>
      <w:r>
        <w:rPr>
          <w:rFonts w:hint="eastAsia" w:asciiTheme="minorEastAsia" w:hAnsiTheme="minorEastAsia" w:eastAsiaTheme="minorEastAsia" w:cstheme="minorEastAsia"/>
          <w:color w:val="auto"/>
          <w:sz w:val="21"/>
          <w:szCs w:val="21"/>
          <w:lang w:eastAsia="zh-CN"/>
        </w:rPr>
        <w:t>账</w:t>
      </w:r>
      <w:r>
        <w:rPr>
          <w:rFonts w:hint="eastAsia" w:asciiTheme="minorEastAsia" w:hAnsiTheme="minorEastAsia" w:eastAsiaTheme="minorEastAsia" w:cstheme="minorEastAsia"/>
          <w:color w:val="auto"/>
          <w:sz w:val="21"/>
          <w:szCs w:val="21"/>
        </w:rPr>
        <w:t>时间为准）。不按要求交纳或逾期的投标人保证金，视为无效投标保证金。</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2.网上查询地址</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www.ccgp.gov.cn（中国政府采购网）、zfcg.gxzf.gov.cn（广西壮族自治区政府采购网）、gxggzy.gxzf.gov.cn（广西壮族自治区公共资源交易中心网）</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3.本项目需要落实的政府采购政策</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（1）政府采购促进中小企业发展。</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（2）政府采购支持采用本国产品的政策。</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（3）强制采购节能产品；优先采购节能产品、环境标志产品。</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（4）政府采购促进残疾人就业政策。</w:t>
      </w:r>
    </w:p>
    <w:p>
      <w:pPr>
        <w:pStyle w:val="16"/>
        <w:widowControl/>
        <w:spacing w:line="300" w:lineRule="exact"/>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（5）政府采购支持监狱企业发展。</w:t>
      </w:r>
    </w:p>
    <w:p>
      <w:pPr>
        <w:keepNext/>
        <w:keepLines/>
        <w:snapToGrid w:val="0"/>
        <w:spacing w:before="260" w:after="260" w:line="300" w:lineRule="exact"/>
        <w:outlineLvl w:val="1"/>
        <w:rPr>
          <w:rFonts w:asciiTheme="minorEastAsia" w:hAnsiTheme="minorEastAsia" w:eastAsiaTheme="minorEastAsia" w:cstheme="minorEastAsia"/>
          <w:bCs/>
          <w:color w:val="auto"/>
          <w:szCs w:val="21"/>
        </w:rPr>
      </w:pPr>
      <w:bookmarkStart w:id="28" w:name="_Toc35393796"/>
      <w:bookmarkStart w:id="29" w:name="_Toc28359008"/>
      <w:bookmarkStart w:id="30" w:name="_Toc35393627"/>
      <w:bookmarkStart w:id="31" w:name="_Toc28359085"/>
      <w:r>
        <w:rPr>
          <w:rFonts w:hint="eastAsia" w:asciiTheme="minorEastAsia" w:hAnsiTheme="minorEastAsia" w:eastAsiaTheme="minorEastAsia" w:cstheme="minorEastAsia"/>
          <w:bCs/>
          <w:color w:val="auto"/>
          <w:szCs w:val="21"/>
        </w:rPr>
        <w:t>七、对本次招标提出询问，请按以下方式联系。</w:t>
      </w:r>
      <w:bookmarkEnd w:id="28"/>
      <w:bookmarkEnd w:id="29"/>
      <w:bookmarkEnd w:id="30"/>
      <w:bookmarkEnd w:id="31"/>
    </w:p>
    <w:p>
      <w:pPr>
        <w:widowControl/>
        <w:snapToGrid w:val="0"/>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1.采购人信息</w:t>
      </w:r>
    </w:p>
    <w:p>
      <w:pPr>
        <w:snapToGrid w:val="0"/>
        <w:spacing w:line="300" w:lineRule="exact"/>
        <w:ind w:left="1041" w:leftChars="371" w:hanging="262" w:hangingChars="125"/>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w:t>
      </w:r>
      <w:r>
        <w:rPr>
          <w:rFonts w:hint="eastAsia" w:asciiTheme="minorEastAsia" w:hAnsiTheme="minorEastAsia" w:eastAsiaTheme="minorEastAsia" w:cstheme="minorEastAsia"/>
          <w:color w:val="auto"/>
          <w:szCs w:val="21"/>
          <w:u w:val="single"/>
        </w:rPr>
        <w:t>广西壮族自治区工业和信息化厅</w:t>
      </w:r>
    </w:p>
    <w:p>
      <w:pPr>
        <w:snapToGrid w:val="0"/>
        <w:spacing w:line="300" w:lineRule="exact"/>
        <w:ind w:left="1041" w:leftChars="371" w:hanging="262" w:hangingChars="125"/>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u w:val="single"/>
        </w:rPr>
        <w:t>　南宁市青秀区民族大道113号　</w:t>
      </w:r>
    </w:p>
    <w:p>
      <w:pPr>
        <w:snapToGrid w:val="0"/>
        <w:spacing w:line="300" w:lineRule="exact"/>
        <w:ind w:left="1041" w:leftChars="371" w:hanging="262" w:hangingChars="125"/>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联系方式：</w:t>
      </w:r>
      <w:r>
        <w:rPr>
          <w:rFonts w:hint="eastAsia" w:asciiTheme="minorEastAsia" w:hAnsiTheme="minorEastAsia" w:eastAsiaTheme="minorEastAsia" w:cstheme="minorEastAsia"/>
          <w:color w:val="auto"/>
          <w:szCs w:val="21"/>
          <w:u w:val="single"/>
        </w:rPr>
        <w:t xml:space="preserve">　联系人：申工； 联系电话：0771-2182380　 </w:t>
      </w:r>
      <w:bookmarkStart w:id="32" w:name="_Toc28359009"/>
      <w:bookmarkStart w:id="33" w:name="_Toc28359086"/>
    </w:p>
    <w:p>
      <w:pPr>
        <w:snapToGrid w:val="0"/>
        <w:spacing w:line="300" w:lineRule="exact"/>
        <w:ind w:left="1041" w:leftChars="371" w:hanging="262" w:hangingChars="125"/>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2.采购代理机构信息</w:t>
      </w:r>
      <w:bookmarkEnd w:id="32"/>
      <w:bookmarkEnd w:id="33"/>
    </w:p>
    <w:p>
      <w:pPr>
        <w:snapToGrid w:val="0"/>
        <w:spacing w:line="300" w:lineRule="exact"/>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w:t>
      </w:r>
      <w:r>
        <w:rPr>
          <w:rFonts w:hint="eastAsia" w:asciiTheme="minorEastAsia" w:hAnsiTheme="minorEastAsia" w:eastAsiaTheme="minorEastAsia" w:cstheme="minorEastAsia"/>
          <w:color w:val="auto"/>
          <w:szCs w:val="21"/>
          <w:u w:val="single"/>
        </w:rPr>
        <w:t>　广西建隆工程咨询有限公司　</w:t>
      </w:r>
    </w:p>
    <w:p>
      <w:pPr>
        <w:snapToGrid w:val="0"/>
        <w:spacing w:line="300" w:lineRule="exact"/>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r>
        <w:rPr>
          <w:rFonts w:hint="eastAsia" w:asciiTheme="minorEastAsia" w:hAnsiTheme="minorEastAsia" w:eastAsiaTheme="minorEastAsia" w:cstheme="minorEastAsia"/>
          <w:color w:val="auto"/>
          <w:szCs w:val="21"/>
          <w:u w:val="single"/>
        </w:rPr>
        <w:t>　南宁市竹溪大道36号青湖中心1301室　</w:t>
      </w:r>
    </w:p>
    <w:p>
      <w:pPr>
        <w:snapToGrid w:val="0"/>
        <w:spacing w:line="300" w:lineRule="exact"/>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bookmarkStart w:id="34" w:name="_Toc28359087"/>
      <w:bookmarkStart w:id="35" w:name="_Toc28359010"/>
      <w:r>
        <w:rPr>
          <w:rFonts w:hint="eastAsia" w:asciiTheme="minorEastAsia" w:hAnsiTheme="minorEastAsia" w:eastAsiaTheme="minorEastAsia" w:cstheme="minorEastAsia"/>
          <w:color w:val="auto"/>
          <w:szCs w:val="21"/>
          <w:u w:val="single"/>
        </w:rPr>
        <w:t>　0771-5345232  　</w:t>
      </w:r>
    </w:p>
    <w:p>
      <w:pPr>
        <w:snapToGrid w:val="0"/>
        <w:spacing w:line="300" w:lineRule="exact"/>
        <w:ind w:firstLine="630" w:firstLineChars="3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3.项目联系方式</w:t>
      </w:r>
      <w:bookmarkEnd w:id="34"/>
      <w:bookmarkEnd w:id="35"/>
    </w:p>
    <w:p>
      <w:pPr>
        <w:snapToGrid w:val="0"/>
        <w:spacing w:line="300" w:lineRule="exact"/>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项目联系人：</w:t>
      </w:r>
      <w:r>
        <w:rPr>
          <w:rFonts w:hint="eastAsia" w:asciiTheme="minorEastAsia" w:hAnsiTheme="minorEastAsia" w:eastAsiaTheme="minorEastAsia" w:cstheme="minorEastAsia"/>
          <w:color w:val="auto"/>
          <w:szCs w:val="21"/>
          <w:u w:val="single"/>
        </w:rPr>
        <w:t xml:space="preserve">      滕工       </w:t>
      </w:r>
    </w:p>
    <w:p>
      <w:pPr>
        <w:snapToGrid w:val="0"/>
        <w:spacing w:line="300" w:lineRule="exact"/>
        <w:ind w:firstLine="630" w:firstLineChars="300"/>
        <w:rPr>
          <w:rFonts w:ascii="仿宋" w:hAnsi="仿宋" w:eastAsia="仿宋"/>
          <w:color w:val="auto"/>
          <w:sz w:val="24"/>
        </w:rPr>
      </w:pPr>
      <w:r>
        <w:rPr>
          <w:rFonts w:hint="eastAsia" w:asciiTheme="minorEastAsia" w:hAnsiTheme="minorEastAsia" w:eastAsiaTheme="minorEastAsia" w:cstheme="minorEastAsia"/>
          <w:color w:val="auto"/>
          <w:szCs w:val="21"/>
        </w:rPr>
        <w:t>电　话：</w:t>
      </w:r>
      <w:r>
        <w:rPr>
          <w:rFonts w:hint="eastAsia" w:asciiTheme="minorEastAsia" w:hAnsiTheme="minorEastAsia" w:eastAsiaTheme="minorEastAsia" w:cstheme="minorEastAsia"/>
          <w:color w:val="auto"/>
          <w:szCs w:val="21"/>
          <w:u w:val="single"/>
        </w:rPr>
        <w:t>　0771-5345232　</w:t>
      </w:r>
    </w:p>
    <w:p>
      <w:pPr>
        <w:jc w:val="right"/>
        <w:rPr>
          <w:rFonts w:ascii="宋体" w:hAnsi="宋体" w:cs="宋体"/>
          <w:color w:val="auto"/>
          <w:kern w:val="0"/>
          <w:sz w:val="24"/>
        </w:rPr>
      </w:pPr>
    </w:p>
    <w:p>
      <w:pPr>
        <w:jc w:val="right"/>
        <w:rPr>
          <w:rFonts w:ascii="宋体" w:hAnsi="宋体" w:cs="宋体"/>
          <w:color w:val="auto"/>
          <w:kern w:val="0"/>
          <w:sz w:val="24"/>
        </w:rPr>
      </w:pPr>
    </w:p>
    <w:p>
      <w:pPr>
        <w:jc w:val="right"/>
        <w:rPr>
          <w:rFonts w:ascii="宋体" w:hAnsi="宋体" w:cs="宋体"/>
          <w:color w:val="auto"/>
          <w:kern w:val="0"/>
          <w:sz w:val="24"/>
        </w:rPr>
      </w:pPr>
      <w:r>
        <w:rPr>
          <w:rFonts w:hint="eastAsia" w:ascii="宋体" w:hAnsi="宋体" w:cs="宋体"/>
          <w:color w:val="auto"/>
          <w:kern w:val="0"/>
          <w:sz w:val="24"/>
        </w:rPr>
        <w:t>采购代理机构：广西建隆工程咨询有限公司</w:t>
      </w:r>
    </w:p>
    <w:p>
      <w:pPr>
        <w:tabs>
          <w:tab w:val="left" w:pos="5635"/>
        </w:tabs>
        <w:jc w:val="right"/>
        <w:rPr>
          <w:color w:val="auto"/>
        </w:rPr>
        <w:sectPr>
          <w:footerReference r:id="rId8" w:type="first"/>
          <w:pgSz w:w="11906" w:h="16838"/>
          <w:pgMar w:top="1134" w:right="1248" w:bottom="1134" w:left="1418" w:header="567" w:footer="567" w:gutter="0"/>
          <w:cols w:space="720" w:num="1"/>
          <w:titlePg/>
          <w:docGrid w:linePitch="312" w:charSpace="0"/>
        </w:sectPr>
      </w:pPr>
      <w:r>
        <w:rPr>
          <w:rFonts w:hint="eastAsia" w:ascii="宋体" w:hAnsi="宋体" w:cs="宋体"/>
          <w:color w:val="auto"/>
          <w:sz w:val="24"/>
        </w:rPr>
        <w:t>2020年8月</w:t>
      </w:r>
      <w:r>
        <w:rPr>
          <w:rFonts w:hint="eastAsia" w:ascii="宋体" w:hAnsi="宋体" w:cs="宋体"/>
          <w:color w:val="auto"/>
          <w:sz w:val="24"/>
          <w:lang w:val="en-US" w:eastAsia="zh-CN"/>
        </w:rPr>
        <w:t>21</w:t>
      </w:r>
      <w:r>
        <w:rPr>
          <w:rFonts w:hint="eastAsia" w:ascii="宋体" w:hAnsi="宋体" w:cs="宋体"/>
          <w:color w:val="auto"/>
          <w:sz w:val="24"/>
        </w:rPr>
        <w:t>日</w:t>
      </w:r>
    </w:p>
    <w:p>
      <w:pPr>
        <w:spacing w:line="300" w:lineRule="exact"/>
        <w:jc w:val="left"/>
        <w:rPr>
          <w:rFonts w:ascii="仿宋" w:hAnsi="仿宋" w:eastAsia="仿宋"/>
          <w:sz w:val="24"/>
        </w:rPr>
      </w:pPr>
    </w:p>
    <w:p>
      <w:pPr>
        <w:pStyle w:val="2"/>
        <w:ind w:firstLine="210"/>
      </w:pPr>
    </w:p>
    <w:p>
      <w:pPr>
        <w:pStyle w:val="12"/>
        <w:snapToGrid w:val="0"/>
        <w:spacing w:before="120" w:line="320" w:lineRule="exact"/>
        <w:jc w:val="center"/>
        <w:outlineLvl w:val="0"/>
        <w:rPr>
          <w:rFonts w:ascii="黑体" w:hAnsi="宋体" w:eastAsia="黑体"/>
          <w:sz w:val="32"/>
          <w:szCs w:val="32"/>
        </w:rPr>
      </w:pPr>
      <w:bookmarkStart w:id="36" w:name="_Toc48031711"/>
      <w:r>
        <w:rPr>
          <w:rFonts w:hint="eastAsia" w:ascii="黑体" w:hAnsi="宋体" w:eastAsia="黑体"/>
          <w:sz w:val="32"/>
          <w:szCs w:val="32"/>
        </w:rPr>
        <w:t xml:space="preserve">第二章  </w:t>
      </w:r>
      <w:bookmarkEnd w:id="36"/>
      <w:r>
        <w:rPr>
          <w:rFonts w:hint="eastAsia" w:ascii="黑体" w:hAnsi="宋体" w:eastAsia="黑体"/>
          <w:sz w:val="32"/>
          <w:szCs w:val="32"/>
        </w:rPr>
        <w:t>采购需求一览表</w:t>
      </w:r>
    </w:p>
    <w:p>
      <w:pPr>
        <w:rPr>
          <w:rFonts w:asciiTheme="minorEastAsia" w:hAnsiTheme="minorEastAsia" w:eastAsiaTheme="minorEastAsia" w:cstheme="minorEastAsia"/>
          <w:b/>
          <w:szCs w:val="21"/>
        </w:rPr>
      </w:pPr>
    </w:p>
    <w:p>
      <w:pPr>
        <w:pStyle w:val="3"/>
      </w:pPr>
    </w:p>
    <w:tbl>
      <w:tblPr>
        <w:tblStyle w:val="1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678"/>
        <w:gridCol w:w="1276"/>
        <w:gridCol w:w="141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720" w:type="dxa"/>
            <w:gridSpan w:val="5"/>
            <w:vAlign w:val="center"/>
          </w:tcPr>
          <w:p>
            <w:pPr>
              <w:jc w:val="lef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一、建设内容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9" w:type="dxa"/>
            <w:vAlign w:val="center"/>
          </w:tcPr>
          <w:p>
            <w:pPr>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序号</w:t>
            </w:r>
          </w:p>
        </w:tc>
        <w:tc>
          <w:tcPr>
            <w:tcW w:w="4678" w:type="dxa"/>
            <w:vAlign w:val="center"/>
          </w:tcPr>
          <w:p>
            <w:pPr>
              <w:snapToGrid w:val="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建设内容</w:t>
            </w:r>
          </w:p>
        </w:tc>
        <w:tc>
          <w:tcPr>
            <w:tcW w:w="1276" w:type="dxa"/>
            <w:vAlign w:val="center"/>
          </w:tcPr>
          <w:p>
            <w:pPr>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单位</w:t>
            </w:r>
          </w:p>
        </w:tc>
        <w:tc>
          <w:tcPr>
            <w:tcW w:w="1417" w:type="dxa"/>
            <w:vAlign w:val="center"/>
          </w:tcPr>
          <w:p>
            <w:pPr>
              <w:snapToGrid w:val="0"/>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数量</w:t>
            </w:r>
          </w:p>
        </w:tc>
        <w:tc>
          <w:tcPr>
            <w:tcW w:w="1510" w:type="dxa"/>
            <w:vAlign w:val="center"/>
          </w:tcPr>
          <w:p>
            <w:pPr>
              <w:jc w:val="center"/>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int="eastAsia" w:hAnsi="宋体" w:cs="宋体"/>
                <w:b/>
                <w:color w:val="000000"/>
                <w:kern w:val="0"/>
                <w:sz w:val="22"/>
                <w:szCs w:val="22"/>
                <w:lang w:bidi="ar"/>
              </w:rPr>
              <w:t>（一）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b/>
                <w:color w:val="000000"/>
                <w:sz w:val="22"/>
                <w:szCs w:val="22"/>
              </w:rPr>
            </w:pPr>
            <w:r>
              <w:rPr>
                <w:rFonts w:hint="eastAsia" w:hAnsi="宋体" w:cs="宋体"/>
                <w:b/>
                <w:color w:val="000000"/>
                <w:kern w:val="0"/>
                <w:sz w:val="22"/>
                <w:szCs w:val="22"/>
                <w:lang w:bidi="ar"/>
              </w:rPr>
              <w:t>无线电管理一体化基础平台</w:t>
            </w:r>
          </w:p>
        </w:tc>
        <w:tc>
          <w:tcPr>
            <w:tcW w:w="1276" w:type="dxa"/>
            <w:vAlign w:val="center"/>
          </w:tcPr>
          <w:p>
            <w:pPr>
              <w:jc w:val="center"/>
              <w:rPr>
                <w:rFonts w:asciiTheme="majorEastAsia" w:hAnsiTheme="majorEastAsia" w:eastAsiaTheme="majorEastAsia" w:cstheme="majorEastAsia"/>
                <w:sz w:val="22"/>
                <w:szCs w:val="22"/>
              </w:rPr>
            </w:pPr>
          </w:p>
        </w:tc>
        <w:tc>
          <w:tcPr>
            <w:tcW w:w="1417" w:type="dxa"/>
            <w:vAlign w:val="center"/>
          </w:tcPr>
          <w:p>
            <w:pPr>
              <w:jc w:val="center"/>
              <w:rPr>
                <w:rFonts w:asciiTheme="majorEastAsia" w:hAnsiTheme="majorEastAsia" w:eastAsiaTheme="majorEastAsia" w:cstheme="majorEastAsia"/>
                <w:sz w:val="22"/>
                <w:szCs w:val="22"/>
              </w:rPr>
            </w:pPr>
          </w:p>
        </w:tc>
        <w:tc>
          <w:tcPr>
            <w:tcW w:w="1510" w:type="dxa"/>
            <w:vAlign w:val="center"/>
          </w:tcPr>
          <w:p>
            <w:pPr>
              <w:rPr>
                <w:rFonts w:asciiTheme="majorEastAsia" w:hAnsiTheme="majorEastAsia" w:eastAsiaTheme="majorEastAsia" w:cs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int="eastAsia" w:hAnsi="宋体" w:cs="宋体"/>
                <w:b/>
                <w:color w:val="000000"/>
                <w:kern w:val="0"/>
                <w:sz w:val="22"/>
                <w:szCs w:val="22"/>
                <w:lang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sz w:val="22"/>
                <w:szCs w:val="22"/>
              </w:rPr>
            </w:pPr>
            <w:r>
              <w:rPr>
                <w:rFonts w:hint="eastAsia" w:hAnsi="宋体" w:cs="宋体"/>
                <w:color w:val="000000"/>
                <w:kern w:val="0"/>
                <w:sz w:val="22"/>
                <w:szCs w:val="22"/>
                <w:lang w:bidi="ar"/>
              </w:rPr>
              <w:t>统一门户模块</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kern w:val="0"/>
                <w:sz w:val="22"/>
                <w:szCs w:val="22"/>
                <w:lang w:bidi="ar"/>
              </w:rPr>
            </w:pPr>
            <w:r>
              <w:rPr>
                <w:rFonts w:hint="eastAsia" w:hAnsi="宋体" w:cs="宋体"/>
                <w:b/>
                <w:color w:val="000000"/>
                <w:kern w:val="0"/>
                <w:sz w:val="22"/>
                <w:szCs w:val="22"/>
                <w:lang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kern w:val="0"/>
                <w:sz w:val="22"/>
                <w:szCs w:val="22"/>
                <w:lang w:bidi="ar"/>
              </w:rPr>
            </w:pPr>
            <w:r>
              <w:rPr>
                <w:rFonts w:hint="eastAsia" w:hAnsi="宋体" w:cs="宋体"/>
                <w:color w:val="000000"/>
                <w:kern w:val="0"/>
                <w:sz w:val="22"/>
                <w:szCs w:val="22"/>
                <w:lang w:bidi="ar"/>
              </w:rPr>
              <w:t>统一身份改造</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sz w:val="22"/>
                <w:szCs w:val="22"/>
              </w:rPr>
            </w:pPr>
            <w:r>
              <w:rPr>
                <w:rFonts w:hint="eastAsia" w:hAnsi="宋体" w:cs="宋体"/>
                <w:color w:val="000000"/>
                <w:kern w:val="0"/>
                <w:sz w:val="22"/>
                <w:szCs w:val="22"/>
                <w:lang w:bidi="ar"/>
              </w:rPr>
              <w:t>服务治理模块</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4</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sz w:val="22"/>
                <w:szCs w:val="22"/>
              </w:rPr>
            </w:pPr>
            <w:r>
              <w:rPr>
                <w:rFonts w:hint="eastAsia" w:hAnsi="宋体" w:cs="宋体"/>
                <w:color w:val="000000"/>
                <w:kern w:val="0"/>
                <w:sz w:val="22"/>
                <w:szCs w:val="22"/>
                <w:lang w:bidi="ar"/>
              </w:rPr>
              <w:t>企业服务总线（</w:t>
            </w:r>
            <w:r>
              <w:rPr>
                <w:rFonts w:ascii="Calibri" w:hAnsi="Calibri" w:cs="Calibri"/>
                <w:color w:val="000000"/>
                <w:kern w:val="0"/>
                <w:sz w:val="22"/>
                <w:szCs w:val="22"/>
                <w:lang w:bidi="ar"/>
              </w:rPr>
              <w:t>ESB</w:t>
            </w:r>
            <w:r>
              <w:rPr>
                <w:rFonts w:hint="eastAsia" w:hAnsi="宋体" w:cs="宋体"/>
                <w:color w:val="000000"/>
                <w:kern w:val="0"/>
                <w:sz w:val="22"/>
                <w:szCs w:val="22"/>
                <w:lang w:bidi="ar"/>
              </w:rPr>
              <w:t>）</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5</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流程管理集成</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sz w:val="22"/>
                <w:szCs w:val="22"/>
              </w:rPr>
            </w:pPr>
            <w:r>
              <w:rPr>
                <w:rFonts w:hint="eastAsia" w:hAnsi="宋体" w:cs="宋体"/>
                <w:color w:val="000000"/>
                <w:kern w:val="0"/>
                <w:sz w:val="22"/>
                <w:szCs w:val="22"/>
                <w:lang w:bidi="ar"/>
              </w:rPr>
              <w:t>平台管理模块</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7</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Ansi="宋体" w:cs="宋体"/>
                <w:color w:val="000000"/>
                <w:sz w:val="22"/>
                <w:szCs w:val="22"/>
              </w:rPr>
            </w:pPr>
            <w:r>
              <w:rPr>
                <w:rFonts w:hint="eastAsia" w:hAnsi="宋体" w:cs="宋体"/>
                <w:color w:val="000000"/>
                <w:kern w:val="0"/>
                <w:sz w:val="22"/>
                <w:szCs w:val="22"/>
                <w:lang w:bidi="ar"/>
              </w:rPr>
              <w:t>应用安全模块</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地理信息集成</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Ansi="宋体" w:cs="宋体"/>
                <w:b/>
                <w:color w:val="000000"/>
                <w:kern w:val="0"/>
                <w:sz w:val="22"/>
                <w:szCs w:val="22"/>
                <w:lang w:bidi="ar"/>
              </w:rPr>
              <w:t>9</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文档中心集成改造</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int="eastAsia" w:hAnsi="宋体" w:cs="宋体"/>
                <w:b/>
                <w:color w:val="000000"/>
                <w:kern w:val="0"/>
                <w:sz w:val="22"/>
                <w:szCs w:val="22"/>
                <w:lang w:bidi="ar"/>
              </w:rPr>
              <w:t>（二）</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Ansi="宋体" w:cs="宋体"/>
                <w:b/>
                <w:bCs/>
                <w:color w:val="000000"/>
                <w:sz w:val="22"/>
                <w:szCs w:val="22"/>
              </w:rPr>
            </w:pPr>
            <w:r>
              <w:rPr>
                <w:rFonts w:hint="eastAsia" w:hAnsi="宋体" w:cs="宋体"/>
                <w:b/>
                <w:bCs/>
                <w:color w:val="000000"/>
                <w:kern w:val="0"/>
                <w:sz w:val="22"/>
                <w:szCs w:val="22"/>
                <w:lang w:bidi="ar"/>
              </w:rPr>
              <w:t>已建业务应用系统改造集成</w:t>
            </w:r>
          </w:p>
        </w:tc>
        <w:tc>
          <w:tcPr>
            <w:tcW w:w="1276" w:type="dxa"/>
          </w:tcPr>
          <w:p>
            <w:pPr>
              <w:jc w:val="center"/>
            </w:pPr>
          </w:p>
        </w:tc>
        <w:tc>
          <w:tcPr>
            <w:tcW w:w="1417" w:type="dxa"/>
            <w:vAlign w:val="center"/>
          </w:tcPr>
          <w:p>
            <w:pPr>
              <w:jc w:val="center"/>
              <w:rPr>
                <w:rFonts w:asciiTheme="majorEastAsia" w:hAnsiTheme="majorEastAsia" w:eastAsiaTheme="majorEastAsia" w:cstheme="majorEastAsia"/>
                <w:sz w:val="22"/>
                <w:szCs w:val="22"/>
              </w:rPr>
            </w:pP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color w:val="000000"/>
                <w:sz w:val="22"/>
                <w:szCs w:val="22"/>
              </w:rPr>
            </w:pPr>
            <w:r>
              <w:rPr>
                <w:rFonts w:hint="eastAsia" w:hAnsi="宋体" w:cs="宋体"/>
                <w:color w:val="000000"/>
                <w:kern w:val="0"/>
                <w:sz w:val="22"/>
                <w:szCs w:val="22"/>
                <w:lang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无线电频率台站管理系统集成</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color w:val="000000"/>
                <w:sz w:val="22"/>
                <w:szCs w:val="22"/>
              </w:rPr>
            </w:pPr>
            <w:r>
              <w:rPr>
                <w:rFonts w:hint="eastAsia" w:hAnsi="宋体" w:cs="宋体"/>
                <w:color w:val="000000"/>
                <w:kern w:val="0"/>
                <w:sz w:val="22"/>
                <w:szCs w:val="22"/>
                <w:lang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协同办公系统集成</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color w:val="000000"/>
                <w:sz w:val="22"/>
                <w:szCs w:val="22"/>
              </w:rPr>
            </w:pPr>
            <w:r>
              <w:rPr>
                <w:rFonts w:hint="eastAsia" w:hAnsi="宋体" w:cs="宋体"/>
                <w:color w:val="000000"/>
                <w:kern w:val="0"/>
                <w:sz w:val="22"/>
                <w:szCs w:val="22"/>
                <w:lang w:bidi="ar"/>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lang w:bidi="ar"/>
              </w:rPr>
              <w:t>新改造完成监测站原子服务发布、验证、接入实施</w:t>
            </w:r>
          </w:p>
        </w:tc>
        <w:tc>
          <w:tcPr>
            <w:tcW w:w="1276" w:type="dxa"/>
          </w:tcPr>
          <w:p>
            <w:pPr>
              <w:jc w:val="center"/>
            </w:pPr>
            <w:r>
              <w:rPr>
                <w:rFonts w:hint="eastAsia" w:asciiTheme="majorEastAsia" w:hAnsiTheme="majorEastAsia" w:eastAsiaTheme="majorEastAsia" w:cstheme="majorEastAsia"/>
                <w:sz w:val="22"/>
                <w:szCs w:val="22"/>
              </w:rPr>
              <w:t>套</w:t>
            </w:r>
          </w:p>
        </w:tc>
        <w:tc>
          <w:tcPr>
            <w:tcW w:w="1417" w:type="dxa"/>
          </w:tcPr>
          <w:p>
            <w:pPr>
              <w:jc w:val="center"/>
            </w:pPr>
            <w:r>
              <w:rPr>
                <w:rFonts w:hint="eastAsia" w:asciiTheme="majorEastAsia" w:hAnsiTheme="majorEastAsia" w:eastAsiaTheme="majorEastAsia" w:cstheme="majorEastAsia"/>
                <w:sz w:val="22"/>
                <w:szCs w:val="22"/>
              </w:rPr>
              <w:t>1</w:t>
            </w: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textAlignment w:val="center"/>
              <w:rPr>
                <w:rFonts w:hAnsi="宋体" w:cs="宋体"/>
                <w:b/>
                <w:color w:val="000000"/>
                <w:sz w:val="22"/>
                <w:szCs w:val="22"/>
              </w:rPr>
            </w:pPr>
            <w:r>
              <w:rPr>
                <w:rFonts w:hint="eastAsia" w:hAnsi="宋体" w:cs="宋体"/>
                <w:b/>
                <w:color w:val="000000"/>
                <w:kern w:val="0"/>
                <w:sz w:val="22"/>
                <w:szCs w:val="22"/>
                <w:lang w:bidi="ar"/>
              </w:rPr>
              <w:t>（三）</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Ansi="宋体" w:cs="宋体"/>
                <w:b/>
                <w:bCs/>
                <w:color w:val="000000"/>
                <w:sz w:val="22"/>
                <w:szCs w:val="22"/>
              </w:rPr>
            </w:pPr>
            <w:r>
              <w:rPr>
                <w:rFonts w:hint="eastAsia" w:hAnsi="宋体" w:cs="宋体"/>
                <w:b/>
                <w:bCs/>
                <w:color w:val="000000"/>
                <w:kern w:val="0"/>
                <w:sz w:val="22"/>
                <w:szCs w:val="22"/>
                <w:lang w:bidi="ar"/>
              </w:rPr>
              <w:t>硬件及配套软件</w:t>
            </w:r>
          </w:p>
        </w:tc>
        <w:tc>
          <w:tcPr>
            <w:tcW w:w="1276" w:type="dxa"/>
          </w:tcPr>
          <w:p>
            <w:pPr>
              <w:jc w:val="center"/>
            </w:pPr>
          </w:p>
        </w:tc>
        <w:tc>
          <w:tcPr>
            <w:tcW w:w="1417" w:type="dxa"/>
            <w:vAlign w:val="center"/>
          </w:tcPr>
          <w:p>
            <w:pPr>
              <w:jc w:val="center"/>
              <w:rPr>
                <w:rFonts w:asciiTheme="majorEastAsia" w:hAnsiTheme="majorEastAsia" w:eastAsiaTheme="majorEastAsia" w:cstheme="majorEastAsia"/>
                <w:sz w:val="22"/>
                <w:szCs w:val="22"/>
              </w:rPr>
            </w:pPr>
          </w:p>
        </w:tc>
        <w:tc>
          <w:tcPr>
            <w:tcW w:w="1510" w:type="dxa"/>
            <w:vAlign w:val="center"/>
          </w:tcPr>
          <w:p>
            <w:pPr>
              <w:rPr>
                <w:rFonts w:asciiTheme="majorEastAsia" w:hAnsiTheme="majorEastAsia" w:eastAsiaTheme="majorEastAsia" w:cstheme="maj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rPr>
                <w:rFonts w:hAnsi="宋体" w:cs="宋体"/>
                <w:b/>
                <w:color w:val="000000"/>
                <w:sz w:val="22"/>
                <w:szCs w:val="22"/>
              </w:rPr>
            </w:pPr>
            <w:r>
              <w:rPr>
                <w:rFonts w:hint="eastAsia" w:hAnsi="宋体" w:cs="宋体"/>
                <w:b/>
                <w:color w:val="000000"/>
                <w:sz w:val="22"/>
                <w:szCs w:val="22"/>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sz w:val="22"/>
                <w:szCs w:val="22"/>
              </w:rPr>
              <w:t>超融合一体机</w:t>
            </w:r>
          </w:p>
        </w:tc>
        <w:tc>
          <w:tcPr>
            <w:tcW w:w="1276" w:type="dxa"/>
          </w:tcPr>
          <w:p>
            <w:pPr>
              <w:jc w:val="center"/>
            </w:pPr>
          </w:p>
        </w:tc>
        <w:tc>
          <w:tcPr>
            <w:tcW w:w="1417" w:type="dxa"/>
            <w:vAlign w:val="center"/>
          </w:tcPr>
          <w:p>
            <w:pPr>
              <w:jc w:val="center"/>
              <w:rPr>
                <w:rFonts w:asciiTheme="majorEastAsia" w:hAnsiTheme="majorEastAsia" w:eastAsiaTheme="majorEastAsia" w:cstheme="majorEastAsia"/>
                <w:sz w:val="22"/>
                <w:szCs w:val="22"/>
              </w:rPr>
            </w:pPr>
          </w:p>
        </w:tc>
        <w:tc>
          <w:tcPr>
            <w:tcW w:w="1510"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jc w:val="center"/>
              <w:rPr>
                <w:rFonts w:hAnsi="宋体" w:cs="宋体"/>
                <w:b/>
                <w:color w:val="000000"/>
                <w:sz w:val="22"/>
                <w:szCs w:val="22"/>
              </w:rPr>
            </w:pPr>
            <w:r>
              <w:rPr>
                <w:rFonts w:hint="eastAsia" w:hAnsi="宋体" w:cs="宋体"/>
                <w:b/>
                <w:color w:val="000000"/>
                <w:sz w:val="22"/>
                <w:szCs w:val="22"/>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Ansi="宋体" w:cs="宋体"/>
                <w:color w:val="000000"/>
                <w:sz w:val="22"/>
                <w:szCs w:val="22"/>
              </w:rPr>
            </w:pPr>
            <w:r>
              <w:rPr>
                <w:rFonts w:hint="eastAsia" w:hAnsi="宋体" w:cs="宋体"/>
                <w:color w:val="000000"/>
                <w:kern w:val="0"/>
                <w:sz w:val="22"/>
                <w:szCs w:val="22"/>
              </w:rPr>
              <w:t>服务器虚拟化</w:t>
            </w:r>
          </w:p>
        </w:tc>
        <w:tc>
          <w:tcPr>
            <w:tcW w:w="1276" w:type="dxa"/>
          </w:tcPr>
          <w:p>
            <w:pPr>
              <w:jc w:val="center"/>
            </w:pPr>
          </w:p>
        </w:tc>
        <w:tc>
          <w:tcPr>
            <w:tcW w:w="1417" w:type="dxa"/>
            <w:vAlign w:val="center"/>
          </w:tcPr>
          <w:p>
            <w:pPr>
              <w:jc w:val="center"/>
              <w:rPr>
                <w:rFonts w:asciiTheme="majorEastAsia" w:hAnsiTheme="majorEastAsia" w:eastAsiaTheme="majorEastAsia" w:cstheme="majorEastAsia"/>
                <w:sz w:val="22"/>
                <w:szCs w:val="22"/>
              </w:rPr>
            </w:pPr>
          </w:p>
        </w:tc>
        <w:tc>
          <w:tcPr>
            <w:tcW w:w="1510" w:type="dxa"/>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CPU授权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20" w:type="dxa"/>
            <w:gridSpan w:val="5"/>
            <w:tcBorders>
              <w:top w:val="single" w:color="000000" w:sz="4" w:space="0"/>
              <w:left w:val="single" w:color="000000" w:sz="4" w:space="0"/>
              <w:bottom w:val="single" w:color="000000" w:sz="4" w:space="0"/>
            </w:tcBorders>
            <w:shd w:val="clear" w:color="auto" w:fill="auto"/>
            <w:vAlign w:val="center"/>
          </w:tcPr>
          <w:p>
            <w:pPr>
              <w:jc w:val="left"/>
              <w:rPr>
                <w:rFonts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二</w:t>
            </w:r>
            <w:r>
              <w:rPr>
                <w:rFonts w:asciiTheme="majorEastAsia" w:hAnsiTheme="majorEastAsia" w:eastAsiaTheme="majorEastAsia" w:cstheme="majorEastAsia"/>
                <w:b/>
                <w:sz w:val="22"/>
                <w:szCs w:val="22"/>
              </w:rPr>
              <w:t>、</w:t>
            </w:r>
            <w:r>
              <w:rPr>
                <w:rFonts w:hint="eastAsia" w:asciiTheme="majorEastAsia" w:hAnsiTheme="majorEastAsia" w:eastAsiaTheme="majorEastAsia" w:cstheme="majorEastAsia"/>
                <w:b/>
                <w:sz w:val="22"/>
                <w:szCs w:val="22"/>
              </w:rPr>
              <w:t>项目建设技术要求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0" w:type="dxa"/>
            <w:gridSpan w:val="5"/>
            <w:tcBorders>
              <w:top w:val="single" w:color="000000" w:sz="4" w:space="0"/>
              <w:left w:val="single" w:color="000000" w:sz="4" w:space="0"/>
              <w:bottom w:val="single" w:color="000000" w:sz="4" w:space="0"/>
            </w:tcBorders>
            <w:shd w:val="clear" w:color="auto" w:fill="auto"/>
            <w:vAlign w:val="center"/>
          </w:tcPr>
          <w:p>
            <w:pPr>
              <w:keepNext/>
              <w:keepLines/>
              <w:widowControl/>
              <w:spacing w:line="240" w:lineRule="atLeast"/>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 xml:space="preserve">.1 </w:t>
            </w:r>
            <w:r>
              <w:rPr>
                <w:rFonts w:hint="eastAsia" w:asciiTheme="minorEastAsia" w:hAnsiTheme="minorEastAsia" w:eastAsiaTheme="minorEastAsia"/>
                <w:b/>
                <w:bCs/>
                <w:sz w:val="24"/>
              </w:rPr>
              <w:t>基础平台</w:t>
            </w:r>
            <w:r>
              <w:rPr>
                <w:rFonts w:asciiTheme="minorEastAsia" w:hAnsiTheme="minorEastAsia" w:eastAsiaTheme="minorEastAsia"/>
                <w:b/>
                <w:bCs/>
                <w:sz w:val="24"/>
              </w:rPr>
              <w:t>要求</w:t>
            </w:r>
          </w:p>
          <w:p>
            <w:pPr>
              <w:keepNext/>
              <w:keepLines/>
              <w:widowControl/>
              <w:spacing w:line="240" w:lineRule="atLeast"/>
              <w:ind w:firstLine="482" w:firstLineChars="200"/>
              <w:jc w:val="left"/>
              <w:rPr>
                <w:rFonts w:asciiTheme="minorEastAsia" w:hAnsiTheme="minorEastAsia" w:eastAsiaTheme="minorEastAsia"/>
                <w:b/>
                <w:bCs/>
                <w:sz w:val="24"/>
              </w:rPr>
            </w:pPr>
            <w:bookmarkStart w:id="37" w:name="_Toc44171463"/>
            <w:bookmarkStart w:id="38" w:name="_Toc22550120"/>
            <w:r>
              <w:rPr>
                <w:rFonts w:hint="eastAsia" w:asciiTheme="minorEastAsia" w:hAnsiTheme="minorEastAsia" w:eastAsiaTheme="minorEastAsia"/>
                <w:b/>
                <w:bCs/>
                <w:sz w:val="24"/>
              </w:rPr>
              <w:t>2</w:t>
            </w:r>
            <w:r>
              <w:rPr>
                <w:rFonts w:asciiTheme="minorEastAsia" w:hAnsiTheme="minorEastAsia" w:eastAsiaTheme="minorEastAsia"/>
                <w:b/>
                <w:bCs/>
                <w:sz w:val="24"/>
              </w:rPr>
              <w:t>.1.1 统一门户模块</w:t>
            </w:r>
            <w:bookmarkEnd w:id="37"/>
            <w:bookmarkEnd w:id="38"/>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通过一体化相关规范约束应用系统建设，通过统一门户功能实现应用系统集成。统一门户为各个业务系统、业务流程和业务数据提供标准的、统一的无线电管理整合应用页面，是一体化基础平台与用户交互的主要渠道。统一门户包括以下功能要求：</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实现统一认证、单点登录、统一待办、信息展现的个性化定制和统一沟通协作等一体化应用效果，提高无线电管理的办公效率和信息化体验。</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构建统一门户子系统集成框架，实现各个业务系统的界面集成，提供整合各应用系统界面的底层功能支持，并提供给使用人员一个日常行政及业务办公的入口展示框架。</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实现流程管理与统一门户的集成，使各个角色的用户能利用业务流程管理完成协作，实现跨应用系统的统一代办，达到优化业务流程、提升业务系统整体信息化处理能力。</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建设通用展示框架，为用户提供信息显示平台和功能入口。</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可以基于浏览器访问操作全部功能，支持IE8及IE8以上版本、谷歌浏览器、火狐浏览器等主流的浏览器访问。</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提供可视化的应用集成方式，用户通过统一门户与其他应用系统（内部或外部的、一个或多个）进行交互，完成相应的业务处理。</w:t>
            </w:r>
          </w:p>
          <w:p>
            <w:pPr>
              <w:numPr>
                <w:ilvl w:val="0"/>
                <w:numId w:val="3"/>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实现系统单点登录功能，用户登录到统一门户后通过平台访问受保护的应用系统时，能在平台集成的各应用系统之间带身份漫游，无需再次登录和重复身份认证。</w:t>
            </w:r>
          </w:p>
          <w:p>
            <w:pPr>
              <w:keepNext/>
              <w:keepLines/>
              <w:widowControl/>
              <w:spacing w:line="240" w:lineRule="atLeast"/>
              <w:ind w:firstLine="482" w:firstLineChars="200"/>
              <w:jc w:val="left"/>
              <w:rPr>
                <w:rFonts w:asciiTheme="minorEastAsia" w:hAnsiTheme="minorEastAsia" w:eastAsiaTheme="minorEastAsia"/>
                <w:b/>
                <w:bCs/>
                <w:sz w:val="24"/>
              </w:rPr>
            </w:pPr>
            <w:bookmarkStart w:id="39" w:name="_Toc44171464"/>
            <w:bookmarkStart w:id="40" w:name="_Toc22550123"/>
            <w:r>
              <w:rPr>
                <w:rFonts w:hint="eastAsia" w:asciiTheme="minorEastAsia" w:hAnsiTheme="minorEastAsia" w:eastAsiaTheme="minorEastAsia"/>
                <w:b/>
                <w:bCs/>
                <w:sz w:val="24"/>
              </w:rPr>
              <w:t>2</w:t>
            </w:r>
            <w:r>
              <w:rPr>
                <w:rFonts w:asciiTheme="minorEastAsia" w:hAnsiTheme="minorEastAsia" w:eastAsiaTheme="minorEastAsia"/>
                <w:b/>
                <w:bCs/>
                <w:sz w:val="24"/>
              </w:rPr>
              <w:t>.1.2统一身份</w:t>
            </w:r>
            <w:bookmarkEnd w:id="39"/>
            <w:bookmarkEnd w:id="40"/>
            <w:r>
              <w:rPr>
                <w:rFonts w:hint="eastAsia" w:asciiTheme="minorEastAsia" w:hAnsiTheme="minorEastAsia" w:eastAsiaTheme="minorEastAsia"/>
                <w:b/>
                <w:bCs/>
                <w:sz w:val="24"/>
              </w:rPr>
              <w:t>改造</w:t>
            </w:r>
          </w:p>
          <w:p>
            <w:pPr>
              <w:spacing w:line="240" w:lineRule="atLeast"/>
              <w:ind w:firstLine="480" w:firstLineChars="200"/>
              <w:jc w:val="left"/>
              <w:rPr>
                <w:rFonts w:asciiTheme="minorEastAsia" w:hAnsiTheme="minorEastAsia" w:eastAsiaTheme="minorEastAsia"/>
                <w:kern w:val="0"/>
                <w:sz w:val="24"/>
                <w:lang w:bidi="en-US"/>
              </w:rPr>
            </w:pPr>
            <w:r>
              <w:rPr>
                <w:rFonts w:hint="eastAsia" w:cs="Arial" w:asciiTheme="minorEastAsia" w:hAnsiTheme="minorEastAsia" w:eastAsiaTheme="minorEastAsia"/>
                <w:sz w:val="24"/>
              </w:rPr>
              <w:t>★</w:t>
            </w:r>
            <w:r>
              <w:rPr>
                <w:rFonts w:asciiTheme="minorEastAsia" w:hAnsiTheme="minorEastAsia" w:eastAsiaTheme="minorEastAsia"/>
                <w:kern w:val="0"/>
                <w:sz w:val="24"/>
                <w:lang w:bidi="en-US"/>
              </w:rPr>
              <w:t>通过</w:t>
            </w:r>
            <w:r>
              <w:rPr>
                <w:rFonts w:hint="eastAsia" w:asciiTheme="minorEastAsia" w:hAnsiTheme="minorEastAsia" w:eastAsiaTheme="minorEastAsia"/>
                <w:kern w:val="0"/>
                <w:sz w:val="24"/>
                <w:lang w:bidi="en-US"/>
              </w:rPr>
              <w:t>对当前用户管理功能的改造，</w:t>
            </w:r>
            <w:r>
              <w:rPr>
                <w:rFonts w:asciiTheme="minorEastAsia" w:hAnsiTheme="minorEastAsia" w:eastAsiaTheme="minorEastAsia"/>
                <w:kern w:val="0"/>
                <w:sz w:val="24"/>
                <w:lang w:bidi="en-US"/>
              </w:rPr>
              <w:t>统一身份提供统一的用户信息管理，包括人员、部门、角色和应用访问权限信息的统一维护，提供人员、部门、角色和应用访问权限信息的查询接口，其他应用系统可调用查询接口获取人员、部门、角色和应用系统访问权限等信息。</w:t>
            </w:r>
            <w:r>
              <w:rPr>
                <w:rFonts w:hint="eastAsia" w:asciiTheme="minorEastAsia" w:hAnsiTheme="minorEastAsia" w:eastAsiaTheme="minorEastAsia"/>
                <w:kern w:val="0"/>
                <w:sz w:val="24"/>
                <w:lang w:bidi="en-US"/>
              </w:rPr>
              <w:t>系统同时需要完成当前一体化平台组织机构和人员账户信息的迁移。</w:t>
            </w:r>
            <w:r>
              <w:rPr>
                <w:rFonts w:asciiTheme="minorEastAsia" w:hAnsiTheme="minorEastAsia" w:eastAsiaTheme="minorEastAsia"/>
                <w:kern w:val="0"/>
                <w:sz w:val="24"/>
                <w:lang w:bidi="en-US"/>
              </w:rPr>
              <w:t>统一身份包括以下功能：</w:t>
            </w:r>
            <w:r>
              <w:rPr>
                <w:rFonts w:hint="eastAsia" w:asciiTheme="minorEastAsia" w:hAnsiTheme="minorEastAsia" w:eastAsiaTheme="minorEastAsia"/>
                <w:kern w:val="0"/>
                <w:sz w:val="24"/>
                <w:lang w:bidi="en-US"/>
              </w:rPr>
              <w:t xml:space="preserve"> </w:t>
            </w:r>
          </w:p>
          <w:p>
            <w:pPr>
              <w:numPr>
                <w:ilvl w:val="0"/>
                <w:numId w:val="4"/>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提供机构信息和人员信息的管理功能，包括对机构信息和人员信息的新增、修改和删除操作。</w:t>
            </w:r>
          </w:p>
          <w:p>
            <w:pPr>
              <w:numPr>
                <w:ilvl w:val="0"/>
                <w:numId w:val="4"/>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提供角色分组信息管理功能，包括对角色分组信息的新增、修改和删除操作。</w:t>
            </w:r>
          </w:p>
          <w:p>
            <w:pPr>
              <w:numPr>
                <w:ilvl w:val="0"/>
                <w:numId w:val="4"/>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提供系统访问授权管理功能，包括对授权信息的新增和删除操作。</w:t>
            </w:r>
          </w:p>
          <w:p>
            <w:pPr>
              <w:numPr>
                <w:ilvl w:val="0"/>
                <w:numId w:val="4"/>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与国家级一体化基础平台统一身份对接，实现机构信息和人员信息与国家级基础平台信息同步。</w:t>
            </w:r>
          </w:p>
          <w:p>
            <w:pPr>
              <w:keepNext/>
              <w:keepLines/>
              <w:widowControl/>
              <w:spacing w:line="240" w:lineRule="atLeast"/>
              <w:ind w:firstLine="482" w:firstLineChars="200"/>
              <w:jc w:val="left"/>
              <w:rPr>
                <w:rFonts w:asciiTheme="minorEastAsia" w:hAnsiTheme="minorEastAsia" w:eastAsiaTheme="minorEastAsia"/>
                <w:b/>
                <w:bCs/>
                <w:sz w:val="24"/>
              </w:rPr>
            </w:pPr>
            <w:bookmarkStart w:id="41" w:name="_Toc22550126"/>
            <w:bookmarkStart w:id="42" w:name="_Toc44171465"/>
            <w:r>
              <w:rPr>
                <w:rFonts w:hint="eastAsia" w:asciiTheme="minorEastAsia" w:hAnsiTheme="minorEastAsia" w:eastAsiaTheme="minorEastAsia"/>
                <w:b/>
                <w:bCs/>
                <w:sz w:val="24"/>
              </w:rPr>
              <w:t>2</w:t>
            </w:r>
            <w:r>
              <w:rPr>
                <w:rFonts w:asciiTheme="minorEastAsia" w:hAnsiTheme="minorEastAsia" w:eastAsiaTheme="minorEastAsia"/>
                <w:b/>
                <w:bCs/>
                <w:sz w:val="24"/>
              </w:rPr>
              <w:t>.1.3服务治理模块</w:t>
            </w:r>
            <w:bookmarkEnd w:id="41"/>
            <w:bookmarkEnd w:id="42"/>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在无线电管理总体服务化工程规范体系指导下，建设服务治理来固化无线电管理服务化工程规范体系功能内容。对无线电管理服务治理进行功能分析及设计，提供全面的符合无线电管理的服务治理。服务治理包括以下功能：</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建立服务元数据管理，后台建立数据库存储结构和描述，归集整理所有接口元数据信息。提供完善的服务注册中心，实现服务的注册，满足服务提供者和消费者之间的松散耦合，实现服务的查找、及治理，提供服务的安全保障。</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建设应用系统集成进度管理，提供系统信息维护功能，实现应用系统在线注册管理。提供一体化基础平台集成内容设置功能，实现应用系统集成内容的配置化处理。提供应用系统集成内容详细信息查看功能，实现应用系统集成进度实时展示。</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服务管理功能，能够托管现有服务，并提供任意位置的服务查找、调用，减少系统之间的依赖。</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能够对接入的服务运行进行监控，能够监控服务调用，并对服务的运行状况监控分析，跟踪服务的执行情况。</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对接口调用日志进行记录和分析，提供在线查询界面，为运维人员提供统一的接口运维平台，做到可监控、可查询、可报警。设置预警机制，对于运行超时、运行报错的接口服务，提供报警机制，并能根据需要灵活配置。实现各种接口运行统计图表，统计所有接口的运行次数、错误次数，统计各接口的平均运行时间、最大运行时间，支持按照各种维度对接口进行排序。</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建立服务全生命周期管控，对于接口变更或新的接口开发，采用审批流程并跟踪开发过程状态。能够查看所有服务的运行状况、统计信息及服务水平告警信息。允许用户针对运行期间各种统计数据来定义服务水平协议（SLA）。对于违反SLA的情况能够定义警告的严重级别，能够触发自动报警操作支持通过日志记录查看服务的访问执行过程。能够提供对服务的监控和日志功能，实现服务的绩效分析。提供各种企业服务总线运行过程的监控数据，并提供数据仪表盘，通过可视化图形方式展示执行统计结果，并能生成报表。</w:t>
            </w:r>
          </w:p>
          <w:p>
            <w:pPr>
              <w:numPr>
                <w:ilvl w:val="0"/>
                <w:numId w:val="5"/>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支持与国家级基础平台实现“平台级”对接，实现重点业务互联互通。提供跨平台业务服务授权功能，实现与其他省级基础平台业务服务的相互调用。提供业务服务元数据及授权数据的同步功能，实现业务服务元数据及授权数据的上传和下发。提供“平台级”路由功能，实现跨平台的业务服务调用。提供业务服务互联互通的配置性操作功能，提高业务服务互联互通的处理时效，减轻平台操作人员的工作强度。实现监测设备服务自动化注册功能，降低人员操作强度。能够支持监测设备的服务调用，满足监测业务对服务性能的要求。</w:t>
            </w:r>
          </w:p>
          <w:p>
            <w:pPr>
              <w:keepNext/>
              <w:keepLines/>
              <w:widowControl/>
              <w:spacing w:line="240" w:lineRule="atLeast"/>
              <w:ind w:firstLine="482" w:firstLineChars="200"/>
              <w:jc w:val="left"/>
              <w:rPr>
                <w:rFonts w:asciiTheme="minorEastAsia" w:hAnsiTheme="minorEastAsia" w:eastAsiaTheme="minorEastAsia"/>
                <w:b/>
                <w:bCs/>
                <w:sz w:val="24"/>
              </w:rPr>
            </w:pPr>
            <w:bookmarkStart w:id="43" w:name="_Toc44171466"/>
            <w:bookmarkStart w:id="44" w:name="_Toc22550129"/>
            <w:r>
              <w:rPr>
                <w:rFonts w:hint="eastAsia" w:asciiTheme="minorEastAsia" w:hAnsiTheme="minorEastAsia" w:eastAsiaTheme="minorEastAsia"/>
                <w:b/>
                <w:bCs/>
                <w:sz w:val="24"/>
              </w:rPr>
              <w:t>2</w:t>
            </w:r>
            <w:r>
              <w:rPr>
                <w:rFonts w:asciiTheme="minorEastAsia" w:hAnsiTheme="minorEastAsia" w:eastAsiaTheme="minorEastAsia"/>
                <w:b/>
                <w:bCs/>
                <w:sz w:val="24"/>
              </w:rPr>
              <w:t>.1.4 企业服务总线</w:t>
            </w:r>
            <w:bookmarkEnd w:id="43"/>
            <w:bookmarkEnd w:id="44"/>
            <w:r>
              <w:rPr>
                <w:rFonts w:hint="eastAsia" w:asciiTheme="minorEastAsia" w:hAnsiTheme="minorEastAsia" w:eastAsiaTheme="minorEastAsia"/>
                <w:b/>
                <w:bCs/>
                <w:sz w:val="24"/>
              </w:rPr>
              <w:t>模块</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企业服务总线（ESB）与服务治理相结合完成SOA基础架构设计。企业服务总线（ESB）技术要求如下：</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企业服务总线应具有开放性</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具有跨平台性，能运行于多种硬件和操作系统平台。</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企业服务总线应具有成熟性</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应采用成熟、专业、稳定、产品化的企业服务总线产品进行开发和集成，所使用的企业服务总线产品具备</w:t>
            </w:r>
            <w:r>
              <w:rPr>
                <w:rFonts w:hint="eastAsia" w:asciiTheme="minorEastAsia" w:hAnsiTheme="minorEastAsia" w:eastAsiaTheme="minorEastAsia"/>
                <w:kern w:val="0"/>
                <w:sz w:val="24"/>
                <w:lang w:bidi="en-US"/>
              </w:rPr>
              <w:t>国产或开源的</w:t>
            </w:r>
            <w:r>
              <w:rPr>
                <w:rFonts w:asciiTheme="minorEastAsia" w:hAnsiTheme="minorEastAsia" w:eastAsiaTheme="minorEastAsia"/>
                <w:kern w:val="0"/>
                <w:sz w:val="24"/>
                <w:lang w:bidi="en-US"/>
              </w:rPr>
              <w:t>公认的稳定性和可维护性</w:t>
            </w:r>
            <w:r>
              <w:rPr>
                <w:rFonts w:hint="eastAsia" w:asciiTheme="minorEastAsia" w:hAnsiTheme="minorEastAsia" w:eastAsiaTheme="minorEastAsia"/>
                <w:kern w:val="0"/>
                <w:sz w:val="24"/>
                <w:lang w:bidi="en-US"/>
              </w:rPr>
              <w:t>。</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支持多种类型的业务服务注册。</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SOAP服务：支持W3C标准的SOAP1.1和SOAP1.2服务。RESTful服务：支持RESTful Web服务。</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支持多种传输协议标准</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提供跨网络、硬件和操作系统平台的应用或服务的交互，支持http、https、jms、MQ、ftp、file等传输协议。</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企业服务总线性能要求</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能够支持无线电管理监测设备原子服务调用的高效稳定传输。</w:t>
            </w:r>
          </w:p>
          <w:p>
            <w:pPr>
              <w:numPr>
                <w:ilvl w:val="0"/>
                <w:numId w:val="6"/>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企业服务总线（ESB）功能要求</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能够托管现有服务，并提供任意位置的服务调用，减少系统之间的依赖。能够提供不同接口协议的调用桥接，兼容现有接口。能够容易在平台上开发部署新的服务组件。能够支持负载均衡群集或分布式群集。能够支持业务服务建模，根据给定的数据模型和接口输入输出模型，生成对应的服务实现。能够支持业务服务实现绑定，支持标准业务服务和厂商服务之间的绑定与替换。能够基于业务服务技术模型提供对Web Service的全面支持，支持Web Service相关的安全、事务等特性；能够实现数据在服务调用时的可靠传输，能够对传输的数据进行加密，保障数据安全，实现数据的不重、不错、不漏、不丢的一次性传输；能够提供完善的数据转换的功能，实现多个业务服务之间同种语义但模型异构的数据之间的相互转换、相互识别；能够提供可视化的设计工具，方便用户维护和设计服务模型、服务绑定以及服务组装。全面支持SOA体系架构，遵循Web Service和XML技术标准和规范。配置驱动的服务集成，具有基于内容和身份的路由功能。动态的消息格式转换。提供多协议消息处理总线，包含了对JMS、SOAP、JCA、JDBC、HTTP 、FTP、E-mail等协议的支持。支持同步、异步、“点对点”、“发布-订阅”等多种通信会话模式。具有高性能、高可扩展性和高可靠性。支持不同外系统提供的Web Service访问，能够将现有业务应用封装成Web Service供复用。支持Web Service相关标准集，如SOAP、WSDL、UDDI、WS-Security等。支持SOA 体系架构，有强大的集成能力，能够提供基于通用的适配器实现对外部资源的快速集成。提供支持主流通信协议的各类适配器，包括HTTP/HTTPS，mail，FTP/SFTP，SOAP，File，Socket，EJB等适配器。内置基于JMS 规范的消息服务器。提供数据库适配器，并可通过非侵入方式获取到一个或多个主子数据表中的全部或部分变化数据。企业服务总线支持分布式计算，可以提供服务访问的负载均衡。对于访问压力较大的业务服务，企业服务总线应该能通过服务超载保护功能来限制发送到业务服务的吞吐量，从而防止这些服务超载。</w:t>
            </w:r>
          </w:p>
          <w:p>
            <w:pPr>
              <w:keepNext/>
              <w:keepLines/>
              <w:widowControl/>
              <w:spacing w:line="240" w:lineRule="atLeast"/>
              <w:ind w:firstLine="482" w:firstLineChars="200"/>
              <w:jc w:val="left"/>
              <w:rPr>
                <w:rFonts w:asciiTheme="minorEastAsia" w:hAnsiTheme="minorEastAsia" w:eastAsiaTheme="minorEastAsia"/>
                <w:b/>
                <w:bCs/>
                <w:sz w:val="24"/>
              </w:rPr>
            </w:pPr>
            <w:bookmarkStart w:id="45" w:name="_Toc22550130"/>
            <w:bookmarkStart w:id="46" w:name="_Toc44171467"/>
            <w:r>
              <w:rPr>
                <w:rFonts w:hint="eastAsia" w:asciiTheme="minorEastAsia" w:hAnsiTheme="minorEastAsia" w:eastAsiaTheme="minorEastAsia"/>
                <w:b/>
                <w:bCs/>
                <w:sz w:val="24"/>
              </w:rPr>
              <w:t>2</w:t>
            </w:r>
            <w:r>
              <w:rPr>
                <w:rFonts w:asciiTheme="minorEastAsia" w:hAnsiTheme="minorEastAsia" w:eastAsiaTheme="minorEastAsia"/>
                <w:b/>
                <w:bCs/>
                <w:sz w:val="24"/>
              </w:rPr>
              <w:t>.1.5 流程管理</w:t>
            </w:r>
            <w:bookmarkEnd w:id="45"/>
            <w:r>
              <w:rPr>
                <w:rFonts w:hint="eastAsia" w:asciiTheme="minorEastAsia" w:hAnsiTheme="minorEastAsia" w:eastAsiaTheme="minorEastAsia"/>
                <w:b/>
                <w:bCs/>
                <w:sz w:val="24"/>
              </w:rPr>
              <w:t>模块</w:t>
            </w:r>
            <w:bookmarkEnd w:id="46"/>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 xml:space="preserve"> </w:t>
            </w:r>
            <w:r>
              <w:rPr>
                <w:rFonts w:asciiTheme="minorEastAsia" w:hAnsiTheme="minorEastAsia" w:eastAsiaTheme="minorEastAsia"/>
                <w:kern w:val="0"/>
                <w:sz w:val="24"/>
                <w:lang w:bidi="en-US"/>
              </w:rPr>
              <w:t xml:space="preserve">  </w:t>
            </w:r>
            <w:r>
              <w:rPr>
                <w:rFonts w:hint="eastAsia" w:cs="Arial" w:asciiTheme="minorEastAsia" w:hAnsiTheme="minorEastAsia" w:eastAsiaTheme="minorEastAsia"/>
                <w:sz w:val="24"/>
              </w:rPr>
              <w:t>★</w:t>
            </w:r>
            <w:r>
              <w:rPr>
                <w:rFonts w:hint="eastAsia" w:asciiTheme="minorEastAsia" w:hAnsiTheme="minorEastAsia" w:eastAsiaTheme="minorEastAsia"/>
                <w:kern w:val="0"/>
                <w:sz w:val="24"/>
                <w:lang w:bidi="en-US"/>
              </w:rPr>
              <w:t>流程管理</w:t>
            </w:r>
            <w:r>
              <w:rPr>
                <w:rFonts w:asciiTheme="minorEastAsia" w:hAnsiTheme="minorEastAsia" w:eastAsiaTheme="minorEastAsia"/>
                <w:kern w:val="0"/>
                <w:sz w:val="24"/>
                <w:lang w:bidi="en-US"/>
              </w:rPr>
              <w:t>至少具备平台性、开放性、兼容性、扩展性、健壮性和成熟性等特征。</w:t>
            </w:r>
            <w:r>
              <w:rPr>
                <w:rFonts w:hint="eastAsia" w:asciiTheme="minorEastAsia" w:hAnsiTheme="minorEastAsia" w:eastAsiaTheme="minorEastAsia"/>
                <w:kern w:val="0"/>
                <w:sz w:val="24"/>
                <w:lang w:bidi="en-US"/>
              </w:rPr>
              <w:t>本项目将集成前期项目已采购采购工作流平台作为流程管理组件，</w:t>
            </w:r>
            <w:r>
              <w:rPr>
                <w:rFonts w:asciiTheme="minorEastAsia" w:hAnsiTheme="minorEastAsia" w:eastAsiaTheme="minorEastAsia"/>
                <w:kern w:val="0"/>
                <w:sz w:val="24"/>
                <w:lang w:bidi="en-US"/>
              </w:rPr>
              <w:t>实现流程信息的</w:t>
            </w:r>
            <w:r>
              <w:rPr>
                <w:rFonts w:hint="eastAsia" w:asciiTheme="minorEastAsia" w:hAnsiTheme="minorEastAsia" w:eastAsiaTheme="minorEastAsia"/>
                <w:kern w:val="0"/>
                <w:sz w:val="24"/>
                <w:lang w:bidi="en-US"/>
              </w:rPr>
              <w:t>定制、流转驱动、</w:t>
            </w:r>
            <w:r>
              <w:rPr>
                <w:rFonts w:asciiTheme="minorEastAsia" w:hAnsiTheme="minorEastAsia" w:eastAsiaTheme="minorEastAsia"/>
                <w:kern w:val="0"/>
                <w:sz w:val="24"/>
                <w:lang w:bidi="en-US"/>
              </w:rPr>
              <w:t>汇总、查询、分析等功能。</w:t>
            </w:r>
            <w:r>
              <w:rPr>
                <w:rFonts w:asciiTheme="minorEastAsia" w:hAnsiTheme="minorEastAsia" w:eastAsiaTheme="minorEastAsia"/>
                <w:kern w:val="0"/>
                <w:sz w:val="24"/>
                <w:lang w:bidi="en-US"/>
              </w:rPr>
              <w:tab/>
            </w:r>
          </w:p>
          <w:p>
            <w:pPr>
              <w:keepNext/>
              <w:keepLines/>
              <w:widowControl/>
              <w:spacing w:line="240" w:lineRule="atLeast"/>
              <w:ind w:firstLine="482" w:firstLineChars="200"/>
              <w:jc w:val="left"/>
              <w:rPr>
                <w:rFonts w:asciiTheme="minorEastAsia" w:hAnsiTheme="minorEastAsia" w:eastAsiaTheme="minorEastAsia"/>
                <w:b/>
                <w:bCs/>
                <w:sz w:val="24"/>
              </w:rPr>
            </w:pPr>
            <w:bookmarkStart w:id="47" w:name="_Toc22550134"/>
            <w:bookmarkStart w:id="48" w:name="_Toc44171468"/>
            <w:r>
              <w:rPr>
                <w:rFonts w:hint="eastAsia" w:asciiTheme="minorEastAsia" w:hAnsiTheme="minorEastAsia" w:eastAsiaTheme="minorEastAsia"/>
                <w:b/>
                <w:bCs/>
                <w:sz w:val="24"/>
              </w:rPr>
              <w:t>2</w:t>
            </w:r>
            <w:r>
              <w:rPr>
                <w:rFonts w:asciiTheme="minorEastAsia" w:hAnsiTheme="minorEastAsia" w:eastAsiaTheme="minorEastAsia"/>
                <w:b/>
                <w:bCs/>
                <w:sz w:val="24"/>
              </w:rPr>
              <w:t>.1.6 平台管理模块</w:t>
            </w:r>
            <w:bookmarkEnd w:id="47"/>
            <w:bookmarkEnd w:id="48"/>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平台管理对一体化基础平台进行后台管理，平台管理包括以下功能：</w:t>
            </w:r>
          </w:p>
          <w:p>
            <w:pPr>
              <w:numPr>
                <w:ilvl w:val="0"/>
                <w:numId w:val="7"/>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提供菜单管理功能，设置和维护一体化基础平台的菜单信息。</w:t>
            </w:r>
          </w:p>
          <w:p>
            <w:pPr>
              <w:numPr>
                <w:ilvl w:val="0"/>
                <w:numId w:val="7"/>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提供角色管理功能，设置和维护一体化基础平台的角色信息。</w:t>
            </w:r>
          </w:p>
          <w:p>
            <w:pPr>
              <w:numPr>
                <w:ilvl w:val="0"/>
                <w:numId w:val="7"/>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提供权限管理功能，以菜单-角色-人员的方式，可视化配置一体化基础平台用户的可用功能，实现一体化基础平台的用户权限管控。</w:t>
            </w:r>
          </w:p>
          <w:p>
            <w:pPr>
              <w:numPr>
                <w:ilvl w:val="0"/>
                <w:numId w:val="7"/>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平台级互联管理功能，对省级一体化基础平台与国家级一体化基础平台间的平台级互联进行管理。可查看通过互联互通接口获取到的全国过范围内所有一体化基础平台的服务信息、系统信息、服务信息和跨平台授权信息。</w:t>
            </w:r>
          </w:p>
          <w:p>
            <w:pPr>
              <w:keepNext/>
              <w:keepLines/>
              <w:widowControl/>
              <w:spacing w:line="240" w:lineRule="atLeast"/>
              <w:ind w:firstLine="482" w:firstLineChars="200"/>
              <w:jc w:val="left"/>
              <w:rPr>
                <w:rFonts w:asciiTheme="minorEastAsia" w:hAnsiTheme="minorEastAsia" w:eastAsiaTheme="minorEastAsia"/>
                <w:b/>
                <w:bCs/>
                <w:sz w:val="24"/>
              </w:rPr>
            </w:pPr>
            <w:bookmarkStart w:id="49" w:name="_Toc22550137"/>
            <w:bookmarkStart w:id="50" w:name="_Toc44171469"/>
            <w:r>
              <w:rPr>
                <w:rFonts w:hint="eastAsia" w:asciiTheme="minorEastAsia" w:hAnsiTheme="minorEastAsia" w:eastAsiaTheme="minorEastAsia"/>
                <w:b/>
                <w:bCs/>
                <w:sz w:val="24"/>
              </w:rPr>
              <w:t>2</w:t>
            </w:r>
            <w:r>
              <w:rPr>
                <w:rFonts w:asciiTheme="minorEastAsia" w:hAnsiTheme="minorEastAsia" w:eastAsiaTheme="minorEastAsia"/>
                <w:b/>
                <w:bCs/>
                <w:sz w:val="24"/>
              </w:rPr>
              <w:t>.1.7 应用安全模块</w:t>
            </w:r>
            <w:bookmarkEnd w:id="49"/>
            <w:bookmarkEnd w:id="50"/>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应用安全由CA系统、LRA系统和4A系统组成。CA系统负责签发、管理数字证书，为全国各级无线电管理机构的所有用户进行证书申请、审核和签发等；LRA系统和国家级CA系统连接，负责本省</w:t>
            </w:r>
            <w:r>
              <w:rPr>
                <w:rFonts w:hint="eastAsia" w:asciiTheme="minorEastAsia" w:hAnsiTheme="minorEastAsia" w:eastAsiaTheme="minorEastAsia"/>
                <w:kern w:val="0"/>
                <w:sz w:val="24"/>
                <w:lang w:bidi="en-US"/>
              </w:rPr>
              <w:t>（自治区）</w:t>
            </w:r>
            <w:r>
              <w:rPr>
                <w:rFonts w:asciiTheme="minorEastAsia" w:hAnsiTheme="minorEastAsia" w:eastAsiaTheme="minorEastAsia"/>
                <w:kern w:val="0"/>
                <w:sz w:val="24"/>
                <w:lang w:bidi="en-US"/>
              </w:rPr>
              <w:t>用户的证书申请、身份审核和证书下载；4A系统提供统一的身份认证、授权管理、账号管理、审计管理等服务。</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其中CA系统由国家建设，</w:t>
            </w:r>
            <w:r>
              <w:rPr>
                <w:rFonts w:hint="eastAsia" w:asciiTheme="minorEastAsia" w:hAnsiTheme="minorEastAsia" w:eastAsiaTheme="minorEastAsia"/>
                <w:kern w:val="0"/>
                <w:sz w:val="24"/>
                <w:lang w:bidi="en-US"/>
              </w:rPr>
              <w:t>本项目将建设</w:t>
            </w:r>
            <w:r>
              <w:rPr>
                <w:rFonts w:asciiTheme="minorEastAsia" w:hAnsiTheme="minorEastAsia" w:eastAsiaTheme="minorEastAsia"/>
                <w:kern w:val="0"/>
                <w:sz w:val="24"/>
                <w:lang w:bidi="en-US"/>
              </w:rPr>
              <w:t>LRA系统和4A系统。</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LRA系统包含以下功能要求：</w:t>
            </w:r>
          </w:p>
          <w:p>
            <w:pPr>
              <w:numPr>
                <w:ilvl w:val="0"/>
                <w:numId w:val="8"/>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LRA系统能够与国家CA系统连接且相互通信符合国家相关标准规范；</w:t>
            </w:r>
          </w:p>
          <w:p>
            <w:pPr>
              <w:numPr>
                <w:ilvl w:val="0"/>
                <w:numId w:val="8"/>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LRA系统支持从本省一体化基础平台同步本省用户信息来签发证书；</w:t>
            </w:r>
          </w:p>
          <w:p>
            <w:pPr>
              <w:numPr>
                <w:ilvl w:val="0"/>
                <w:numId w:val="8"/>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支持SM2和RSA2048算法证书签发；</w:t>
            </w:r>
          </w:p>
          <w:p>
            <w:pPr>
              <w:numPr>
                <w:ilvl w:val="0"/>
                <w:numId w:val="8"/>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支持证书申请、撤销、更新、冻结、解冻、密钥恢复等；</w:t>
            </w:r>
          </w:p>
          <w:p>
            <w:pPr>
              <w:numPr>
                <w:ilvl w:val="0"/>
                <w:numId w:val="8"/>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证书签发时间&lt;20s。</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4A系统包含以下功能：</w:t>
            </w:r>
          </w:p>
          <w:p>
            <w:pPr>
              <w:numPr>
                <w:ilvl w:val="0"/>
                <w:numId w:val="9"/>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提供身份管理功能，支持与统一身份集成，获取最新机构信息和用户信息。</w:t>
            </w:r>
          </w:p>
          <w:p>
            <w:pPr>
              <w:numPr>
                <w:ilvl w:val="0"/>
                <w:numId w:val="9"/>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提供身份认证功能，实现用户统一身份认证、单点登录功能。用户认证方式支持采用CA系统签发的数字证书认证方式和用户名口令，支持对网段、时间、IP等多种认证策略设置。</w:t>
            </w:r>
          </w:p>
          <w:p>
            <w:pPr>
              <w:numPr>
                <w:ilvl w:val="0"/>
                <w:numId w:val="9"/>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提供审计管理功能，支持用户行为关联审计；支持基于用户名、用户IP、资源、时间的访问统计；支持日志的告警、自动清理管理等。</w:t>
            </w:r>
          </w:p>
          <w:p>
            <w:pPr>
              <w:numPr>
                <w:ilvl w:val="0"/>
                <w:numId w:val="9"/>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提供用户认证接口，实现省级基础平台到国家级基础平台、省级基础平台之间的业务系统访问。</w:t>
            </w:r>
          </w:p>
          <w:p>
            <w:pPr>
              <w:keepNext/>
              <w:keepLines/>
              <w:widowControl/>
              <w:spacing w:line="240" w:lineRule="atLeast"/>
              <w:ind w:firstLine="482" w:firstLineChars="200"/>
              <w:jc w:val="left"/>
              <w:rPr>
                <w:rFonts w:asciiTheme="minorEastAsia" w:hAnsiTheme="minorEastAsia" w:eastAsiaTheme="minorEastAsia"/>
                <w:b/>
                <w:bCs/>
                <w:sz w:val="24"/>
              </w:rPr>
            </w:pPr>
            <w:bookmarkStart w:id="51" w:name="_Toc22550138"/>
            <w:bookmarkStart w:id="52" w:name="_Toc44171470"/>
            <w:r>
              <w:rPr>
                <w:rFonts w:hint="eastAsia" w:asciiTheme="minorEastAsia" w:hAnsiTheme="minorEastAsia" w:eastAsiaTheme="minorEastAsia"/>
                <w:b/>
                <w:bCs/>
                <w:sz w:val="24"/>
              </w:rPr>
              <w:t>2</w:t>
            </w:r>
            <w:r>
              <w:rPr>
                <w:rFonts w:asciiTheme="minorEastAsia" w:hAnsiTheme="minorEastAsia" w:eastAsiaTheme="minorEastAsia"/>
                <w:b/>
                <w:bCs/>
                <w:sz w:val="24"/>
              </w:rPr>
              <w:t>.1.8 地理信息模块</w:t>
            </w:r>
            <w:bookmarkEnd w:id="51"/>
            <w:bookmarkEnd w:id="52"/>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通过平台级互联互通方式调用国家中心地理信息系统已有服务，原则上各省</w:t>
            </w:r>
            <w:r>
              <w:rPr>
                <w:rFonts w:hint="eastAsia" w:asciiTheme="minorEastAsia" w:hAnsiTheme="minorEastAsia" w:eastAsiaTheme="minorEastAsia"/>
                <w:kern w:val="0"/>
                <w:sz w:val="24"/>
                <w:lang w:bidi="en-US"/>
              </w:rPr>
              <w:t>级机构</w:t>
            </w:r>
            <w:r>
              <w:rPr>
                <w:rFonts w:asciiTheme="minorEastAsia" w:hAnsiTheme="minorEastAsia" w:eastAsiaTheme="minorEastAsia"/>
                <w:kern w:val="0"/>
                <w:sz w:val="24"/>
                <w:lang w:bidi="en-US"/>
              </w:rPr>
              <w:t>一体化基础平台将不再单独建设地理信息模块，且各应用系统也不应使用非国家机构提供的免费地理信息服务</w:t>
            </w:r>
          </w:p>
          <w:p>
            <w:pPr>
              <w:keepNext/>
              <w:keepLines/>
              <w:widowControl/>
              <w:spacing w:line="240" w:lineRule="atLeast"/>
              <w:ind w:firstLine="482" w:firstLineChars="200"/>
              <w:jc w:val="left"/>
              <w:rPr>
                <w:rFonts w:asciiTheme="minorEastAsia" w:hAnsiTheme="minorEastAsia" w:eastAsiaTheme="minorEastAsia"/>
                <w:b/>
                <w:bCs/>
                <w:sz w:val="24"/>
              </w:rPr>
            </w:pPr>
            <w:bookmarkStart w:id="53" w:name="_Toc44171471"/>
            <w:bookmarkStart w:id="54" w:name="_Toc7771"/>
            <w:bookmarkStart w:id="55" w:name="_Toc2478"/>
            <w:bookmarkStart w:id="56" w:name="_Toc17562369"/>
            <w:bookmarkStart w:id="57" w:name="_Toc17562286"/>
            <w:bookmarkStart w:id="58" w:name="_Toc18515310"/>
            <w:bookmarkStart w:id="59" w:name="_Toc17217582"/>
            <w:r>
              <w:rPr>
                <w:rFonts w:hint="eastAsia" w:asciiTheme="minorEastAsia" w:hAnsiTheme="minorEastAsia" w:eastAsiaTheme="minorEastAsia"/>
                <w:b/>
                <w:bCs/>
                <w:sz w:val="24"/>
              </w:rPr>
              <w:t>2</w:t>
            </w:r>
            <w:r>
              <w:rPr>
                <w:rFonts w:asciiTheme="minorEastAsia" w:hAnsiTheme="minorEastAsia" w:eastAsiaTheme="minorEastAsia"/>
                <w:b/>
                <w:bCs/>
                <w:sz w:val="24"/>
              </w:rPr>
              <w:t xml:space="preserve">.1.9 </w:t>
            </w:r>
            <w:r>
              <w:rPr>
                <w:rFonts w:hint="eastAsia" w:asciiTheme="minorEastAsia" w:hAnsiTheme="minorEastAsia" w:eastAsiaTheme="minorEastAsia"/>
                <w:b/>
                <w:bCs/>
                <w:sz w:val="24"/>
              </w:rPr>
              <w:t>文档中心</w:t>
            </w:r>
            <w:bookmarkEnd w:id="53"/>
            <w:bookmarkEnd w:id="54"/>
          </w:p>
          <w:p>
            <w:pPr>
              <w:spacing w:line="240" w:lineRule="atLeast"/>
              <w:ind w:firstLine="480" w:firstLineChars="200"/>
              <w:jc w:val="left"/>
              <w:rPr>
                <w:rFonts w:asciiTheme="minorEastAsia" w:hAnsiTheme="minorEastAsia" w:eastAsiaTheme="minorEastAsia"/>
                <w:kern w:val="0"/>
                <w:sz w:val="24"/>
                <w:lang w:bidi="en-US"/>
              </w:rPr>
            </w:pPr>
            <w:r>
              <w:rPr>
                <w:rFonts w:hint="eastAsia" w:cs="Arial" w:asciiTheme="minorEastAsia" w:hAnsiTheme="minorEastAsia" w:eastAsiaTheme="minorEastAsia"/>
                <w:sz w:val="24"/>
              </w:rPr>
              <w:t>★</w:t>
            </w:r>
            <w:r>
              <w:rPr>
                <w:rFonts w:hint="eastAsia" w:asciiTheme="minorEastAsia" w:hAnsiTheme="minorEastAsia" w:eastAsiaTheme="minorEastAsia"/>
                <w:kern w:val="0"/>
                <w:sz w:val="24"/>
                <w:lang w:bidi="en-US"/>
              </w:rPr>
              <w:t>集成已建文档中心，提供统一文档储蓄、检索接口。更新文档库，并在服务期内提供文档库升级服务。</w:t>
            </w:r>
          </w:p>
          <w:p>
            <w:pPr>
              <w:keepNext/>
              <w:keepLines/>
              <w:snapToGrid w:val="0"/>
              <w:spacing w:line="240" w:lineRule="atLeast"/>
              <w:ind w:firstLine="482" w:firstLineChars="200"/>
              <w:jc w:val="left"/>
              <w:rPr>
                <w:rFonts w:cs="Arial" w:asciiTheme="minorEastAsia" w:hAnsiTheme="minorEastAsia" w:eastAsiaTheme="minorEastAsia"/>
                <w:b/>
                <w:bCs/>
                <w:color w:val="000000"/>
                <w:sz w:val="24"/>
              </w:rPr>
            </w:pPr>
            <w:bookmarkStart w:id="60" w:name="_Toc44171473"/>
            <w:bookmarkStart w:id="61" w:name="_Toc22550139"/>
            <w:bookmarkStart w:id="62" w:name="_Toc44171472"/>
            <w:r>
              <w:rPr>
                <w:rFonts w:hint="eastAsia" w:cs="Arial" w:asciiTheme="minorEastAsia" w:hAnsiTheme="minorEastAsia" w:eastAsiaTheme="minorEastAsia"/>
                <w:b/>
                <w:bCs/>
                <w:color w:val="000000"/>
                <w:sz w:val="24"/>
              </w:rPr>
              <w:t>2</w:t>
            </w:r>
            <w:r>
              <w:rPr>
                <w:rFonts w:cs="Arial" w:asciiTheme="minorEastAsia" w:hAnsiTheme="minorEastAsia" w:eastAsiaTheme="minorEastAsia"/>
                <w:b/>
                <w:bCs/>
                <w:color w:val="000000"/>
                <w:sz w:val="24"/>
              </w:rPr>
              <w:t>.2 平台级互联互通</w:t>
            </w:r>
            <w:bookmarkEnd w:id="60"/>
            <w:bookmarkEnd w:id="61"/>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平台级互联互通不是一个独立软件模块，是一体化基础平台的综合功能体现，本项目将依据《无线电管理一体化平台集成规范 第3部分：平台级互联互通》提供标准化接口</w:t>
            </w:r>
            <w:r>
              <w:rPr>
                <w:rFonts w:hint="eastAsia" w:asciiTheme="minorEastAsia" w:hAnsiTheme="minorEastAsia" w:eastAsiaTheme="minorEastAsia"/>
                <w:kern w:val="0"/>
                <w:sz w:val="24"/>
                <w:lang w:bidi="en-US"/>
              </w:rPr>
              <w:t>，</w:t>
            </w:r>
            <w:r>
              <w:rPr>
                <w:rFonts w:asciiTheme="minorEastAsia" w:hAnsiTheme="minorEastAsia" w:eastAsiaTheme="minorEastAsia"/>
                <w:kern w:val="0"/>
                <w:sz w:val="24"/>
                <w:lang w:bidi="en-US"/>
              </w:rPr>
              <w:t>实现与国家无线电管理一体化平台的平台级互联互通</w:t>
            </w:r>
            <w:r>
              <w:rPr>
                <w:rFonts w:hint="eastAsia" w:asciiTheme="minorEastAsia" w:hAnsiTheme="minorEastAsia" w:eastAsiaTheme="minorEastAsia"/>
                <w:kern w:val="0"/>
                <w:sz w:val="24"/>
                <w:lang w:bidi="en-US"/>
              </w:rPr>
              <w:t>，</w:t>
            </w:r>
            <w:r>
              <w:rPr>
                <w:rFonts w:asciiTheme="minorEastAsia" w:hAnsiTheme="minorEastAsia" w:eastAsiaTheme="minorEastAsia"/>
                <w:kern w:val="0"/>
                <w:sz w:val="24"/>
                <w:lang w:bidi="en-US"/>
              </w:rPr>
              <w:t>达到统一登录</w:t>
            </w:r>
            <w:r>
              <w:rPr>
                <w:rFonts w:hint="eastAsia" w:asciiTheme="minorEastAsia" w:hAnsiTheme="minorEastAsia" w:eastAsiaTheme="minorEastAsia"/>
                <w:kern w:val="0"/>
                <w:sz w:val="24"/>
                <w:lang w:bidi="en-US"/>
              </w:rPr>
              <w:t>、</w:t>
            </w:r>
            <w:r>
              <w:rPr>
                <w:rFonts w:asciiTheme="minorEastAsia" w:hAnsiTheme="minorEastAsia" w:eastAsiaTheme="minorEastAsia"/>
                <w:kern w:val="0"/>
                <w:sz w:val="24"/>
                <w:lang w:bidi="en-US"/>
              </w:rPr>
              <w:t>服务集成</w:t>
            </w:r>
            <w:r>
              <w:rPr>
                <w:rFonts w:hint="eastAsia" w:asciiTheme="minorEastAsia" w:hAnsiTheme="minorEastAsia" w:eastAsiaTheme="minorEastAsia"/>
                <w:kern w:val="0"/>
                <w:sz w:val="24"/>
                <w:lang w:bidi="en-US"/>
              </w:rPr>
              <w:t>，实现已接入监测设施和无线电频率台站</w:t>
            </w:r>
            <w:r>
              <w:rPr>
                <w:rFonts w:asciiTheme="minorEastAsia" w:hAnsiTheme="minorEastAsia" w:eastAsiaTheme="minorEastAsia"/>
                <w:kern w:val="0"/>
                <w:sz w:val="24"/>
                <w:lang w:bidi="en-US"/>
              </w:rPr>
              <w:t>业务数据的跨平台互联互通</w:t>
            </w:r>
            <w:r>
              <w:rPr>
                <w:rFonts w:hint="eastAsia" w:asciiTheme="minorEastAsia" w:hAnsiTheme="minorEastAsia" w:eastAsiaTheme="minorEastAsia"/>
                <w:kern w:val="0"/>
                <w:sz w:val="24"/>
                <w:lang w:bidi="en-US"/>
              </w:rPr>
              <w:t>。</w:t>
            </w:r>
          </w:p>
          <w:p>
            <w:pPr>
              <w:spacing w:line="240" w:lineRule="atLeast"/>
              <w:ind w:firstLine="480" w:firstLineChars="200"/>
              <w:jc w:val="left"/>
              <w:rPr>
                <w:rFonts w:asciiTheme="minorEastAsia" w:hAnsiTheme="minorEastAsia" w:eastAsiaTheme="minorEastAsia"/>
                <w:kern w:val="0"/>
                <w:sz w:val="24"/>
                <w:lang w:bidi="en-US"/>
              </w:rPr>
            </w:pPr>
            <w:r>
              <w:rPr>
                <w:rFonts w:cs="Arial" w:asciiTheme="minorEastAsia" w:hAnsiTheme="minorEastAsia" w:eastAsiaTheme="minorEastAsia"/>
                <w:sz w:val="24"/>
              </w:rPr>
              <w:drawing>
                <wp:inline distT="0" distB="0" distL="0" distR="0">
                  <wp:extent cx="5487670" cy="1504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99956" cy="1508165"/>
                          </a:xfrm>
                          <a:prstGeom prst="rect">
                            <a:avLst/>
                          </a:prstGeom>
                          <a:noFill/>
                          <a:ln>
                            <a:noFill/>
                          </a:ln>
                        </pic:spPr>
                      </pic:pic>
                    </a:graphicData>
                  </a:graphic>
                </wp:inline>
              </w:drawing>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调用国家一体化基础平台服务获取系统类型列表，并对本省一体化基础平台内注册的应用系统进行系统类型设置。</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调用国家一体化基础平台服务获取服务类型列表，并对本省一体化基础平台内注册的服务进行服务类型设置。</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调用国家一体化基础平台接口获取全国一体化基础平台列表，并在本省一体化基础平台内实现跨平台信息管理与查看。</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调用国家一体化基础平台服务推送本省一体化基础平台连通状态。</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实现跨平台系统授权功能，调用国家一体化基础平台服务上传本省一体化基础平台系统信息和跨平台系统授权信息，同时在本省一体化基础平台内实现跨平台系统访问功能。</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调用国家一体化基础平台服务获取其他一体化基础平台系统信息和跨平台授权信息，并在本省一体化基础平台内实现跨平台系统访问功能。</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实现跨平台服务授权功能，调用国家一体化基础平台服务上传服务元数据信息和跨平台服务授权信息，并在本省一体化基础平台实现跨平台服务调用，同时支持服务调用异常处理和定位。</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调用国家一体化基础平台服务获取跨平台授权服务测试验证结果。</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调用国家一体化基础平台服务获取其他一体化基础平台服务元数据信息和跨平台服务授权信息，并在本省一体化基础平台内实现跨平台服务调用，同时支持服务调用异常处理和定位。</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调用国家一体化基础平台服务上传服务消费信息。</w:t>
            </w:r>
          </w:p>
          <w:p>
            <w:pPr>
              <w:numPr>
                <w:ilvl w:val="0"/>
                <w:numId w:val="10"/>
              </w:numPr>
              <w:spacing w:line="240" w:lineRule="atLeast"/>
              <w:ind w:left="0"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调用国家一体化基础平台服务获取全国无线电管理机构的部门信息和人员信息。</w:t>
            </w:r>
          </w:p>
          <w:p>
            <w:pPr>
              <w:keepNext/>
              <w:keepLines/>
              <w:snapToGrid w:val="0"/>
              <w:spacing w:line="240" w:lineRule="atLeast"/>
              <w:ind w:firstLine="482" w:firstLineChars="200"/>
              <w:jc w:val="left"/>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2</w:t>
            </w:r>
            <w:r>
              <w:rPr>
                <w:rFonts w:cs="Arial" w:asciiTheme="minorEastAsia" w:hAnsiTheme="minorEastAsia" w:eastAsiaTheme="minorEastAsia"/>
                <w:b/>
                <w:bCs/>
                <w:color w:val="000000"/>
                <w:sz w:val="24"/>
              </w:rPr>
              <w:t xml:space="preserve">.3 </w:t>
            </w:r>
            <w:r>
              <w:rPr>
                <w:rFonts w:hint="eastAsia" w:cs="Arial" w:asciiTheme="minorEastAsia" w:hAnsiTheme="minorEastAsia" w:eastAsiaTheme="minorEastAsia"/>
                <w:b/>
                <w:bCs/>
                <w:color w:val="000000"/>
                <w:sz w:val="24"/>
              </w:rPr>
              <w:t>业务系统</w:t>
            </w:r>
            <w:bookmarkEnd w:id="55"/>
            <w:bookmarkEnd w:id="56"/>
            <w:bookmarkEnd w:id="57"/>
            <w:bookmarkEnd w:id="58"/>
            <w:bookmarkEnd w:id="59"/>
            <w:r>
              <w:rPr>
                <w:rFonts w:hint="eastAsia" w:cs="Arial" w:asciiTheme="minorEastAsia" w:hAnsiTheme="minorEastAsia" w:eastAsiaTheme="minorEastAsia"/>
                <w:b/>
                <w:bCs/>
                <w:color w:val="000000"/>
                <w:sz w:val="24"/>
              </w:rPr>
              <w:t>集成</w:t>
            </w:r>
            <w:bookmarkEnd w:id="62"/>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cs="宋体" w:asciiTheme="minorEastAsia" w:hAnsiTheme="minorEastAsia" w:eastAsiaTheme="minorEastAsia"/>
                <w:color w:val="000000"/>
                <w:kern w:val="0"/>
                <w:sz w:val="24"/>
                <w:lang w:bidi="en-US"/>
              </w:rPr>
              <w:t>无</w:t>
            </w:r>
            <w:r>
              <w:rPr>
                <w:rFonts w:hint="eastAsia" w:asciiTheme="minorEastAsia" w:hAnsiTheme="minorEastAsia" w:eastAsiaTheme="minorEastAsia"/>
                <w:kern w:val="0"/>
                <w:sz w:val="24"/>
                <w:lang w:bidi="en-US"/>
              </w:rPr>
              <w:t>线电管理一体化基础平台建设完善后，涉及到原有已经或同期正在建设的各个业务系统，也需要进行相应的改造工作。业务系统及改造内容如下图所示：</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rPr>
              <w:drawing>
                <wp:inline distT="0" distB="0" distL="0" distR="0">
                  <wp:extent cx="5486400" cy="2667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097" cy="2669632"/>
                          </a:xfrm>
                          <a:prstGeom prst="rect">
                            <a:avLst/>
                          </a:prstGeom>
                          <a:noFill/>
                          <a:ln>
                            <a:noFill/>
                          </a:ln>
                        </pic:spPr>
                      </pic:pic>
                    </a:graphicData>
                  </a:graphic>
                </wp:inline>
              </w:drawing>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所有已经完成开发建设的业务系统，均需进行如下改造工作：</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（1）业务接口重新提炼</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本项目频率系统、台站系统等需对频率指配、台站查询等接口进行重新提炼以支持更多第三方系统的访问。</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（2）原有服务接口重新封装</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对于已经建业务系统，已经按SOA架构封装了相当数量的接口并注册到服务总线上，在升级过程中，对接口定义、参数、数据格式等需按照国家新规范进行改造。</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（3）安全机制调整</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对原有业务系统的安全机制按新规范进行调整，包括令牌获取、传递、地址传递等。</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（4）组织结构同步</w:t>
            </w:r>
          </w:p>
          <w:p>
            <w:pPr>
              <w:adjustRightInd w:val="0"/>
              <w:snapToGrid w:val="0"/>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对原有业务系统中的组织机构、人员代码等按照国家新规范进行调整。</w:t>
            </w:r>
          </w:p>
          <w:p>
            <w:pPr>
              <w:pStyle w:val="3"/>
              <w:rPr>
                <w:lang w:bidi="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3" w:type="dxa"/>
                  <w:shd w:val="clear" w:color="auto" w:fill="auto"/>
                  <w:vAlign w:val="center"/>
                </w:tcPr>
                <w:p>
                  <w:pPr>
                    <w:spacing w:line="240" w:lineRule="atLeast"/>
                    <w:jc w:val="left"/>
                    <w:rPr>
                      <w:rFonts w:cs="Arial" w:asciiTheme="minorEastAsia" w:hAnsiTheme="minorEastAsia" w:eastAsiaTheme="minorEastAsia"/>
                      <w:sz w:val="24"/>
                    </w:rPr>
                  </w:pPr>
                  <w:r>
                    <w:rPr>
                      <w:rFonts w:cs="Arial" w:asciiTheme="minorEastAsia" w:hAnsiTheme="minorEastAsia" w:eastAsiaTheme="minorEastAsia"/>
                      <w:sz w:val="24"/>
                    </w:rPr>
                    <w:t>无线电管理协同办公</w:t>
                  </w:r>
                </w:p>
              </w:tc>
              <w:tc>
                <w:tcPr>
                  <w:tcW w:w="4601" w:type="dxa"/>
                </w:tcPr>
                <w:p>
                  <w:pPr>
                    <w:spacing w:line="240" w:lineRule="atLeast"/>
                    <w:jc w:val="left"/>
                    <w:rPr>
                      <w:rFonts w:cs="Arial" w:asciiTheme="minorEastAsia" w:hAnsiTheme="minorEastAsia" w:eastAsiaTheme="minorEastAsia"/>
                      <w:sz w:val="24"/>
                    </w:rPr>
                  </w:pPr>
                  <w:r>
                    <w:rPr>
                      <w:rFonts w:hint="eastAsia" w:cs="Arial" w:asciiTheme="minorEastAsia" w:hAnsiTheme="minorEastAsia" w:eastAsiaTheme="minorEastAsia"/>
                      <w:sz w:val="24"/>
                    </w:rPr>
                    <w:t>★统一门户和统一身份集成，在工作流管理组件集成后，完成</w:t>
                  </w:r>
                  <w:r>
                    <w:rPr>
                      <w:rFonts w:cs="Arial" w:asciiTheme="minorEastAsia" w:hAnsiTheme="minorEastAsia" w:eastAsiaTheme="minorEastAsia"/>
                      <w:sz w:val="24"/>
                    </w:rPr>
                    <w:t>无线电管理协同办公</w:t>
                  </w:r>
                  <w:r>
                    <w:rPr>
                      <w:rFonts w:hint="eastAsia" w:cs="Arial" w:asciiTheme="minorEastAsia" w:hAnsiTheme="minorEastAsia" w:eastAsiaTheme="minorEastAsia"/>
                      <w:sz w:val="24"/>
                    </w:rPr>
                    <w:t>的升级和数据库迁移。确保人员角色和权限、数据与当前在用系统完全一致。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3" w:type="dxa"/>
                  <w:shd w:val="clear" w:color="auto" w:fill="auto"/>
                  <w:vAlign w:val="center"/>
                </w:tcPr>
                <w:p>
                  <w:pPr>
                    <w:spacing w:line="240" w:lineRule="atLeast"/>
                    <w:jc w:val="left"/>
                    <w:rPr>
                      <w:rFonts w:cs="Arial" w:asciiTheme="minorEastAsia" w:hAnsiTheme="minorEastAsia" w:eastAsiaTheme="minorEastAsia"/>
                      <w:sz w:val="24"/>
                    </w:rPr>
                  </w:pPr>
                  <w:r>
                    <w:rPr>
                      <w:rFonts w:cs="Arial" w:asciiTheme="minorEastAsia" w:hAnsiTheme="minorEastAsia" w:eastAsiaTheme="minorEastAsia"/>
                      <w:sz w:val="24"/>
                    </w:rPr>
                    <w:t>无线电频率台站管理</w:t>
                  </w:r>
                </w:p>
              </w:tc>
              <w:tc>
                <w:tcPr>
                  <w:tcW w:w="4601" w:type="dxa"/>
                </w:tcPr>
                <w:p>
                  <w:pPr>
                    <w:spacing w:line="240" w:lineRule="atLeast"/>
                    <w:jc w:val="left"/>
                    <w:rPr>
                      <w:rFonts w:cs="Arial" w:asciiTheme="minorEastAsia" w:hAnsiTheme="minorEastAsia" w:eastAsiaTheme="minorEastAsia"/>
                      <w:sz w:val="24"/>
                    </w:rPr>
                  </w:pPr>
                  <w:r>
                    <w:rPr>
                      <w:rFonts w:hint="eastAsia" w:cs="Arial" w:asciiTheme="minorEastAsia" w:hAnsiTheme="minorEastAsia" w:eastAsiaTheme="minorEastAsia"/>
                      <w:sz w:val="24"/>
                    </w:rPr>
                    <w:t>★标准服务改造和发布，统一门户和统一身份集成，地理信息服务集成；确保人员角色和权限、数据与当前在用系统完全一致。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3" w:type="dxa"/>
                  <w:shd w:val="clear" w:color="auto" w:fill="auto"/>
                  <w:vAlign w:val="center"/>
                </w:tcPr>
                <w:p>
                  <w:pPr>
                    <w:spacing w:line="240" w:lineRule="atLeast"/>
                    <w:jc w:val="left"/>
                    <w:rPr>
                      <w:rFonts w:cs="Arial" w:asciiTheme="minorEastAsia" w:hAnsiTheme="minorEastAsia" w:eastAsiaTheme="minorEastAsia"/>
                      <w:sz w:val="24"/>
                    </w:rPr>
                  </w:pPr>
                  <w:r>
                    <w:rPr>
                      <w:rFonts w:hint="eastAsia" w:asciiTheme="minorEastAsia" w:hAnsiTheme="minorEastAsia" w:eastAsiaTheme="minorEastAsia"/>
                      <w:kern w:val="0"/>
                      <w:sz w:val="24"/>
                      <w:lang w:bidi="en-US"/>
                    </w:rPr>
                    <w:t>无线电基站数据直连上报系统集成</w:t>
                  </w:r>
                </w:p>
              </w:tc>
              <w:tc>
                <w:tcPr>
                  <w:tcW w:w="4601" w:type="dxa"/>
                </w:tcPr>
                <w:p>
                  <w:pPr>
                    <w:spacing w:line="240" w:lineRule="atLeast"/>
                    <w:jc w:val="left"/>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kern w:val="0"/>
                      <w:sz w:val="24"/>
                      <w:lang w:bidi="en-US"/>
                    </w:rPr>
                    <w:t>门户和登陆统一集成，地理信息服务集成</w:t>
                  </w:r>
                  <w:r>
                    <w:rPr>
                      <w:rFonts w:hint="eastAsia" w:cs="Arial" w:asciiTheme="minorEastAsia" w:hAnsiTheme="minorEastAsia" w:eastAsiaTheme="minorEastAsia"/>
                      <w:sz w:val="24"/>
                    </w:rPr>
                    <w:t>。确保人员角色和权限、数据与当前在用系统完全一致。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3" w:type="dxa"/>
                  <w:shd w:val="clear" w:color="auto" w:fill="auto"/>
                  <w:vAlign w:val="center"/>
                </w:tcPr>
                <w:p>
                  <w:pPr>
                    <w:spacing w:line="240" w:lineRule="atLeast"/>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领导驾驶舱模块集成</w:t>
                  </w:r>
                </w:p>
              </w:tc>
              <w:tc>
                <w:tcPr>
                  <w:tcW w:w="4601" w:type="dxa"/>
                </w:tcPr>
                <w:p>
                  <w:pPr>
                    <w:spacing w:line="240" w:lineRule="atLeast"/>
                    <w:jc w:val="left"/>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kern w:val="0"/>
                      <w:sz w:val="24"/>
                      <w:lang w:bidi="en-US"/>
                    </w:rPr>
                    <w:t>门户和登陆统一集成，地理信息服务集成</w:t>
                  </w:r>
                  <w:r>
                    <w:rPr>
                      <w:rFonts w:hint="eastAsia" w:cs="Arial" w:asciiTheme="minorEastAsia" w:hAnsiTheme="minorEastAsia" w:eastAsiaTheme="minorEastAsia"/>
                      <w:sz w:val="24"/>
                    </w:rPr>
                    <w:t>。</w:t>
                  </w:r>
                </w:p>
              </w:tc>
            </w:tr>
          </w:tbl>
          <w:p>
            <w:pPr>
              <w:spacing w:line="240" w:lineRule="atLeast"/>
              <w:ind w:firstLine="480" w:firstLineChars="200"/>
              <w:jc w:val="left"/>
              <w:rPr>
                <w:rFonts w:asciiTheme="minorEastAsia" w:hAnsiTheme="minorEastAsia" w:eastAsiaTheme="minorEastAsia"/>
                <w:kern w:val="0"/>
                <w:sz w:val="24"/>
                <w:lang w:bidi="en-US"/>
              </w:rPr>
            </w:pPr>
          </w:p>
          <w:p>
            <w:pPr>
              <w:keepNext/>
              <w:keepLines/>
              <w:widowControl/>
              <w:spacing w:line="240" w:lineRule="atLeast"/>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.4 硬件配置</w:t>
            </w:r>
          </w:p>
          <w:p>
            <w:pPr>
              <w:spacing w:line="240" w:lineRule="atLeast"/>
              <w:ind w:firstLine="480" w:firstLineChars="200"/>
              <w:jc w:val="left"/>
              <w:rPr>
                <w:rFonts w:cs="Arial" w:asciiTheme="minorEastAsia" w:hAnsiTheme="minorEastAsia" w:eastAsiaTheme="minorEastAsia"/>
                <w:sz w:val="24"/>
              </w:rPr>
            </w:pPr>
            <w:r>
              <w:rPr>
                <w:rFonts w:cs="Arial" w:asciiTheme="minorEastAsia" w:hAnsiTheme="minorEastAsia" w:eastAsiaTheme="minorEastAsia"/>
                <w:sz w:val="24"/>
              </w:rPr>
              <w:t>为确保一体化基础平台的稳定、高效、安全运行，省（</w:t>
            </w:r>
            <w:r>
              <w:rPr>
                <w:rFonts w:hint="eastAsia" w:cs="Arial" w:asciiTheme="minorEastAsia" w:hAnsiTheme="minorEastAsia" w:eastAsiaTheme="minorEastAsia"/>
                <w:sz w:val="24"/>
              </w:rPr>
              <w:t>自治区、直辖市</w:t>
            </w:r>
            <w:r>
              <w:rPr>
                <w:rFonts w:cs="Arial" w:asciiTheme="minorEastAsia" w:hAnsiTheme="minorEastAsia" w:eastAsiaTheme="minorEastAsia"/>
                <w:sz w:val="24"/>
              </w:rPr>
              <w:t>）应根据实施方实际需求配套必要的信息化类硬件环境。因各实施方所需硬件环境存在差异，可视具体方案而定，但须遵循以下原则与技术要求：</w:t>
            </w:r>
          </w:p>
          <w:p>
            <w:pPr>
              <w:pStyle w:val="2"/>
              <w:ind w:firstLine="240"/>
              <w:rPr>
                <w:rFonts w:cs="Arial" w:asciiTheme="minorEastAsia" w:hAnsiTheme="minorEastAsia" w:eastAsiaTheme="minorEastAsia"/>
                <w:sz w:val="24"/>
              </w:rPr>
            </w:pPr>
          </w:p>
          <w:p>
            <w:pPr>
              <w:pStyle w:val="2"/>
              <w:ind w:firstLine="240"/>
              <w:rPr>
                <w:rFonts w:cs="Arial" w:asciiTheme="minorEastAsia" w:hAnsiTheme="minorEastAsia" w:eastAsiaTheme="minorEastAsia"/>
                <w:sz w:val="24"/>
              </w:rPr>
            </w:pPr>
          </w:p>
          <w:tbl>
            <w:tblPr>
              <w:tblStyle w:val="1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71"/>
              <w:gridCol w:w="4506"/>
              <w:gridCol w:w="45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产品</w:t>
                  </w: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子项</w:t>
                  </w:r>
                </w:p>
              </w:tc>
              <w:tc>
                <w:tcPr>
                  <w:tcW w:w="4506"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参考指标</w:t>
                  </w:r>
                </w:p>
              </w:tc>
              <w:tc>
                <w:tcPr>
                  <w:tcW w:w="457"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数量</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restart"/>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一、超融合架构一体机</w:t>
                  </w:r>
                </w:p>
              </w:tc>
              <w:tc>
                <w:tcPr>
                  <w:tcW w:w="1371"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超融合节点</w:t>
                  </w:r>
                </w:p>
              </w:tc>
              <w:tc>
                <w:tcPr>
                  <w:tcW w:w="4506"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 * Xeon 4114 [10 cores / 2.2 GHz]/1 * intel企业级480GB 2.5寸/3.5寸固态硬盘/5 * 企业级1.2TB 10k 2.5寸/3.5寸 SAS 硬盘/1 * 集成2口千兆以太网口/1 * intel 4口10GbE以太光网卡/1 * 128GB SATA DOM</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超融合节点数最少为4个，后续可按需逐个增加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分布式储存软件</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分布式软件基本容量许可标准版</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每套管理2个物理CPU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超融合管理软件</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超融合系统管理软件</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每套管理2个物理CPU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28口万兆交换机</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24个万兆SFP；2个QSFP28</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shd w:val="clear" w:color="auto" w:fill="auto"/>
                  <w:noWrap/>
                  <w:vAlign w:val="bottom"/>
                </w:tcPr>
                <w:p>
                  <w:pPr>
                    <w:widowControl/>
                    <w:adjustRightInd w:val="0"/>
                    <w:snapToGrid w:val="0"/>
                    <w:spacing w:line="240" w:lineRule="atLeast"/>
                    <w:jc w:val="left"/>
                    <w:rPr>
                      <w:rFonts w:cs="Arial" w:asciiTheme="minorEastAsia" w:hAnsiTheme="minorEastAsia" w:eastAsiaTheme="minorEastAsia"/>
                      <w:kern w:val="0"/>
                      <w:sz w:val="24"/>
                    </w:rPr>
                  </w:pPr>
                </w:p>
              </w:tc>
              <w:tc>
                <w:tcPr>
                  <w:tcW w:w="1371"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万兆光模块</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SFP+，10GbE，SR 850nm波长，可达300m</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可按实际使用数量配置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restart"/>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二、服务器虚拟化</w:t>
                  </w: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虚拟化软件授权</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企业版CPU授权</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每套管理2个物理CPU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c>
                <w:tcPr>
                  <w:tcW w:w="1371"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集群管理软件</w:t>
                  </w:r>
                </w:p>
              </w:tc>
              <w:tc>
                <w:tcPr>
                  <w:tcW w:w="4506"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集群管理授权，大于500个节点</w:t>
                  </w:r>
                </w:p>
              </w:tc>
              <w:tc>
                <w:tcPr>
                  <w:tcW w:w="457" w:type="dxa"/>
                  <w:shd w:val="clear" w:color="auto" w:fill="auto"/>
                  <w:noWrap/>
                  <w:vAlign w:val="center"/>
                </w:tcPr>
                <w:p>
                  <w:pPr>
                    <w:widowControl/>
                    <w:adjustRightInd w:val="0"/>
                    <w:snapToGrid w:val="0"/>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35" w:type="dxa"/>
                  <w:shd w:val="clear" w:color="auto" w:fill="auto"/>
                  <w:noWrap/>
                  <w:vAlign w:val="bottom"/>
                </w:tcPr>
                <w:p>
                  <w:pPr>
                    <w:widowControl/>
                    <w:adjustRightInd w:val="0"/>
                    <w:snapToGrid w:val="0"/>
                    <w:spacing w:line="240" w:lineRule="atLeast"/>
                    <w:jc w:val="left"/>
                    <w:rPr>
                      <w:rFonts w:cs="宋体" w:asciiTheme="minorEastAsia" w:hAnsiTheme="minorEastAsia" w:eastAsiaTheme="minorEastAsia"/>
                      <w:color w:val="000000"/>
                      <w:kern w:val="0"/>
                      <w:sz w:val="24"/>
                    </w:rPr>
                  </w:pPr>
                </w:p>
              </w:tc>
            </w:tr>
          </w:tbl>
          <w:p>
            <w:pPr>
              <w:jc w:val="center"/>
              <w:rPr>
                <w:rFonts w:asciiTheme="majorEastAsia" w:hAnsiTheme="majorEastAsia" w:eastAsiaTheme="majorEastAsia" w:cs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720" w:type="dxa"/>
            <w:gridSpan w:val="5"/>
            <w:vAlign w:val="center"/>
          </w:tcPr>
          <w:p>
            <w:pPr>
              <w:rPr>
                <w:rFonts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9720" w:type="dxa"/>
            <w:gridSpan w:val="5"/>
            <w:vAlign w:val="center"/>
          </w:tcPr>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w:t>
            </w:r>
            <w:r>
              <w:rPr>
                <w:rFonts w:asciiTheme="minorEastAsia" w:hAnsiTheme="minorEastAsia" w:eastAsiaTheme="minorEastAsia"/>
                <w:kern w:val="0"/>
                <w:sz w:val="24"/>
                <w:lang w:bidi="en-US"/>
              </w:rPr>
              <w:t xml:space="preserve">.1 </w:t>
            </w:r>
            <w:r>
              <w:rPr>
                <w:rFonts w:hint="eastAsia" w:asciiTheme="minorEastAsia" w:hAnsiTheme="minorEastAsia" w:eastAsiaTheme="minorEastAsia"/>
                <w:kern w:val="0"/>
                <w:sz w:val="24"/>
                <w:lang w:bidi="en-US"/>
              </w:rPr>
              <w:t>项目服务期要求</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中标人应在合同签订后15</w:t>
            </w:r>
            <w:r>
              <w:rPr>
                <w:rFonts w:hint="eastAsia" w:asciiTheme="minorEastAsia" w:hAnsiTheme="minorEastAsia" w:eastAsiaTheme="minorEastAsia"/>
                <w:kern w:val="0"/>
                <w:sz w:val="24"/>
                <w:lang w:bidi="en-US"/>
              </w:rPr>
              <w:t>日</w:t>
            </w:r>
            <w:r>
              <w:rPr>
                <w:rFonts w:asciiTheme="minorEastAsia" w:hAnsiTheme="minorEastAsia" w:eastAsiaTheme="minorEastAsia"/>
                <w:kern w:val="0"/>
                <w:sz w:val="24"/>
                <w:lang w:bidi="en-US"/>
              </w:rPr>
              <w:t>内，提供软件的开发、安装、调试及运行的</w:t>
            </w:r>
            <w:r>
              <w:rPr>
                <w:rFonts w:hint="eastAsia" w:asciiTheme="minorEastAsia" w:hAnsiTheme="minorEastAsia" w:eastAsiaTheme="minorEastAsia"/>
                <w:kern w:val="0"/>
                <w:sz w:val="24"/>
                <w:lang w:bidi="en-US"/>
              </w:rPr>
              <w:t>实施进度</w:t>
            </w:r>
            <w:r>
              <w:rPr>
                <w:rFonts w:asciiTheme="minorEastAsia" w:hAnsiTheme="minorEastAsia" w:eastAsiaTheme="minorEastAsia"/>
                <w:kern w:val="0"/>
                <w:sz w:val="24"/>
                <w:lang w:bidi="en-US"/>
              </w:rPr>
              <w:t>计划表。</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合同签订后</w:t>
            </w:r>
            <w:r>
              <w:rPr>
                <w:rFonts w:hint="eastAsia" w:asciiTheme="minorEastAsia" w:hAnsiTheme="minorEastAsia" w:eastAsiaTheme="minorEastAsia"/>
                <w:kern w:val="0"/>
                <w:sz w:val="24"/>
                <w:lang w:bidi="en-US"/>
              </w:rPr>
              <w:t>，在2</w:t>
            </w:r>
            <w:r>
              <w:rPr>
                <w:rFonts w:asciiTheme="minorEastAsia" w:hAnsiTheme="minorEastAsia" w:eastAsiaTheme="minorEastAsia"/>
                <w:kern w:val="0"/>
                <w:sz w:val="24"/>
                <w:lang w:bidi="en-US"/>
              </w:rPr>
              <w:t>020</w:t>
            </w:r>
            <w:r>
              <w:rPr>
                <w:rFonts w:hint="eastAsia" w:asciiTheme="minorEastAsia" w:hAnsiTheme="minorEastAsia" w:eastAsiaTheme="minorEastAsia"/>
                <w:kern w:val="0"/>
                <w:sz w:val="24"/>
                <w:lang w:bidi="en-US"/>
              </w:rPr>
              <w:t>年1</w:t>
            </w:r>
            <w:r>
              <w:rPr>
                <w:rFonts w:asciiTheme="minorEastAsia" w:hAnsiTheme="minorEastAsia" w:eastAsiaTheme="minorEastAsia"/>
                <w:kern w:val="0"/>
                <w:sz w:val="24"/>
                <w:lang w:bidi="en-US"/>
              </w:rPr>
              <w:t>2</w:t>
            </w:r>
            <w:r>
              <w:rPr>
                <w:rFonts w:hint="eastAsia" w:asciiTheme="minorEastAsia" w:hAnsiTheme="minorEastAsia" w:eastAsiaTheme="minorEastAsia"/>
                <w:kern w:val="0"/>
                <w:sz w:val="24"/>
                <w:lang w:bidi="en-US"/>
              </w:rPr>
              <w:t>月3</w:t>
            </w:r>
            <w:r>
              <w:rPr>
                <w:rFonts w:asciiTheme="minorEastAsia" w:hAnsiTheme="minorEastAsia" w:eastAsiaTheme="minorEastAsia"/>
                <w:kern w:val="0"/>
                <w:sz w:val="24"/>
                <w:lang w:bidi="en-US"/>
              </w:rPr>
              <w:t>0</w:t>
            </w:r>
            <w:r>
              <w:rPr>
                <w:rFonts w:hint="eastAsia" w:asciiTheme="minorEastAsia" w:hAnsiTheme="minorEastAsia" w:eastAsiaTheme="minorEastAsia"/>
                <w:kern w:val="0"/>
                <w:sz w:val="24"/>
                <w:lang w:bidi="en-US"/>
              </w:rPr>
              <w:t>前达到与国家监测中心一体化平台互联互通的技术要求，完成初步验收；6个月内</w:t>
            </w:r>
            <w:r>
              <w:rPr>
                <w:rFonts w:asciiTheme="minorEastAsia" w:hAnsiTheme="minorEastAsia" w:eastAsiaTheme="minorEastAsia"/>
                <w:kern w:val="0"/>
                <w:sz w:val="24"/>
                <w:lang w:bidi="en-US"/>
              </w:rPr>
              <w:t>，中标人应完成系统的</w:t>
            </w:r>
            <w:r>
              <w:rPr>
                <w:rFonts w:hint="eastAsia" w:asciiTheme="minorEastAsia" w:hAnsiTheme="minorEastAsia" w:eastAsiaTheme="minorEastAsia"/>
                <w:kern w:val="0"/>
                <w:sz w:val="24"/>
                <w:lang w:bidi="en-US"/>
              </w:rPr>
              <w:t>实施和在用业务系统迁移</w:t>
            </w:r>
            <w:r>
              <w:rPr>
                <w:rFonts w:asciiTheme="minorEastAsia" w:hAnsiTheme="minorEastAsia" w:eastAsiaTheme="minorEastAsia"/>
                <w:kern w:val="0"/>
                <w:sz w:val="24"/>
                <w:lang w:bidi="en-US"/>
              </w:rPr>
              <w:t>。系统基本稳定、可靠，满足技术指标的所有要求，提供完整的技术资料（包括用户操作手册等）</w:t>
            </w:r>
            <w:r>
              <w:rPr>
                <w:rFonts w:hint="eastAsia" w:asciiTheme="minorEastAsia" w:hAnsiTheme="minorEastAsia" w:eastAsiaTheme="minorEastAsia"/>
                <w:kern w:val="0"/>
                <w:sz w:val="24"/>
                <w:lang w:bidi="en-US"/>
              </w:rPr>
              <w:t>，由采购人组织终验</w:t>
            </w:r>
            <w:r>
              <w:rPr>
                <w:rFonts w:asciiTheme="minorEastAsia" w:hAnsiTheme="minorEastAsia" w:eastAsiaTheme="minorEastAsia"/>
                <w:kern w:val="0"/>
                <w:sz w:val="24"/>
                <w:lang w:bidi="en-US"/>
              </w:rPr>
              <w:t>。</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中标人应在合同签订后</w:t>
            </w:r>
            <w:r>
              <w:rPr>
                <w:rFonts w:hint="eastAsia" w:asciiTheme="minorEastAsia" w:hAnsiTheme="minorEastAsia" w:eastAsiaTheme="minorEastAsia"/>
                <w:kern w:val="0"/>
                <w:sz w:val="24"/>
                <w:lang w:bidi="en-US"/>
              </w:rPr>
              <w:t>，提供相关技术服务，配合招标人开展台站数据转换迁移工作。</w:t>
            </w:r>
          </w:p>
          <w:p>
            <w:pPr>
              <w:pStyle w:val="30"/>
              <w:ind w:firstLine="520" w:firstLineChars="200"/>
              <w:rPr>
                <w:rFonts w:asciiTheme="minorEastAsia" w:hAnsiTheme="minorEastAsia" w:eastAsiaTheme="minorEastAsia"/>
                <w:lang w:bidi="en-US"/>
              </w:rPr>
            </w:pPr>
            <w:r>
              <w:rPr>
                <w:rFonts w:hint="eastAsia" w:asciiTheme="minorEastAsia" w:hAnsiTheme="minorEastAsia" w:eastAsiaTheme="minorEastAsia"/>
                <w:lang w:bidi="en-US"/>
              </w:rPr>
              <w:t>服务地点：采购人指定地点</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3.2付款方式：合同签订后，采购方在15个工作日内预付合同总价的70%款给中标方，中标方提供的服务成果经采购方验收合格后，其余30%货款在2021年经费下达后支付。中标方收到上述货款之日起3个工作日内开具发票给采购方。</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w:t>
            </w:r>
            <w:r>
              <w:rPr>
                <w:rFonts w:asciiTheme="minorEastAsia" w:hAnsiTheme="minorEastAsia" w:eastAsiaTheme="minorEastAsia"/>
                <w:kern w:val="0"/>
                <w:sz w:val="24"/>
                <w:lang w:bidi="en-US"/>
              </w:rPr>
              <w:t>.</w:t>
            </w:r>
            <w:r>
              <w:rPr>
                <w:rFonts w:hint="eastAsia" w:asciiTheme="minorEastAsia" w:hAnsiTheme="minorEastAsia" w:eastAsiaTheme="minorEastAsia"/>
                <w:kern w:val="0"/>
                <w:sz w:val="24"/>
                <w:lang w:bidi="en-US"/>
              </w:rPr>
              <w:t>3</w:t>
            </w:r>
            <w:r>
              <w:rPr>
                <w:rFonts w:asciiTheme="minorEastAsia" w:hAnsiTheme="minorEastAsia" w:eastAsiaTheme="minorEastAsia"/>
                <w:kern w:val="0"/>
                <w:sz w:val="24"/>
                <w:lang w:bidi="en-US"/>
              </w:rPr>
              <w:t xml:space="preserve"> </w:t>
            </w:r>
            <w:r>
              <w:rPr>
                <w:rFonts w:hint="eastAsia" w:asciiTheme="minorEastAsia" w:hAnsiTheme="minorEastAsia" w:eastAsiaTheme="minorEastAsia"/>
                <w:kern w:val="0"/>
                <w:sz w:val="24"/>
                <w:lang w:bidi="en-US"/>
              </w:rPr>
              <w:t>验收要求</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中标人应负责在各环节验收前将全部有关技术文件、资料和验收计划、方案提交给用户，验收计划、方案经用户同意后才能开展验收。验收后所有测试、验收报告等文档汇集成册交付用户。</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系统测试和项目初验。中标人在完成系统的安装调试后，采购人与中标人进行系统配置和功能的测试验收。系统软件或功能上有缺陷或不符合招标和合同要求时，中标人应重新以系统软件或功能进行调试，并重新进行联合验收。</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项目初验收在采购人指定地点进行，中标人提供项目初验的系统测试计划、内容和方法，经采购人同意后，由采购人组织设备的测试和初验。</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系统测试验收过程中应严格按测试计划进行，做好各项原始记录，并形成双方签字的系统初验技术文档。测试验收中如发现系统性能指标或功能上不符合标书和合同要求时，将被看作性能不合格，采购人有权拒收并要求赔偿。</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终验收要求。系统经初验合格并进行为期三个月的试运行。在项目初验和试运行的基础上进行项目终验。</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 xml:space="preserve">试运行期间若整个系统运行稳定、可靠，经终验合格后由中标人正式移交采购人。 </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中标人应负责在项目终验前将系统的软件结构和系统使用说明、初验报告、配置文档等文档汇集成册交付给采购人。</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w:t>
            </w:r>
            <w:r>
              <w:rPr>
                <w:rFonts w:asciiTheme="minorEastAsia" w:hAnsiTheme="minorEastAsia" w:eastAsiaTheme="minorEastAsia"/>
                <w:kern w:val="0"/>
                <w:sz w:val="24"/>
                <w:lang w:bidi="en-US"/>
              </w:rPr>
              <w:t>.</w:t>
            </w:r>
            <w:r>
              <w:rPr>
                <w:rFonts w:hint="eastAsia" w:asciiTheme="minorEastAsia" w:hAnsiTheme="minorEastAsia" w:eastAsiaTheme="minorEastAsia"/>
                <w:kern w:val="0"/>
                <w:sz w:val="24"/>
                <w:lang w:bidi="en-US"/>
              </w:rPr>
              <w:t>4培训要求</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供应商必需对以下技术培训及要求进行响应。</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中标人必须根据标书采购的设备及采用的相关技术，在标书中提出全面的培训计划和课程内容安排，根据采购人的要求开展不同方式的技术培训。培训计划、内容在合同签定后进行完善并征得采购人同意后实施。</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中标人必须提供高水平的培训。培训应包括软件结构、功能和系统使用等。所提供的培训课程表随报价文件《技术建议书》一起提交。</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中标人派出的培训教员应至少具有一年的相同课程的教学经验。中标人必须为所有被培训人员提供培训用文字资料和讲义等相关用品。所有的资料必须是中文书写。</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中标人承担培训讲师培训期间的食宿费用。</w:t>
            </w:r>
          </w:p>
          <w:p>
            <w:pPr>
              <w:spacing w:line="240" w:lineRule="atLeast"/>
              <w:ind w:firstLine="480" w:firstLineChars="200"/>
              <w:jc w:val="lef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3</w:t>
            </w:r>
            <w:r>
              <w:rPr>
                <w:rFonts w:asciiTheme="minorEastAsia" w:hAnsiTheme="minorEastAsia" w:eastAsiaTheme="minorEastAsia"/>
                <w:kern w:val="0"/>
                <w:sz w:val="24"/>
                <w:lang w:bidi="en-US"/>
              </w:rPr>
              <w:t>.</w:t>
            </w:r>
            <w:r>
              <w:rPr>
                <w:rFonts w:hint="eastAsia" w:asciiTheme="minorEastAsia" w:hAnsiTheme="minorEastAsia" w:eastAsiaTheme="minorEastAsia"/>
                <w:kern w:val="0"/>
                <w:sz w:val="24"/>
                <w:lang w:bidi="en-US"/>
              </w:rPr>
              <w:t>5</w:t>
            </w:r>
            <w:r>
              <w:rPr>
                <w:rFonts w:asciiTheme="minorEastAsia" w:hAnsiTheme="minorEastAsia" w:eastAsiaTheme="minorEastAsia"/>
                <w:kern w:val="0"/>
                <w:sz w:val="24"/>
                <w:lang w:bidi="en-US"/>
              </w:rPr>
              <w:t xml:space="preserve"> </w:t>
            </w:r>
            <w:r>
              <w:rPr>
                <w:rFonts w:hint="eastAsia" w:asciiTheme="minorEastAsia" w:hAnsiTheme="minorEastAsia" w:eastAsiaTheme="minorEastAsia"/>
                <w:kern w:val="0"/>
                <w:sz w:val="24"/>
                <w:lang w:bidi="en-US"/>
              </w:rPr>
              <w:t>售后服务要求</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投标人应对本项目提供</w:t>
            </w:r>
            <w:r>
              <w:rPr>
                <w:rFonts w:hint="eastAsia" w:asciiTheme="minorEastAsia" w:hAnsiTheme="minorEastAsia" w:eastAsiaTheme="minorEastAsia"/>
                <w:kern w:val="0"/>
                <w:sz w:val="24"/>
                <w:lang w:bidi="en-US"/>
              </w:rPr>
              <w:t>一</w:t>
            </w:r>
            <w:r>
              <w:rPr>
                <w:rFonts w:asciiTheme="minorEastAsia" w:hAnsiTheme="minorEastAsia" w:eastAsiaTheme="minorEastAsia"/>
                <w:kern w:val="0"/>
                <w:sz w:val="24"/>
                <w:lang w:bidi="en-US"/>
              </w:rPr>
              <w:t>年的免费保修与升级服务。质保期从项目整体最终验收合格签署之日算起。</w:t>
            </w:r>
          </w:p>
          <w:p>
            <w:pPr>
              <w:spacing w:line="240" w:lineRule="atLeast"/>
              <w:ind w:firstLine="480" w:firstLineChars="200"/>
              <w:jc w:val="left"/>
              <w:rPr>
                <w:rFonts w:asciiTheme="minorEastAsia" w:hAnsiTheme="minorEastAsia" w:eastAsiaTheme="minorEastAsia"/>
                <w:kern w:val="0"/>
                <w:sz w:val="24"/>
                <w:lang w:bidi="en-US"/>
              </w:rPr>
            </w:pPr>
            <w:r>
              <w:rPr>
                <w:rFonts w:asciiTheme="minorEastAsia" w:hAnsiTheme="minorEastAsia" w:eastAsiaTheme="minorEastAsia"/>
                <w:kern w:val="0"/>
                <w:sz w:val="24"/>
                <w:lang w:bidi="en-US"/>
              </w:rPr>
              <w:t>投标人应有稳定的技术服务小组，提供长期良好的售后服务，确保本软件正常运行（提供人员名单、资历、</w:t>
            </w:r>
            <w:r>
              <w:rPr>
                <w:rFonts w:hint="eastAsia" w:asciiTheme="minorEastAsia" w:hAnsiTheme="minorEastAsia" w:eastAsiaTheme="minorEastAsia"/>
                <w:kern w:val="0"/>
                <w:sz w:val="24"/>
                <w:lang w:bidi="en-US"/>
              </w:rPr>
              <w:t>职务</w:t>
            </w:r>
            <w:r>
              <w:rPr>
                <w:rFonts w:asciiTheme="minorEastAsia" w:hAnsiTheme="minorEastAsia" w:eastAsiaTheme="minorEastAsia"/>
                <w:kern w:val="0"/>
                <w:sz w:val="24"/>
                <w:lang w:bidi="en-US"/>
              </w:rPr>
              <w:t>等）。</w:t>
            </w:r>
          </w:p>
          <w:p>
            <w:pPr>
              <w:spacing w:line="240" w:lineRule="atLeast"/>
              <w:ind w:firstLine="480" w:firstLineChars="200"/>
              <w:jc w:val="left"/>
              <w:rPr>
                <w:rFonts w:asciiTheme="majorEastAsia" w:hAnsiTheme="majorEastAsia" w:eastAsiaTheme="majorEastAsia" w:cstheme="majorEastAsia"/>
                <w:sz w:val="22"/>
                <w:szCs w:val="22"/>
              </w:rPr>
            </w:pPr>
            <w:r>
              <w:rPr>
                <w:rFonts w:asciiTheme="minorEastAsia" w:hAnsiTheme="minorEastAsia" w:eastAsiaTheme="minorEastAsia"/>
                <w:kern w:val="0"/>
                <w:sz w:val="24"/>
                <w:lang w:bidi="en-US"/>
              </w:rPr>
              <w:t>投标人应在投标文件中提供详细具体的售后服务承诺条款及保证，包含详细的技术支持和售后服务方案，明确质保期、响应时间、服务方式和服务内容等。</w:t>
            </w:r>
          </w:p>
        </w:tc>
      </w:tr>
    </w:tbl>
    <w:p>
      <w:pPr>
        <w:rPr>
          <w:rFonts w:asciiTheme="minorEastAsia" w:hAnsiTheme="minorEastAsia" w:eastAsiaTheme="minorEastAsia" w:cstheme="minorEastAsia"/>
          <w:b/>
          <w:szCs w:val="21"/>
        </w:rPr>
      </w:pP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80" w:firstLineChars="200"/>
        <w:rPr>
          <w:rFonts w:asciiTheme="majorEastAsia" w:hAnsiTheme="majorEastAsia" w:eastAsiaTheme="majorEastAsia" w:cstheme="majorEastAsia"/>
          <w:sz w:val="24"/>
        </w:rPr>
      </w:pPr>
    </w:p>
    <w:p>
      <w:pPr>
        <w:widowControl/>
        <w:jc w:val="left"/>
        <w:rPr>
          <w:rFonts w:ascii="黑体" w:hAnsi="宋体" w:eastAsia="黑体" w:cs="Courier New"/>
          <w:sz w:val="32"/>
          <w:szCs w:val="32"/>
        </w:rPr>
      </w:pPr>
      <w:r>
        <w:rPr>
          <w:rFonts w:ascii="黑体" w:hAnsi="宋体" w:eastAsia="黑体"/>
          <w:sz w:val="32"/>
          <w:szCs w:val="32"/>
        </w:rPr>
        <w:br w:type="page"/>
      </w:r>
    </w:p>
    <w:p>
      <w:pPr>
        <w:pStyle w:val="12"/>
        <w:snapToGrid w:val="0"/>
        <w:spacing w:before="120" w:after="120" w:line="320" w:lineRule="exact"/>
        <w:jc w:val="center"/>
        <w:outlineLvl w:val="0"/>
        <w:rPr>
          <w:rFonts w:ascii="黑体" w:hAnsi="宋体" w:eastAsia="黑体"/>
          <w:sz w:val="32"/>
          <w:szCs w:val="32"/>
        </w:rPr>
      </w:pPr>
      <w:bookmarkStart w:id="63" w:name="_Toc48031712"/>
      <w:r>
        <w:rPr>
          <w:rFonts w:hint="eastAsia" w:ascii="黑体" w:hAnsi="宋体" w:eastAsia="黑体"/>
          <w:sz w:val="32"/>
          <w:szCs w:val="32"/>
        </w:rPr>
        <w:t>第三章  投标人须知</w:t>
      </w:r>
      <w:bookmarkEnd w:id="63"/>
    </w:p>
    <w:p>
      <w:pPr>
        <w:snapToGrid w:val="0"/>
        <w:spacing w:before="120" w:beforeLines="50" w:after="120" w:afterLines="50"/>
        <w:ind w:left="238"/>
        <w:jc w:val="center"/>
        <w:outlineLvl w:val="1"/>
        <w:rPr>
          <w:rFonts w:ascii="黑体" w:hAnsi="黑体" w:eastAsia="黑体"/>
          <w:sz w:val="28"/>
          <w:szCs w:val="28"/>
        </w:rPr>
      </w:pPr>
      <w:bookmarkStart w:id="64" w:name="_Toc254970526"/>
      <w:bookmarkStart w:id="65" w:name="_Toc254970667"/>
      <w:r>
        <w:rPr>
          <w:rFonts w:hint="eastAsia" w:ascii="黑体" w:hAnsi="黑体" w:eastAsia="黑体"/>
          <w:sz w:val="28"/>
          <w:szCs w:val="28"/>
        </w:rPr>
        <w:t>前附表</w:t>
      </w:r>
      <w:bookmarkEnd w:id="64"/>
      <w:bookmarkEnd w:id="65"/>
    </w:p>
    <w:tbl>
      <w:tblPr>
        <w:tblStyle w:val="17"/>
        <w:tblW w:w="91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8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pacing w:val="-40"/>
                <w:szCs w:val="21"/>
              </w:rPr>
            </w:pPr>
            <w:r>
              <w:rPr>
                <w:rFonts w:hint="eastAsia" w:ascii="Arial" w:hAnsi="Arial" w:cs="Arial"/>
                <w:b/>
                <w:color w:val="auto"/>
                <w:spacing w:val="-40"/>
                <w:szCs w:val="21"/>
              </w:rPr>
              <w:t>序号</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rPr>
            </w:pPr>
            <w:r>
              <w:rPr>
                <w:rFonts w:hint="eastAsia" w:ascii="Arial" w:hAnsi="Arial" w:cs="Arial"/>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项目名称：广西无线电管理信息化建设—一体化基础平台建设和应用系统接入</w:t>
            </w:r>
          </w:p>
          <w:p>
            <w:pPr>
              <w:spacing w:line="400" w:lineRule="exact"/>
              <w:rPr>
                <w:rFonts w:ascii="Arial" w:hAnsi="Arial" w:cs="Arial"/>
                <w:color w:val="auto"/>
                <w:szCs w:val="21"/>
              </w:rPr>
            </w:pPr>
            <w:r>
              <w:rPr>
                <w:rFonts w:hint="eastAsia" w:ascii="Arial" w:hAnsi="Arial" w:cs="Arial"/>
                <w:color w:val="auto"/>
                <w:szCs w:val="21"/>
              </w:rPr>
              <w:t>采购单位：</w:t>
            </w:r>
            <w:r>
              <w:rPr>
                <w:rFonts w:hint="eastAsia" w:ascii="宋体" w:hAnsi="宋体" w:cs="Arial"/>
                <w:color w:val="auto"/>
                <w:kern w:val="0"/>
                <w:szCs w:val="21"/>
              </w:rPr>
              <w:t>广西壮族自治区工业和信息化厅</w:t>
            </w:r>
          </w:p>
          <w:p>
            <w:pPr>
              <w:spacing w:line="400" w:lineRule="exact"/>
              <w:rPr>
                <w:rFonts w:ascii="宋体" w:hAnsi="宋体" w:cs="Arial"/>
                <w:color w:val="auto"/>
                <w:kern w:val="0"/>
                <w:szCs w:val="21"/>
              </w:rPr>
            </w:pPr>
            <w:r>
              <w:rPr>
                <w:rFonts w:hint="eastAsia" w:ascii="宋体" w:hAnsi="宋体" w:cs="Arial"/>
                <w:color w:val="auto"/>
                <w:kern w:val="0"/>
                <w:szCs w:val="21"/>
              </w:rPr>
              <w:t>采购单位地址：</w:t>
            </w:r>
            <w:r>
              <w:rPr>
                <w:rFonts w:ascii="宋体" w:hAnsi="宋体" w:cs="Arial"/>
                <w:color w:val="auto"/>
                <w:kern w:val="0"/>
                <w:szCs w:val="21"/>
              </w:rPr>
              <w:t>南宁市青秀区民族大道113号</w:t>
            </w:r>
          </w:p>
          <w:p>
            <w:pPr>
              <w:spacing w:line="400" w:lineRule="exact"/>
              <w:rPr>
                <w:rFonts w:ascii="Arial" w:hAnsi="Arial" w:cs="Arial"/>
                <w:color w:val="auto"/>
                <w:szCs w:val="21"/>
              </w:rPr>
            </w:pPr>
            <w:r>
              <w:rPr>
                <w:rFonts w:hint="eastAsia" w:ascii="宋体" w:hAnsi="宋体" w:cs="Arial"/>
                <w:color w:val="auto"/>
                <w:kern w:val="0"/>
                <w:szCs w:val="21"/>
              </w:rPr>
              <w:t>联系人：</w:t>
            </w:r>
            <w:bookmarkStart w:id="66" w:name="OLE_LINK13"/>
            <w:r>
              <w:rPr>
                <w:rFonts w:hint="eastAsia" w:ascii="宋体"/>
                <w:color w:val="auto"/>
                <w:szCs w:val="21"/>
              </w:rPr>
              <w:t>申工； 联系电话：</w:t>
            </w:r>
            <w:bookmarkEnd w:id="66"/>
            <w:r>
              <w:rPr>
                <w:rFonts w:hint="eastAsia" w:ascii="宋体"/>
                <w:color w:val="auto"/>
                <w:szCs w:val="21"/>
              </w:rPr>
              <w:t>0771-2182380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2</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投标报价及费用：1、本项目投标应以人民币报价；2、不论投标结果如何，投标人均应自行承担所有与投标有关的全部费用；3、本项目代理服务费参照国家发展计划委员会计价格[2002]1980号《招标代理服务费管理暂行办法》收费标准的规定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3</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Arial" w:hAnsi="Arial" w:cs="Arial"/>
                <w:color w:val="auto"/>
                <w:szCs w:val="21"/>
              </w:rPr>
            </w:pPr>
            <w:r>
              <w:rPr>
                <w:rFonts w:hint="eastAsia" w:ascii="Arial" w:hAnsi="Arial" w:cs="Arial"/>
                <w:color w:val="auto"/>
                <w:szCs w:val="21"/>
              </w:rPr>
              <w:t>投标保证金：</w:t>
            </w:r>
          </w:p>
          <w:p>
            <w:pPr>
              <w:tabs>
                <w:tab w:val="left" w:pos="5660"/>
              </w:tabs>
              <w:autoSpaceDE w:val="0"/>
              <w:autoSpaceDN w:val="0"/>
              <w:adjustRightInd w:val="0"/>
              <w:snapToGrid w:val="0"/>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银行转账、支票、汇票，禁止采用现钞方式。采用银行转账方式的，在投标截止时间前交至采购代理机构指定账户并且到</w:t>
            </w:r>
            <w:bookmarkStart w:id="123" w:name="_GoBack"/>
            <w:bookmarkEnd w:id="123"/>
            <w:r>
              <w:rPr>
                <w:rFonts w:hint="eastAsia" w:asciiTheme="minorEastAsia" w:hAnsiTheme="minorEastAsia" w:eastAsiaTheme="minorEastAsia" w:cstheme="minorEastAsia"/>
                <w:color w:val="auto"/>
                <w:szCs w:val="21"/>
              </w:rPr>
              <w:t>账：开户名称：广西建隆工程咨询有限公司，开户银行：广西北部湾银行南宁市琅东支行，银行帐号：8000 7529 4800 010。采用支票、汇票等方式的，在投标截止时间前，投标人应当递交单独密封的支票、汇票原件。投标保证金交纳截止时间：2020年</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日17:00时（以</w:t>
            </w:r>
            <w:r>
              <w:rPr>
                <w:rFonts w:hint="eastAsia" w:asciiTheme="minorEastAsia" w:hAnsiTheme="minorEastAsia" w:eastAsiaTheme="minorEastAsia" w:cstheme="minorEastAsia"/>
                <w:color w:val="auto"/>
                <w:szCs w:val="21"/>
                <w:lang w:eastAsia="zh-CN"/>
              </w:rPr>
              <w:t>到账</w:t>
            </w:r>
            <w:r>
              <w:rPr>
                <w:rFonts w:hint="eastAsia" w:asciiTheme="minorEastAsia" w:hAnsiTheme="minorEastAsia" w:eastAsiaTheme="minorEastAsia" w:cstheme="minorEastAsia"/>
                <w:color w:val="auto"/>
                <w:szCs w:val="21"/>
              </w:rPr>
              <w:t>时间为准）。不按要求交纳或逾期的投标人保证金，视为无效投标保证金。</w:t>
            </w:r>
          </w:p>
          <w:p>
            <w:pPr>
              <w:tabs>
                <w:tab w:val="left" w:pos="5660"/>
              </w:tabs>
              <w:autoSpaceDE w:val="0"/>
              <w:autoSpaceDN w:val="0"/>
              <w:adjustRightInd w:val="0"/>
              <w:snapToGrid w:val="0"/>
              <w:spacing w:line="400" w:lineRule="exact"/>
              <w:jc w:val="left"/>
              <w:rPr>
                <w:rFonts w:ascii="Arial" w:hAnsi="Arial" w:cs="Arial"/>
                <w:color w:val="auto"/>
                <w:szCs w:val="21"/>
              </w:rPr>
            </w:pPr>
            <w:r>
              <w:rPr>
                <w:rFonts w:hint="eastAsia" w:ascii="Arial" w:hAnsi="Arial" w:cs="Arial"/>
                <w:color w:val="auto"/>
                <w:szCs w:val="21"/>
              </w:rPr>
              <w:t>开户名称：广西建隆工程咨询有限公司</w:t>
            </w:r>
          </w:p>
          <w:p>
            <w:pPr>
              <w:tabs>
                <w:tab w:val="left" w:pos="5660"/>
              </w:tabs>
              <w:autoSpaceDE w:val="0"/>
              <w:autoSpaceDN w:val="0"/>
              <w:adjustRightInd w:val="0"/>
              <w:snapToGrid w:val="0"/>
              <w:spacing w:line="400" w:lineRule="exact"/>
              <w:jc w:val="left"/>
              <w:rPr>
                <w:rFonts w:ascii="Arial" w:hAnsi="Arial" w:cs="Arial"/>
                <w:color w:val="auto"/>
                <w:szCs w:val="21"/>
              </w:rPr>
            </w:pPr>
            <w:r>
              <w:rPr>
                <w:rFonts w:hint="eastAsia" w:ascii="Arial" w:hAnsi="Arial" w:cs="Arial"/>
                <w:color w:val="auto"/>
                <w:szCs w:val="21"/>
              </w:rPr>
              <w:t>开户银行：广西北部湾银行南宁市琅东支行</w:t>
            </w:r>
          </w:p>
          <w:p>
            <w:pPr>
              <w:tabs>
                <w:tab w:val="left" w:pos="5660"/>
              </w:tabs>
              <w:autoSpaceDE w:val="0"/>
              <w:autoSpaceDN w:val="0"/>
              <w:adjustRightInd w:val="0"/>
              <w:snapToGrid w:val="0"/>
              <w:spacing w:line="400" w:lineRule="exact"/>
              <w:jc w:val="left"/>
              <w:rPr>
                <w:rFonts w:ascii="Arial" w:hAnsi="Arial" w:cs="Arial"/>
                <w:color w:val="auto"/>
                <w:szCs w:val="21"/>
              </w:rPr>
            </w:pPr>
            <w:r>
              <w:rPr>
                <w:rFonts w:hint="eastAsia" w:ascii="Arial" w:hAnsi="Arial" w:cs="Arial"/>
                <w:color w:val="auto"/>
                <w:szCs w:val="21"/>
              </w:rPr>
              <w:t>银行帐号：8000 7529 4800 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4</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5</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6</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答疑与澄清：投标人如认为招标文件表述不清晰、存在歧视性、排他性或者其他违法内容的，应当于购买招标文件之日起7个工作日内以书面形式要求招标采购单位作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7</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Arial" w:hAnsi="Arial" w:cs="Arial"/>
                <w:color w:val="auto"/>
                <w:szCs w:val="21"/>
              </w:rPr>
            </w:pPr>
            <w:r>
              <w:rPr>
                <w:rFonts w:hint="eastAsia" w:ascii="Arial" w:hAnsi="Arial" w:cs="Arial"/>
                <w:color w:val="auto"/>
                <w:szCs w:val="21"/>
              </w:rPr>
              <w:t>投标文件组成：</w:t>
            </w:r>
            <w:r>
              <w:rPr>
                <w:rFonts w:hint="eastAsia" w:ascii="Arial" w:hAnsi="Arial" w:cs="Arial"/>
                <w:b/>
                <w:color w:val="auto"/>
                <w:szCs w:val="21"/>
              </w:rPr>
              <w:t>开标一览表 1 份；投标文件正本1 份；副本4份；</w:t>
            </w:r>
            <w:r>
              <w:rPr>
                <w:rFonts w:hint="eastAsia" w:ascii="宋体" w:hAnsi="宋体"/>
                <w:b/>
                <w:color w:val="auto"/>
              </w:rPr>
              <w:t>投标文件电子版1份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8</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投标截止时间：</w:t>
            </w:r>
            <w:r>
              <w:rPr>
                <w:rFonts w:hint="eastAsia" w:ascii="Arial" w:hAnsi="Arial" w:cs="Arial"/>
                <w:color w:val="auto"/>
                <w:szCs w:val="21"/>
                <w:u w:val="single"/>
              </w:rPr>
              <w:t>2020年</w:t>
            </w:r>
            <w:r>
              <w:rPr>
                <w:rFonts w:hint="eastAsia" w:ascii="Arial" w:hAnsi="Arial" w:cs="Arial"/>
                <w:color w:val="auto"/>
                <w:szCs w:val="21"/>
                <w:u w:val="single"/>
                <w:lang w:val="en-US" w:eastAsia="zh-CN"/>
              </w:rPr>
              <w:t>9</w:t>
            </w:r>
            <w:r>
              <w:rPr>
                <w:rFonts w:hint="eastAsia" w:ascii="Arial" w:hAnsi="Arial" w:cs="Arial"/>
                <w:color w:val="auto"/>
                <w:szCs w:val="21"/>
                <w:u w:val="single"/>
              </w:rPr>
              <w:t>月</w:t>
            </w:r>
            <w:r>
              <w:rPr>
                <w:rFonts w:hint="eastAsia" w:ascii="Arial" w:hAnsi="Arial" w:cs="Arial"/>
                <w:color w:val="auto"/>
                <w:szCs w:val="21"/>
                <w:u w:val="single"/>
                <w:lang w:val="en-US" w:eastAsia="zh-CN"/>
              </w:rPr>
              <w:t>16</w:t>
            </w:r>
            <w:r>
              <w:rPr>
                <w:rFonts w:hint="eastAsia" w:ascii="Arial" w:hAnsi="Arial" w:cs="Arial"/>
                <w:color w:val="auto"/>
                <w:szCs w:val="21"/>
                <w:u w:val="single"/>
              </w:rPr>
              <w:t>日</w:t>
            </w:r>
            <w:r>
              <w:rPr>
                <w:rFonts w:hint="eastAsia" w:ascii="Arial" w:hAnsi="Arial" w:cs="Arial"/>
                <w:color w:val="auto"/>
                <w:szCs w:val="21"/>
                <w:u w:val="single"/>
                <w:lang w:val="en-US" w:eastAsia="zh-CN"/>
              </w:rPr>
              <w:t>11</w:t>
            </w:r>
            <w:r>
              <w:rPr>
                <w:rFonts w:hint="eastAsia" w:ascii="Arial" w:hAnsi="Arial" w:cs="Arial"/>
                <w:color w:val="auto"/>
                <w:szCs w:val="21"/>
                <w:u w:val="single"/>
              </w:rPr>
              <w:t>时</w:t>
            </w:r>
            <w:r>
              <w:rPr>
                <w:rFonts w:hint="eastAsia" w:ascii="Arial" w:hAnsi="Arial" w:cs="Arial"/>
                <w:color w:val="auto"/>
                <w:szCs w:val="21"/>
                <w:u w:val="single"/>
                <w:lang w:val="en-US" w:eastAsia="zh-CN"/>
              </w:rPr>
              <w:t>00</w:t>
            </w:r>
            <w:r>
              <w:rPr>
                <w:rFonts w:hint="eastAsia" w:ascii="Arial" w:hAnsi="Arial" w:cs="Arial"/>
                <w:color w:val="auto"/>
                <w:szCs w:val="21"/>
                <w:u w:val="single"/>
              </w:rPr>
              <w:t>分</w:t>
            </w:r>
          </w:p>
          <w:p>
            <w:pPr>
              <w:pStyle w:val="16"/>
              <w:widowControl/>
              <w:snapToGrid w:val="0"/>
              <w:spacing w:line="340" w:lineRule="exact"/>
              <w:rPr>
                <w:rFonts w:ascii="Arial" w:hAnsi="Arial" w:cs="Arial"/>
                <w:color w:val="auto"/>
                <w:szCs w:val="21"/>
              </w:rPr>
            </w:pPr>
            <w:r>
              <w:rPr>
                <w:rFonts w:hint="eastAsia" w:ascii="Arial" w:hAnsi="Arial" w:cs="Arial"/>
                <w:color w:val="auto"/>
                <w:sz w:val="21"/>
                <w:szCs w:val="21"/>
              </w:rPr>
              <w:t>投标截止地点：广西壮族自治区政务服务中心4楼广西壮族自治区公共资源交易中心（南宁市青秀区怡宾路6号）公开开标（具体开标室根据电子屏幕显示的安排），</w:t>
            </w:r>
            <w:r>
              <w:rPr>
                <w:rFonts w:hint="eastAsia" w:asciiTheme="minorEastAsia" w:hAnsiTheme="minorEastAsia" w:eastAsiaTheme="minorEastAsia" w:cstheme="minorEastAsia"/>
                <w:bCs/>
                <w:color w:val="auto"/>
                <w:sz w:val="21"/>
                <w:szCs w:val="21"/>
              </w:rPr>
              <w:t>未在规定时间内送达或未按照招标文件要求密封的投标文件，将予以拒收</w:t>
            </w:r>
            <w:r>
              <w:rPr>
                <w:rFonts w:hint="eastAsia" w:ascii="Arial" w:hAnsi="Arial" w:cs="Arial"/>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9</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开标时间：同投标截止时间</w:t>
            </w:r>
          </w:p>
          <w:p>
            <w:pPr>
              <w:spacing w:line="400" w:lineRule="exact"/>
              <w:rPr>
                <w:rFonts w:ascii="Arial" w:hAnsi="Arial" w:cs="Arial"/>
                <w:color w:val="auto"/>
                <w:szCs w:val="21"/>
              </w:rPr>
            </w:pPr>
            <w:r>
              <w:rPr>
                <w:rFonts w:hint="eastAsia" w:ascii="Arial" w:hAnsi="Arial" w:cs="Arial"/>
                <w:color w:val="auto"/>
                <w:szCs w:val="21"/>
              </w:rPr>
              <w:t>开标地点：同投标截止地点</w:t>
            </w:r>
          </w:p>
          <w:p>
            <w:pPr>
              <w:spacing w:line="400" w:lineRule="exact"/>
              <w:rPr>
                <w:rFonts w:ascii="Arial" w:hAnsi="Arial" w:cs="Arial"/>
                <w:color w:val="auto"/>
                <w:szCs w:val="21"/>
              </w:rPr>
            </w:pPr>
            <w:r>
              <w:rPr>
                <w:rFonts w:hint="eastAsia" w:ascii="Arial" w:hAnsi="Arial" w:cs="Arial"/>
                <w:color w:val="auto"/>
                <w:szCs w:val="21"/>
              </w:rPr>
              <w:t>投标人可以派授权代表携带法定代表人授权委托书出席开标会议。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10</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Arial" w:hAnsi="Arial" w:cs="Arial"/>
                <w:color w:val="auto"/>
                <w:szCs w:val="21"/>
              </w:rPr>
            </w:pPr>
            <w:r>
              <w:rPr>
                <w:rFonts w:hint="eastAsia" w:ascii="Arial" w:hAnsi="Arial" w:cs="Arial"/>
                <w:color w:val="auto"/>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11</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Arial" w:hAnsi="Arial" w:cs="Arial"/>
                <w:color w:val="auto"/>
                <w:szCs w:val="21"/>
              </w:rPr>
            </w:pPr>
            <w:r>
              <w:rPr>
                <w:rFonts w:hint="eastAsia" w:ascii="Arial" w:hAnsi="Arial" w:cs="Arial"/>
                <w:color w:val="auto"/>
                <w:szCs w:val="21"/>
              </w:rPr>
              <w:t>中标公告及中标通知书：采购代理机构在采购人依法确认中标供应商后二个工作日内发布中标公告和中标通知书，中标公告发布媒体：中国政府采购网、广西壮族自治区政府采购网、广西壮族自治区公共资源交易中心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12</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b/>
                <w:color w:val="auto"/>
                <w:szCs w:val="21"/>
              </w:rPr>
              <w:t>投标保证金退还：</w:t>
            </w:r>
          </w:p>
          <w:p>
            <w:pPr>
              <w:autoSpaceDE w:val="0"/>
              <w:autoSpaceDN w:val="0"/>
              <w:snapToGrid w:val="0"/>
              <w:spacing w:line="400" w:lineRule="exact"/>
              <w:ind w:firstLine="420" w:firstLineChars="200"/>
              <w:textAlignment w:val="bottom"/>
              <w:rPr>
                <w:rFonts w:ascii="宋体" w:hAnsi="宋体"/>
                <w:color w:val="auto"/>
                <w:szCs w:val="21"/>
              </w:rPr>
            </w:pPr>
            <w:r>
              <w:rPr>
                <w:rFonts w:hint="eastAsia" w:ascii="宋体" w:hAnsi="宋体"/>
                <w:color w:val="auto"/>
                <w:szCs w:val="21"/>
              </w:rPr>
              <w:t>除招标文件规定不予退还保证金的情形外，未中标供应商的投标保证金在中标通知书发出后5个工作日内退还，中标供应商的投标保证金在中标供应商与采购人签订合同并将一份合同送到采购代理机构备案后五个工作日内退还，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13</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b/>
                <w:color w:val="auto"/>
                <w:szCs w:val="21"/>
              </w:rPr>
              <w:t>签订合同时间：</w:t>
            </w:r>
            <w:r>
              <w:rPr>
                <w:rFonts w:hint="eastAsia" w:ascii="宋体" w:hAnsi="宋体"/>
                <w:color w:val="auto"/>
                <w:szCs w:val="21"/>
              </w:rPr>
              <w:t>中标通知书发出后三十日内。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14</w:t>
            </w:r>
          </w:p>
        </w:tc>
        <w:tc>
          <w:tcPr>
            <w:tcW w:w="85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b/>
                <w:color w:val="auto"/>
                <w:szCs w:val="21"/>
              </w:rPr>
              <w:t>采购资金来源：</w:t>
            </w:r>
            <w:r>
              <w:rPr>
                <w:rFonts w:hint="eastAsia" w:ascii="Arial" w:hAnsi="Arial" w:cs="Arial"/>
                <w:color w:val="auto"/>
                <w:szCs w:val="21"/>
              </w:rPr>
              <w:t>财政</w:t>
            </w:r>
            <w:r>
              <w:rPr>
                <w:rFonts w:hint="eastAsia" w:ascii="宋体" w:hAnsi="宋体"/>
                <w:color w:val="auto"/>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15</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付款方式：详见招标文件第二章</w:t>
            </w:r>
            <w:r>
              <w:rPr>
                <w:rFonts w:hint="eastAsia" w:ascii="宋体" w:hAnsi="宋体"/>
                <w:color w:val="auto"/>
                <w:szCs w:val="21"/>
              </w:rPr>
              <w:t>“采购需求一览表”要求。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16</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17</w:t>
            </w:r>
          </w:p>
        </w:tc>
        <w:tc>
          <w:tcPr>
            <w:tcW w:w="85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auto"/>
                <w:szCs w:val="21"/>
              </w:rPr>
            </w:pPr>
            <w:r>
              <w:rPr>
                <w:rFonts w:hint="eastAsia" w:ascii="Arial" w:hAnsi="Arial" w:cs="Arial"/>
                <w:color w:val="auto"/>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18</w:t>
            </w:r>
          </w:p>
        </w:tc>
        <w:tc>
          <w:tcPr>
            <w:tcW w:w="8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auto"/>
                <w:szCs w:val="21"/>
              </w:rPr>
            </w:pPr>
            <w:r>
              <w:rPr>
                <w:rFonts w:hint="eastAsia" w:asciiTheme="minorEastAsia" w:hAnsiTheme="minorEastAsia" w:eastAsiaTheme="minorEastAsia" w:cstheme="minorEastAsia"/>
                <w:b/>
                <w:bCs/>
                <w:color w:val="auto"/>
                <w:szCs w:val="21"/>
              </w:rPr>
              <w:t>采购预算（即最高限价）：</w:t>
            </w:r>
            <w:r>
              <w:rPr>
                <w:rFonts w:hint="eastAsia" w:asciiTheme="minorEastAsia" w:hAnsiTheme="minorEastAsia" w:eastAsiaTheme="minorEastAsia" w:cstheme="minorEastAsia"/>
                <w:color w:val="auto"/>
                <w:szCs w:val="21"/>
              </w:rPr>
              <w:t>人民币309.0万元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19</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宋体" w:hAnsi="宋体" w:cs="Arial"/>
                <w:color w:val="auto"/>
                <w:kern w:val="0"/>
                <w:szCs w:val="21"/>
              </w:rPr>
            </w:pPr>
            <w:r>
              <w:rPr>
                <w:rFonts w:hint="eastAsia" w:ascii="宋体" w:hAnsi="宋体" w:cs="Arial"/>
                <w:color w:val="auto"/>
                <w:kern w:val="0"/>
                <w:szCs w:val="21"/>
              </w:rPr>
              <w:t xml:space="preserve">采购代理机构：广西建隆工程咨询有限公司   </w:t>
            </w:r>
          </w:p>
          <w:p>
            <w:pPr>
              <w:tabs>
                <w:tab w:val="left" w:pos="5660"/>
              </w:tabs>
              <w:autoSpaceDE w:val="0"/>
              <w:autoSpaceDN w:val="0"/>
              <w:adjustRightInd w:val="0"/>
              <w:snapToGrid w:val="0"/>
              <w:spacing w:line="400" w:lineRule="exact"/>
              <w:jc w:val="left"/>
              <w:rPr>
                <w:rFonts w:ascii="宋体" w:hAnsi="宋体" w:cs="Arial"/>
                <w:color w:val="auto"/>
                <w:kern w:val="0"/>
                <w:szCs w:val="21"/>
              </w:rPr>
            </w:pPr>
            <w:r>
              <w:rPr>
                <w:rFonts w:hint="eastAsia" w:ascii="宋体" w:hAnsi="宋体" w:cs="Arial"/>
                <w:color w:val="auto"/>
                <w:kern w:val="0"/>
                <w:szCs w:val="21"/>
              </w:rPr>
              <w:t>联系人：滕工；   联系电话：0771-5345232  传真：0771-5345232</w:t>
            </w:r>
          </w:p>
          <w:p>
            <w:pPr>
              <w:tabs>
                <w:tab w:val="left" w:pos="5660"/>
              </w:tabs>
              <w:autoSpaceDE w:val="0"/>
              <w:autoSpaceDN w:val="0"/>
              <w:adjustRightInd w:val="0"/>
              <w:snapToGrid w:val="0"/>
              <w:spacing w:line="400" w:lineRule="exact"/>
              <w:jc w:val="left"/>
              <w:rPr>
                <w:rFonts w:ascii="宋体" w:hAnsi="宋体" w:cs="Arial"/>
                <w:b/>
                <w:bCs/>
                <w:color w:val="auto"/>
                <w:szCs w:val="21"/>
              </w:rPr>
            </w:pPr>
            <w:r>
              <w:rPr>
                <w:rFonts w:hint="eastAsia" w:ascii="宋体" w:hAnsi="宋体" w:cs="Arial"/>
                <w:color w:val="auto"/>
                <w:kern w:val="0"/>
                <w:szCs w:val="21"/>
              </w:rPr>
              <w:t>采购代理机构地址:南宁市竹溪大道36号青湖中心1301室。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20</w:t>
            </w:r>
          </w:p>
        </w:tc>
        <w:tc>
          <w:tcPr>
            <w:tcW w:w="8566" w:type="dxa"/>
            <w:tcBorders>
              <w:top w:val="single" w:color="auto" w:sz="4" w:space="0"/>
              <w:left w:val="single" w:color="auto" w:sz="4" w:space="0"/>
              <w:bottom w:val="single" w:color="auto" w:sz="4" w:space="0"/>
              <w:right w:val="single" w:color="auto" w:sz="4" w:space="0"/>
            </w:tcBorders>
            <w:vAlign w:val="center"/>
          </w:tcPr>
          <w:p>
            <w:pPr>
              <w:tabs>
                <w:tab w:val="left" w:pos="5660"/>
              </w:tabs>
              <w:autoSpaceDE w:val="0"/>
              <w:autoSpaceDN w:val="0"/>
              <w:adjustRightInd w:val="0"/>
              <w:snapToGrid w:val="0"/>
              <w:spacing w:line="400" w:lineRule="exact"/>
              <w:jc w:val="left"/>
              <w:rPr>
                <w:rFonts w:ascii="宋体" w:hAnsi="宋体" w:cs="Arial"/>
                <w:color w:val="auto"/>
                <w:kern w:val="0"/>
                <w:szCs w:val="21"/>
              </w:rPr>
            </w:pPr>
            <w:r>
              <w:rPr>
                <w:rFonts w:hint="eastAsia" w:hAnsi="宋体"/>
                <w:color w:val="auto"/>
              </w:rPr>
              <w:t>政府采购合同公告：根据</w:t>
            </w:r>
            <w:r>
              <w:rPr>
                <w:rFonts w:hAnsi="宋体"/>
                <w:color w:val="auto"/>
              </w:rPr>
              <w:t>《中华人民共和国政府采购法实施条例》第五十条</w:t>
            </w:r>
            <w:r>
              <w:rPr>
                <w:rFonts w:hint="eastAsia" w:hAnsi="宋体"/>
                <w:color w:val="auto"/>
              </w:rPr>
              <w:t>规定，采购人应当自政府采购合同签订之日起2个工作日内，将政府采购合同在省级以上人民政府财政部门指定的媒体上公告，</w:t>
            </w:r>
            <w:r>
              <w:rPr>
                <w:rFonts w:hAnsi="宋体"/>
                <w:color w:val="auto"/>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auto"/>
                <w:szCs w:val="21"/>
              </w:rPr>
            </w:pPr>
            <w:r>
              <w:rPr>
                <w:rFonts w:hint="eastAsia" w:ascii="Arial" w:hAnsi="Arial" w:cs="Arial"/>
                <w:color w:val="auto"/>
                <w:szCs w:val="21"/>
              </w:rPr>
              <w:t>21</w:t>
            </w:r>
          </w:p>
        </w:tc>
        <w:tc>
          <w:tcPr>
            <w:tcW w:w="85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Arial"/>
                <w:color w:val="auto"/>
                <w:kern w:val="0"/>
                <w:szCs w:val="21"/>
              </w:rPr>
            </w:pPr>
            <w:r>
              <w:rPr>
                <w:rFonts w:hint="eastAsia" w:ascii="宋体" w:hAnsi="宋体" w:cs="宋体"/>
                <w:color w:val="auto"/>
                <w:szCs w:val="21"/>
              </w:rPr>
              <w:t>补充说明1.</w:t>
            </w:r>
            <w:r>
              <w:rPr>
                <w:rFonts w:ascii="宋体" w:hAnsi="宋体" w:cs="宋体"/>
                <w:color w:val="auto"/>
                <w:szCs w:val="21"/>
              </w:rPr>
              <w:t>本招标文件中描述投标</w:t>
            </w:r>
            <w:r>
              <w:rPr>
                <w:rFonts w:hint="eastAsia" w:ascii="宋体" w:hAnsi="宋体" w:cs="宋体"/>
                <w:color w:val="auto"/>
                <w:szCs w:val="21"/>
              </w:rPr>
              <w:t>人</w:t>
            </w:r>
            <w:r>
              <w:rPr>
                <w:rFonts w:ascii="宋体" w:hAnsi="宋体" w:cs="宋体"/>
                <w:color w:val="auto"/>
                <w:szCs w:val="21"/>
              </w:rPr>
              <w:t>的“公章”是指根据我国对公章的管理规定，用投标</w:t>
            </w:r>
            <w:r>
              <w:rPr>
                <w:rFonts w:hint="eastAsia" w:ascii="宋体" w:hAnsi="宋体" w:cs="宋体"/>
                <w:color w:val="auto"/>
                <w:szCs w:val="21"/>
              </w:rPr>
              <w:t>人</w:t>
            </w:r>
            <w:r>
              <w:rPr>
                <w:rFonts w:ascii="宋体" w:hAnsi="宋体" w:cs="宋体"/>
                <w:color w:val="auto"/>
                <w:szCs w:val="21"/>
              </w:rPr>
              <w:t>法定主体行为名称制作的印章，除本招标文件有特殊规定外，投标</w:t>
            </w:r>
            <w:r>
              <w:rPr>
                <w:rFonts w:hint="eastAsia" w:ascii="宋体" w:hAnsi="宋体" w:cs="宋体"/>
                <w:color w:val="auto"/>
                <w:szCs w:val="21"/>
              </w:rPr>
              <w:t>人</w:t>
            </w:r>
            <w:r>
              <w:rPr>
                <w:rFonts w:ascii="宋体" w:hAnsi="宋体" w:cs="宋体"/>
                <w:color w:val="auto"/>
                <w:szCs w:val="21"/>
              </w:rPr>
              <w:t>的财务章、部门章、分公司章、工会章、合同章、投标专用章、业务专用章等其它形式印章均不能代替公章。</w:t>
            </w:r>
          </w:p>
        </w:tc>
      </w:tr>
    </w:tbl>
    <w:p>
      <w:pPr>
        <w:spacing w:before="120" w:line="300" w:lineRule="exact"/>
        <w:outlineLvl w:val="1"/>
        <w:rPr>
          <w:rFonts w:eastAsia="黑体"/>
          <w:bCs/>
          <w:kern w:val="0"/>
          <w:sz w:val="28"/>
          <w:szCs w:val="28"/>
        </w:rPr>
      </w:pPr>
    </w:p>
    <w:p>
      <w:pPr>
        <w:pStyle w:val="3"/>
        <w:rPr>
          <w:rFonts w:eastAsia="黑体"/>
          <w:bCs/>
          <w:kern w:val="0"/>
          <w:sz w:val="28"/>
          <w:szCs w:val="28"/>
        </w:rPr>
      </w:pPr>
    </w:p>
    <w:p>
      <w:pPr>
        <w:pStyle w:val="3"/>
        <w:rPr>
          <w:rFonts w:eastAsia="黑体"/>
          <w:bCs/>
          <w:kern w:val="0"/>
          <w:sz w:val="28"/>
          <w:szCs w:val="28"/>
        </w:rPr>
      </w:pPr>
    </w:p>
    <w:p>
      <w:pPr>
        <w:pStyle w:val="3"/>
        <w:jc w:val="both"/>
        <w:rPr>
          <w:rFonts w:eastAsia="黑体"/>
          <w:bCs/>
          <w:kern w:val="0"/>
          <w:sz w:val="28"/>
          <w:szCs w:val="28"/>
        </w:rPr>
      </w:pPr>
    </w:p>
    <w:p>
      <w:pPr>
        <w:spacing w:before="120" w:line="300" w:lineRule="exact"/>
        <w:outlineLvl w:val="1"/>
        <w:rPr>
          <w:rFonts w:eastAsia="黑体"/>
          <w:bCs/>
          <w:kern w:val="0"/>
          <w:sz w:val="28"/>
          <w:szCs w:val="28"/>
        </w:rPr>
      </w:pPr>
      <w:r>
        <w:rPr>
          <w:rFonts w:hint="eastAsia" w:eastAsia="黑体"/>
          <w:bCs/>
          <w:kern w:val="0"/>
          <w:sz w:val="28"/>
          <w:szCs w:val="28"/>
        </w:rPr>
        <w:t>一、总则</w:t>
      </w:r>
    </w:p>
    <w:p>
      <w:pPr>
        <w:spacing w:before="120" w:line="300" w:lineRule="exact"/>
        <w:ind w:firstLine="480" w:firstLineChars="200"/>
        <w:outlineLvl w:val="2"/>
        <w:rPr>
          <w:rFonts w:eastAsia="黑体"/>
          <w:bCs/>
          <w:kern w:val="0"/>
          <w:sz w:val="24"/>
        </w:rPr>
      </w:pPr>
      <w:bookmarkStart w:id="67" w:name="_Toc254970668"/>
      <w:bookmarkStart w:id="68" w:name="_Toc254970527"/>
      <w:r>
        <w:rPr>
          <w:rFonts w:hint="eastAsia" w:eastAsia="黑体"/>
          <w:bCs/>
          <w:kern w:val="0"/>
          <w:sz w:val="24"/>
        </w:rPr>
        <w:t>（一）适用范围</w:t>
      </w:r>
      <w:bookmarkEnd w:id="67"/>
      <w:bookmarkEnd w:id="68"/>
    </w:p>
    <w:p>
      <w:pPr>
        <w:spacing w:before="120" w:line="300" w:lineRule="exact"/>
        <w:ind w:firstLine="420" w:firstLineChars="200"/>
        <w:rPr>
          <w:szCs w:val="21"/>
        </w:rPr>
      </w:pPr>
      <w:r>
        <w:rPr>
          <w:rFonts w:hint="eastAsia"/>
          <w:szCs w:val="21"/>
        </w:rPr>
        <w:t>本招标文件适用于</w:t>
      </w:r>
      <w:r>
        <w:rPr>
          <w:rFonts w:hint="eastAsia"/>
          <w:szCs w:val="21"/>
          <w:u w:val="single"/>
        </w:rPr>
        <w:t>广西无线电管理信息化建设—一体化基础平台建设和应用系统接入</w:t>
      </w:r>
      <w:r>
        <w:rPr>
          <w:rFonts w:hint="eastAsia"/>
          <w:szCs w:val="21"/>
        </w:rPr>
        <w:t>的招标、投标、评标、定标、验收、合同履约、付款等行为（法律、法规另有规定的，从其规定）。</w:t>
      </w:r>
    </w:p>
    <w:p>
      <w:pPr>
        <w:spacing w:before="120" w:line="300" w:lineRule="exact"/>
        <w:ind w:firstLine="480" w:firstLineChars="200"/>
        <w:outlineLvl w:val="2"/>
        <w:rPr>
          <w:rFonts w:eastAsia="黑体"/>
          <w:bCs/>
          <w:kern w:val="0"/>
          <w:sz w:val="24"/>
        </w:rPr>
      </w:pPr>
      <w:bookmarkStart w:id="69" w:name="_Toc254970669"/>
      <w:bookmarkStart w:id="70" w:name="_Toc254970528"/>
      <w:r>
        <w:rPr>
          <w:rFonts w:hint="eastAsia" w:eastAsia="黑体"/>
          <w:bCs/>
          <w:kern w:val="0"/>
          <w:sz w:val="24"/>
        </w:rPr>
        <w:t>（二）定义</w:t>
      </w:r>
      <w:bookmarkEnd w:id="69"/>
      <w:bookmarkEnd w:id="70"/>
    </w:p>
    <w:p>
      <w:pPr>
        <w:spacing w:before="120" w:line="300" w:lineRule="exact"/>
        <w:ind w:firstLine="420" w:firstLineChars="200"/>
        <w:rPr>
          <w:szCs w:val="21"/>
        </w:rPr>
      </w:pPr>
      <w:r>
        <w:rPr>
          <w:rFonts w:hint="eastAsia"/>
          <w:szCs w:val="21"/>
        </w:rPr>
        <w:t>1．招标采购单位系指组织本次招标的采购人及采购代理机构。</w:t>
      </w:r>
    </w:p>
    <w:p>
      <w:pPr>
        <w:spacing w:before="120" w:line="300" w:lineRule="exact"/>
        <w:ind w:firstLine="420" w:firstLineChars="200"/>
        <w:rPr>
          <w:szCs w:val="21"/>
        </w:rPr>
      </w:pPr>
      <w:r>
        <w:rPr>
          <w:rFonts w:hint="eastAsia"/>
          <w:szCs w:val="21"/>
        </w:rPr>
        <w:t>2．“投标人”系指向招标方提交投标文件的单位或自然人。</w:t>
      </w:r>
    </w:p>
    <w:p>
      <w:pPr>
        <w:spacing w:before="120" w:line="300" w:lineRule="exact"/>
        <w:ind w:firstLine="420" w:firstLineChars="200"/>
        <w:rPr>
          <w:szCs w:val="21"/>
        </w:rPr>
      </w:pPr>
      <w:r>
        <w:rPr>
          <w:rFonts w:hint="eastAsia"/>
          <w:szCs w:val="21"/>
        </w:rPr>
        <w:t>3．“产品”系指供方按招标文件规定，须向采购人提供的一切设备、保险、税金、备品备件、工具、手册及其它有关技术资料和材料。</w:t>
      </w:r>
    </w:p>
    <w:p>
      <w:pPr>
        <w:spacing w:before="120" w:line="300" w:lineRule="exact"/>
        <w:ind w:firstLine="420" w:firstLineChars="200"/>
        <w:rPr>
          <w:szCs w:val="21"/>
        </w:rPr>
      </w:pPr>
      <w:r>
        <w:rPr>
          <w:rFonts w:hint="eastAsia"/>
          <w:szCs w:val="21"/>
        </w:rPr>
        <w:t>4．“服务”系指招标文件规定投标人须承担的安装、调试、技术协助、校准、培训、技术指导以及其他类似的义务。</w:t>
      </w:r>
    </w:p>
    <w:p>
      <w:pPr>
        <w:spacing w:before="120" w:line="300" w:lineRule="exact"/>
        <w:ind w:firstLine="420" w:firstLineChars="200"/>
        <w:rPr>
          <w:szCs w:val="21"/>
        </w:rPr>
      </w:pPr>
      <w:r>
        <w:rPr>
          <w:rFonts w:hint="eastAsia"/>
          <w:szCs w:val="21"/>
        </w:rPr>
        <w:t>5．“项目”系指投标人按招标文件规定向采购人提供的产品和服务。</w:t>
      </w:r>
    </w:p>
    <w:p>
      <w:pPr>
        <w:spacing w:before="120" w:line="300" w:lineRule="exact"/>
        <w:ind w:firstLine="420" w:firstLineChars="200"/>
        <w:rPr>
          <w:szCs w:val="21"/>
        </w:rPr>
      </w:pPr>
      <w:r>
        <w:rPr>
          <w:rFonts w:hint="eastAsia"/>
          <w:szCs w:val="21"/>
        </w:rPr>
        <w:t>6．“书面形式”包括信函、传真、电报等。</w:t>
      </w:r>
    </w:p>
    <w:p>
      <w:pPr>
        <w:spacing w:before="120" w:line="300" w:lineRule="exact"/>
        <w:ind w:firstLine="420" w:firstLineChars="200"/>
        <w:rPr>
          <w:szCs w:val="21"/>
        </w:rPr>
      </w:pPr>
      <w:r>
        <w:rPr>
          <w:rFonts w:hint="eastAsia"/>
          <w:szCs w:val="21"/>
        </w:rPr>
        <w:t>7．“</w:t>
      </w:r>
      <w:r>
        <w:rPr>
          <w:rFonts w:ascii="宋体" w:hAnsi="宋体"/>
        </w:rPr>
        <w:t>★</w:t>
      </w:r>
      <w:r>
        <w:rPr>
          <w:rFonts w:hint="eastAsia"/>
          <w:szCs w:val="21"/>
        </w:rPr>
        <w:t>”系指实质性要求条款。</w:t>
      </w:r>
    </w:p>
    <w:p>
      <w:pPr>
        <w:spacing w:before="120" w:line="300" w:lineRule="exact"/>
        <w:ind w:firstLine="480" w:firstLineChars="200"/>
        <w:outlineLvl w:val="2"/>
        <w:rPr>
          <w:rFonts w:eastAsia="黑体"/>
          <w:bCs/>
          <w:kern w:val="0"/>
          <w:sz w:val="24"/>
        </w:rPr>
      </w:pPr>
      <w:bookmarkStart w:id="71" w:name="_Toc254970670"/>
      <w:bookmarkStart w:id="72" w:name="_Toc254970529"/>
      <w:r>
        <w:rPr>
          <w:rFonts w:hint="eastAsia" w:eastAsia="黑体"/>
          <w:bCs/>
          <w:kern w:val="0"/>
          <w:sz w:val="24"/>
        </w:rPr>
        <w:t>（三）招标方式</w:t>
      </w:r>
      <w:bookmarkEnd w:id="71"/>
      <w:bookmarkEnd w:id="72"/>
    </w:p>
    <w:p>
      <w:pPr>
        <w:spacing w:before="120" w:line="300" w:lineRule="exact"/>
        <w:ind w:firstLine="420" w:firstLineChars="200"/>
        <w:rPr>
          <w:szCs w:val="21"/>
        </w:rPr>
      </w:pPr>
      <w:r>
        <w:rPr>
          <w:rFonts w:hint="eastAsia"/>
          <w:szCs w:val="21"/>
        </w:rPr>
        <w:t>公开招标方式。</w:t>
      </w:r>
    </w:p>
    <w:p>
      <w:pPr>
        <w:spacing w:before="120" w:line="300" w:lineRule="exact"/>
        <w:ind w:firstLine="480" w:firstLineChars="200"/>
        <w:outlineLvl w:val="2"/>
        <w:rPr>
          <w:rFonts w:eastAsia="黑体"/>
          <w:bCs/>
          <w:kern w:val="0"/>
          <w:sz w:val="24"/>
        </w:rPr>
      </w:pPr>
      <w:bookmarkStart w:id="73" w:name="_Toc254970530"/>
      <w:bookmarkStart w:id="74" w:name="_Toc254970671"/>
      <w:r>
        <w:rPr>
          <w:rFonts w:hint="eastAsia" w:eastAsia="黑体"/>
          <w:bCs/>
          <w:kern w:val="0"/>
          <w:sz w:val="24"/>
        </w:rPr>
        <w:t>（四）投标委托</w:t>
      </w:r>
      <w:bookmarkEnd w:id="73"/>
      <w:bookmarkEnd w:id="74"/>
    </w:p>
    <w:p>
      <w:pPr>
        <w:spacing w:before="120" w:line="300" w:lineRule="exact"/>
        <w:ind w:firstLine="420" w:firstLineChars="200"/>
        <w:rPr>
          <w:szCs w:val="21"/>
        </w:rPr>
      </w:pPr>
      <w:r>
        <w:rPr>
          <w:rFonts w:hint="eastAsia"/>
          <w:szCs w:val="21"/>
        </w:rPr>
        <w:t>投标人代表须携带有效身份证件。如投标人代表不是法定代表人，须有法定代表人出具的授权委托书（正本用原件，副本用复印件，格式见第六章）。</w:t>
      </w:r>
    </w:p>
    <w:p>
      <w:pPr>
        <w:spacing w:before="120" w:line="300" w:lineRule="exact"/>
        <w:ind w:firstLine="480" w:firstLineChars="200"/>
        <w:outlineLvl w:val="2"/>
        <w:rPr>
          <w:rFonts w:eastAsia="黑体"/>
          <w:bCs/>
          <w:kern w:val="0"/>
          <w:sz w:val="24"/>
        </w:rPr>
      </w:pPr>
      <w:bookmarkStart w:id="75" w:name="_Toc254970531"/>
      <w:bookmarkStart w:id="76" w:name="_Toc254970672"/>
      <w:r>
        <w:rPr>
          <w:rFonts w:hint="eastAsia" w:eastAsia="黑体"/>
          <w:bCs/>
          <w:kern w:val="0"/>
          <w:sz w:val="24"/>
        </w:rPr>
        <w:t>（五）投标费用</w:t>
      </w:r>
      <w:bookmarkEnd w:id="75"/>
      <w:bookmarkEnd w:id="76"/>
    </w:p>
    <w:p>
      <w:pPr>
        <w:spacing w:before="120" w:line="300" w:lineRule="exact"/>
        <w:ind w:firstLine="420" w:firstLineChars="200"/>
        <w:rPr>
          <w:szCs w:val="21"/>
        </w:rPr>
      </w:pPr>
      <w:r>
        <w:rPr>
          <w:rFonts w:hint="eastAsia"/>
          <w:szCs w:val="21"/>
        </w:rPr>
        <w:t>投标人均应自行承担所有与投标有关的全部费用（招标文件有相关的规定除外）。</w:t>
      </w:r>
    </w:p>
    <w:p>
      <w:pPr>
        <w:spacing w:before="120" w:line="300" w:lineRule="exact"/>
        <w:ind w:firstLine="480" w:firstLineChars="200"/>
        <w:outlineLvl w:val="2"/>
        <w:rPr>
          <w:rFonts w:eastAsia="黑体"/>
          <w:bCs/>
          <w:kern w:val="0"/>
          <w:sz w:val="24"/>
        </w:rPr>
      </w:pPr>
      <w:r>
        <w:rPr>
          <w:rFonts w:hint="eastAsia" w:eastAsia="黑体"/>
          <w:bCs/>
          <w:kern w:val="0"/>
          <w:sz w:val="24"/>
        </w:rPr>
        <w:t>（六）联合体投标</w:t>
      </w:r>
    </w:p>
    <w:p>
      <w:pPr>
        <w:spacing w:before="120" w:line="300" w:lineRule="exact"/>
        <w:ind w:firstLine="420" w:firstLineChars="200"/>
        <w:rPr>
          <w:szCs w:val="21"/>
        </w:rPr>
      </w:pPr>
      <w:r>
        <w:rPr>
          <w:rFonts w:hint="eastAsia"/>
          <w:szCs w:val="21"/>
        </w:rPr>
        <w:t>本项目不接受联合体投标。</w:t>
      </w:r>
    </w:p>
    <w:p>
      <w:pPr>
        <w:spacing w:before="120" w:line="300" w:lineRule="exact"/>
        <w:ind w:firstLine="480" w:firstLineChars="200"/>
        <w:outlineLvl w:val="2"/>
        <w:rPr>
          <w:rFonts w:eastAsia="黑体"/>
          <w:bCs/>
          <w:kern w:val="0"/>
          <w:sz w:val="24"/>
        </w:rPr>
      </w:pPr>
      <w:r>
        <w:rPr>
          <w:rFonts w:hint="eastAsia" w:eastAsia="黑体"/>
          <w:bCs/>
          <w:kern w:val="0"/>
          <w:sz w:val="24"/>
        </w:rPr>
        <w:t>（七）转包与分包</w:t>
      </w:r>
    </w:p>
    <w:p>
      <w:pPr>
        <w:spacing w:before="120" w:line="300" w:lineRule="exact"/>
        <w:ind w:firstLine="420" w:firstLineChars="200"/>
        <w:rPr>
          <w:szCs w:val="21"/>
        </w:rPr>
      </w:pPr>
      <w:r>
        <w:rPr>
          <w:rFonts w:hint="eastAsia"/>
          <w:szCs w:val="21"/>
        </w:rPr>
        <w:t>1．本项目不允许转包。</w:t>
      </w:r>
    </w:p>
    <w:p>
      <w:pPr>
        <w:spacing w:before="120" w:line="300" w:lineRule="exact"/>
        <w:ind w:firstLine="420" w:firstLineChars="200"/>
        <w:rPr>
          <w:szCs w:val="21"/>
        </w:rPr>
      </w:pPr>
      <w:r>
        <w:rPr>
          <w:rFonts w:hint="eastAsia"/>
          <w:szCs w:val="21"/>
        </w:rPr>
        <w:t>2．本项目不可以分包。</w:t>
      </w:r>
    </w:p>
    <w:p>
      <w:pPr>
        <w:spacing w:before="120" w:line="300" w:lineRule="exact"/>
        <w:ind w:firstLine="480" w:firstLineChars="200"/>
        <w:outlineLvl w:val="2"/>
        <w:rPr>
          <w:rFonts w:eastAsia="黑体"/>
          <w:bCs/>
          <w:kern w:val="0"/>
          <w:sz w:val="24"/>
        </w:rPr>
      </w:pPr>
      <w:bookmarkStart w:id="77" w:name="_Toc254970673"/>
      <w:bookmarkStart w:id="78" w:name="_Toc254970532"/>
      <w:r>
        <w:rPr>
          <w:rFonts w:hint="eastAsia" w:eastAsia="黑体"/>
          <w:bCs/>
          <w:kern w:val="0"/>
          <w:sz w:val="24"/>
        </w:rPr>
        <w:t>（八）特别说明</w:t>
      </w:r>
      <w:bookmarkEnd w:id="77"/>
      <w:bookmarkEnd w:id="78"/>
    </w:p>
    <w:p>
      <w:pPr>
        <w:spacing w:before="120" w:line="300" w:lineRule="exact"/>
        <w:ind w:firstLine="420" w:firstLineChars="200"/>
        <w:rPr>
          <w:szCs w:val="21"/>
        </w:rPr>
      </w:pPr>
      <w:r>
        <w:rPr>
          <w:rFonts w:hint="eastAsia"/>
          <w:szCs w:val="21"/>
        </w:rPr>
        <w:t>1．投标人投标所使用的资格、信誉、荣誉、业绩与企业认证必须为本法人所拥有。投标人投标所使用的采购项目实施人员必须为本法人员工（或必须为本法人或控股公司正式员工）。</w:t>
      </w:r>
    </w:p>
    <w:p>
      <w:pPr>
        <w:spacing w:before="120" w:line="300" w:lineRule="exact"/>
        <w:ind w:firstLine="420" w:firstLineChars="200"/>
        <w:rPr>
          <w:szCs w:val="21"/>
        </w:rPr>
      </w:pPr>
      <w:r>
        <w:rPr>
          <w:rFonts w:hint="eastAsia"/>
          <w:szCs w:val="21"/>
        </w:rPr>
        <w:t>2．投标人应仔细阅读招标文件的所有内容，按照招标文件的要求提交投标文件，并对所提供的全部资料的真实性承担法律责任。</w:t>
      </w:r>
    </w:p>
    <w:p>
      <w:pPr>
        <w:spacing w:before="120" w:line="300" w:lineRule="exact"/>
        <w:ind w:firstLine="420" w:firstLineChars="200"/>
        <w:rPr>
          <w:szCs w:val="21"/>
        </w:rPr>
      </w:pPr>
      <w:r>
        <w:rPr>
          <w:rFonts w:hint="eastAsia"/>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before="120" w:line="300" w:lineRule="exact"/>
        <w:ind w:firstLine="480" w:firstLineChars="200"/>
        <w:outlineLvl w:val="2"/>
        <w:rPr>
          <w:rFonts w:eastAsia="黑体"/>
          <w:bCs/>
          <w:kern w:val="0"/>
          <w:sz w:val="24"/>
        </w:rPr>
      </w:pPr>
      <w:bookmarkStart w:id="79" w:name="_Toc254970674"/>
      <w:bookmarkStart w:id="80" w:name="_Toc254970533"/>
      <w:r>
        <w:rPr>
          <w:rFonts w:hint="eastAsia" w:eastAsia="黑体"/>
          <w:bCs/>
          <w:kern w:val="0"/>
          <w:sz w:val="24"/>
        </w:rPr>
        <w:t>（九）质疑和投诉</w:t>
      </w:r>
      <w:bookmarkEnd w:id="79"/>
      <w:bookmarkEnd w:id="80"/>
    </w:p>
    <w:p>
      <w:pPr>
        <w:tabs>
          <w:tab w:val="left" w:pos="709"/>
        </w:tabs>
        <w:adjustRightInd w:val="0"/>
        <w:snapToGrid w:val="0"/>
        <w:spacing w:line="360" w:lineRule="exact"/>
        <w:ind w:firstLine="420" w:firstLineChars="200"/>
        <w:rPr>
          <w:rFonts w:ascii="宋体" w:hAnsi="宋体" w:cs="宋体"/>
          <w:szCs w:val="21"/>
        </w:rPr>
      </w:pPr>
      <w:bookmarkStart w:id="81" w:name="_Toc254970675"/>
      <w:bookmarkStart w:id="82" w:name="_Toc254970534"/>
      <w:r>
        <w:rPr>
          <w:rFonts w:hint="eastAsia" w:hAnsi="宋体"/>
          <w:bCs/>
          <w:kern w:val="21"/>
        </w:rPr>
        <w:t xml:space="preserve">1. </w:t>
      </w:r>
      <w:r>
        <w:rPr>
          <w:rFonts w:hint="eastAsia" w:ascii="宋体" w:hAnsi="宋体" w:cs="宋体"/>
          <w:szCs w:val="21"/>
        </w:rPr>
        <w:t>质疑应当按照《中国人民共和国政府采购法》及其实施条列和《广西壮族自治区政府采购供应商质疑处理办法》规定执行。</w:t>
      </w:r>
    </w:p>
    <w:p>
      <w:pPr>
        <w:tabs>
          <w:tab w:val="left" w:pos="709"/>
        </w:tabs>
        <w:adjustRightInd w:val="0"/>
        <w:snapToGrid w:val="0"/>
        <w:spacing w:line="360" w:lineRule="exact"/>
        <w:ind w:firstLine="420" w:firstLineChars="200"/>
        <w:rPr>
          <w:rFonts w:hAnsi="宋体"/>
          <w:bCs/>
          <w:kern w:val="21"/>
        </w:rPr>
      </w:pPr>
      <w:r>
        <w:rPr>
          <w:rFonts w:hint="eastAsia" w:ascii="宋体" w:hAnsi="宋体" w:cs="宋体"/>
          <w:szCs w:val="21"/>
        </w:rPr>
        <w:t>2. 质疑人的投诉应当采用政府采购供应商投诉书文本格式【在中国政府采购网(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)下载】以书面形式提交，并有明确的请求和必要的证明材料，投诉的事项不得超出已质疑事项的范围。</w:t>
      </w:r>
      <w:r>
        <w:rPr>
          <w:rFonts w:hint="eastAsia" w:hAnsi="宋体"/>
          <w:bCs/>
          <w:kern w:val="21"/>
        </w:rPr>
        <w:t xml:space="preserve"> </w:t>
      </w:r>
    </w:p>
    <w:p>
      <w:pPr>
        <w:spacing w:before="120" w:line="300" w:lineRule="exact"/>
        <w:ind w:left="2" w:leftChars="1" w:firstLine="560" w:firstLineChars="200"/>
        <w:outlineLvl w:val="1"/>
        <w:rPr>
          <w:rFonts w:eastAsia="黑体"/>
          <w:bCs/>
          <w:kern w:val="0"/>
          <w:sz w:val="28"/>
          <w:szCs w:val="28"/>
        </w:rPr>
      </w:pPr>
      <w:r>
        <w:rPr>
          <w:rFonts w:hint="eastAsia" w:eastAsia="黑体"/>
          <w:bCs/>
          <w:kern w:val="0"/>
          <w:sz w:val="28"/>
          <w:szCs w:val="28"/>
        </w:rPr>
        <w:t>二、招标文件</w:t>
      </w:r>
      <w:bookmarkEnd w:id="81"/>
      <w:bookmarkEnd w:id="82"/>
    </w:p>
    <w:p>
      <w:pPr>
        <w:spacing w:before="120" w:line="300" w:lineRule="exact"/>
        <w:ind w:firstLine="480" w:firstLineChars="200"/>
        <w:outlineLvl w:val="2"/>
        <w:rPr>
          <w:rFonts w:eastAsia="黑体"/>
          <w:bCs/>
          <w:kern w:val="0"/>
          <w:sz w:val="24"/>
        </w:rPr>
      </w:pPr>
      <w:r>
        <w:rPr>
          <w:rFonts w:hint="eastAsia" w:eastAsia="黑体"/>
          <w:bCs/>
          <w:kern w:val="0"/>
          <w:sz w:val="24"/>
        </w:rPr>
        <w:t>（一）招标文件的构成</w:t>
      </w:r>
    </w:p>
    <w:p>
      <w:pPr>
        <w:spacing w:before="120" w:line="300" w:lineRule="exact"/>
        <w:ind w:firstLine="420" w:firstLineChars="200"/>
        <w:rPr>
          <w:rFonts w:hint="eastAsia"/>
          <w:szCs w:val="21"/>
        </w:rPr>
      </w:pPr>
      <w:r>
        <w:rPr>
          <w:rFonts w:hint="eastAsia"/>
          <w:szCs w:val="21"/>
        </w:rPr>
        <w:t>1．招标公告；</w:t>
      </w:r>
    </w:p>
    <w:p>
      <w:pPr>
        <w:spacing w:before="120" w:line="300" w:lineRule="exact"/>
        <w:ind w:firstLine="420" w:firstLineChars="200"/>
        <w:rPr>
          <w:rFonts w:hint="eastAsia"/>
          <w:szCs w:val="21"/>
        </w:rPr>
      </w:pPr>
      <w:r>
        <w:rPr>
          <w:rFonts w:hint="eastAsia"/>
          <w:szCs w:val="21"/>
        </w:rPr>
        <w:t>2．采购需求一览表；</w:t>
      </w:r>
    </w:p>
    <w:p>
      <w:pPr>
        <w:spacing w:before="120" w:line="300" w:lineRule="exact"/>
        <w:ind w:firstLine="420" w:firstLineChars="200"/>
        <w:rPr>
          <w:rFonts w:hint="eastAsia"/>
          <w:szCs w:val="21"/>
        </w:rPr>
      </w:pPr>
      <w:r>
        <w:rPr>
          <w:rFonts w:hint="eastAsia"/>
          <w:szCs w:val="21"/>
        </w:rPr>
        <w:t>3．投标人须知；</w:t>
      </w:r>
    </w:p>
    <w:p>
      <w:pPr>
        <w:spacing w:before="120" w:line="300" w:lineRule="exact"/>
        <w:ind w:firstLine="420" w:firstLineChars="200"/>
        <w:rPr>
          <w:rFonts w:hint="eastAsia"/>
          <w:szCs w:val="21"/>
        </w:rPr>
      </w:pPr>
      <w:r>
        <w:rPr>
          <w:rFonts w:hint="eastAsia"/>
          <w:szCs w:val="21"/>
        </w:rPr>
        <w:t>4．评标办法及评分标准；</w:t>
      </w:r>
    </w:p>
    <w:p>
      <w:pPr>
        <w:spacing w:before="120" w:line="300" w:lineRule="exact"/>
        <w:ind w:firstLine="420" w:firstLineChars="200"/>
        <w:rPr>
          <w:rFonts w:hint="eastAsia"/>
          <w:szCs w:val="21"/>
        </w:rPr>
      </w:pPr>
      <w:r>
        <w:rPr>
          <w:rFonts w:hint="eastAsia"/>
          <w:szCs w:val="21"/>
        </w:rPr>
        <w:t>5．合同主要条款格式；</w:t>
      </w:r>
    </w:p>
    <w:p>
      <w:pPr>
        <w:spacing w:before="120" w:line="300" w:lineRule="exact"/>
        <w:ind w:firstLine="420" w:firstLineChars="200"/>
        <w:rPr>
          <w:szCs w:val="21"/>
        </w:rPr>
      </w:pPr>
      <w:r>
        <w:rPr>
          <w:rFonts w:hint="eastAsia"/>
          <w:szCs w:val="21"/>
        </w:rPr>
        <w:t>6．投标文件格式。</w:t>
      </w:r>
    </w:p>
    <w:p>
      <w:pPr>
        <w:spacing w:before="120" w:line="300" w:lineRule="exact"/>
        <w:ind w:firstLine="480" w:firstLineChars="200"/>
        <w:outlineLvl w:val="2"/>
        <w:rPr>
          <w:rFonts w:eastAsia="黑体"/>
          <w:bCs/>
          <w:kern w:val="0"/>
          <w:sz w:val="24"/>
        </w:rPr>
      </w:pPr>
      <w:r>
        <w:rPr>
          <w:rFonts w:hint="eastAsia" w:eastAsia="黑体"/>
          <w:bCs/>
          <w:kern w:val="0"/>
          <w:sz w:val="24"/>
        </w:rPr>
        <w:t>（二）投标人的风险</w:t>
      </w:r>
    </w:p>
    <w:p>
      <w:pPr>
        <w:spacing w:before="120" w:line="300" w:lineRule="exact"/>
        <w:ind w:firstLine="420" w:firstLineChars="200"/>
        <w:rPr>
          <w:szCs w:val="21"/>
        </w:rPr>
      </w:pPr>
      <w:r>
        <w:rPr>
          <w:rFonts w:hint="eastAsia"/>
          <w:szCs w:val="21"/>
        </w:rPr>
        <w:t>投标人没有按照招标文件要求提供全部资料，或者投标人没有对招标文件在各方面作出实质性响应是投标人的风险，并可能导致其投标被拒绝。</w:t>
      </w:r>
    </w:p>
    <w:p>
      <w:pPr>
        <w:spacing w:before="120" w:line="320" w:lineRule="atLeast"/>
        <w:ind w:firstLine="480" w:firstLineChars="200"/>
        <w:outlineLvl w:val="2"/>
        <w:rPr>
          <w:szCs w:val="21"/>
        </w:rPr>
      </w:pPr>
      <w:r>
        <w:rPr>
          <w:rFonts w:hint="eastAsia" w:eastAsia="黑体"/>
          <w:bCs/>
          <w:kern w:val="0"/>
          <w:sz w:val="24"/>
        </w:rPr>
        <w:t>（三）招标文件的澄清与修改</w:t>
      </w:r>
    </w:p>
    <w:p>
      <w:pPr>
        <w:spacing w:before="120" w:line="320" w:lineRule="atLeast"/>
        <w:ind w:firstLine="420" w:firstLineChars="200"/>
        <w:rPr>
          <w:szCs w:val="21"/>
        </w:rPr>
      </w:pPr>
      <w:r>
        <w:rPr>
          <w:rFonts w:hint="eastAsia"/>
          <w:szCs w:val="21"/>
        </w:rPr>
        <w:t>1．投标人应认真阅读本招标文件，发现其中有误或有不合理要求的，投标人必须在投标截止时间四天前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spacing w:before="120" w:line="320" w:lineRule="atLeast"/>
        <w:ind w:firstLine="420" w:firstLineChars="200"/>
        <w:rPr>
          <w:szCs w:val="21"/>
        </w:rPr>
      </w:pPr>
      <w:r>
        <w:rPr>
          <w:rFonts w:hint="eastAsia"/>
          <w:szCs w:val="21"/>
        </w:rPr>
        <w:t>2．采购代理机构必须以书面形式答复投标人要求澄清的问题，并将不包含问题来源的答复书面通知所有购买招标文件的投标人；除书面答复以外的其他澄清方式及澄清内容均无效。</w:t>
      </w:r>
    </w:p>
    <w:p>
      <w:pPr>
        <w:spacing w:before="120" w:line="320" w:lineRule="atLeast"/>
        <w:ind w:firstLine="420" w:firstLineChars="200"/>
        <w:rPr>
          <w:szCs w:val="21"/>
        </w:rPr>
      </w:pPr>
      <w:r>
        <w:rPr>
          <w:rFonts w:hint="eastAsia"/>
          <w:szCs w:val="21"/>
        </w:rPr>
        <w:t>3．招标文件澄清、答复、修改、补充的内容为招标文件的组成部分。当招标文件与招标文件的答复、澄清、修改、补充通知就同一内容的表述不一致时，以最后发出的书面文件为准。</w:t>
      </w:r>
    </w:p>
    <w:p>
      <w:pPr>
        <w:spacing w:before="120" w:line="320" w:lineRule="atLeast"/>
        <w:ind w:firstLine="420" w:firstLineChars="200"/>
        <w:rPr>
          <w:szCs w:val="21"/>
        </w:rPr>
      </w:pPr>
      <w:r>
        <w:rPr>
          <w:rFonts w:hint="eastAsia"/>
          <w:szCs w:val="21"/>
        </w:rPr>
        <w:t>4．招标文件的澄清、答复、修改或补充都应该通过本采购代理机构以法定形式发布，采购人非通过本机构，不得擅自澄清、答复、修改或补充招标文件。</w:t>
      </w:r>
    </w:p>
    <w:p>
      <w:pPr>
        <w:spacing w:before="120" w:line="320" w:lineRule="atLeast"/>
        <w:ind w:firstLine="420" w:firstLineChars="200"/>
        <w:rPr>
          <w:szCs w:val="21"/>
        </w:rPr>
      </w:pPr>
      <w:r>
        <w:rPr>
          <w:rFonts w:hint="eastAsia"/>
          <w:szCs w:val="21"/>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pacing w:before="120" w:line="320" w:lineRule="atLeast"/>
        <w:ind w:left="2" w:leftChars="1" w:firstLine="560" w:firstLineChars="200"/>
        <w:outlineLvl w:val="1"/>
        <w:rPr>
          <w:rFonts w:eastAsia="黑体"/>
          <w:bCs/>
          <w:kern w:val="0"/>
          <w:sz w:val="28"/>
          <w:szCs w:val="28"/>
        </w:rPr>
      </w:pPr>
      <w:bookmarkStart w:id="83" w:name="_Toc254970676"/>
      <w:bookmarkStart w:id="84" w:name="_Toc254970535"/>
      <w:r>
        <w:rPr>
          <w:rFonts w:hint="eastAsia" w:eastAsia="黑体"/>
          <w:bCs/>
          <w:kern w:val="0"/>
          <w:sz w:val="28"/>
          <w:szCs w:val="28"/>
        </w:rPr>
        <w:t>三、投标文件的编制</w:t>
      </w:r>
      <w:bookmarkEnd w:id="83"/>
      <w:bookmarkEnd w:id="84"/>
    </w:p>
    <w:p>
      <w:pPr>
        <w:spacing w:before="120" w:line="320" w:lineRule="atLeast"/>
        <w:ind w:firstLine="480" w:firstLineChars="200"/>
        <w:outlineLvl w:val="2"/>
        <w:rPr>
          <w:rFonts w:eastAsia="黑体"/>
          <w:bCs/>
          <w:kern w:val="0"/>
          <w:sz w:val="24"/>
        </w:rPr>
      </w:pPr>
      <w:bookmarkStart w:id="85" w:name="_Toc254970536"/>
      <w:bookmarkStart w:id="86" w:name="_Toc254970677"/>
      <w:r>
        <w:rPr>
          <w:rFonts w:hint="eastAsia" w:eastAsia="黑体"/>
          <w:bCs/>
          <w:kern w:val="0"/>
          <w:sz w:val="24"/>
        </w:rPr>
        <w:t>（一）投标文件的组成</w:t>
      </w:r>
      <w:bookmarkEnd w:id="85"/>
      <w:bookmarkEnd w:id="86"/>
    </w:p>
    <w:p>
      <w:pPr>
        <w:spacing w:before="120" w:line="320" w:lineRule="atLeast"/>
        <w:ind w:firstLine="420" w:firstLineChars="200"/>
        <w:rPr>
          <w:szCs w:val="21"/>
        </w:rPr>
      </w:pPr>
      <w:r>
        <w:rPr>
          <w:rFonts w:hint="eastAsia"/>
          <w:szCs w:val="21"/>
        </w:rPr>
        <w:t>投标文件由资信及商务文件、技术文件、投标报价文件三部份组成</w:t>
      </w:r>
      <w:r>
        <w:rPr>
          <w:rFonts w:hint="eastAsia"/>
          <w:b/>
          <w:szCs w:val="21"/>
        </w:rPr>
        <w:t>（开标一览表需单密独封递交）</w:t>
      </w:r>
      <w:r>
        <w:rPr>
          <w:rFonts w:hint="eastAsia"/>
          <w:szCs w:val="21"/>
        </w:rPr>
        <w:t>。</w:t>
      </w:r>
    </w:p>
    <w:p>
      <w:pPr>
        <w:spacing w:before="120" w:line="320" w:lineRule="atLeast"/>
        <w:ind w:firstLine="422" w:firstLineChars="200"/>
        <w:rPr>
          <w:b/>
          <w:szCs w:val="21"/>
        </w:rPr>
      </w:pPr>
      <w:r>
        <w:rPr>
          <w:rFonts w:hint="eastAsia"/>
          <w:b/>
          <w:szCs w:val="21"/>
        </w:rPr>
        <w:t>1．资信及商务文件</w:t>
      </w:r>
    </w:p>
    <w:p>
      <w:pPr>
        <w:spacing w:before="120" w:line="320" w:lineRule="atLeast"/>
        <w:ind w:firstLine="420" w:firstLineChars="200"/>
        <w:rPr>
          <w:szCs w:val="21"/>
        </w:rPr>
      </w:pPr>
      <w:r>
        <w:rPr>
          <w:rFonts w:hint="eastAsia"/>
          <w:szCs w:val="21"/>
        </w:rPr>
        <w:t>（1）有效的法人营业执照副本复印件；</w:t>
      </w:r>
    </w:p>
    <w:p>
      <w:pPr>
        <w:spacing w:before="120" w:line="320" w:lineRule="atLeast"/>
        <w:ind w:firstLine="420" w:firstLineChars="200"/>
        <w:rPr>
          <w:szCs w:val="21"/>
        </w:rPr>
      </w:pPr>
      <w:r>
        <w:rPr>
          <w:rFonts w:hint="eastAsia"/>
          <w:szCs w:val="21"/>
        </w:rPr>
        <w:t>（2）投标人组织机构代码证复印件；</w:t>
      </w:r>
    </w:p>
    <w:p>
      <w:pPr>
        <w:spacing w:before="120" w:line="320" w:lineRule="atLeast"/>
        <w:ind w:firstLine="420" w:firstLineChars="200"/>
        <w:rPr>
          <w:szCs w:val="21"/>
        </w:rPr>
      </w:pPr>
      <w:r>
        <w:rPr>
          <w:rFonts w:hint="eastAsia"/>
          <w:szCs w:val="21"/>
        </w:rPr>
        <w:t>（3）税务登记证副本复印件；</w:t>
      </w:r>
    </w:p>
    <w:p>
      <w:pPr>
        <w:spacing w:before="120" w:line="320" w:lineRule="atLeast"/>
        <w:ind w:firstLine="420" w:firstLineChars="200"/>
        <w:rPr>
          <w:szCs w:val="21"/>
        </w:rPr>
      </w:pPr>
      <w:r>
        <w:rPr>
          <w:rFonts w:hint="eastAsia"/>
          <w:szCs w:val="21"/>
        </w:rPr>
        <w:t xml:space="preserve"> 说明：已办理营业执照“三证合一”的不需提供组织机构代码证及税务登记证。</w:t>
      </w:r>
    </w:p>
    <w:p>
      <w:pPr>
        <w:spacing w:before="120" w:line="320" w:lineRule="atLeast"/>
        <w:ind w:firstLine="420" w:firstLineChars="200"/>
        <w:rPr>
          <w:szCs w:val="21"/>
        </w:rPr>
      </w:pPr>
      <w:r>
        <w:rPr>
          <w:rFonts w:hint="eastAsia"/>
          <w:szCs w:val="21"/>
        </w:rPr>
        <w:t>（4）投标人20</w:t>
      </w:r>
      <w:r>
        <w:rPr>
          <w:szCs w:val="21"/>
        </w:rPr>
        <w:t>20</w:t>
      </w:r>
      <w:r>
        <w:rPr>
          <w:rFonts w:hint="eastAsia"/>
          <w:szCs w:val="21"/>
        </w:rPr>
        <w:t>年的任意一个月的企业纳税证明或依法免缴税费的证明和近三个月企业缴纳社会保障缴费记录凭证；</w:t>
      </w:r>
    </w:p>
    <w:p>
      <w:pPr>
        <w:spacing w:before="120" w:line="320" w:lineRule="atLeast"/>
        <w:ind w:firstLine="420" w:firstLineChars="200"/>
        <w:rPr>
          <w:szCs w:val="21"/>
        </w:rPr>
      </w:pPr>
      <w:r>
        <w:rPr>
          <w:rFonts w:hint="eastAsia"/>
          <w:szCs w:val="21"/>
        </w:rPr>
        <w:t>（5）投标人法定代表人授权委托书原件和委托代理人身份证复印件；</w:t>
      </w:r>
    </w:p>
    <w:p>
      <w:pPr>
        <w:spacing w:before="120" w:line="320" w:lineRule="atLeast"/>
        <w:ind w:firstLine="420" w:firstLineChars="200"/>
        <w:rPr>
          <w:szCs w:val="21"/>
        </w:rPr>
      </w:pPr>
      <w:r>
        <w:rPr>
          <w:rFonts w:hint="eastAsia"/>
          <w:szCs w:val="21"/>
        </w:rPr>
        <w:t>（6）投标人法定代表人身份证明、法定代表人身份证复印件；</w:t>
      </w:r>
    </w:p>
    <w:p>
      <w:pPr>
        <w:spacing w:before="120" w:line="320" w:lineRule="atLeast"/>
        <w:ind w:firstLine="420" w:firstLineChars="200"/>
        <w:rPr>
          <w:szCs w:val="21"/>
        </w:rPr>
      </w:pPr>
      <w:r>
        <w:rPr>
          <w:rFonts w:hint="eastAsia"/>
          <w:szCs w:val="21"/>
        </w:rPr>
        <w:t>（7）投标保证金缴纳凭证（银行转帐底单复印件）、投标人银行开户许可证复印件；</w:t>
      </w:r>
    </w:p>
    <w:p>
      <w:pPr>
        <w:spacing w:before="120" w:line="320" w:lineRule="atLeast"/>
        <w:ind w:firstLine="420" w:firstLineChars="200"/>
        <w:rPr>
          <w:szCs w:val="21"/>
        </w:rPr>
      </w:pPr>
      <w:r>
        <w:rPr>
          <w:rFonts w:hint="eastAsia"/>
          <w:szCs w:val="21"/>
        </w:rPr>
        <w:t>（8）投标声明书 (按“投标文件格式”填写) ；</w:t>
      </w:r>
    </w:p>
    <w:p>
      <w:pPr>
        <w:spacing w:before="120" w:line="320" w:lineRule="atLeast"/>
        <w:ind w:firstLine="420" w:firstLineChars="200"/>
        <w:rPr>
          <w:szCs w:val="21"/>
        </w:rPr>
      </w:pPr>
      <w:r>
        <w:rPr>
          <w:rFonts w:hint="eastAsia"/>
          <w:szCs w:val="21"/>
        </w:rPr>
        <w:t>（9）商务响应表（按“投标文件格式”填写）；</w:t>
      </w:r>
    </w:p>
    <w:p>
      <w:pPr>
        <w:spacing w:before="120" w:line="320" w:lineRule="atLeast"/>
        <w:ind w:firstLine="420" w:firstLineChars="200"/>
        <w:rPr>
          <w:szCs w:val="21"/>
        </w:rPr>
      </w:pPr>
      <w:r>
        <w:rPr>
          <w:rFonts w:hint="eastAsia"/>
          <w:szCs w:val="21"/>
        </w:rPr>
        <w:t>（10）提供2017年～2019年年度经会计事务所审计的财务审计报告复印件；</w:t>
      </w:r>
    </w:p>
    <w:p>
      <w:pPr>
        <w:spacing w:before="120" w:line="320" w:lineRule="atLeast"/>
        <w:ind w:firstLine="420" w:firstLineChars="200"/>
        <w:rPr>
          <w:szCs w:val="21"/>
        </w:rPr>
      </w:pPr>
      <w:r>
        <w:rPr>
          <w:rFonts w:hint="eastAsia"/>
          <w:szCs w:val="21"/>
        </w:rPr>
        <w:t>（11）资格声明函；</w:t>
      </w:r>
    </w:p>
    <w:p>
      <w:pPr>
        <w:spacing w:before="120" w:line="320" w:lineRule="atLeast"/>
        <w:ind w:firstLine="422" w:firstLineChars="200"/>
        <w:rPr>
          <w:rFonts w:hAnsi="宋体"/>
          <w:b/>
        </w:rPr>
      </w:pPr>
      <w:r>
        <w:rPr>
          <w:rFonts w:hint="eastAsia" w:hAnsi="宋体"/>
          <w:b/>
        </w:rPr>
        <w:t>以上第（1）~（11）项内容为资格审查条件，必须提供，其中第（5）项如委托代理时必须提供，无委托代理时则无须提供，如</w:t>
      </w:r>
      <w:r>
        <w:rPr>
          <w:rFonts w:hint="eastAsia" w:hAnsi="宋体" w:cs="宋体"/>
          <w:b/>
          <w:szCs w:val="21"/>
        </w:rPr>
        <w:t>任何一项不满足均会被视为资格审查不合格</w:t>
      </w:r>
      <w:r>
        <w:rPr>
          <w:rFonts w:hint="eastAsia" w:hAnsi="宋体"/>
          <w:b/>
        </w:rPr>
        <w:t>。</w:t>
      </w:r>
    </w:p>
    <w:p>
      <w:pPr>
        <w:spacing w:before="120" w:line="320" w:lineRule="atLeast"/>
        <w:ind w:firstLine="422" w:firstLineChars="200"/>
        <w:rPr>
          <w:b/>
          <w:szCs w:val="21"/>
        </w:rPr>
      </w:pPr>
      <w:r>
        <w:rPr>
          <w:rFonts w:hint="eastAsia"/>
          <w:b/>
          <w:szCs w:val="21"/>
        </w:rPr>
        <w:t>以下可作为投标人资信评分的的资质证明材料：（可选）</w:t>
      </w:r>
    </w:p>
    <w:p>
      <w:pPr>
        <w:spacing w:before="120" w:line="320" w:lineRule="atLeast"/>
        <w:ind w:firstLine="420" w:firstLineChars="200"/>
        <w:rPr>
          <w:rFonts w:ascii="宋体" w:hAnsi="宋体" w:cs="宋体"/>
          <w:bCs/>
          <w:spacing w:val="-4"/>
          <w:szCs w:val="21"/>
        </w:rPr>
      </w:pPr>
      <w:r>
        <w:rPr>
          <w:rFonts w:hint="eastAsia"/>
          <w:szCs w:val="21"/>
        </w:rPr>
        <w:t>（12）类似业绩</w:t>
      </w:r>
      <w:r>
        <w:rPr>
          <w:rFonts w:hint="eastAsia" w:ascii="宋体" w:hAnsi="宋体" w:cs="宋体"/>
          <w:bCs/>
          <w:spacing w:val="-4"/>
          <w:szCs w:val="21"/>
        </w:rPr>
        <w:t>；</w:t>
      </w:r>
    </w:p>
    <w:p>
      <w:pPr>
        <w:spacing w:before="120" w:line="320" w:lineRule="atLeast"/>
        <w:ind w:firstLine="420" w:firstLineChars="200"/>
        <w:rPr>
          <w:szCs w:val="21"/>
        </w:rPr>
      </w:pPr>
      <w:r>
        <w:rPr>
          <w:rFonts w:hint="eastAsia"/>
          <w:szCs w:val="21"/>
        </w:rPr>
        <w:t>（13）采购需求一览表中要求必须提供的材料；</w:t>
      </w:r>
    </w:p>
    <w:p>
      <w:pPr>
        <w:numPr>
          <w:ilvl w:val="0"/>
          <w:numId w:val="11"/>
        </w:numPr>
        <w:spacing w:before="120" w:line="320" w:lineRule="atLeast"/>
        <w:ind w:firstLine="420" w:firstLineChars="200"/>
        <w:rPr>
          <w:szCs w:val="21"/>
        </w:rPr>
      </w:pPr>
      <w:r>
        <w:rPr>
          <w:rFonts w:hint="eastAsia"/>
          <w:szCs w:val="21"/>
        </w:rPr>
        <w:t>招标文件列明的影响投标人资格的其他证明文件；</w:t>
      </w:r>
    </w:p>
    <w:p>
      <w:pPr>
        <w:numPr>
          <w:ilvl w:val="0"/>
          <w:numId w:val="11"/>
        </w:numPr>
        <w:spacing w:before="120" w:line="320" w:lineRule="atLeast"/>
        <w:ind w:firstLine="420" w:firstLineChars="200"/>
        <w:rPr>
          <w:szCs w:val="21"/>
        </w:rPr>
      </w:pPr>
      <w:r>
        <w:rPr>
          <w:rFonts w:hint="eastAsia"/>
          <w:szCs w:val="21"/>
        </w:rPr>
        <w:t>节能环保等方面的资质证书；</w:t>
      </w:r>
    </w:p>
    <w:p>
      <w:pPr>
        <w:numPr>
          <w:ilvl w:val="0"/>
          <w:numId w:val="11"/>
        </w:numPr>
        <w:spacing w:before="120" w:line="320" w:lineRule="atLeast"/>
        <w:ind w:firstLine="420" w:firstLineChars="200"/>
        <w:rPr>
          <w:szCs w:val="21"/>
        </w:rPr>
      </w:pPr>
      <w:r>
        <w:rPr>
          <w:rFonts w:hint="eastAsia"/>
          <w:szCs w:val="21"/>
        </w:rPr>
        <w:t>投标人的信誉、荣誉证书；</w:t>
      </w:r>
    </w:p>
    <w:p>
      <w:pPr>
        <w:numPr>
          <w:ilvl w:val="0"/>
          <w:numId w:val="11"/>
        </w:numPr>
        <w:spacing w:before="120" w:line="320" w:lineRule="atLeast"/>
        <w:ind w:firstLine="420" w:firstLineChars="200"/>
        <w:rPr>
          <w:szCs w:val="21"/>
        </w:rPr>
      </w:pPr>
      <w:r>
        <w:rPr>
          <w:rFonts w:hint="eastAsia"/>
          <w:szCs w:val="21"/>
        </w:rPr>
        <w:t>投标人质量管理和质量保证体系等方面的认证证书；</w:t>
      </w:r>
    </w:p>
    <w:p>
      <w:pPr>
        <w:numPr>
          <w:ilvl w:val="0"/>
          <w:numId w:val="11"/>
        </w:numPr>
        <w:spacing w:before="120" w:line="320" w:lineRule="atLeast"/>
        <w:ind w:firstLine="420" w:firstLineChars="200"/>
        <w:rPr>
          <w:szCs w:val="21"/>
        </w:rPr>
      </w:pPr>
      <w:r>
        <w:rPr>
          <w:rFonts w:hint="eastAsia"/>
          <w:szCs w:val="21"/>
        </w:rPr>
        <w:t>投标人关于本单位债务纠纷、违法违规记录等方面的情况；</w:t>
      </w:r>
    </w:p>
    <w:p>
      <w:pPr>
        <w:numPr>
          <w:ilvl w:val="0"/>
          <w:numId w:val="11"/>
        </w:numPr>
        <w:spacing w:before="120" w:line="320" w:lineRule="atLeast"/>
        <w:ind w:firstLine="420" w:firstLineChars="200"/>
        <w:rPr>
          <w:szCs w:val="21"/>
        </w:rPr>
      </w:pPr>
      <w:r>
        <w:rPr>
          <w:rFonts w:hint="eastAsia"/>
          <w:szCs w:val="21"/>
        </w:rPr>
        <w:t>投标人情况介绍。</w:t>
      </w:r>
    </w:p>
    <w:p>
      <w:pPr>
        <w:spacing w:before="120" w:line="320" w:lineRule="atLeast"/>
        <w:ind w:firstLine="422" w:firstLineChars="200"/>
        <w:rPr>
          <w:b/>
          <w:szCs w:val="21"/>
        </w:rPr>
      </w:pPr>
      <w:r>
        <w:rPr>
          <w:rFonts w:hint="eastAsia"/>
          <w:b/>
          <w:szCs w:val="21"/>
        </w:rPr>
        <w:t>2．技术文件</w:t>
      </w:r>
    </w:p>
    <w:p>
      <w:pPr>
        <w:adjustRightInd w:val="0"/>
        <w:snapToGrid w:val="0"/>
        <w:spacing w:line="360" w:lineRule="exact"/>
        <w:ind w:firstLine="525" w:firstLineChars="250"/>
        <w:jc w:val="left"/>
        <w:rPr>
          <w:rFonts w:ascii="宋体" w:hAnsi="宋体" w:cs="宋体"/>
          <w:szCs w:val="21"/>
        </w:rPr>
      </w:pPr>
      <w:r>
        <w:rPr>
          <w:rFonts w:hint="eastAsia" w:ascii="宋体" w:hAnsi="宋体" w:cs="宋体"/>
          <w:szCs w:val="21"/>
        </w:rPr>
        <w:t>（1）对本项目服务要求的理解</w:t>
      </w:r>
      <w:r>
        <w:rPr>
          <w:rFonts w:hint="eastAsia" w:ascii="宋体" w:hAnsi="宋体" w:cs="宋体"/>
          <w:bCs/>
          <w:szCs w:val="21"/>
        </w:rPr>
        <w:t>（</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（2）投标技术资料表；</w:t>
      </w:r>
    </w:p>
    <w:p>
      <w:pPr>
        <w:adjustRightInd w:val="0"/>
        <w:snapToGrid w:val="0"/>
        <w:spacing w:line="360" w:lineRule="exact"/>
        <w:ind w:firstLine="420" w:firstLineChars="200"/>
        <w:jc w:val="left"/>
        <w:rPr>
          <w:szCs w:val="21"/>
        </w:rPr>
      </w:pPr>
      <w:r>
        <w:rPr>
          <w:rFonts w:hint="eastAsia" w:ascii="宋体" w:hAnsi="宋体" w:cs="宋体"/>
          <w:szCs w:val="21"/>
        </w:rPr>
        <w:t>（3）</w:t>
      </w:r>
      <w:r>
        <w:rPr>
          <w:rFonts w:hint="eastAsia"/>
          <w:szCs w:val="21"/>
        </w:rPr>
        <w:t>实施方案</w:t>
      </w:r>
      <w:r>
        <w:rPr>
          <w:rFonts w:hint="eastAsia" w:ascii="宋体" w:hAnsi="宋体" w:cs="宋体"/>
          <w:bCs/>
          <w:szCs w:val="21"/>
        </w:rPr>
        <w:t>（包括</w:t>
      </w:r>
      <w:r>
        <w:rPr>
          <w:rFonts w:hint="eastAsia"/>
          <w:szCs w:val="21"/>
        </w:rPr>
        <w:t>现状分析、无线电管理一体化基础平台改造方案及已建业务系统改造方案，</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（4）项目实施人员一览表；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（5）售后服务方案</w:t>
      </w:r>
      <w:r>
        <w:rPr>
          <w:rFonts w:hint="eastAsia" w:ascii="宋体" w:hAnsi="宋体" w:cs="宋体"/>
          <w:bCs/>
          <w:szCs w:val="21"/>
        </w:rPr>
        <w:t>（</w:t>
      </w:r>
      <w:r>
        <w:rPr>
          <w:rFonts w:hint="eastAsia" w:ascii="宋体" w:hAnsi="宋体" w:cs="宋体"/>
          <w:szCs w:val="21"/>
        </w:rPr>
        <w:t>格式自拟）；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（6）投标人需要说明的其他文件和说明；</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（7）采购需求一览表中要求必须提供的材料。</w:t>
      </w:r>
    </w:p>
    <w:p>
      <w:pPr>
        <w:spacing w:before="120" w:line="320" w:lineRule="atLeast"/>
        <w:ind w:firstLine="422" w:firstLineChars="200"/>
        <w:rPr>
          <w:b/>
          <w:szCs w:val="21"/>
        </w:rPr>
      </w:pPr>
      <w:r>
        <w:rPr>
          <w:rFonts w:hint="eastAsia"/>
          <w:b/>
          <w:szCs w:val="21"/>
        </w:rPr>
        <w:t>3．报价文件：</w:t>
      </w:r>
    </w:p>
    <w:p>
      <w:pPr>
        <w:spacing w:before="120" w:line="320" w:lineRule="atLeast"/>
        <w:ind w:firstLine="420" w:firstLineChars="200"/>
        <w:rPr>
          <w:szCs w:val="21"/>
        </w:rPr>
      </w:pPr>
      <w:r>
        <w:rPr>
          <w:rFonts w:hint="eastAsia"/>
          <w:szCs w:val="21"/>
        </w:rPr>
        <w:t>（1）投标函（格式见第六章）；</w:t>
      </w:r>
    </w:p>
    <w:p>
      <w:pPr>
        <w:spacing w:before="120" w:line="320" w:lineRule="atLeast"/>
        <w:ind w:firstLine="420" w:firstLineChars="200"/>
        <w:rPr>
          <w:szCs w:val="21"/>
        </w:rPr>
      </w:pPr>
      <w:r>
        <w:rPr>
          <w:rFonts w:hint="eastAsia"/>
          <w:szCs w:val="21"/>
        </w:rPr>
        <w:t>（2）投标报价明细表（格式见第六章）；</w:t>
      </w:r>
    </w:p>
    <w:p>
      <w:pPr>
        <w:spacing w:before="120" w:line="320" w:lineRule="atLeast"/>
        <w:ind w:firstLine="420" w:firstLineChars="200"/>
        <w:rPr>
          <w:szCs w:val="21"/>
        </w:rPr>
      </w:pPr>
      <w:r>
        <w:rPr>
          <w:rFonts w:hint="eastAsia"/>
          <w:szCs w:val="21"/>
        </w:rPr>
        <w:t xml:space="preserve"> （3）投标人针对报价需要说明的其他文件和说明（格式自拟）。</w:t>
      </w:r>
    </w:p>
    <w:p>
      <w:pPr>
        <w:spacing w:before="120" w:line="320" w:lineRule="atLeast"/>
        <w:ind w:firstLine="420" w:firstLineChars="200"/>
        <w:rPr>
          <w:szCs w:val="21"/>
        </w:rPr>
      </w:pPr>
      <w:r>
        <w:rPr>
          <w:rFonts w:hint="eastAsia"/>
          <w:szCs w:val="21"/>
        </w:rPr>
        <w:t>（4）开标一览表（单独封装递交，格式见第六章投标文件格式）；</w:t>
      </w:r>
    </w:p>
    <w:p>
      <w:pPr>
        <w:spacing w:before="120" w:line="320" w:lineRule="atLeast"/>
        <w:ind w:firstLine="480" w:firstLineChars="200"/>
        <w:outlineLvl w:val="2"/>
        <w:rPr>
          <w:rFonts w:eastAsia="黑体"/>
          <w:bCs/>
          <w:kern w:val="0"/>
          <w:sz w:val="24"/>
        </w:rPr>
      </w:pPr>
      <w:bookmarkStart w:id="87" w:name="_Toc254970678"/>
      <w:bookmarkStart w:id="88" w:name="_Toc254970537"/>
      <w:r>
        <w:rPr>
          <w:rFonts w:hint="eastAsia" w:eastAsia="黑体"/>
          <w:bCs/>
          <w:kern w:val="0"/>
          <w:sz w:val="24"/>
        </w:rPr>
        <w:t>（二）投标文件的语言及计量</w:t>
      </w:r>
      <w:bookmarkEnd w:id="87"/>
      <w:bookmarkEnd w:id="88"/>
    </w:p>
    <w:p>
      <w:pPr>
        <w:spacing w:before="120" w:line="320" w:lineRule="atLeast"/>
        <w:ind w:firstLine="420" w:firstLineChars="200"/>
        <w:rPr>
          <w:szCs w:val="21"/>
        </w:rPr>
      </w:pPr>
      <w:r>
        <w:rPr>
          <w:rFonts w:hint="eastAsia"/>
          <w:szCs w:val="21"/>
        </w:rPr>
        <w:t>1．投标文件以及投标方与招标方就有关投标事宜的所有来往函电，均应以中文汉语书写。除签名、盖章、专用名称等特殊情形外，以中文汉语以外的文字表述的投标文件视同未提供。</w:t>
      </w:r>
    </w:p>
    <w:p>
      <w:pPr>
        <w:spacing w:before="120" w:line="320" w:lineRule="atLeast"/>
        <w:ind w:firstLine="420" w:firstLineChars="200"/>
        <w:rPr>
          <w:szCs w:val="21"/>
        </w:rPr>
      </w:pPr>
      <w:r>
        <w:rPr>
          <w:rFonts w:hint="eastAsia"/>
          <w:szCs w:val="21"/>
        </w:rPr>
        <w:t>2．投标计量单位招标文件已有明确规定的，使用招标文件规定的计量单位；招标文件没有规定的，应采用中华人民共和国法定计量单位（货币单位：人民币元），否则视同未响应。</w:t>
      </w:r>
    </w:p>
    <w:p>
      <w:pPr>
        <w:spacing w:before="120" w:line="320" w:lineRule="atLeast"/>
        <w:ind w:firstLine="420" w:firstLineChars="200"/>
        <w:rPr>
          <w:szCs w:val="21"/>
        </w:rPr>
      </w:pPr>
    </w:p>
    <w:p>
      <w:pPr>
        <w:spacing w:before="120" w:line="320" w:lineRule="atLeast"/>
        <w:ind w:firstLine="480" w:firstLineChars="200"/>
        <w:outlineLvl w:val="2"/>
        <w:rPr>
          <w:rFonts w:eastAsia="黑体"/>
          <w:bCs/>
          <w:kern w:val="0"/>
          <w:sz w:val="24"/>
        </w:rPr>
      </w:pPr>
      <w:bookmarkStart w:id="89" w:name="_Toc254970538"/>
      <w:bookmarkStart w:id="90" w:name="_Toc254970679"/>
      <w:r>
        <w:rPr>
          <w:rFonts w:hint="eastAsia" w:eastAsia="黑体"/>
          <w:bCs/>
          <w:kern w:val="0"/>
          <w:sz w:val="24"/>
        </w:rPr>
        <w:t>（三）投标报价</w:t>
      </w:r>
      <w:bookmarkEnd w:id="89"/>
      <w:bookmarkEnd w:id="90"/>
    </w:p>
    <w:p>
      <w:pPr>
        <w:spacing w:before="120" w:line="320" w:lineRule="atLeast"/>
        <w:ind w:firstLine="420" w:firstLineChars="200"/>
        <w:rPr>
          <w:szCs w:val="21"/>
        </w:rPr>
      </w:pPr>
      <w:r>
        <w:rPr>
          <w:rFonts w:hint="eastAsia"/>
          <w:szCs w:val="21"/>
        </w:rPr>
        <w:t>1．投标报价应按招标文件中相关附表格式填写。</w:t>
      </w:r>
    </w:p>
    <w:p>
      <w:pPr>
        <w:spacing w:before="120" w:line="320" w:lineRule="atLeast"/>
        <w:ind w:firstLine="420" w:firstLineChars="200"/>
        <w:rPr>
          <w:szCs w:val="21"/>
        </w:rPr>
      </w:pPr>
      <w:r>
        <w:rPr>
          <w:rFonts w:hint="eastAsia"/>
          <w:szCs w:val="21"/>
        </w:rPr>
        <w:t>2．投标报价是履行合同的最终价格，应包括货款、标准附件、备品备件、专用工具、包装、运输、装卸、保险、税金、货到就位以及安装、调试、培训、保修等一切税金和费用。</w:t>
      </w:r>
    </w:p>
    <w:p>
      <w:pPr>
        <w:spacing w:before="120" w:line="320" w:lineRule="atLeast"/>
        <w:ind w:firstLine="420" w:firstLineChars="200"/>
        <w:rPr>
          <w:szCs w:val="21"/>
        </w:rPr>
      </w:pPr>
      <w:r>
        <w:rPr>
          <w:rFonts w:hint="eastAsia"/>
          <w:szCs w:val="21"/>
        </w:rPr>
        <w:t>3．投标文件只允许有一个报价，有选择的或有条件的报价将不予接受。</w:t>
      </w:r>
    </w:p>
    <w:p>
      <w:pPr>
        <w:spacing w:before="120" w:line="320" w:lineRule="atLeast"/>
        <w:ind w:firstLine="480" w:firstLineChars="200"/>
        <w:outlineLvl w:val="2"/>
        <w:rPr>
          <w:rFonts w:eastAsia="黑体"/>
          <w:bCs/>
          <w:kern w:val="0"/>
          <w:sz w:val="24"/>
        </w:rPr>
      </w:pPr>
      <w:r>
        <w:rPr>
          <w:rFonts w:hint="eastAsia" w:eastAsia="黑体"/>
          <w:bCs/>
          <w:kern w:val="0"/>
          <w:sz w:val="24"/>
        </w:rPr>
        <w:t>（四）投标文件的有效期</w:t>
      </w:r>
    </w:p>
    <w:p>
      <w:pPr>
        <w:spacing w:before="120" w:line="320" w:lineRule="atLeast"/>
        <w:ind w:firstLine="420" w:firstLineChars="200"/>
        <w:rPr>
          <w:szCs w:val="21"/>
        </w:rPr>
      </w:pPr>
      <w:r>
        <w:rPr>
          <w:rFonts w:hint="eastAsia"/>
          <w:szCs w:val="21"/>
        </w:rPr>
        <w:t>1．自投标截止日起</w:t>
      </w:r>
      <w:r>
        <w:rPr>
          <w:rFonts w:hint="eastAsia" w:ascii="黑体" w:hAnsi="黑体" w:eastAsia="黑体"/>
          <w:szCs w:val="21"/>
        </w:rPr>
        <w:t>60天</w:t>
      </w:r>
      <w:r>
        <w:rPr>
          <w:rFonts w:hint="eastAsia"/>
          <w:szCs w:val="21"/>
        </w:rPr>
        <w:t>投标文件应保持有效。有效期不足的投标文件将被拒绝。</w:t>
      </w:r>
    </w:p>
    <w:p>
      <w:pPr>
        <w:spacing w:before="120" w:line="320" w:lineRule="atLeast"/>
        <w:ind w:firstLine="420" w:firstLineChars="200"/>
        <w:rPr>
          <w:szCs w:val="21"/>
        </w:rPr>
      </w:pPr>
      <w:r>
        <w:rPr>
          <w:rFonts w:hint="eastAsia"/>
          <w:szCs w:val="21"/>
        </w:rPr>
        <w:t xml:space="preserve">  2．在特殊情况下，招标人可与投标人协商延长投标书的有效期，这种要求和答复均以书面形式进行。</w:t>
      </w:r>
    </w:p>
    <w:p>
      <w:pPr>
        <w:spacing w:before="120" w:line="320" w:lineRule="atLeast"/>
        <w:ind w:firstLine="420" w:firstLineChars="200"/>
        <w:rPr>
          <w:szCs w:val="21"/>
        </w:rPr>
      </w:pPr>
      <w:bookmarkStart w:id="91" w:name="_Toc254970539"/>
      <w:bookmarkStart w:id="92" w:name="_Toc254970680"/>
      <w:r>
        <w:rPr>
          <w:rFonts w:hint="eastAsia"/>
          <w:szCs w:val="21"/>
        </w:rPr>
        <w:t xml:space="preserve">  3．投标人可拒绝接受延期要求而不会导致投标保证金被没收。同意延长有效期的投标人需要相应延长投标保证金的有效期，但不能修改投标文件。</w:t>
      </w:r>
      <w:bookmarkEnd w:id="91"/>
      <w:bookmarkEnd w:id="92"/>
      <w:r>
        <w:rPr>
          <w:rFonts w:hint="eastAsia"/>
          <w:szCs w:val="21"/>
        </w:rPr>
        <w:t xml:space="preserve"> </w:t>
      </w:r>
    </w:p>
    <w:p>
      <w:pPr>
        <w:spacing w:before="120" w:line="320" w:lineRule="atLeast"/>
        <w:ind w:firstLine="420" w:firstLineChars="200"/>
        <w:rPr>
          <w:szCs w:val="21"/>
        </w:rPr>
      </w:pPr>
      <w:bookmarkStart w:id="93" w:name="_Toc254970681"/>
      <w:bookmarkStart w:id="94" w:name="_Toc254970540"/>
      <w:r>
        <w:rPr>
          <w:rFonts w:hint="eastAsia"/>
          <w:szCs w:val="21"/>
        </w:rPr>
        <w:t xml:space="preserve">  4．中标人的投标文件自开标之日起至合同履行完毕止均应保持有效。</w:t>
      </w:r>
      <w:bookmarkEnd w:id="93"/>
      <w:bookmarkEnd w:id="94"/>
    </w:p>
    <w:p>
      <w:pPr>
        <w:spacing w:before="120" w:line="320" w:lineRule="atLeast"/>
        <w:ind w:firstLine="480" w:firstLineChars="200"/>
        <w:outlineLvl w:val="2"/>
        <w:rPr>
          <w:rFonts w:eastAsia="黑体"/>
          <w:bCs/>
          <w:kern w:val="0"/>
          <w:sz w:val="24"/>
        </w:rPr>
      </w:pPr>
      <w:bookmarkStart w:id="95" w:name="_Toc254970541"/>
      <w:bookmarkStart w:id="96" w:name="_Toc254970682"/>
      <w:r>
        <w:rPr>
          <w:rFonts w:hint="eastAsia" w:eastAsia="黑体"/>
          <w:bCs/>
          <w:kern w:val="0"/>
          <w:sz w:val="24"/>
        </w:rPr>
        <w:t>（五）投标保证金</w:t>
      </w:r>
      <w:bookmarkEnd w:id="95"/>
      <w:bookmarkEnd w:id="96"/>
    </w:p>
    <w:p>
      <w:pPr>
        <w:spacing w:before="120" w:line="320" w:lineRule="atLeast"/>
        <w:ind w:firstLine="630" w:firstLineChars="300"/>
        <w:rPr>
          <w:szCs w:val="21"/>
        </w:rPr>
      </w:pPr>
      <w:r>
        <w:rPr>
          <w:rFonts w:hint="eastAsia"/>
          <w:szCs w:val="21"/>
        </w:rPr>
        <w:t>1．投标人须按规定提交投标保证金。否则，其投标将被拒绝。</w:t>
      </w:r>
    </w:p>
    <w:p>
      <w:pPr>
        <w:spacing w:before="120" w:line="320" w:lineRule="atLeast"/>
        <w:ind w:firstLine="420" w:firstLineChars="200"/>
        <w:rPr>
          <w:szCs w:val="21"/>
        </w:rPr>
      </w:pPr>
      <w:r>
        <w:rPr>
          <w:rFonts w:hint="eastAsia"/>
          <w:szCs w:val="21"/>
        </w:rPr>
        <w:t xml:space="preserve">  2．投标保证金交纳形式：</w:t>
      </w:r>
      <w:r>
        <w:rPr>
          <w:rFonts w:hint="eastAsia"/>
          <w:szCs w:val="21"/>
          <w:u w:val="single"/>
        </w:rPr>
        <w:t>详见投标人须知前附表第3项要求</w:t>
      </w:r>
      <w:r>
        <w:rPr>
          <w:rFonts w:hint="eastAsia"/>
          <w:szCs w:val="21"/>
        </w:rPr>
        <w:t>。</w:t>
      </w:r>
    </w:p>
    <w:p>
      <w:pPr>
        <w:spacing w:before="120" w:line="320" w:lineRule="atLeast"/>
        <w:ind w:firstLine="420" w:firstLineChars="200"/>
        <w:rPr>
          <w:szCs w:val="21"/>
        </w:rPr>
      </w:pPr>
      <w:r>
        <w:rPr>
          <w:rFonts w:hint="eastAsia"/>
          <w:szCs w:val="21"/>
        </w:rPr>
        <w:t xml:space="preserve">  3．未中标人的投标保证金在中标通知书发出后5个工作日内退还。</w:t>
      </w:r>
    </w:p>
    <w:p>
      <w:pPr>
        <w:spacing w:before="120" w:line="320" w:lineRule="atLeast"/>
        <w:ind w:firstLine="420" w:firstLineChars="200"/>
        <w:rPr>
          <w:szCs w:val="21"/>
        </w:rPr>
      </w:pPr>
      <w:r>
        <w:rPr>
          <w:rFonts w:hint="eastAsia"/>
          <w:szCs w:val="21"/>
        </w:rPr>
        <w:t xml:space="preserve">  4．中标人应在中标通知书发出后30日内与采购人签订合同，中标人的投标保证金在合同签订后5天内退还（办理退还手续时需要向采购代理机构提供一份合同原件）。</w:t>
      </w:r>
    </w:p>
    <w:p>
      <w:pPr>
        <w:spacing w:before="120" w:line="320" w:lineRule="atLeast"/>
        <w:ind w:firstLine="420" w:firstLineChars="200"/>
        <w:rPr>
          <w:szCs w:val="21"/>
        </w:rPr>
      </w:pPr>
      <w:r>
        <w:rPr>
          <w:rFonts w:hint="eastAsia"/>
          <w:szCs w:val="21"/>
        </w:rPr>
        <w:t xml:space="preserve">  5．保证金不计息。</w:t>
      </w:r>
    </w:p>
    <w:p>
      <w:pPr>
        <w:spacing w:before="120" w:line="320" w:lineRule="atLeast"/>
        <w:ind w:firstLine="422" w:firstLineChars="200"/>
        <w:rPr>
          <w:b/>
          <w:szCs w:val="21"/>
        </w:rPr>
      </w:pPr>
      <w:r>
        <w:rPr>
          <w:rFonts w:hint="eastAsia"/>
          <w:b/>
          <w:szCs w:val="21"/>
        </w:rPr>
        <w:t>6．投标人有下列情形之一的，投标保证金将不予退还：</w:t>
      </w:r>
    </w:p>
    <w:p>
      <w:pPr>
        <w:numPr>
          <w:ilvl w:val="0"/>
          <w:numId w:val="12"/>
        </w:numPr>
        <w:spacing w:before="120" w:line="320" w:lineRule="atLeast"/>
        <w:rPr>
          <w:szCs w:val="21"/>
        </w:rPr>
      </w:pPr>
      <w:r>
        <w:rPr>
          <w:rFonts w:hint="eastAsia"/>
          <w:szCs w:val="21"/>
        </w:rPr>
        <w:t>投标人在投标有效期内撤回投标文件的；</w:t>
      </w:r>
    </w:p>
    <w:p>
      <w:pPr>
        <w:numPr>
          <w:ilvl w:val="0"/>
          <w:numId w:val="12"/>
        </w:numPr>
        <w:spacing w:before="120" w:line="320" w:lineRule="atLeast"/>
        <w:rPr>
          <w:szCs w:val="21"/>
        </w:rPr>
      </w:pPr>
      <w:r>
        <w:rPr>
          <w:rFonts w:hint="eastAsia"/>
          <w:szCs w:val="21"/>
        </w:rPr>
        <w:t>投标人在投标过程中弄虚作假，提供虚假材料的；</w:t>
      </w:r>
    </w:p>
    <w:p>
      <w:pPr>
        <w:numPr>
          <w:ilvl w:val="0"/>
          <w:numId w:val="12"/>
        </w:numPr>
        <w:spacing w:before="120" w:line="320" w:lineRule="atLeast"/>
        <w:rPr>
          <w:szCs w:val="21"/>
        </w:rPr>
      </w:pPr>
      <w:r>
        <w:rPr>
          <w:rFonts w:hint="eastAsia"/>
          <w:szCs w:val="21"/>
        </w:rPr>
        <w:t>中标人无正当理由不与采购人签订合同的；</w:t>
      </w:r>
    </w:p>
    <w:p>
      <w:pPr>
        <w:numPr>
          <w:ilvl w:val="0"/>
          <w:numId w:val="12"/>
        </w:numPr>
        <w:spacing w:before="120" w:line="320" w:lineRule="atLeast"/>
        <w:rPr>
          <w:szCs w:val="21"/>
        </w:rPr>
      </w:pPr>
      <w:r>
        <w:rPr>
          <w:rFonts w:hint="eastAsia"/>
          <w:szCs w:val="21"/>
        </w:rPr>
        <w:t>将中标项目转让给他人或者在投标文件中未说明且未经招标采购人同意，将中标项目分包给他人的；</w:t>
      </w:r>
    </w:p>
    <w:p>
      <w:pPr>
        <w:numPr>
          <w:ilvl w:val="0"/>
          <w:numId w:val="12"/>
        </w:numPr>
        <w:spacing w:before="120" w:line="320" w:lineRule="atLeast"/>
        <w:rPr>
          <w:szCs w:val="21"/>
        </w:rPr>
      </w:pPr>
      <w:r>
        <w:rPr>
          <w:rFonts w:hint="eastAsia"/>
          <w:szCs w:val="21"/>
        </w:rPr>
        <w:t>拒绝履行合同义务的；</w:t>
      </w:r>
    </w:p>
    <w:p>
      <w:pPr>
        <w:numPr>
          <w:ilvl w:val="0"/>
          <w:numId w:val="12"/>
        </w:numPr>
        <w:spacing w:before="120" w:line="320" w:lineRule="atLeast"/>
        <w:rPr>
          <w:szCs w:val="21"/>
        </w:rPr>
      </w:pPr>
      <w:r>
        <w:rPr>
          <w:rFonts w:hint="eastAsia"/>
          <w:szCs w:val="21"/>
        </w:rPr>
        <w:t>其他严重扰乱招投标程序的。</w:t>
      </w:r>
    </w:p>
    <w:p>
      <w:pPr>
        <w:spacing w:before="120" w:line="320" w:lineRule="atLeast"/>
        <w:ind w:firstLine="480" w:firstLineChars="200"/>
        <w:outlineLvl w:val="2"/>
        <w:rPr>
          <w:rFonts w:eastAsia="黑体"/>
          <w:bCs/>
          <w:kern w:val="0"/>
          <w:sz w:val="24"/>
        </w:rPr>
      </w:pPr>
      <w:bookmarkStart w:id="97" w:name="_Toc254970542"/>
      <w:bookmarkStart w:id="98" w:name="_Toc254970683"/>
      <w:r>
        <w:rPr>
          <w:rFonts w:hint="eastAsia" w:eastAsia="黑体"/>
          <w:bCs/>
          <w:kern w:val="0"/>
          <w:sz w:val="24"/>
        </w:rPr>
        <w:t>（六）投标文件的签署和份数</w:t>
      </w:r>
      <w:bookmarkEnd w:id="97"/>
      <w:bookmarkEnd w:id="98"/>
    </w:p>
    <w:p>
      <w:pPr>
        <w:spacing w:before="120" w:line="320" w:lineRule="atLeast"/>
        <w:ind w:firstLine="420" w:firstLineChars="200"/>
        <w:rPr>
          <w:szCs w:val="21"/>
        </w:rPr>
      </w:pPr>
      <w:r>
        <w:rPr>
          <w:rFonts w:hint="eastAsia"/>
          <w:szCs w:val="21"/>
        </w:rPr>
        <w:t>1．投标人应按本招标文件规定的格式和顺序编制、装订投标文件并标注页码，投标文件内容不完整、编排混乱导致投标文件被误读、漏读或者查找不到相关内容的，是投标人的责任。</w:t>
      </w:r>
    </w:p>
    <w:p>
      <w:pPr>
        <w:spacing w:before="120" w:line="320" w:lineRule="atLeast"/>
        <w:ind w:firstLine="420" w:firstLineChars="200"/>
        <w:rPr>
          <w:szCs w:val="21"/>
        </w:rPr>
      </w:pPr>
      <w:r>
        <w:rPr>
          <w:rFonts w:hint="eastAsia"/>
          <w:szCs w:val="21"/>
        </w:rPr>
        <w:t>2．</w:t>
      </w:r>
      <w:r>
        <w:rPr>
          <w:rFonts w:hint="eastAsia"/>
          <w:b/>
          <w:szCs w:val="21"/>
        </w:rPr>
        <w:t>投标人应将投标文件装订成册，正本1份，副本</w:t>
      </w:r>
      <w:r>
        <w:rPr>
          <w:rFonts w:hint="eastAsia" w:ascii="黑体" w:hAnsi="黑体" w:eastAsia="黑体"/>
          <w:b/>
          <w:szCs w:val="21"/>
        </w:rPr>
        <w:t>4份</w:t>
      </w:r>
      <w:r>
        <w:rPr>
          <w:rFonts w:hint="eastAsia"/>
          <w:b/>
          <w:szCs w:val="21"/>
        </w:rPr>
        <w:t>，投标文件的封面应注明“正本”、“副本”字样。活页装订的投标文件将被招标人拒绝。</w:t>
      </w:r>
    </w:p>
    <w:p>
      <w:pPr>
        <w:spacing w:before="120" w:line="320" w:lineRule="atLeast"/>
        <w:ind w:firstLine="420" w:firstLineChars="200"/>
        <w:rPr>
          <w:szCs w:val="21"/>
        </w:rPr>
      </w:pPr>
      <w:r>
        <w:rPr>
          <w:rFonts w:hint="eastAsia"/>
          <w:szCs w:val="21"/>
        </w:rPr>
        <w:t>3．投标文件的正本需打印或用不褪色的墨水填写，投标文件正本除本《投标人须知》中规定的可提供复印件外均须提供原件。副本为正本的复印件。</w:t>
      </w:r>
    </w:p>
    <w:p>
      <w:pPr>
        <w:spacing w:before="120" w:line="320" w:lineRule="atLeast"/>
        <w:ind w:firstLine="420" w:firstLineChars="200"/>
        <w:rPr>
          <w:szCs w:val="21"/>
        </w:rPr>
      </w:pPr>
      <w:r>
        <w:rPr>
          <w:rFonts w:hint="eastAsia"/>
          <w:szCs w:val="21"/>
        </w:rPr>
        <w:t>4．投标文件须由投标人在规定位置盖章并由法定代表人或法定代表人的授权委托人签署，投标人应写全称。</w:t>
      </w:r>
    </w:p>
    <w:p>
      <w:pPr>
        <w:spacing w:before="120" w:line="320" w:lineRule="atLeast"/>
        <w:ind w:firstLine="420" w:firstLineChars="200"/>
        <w:rPr>
          <w:szCs w:val="21"/>
        </w:rPr>
      </w:pPr>
      <w:r>
        <w:rPr>
          <w:rFonts w:hint="eastAsia"/>
          <w:szCs w:val="21"/>
        </w:rPr>
        <w:t>5．投标文件不得涂改，若有修改错漏处，须加盖单位公章或者法定代表人或授权委托人签字或盖章。投标文件因字迹潦草或表达不清所引起的后果由投标人负责。</w:t>
      </w:r>
    </w:p>
    <w:p>
      <w:pPr>
        <w:spacing w:before="120" w:line="320" w:lineRule="atLeast"/>
        <w:ind w:firstLine="420" w:firstLineChars="200"/>
        <w:rPr>
          <w:szCs w:val="21"/>
        </w:rPr>
      </w:pPr>
      <w:r>
        <w:rPr>
          <w:rFonts w:hint="eastAsia"/>
          <w:szCs w:val="21"/>
        </w:rPr>
        <w:t>6．投标文件电子版：投标人递交的投标文件内应包含投标文件电子版，投标文件电子版份数：1份，投标文件电子版形式：可编辑的word文档格式。</w:t>
      </w:r>
    </w:p>
    <w:p>
      <w:pPr>
        <w:spacing w:before="120" w:line="320" w:lineRule="atLeast"/>
        <w:ind w:firstLine="480" w:firstLineChars="200"/>
        <w:outlineLvl w:val="2"/>
        <w:rPr>
          <w:rFonts w:eastAsia="黑体"/>
          <w:bCs/>
          <w:kern w:val="0"/>
          <w:sz w:val="24"/>
        </w:rPr>
      </w:pPr>
      <w:r>
        <w:rPr>
          <w:rFonts w:hint="eastAsia" w:eastAsia="黑体"/>
          <w:bCs/>
          <w:kern w:val="0"/>
          <w:sz w:val="24"/>
        </w:rPr>
        <w:t>（七）投标文件的包装、递交、修改和撤回</w:t>
      </w:r>
    </w:p>
    <w:p>
      <w:pPr>
        <w:spacing w:before="120" w:line="320" w:lineRule="atLeast"/>
        <w:ind w:firstLine="420" w:firstLineChars="200"/>
        <w:rPr>
          <w:szCs w:val="21"/>
        </w:rPr>
      </w:pPr>
      <w:r>
        <w:rPr>
          <w:rFonts w:hint="eastAsia"/>
          <w:szCs w:val="21"/>
        </w:rPr>
        <w:t>1．投标人应将投标文件正、副本（正本一份、副本四份）和投标文件电子版（光盘或U盘）一并装入一个投标文件袋内加以密封，在封贴处密封签章（公章或密封章或法定代表人或其委托代理人签字均可）。其中《开标一览表》（格式见附件）应单独用小信封密封并单独递交。投标文件的包装封面上应注明投标人名称、投标人地址、投标文件名称（投标文件、开标一览表等）、投标项目名称、项目编号、分包号及“开标时启封”字样，并加盖投标人公章。</w:t>
      </w:r>
    </w:p>
    <w:p>
      <w:pPr>
        <w:spacing w:before="120" w:line="320" w:lineRule="atLeast"/>
        <w:ind w:firstLine="420" w:firstLineChars="200"/>
        <w:rPr>
          <w:szCs w:val="21"/>
        </w:rPr>
      </w:pPr>
      <w:r>
        <w:rPr>
          <w:rFonts w:hint="eastAsia"/>
          <w:szCs w:val="21"/>
        </w:rPr>
        <w:t>2．逾期送达或未按规定密封、盖章、标记的投标文件将被拒绝或作无效投标文件处理，由此造成的风险由投标人承担。</w:t>
      </w:r>
    </w:p>
    <w:p>
      <w:pPr>
        <w:spacing w:before="120" w:line="320" w:lineRule="atLeast"/>
        <w:ind w:firstLine="420" w:firstLineChars="200"/>
        <w:rPr>
          <w:szCs w:val="21"/>
        </w:rPr>
      </w:pPr>
      <w:r>
        <w:rPr>
          <w:rFonts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pacing w:before="120" w:line="320" w:lineRule="atLeast"/>
        <w:ind w:firstLine="480" w:firstLineChars="200"/>
        <w:outlineLvl w:val="2"/>
        <w:rPr>
          <w:rFonts w:eastAsia="黑体"/>
          <w:bCs/>
          <w:kern w:val="0"/>
          <w:sz w:val="24"/>
        </w:rPr>
      </w:pPr>
      <w:bookmarkStart w:id="99" w:name="_Toc254970543"/>
      <w:bookmarkStart w:id="100" w:name="_Toc254970684"/>
      <w:r>
        <w:rPr>
          <w:rFonts w:hint="eastAsia" w:eastAsia="黑体"/>
          <w:bCs/>
          <w:kern w:val="0"/>
          <w:sz w:val="24"/>
        </w:rPr>
        <w:t>（八）投标无效的情形</w:t>
      </w:r>
      <w:bookmarkEnd w:id="99"/>
      <w:bookmarkEnd w:id="100"/>
    </w:p>
    <w:p>
      <w:pPr>
        <w:spacing w:before="120" w:line="320" w:lineRule="atLeast"/>
        <w:ind w:firstLine="420" w:firstLineChars="200"/>
        <w:rPr>
          <w:szCs w:val="21"/>
        </w:rPr>
      </w:pPr>
      <w:r>
        <w:rPr>
          <w:rFonts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before="120" w:line="320" w:lineRule="atLeast"/>
        <w:ind w:firstLine="422" w:firstLineChars="200"/>
        <w:rPr>
          <w:b/>
          <w:szCs w:val="21"/>
        </w:rPr>
      </w:pPr>
      <w:r>
        <w:rPr>
          <w:rFonts w:hint="eastAsia"/>
          <w:b/>
          <w:szCs w:val="21"/>
        </w:rPr>
        <w:t>1．在符合性审查和资格性审查时，如发现下列情形之一的，投标文件将被视为无效：</w:t>
      </w:r>
    </w:p>
    <w:p>
      <w:pPr>
        <w:numPr>
          <w:ilvl w:val="0"/>
          <w:numId w:val="13"/>
        </w:numPr>
        <w:spacing w:before="120" w:line="320" w:lineRule="atLeast"/>
        <w:rPr>
          <w:szCs w:val="21"/>
        </w:rPr>
      </w:pPr>
      <w:r>
        <w:rPr>
          <w:rFonts w:hint="eastAsia"/>
          <w:szCs w:val="21"/>
        </w:rPr>
        <w:t>超越了按照法律法规规定必须获得行政许可或者行政审批的经营范围的。</w:t>
      </w:r>
    </w:p>
    <w:p>
      <w:pPr>
        <w:numPr>
          <w:ilvl w:val="0"/>
          <w:numId w:val="13"/>
        </w:numPr>
        <w:spacing w:before="120" w:line="320" w:lineRule="atLeast"/>
        <w:rPr>
          <w:szCs w:val="21"/>
        </w:rPr>
      </w:pPr>
      <w:r>
        <w:rPr>
          <w:rFonts w:hint="eastAsia"/>
          <w:szCs w:val="21"/>
        </w:rPr>
        <w:t>资格证明文件不全的，或者不符合招标文件标明的资格要求的。</w:t>
      </w:r>
    </w:p>
    <w:p>
      <w:pPr>
        <w:numPr>
          <w:ilvl w:val="0"/>
          <w:numId w:val="13"/>
        </w:numPr>
        <w:spacing w:before="120" w:line="320" w:lineRule="atLeast"/>
        <w:rPr>
          <w:szCs w:val="21"/>
        </w:rPr>
      </w:pPr>
      <w:r>
        <w:rPr>
          <w:rFonts w:hint="eastAsia"/>
          <w:szCs w:val="21"/>
        </w:rPr>
        <w:t>投标代表人未能出具身份证明或与法定代表人授权委托人身份不符的。</w:t>
      </w:r>
    </w:p>
    <w:p>
      <w:pPr>
        <w:numPr>
          <w:ilvl w:val="0"/>
          <w:numId w:val="13"/>
        </w:numPr>
        <w:spacing w:before="120" w:line="320" w:lineRule="atLeast"/>
        <w:rPr>
          <w:szCs w:val="21"/>
        </w:rPr>
      </w:pPr>
      <w:r>
        <w:rPr>
          <w:rFonts w:hint="eastAsia"/>
          <w:szCs w:val="21"/>
        </w:rPr>
        <w:t>项目不齐全或者内容虚假的。</w:t>
      </w:r>
    </w:p>
    <w:p>
      <w:pPr>
        <w:numPr>
          <w:ilvl w:val="0"/>
          <w:numId w:val="13"/>
        </w:numPr>
        <w:spacing w:before="120" w:line="320" w:lineRule="atLeast"/>
        <w:rPr>
          <w:szCs w:val="21"/>
        </w:rPr>
      </w:pPr>
      <w:r>
        <w:rPr>
          <w:rFonts w:hint="eastAsia"/>
          <w:szCs w:val="21"/>
        </w:rPr>
        <w:t>投标文件的实质性内容未使用中文表述、意思表述不明确、前后矛盾或者使用计量单位不符合招标文件要求的（经评标委员会认定并允许其当场更正的笔误除外）。</w:t>
      </w:r>
    </w:p>
    <w:p>
      <w:pPr>
        <w:numPr>
          <w:ilvl w:val="0"/>
          <w:numId w:val="13"/>
        </w:numPr>
        <w:spacing w:before="120" w:line="320" w:lineRule="atLeast"/>
        <w:rPr>
          <w:szCs w:val="21"/>
        </w:rPr>
      </w:pPr>
      <w:r>
        <w:rPr>
          <w:rFonts w:hint="eastAsia"/>
          <w:szCs w:val="21"/>
        </w:rPr>
        <w:t>投标有效期、交货时间等商务条款不能满足招标文件要求的。</w:t>
      </w:r>
    </w:p>
    <w:p>
      <w:pPr>
        <w:numPr>
          <w:ilvl w:val="0"/>
          <w:numId w:val="13"/>
        </w:numPr>
        <w:spacing w:before="120" w:line="320" w:lineRule="atLeast"/>
        <w:rPr>
          <w:spacing w:val="-6"/>
          <w:szCs w:val="21"/>
        </w:rPr>
      </w:pPr>
      <w:r>
        <w:rPr>
          <w:rFonts w:hint="eastAsia"/>
          <w:spacing w:val="-6"/>
          <w:szCs w:val="21"/>
        </w:rPr>
        <w:t>未实质性响应招标文件或不符合法律、法规要求或投标文件有招标方不能接受的附加条件的。</w:t>
      </w:r>
    </w:p>
    <w:p>
      <w:pPr>
        <w:spacing w:before="120" w:line="320" w:lineRule="atLeast"/>
        <w:ind w:firstLine="422" w:firstLineChars="200"/>
        <w:rPr>
          <w:b/>
          <w:szCs w:val="21"/>
        </w:rPr>
      </w:pPr>
      <w:r>
        <w:rPr>
          <w:rFonts w:hint="eastAsia"/>
          <w:b/>
          <w:szCs w:val="21"/>
        </w:rPr>
        <w:t>2．在技术评审时，如发现下列情形之一的，投标文件将被视为无效：</w:t>
      </w:r>
    </w:p>
    <w:p>
      <w:pPr>
        <w:numPr>
          <w:ilvl w:val="0"/>
          <w:numId w:val="14"/>
        </w:numPr>
        <w:spacing w:before="120" w:line="320" w:lineRule="atLeast"/>
        <w:ind w:left="1134" w:hanging="714"/>
        <w:rPr>
          <w:szCs w:val="21"/>
        </w:rPr>
      </w:pPr>
      <w:r>
        <w:rPr>
          <w:rFonts w:hint="eastAsia"/>
          <w:szCs w:val="21"/>
        </w:rPr>
        <w:t>未提供或未如实提供投标货物的技术参数，或者投标文件标明的响应或偏离与事实不符或虚假投标的。</w:t>
      </w:r>
    </w:p>
    <w:p>
      <w:pPr>
        <w:numPr>
          <w:ilvl w:val="0"/>
          <w:numId w:val="14"/>
        </w:numPr>
        <w:spacing w:before="120" w:line="320" w:lineRule="atLeast"/>
        <w:ind w:left="1134" w:hanging="714"/>
        <w:rPr>
          <w:szCs w:val="21"/>
        </w:rPr>
      </w:pPr>
      <w:r>
        <w:rPr>
          <w:rFonts w:hint="eastAsia"/>
          <w:szCs w:val="21"/>
        </w:rPr>
        <w:t>明显不符合招标文件要求的规格型号、质量标准，或者与招标文件中标“</w:t>
      </w:r>
      <w:r>
        <w:rPr>
          <w:rFonts w:hint="eastAsia" w:ascii="宋体" w:hAnsi="宋体"/>
        </w:rPr>
        <w:t>★</w:t>
      </w:r>
      <w:r>
        <w:rPr>
          <w:rFonts w:hint="eastAsia"/>
          <w:szCs w:val="21"/>
        </w:rPr>
        <w:t>”的技术指标、主要功能项目发生实质性负偏离的。</w:t>
      </w:r>
    </w:p>
    <w:p>
      <w:pPr>
        <w:numPr>
          <w:ilvl w:val="0"/>
          <w:numId w:val="14"/>
        </w:numPr>
        <w:spacing w:before="120" w:line="320" w:lineRule="atLeast"/>
        <w:ind w:left="1134" w:hanging="714"/>
        <w:rPr>
          <w:szCs w:val="21"/>
        </w:rPr>
      </w:pPr>
      <w:r>
        <w:rPr>
          <w:rFonts w:hint="eastAsia"/>
          <w:szCs w:val="21"/>
        </w:rPr>
        <w:t>投标技术方案不明确，存在一个或一个以上备选（替代）投标方案的。</w:t>
      </w:r>
    </w:p>
    <w:p>
      <w:pPr>
        <w:spacing w:before="120" w:line="320" w:lineRule="atLeast"/>
        <w:ind w:firstLine="422" w:firstLineChars="200"/>
        <w:rPr>
          <w:b/>
          <w:szCs w:val="21"/>
        </w:rPr>
      </w:pPr>
      <w:r>
        <w:rPr>
          <w:rFonts w:hint="eastAsia"/>
          <w:b/>
          <w:szCs w:val="21"/>
        </w:rPr>
        <w:t>3．在报价评审时，如发现下列情形之一的，投标文件将被视为无效：</w:t>
      </w:r>
    </w:p>
    <w:p>
      <w:pPr>
        <w:numPr>
          <w:ilvl w:val="0"/>
          <w:numId w:val="15"/>
        </w:numPr>
        <w:spacing w:line="360" w:lineRule="auto"/>
        <w:rPr>
          <w:szCs w:val="21"/>
        </w:rPr>
      </w:pPr>
      <w:r>
        <w:rPr>
          <w:rFonts w:hint="eastAsia"/>
          <w:szCs w:val="21"/>
        </w:rPr>
        <w:t>未采用人民币报价或者未按照招标文件标明的币种报价的。</w:t>
      </w:r>
    </w:p>
    <w:p>
      <w:pPr>
        <w:numPr>
          <w:ilvl w:val="0"/>
          <w:numId w:val="15"/>
        </w:numPr>
        <w:spacing w:line="360" w:lineRule="auto"/>
        <w:rPr>
          <w:szCs w:val="21"/>
        </w:rPr>
      </w:pPr>
      <w:r>
        <w:rPr>
          <w:rFonts w:hint="eastAsia"/>
          <w:szCs w:val="21"/>
        </w:rPr>
        <w:t>报价超出最高限价，或者超出采购预算金额，采购人不能支付的。</w:t>
      </w:r>
    </w:p>
    <w:p>
      <w:pPr>
        <w:numPr>
          <w:ilvl w:val="0"/>
          <w:numId w:val="15"/>
        </w:numPr>
        <w:spacing w:line="360" w:lineRule="auto"/>
        <w:rPr>
          <w:szCs w:val="21"/>
        </w:rPr>
      </w:pPr>
      <w:r>
        <w:rPr>
          <w:rFonts w:hint="eastAsia"/>
          <w:szCs w:val="21"/>
        </w:rPr>
        <w:t>投标报价具有选择性，或者开标价格与投标文件承诺的优惠（折扣）价格不一致的。</w:t>
      </w:r>
    </w:p>
    <w:p>
      <w:pPr>
        <w:spacing w:line="360" w:lineRule="auto"/>
        <w:ind w:firstLine="420" w:firstLineChars="200"/>
        <w:rPr>
          <w:szCs w:val="21"/>
        </w:rPr>
      </w:pPr>
      <w:r>
        <w:rPr>
          <w:rFonts w:hint="eastAsia"/>
          <w:szCs w:val="21"/>
        </w:rPr>
        <w:t>（4）在评标过程中，</w:t>
      </w:r>
      <w:r>
        <w:rPr>
          <w:rFonts w:hint="eastAsia" w:ascii="宋体" w:hAnsi="宋体" w:cs="宋体"/>
          <w:bCs/>
          <w:kern w:val="0"/>
          <w:szCs w:val="21"/>
        </w:rPr>
        <w:t>评标委员会发现投标人的报价明显低于其他竞标报价，使得其投标报价可能低于其成本的，应当要求该贩标人做出书面说明并提供相关证明材料。投标人不能合理说明或者不能提供相关证明材料的，由评标委员会认定该投标人以低于成本投标报价投标，投标报价严重不平衡、不合理，其投标作无效处理。</w:t>
      </w:r>
    </w:p>
    <w:p>
      <w:pPr>
        <w:spacing w:before="120" w:line="320" w:lineRule="atLeast"/>
        <w:ind w:firstLine="422" w:firstLineChars="200"/>
        <w:rPr>
          <w:b/>
          <w:szCs w:val="21"/>
        </w:rPr>
      </w:pPr>
      <w:r>
        <w:rPr>
          <w:rFonts w:hint="eastAsia"/>
          <w:b/>
          <w:szCs w:val="21"/>
        </w:rPr>
        <w:t>4．被拒绝的投标文件为无效。</w:t>
      </w:r>
    </w:p>
    <w:p>
      <w:pPr>
        <w:spacing w:before="120" w:line="320" w:lineRule="atLeast"/>
        <w:ind w:firstLine="422" w:firstLineChars="200"/>
        <w:rPr>
          <w:b/>
          <w:szCs w:val="21"/>
        </w:rPr>
      </w:pPr>
    </w:p>
    <w:p>
      <w:pPr>
        <w:spacing w:before="120" w:line="320" w:lineRule="atLeast"/>
        <w:ind w:left="2" w:leftChars="1" w:firstLine="560" w:firstLineChars="200"/>
        <w:outlineLvl w:val="1"/>
        <w:rPr>
          <w:rFonts w:eastAsia="黑体"/>
          <w:bCs/>
          <w:kern w:val="0"/>
          <w:sz w:val="28"/>
          <w:szCs w:val="28"/>
        </w:rPr>
      </w:pPr>
      <w:bookmarkStart w:id="101" w:name="_Toc254970544"/>
      <w:bookmarkStart w:id="102" w:name="_Toc254970685"/>
      <w:r>
        <w:rPr>
          <w:rFonts w:hint="eastAsia" w:eastAsia="黑体"/>
          <w:bCs/>
          <w:kern w:val="0"/>
          <w:sz w:val="28"/>
          <w:szCs w:val="28"/>
        </w:rPr>
        <w:t>四、开标</w:t>
      </w:r>
      <w:bookmarkEnd w:id="101"/>
      <w:bookmarkEnd w:id="102"/>
    </w:p>
    <w:p>
      <w:pPr>
        <w:spacing w:before="120" w:line="320" w:lineRule="atLeast"/>
        <w:ind w:firstLine="480" w:firstLineChars="200"/>
        <w:outlineLvl w:val="2"/>
        <w:rPr>
          <w:rFonts w:eastAsia="黑体"/>
          <w:bCs/>
          <w:kern w:val="0"/>
          <w:sz w:val="24"/>
        </w:rPr>
      </w:pPr>
      <w:r>
        <w:rPr>
          <w:rFonts w:hint="eastAsia" w:eastAsia="黑体"/>
          <w:bCs/>
          <w:kern w:val="0"/>
          <w:sz w:val="24"/>
        </w:rPr>
        <w:t>（一）开标准备</w:t>
      </w:r>
    </w:p>
    <w:p>
      <w:pPr>
        <w:pStyle w:val="32"/>
        <w:spacing w:line="360" w:lineRule="auto"/>
        <w:ind w:firstLine="420" w:firstLineChars="200"/>
        <w:jc w:val="both"/>
        <w:rPr>
          <w:szCs w:val="21"/>
        </w:rPr>
      </w:pPr>
      <w:r>
        <w:rPr>
          <w:rFonts w:hint="eastAsia"/>
          <w:sz w:val="21"/>
          <w:szCs w:val="21"/>
        </w:rPr>
        <w:t>采购代理机构将</w:t>
      </w:r>
      <w:r>
        <w:rPr>
          <w:rFonts w:hint="eastAsia" w:hAnsi="宋体"/>
          <w:color w:val="auto"/>
          <w:sz w:val="21"/>
          <w:szCs w:val="21"/>
        </w:rPr>
        <w:t>按照本章</w:t>
      </w:r>
      <w:r>
        <w:rPr>
          <w:rFonts w:hint="eastAsia" w:hAnsi="宋体"/>
          <w:color w:val="auto"/>
          <w:sz w:val="21"/>
          <w:szCs w:val="21"/>
          <w:shd w:val="clear" w:color="auto" w:fill="FFFFFF"/>
        </w:rPr>
        <w:t>投标人须知前附表第9条</w:t>
      </w:r>
      <w:r>
        <w:rPr>
          <w:rFonts w:hint="eastAsia" w:hAnsi="宋体"/>
          <w:color w:val="auto"/>
          <w:sz w:val="21"/>
          <w:szCs w:val="21"/>
        </w:rPr>
        <w:t>规定的开标时间和地点公开开标，并邀请所有投标人的法定代表人或其委托代理人准时参加。</w:t>
      </w:r>
      <w:r>
        <w:rPr>
          <w:rFonts w:hint="eastAsia" w:hAnsi="宋体"/>
          <w:sz w:val="21"/>
          <w:szCs w:val="21"/>
          <w:lang w:bidi="ar"/>
        </w:rPr>
        <w:t>疫情期间，本项目接受投标文件邮寄，投标人可选择邮寄投标文件，</w:t>
      </w:r>
      <w:r>
        <w:rPr>
          <w:rFonts w:hint="eastAsia" w:hAnsi="宋体"/>
          <w:sz w:val="21"/>
          <w:szCs w:val="21"/>
        </w:rPr>
        <w:t>其它要求详见招标公告及广西壮族自治区公共资源交易中心相关要求，</w:t>
      </w:r>
      <w:r>
        <w:rPr>
          <w:rFonts w:hint="eastAsia" w:hAnsi="宋体"/>
          <w:color w:val="auto"/>
          <w:sz w:val="21"/>
          <w:szCs w:val="21"/>
        </w:rPr>
        <w:t>投标人若未派法定代表人或委托代理人出席开标活动，或未在开标记录上签字，视为该投标人默认开标结果。投标人对开标有异议的，应在开标现场提出，招标人当场作出答复，并制作记录。</w:t>
      </w:r>
      <w:r>
        <w:rPr>
          <w:rFonts w:hint="eastAsia"/>
          <w:sz w:val="21"/>
          <w:szCs w:val="21"/>
        </w:rPr>
        <w:t>投标人的法定代表人或其授权代表未按时签到的，视同放弃开标监督权利、认可开标结果。</w:t>
      </w:r>
    </w:p>
    <w:p>
      <w:pPr>
        <w:spacing w:before="120" w:line="320" w:lineRule="atLeast"/>
        <w:ind w:firstLine="480" w:firstLineChars="200"/>
        <w:outlineLvl w:val="2"/>
        <w:rPr>
          <w:rFonts w:eastAsia="黑体"/>
          <w:bCs/>
          <w:kern w:val="0"/>
          <w:sz w:val="24"/>
        </w:rPr>
      </w:pPr>
      <w:r>
        <w:rPr>
          <w:rFonts w:hint="eastAsia" w:eastAsia="黑体"/>
          <w:bCs/>
          <w:kern w:val="0"/>
          <w:sz w:val="24"/>
        </w:rPr>
        <w:t>（二）开标程序</w:t>
      </w:r>
    </w:p>
    <w:p>
      <w:pPr>
        <w:spacing w:before="120" w:line="320" w:lineRule="atLeast"/>
        <w:ind w:firstLine="420" w:firstLineChars="200"/>
        <w:rPr>
          <w:szCs w:val="21"/>
        </w:rPr>
      </w:pPr>
      <w:r>
        <w:rPr>
          <w:rFonts w:hint="eastAsia"/>
          <w:szCs w:val="21"/>
        </w:rPr>
        <w:t>1．开标会由采购代理机构主持，主持人宣布开标会议开始；</w:t>
      </w:r>
    </w:p>
    <w:p>
      <w:pPr>
        <w:spacing w:before="120" w:line="320" w:lineRule="atLeast"/>
        <w:ind w:firstLine="420" w:firstLineChars="200"/>
        <w:rPr>
          <w:szCs w:val="21"/>
        </w:rPr>
      </w:pPr>
      <w:r>
        <w:rPr>
          <w:rFonts w:hint="eastAsia"/>
          <w:szCs w:val="21"/>
        </w:rPr>
        <w:t>2．主持人介绍参加开标会的人员名单；</w:t>
      </w:r>
    </w:p>
    <w:p>
      <w:pPr>
        <w:spacing w:before="120" w:line="320" w:lineRule="atLeast"/>
        <w:ind w:firstLine="420" w:firstLineChars="200"/>
        <w:rPr>
          <w:szCs w:val="21"/>
        </w:rPr>
      </w:pPr>
      <w:r>
        <w:rPr>
          <w:rFonts w:hint="eastAsia"/>
          <w:szCs w:val="21"/>
        </w:rPr>
        <w:t>3．主持人宣布评标期间的有关事项；告知应当回避的情形，提请有关人员回避。</w:t>
      </w:r>
    </w:p>
    <w:p>
      <w:pPr>
        <w:spacing w:before="120" w:line="320" w:lineRule="atLeast"/>
        <w:ind w:firstLine="420" w:firstLineChars="200"/>
        <w:rPr>
          <w:szCs w:val="21"/>
        </w:rPr>
      </w:pPr>
      <w:r>
        <w:rPr>
          <w:rFonts w:hint="eastAsia"/>
          <w:szCs w:val="21"/>
        </w:rPr>
        <w:t>4．投标人或其当场推荐的代表，或者招标采购单位委托的公证机构检查投标文件密封的完整性并签字确认；</w:t>
      </w:r>
    </w:p>
    <w:p>
      <w:pPr>
        <w:spacing w:before="120" w:line="320" w:lineRule="atLeast"/>
        <w:ind w:firstLine="420" w:firstLineChars="200"/>
        <w:rPr>
          <w:szCs w:val="21"/>
        </w:rPr>
      </w:pPr>
      <w:r>
        <w:rPr>
          <w:rFonts w:hint="eastAsia"/>
          <w:szCs w:val="21"/>
        </w:rPr>
        <w:t>5．按各投标人提交投标文件时间的先后顺序打开资信/商务文件、技术文件和</w:t>
      </w:r>
      <w:r>
        <w:rPr>
          <w:szCs w:val="21"/>
        </w:rPr>
        <w:t>报价文件</w:t>
      </w:r>
      <w:r>
        <w:rPr>
          <w:rFonts w:hint="eastAsia"/>
          <w:szCs w:val="21"/>
        </w:rPr>
        <w:t>外包装，清点投标文件正本、副本数量；</w:t>
      </w:r>
    </w:p>
    <w:p>
      <w:pPr>
        <w:spacing w:before="120" w:line="320" w:lineRule="atLeast"/>
        <w:ind w:firstLine="420" w:firstLineChars="200"/>
        <w:rPr>
          <w:szCs w:val="21"/>
        </w:rPr>
      </w:pPr>
      <w:r>
        <w:rPr>
          <w:rFonts w:hint="eastAsia"/>
          <w:szCs w:val="21"/>
        </w:rPr>
        <w:t>6．唱标；</w:t>
      </w:r>
    </w:p>
    <w:p>
      <w:pPr>
        <w:spacing w:before="120" w:line="320" w:lineRule="atLeast"/>
        <w:ind w:firstLine="420" w:firstLineChars="200"/>
        <w:rPr>
          <w:szCs w:val="21"/>
        </w:rPr>
      </w:pPr>
      <w:r>
        <w:rPr>
          <w:rFonts w:hint="eastAsia"/>
          <w:szCs w:val="21"/>
        </w:rPr>
        <w:t>7．采购代理机构做开标记录， 投标人代表对开标记录进行当场校核及勘误，并签字确认；同时由记录人、监督人当场签字确认。投标人代表未到场签字确认或者拒绝签字确认的，不影响评标过程。</w:t>
      </w:r>
    </w:p>
    <w:p>
      <w:pPr>
        <w:spacing w:before="120" w:line="320" w:lineRule="atLeast"/>
        <w:ind w:firstLine="420" w:firstLineChars="200"/>
        <w:rPr>
          <w:szCs w:val="21"/>
        </w:rPr>
      </w:pPr>
      <w:r>
        <w:rPr>
          <w:rFonts w:hint="eastAsia"/>
          <w:szCs w:val="21"/>
        </w:rPr>
        <w:t>8．开标会议结束。</w:t>
      </w:r>
    </w:p>
    <w:p>
      <w:pPr>
        <w:spacing w:before="120" w:line="320" w:lineRule="atLeast"/>
        <w:ind w:left="2" w:leftChars="1" w:firstLine="560" w:firstLineChars="200"/>
        <w:outlineLvl w:val="1"/>
        <w:rPr>
          <w:rFonts w:eastAsia="黑体"/>
          <w:bCs/>
          <w:kern w:val="0"/>
          <w:sz w:val="28"/>
          <w:szCs w:val="28"/>
        </w:rPr>
      </w:pPr>
      <w:bookmarkStart w:id="103" w:name="_Toc254970686"/>
      <w:bookmarkStart w:id="104" w:name="_Toc254970545"/>
      <w:r>
        <w:rPr>
          <w:rFonts w:hint="eastAsia" w:eastAsia="黑体"/>
          <w:bCs/>
          <w:kern w:val="0"/>
          <w:sz w:val="28"/>
          <w:szCs w:val="28"/>
        </w:rPr>
        <w:t>五、评标</w:t>
      </w:r>
      <w:bookmarkEnd w:id="103"/>
      <w:bookmarkEnd w:id="104"/>
    </w:p>
    <w:p>
      <w:pPr>
        <w:spacing w:before="120" w:line="320" w:lineRule="atLeast"/>
        <w:ind w:firstLine="480" w:firstLineChars="200"/>
        <w:outlineLvl w:val="2"/>
        <w:rPr>
          <w:rFonts w:eastAsia="黑体"/>
          <w:bCs/>
          <w:kern w:val="0"/>
          <w:sz w:val="24"/>
        </w:rPr>
      </w:pPr>
      <w:r>
        <w:rPr>
          <w:rFonts w:hint="eastAsia" w:eastAsia="黑体"/>
          <w:bCs/>
          <w:kern w:val="0"/>
          <w:sz w:val="24"/>
        </w:rPr>
        <w:t>（一）组建评标委员会</w:t>
      </w:r>
    </w:p>
    <w:p>
      <w:pPr>
        <w:spacing w:before="120" w:line="320" w:lineRule="atLeast"/>
        <w:ind w:firstLine="420" w:firstLineChars="200"/>
        <w:rPr>
          <w:szCs w:val="21"/>
        </w:rPr>
      </w:pPr>
      <w:r>
        <w:rPr>
          <w:rFonts w:hint="eastAsia"/>
          <w:szCs w:val="21"/>
        </w:rPr>
        <w:t>评委构成：本招标采购项目的评委分别由依法组成的评审专家、采购单位代表共5人以上单数构成，其中专家人数不少于成员总数的三分之二。</w:t>
      </w:r>
    </w:p>
    <w:p>
      <w:pPr>
        <w:spacing w:before="120" w:line="320" w:lineRule="atLeast"/>
        <w:ind w:firstLine="480" w:firstLineChars="200"/>
        <w:outlineLvl w:val="2"/>
        <w:rPr>
          <w:rFonts w:eastAsia="黑体"/>
          <w:bCs/>
          <w:kern w:val="0"/>
          <w:sz w:val="24"/>
        </w:rPr>
      </w:pPr>
      <w:r>
        <w:rPr>
          <w:rFonts w:hint="eastAsia" w:eastAsia="黑体"/>
          <w:bCs/>
          <w:kern w:val="0"/>
          <w:sz w:val="24"/>
        </w:rPr>
        <w:t>（二）评标的方式</w:t>
      </w:r>
    </w:p>
    <w:p>
      <w:pPr>
        <w:spacing w:before="120" w:line="320" w:lineRule="atLeast"/>
        <w:ind w:firstLine="420" w:firstLineChars="200"/>
        <w:rPr>
          <w:szCs w:val="21"/>
        </w:rPr>
      </w:pPr>
      <w:r>
        <w:rPr>
          <w:rFonts w:hint="eastAsia"/>
          <w:szCs w:val="21"/>
        </w:rPr>
        <w:t>本项目采用不公开方式评标，评标的依据为招标文件和投标文件。</w:t>
      </w:r>
    </w:p>
    <w:p>
      <w:pPr>
        <w:spacing w:before="120" w:line="320" w:lineRule="atLeast"/>
        <w:ind w:firstLine="480" w:firstLineChars="200"/>
        <w:outlineLvl w:val="2"/>
        <w:rPr>
          <w:rFonts w:eastAsia="黑体"/>
          <w:bCs/>
          <w:kern w:val="0"/>
          <w:sz w:val="24"/>
        </w:rPr>
      </w:pPr>
      <w:r>
        <w:rPr>
          <w:rFonts w:hint="eastAsia" w:eastAsia="黑体"/>
          <w:bCs/>
          <w:kern w:val="0"/>
          <w:sz w:val="24"/>
        </w:rPr>
        <w:t>（三）评标程序</w:t>
      </w:r>
    </w:p>
    <w:p>
      <w:pPr>
        <w:spacing w:before="120" w:line="320" w:lineRule="atLeast"/>
        <w:ind w:firstLine="422" w:firstLineChars="200"/>
        <w:rPr>
          <w:b/>
          <w:szCs w:val="21"/>
        </w:rPr>
      </w:pPr>
      <w:r>
        <w:rPr>
          <w:rFonts w:hint="eastAsia"/>
          <w:b/>
          <w:szCs w:val="21"/>
        </w:rPr>
        <w:t>1．形式审查</w:t>
      </w:r>
    </w:p>
    <w:p>
      <w:pPr>
        <w:spacing w:before="120" w:line="320" w:lineRule="atLeast"/>
        <w:ind w:firstLine="420" w:firstLineChars="200"/>
        <w:rPr>
          <w:szCs w:val="21"/>
        </w:rPr>
      </w:pPr>
      <w:r>
        <w:rPr>
          <w:rFonts w:hint="eastAsia"/>
          <w:szCs w:val="21"/>
        </w:rPr>
        <w:t>采购人代表和采购代理机构工作人员协助评标委员会对投标人的资格和投标文件的完整性、合法性等进行审查。</w:t>
      </w:r>
    </w:p>
    <w:p>
      <w:pPr>
        <w:spacing w:before="120" w:line="320" w:lineRule="atLeast"/>
        <w:ind w:firstLine="422" w:firstLineChars="200"/>
        <w:rPr>
          <w:b/>
          <w:szCs w:val="21"/>
        </w:rPr>
      </w:pPr>
      <w:r>
        <w:rPr>
          <w:rFonts w:hint="eastAsia"/>
          <w:b/>
          <w:szCs w:val="21"/>
        </w:rPr>
        <w:t>2．实质审查与比较</w:t>
      </w:r>
    </w:p>
    <w:p>
      <w:pPr>
        <w:spacing w:before="120" w:line="320" w:lineRule="atLeast"/>
        <w:ind w:firstLine="420" w:firstLineChars="200"/>
        <w:rPr>
          <w:szCs w:val="21"/>
        </w:rPr>
      </w:pPr>
      <w:r>
        <w:rPr>
          <w:rFonts w:hint="eastAsia"/>
          <w:szCs w:val="21"/>
        </w:rPr>
        <w:t>（1）评标委员会审查投标文件的实质性内容是否符合招标文件的实质性要求。</w:t>
      </w:r>
    </w:p>
    <w:p>
      <w:pPr>
        <w:spacing w:before="120" w:line="320" w:lineRule="atLeast"/>
        <w:ind w:firstLine="420" w:firstLineChars="200"/>
        <w:rPr>
          <w:szCs w:val="21"/>
        </w:rPr>
      </w:pPr>
      <w:r>
        <w:rPr>
          <w:rFonts w:hint="eastAsia"/>
          <w:szCs w:val="21"/>
        </w:rPr>
        <w:t>（2）评标委员会将根据投标人的投标文件进行审查、核对，如有疑问，将对投标人进行询标，投标人要向评标委员会澄清有关问题，并最终以书面形式进行答复。</w:t>
      </w:r>
    </w:p>
    <w:p>
      <w:pPr>
        <w:spacing w:before="120" w:line="320" w:lineRule="atLeast"/>
        <w:ind w:firstLine="420" w:firstLineChars="200"/>
        <w:rPr>
          <w:szCs w:val="21"/>
        </w:rPr>
      </w:pPr>
      <w:r>
        <w:rPr>
          <w:rFonts w:hint="eastAsia"/>
          <w:szCs w:val="21"/>
        </w:rPr>
        <w:t>投标人代表未到场或者拒绝澄清或者澄清的内容改变了投标文件的实质性内容的，评标委员会有权视该投标文件无效。</w:t>
      </w:r>
    </w:p>
    <w:p>
      <w:pPr>
        <w:spacing w:before="120" w:line="320" w:lineRule="atLeast"/>
        <w:ind w:firstLine="420" w:firstLineChars="200"/>
        <w:rPr>
          <w:szCs w:val="21"/>
        </w:rPr>
      </w:pPr>
      <w:r>
        <w:rPr>
          <w:rFonts w:hint="eastAsia"/>
          <w:szCs w:val="21"/>
        </w:rPr>
        <w:t>（3）各投标人的技术得分为所有评委的有效评分的算术平均数，由指定专人进行计算复核。</w:t>
      </w:r>
    </w:p>
    <w:p>
      <w:pPr>
        <w:spacing w:before="120" w:line="320" w:lineRule="atLeast"/>
        <w:ind w:firstLine="420" w:firstLineChars="200"/>
        <w:rPr>
          <w:szCs w:val="21"/>
        </w:rPr>
      </w:pPr>
      <w:r>
        <w:rPr>
          <w:rFonts w:hint="eastAsia"/>
          <w:szCs w:val="21"/>
        </w:rPr>
        <w:t>（4）采购代理机构工作人员协助评标委员会根据本项目的评分标准计算各投标人的商务报价得分。</w:t>
      </w:r>
    </w:p>
    <w:p>
      <w:pPr>
        <w:spacing w:before="120" w:line="320" w:lineRule="atLeast"/>
        <w:ind w:firstLine="420" w:firstLineChars="200"/>
        <w:rPr>
          <w:szCs w:val="21"/>
        </w:rPr>
      </w:pPr>
      <w:r>
        <w:rPr>
          <w:rFonts w:hint="eastAsia"/>
          <w:szCs w:val="21"/>
        </w:rPr>
        <w:t>（5）评标委员会完成评标后，评委对各部分得分汇总，计算出本项目最终得分、性价比、评标价等。评标委员会按评标原则推荐中标候选人同时起草评标报告。</w:t>
      </w:r>
    </w:p>
    <w:p>
      <w:pPr>
        <w:spacing w:before="120" w:line="320" w:lineRule="atLeast"/>
        <w:ind w:firstLine="480" w:firstLineChars="200"/>
        <w:outlineLvl w:val="2"/>
        <w:rPr>
          <w:rFonts w:eastAsia="黑体"/>
          <w:bCs/>
          <w:kern w:val="0"/>
          <w:sz w:val="24"/>
        </w:rPr>
      </w:pPr>
      <w:r>
        <w:rPr>
          <w:rFonts w:hint="eastAsia" w:eastAsia="黑体"/>
          <w:bCs/>
          <w:kern w:val="0"/>
          <w:sz w:val="24"/>
        </w:rPr>
        <w:t>（四）澄清问题的形式</w:t>
      </w:r>
    </w:p>
    <w:p>
      <w:pPr>
        <w:spacing w:before="120" w:line="320" w:lineRule="atLeast"/>
        <w:ind w:firstLine="420" w:firstLineChars="200"/>
        <w:rPr>
          <w:szCs w:val="21"/>
        </w:rPr>
      </w:pPr>
      <w:r>
        <w:rPr>
          <w:rFonts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疫情期间，澄清相关程序及要求按广西壮族自治区公共交易中心有关要求执行。</w:t>
      </w:r>
    </w:p>
    <w:p>
      <w:pPr>
        <w:spacing w:before="120" w:line="320" w:lineRule="atLeast"/>
        <w:ind w:firstLine="480" w:firstLineChars="200"/>
        <w:outlineLvl w:val="2"/>
        <w:rPr>
          <w:rFonts w:eastAsia="黑体"/>
          <w:bCs/>
          <w:kern w:val="0"/>
          <w:sz w:val="24"/>
        </w:rPr>
      </w:pPr>
      <w:r>
        <w:rPr>
          <w:rFonts w:hint="eastAsia" w:eastAsia="黑体"/>
          <w:bCs/>
          <w:kern w:val="0"/>
          <w:sz w:val="24"/>
        </w:rPr>
        <w:t>（五）错误修正</w:t>
      </w:r>
    </w:p>
    <w:p>
      <w:pPr>
        <w:spacing w:before="120" w:line="320" w:lineRule="atLeast"/>
        <w:ind w:firstLine="420" w:firstLineChars="200"/>
        <w:rPr>
          <w:szCs w:val="21"/>
        </w:rPr>
      </w:pPr>
      <w:r>
        <w:rPr>
          <w:rFonts w:hint="eastAsia"/>
          <w:szCs w:val="21"/>
        </w:rPr>
        <w:t>投标文件如果出现计算或表达上的错误，修正错误的原则如下：</w:t>
      </w:r>
    </w:p>
    <w:p>
      <w:pPr>
        <w:spacing w:before="120" w:line="320" w:lineRule="atLeast"/>
        <w:ind w:firstLine="420" w:firstLineChars="200"/>
        <w:rPr>
          <w:szCs w:val="21"/>
        </w:rPr>
      </w:pPr>
      <w:r>
        <w:rPr>
          <w:rFonts w:hint="eastAsia"/>
          <w:szCs w:val="21"/>
        </w:rPr>
        <w:t>1．开标一览表总价与投标报价明细表汇总数不一致的，以开标一览表为准；</w:t>
      </w:r>
    </w:p>
    <w:p>
      <w:pPr>
        <w:spacing w:before="120" w:line="320" w:lineRule="atLeast"/>
        <w:ind w:firstLine="420" w:firstLineChars="200"/>
        <w:rPr>
          <w:szCs w:val="21"/>
        </w:rPr>
      </w:pPr>
      <w:r>
        <w:rPr>
          <w:rFonts w:hint="eastAsia"/>
          <w:szCs w:val="21"/>
        </w:rPr>
        <w:t>2．投标文件的大写金额和小写金额不一致的，以大写金额为准；</w:t>
      </w:r>
    </w:p>
    <w:p>
      <w:pPr>
        <w:spacing w:before="120" w:line="320" w:lineRule="atLeast"/>
        <w:ind w:firstLine="420" w:firstLineChars="200"/>
        <w:rPr>
          <w:szCs w:val="21"/>
        </w:rPr>
      </w:pPr>
      <w:r>
        <w:rPr>
          <w:rFonts w:hint="eastAsia"/>
          <w:szCs w:val="21"/>
        </w:rPr>
        <w:t>3．总价金额与按单价汇总金额不一致的，以单价金额计算结果为准；</w:t>
      </w:r>
    </w:p>
    <w:p>
      <w:pPr>
        <w:spacing w:before="120" w:line="320" w:lineRule="atLeast"/>
        <w:ind w:firstLine="420" w:firstLineChars="200"/>
        <w:rPr>
          <w:szCs w:val="21"/>
        </w:rPr>
      </w:pPr>
      <w:r>
        <w:rPr>
          <w:rFonts w:hint="eastAsia"/>
          <w:szCs w:val="21"/>
        </w:rPr>
        <w:t>4．对不同文字文本投标文件的解释发生异议的，以中文文本为准。</w:t>
      </w:r>
    </w:p>
    <w:p>
      <w:pPr>
        <w:spacing w:before="120" w:line="320" w:lineRule="atLeast"/>
        <w:ind w:firstLine="422" w:firstLineChars="200"/>
        <w:rPr>
          <w:b/>
          <w:szCs w:val="21"/>
        </w:rPr>
      </w:pPr>
      <w:r>
        <w:rPr>
          <w:rFonts w:hint="eastAsia"/>
          <w:b/>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before="120" w:line="320" w:lineRule="atLeast"/>
        <w:ind w:firstLine="480" w:firstLineChars="200"/>
        <w:outlineLvl w:val="2"/>
        <w:rPr>
          <w:rFonts w:eastAsia="黑体"/>
          <w:bCs/>
          <w:kern w:val="0"/>
          <w:sz w:val="24"/>
        </w:rPr>
      </w:pPr>
      <w:r>
        <w:rPr>
          <w:rFonts w:hint="eastAsia" w:eastAsia="黑体"/>
          <w:bCs/>
          <w:kern w:val="0"/>
          <w:sz w:val="24"/>
        </w:rPr>
        <w:t>（六）评标原则和评标办法</w:t>
      </w:r>
    </w:p>
    <w:p>
      <w:pPr>
        <w:spacing w:before="120" w:line="320" w:lineRule="atLeast"/>
        <w:ind w:firstLine="420" w:firstLineChars="200"/>
        <w:rPr>
          <w:szCs w:val="21"/>
        </w:rPr>
      </w:pPr>
      <w:r>
        <w:rPr>
          <w:rFonts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120" w:line="360" w:lineRule="atLeast"/>
        <w:ind w:firstLine="420" w:firstLineChars="200"/>
        <w:rPr>
          <w:szCs w:val="21"/>
        </w:rPr>
      </w:pPr>
      <w:r>
        <w:rPr>
          <w:rFonts w:hint="eastAsia"/>
          <w:szCs w:val="21"/>
        </w:rPr>
        <w:t>2．评标办法。本项目评标办法是</w:t>
      </w:r>
      <w:r>
        <w:rPr>
          <w:rFonts w:hint="eastAsia" w:ascii="黑体" w:hAnsi="黑体" w:eastAsia="黑体"/>
          <w:szCs w:val="21"/>
        </w:rPr>
        <w:t>综合评分法</w:t>
      </w:r>
      <w:r>
        <w:rPr>
          <w:rFonts w:hint="eastAsia"/>
          <w:szCs w:val="21"/>
        </w:rPr>
        <w:t>，具体评标内容及评分标准等详见《第四章：评标办法及评分标准》。</w:t>
      </w:r>
    </w:p>
    <w:p>
      <w:pPr>
        <w:spacing w:before="120" w:line="360" w:lineRule="atLeast"/>
        <w:ind w:firstLine="480" w:firstLineChars="200"/>
        <w:outlineLvl w:val="2"/>
        <w:rPr>
          <w:rFonts w:eastAsia="黑体"/>
          <w:bCs/>
          <w:kern w:val="0"/>
          <w:sz w:val="24"/>
        </w:rPr>
      </w:pPr>
      <w:r>
        <w:rPr>
          <w:rFonts w:hint="eastAsia" w:eastAsia="黑体"/>
          <w:bCs/>
          <w:kern w:val="0"/>
          <w:sz w:val="24"/>
        </w:rPr>
        <w:t>（七）评标过程的监控</w:t>
      </w:r>
    </w:p>
    <w:p>
      <w:pPr>
        <w:spacing w:before="120" w:line="360" w:lineRule="atLeast"/>
        <w:ind w:firstLine="420" w:firstLineChars="200"/>
        <w:rPr>
          <w:szCs w:val="21"/>
        </w:rPr>
      </w:pPr>
      <w:r>
        <w:rPr>
          <w:rFonts w:hint="eastAsia"/>
          <w:szCs w:val="21"/>
        </w:rPr>
        <w:t>本项目评标过程实行全程录音、录像监控，投标人在评标过程中所进行的试图影响评标结果的不公正活动，可能导致其投标被拒绝。</w:t>
      </w:r>
    </w:p>
    <w:p>
      <w:pPr>
        <w:spacing w:before="120" w:line="360" w:lineRule="atLeast"/>
        <w:ind w:left="2" w:leftChars="1" w:firstLine="560" w:firstLineChars="200"/>
        <w:outlineLvl w:val="1"/>
        <w:rPr>
          <w:rFonts w:eastAsia="黑体"/>
          <w:bCs/>
          <w:kern w:val="0"/>
          <w:sz w:val="28"/>
          <w:szCs w:val="28"/>
        </w:rPr>
      </w:pPr>
      <w:bookmarkStart w:id="105" w:name="_Toc254970546"/>
      <w:bookmarkStart w:id="106" w:name="_Toc254970687"/>
      <w:r>
        <w:rPr>
          <w:rFonts w:hint="eastAsia" w:eastAsia="黑体"/>
          <w:bCs/>
          <w:kern w:val="0"/>
          <w:sz w:val="28"/>
          <w:szCs w:val="28"/>
        </w:rPr>
        <w:t>六、评标结果</w:t>
      </w:r>
      <w:bookmarkEnd w:id="105"/>
      <w:bookmarkEnd w:id="106"/>
    </w:p>
    <w:p>
      <w:pPr>
        <w:spacing w:before="120" w:line="360" w:lineRule="atLeast"/>
        <w:ind w:firstLine="420" w:firstLineChars="200"/>
        <w:rPr>
          <w:szCs w:val="21"/>
        </w:rPr>
      </w:pPr>
      <w:r>
        <w:rPr>
          <w:rFonts w:hint="eastAsia"/>
          <w:szCs w:val="21"/>
        </w:rPr>
        <w:t>（一）采购代理机构在评标结束后二个工作日内将评标报告送采购人，采购人在五个工作日内按照评标报告中推荐的中标候选供应商顺序确定中标供应商。采购人也可以事先授权评标委员会直接确定中标供应商。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pacing w:before="120" w:line="360" w:lineRule="atLeast"/>
        <w:ind w:firstLine="420" w:firstLineChars="200"/>
        <w:rPr>
          <w:szCs w:val="21"/>
        </w:rPr>
      </w:pPr>
      <w:r>
        <w:rPr>
          <w:rFonts w:hint="eastAsia"/>
          <w:szCs w:val="21"/>
        </w:rPr>
        <w:t>（二）中标供应商确定后，采购代理机构在中国政府采购网、广西政府采购网发布中标公告。</w:t>
      </w:r>
    </w:p>
    <w:p>
      <w:pPr>
        <w:spacing w:before="120" w:line="360" w:lineRule="atLeast"/>
        <w:ind w:firstLine="420" w:firstLineChars="200"/>
        <w:rPr>
          <w:szCs w:val="21"/>
        </w:rPr>
      </w:pPr>
      <w:r>
        <w:rPr>
          <w:rFonts w:hint="eastAsia"/>
          <w:szCs w:val="21"/>
        </w:rPr>
        <w:t>（三）在发布中标公告的同时，采购代理机构向中标供应商发出中标通知书。</w:t>
      </w:r>
    </w:p>
    <w:p>
      <w:pPr>
        <w:spacing w:before="120" w:line="360" w:lineRule="atLeast"/>
        <w:ind w:firstLine="420" w:firstLineChars="200"/>
        <w:rPr>
          <w:szCs w:val="21"/>
        </w:rPr>
      </w:pPr>
      <w:r>
        <w:rPr>
          <w:rFonts w:hint="eastAsia"/>
          <w:szCs w:val="21"/>
        </w:rPr>
        <w:t>（四）投标人认为中标结果使自己的权益受到损害的，可以在知道或者应知其权益受到损害之日起七个工作日内，以书面形式向采购代理机构提出质疑，并及时索要书面回执。</w:t>
      </w:r>
    </w:p>
    <w:p>
      <w:pPr>
        <w:spacing w:before="120" w:line="360" w:lineRule="atLeast"/>
        <w:ind w:firstLine="420" w:firstLineChars="200"/>
        <w:rPr>
          <w:szCs w:val="21"/>
        </w:rPr>
      </w:pPr>
      <w:r>
        <w:rPr>
          <w:rFonts w:hint="eastAsia"/>
          <w:szCs w:val="21"/>
        </w:rPr>
        <w:t>（五）采购代理机构应当按照有关规定就采购人委托授权范围内的事项在收到投标人的书面质疑后七个工作日内做出答复，但答复的内容不得涉及商业秘密。</w:t>
      </w:r>
    </w:p>
    <w:p>
      <w:pPr>
        <w:spacing w:before="120" w:line="360" w:lineRule="atLeast"/>
        <w:ind w:left="2" w:leftChars="1" w:firstLine="560" w:firstLineChars="200"/>
        <w:outlineLvl w:val="1"/>
        <w:rPr>
          <w:rFonts w:eastAsia="黑体"/>
          <w:bCs/>
          <w:kern w:val="0"/>
          <w:sz w:val="28"/>
          <w:szCs w:val="28"/>
        </w:rPr>
      </w:pPr>
      <w:r>
        <w:rPr>
          <w:rFonts w:hint="eastAsia" w:eastAsia="黑体"/>
          <w:bCs/>
          <w:kern w:val="0"/>
          <w:sz w:val="28"/>
          <w:szCs w:val="28"/>
        </w:rPr>
        <w:t>七、签订合同</w:t>
      </w:r>
    </w:p>
    <w:p>
      <w:pPr>
        <w:spacing w:before="120" w:line="360" w:lineRule="atLeast"/>
        <w:ind w:firstLine="480" w:firstLineChars="200"/>
        <w:outlineLvl w:val="2"/>
        <w:rPr>
          <w:rFonts w:eastAsia="黑体"/>
          <w:bCs/>
          <w:kern w:val="0"/>
          <w:sz w:val="24"/>
        </w:rPr>
      </w:pPr>
      <w:r>
        <w:rPr>
          <w:rFonts w:hint="eastAsia" w:eastAsia="黑体"/>
          <w:bCs/>
          <w:kern w:val="0"/>
          <w:sz w:val="24"/>
        </w:rPr>
        <w:t>（一）合同授予标准</w:t>
      </w:r>
    </w:p>
    <w:p>
      <w:pPr>
        <w:spacing w:before="120" w:line="360" w:lineRule="atLeast"/>
        <w:ind w:firstLine="420" w:firstLineChars="200"/>
        <w:rPr>
          <w:szCs w:val="21"/>
        </w:rPr>
      </w:pPr>
      <w:r>
        <w:rPr>
          <w:rFonts w:hint="eastAsia"/>
          <w:szCs w:val="21"/>
        </w:rPr>
        <w:t>合同将授予被确定实质上响应招标文件要求，具备履行合同能力，综合评分排名第一的投标人。</w:t>
      </w:r>
    </w:p>
    <w:p>
      <w:pPr>
        <w:spacing w:before="120" w:line="360" w:lineRule="atLeast"/>
        <w:ind w:firstLine="480" w:firstLineChars="200"/>
        <w:outlineLvl w:val="2"/>
        <w:rPr>
          <w:rFonts w:eastAsia="黑体"/>
          <w:bCs/>
          <w:kern w:val="0"/>
          <w:sz w:val="24"/>
        </w:rPr>
      </w:pPr>
      <w:r>
        <w:rPr>
          <w:rFonts w:hint="eastAsia" w:eastAsia="黑体"/>
          <w:bCs/>
          <w:kern w:val="0"/>
          <w:sz w:val="24"/>
        </w:rPr>
        <w:t>（二）签订合同</w:t>
      </w:r>
    </w:p>
    <w:p>
      <w:pPr>
        <w:spacing w:before="120" w:line="360" w:lineRule="atLeast"/>
        <w:ind w:firstLine="420" w:firstLineChars="200"/>
        <w:rPr>
          <w:szCs w:val="21"/>
        </w:rPr>
      </w:pPr>
      <w:r>
        <w:rPr>
          <w:rFonts w:hint="eastAsia"/>
          <w:szCs w:val="21"/>
        </w:rPr>
        <w:t>（1）投标人接到中标通知书后，应按中标通知书规定的时间、地点与采购人签订合同。</w:t>
      </w:r>
    </w:p>
    <w:p>
      <w:pPr>
        <w:spacing w:before="120" w:line="360" w:lineRule="atLeast"/>
        <w:ind w:firstLine="420" w:firstLineChars="200"/>
        <w:rPr>
          <w:szCs w:val="21"/>
        </w:rPr>
      </w:pPr>
      <w:r>
        <w:rPr>
          <w:rFonts w:hint="eastAsia"/>
          <w:szCs w:val="21"/>
        </w:rPr>
        <w:t>（2）如中标供应商不按中标通知书的规定签订合同，则按中标供应商违约处理，采购代理机构将没收中标供应商投标的全部投标保证金并上缴同级财政国库。</w:t>
      </w:r>
    </w:p>
    <w:p>
      <w:pPr>
        <w:spacing w:before="120" w:line="360" w:lineRule="atLeast"/>
        <w:ind w:firstLine="420" w:firstLineChars="200"/>
        <w:rPr>
          <w:szCs w:val="21"/>
        </w:rPr>
      </w:pPr>
      <w:r>
        <w:rPr>
          <w:rFonts w:hint="eastAsia"/>
          <w:szCs w:val="21"/>
        </w:rPr>
        <w:t>（3）中标供应商因不可抗力或者自身原因不能履行采购合同的，采购人可以与中标供应商之后排名第一的中标候选供应商签订采购合同，以此类推。</w:t>
      </w:r>
    </w:p>
    <w:p>
      <w:pPr>
        <w:spacing w:before="120" w:line="360" w:lineRule="atLeast"/>
        <w:ind w:left="2" w:leftChars="1" w:firstLine="560" w:firstLineChars="200"/>
        <w:outlineLvl w:val="1"/>
        <w:rPr>
          <w:rFonts w:eastAsia="黑体"/>
          <w:bCs/>
          <w:kern w:val="0"/>
          <w:sz w:val="28"/>
          <w:szCs w:val="28"/>
        </w:rPr>
      </w:pPr>
      <w:r>
        <w:rPr>
          <w:rFonts w:hint="eastAsia" w:eastAsia="黑体"/>
          <w:bCs/>
          <w:kern w:val="0"/>
          <w:sz w:val="28"/>
          <w:szCs w:val="28"/>
        </w:rPr>
        <w:t>八、其他事项</w:t>
      </w:r>
    </w:p>
    <w:p>
      <w:pPr>
        <w:spacing w:before="120" w:line="360" w:lineRule="atLeast"/>
        <w:ind w:firstLine="420" w:firstLineChars="200"/>
        <w:rPr>
          <w:szCs w:val="21"/>
        </w:rPr>
      </w:pPr>
      <w:r>
        <w:rPr>
          <w:rFonts w:hint="eastAsia"/>
          <w:szCs w:val="21"/>
        </w:rPr>
        <w:t>（1）中标服务收费按国家发展计划委员会计价格[2002]1980号《招标代理服务费管理暂行办法》收费标准的规定向中标人收取。签订合同前，中标人应向采购代理机构一次付清中标服务费。</w:t>
      </w:r>
    </w:p>
    <w:p>
      <w:pPr>
        <w:spacing w:before="120" w:line="360" w:lineRule="atLeast"/>
        <w:ind w:firstLine="420" w:firstLineChars="200"/>
        <w:rPr>
          <w:ins w:id="0" w:author="Administrator" w:date="2019-09-25T13:11:00Z"/>
          <w:szCs w:val="21"/>
        </w:rPr>
      </w:pPr>
    </w:p>
    <w:p>
      <w:pPr>
        <w:spacing w:before="120" w:line="360" w:lineRule="atLeast"/>
        <w:ind w:firstLine="420" w:firstLineChars="200"/>
        <w:rPr>
          <w:szCs w:val="21"/>
        </w:rPr>
      </w:pPr>
      <w:r>
        <w:rPr>
          <w:rFonts w:hint="eastAsia"/>
          <w:szCs w:val="21"/>
        </w:rPr>
        <w:t>（2）代理服务收费标准：</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ind w:firstLine="840" w:firstLineChars="400"/>
              <w:jc w:val="left"/>
              <w:rPr>
                <w:szCs w:val="21"/>
              </w:rPr>
            </w:pPr>
            <w:r>
              <w:rPr>
                <w:szCs w:val="21"/>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600200" cy="792480"/>
                      <wp:effectExtent l="1270" t="3810" r="17780" b="22860"/>
                      <wp:wrapNone/>
                      <wp:docPr id="3" name="组合 3"/>
                      <wp:cNvGraphicFramePr/>
                      <a:graphic xmlns:a="http://schemas.openxmlformats.org/drawingml/2006/main">
                        <a:graphicData uri="http://schemas.microsoft.com/office/word/2010/wordprocessingGroup">
                          <wpg:wgp>
                            <wpg:cNvGrpSpPr/>
                            <wpg:grpSpPr>
                              <a:xfrm>
                                <a:off x="0" y="0"/>
                                <a:ext cx="1600200" cy="792480"/>
                                <a:chOff x="0" y="0"/>
                                <a:chExt cx="2340" cy="1095"/>
                              </a:xfrm>
                            </wpg:grpSpPr>
                            <wps:wsp>
                              <wps:cNvPr id="1" name="直接连接符 1"/>
                              <wps:cNvCnPr/>
                              <wps:spPr>
                                <a:xfrm>
                                  <a:off x="0" y="468"/>
                                  <a:ext cx="2340" cy="627"/>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a:off x="540" y="0"/>
                                  <a:ext cx="1800" cy="1039"/>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9pt;margin-top:0.1pt;height:62.4pt;width:126pt;z-index:251658240;mso-width-relative:page;mso-height-relative:page;" coordsize="2340,1095" o:gfxdata="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BrWc1wAAAAgBAAAPAAAAAAAAAAEAIAAAACIAAABkcnMvZG93bnJldi54bWxQ&#10;SwECFAAUAAAACACHTuJAiBVBhmoCAACxBgAADgAAAAAAAAABACAAAAAmAQAAZHJzL2Uyb0RvYy54&#10;bWxQSwUGAAAAAAYABgBZAQAAAgYAAAAA&#10;">
                      <o:lock v:ext="edit" aspectratio="f"/>
                      <v:line id="_x0000_s1026" o:spid="_x0000_s1026" o:spt="20" style="position:absolute;left:0;top:468;height:627;width:234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40;top:0;height:1039;width:180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szCs w:val="21"/>
              </w:rPr>
              <w:t>服务类型</w:t>
            </w:r>
            <w:r>
              <w:rPr>
                <w:szCs w:val="21"/>
              </w:rPr>
              <w:t> </w:t>
            </w:r>
          </w:p>
          <w:p>
            <w:pPr>
              <w:spacing w:line="360" w:lineRule="auto"/>
              <w:ind w:firstLine="630" w:firstLineChars="300"/>
              <w:rPr>
                <w:szCs w:val="21"/>
              </w:rPr>
            </w:pPr>
            <w:r>
              <w:rPr>
                <w:rFonts w:hint="eastAsia"/>
                <w:szCs w:val="21"/>
              </w:rPr>
              <w:t>费率</w:t>
            </w:r>
          </w:p>
          <w:p>
            <w:pPr>
              <w:spacing w:line="360" w:lineRule="auto"/>
              <w:rPr>
                <w:szCs w:val="21"/>
              </w:rPr>
            </w:pPr>
            <w:r>
              <w:rPr>
                <w:rFonts w:hint="eastAsia"/>
                <w:szCs w:val="21"/>
              </w:rPr>
              <w:t>中标金额（万元）</w:t>
            </w:r>
          </w:p>
        </w:tc>
        <w:tc>
          <w:tcPr>
            <w:tcW w:w="2520" w:type="dxa"/>
            <w:vAlign w:val="center"/>
          </w:tcPr>
          <w:p>
            <w:pPr>
              <w:spacing w:line="360" w:lineRule="auto"/>
              <w:jc w:val="center"/>
              <w:rPr>
                <w:szCs w:val="21"/>
              </w:rPr>
            </w:pPr>
            <w:r>
              <w:rPr>
                <w:szCs w:val="21"/>
              </w:rPr>
              <w:t> </w:t>
            </w:r>
          </w:p>
          <w:p>
            <w:pPr>
              <w:spacing w:line="360" w:lineRule="auto"/>
              <w:jc w:val="center"/>
              <w:rPr>
                <w:szCs w:val="21"/>
              </w:rPr>
            </w:pPr>
            <w:r>
              <w:rPr>
                <w:rFonts w:hint="eastAsia"/>
                <w:szCs w:val="21"/>
              </w:rPr>
              <w:t>货物招标</w:t>
            </w:r>
          </w:p>
          <w:p>
            <w:pPr>
              <w:spacing w:line="360" w:lineRule="auto"/>
              <w:jc w:val="center"/>
              <w:rPr>
                <w:szCs w:val="21"/>
              </w:rPr>
            </w:pPr>
          </w:p>
        </w:tc>
        <w:tc>
          <w:tcPr>
            <w:tcW w:w="1980" w:type="dxa"/>
            <w:vAlign w:val="center"/>
          </w:tcPr>
          <w:p>
            <w:pPr>
              <w:spacing w:line="360" w:lineRule="auto"/>
              <w:jc w:val="center"/>
              <w:rPr>
                <w:szCs w:val="21"/>
              </w:rPr>
            </w:pPr>
            <w:r>
              <w:rPr>
                <w:rFonts w:hint="eastAsia"/>
                <w:szCs w:val="21"/>
              </w:rPr>
              <w:t>服务招标</w:t>
            </w:r>
          </w:p>
        </w:tc>
        <w:tc>
          <w:tcPr>
            <w:tcW w:w="1574" w:type="dxa"/>
            <w:vAlign w:val="center"/>
          </w:tcPr>
          <w:p>
            <w:pPr>
              <w:spacing w:line="360" w:lineRule="auto"/>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w:t>
            </w:r>
            <w:r>
              <w:rPr>
                <w:rFonts w:hint="eastAsia"/>
                <w:szCs w:val="21"/>
              </w:rPr>
              <w:t>以下</w:t>
            </w:r>
          </w:p>
        </w:tc>
        <w:tc>
          <w:tcPr>
            <w:tcW w:w="2520" w:type="dxa"/>
            <w:vAlign w:val="center"/>
          </w:tcPr>
          <w:p>
            <w:pPr>
              <w:spacing w:line="360" w:lineRule="auto"/>
              <w:jc w:val="center"/>
              <w:rPr>
                <w:szCs w:val="21"/>
              </w:rPr>
            </w:pPr>
            <w:r>
              <w:rPr>
                <w:szCs w:val="21"/>
              </w:rPr>
              <w:t>1.5%</w:t>
            </w:r>
          </w:p>
        </w:tc>
        <w:tc>
          <w:tcPr>
            <w:tcW w:w="1980" w:type="dxa"/>
            <w:vAlign w:val="center"/>
          </w:tcPr>
          <w:p>
            <w:pPr>
              <w:spacing w:line="360" w:lineRule="auto"/>
              <w:jc w:val="center"/>
              <w:rPr>
                <w:szCs w:val="21"/>
              </w:rPr>
            </w:pPr>
            <w:r>
              <w:rPr>
                <w:szCs w:val="21"/>
              </w:rPr>
              <w:t>1.5%</w:t>
            </w:r>
          </w:p>
        </w:tc>
        <w:tc>
          <w:tcPr>
            <w:tcW w:w="1574" w:type="dxa"/>
            <w:vAlign w:val="center"/>
          </w:tcPr>
          <w:p>
            <w:pPr>
              <w:spacing w:line="360"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100-500</w:t>
            </w:r>
          </w:p>
        </w:tc>
        <w:tc>
          <w:tcPr>
            <w:tcW w:w="2520" w:type="dxa"/>
            <w:vAlign w:val="center"/>
          </w:tcPr>
          <w:p>
            <w:pPr>
              <w:spacing w:line="360" w:lineRule="auto"/>
              <w:jc w:val="center"/>
              <w:rPr>
                <w:szCs w:val="21"/>
              </w:rPr>
            </w:pPr>
            <w:r>
              <w:rPr>
                <w:szCs w:val="21"/>
              </w:rPr>
              <w:t>1.1%</w:t>
            </w:r>
          </w:p>
        </w:tc>
        <w:tc>
          <w:tcPr>
            <w:tcW w:w="1980" w:type="dxa"/>
            <w:vAlign w:val="center"/>
          </w:tcPr>
          <w:p>
            <w:pPr>
              <w:spacing w:line="360" w:lineRule="auto"/>
              <w:jc w:val="center"/>
              <w:rPr>
                <w:szCs w:val="21"/>
              </w:rPr>
            </w:pPr>
            <w:r>
              <w:rPr>
                <w:szCs w:val="21"/>
              </w:rPr>
              <w:t>0.8%</w:t>
            </w:r>
          </w:p>
        </w:tc>
        <w:tc>
          <w:tcPr>
            <w:tcW w:w="1574" w:type="dxa"/>
            <w:vAlign w:val="center"/>
          </w:tcPr>
          <w:p>
            <w:pPr>
              <w:spacing w:line="360" w:lineRule="auto"/>
              <w:jc w:val="center"/>
              <w:rPr>
                <w:szCs w:val="21"/>
              </w:rPr>
            </w:pPr>
            <w:r>
              <w:rPr>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500-1000</w:t>
            </w:r>
          </w:p>
        </w:tc>
        <w:tc>
          <w:tcPr>
            <w:tcW w:w="2520" w:type="dxa"/>
            <w:vAlign w:val="center"/>
          </w:tcPr>
          <w:p>
            <w:pPr>
              <w:spacing w:line="360" w:lineRule="auto"/>
              <w:jc w:val="center"/>
              <w:rPr>
                <w:szCs w:val="21"/>
              </w:rPr>
            </w:pPr>
            <w:r>
              <w:rPr>
                <w:szCs w:val="21"/>
              </w:rPr>
              <w:t>0.8%</w:t>
            </w:r>
          </w:p>
        </w:tc>
        <w:tc>
          <w:tcPr>
            <w:tcW w:w="1980" w:type="dxa"/>
            <w:vAlign w:val="center"/>
          </w:tcPr>
          <w:p>
            <w:pPr>
              <w:spacing w:line="360" w:lineRule="auto"/>
              <w:jc w:val="center"/>
              <w:rPr>
                <w:szCs w:val="21"/>
              </w:rPr>
            </w:pPr>
            <w:r>
              <w:rPr>
                <w:szCs w:val="21"/>
              </w:rPr>
              <w:t>0.45%</w:t>
            </w:r>
          </w:p>
        </w:tc>
        <w:tc>
          <w:tcPr>
            <w:tcW w:w="1574" w:type="dxa"/>
            <w:vAlign w:val="center"/>
          </w:tcPr>
          <w:p>
            <w:pPr>
              <w:spacing w:line="360" w:lineRule="auto"/>
              <w:jc w:val="center"/>
              <w:rPr>
                <w:szCs w:val="21"/>
              </w:rPr>
            </w:pPr>
            <w:r>
              <w:rPr>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1000-5000</w:t>
            </w:r>
          </w:p>
        </w:tc>
        <w:tc>
          <w:tcPr>
            <w:tcW w:w="2520" w:type="dxa"/>
            <w:vAlign w:val="center"/>
          </w:tcPr>
          <w:p>
            <w:pPr>
              <w:spacing w:line="360" w:lineRule="auto"/>
              <w:jc w:val="center"/>
              <w:rPr>
                <w:szCs w:val="21"/>
              </w:rPr>
            </w:pPr>
            <w:r>
              <w:rPr>
                <w:szCs w:val="21"/>
              </w:rPr>
              <w:t>0.5%</w:t>
            </w:r>
          </w:p>
        </w:tc>
        <w:tc>
          <w:tcPr>
            <w:tcW w:w="1980" w:type="dxa"/>
            <w:vAlign w:val="center"/>
          </w:tcPr>
          <w:p>
            <w:pPr>
              <w:spacing w:line="360" w:lineRule="auto"/>
              <w:jc w:val="center"/>
              <w:rPr>
                <w:szCs w:val="21"/>
              </w:rPr>
            </w:pPr>
            <w:r>
              <w:rPr>
                <w:szCs w:val="21"/>
              </w:rPr>
              <w:t>0.25%</w:t>
            </w:r>
          </w:p>
        </w:tc>
        <w:tc>
          <w:tcPr>
            <w:tcW w:w="1574" w:type="dxa"/>
            <w:vAlign w:val="center"/>
          </w:tcPr>
          <w:p>
            <w:pPr>
              <w:spacing w:line="360" w:lineRule="auto"/>
              <w:jc w:val="center"/>
              <w:rPr>
                <w:szCs w:val="21"/>
              </w:rPr>
            </w:pPr>
            <w:r>
              <w:rPr>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5000-10000</w:t>
            </w:r>
          </w:p>
        </w:tc>
        <w:tc>
          <w:tcPr>
            <w:tcW w:w="2520" w:type="dxa"/>
            <w:vAlign w:val="center"/>
          </w:tcPr>
          <w:p>
            <w:pPr>
              <w:spacing w:line="360" w:lineRule="auto"/>
              <w:jc w:val="center"/>
              <w:rPr>
                <w:szCs w:val="21"/>
              </w:rPr>
            </w:pPr>
            <w:r>
              <w:rPr>
                <w:szCs w:val="21"/>
              </w:rPr>
              <w:t>0.25%</w:t>
            </w:r>
          </w:p>
        </w:tc>
        <w:tc>
          <w:tcPr>
            <w:tcW w:w="1980" w:type="dxa"/>
            <w:vAlign w:val="center"/>
          </w:tcPr>
          <w:p>
            <w:pPr>
              <w:spacing w:line="360" w:lineRule="auto"/>
              <w:jc w:val="center"/>
              <w:rPr>
                <w:szCs w:val="21"/>
              </w:rPr>
            </w:pPr>
            <w:r>
              <w:rPr>
                <w:szCs w:val="21"/>
              </w:rPr>
              <w:t>0.1%</w:t>
            </w:r>
          </w:p>
        </w:tc>
        <w:tc>
          <w:tcPr>
            <w:tcW w:w="1574" w:type="dxa"/>
            <w:vAlign w:val="center"/>
          </w:tcPr>
          <w:p>
            <w:pPr>
              <w:spacing w:line="360" w:lineRule="auto"/>
              <w:jc w:val="cente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10000-100000</w:t>
            </w:r>
          </w:p>
        </w:tc>
        <w:tc>
          <w:tcPr>
            <w:tcW w:w="2520" w:type="dxa"/>
            <w:vAlign w:val="center"/>
          </w:tcPr>
          <w:p>
            <w:pPr>
              <w:spacing w:line="360" w:lineRule="auto"/>
              <w:jc w:val="center"/>
              <w:rPr>
                <w:szCs w:val="21"/>
              </w:rPr>
            </w:pPr>
            <w:r>
              <w:rPr>
                <w:szCs w:val="21"/>
              </w:rPr>
              <w:t>0.05%</w:t>
            </w:r>
          </w:p>
        </w:tc>
        <w:tc>
          <w:tcPr>
            <w:tcW w:w="1980" w:type="dxa"/>
            <w:vAlign w:val="center"/>
          </w:tcPr>
          <w:p>
            <w:pPr>
              <w:spacing w:line="360" w:lineRule="auto"/>
              <w:jc w:val="center"/>
              <w:rPr>
                <w:szCs w:val="21"/>
              </w:rPr>
            </w:pPr>
            <w:r>
              <w:rPr>
                <w:szCs w:val="21"/>
              </w:rPr>
              <w:t>0.05%</w:t>
            </w:r>
          </w:p>
        </w:tc>
        <w:tc>
          <w:tcPr>
            <w:tcW w:w="1574" w:type="dxa"/>
            <w:vAlign w:val="center"/>
          </w:tcPr>
          <w:p>
            <w:pPr>
              <w:spacing w:line="360" w:lineRule="auto"/>
              <w:jc w:val="center"/>
              <w:rPr>
                <w:szCs w:val="21"/>
              </w:rPr>
            </w:pPr>
            <w:r>
              <w:rPr>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szCs w:val="21"/>
              </w:rPr>
            </w:pPr>
            <w:r>
              <w:rPr>
                <w:szCs w:val="21"/>
              </w:rPr>
              <w:t>1000000</w:t>
            </w:r>
            <w:r>
              <w:rPr>
                <w:rFonts w:hint="eastAsia"/>
                <w:szCs w:val="21"/>
              </w:rPr>
              <w:t>以上</w:t>
            </w:r>
          </w:p>
        </w:tc>
        <w:tc>
          <w:tcPr>
            <w:tcW w:w="2520" w:type="dxa"/>
            <w:vAlign w:val="center"/>
          </w:tcPr>
          <w:p>
            <w:pPr>
              <w:spacing w:line="360" w:lineRule="auto"/>
              <w:jc w:val="center"/>
              <w:rPr>
                <w:szCs w:val="21"/>
              </w:rPr>
            </w:pPr>
            <w:r>
              <w:rPr>
                <w:szCs w:val="21"/>
              </w:rPr>
              <w:t>0.01%</w:t>
            </w:r>
          </w:p>
        </w:tc>
        <w:tc>
          <w:tcPr>
            <w:tcW w:w="1980" w:type="dxa"/>
            <w:vAlign w:val="center"/>
          </w:tcPr>
          <w:p>
            <w:pPr>
              <w:spacing w:line="360" w:lineRule="auto"/>
              <w:jc w:val="center"/>
              <w:rPr>
                <w:szCs w:val="21"/>
              </w:rPr>
            </w:pPr>
            <w:r>
              <w:rPr>
                <w:szCs w:val="21"/>
              </w:rPr>
              <w:t>0.01%</w:t>
            </w:r>
          </w:p>
        </w:tc>
        <w:tc>
          <w:tcPr>
            <w:tcW w:w="1574" w:type="dxa"/>
            <w:vAlign w:val="center"/>
          </w:tcPr>
          <w:p>
            <w:pPr>
              <w:spacing w:line="360" w:lineRule="auto"/>
              <w:jc w:val="center"/>
              <w:rPr>
                <w:szCs w:val="21"/>
              </w:rPr>
            </w:pPr>
            <w:r>
              <w:rPr>
                <w:szCs w:val="21"/>
              </w:rPr>
              <w:t>0.01%</w:t>
            </w:r>
          </w:p>
        </w:tc>
      </w:tr>
    </w:tbl>
    <w:p>
      <w:pPr>
        <w:spacing w:before="120" w:line="320" w:lineRule="atLeast"/>
        <w:ind w:firstLine="420" w:firstLineChars="200"/>
        <w:rPr>
          <w:szCs w:val="21"/>
        </w:rPr>
      </w:pPr>
      <w:r>
        <w:rPr>
          <w:rFonts w:hint="eastAsia"/>
          <w:szCs w:val="21"/>
        </w:rPr>
        <w:t>注：招标代理服务收费按差额定率累进法计算。</w:t>
      </w:r>
    </w:p>
    <w:p>
      <w:pPr>
        <w:spacing w:before="120" w:line="320" w:lineRule="atLeast"/>
        <w:ind w:firstLine="420" w:firstLineChars="200"/>
        <w:rPr>
          <w:szCs w:val="21"/>
        </w:rPr>
        <w:sectPr>
          <w:footerReference r:id="rId9" w:type="first"/>
          <w:pgSz w:w="11906" w:h="16838"/>
          <w:pgMar w:top="1418" w:right="1228" w:bottom="1246" w:left="1218" w:header="851" w:footer="992" w:gutter="0"/>
          <w:cols w:space="720" w:num="1"/>
          <w:titlePg/>
          <w:docGrid w:linePitch="312" w:charSpace="0"/>
        </w:sectPr>
      </w:pPr>
    </w:p>
    <w:p>
      <w:pPr>
        <w:pStyle w:val="12"/>
        <w:snapToGrid w:val="0"/>
        <w:spacing w:before="240" w:after="240" w:line="320" w:lineRule="exact"/>
        <w:jc w:val="center"/>
        <w:outlineLvl w:val="0"/>
        <w:rPr>
          <w:rFonts w:ascii="黑体" w:hAnsi="宋体" w:eastAsia="黑体"/>
          <w:sz w:val="32"/>
          <w:szCs w:val="32"/>
        </w:rPr>
      </w:pPr>
      <w:bookmarkStart w:id="107" w:name="_Toc48031713"/>
      <w:bookmarkStart w:id="108" w:name="_Toc254970690"/>
      <w:bookmarkStart w:id="109" w:name="_Toc254970549"/>
      <w:r>
        <w:rPr>
          <w:rFonts w:hint="eastAsia" w:ascii="黑体" w:hAnsi="宋体" w:eastAsia="黑体"/>
          <w:sz w:val="32"/>
          <w:szCs w:val="32"/>
        </w:rPr>
        <w:t>第四章  评标办法及评分标准</w:t>
      </w:r>
      <w:bookmarkEnd w:id="107"/>
    </w:p>
    <w:p>
      <w:pPr>
        <w:pStyle w:val="31"/>
        <w:spacing w:before="0" w:beforeAutospacing="0" w:after="0" w:afterAutospacing="0" w:line="336" w:lineRule="auto"/>
        <w:jc w:val="both"/>
        <w:rPr>
          <w:sz w:val="21"/>
          <w:szCs w:val="21"/>
        </w:rPr>
      </w:pPr>
      <w:r>
        <w:rPr>
          <w:rFonts w:hint="eastAsia"/>
          <w:b/>
          <w:bCs/>
          <w:sz w:val="21"/>
          <w:szCs w:val="21"/>
        </w:rPr>
        <w:t>一、评标原则</w:t>
      </w:r>
    </w:p>
    <w:p>
      <w:pPr>
        <w:pStyle w:val="31"/>
        <w:spacing w:before="0" w:beforeAutospacing="0" w:after="0" w:afterAutospacing="0" w:line="336" w:lineRule="auto"/>
        <w:ind w:firstLine="420" w:firstLineChars="200"/>
        <w:jc w:val="both"/>
        <w:rPr>
          <w:sz w:val="21"/>
          <w:szCs w:val="21"/>
        </w:rPr>
      </w:pPr>
      <w:r>
        <w:rPr>
          <w:rFonts w:hint="eastAsia"/>
          <w:sz w:val="21"/>
          <w:szCs w:val="21"/>
        </w:rPr>
        <w:t>(一)评委组成：本招标采购项目的评标委员会由采购人代表和有关技术、经济等方面的专家组成，成员人数应当为五人以上单数。其中，技术、经济等方面的专家不得少于成员总数的三分之二。</w:t>
      </w:r>
    </w:p>
    <w:p>
      <w:pPr>
        <w:pStyle w:val="31"/>
        <w:spacing w:before="0" w:beforeAutospacing="0" w:after="0" w:afterAutospacing="0" w:line="336" w:lineRule="auto"/>
        <w:ind w:firstLine="420" w:firstLineChars="200"/>
        <w:jc w:val="both"/>
        <w:rPr>
          <w:sz w:val="21"/>
          <w:szCs w:val="21"/>
        </w:rPr>
      </w:pPr>
      <w:r>
        <w:rPr>
          <w:rFonts w:hint="eastAsia"/>
          <w:sz w:val="21"/>
          <w:szCs w:val="21"/>
        </w:rPr>
        <w:t>(二)评标依据：评委将以招投标文件为评标依据。</w:t>
      </w:r>
    </w:p>
    <w:p>
      <w:pPr>
        <w:pStyle w:val="31"/>
        <w:spacing w:before="0" w:beforeAutospacing="0" w:after="0" w:afterAutospacing="0" w:line="336" w:lineRule="auto"/>
        <w:ind w:firstLine="420" w:firstLineChars="200"/>
        <w:jc w:val="both"/>
        <w:rPr>
          <w:sz w:val="21"/>
          <w:szCs w:val="21"/>
        </w:rPr>
      </w:pPr>
      <w:r>
        <w:rPr>
          <w:rFonts w:hint="eastAsia"/>
          <w:sz w:val="21"/>
          <w:szCs w:val="21"/>
        </w:rPr>
        <w:t>(三)评标方式：以封闭方式进行。</w:t>
      </w:r>
    </w:p>
    <w:p>
      <w:pPr>
        <w:pStyle w:val="31"/>
        <w:spacing w:before="0" w:beforeAutospacing="0" w:after="0" w:afterAutospacing="0" w:line="336" w:lineRule="auto"/>
        <w:jc w:val="both"/>
        <w:rPr>
          <w:sz w:val="21"/>
          <w:szCs w:val="21"/>
        </w:rPr>
      </w:pPr>
      <w:r>
        <w:rPr>
          <w:rFonts w:hint="eastAsia"/>
          <w:b/>
          <w:bCs/>
          <w:sz w:val="21"/>
          <w:szCs w:val="21"/>
        </w:rPr>
        <w:t>二、评定方法</w:t>
      </w:r>
    </w:p>
    <w:p>
      <w:pPr>
        <w:pStyle w:val="31"/>
        <w:spacing w:before="0" w:beforeAutospacing="0" w:after="0" w:afterAutospacing="0" w:line="336" w:lineRule="auto"/>
        <w:ind w:firstLine="420" w:firstLineChars="200"/>
        <w:jc w:val="both"/>
        <w:rPr>
          <w:sz w:val="21"/>
          <w:szCs w:val="21"/>
        </w:rPr>
      </w:pPr>
      <w:r>
        <w:rPr>
          <w:rFonts w:hint="eastAsia"/>
          <w:sz w:val="21"/>
          <w:szCs w:val="21"/>
        </w:rPr>
        <w:t>（一）首先对投标文件进行资格性和符合性审查。</w:t>
      </w:r>
    </w:p>
    <w:p>
      <w:pPr>
        <w:pStyle w:val="31"/>
        <w:spacing w:before="0" w:beforeAutospacing="0" w:after="0" w:afterAutospacing="0" w:line="336" w:lineRule="auto"/>
        <w:ind w:firstLine="420" w:firstLineChars="200"/>
        <w:jc w:val="both"/>
        <w:rPr>
          <w:sz w:val="21"/>
          <w:szCs w:val="21"/>
        </w:rPr>
      </w:pPr>
      <w:r>
        <w:rPr>
          <w:rFonts w:hint="eastAsia"/>
          <w:sz w:val="21"/>
          <w:szCs w:val="21"/>
        </w:rPr>
        <w:t>1、资格性审查：对投标人的投标文件进行审查。</w:t>
      </w:r>
    </w:p>
    <w:p>
      <w:pPr>
        <w:pStyle w:val="31"/>
        <w:spacing w:before="0" w:beforeAutospacing="0" w:after="0" w:afterAutospacing="0" w:line="336" w:lineRule="auto"/>
        <w:ind w:firstLine="420" w:firstLineChars="200"/>
        <w:jc w:val="both"/>
        <w:rPr>
          <w:sz w:val="21"/>
          <w:szCs w:val="21"/>
        </w:rPr>
      </w:pPr>
      <w:r>
        <w:rPr>
          <w:rFonts w:hint="eastAsia"/>
          <w:sz w:val="21"/>
          <w:szCs w:val="21"/>
        </w:rPr>
        <w:t>2、符合性审查内容有：</w:t>
      </w:r>
    </w:p>
    <w:p>
      <w:pPr>
        <w:pStyle w:val="12"/>
        <w:spacing w:line="400" w:lineRule="atLeast"/>
        <w:ind w:firstLine="420" w:firstLineChars="200"/>
        <w:outlineLvl w:val="0"/>
        <w:rPr>
          <w:rFonts w:hAnsi="宋体"/>
        </w:rPr>
      </w:pPr>
      <w:bookmarkStart w:id="110" w:name="_Toc48031714"/>
      <w:r>
        <w:rPr>
          <w:rFonts w:hint="eastAsia" w:hAnsi="宋体"/>
        </w:rPr>
        <w:t>（1）</w:t>
      </w:r>
      <w:r>
        <w:rPr>
          <w:rFonts w:hAnsi="宋体"/>
        </w:rPr>
        <w:t>投标函签字盖章</w:t>
      </w:r>
      <w:r>
        <w:rPr>
          <w:rFonts w:hint="eastAsia" w:hAnsi="宋体"/>
        </w:rPr>
        <w:t>：</w:t>
      </w:r>
      <w:r>
        <w:rPr>
          <w:rFonts w:hAnsi="宋体"/>
        </w:rPr>
        <w:t>法定代表人或其委托代理人签字或盖章及加盖</w:t>
      </w:r>
      <w:r>
        <w:rPr>
          <w:rFonts w:hint="eastAsia" w:hAnsi="宋体"/>
        </w:rPr>
        <w:t>投标人</w:t>
      </w:r>
      <w:r>
        <w:rPr>
          <w:rFonts w:hAnsi="宋体"/>
        </w:rPr>
        <w:t>单位公章</w:t>
      </w:r>
      <w:r>
        <w:rPr>
          <w:rFonts w:hint="eastAsia" w:hAnsi="宋体"/>
        </w:rPr>
        <w:t>；</w:t>
      </w:r>
      <w:bookmarkEnd w:id="110"/>
    </w:p>
    <w:p>
      <w:pPr>
        <w:pStyle w:val="12"/>
        <w:spacing w:line="400" w:lineRule="atLeast"/>
        <w:ind w:firstLine="420" w:firstLineChars="200"/>
        <w:outlineLvl w:val="0"/>
        <w:rPr>
          <w:rFonts w:hAnsi="宋体"/>
        </w:rPr>
      </w:pPr>
      <w:bookmarkStart w:id="111" w:name="_Toc48031715"/>
      <w:r>
        <w:rPr>
          <w:rFonts w:hint="eastAsia" w:hAnsi="宋体"/>
        </w:rPr>
        <w:t>（2）投</w:t>
      </w:r>
      <w:r>
        <w:rPr>
          <w:rFonts w:hAnsi="宋体"/>
        </w:rPr>
        <w:t>标文件格式</w:t>
      </w:r>
      <w:r>
        <w:rPr>
          <w:rFonts w:hint="eastAsia" w:hAnsi="宋体"/>
        </w:rPr>
        <w:t>：</w:t>
      </w:r>
      <w:r>
        <w:rPr>
          <w:rFonts w:hAnsi="宋体"/>
        </w:rPr>
        <w:t>符合第</w:t>
      </w:r>
      <w:r>
        <w:rPr>
          <w:rFonts w:hint="eastAsia" w:hAnsi="宋体"/>
        </w:rPr>
        <w:t>六</w:t>
      </w:r>
      <w:r>
        <w:rPr>
          <w:rFonts w:hAnsi="宋体"/>
        </w:rPr>
        <w:t>章“</w:t>
      </w:r>
      <w:r>
        <w:rPr>
          <w:rFonts w:hint="eastAsia" w:hAnsi="宋体"/>
        </w:rPr>
        <w:t>投</w:t>
      </w:r>
      <w:r>
        <w:rPr>
          <w:rFonts w:hAnsi="宋体"/>
        </w:rPr>
        <w:t>标文件格式”的要求</w:t>
      </w:r>
      <w:r>
        <w:rPr>
          <w:rFonts w:hint="eastAsia" w:hAnsi="宋体"/>
        </w:rPr>
        <w:t>；</w:t>
      </w:r>
      <w:bookmarkEnd w:id="111"/>
    </w:p>
    <w:p>
      <w:pPr>
        <w:pStyle w:val="12"/>
        <w:spacing w:line="400" w:lineRule="atLeast"/>
        <w:ind w:firstLine="420" w:firstLineChars="200"/>
        <w:outlineLvl w:val="0"/>
        <w:rPr>
          <w:rFonts w:hAnsi="宋体"/>
        </w:rPr>
      </w:pPr>
      <w:bookmarkStart w:id="112" w:name="_Toc48031716"/>
      <w:r>
        <w:rPr>
          <w:rFonts w:hint="eastAsia" w:hAnsi="宋体"/>
        </w:rPr>
        <w:t>（3）投</w:t>
      </w:r>
      <w:r>
        <w:rPr>
          <w:rFonts w:hAnsi="宋体"/>
        </w:rPr>
        <w:t>标</w:t>
      </w:r>
      <w:r>
        <w:rPr>
          <w:rFonts w:hint="eastAsia" w:hAnsi="宋体"/>
        </w:rPr>
        <w:t>报价：唯一报价，且不超出采购预算价；</w:t>
      </w:r>
      <w:bookmarkEnd w:id="112"/>
    </w:p>
    <w:p>
      <w:pPr>
        <w:pStyle w:val="12"/>
        <w:spacing w:line="400" w:lineRule="atLeast"/>
        <w:ind w:firstLine="420" w:firstLineChars="200"/>
        <w:outlineLvl w:val="0"/>
        <w:rPr>
          <w:rFonts w:hAnsi="宋体"/>
        </w:rPr>
      </w:pPr>
      <w:bookmarkStart w:id="113" w:name="_Toc48031717"/>
      <w:r>
        <w:rPr>
          <w:rFonts w:hint="eastAsia" w:hAnsi="宋体"/>
        </w:rPr>
        <w:t>（4）投标有效期：符合招标文件要求；</w:t>
      </w:r>
      <w:bookmarkEnd w:id="113"/>
    </w:p>
    <w:p>
      <w:pPr>
        <w:pStyle w:val="12"/>
        <w:spacing w:line="400" w:lineRule="atLeast"/>
        <w:ind w:firstLine="420" w:firstLineChars="200"/>
        <w:outlineLvl w:val="0"/>
      </w:pPr>
      <w:bookmarkStart w:id="114" w:name="_Toc48031718"/>
      <w:r>
        <w:rPr>
          <w:rFonts w:hint="eastAsia" w:hAnsi="宋体"/>
        </w:rPr>
        <w:t>（5）服务期：满足招标文件要求。</w:t>
      </w:r>
      <w:bookmarkEnd w:id="114"/>
    </w:p>
    <w:p>
      <w:pPr>
        <w:ind w:firstLine="420" w:firstLineChars="200"/>
        <w:rPr>
          <w:rFonts w:ascii="宋体" w:hAnsi="宋体" w:cs="宋体"/>
          <w:kern w:val="0"/>
          <w:szCs w:val="21"/>
        </w:rPr>
      </w:pPr>
      <w:r>
        <w:rPr>
          <w:rFonts w:hint="eastAsia" w:ascii="宋体" w:hAnsi="宋体" w:cs="宋体"/>
          <w:kern w:val="0"/>
          <w:szCs w:val="21"/>
        </w:rPr>
        <w:t>3、对进入详评的，采用百分制综合评分法。</w:t>
      </w:r>
    </w:p>
    <w:p>
      <w:pPr>
        <w:pStyle w:val="31"/>
        <w:spacing w:before="0" w:beforeAutospacing="0" w:after="0" w:afterAutospacing="0" w:line="336" w:lineRule="auto"/>
        <w:ind w:firstLine="420" w:firstLineChars="200"/>
        <w:jc w:val="both"/>
        <w:rPr>
          <w:sz w:val="21"/>
          <w:szCs w:val="21"/>
        </w:rPr>
      </w:pPr>
      <w:r>
        <w:rPr>
          <w:rFonts w:hint="eastAsia"/>
          <w:sz w:val="21"/>
          <w:szCs w:val="21"/>
        </w:rPr>
        <w:t>（二）计分办法（按四舍五入取至百分位）</w:t>
      </w:r>
    </w:p>
    <w:p>
      <w:pPr>
        <w:pStyle w:val="31"/>
        <w:spacing w:before="0" w:beforeAutospacing="0" w:after="0" w:afterAutospacing="0" w:line="336" w:lineRule="auto"/>
        <w:ind w:firstLine="200"/>
        <w:jc w:val="both"/>
        <w:rPr>
          <w:b/>
          <w:bCs/>
          <w:sz w:val="21"/>
          <w:szCs w:val="21"/>
        </w:rPr>
      </w:pPr>
      <w:r>
        <w:rPr>
          <w:rFonts w:hint="eastAsia"/>
          <w:b/>
          <w:bCs/>
          <w:sz w:val="21"/>
          <w:szCs w:val="21"/>
        </w:rPr>
        <w:t>1、价格部分…………………………………………………………………………………满分</w:t>
      </w:r>
      <w:r>
        <w:rPr>
          <w:b/>
          <w:bCs/>
          <w:sz w:val="21"/>
          <w:szCs w:val="21"/>
        </w:rPr>
        <w:t>3</w:t>
      </w:r>
      <w:r>
        <w:rPr>
          <w:rFonts w:hint="eastAsia"/>
          <w:b/>
          <w:bCs/>
          <w:sz w:val="21"/>
          <w:szCs w:val="21"/>
        </w:rPr>
        <w:t>0分</w:t>
      </w:r>
    </w:p>
    <w:p>
      <w:pPr>
        <w:pStyle w:val="31"/>
        <w:spacing w:before="0" w:beforeAutospacing="0" w:after="0" w:afterAutospacing="0" w:line="336" w:lineRule="auto"/>
        <w:ind w:firstLine="420" w:firstLineChars="200"/>
        <w:jc w:val="both"/>
        <w:rPr>
          <w:sz w:val="21"/>
          <w:szCs w:val="21"/>
        </w:rPr>
      </w:pPr>
      <w:r>
        <w:rPr>
          <w:rFonts w:hint="eastAsia"/>
          <w:sz w:val="21"/>
          <w:szCs w:val="21"/>
        </w:rPr>
        <w:t>（1）评标价为投标人的投标报价进行政策性扣除后的价格，评标价只是作为评标时使用。最终中标人的中标金额＝投标报价。</w:t>
      </w:r>
    </w:p>
    <w:p>
      <w:pPr>
        <w:pStyle w:val="31"/>
        <w:spacing w:before="0" w:beforeAutospacing="0" w:after="0" w:afterAutospacing="0" w:line="336" w:lineRule="auto"/>
        <w:ind w:firstLine="420" w:firstLineChars="200"/>
        <w:jc w:val="both"/>
        <w:rPr>
          <w:sz w:val="21"/>
          <w:szCs w:val="21"/>
          <w:lang w:val="zh-CN"/>
        </w:rPr>
      </w:pPr>
      <w:r>
        <w:rPr>
          <w:rFonts w:hint="eastAsia"/>
          <w:sz w:val="21"/>
          <w:szCs w:val="21"/>
        </w:rPr>
        <w:t>（2）</w:t>
      </w:r>
      <w:r>
        <w:rPr>
          <w:rFonts w:hint="eastAsia"/>
          <w:sz w:val="21"/>
          <w:szCs w:val="21"/>
          <w:lang w:val="zh-CN"/>
        </w:rPr>
        <w:t>根据财政部《关于印发〈政府采购促进中小企业发展暂行办法〉的通知》（财库[2011]181号）第五条的规定，对小型和微型企业产品或服务的价格给予6%的扣除，用扣除后的价格作为评标价参与评审。即对供应商投标总价中的小型和微型企业产品或服务的价格给予6%的扣除后加上原来未享受优惠政策的部分投标价格作为评标价计算价格分。[供应商须提供所竞标产品企业所在地的县级以上中小企业主管部门相关证明材料原件，并对证明材料原件的真实性负责，并如实填写中小企业声明函，否则不予价格扣除]。</w:t>
      </w:r>
    </w:p>
    <w:p>
      <w:pPr>
        <w:pStyle w:val="31"/>
        <w:spacing w:before="0" w:beforeAutospacing="0" w:after="0" w:afterAutospacing="0" w:line="336" w:lineRule="auto"/>
        <w:ind w:firstLine="420" w:firstLineChars="200"/>
        <w:jc w:val="both"/>
        <w:rPr>
          <w:sz w:val="21"/>
          <w:szCs w:val="21"/>
          <w:lang w:val="zh-CN"/>
        </w:rPr>
      </w:pPr>
      <w:r>
        <w:rPr>
          <w:rFonts w:hint="eastAsia"/>
          <w:sz w:val="21"/>
          <w:szCs w:val="21"/>
          <w:lang w:val="zh-CN"/>
        </w:rPr>
        <w:t>（</w:t>
      </w:r>
      <w:r>
        <w:rPr>
          <w:rFonts w:hint="eastAsia"/>
          <w:sz w:val="21"/>
          <w:szCs w:val="21"/>
        </w:rPr>
        <w:t>3</w:t>
      </w:r>
      <w:r>
        <w:rPr>
          <w:rFonts w:hint="eastAsia"/>
          <w:sz w:val="21"/>
          <w:szCs w:val="21"/>
          <w:lang w:val="zh-CN"/>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1"/>
        <w:spacing w:before="0" w:beforeAutospacing="0" w:after="0" w:afterAutospacing="0" w:line="336" w:lineRule="auto"/>
        <w:ind w:firstLine="420" w:firstLineChars="200"/>
        <w:jc w:val="both"/>
        <w:rPr>
          <w:sz w:val="21"/>
          <w:szCs w:val="21"/>
          <w:lang w:val="zh-CN"/>
        </w:rPr>
      </w:pPr>
      <w:r>
        <w:rPr>
          <w:rFonts w:hint="eastAsia"/>
          <w:sz w:val="21"/>
          <w:szCs w:val="21"/>
          <w:lang w:val="zh-CN"/>
        </w:rPr>
        <w:t>（</w:t>
      </w:r>
      <w:r>
        <w:rPr>
          <w:rFonts w:hint="eastAsia"/>
          <w:sz w:val="21"/>
          <w:szCs w:val="21"/>
        </w:rPr>
        <w:t>4</w:t>
      </w:r>
      <w:r>
        <w:rPr>
          <w:rFonts w:hint="eastAsia"/>
          <w:sz w:val="21"/>
          <w:szCs w:val="21"/>
          <w:lang w:val="zh-CN"/>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31"/>
        <w:spacing w:before="0" w:beforeAutospacing="0" w:after="0" w:afterAutospacing="0" w:line="336" w:lineRule="auto"/>
        <w:ind w:firstLine="420" w:firstLineChars="200"/>
        <w:jc w:val="both"/>
        <w:rPr>
          <w:sz w:val="21"/>
          <w:szCs w:val="21"/>
        </w:rPr>
      </w:pPr>
      <w:r>
        <w:rPr>
          <w:rFonts w:hint="eastAsia"/>
          <w:sz w:val="21"/>
          <w:szCs w:val="21"/>
        </w:rPr>
        <w:t>（5）政策性扣除计算方法。</w:t>
      </w:r>
    </w:p>
    <w:p>
      <w:pPr>
        <w:pStyle w:val="31"/>
        <w:spacing w:before="0" w:beforeAutospacing="0" w:after="0" w:afterAutospacing="0" w:line="336" w:lineRule="auto"/>
        <w:ind w:firstLine="420" w:firstLineChars="200"/>
        <w:jc w:val="both"/>
        <w:rPr>
          <w:sz w:val="21"/>
          <w:szCs w:val="21"/>
        </w:rPr>
      </w:pPr>
      <w:r>
        <w:rPr>
          <w:rFonts w:hint="eastAsia"/>
          <w:sz w:val="21"/>
          <w:szCs w:val="21"/>
        </w:rPr>
        <w:t>投标人所投标产品被认定为监狱企业或残疾人福利性单位或小型和微型企业产品的，该产品投标报价给予6%的扣除，扣除后的价格为评标报价，即该产品的评标报价=该产品的投标报价×（1-6%）；除上述情况外，评标报价=投标报价。</w:t>
      </w:r>
    </w:p>
    <w:p>
      <w:pPr>
        <w:pStyle w:val="31"/>
        <w:spacing w:before="0" w:beforeAutospacing="0" w:after="0" w:afterAutospacing="0" w:line="336" w:lineRule="auto"/>
        <w:ind w:firstLine="420" w:firstLineChars="200"/>
        <w:jc w:val="both"/>
        <w:rPr>
          <w:sz w:val="21"/>
          <w:szCs w:val="21"/>
        </w:rPr>
      </w:pPr>
      <w:r>
        <w:rPr>
          <w:rFonts w:hint="eastAsia"/>
          <w:sz w:val="21"/>
          <w:szCs w:val="21"/>
        </w:rPr>
        <w:t>（6）以进入综合评分环节的最低的评标报价得分为</w:t>
      </w:r>
      <w:r>
        <w:rPr>
          <w:sz w:val="21"/>
          <w:szCs w:val="21"/>
        </w:rPr>
        <w:t>3</w:t>
      </w:r>
      <w:r>
        <w:rPr>
          <w:rFonts w:hint="eastAsia"/>
          <w:sz w:val="21"/>
          <w:szCs w:val="21"/>
        </w:rPr>
        <w:t>0分。</w:t>
      </w:r>
    </w:p>
    <w:p>
      <w:pPr>
        <w:pStyle w:val="31"/>
        <w:spacing w:before="0" w:beforeAutospacing="0" w:after="0" w:afterAutospacing="0" w:line="336" w:lineRule="auto"/>
        <w:ind w:firstLine="420" w:firstLineChars="200"/>
        <w:jc w:val="both"/>
        <w:rPr>
          <w:sz w:val="21"/>
          <w:szCs w:val="21"/>
        </w:rPr>
      </w:pPr>
      <w:r>
        <w:rPr>
          <w:rFonts w:hint="eastAsia"/>
          <w:sz w:val="21"/>
          <w:szCs w:val="21"/>
        </w:rPr>
        <w:t>（7）各投标人的报价得分按以下公式计算</w:t>
      </w:r>
    </w:p>
    <w:tbl>
      <w:tblPr>
        <w:tblStyle w:val="17"/>
        <w:tblpPr w:leftFromText="180" w:rightFromText="180" w:vertAnchor="text" w:horzAnchor="page" w:tblpX="2669" w:tblpY="252"/>
        <w:tblOverlap w:val="never"/>
        <w:tblW w:w="742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1643"/>
        <w:gridCol w:w="407"/>
        <w:gridCol w:w="3453"/>
        <w:gridCol w:w="913"/>
        <w:gridCol w:w="100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78" w:hRule="atLeast"/>
        </w:trPr>
        <w:tc>
          <w:tcPr>
            <w:tcW w:w="1643" w:type="dxa"/>
            <w:vMerge w:val="restart"/>
            <w:vAlign w:val="center"/>
          </w:tcPr>
          <w:p>
            <w:pPr>
              <w:pStyle w:val="31"/>
              <w:spacing w:before="0" w:beforeAutospacing="0" w:after="0" w:afterAutospacing="0" w:line="336" w:lineRule="auto"/>
              <w:ind w:firstLine="420" w:firstLineChars="200"/>
              <w:jc w:val="both"/>
              <w:rPr>
                <w:sz w:val="21"/>
                <w:szCs w:val="21"/>
              </w:rPr>
            </w:pPr>
            <w:r>
              <w:rPr>
                <w:rFonts w:hint="eastAsia"/>
                <w:sz w:val="21"/>
                <w:szCs w:val="21"/>
              </w:rPr>
              <w:t>某投标人价格分</w:t>
            </w:r>
          </w:p>
        </w:tc>
        <w:tc>
          <w:tcPr>
            <w:tcW w:w="407" w:type="dxa"/>
            <w:vMerge w:val="restart"/>
            <w:vAlign w:val="center"/>
          </w:tcPr>
          <w:p>
            <w:pPr>
              <w:pStyle w:val="31"/>
              <w:spacing w:before="0" w:beforeAutospacing="0" w:after="0" w:afterAutospacing="0" w:line="336" w:lineRule="auto"/>
              <w:ind w:firstLine="420" w:firstLineChars="200"/>
              <w:jc w:val="both"/>
              <w:rPr>
                <w:sz w:val="21"/>
                <w:szCs w:val="21"/>
              </w:rPr>
            </w:pPr>
            <w:r>
              <w:rPr>
                <w:rFonts w:hint="eastAsia"/>
                <w:sz w:val="21"/>
                <w:szCs w:val="21"/>
              </w:rPr>
              <w:t>＝</w:t>
            </w:r>
          </w:p>
        </w:tc>
        <w:tc>
          <w:tcPr>
            <w:tcW w:w="3453" w:type="dxa"/>
            <w:vAlign w:val="center"/>
          </w:tcPr>
          <w:p>
            <w:pPr>
              <w:pStyle w:val="31"/>
              <w:spacing w:before="0" w:beforeAutospacing="0" w:after="0" w:afterAutospacing="0" w:line="336" w:lineRule="auto"/>
              <w:ind w:firstLine="420" w:firstLineChars="200"/>
              <w:jc w:val="both"/>
              <w:rPr>
                <w:sz w:val="21"/>
                <w:szCs w:val="21"/>
              </w:rPr>
            </w:pPr>
            <w:r>
              <w:rPr>
                <w:rFonts w:hint="eastAsia"/>
                <w:sz w:val="21"/>
                <w:szCs w:val="21"/>
              </w:rPr>
              <w:t>投标人最低有效投标报价金额</w:t>
            </w:r>
          </w:p>
        </w:tc>
        <w:tc>
          <w:tcPr>
            <w:tcW w:w="913" w:type="dxa"/>
            <w:vMerge w:val="restart"/>
            <w:vAlign w:val="center"/>
          </w:tcPr>
          <w:p>
            <w:pPr>
              <w:pStyle w:val="31"/>
              <w:spacing w:before="0" w:beforeAutospacing="0" w:after="0" w:afterAutospacing="0" w:line="336" w:lineRule="auto"/>
              <w:ind w:firstLine="420" w:firstLineChars="200"/>
              <w:jc w:val="both"/>
              <w:rPr>
                <w:sz w:val="21"/>
                <w:szCs w:val="21"/>
              </w:rPr>
            </w:pPr>
            <w:r>
              <w:rPr>
                <w:rFonts w:hint="eastAsia"/>
                <w:sz w:val="21"/>
                <w:szCs w:val="21"/>
              </w:rPr>
              <w:t>×</w:t>
            </w:r>
          </w:p>
        </w:tc>
        <w:tc>
          <w:tcPr>
            <w:tcW w:w="1004" w:type="dxa"/>
            <w:vMerge w:val="restart"/>
            <w:vAlign w:val="center"/>
          </w:tcPr>
          <w:p>
            <w:pPr>
              <w:pStyle w:val="31"/>
              <w:spacing w:before="0" w:beforeAutospacing="0" w:after="0" w:afterAutospacing="0" w:line="336" w:lineRule="auto"/>
              <w:ind w:firstLine="420" w:firstLineChars="200"/>
              <w:jc w:val="both"/>
              <w:rPr>
                <w:sz w:val="21"/>
                <w:szCs w:val="21"/>
              </w:rPr>
            </w:pPr>
            <w:r>
              <w:rPr>
                <w:sz w:val="21"/>
                <w:szCs w:val="21"/>
              </w:rPr>
              <w:t>3</w:t>
            </w:r>
            <w:r>
              <w:rPr>
                <w:rFonts w:hint="eastAsia"/>
                <w:sz w:val="21"/>
                <w:szCs w:val="21"/>
              </w:rPr>
              <w:t>0分</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91" w:hRule="atLeast"/>
        </w:trPr>
        <w:tc>
          <w:tcPr>
            <w:tcW w:w="1643" w:type="dxa"/>
            <w:vMerge w:val="continue"/>
            <w:vAlign w:val="center"/>
          </w:tcPr>
          <w:p>
            <w:pPr>
              <w:pStyle w:val="31"/>
              <w:spacing w:before="0" w:beforeAutospacing="0" w:after="0" w:afterAutospacing="0" w:line="336" w:lineRule="auto"/>
              <w:ind w:firstLine="420" w:firstLineChars="200"/>
              <w:jc w:val="both"/>
              <w:rPr>
                <w:sz w:val="21"/>
                <w:szCs w:val="21"/>
              </w:rPr>
            </w:pPr>
          </w:p>
        </w:tc>
        <w:tc>
          <w:tcPr>
            <w:tcW w:w="407" w:type="dxa"/>
            <w:vMerge w:val="continue"/>
            <w:vAlign w:val="center"/>
          </w:tcPr>
          <w:p>
            <w:pPr>
              <w:pStyle w:val="31"/>
              <w:spacing w:before="0" w:beforeAutospacing="0" w:after="0" w:afterAutospacing="0" w:line="336" w:lineRule="auto"/>
              <w:ind w:firstLine="420" w:firstLineChars="200"/>
              <w:jc w:val="both"/>
              <w:rPr>
                <w:sz w:val="21"/>
                <w:szCs w:val="21"/>
              </w:rPr>
            </w:pPr>
          </w:p>
        </w:tc>
        <w:tc>
          <w:tcPr>
            <w:tcW w:w="3453" w:type="dxa"/>
            <w:vAlign w:val="center"/>
          </w:tcPr>
          <w:p>
            <w:pPr>
              <w:pStyle w:val="31"/>
              <w:spacing w:before="0" w:beforeAutospacing="0" w:after="0" w:afterAutospacing="0" w:line="336" w:lineRule="auto"/>
              <w:ind w:firstLine="420" w:firstLineChars="200"/>
              <w:jc w:val="both"/>
              <w:rPr>
                <w:sz w:val="21"/>
                <w:szCs w:val="21"/>
              </w:rPr>
            </w:pPr>
            <w:r>
              <w:rPr>
                <w:rFonts w:hint="eastAsia"/>
                <w:sz w:val="21"/>
                <w:szCs w:val="21"/>
              </w:rPr>
              <w:t>某投标人有效投标报价金额</w:t>
            </w:r>
          </w:p>
        </w:tc>
        <w:tc>
          <w:tcPr>
            <w:tcW w:w="913" w:type="dxa"/>
            <w:vMerge w:val="continue"/>
            <w:vAlign w:val="center"/>
          </w:tcPr>
          <w:p>
            <w:pPr>
              <w:pStyle w:val="31"/>
              <w:spacing w:before="0" w:beforeAutospacing="0" w:after="0" w:afterAutospacing="0" w:line="336" w:lineRule="auto"/>
              <w:ind w:firstLine="420" w:firstLineChars="200"/>
              <w:jc w:val="both"/>
              <w:rPr>
                <w:sz w:val="21"/>
                <w:szCs w:val="21"/>
              </w:rPr>
            </w:pPr>
          </w:p>
        </w:tc>
        <w:tc>
          <w:tcPr>
            <w:tcW w:w="1004" w:type="dxa"/>
            <w:vMerge w:val="continue"/>
            <w:vAlign w:val="center"/>
          </w:tcPr>
          <w:p>
            <w:pPr>
              <w:pStyle w:val="31"/>
              <w:spacing w:before="0" w:beforeAutospacing="0" w:after="0" w:afterAutospacing="0" w:line="336" w:lineRule="auto"/>
              <w:ind w:firstLine="420" w:firstLineChars="200"/>
              <w:jc w:val="both"/>
              <w:rPr>
                <w:sz w:val="21"/>
                <w:szCs w:val="21"/>
              </w:rPr>
            </w:pPr>
          </w:p>
        </w:tc>
      </w:tr>
    </w:tbl>
    <w:p>
      <w:pPr>
        <w:pStyle w:val="31"/>
        <w:spacing w:before="0" w:beforeAutospacing="0" w:after="0" w:afterAutospacing="0" w:line="336" w:lineRule="auto"/>
        <w:ind w:firstLine="420" w:firstLineChars="200"/>
        <w:jc w:val="both"/>
        <w:rPr>
          <w:sz w:val="21"/>
          <w:szCs w:val="21"/>
        </w:rPr>
      </w:pPr>
    </w:p>
    <w:p>
      <w:pPr>
        <w:pStyle w:val="31"/>
        <w:spacing w:before="0" w:beforeAutospacing="0" w:after="0" w:afterAutospacing="0" w:line="336" w:lineRule="auto"/>
        <w:ind w:firstLine="420" w:firstLineChars="200"/>
        <w:jc w:val="both"/>
        <w:rPr>
          <w:sz w:val="21"/>
          <w:szCs w:val="21"/>
        </w:rPr>
      </w:pPr>
      <w:r>
        <w:rPr>
          <w:rFonts w:hint="eastAsia"/>
          <w:sz w:val="21"/>
          <w:szCs w:val="21"/>
        </w:rPr>
        <w:t xml:space="preserve">                         </w:t>
      </w:r>
    </w:p>
    <w:p>
      <w:pPr>
        <w:pStyle w:val="31"/>
        <w:spacing w:before="0" w:beforeAutospacing="0" w:after="0" w:afterAutospacing="0" w:line="336" w:lineRule="auto"/>
        <w:ind w:firstLine="420" w:firstLineChars="200"/>
        <w:jc w:val="both"/>
        <w:rPr>
          <w:sz w:val="21"/>
          <w:szCs w:val="21"/>
        </w:rPr>
      </w:pPr>
    </w:p>
    <w:p>
      <w:pPr>
        <w:pStyle w:val="31"/>
        <w:spacing w:before="0" w:beforeAutospacing="0" w:after="0" w:afterAutospacing="0" w:line="336" w:lineRule="auto"/>
        <w:ind w:firstLine="420" w:firstLineChars="200"/>
        <w:jc w:val="both"/>
        <w:rPr>
          <w:sz w:val="21"/>
          <w:szCs w:val="21"/>
        </w:rPr>
      </w:pPr>
    </w:p>
    <w:p>
      <w:pPr>
        <w:pStyle w:val="31"/>
        <w:spacing w:before="0" w:beforeAutospacing="0" w:after="0" w:afterAutospacing="0" w:line="336" w:lineRule="auto"/>
        <w:ind w:firstLine="200"/>
        <w:jc w:val="both"/>
        <w:rPr>
          <w:sz w:val="21"/>
          <w:szCs w:val="21"/>
        </w:rPr>
      </w:pPr>
      <w:r>
        <w:rPr>
          <w:rFonts w:hint="eastAsia"/>
          <w:b/>
          <w:bCs/>
          <w:sz w:val="21"/>
          <w:szCs w:val="21"/>
        </w:rPr>
        <w:t>2、技术分………………………………………………………………………………满分</w:t>
      </w:r>
      <w:r>
        <w:rPr>
          <w:b/>
          <w:bCs/>
          <w:sz w:val="21"/>
          <w:szCs w:val="21"/>
        </w:rPr>
        <w:t>40</w:t>
      </w:r>
      <w:r>
        <w:rPr>
          <w:rFonts w:hint="eastAsia"/>
          <w:b/>
          <w:bCs/>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（1）现状分析（</w:t>
      </w:r>
      <w:r>
        <w:rPr>
          <w:sz w:val="21"/>
          <w:szCs w:val="21"/>
        </w:rPr>
        <w:t>5</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ascii="等线" w:hAnsi="等线"/>
          <w:sz w:val="21"/>
        </w:rPr>
        <w:t>投标人对当前自治区无线电管理一体化平台建设和使用现状分析。</w:t>
      </w:r>
    </w:p>
    <w:p>
      <w:pPr>
        <w:pStyle w:val="31"/>
        <w:spacing w:before="0" w:beforeAutospacing="0" w:after="0" w:afterAutospacing="0" w:line="336" w:lineRule="auto"/>
        <w:ind w:firstLine="420" w:firstLineChars="200"/>
        <w:jc w:val="both"/>
        <w:rPr>
          <w:sz w:val="21"/>
          <w:szCs w:val="21"/>
        </w:rPr>
      </w:pPr>
      <w:r>
        <w:rPr>
          <w:rFonts w:hint="eastAsia"/>
          <w:sz w:val="21"/>
          <w:szCs w:val="21"/>
        </w:rPr>
        <w:t>一档：对自治区无线电管理一体化平台了解一般得1分。</w:t>
      </w:r>
    </w:p>
    <w:p>
      <w:pPr>
        <w:pStyle w:val="31"/>
        <w:spacing w:before="0" w:beforeAutospacing="0" w:after="0" w:afterAutospacing="0" w:line="336" w:lineRule="auto"/>
        <w:ind w:firstLine="420" w:firstLineChars="200"/>
        <w:jc w:val="both"/>
        <w:rPr>
          <w:sz w:val="21"/>
          <w:szCs w:val="21"/>
        </w:rPr>
      </w:pPr>
      <w:r>
        <w:rPr>
          <w:rFonts w:hint="eastAsia"/>
          <w:sz w:val="21"/>
          <w:szCs w:val="21"/>
        </w:rPr>
        <w:t>二档：对自治区无线电管理一体化平台了解一般、有一定的分析、内容简单得2分。</w:t>
      </w:r>
    </w:p>
    <w:p>
      <w:pPr>
        <w:pStyle w:val="31"/>
        <w:spacing w:before="0" w:beforeAutospacing="0" w:after="0" w:afterAutospacing="0" w:line="336" w:lineRule="auto"/>
        <w:ind w:firstLine="420" w:firstLineChars="200"/>
        <w:jc w:val="both"/>
        <w:rPr>
          <w:sz w:val="21"/>
          <w:szCs w:val="21"/>
        </w:rPr>
      </w:pPr>
      <w:r>
        <w:rPr>
          <w:rFonts w:hint="eastAsia"/>
          <w:sz w:val="21"/>
          <w:szCs w:val="21"/>
        </w:rPr>
        <w:t>三档：对当前自治区无线电管理一体化平台建设和使用现状分析较完整、数据较详实得3分。</w:t>
      </w:r>
    </w:p>
    <w:p>
      <w:pPr>
        <w:pStyle w:val="31"/>
        <w:spacing w:before="0" w:beforeAutospacing="0" w:after="0" w:afterAutospacing="0" w:line="336" w:lineRule="auto"/>
        <w:ind w:firstLine="420" w:firstLineChars="200"/>
        <w:jc w:val="both"/>
        <w:rPr>
          <w:sz w:val="21"/>
          <w:szCs w:val="21"/>
        </w:rPr>
      </w:pPr>
      <w:r>
        <w:rPr>
          <w:rFonts w:hint="eastAsia"/>
          <w:sz w:val="21"/>
          <w:szCs w:val="21"/>
        </w:rPr>
        <w:t>四档：对当前自治区无线电管理一体化平台建设和使用现状分析完整、数据详实、层次清楚、思路清晰并能提供相应证明得</w:t>
      </w:r>
      <w:r>
        <w:rPr>
          <w:sz w:val="21"/>
          <w:szCs w:val="21"/>
        </w:rPr>
        <w:t>5</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（2）技术偏离</w:t>
      </w:r>
      <w:r>
        <w:rPr>
          <w:sz w:val="21"/>
          <w:szCs w:val="21"/>
        </w:rPr>
        <w:t>分</w:t>
      </w:r>
      <w:r>
        <w:rPr>
          <w:rFonts w:hint="eastAsia"/>
          <w:sz w:val="21"/>
          <w:szCs w:val="21"/>
        </w:rPr>
        <w:t>（</w:t>
      </w:r>
      <w:r>
        <w:rPr>
          <w:sz w:val="21"/>
          <w:szCs w:val="21"/>
        </w:rPr>
        <w:t>10</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实质性技术要求（标注★项）无负偏离的，每一项得</w:t>
      </w:r>
      <w:r>
        <w:rPr>
          <w:sz w:val="21"/>
          <w:szCs w:val="21"/>
        </w:rPr>
        <w:t>1</w:t>
      </w:r>
      <w:r>
        <w:rPr>
          <w:rFonts w:hint="eastAsia"/>
          <w:sz w:val="21"/>
          <w:szCs w:val="21"/>
        </w:rPr>
        <w:t>分，满分</w:t>
      </w:r>
      <w:r>
        <w:rPr>
          <w:sz w:val="21"/>
          <w:szCs w:val="21"/>
        </w:rPr>
        <w:t>10</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（3）无线电管理一体化基础平台改造方案（1</w:t>
      </w:r>
      <w:r>
        <w:rPr>
          <w:sz w:val="21"/>
          <w:szCs w:val="21"/>
        </w:rPr>
        <w:t>0</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一档：技术方案偏离项目需求，不完整、对项目实施的重点关键环节及难点问题的预计考虑欠缺，不能满足使用方要求的得</w:t>
      </w:r>
      <w:r>
        <w:rPr>
          <w:sz w:val="21"/>
          <w:szCs w:val="21"/>
        </w:rPr>
        <w:t>1</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二档：技术方案不够准确或不完全符合项目需求，方案基本完整，对项目实施的重点关键环节及难点问题的预计不够全面，基本满足使用方要求的得</w:t>
      </w:r>
      <w:r>
        <w:rPr>
          <w:sz w:val="21"/>
          <w:szCs w:val="21"/>
        </w:rPr>
        <w:t>5</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三档：技术方案明确、完整、详实、层次清楚、思路清晰、结构合理，功能直观、对项目实施的重点关键环节及难点问题的考虑基本全面的得</w:t>
      </w:r>
      <w:r>
        <w:rPr>
          <w:sz w:val="21"/>
          <w:szCs w:val="21"/>
        </w:rPr>
        <w:t>7</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四档：技术方案明确、完整、详实、层次清楚、思路清晰、结构合理，功能直观、对项目实施的重点关键环节及难点问题的考虑全面及把握到位，符合项目需求且合理科学的得1</w:t>
      </w:r>
      <w:r>
        <w:rPr>
          <w:sz w:val="21"/>
          <w:szCs w:val="21"/>
        </w:rPr>
        <w:t>0</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（4）已建业务系统改造方案（15分）</w:t>
      </w:r>
    </w:p>
    <w:p>
      <w:pPr>
        <w:pStyle w:val="31"/>
        <w:spacing w:before="0" w:beforeAutospacing="0" w:after="0" w:afterAutospacing="0" w:line="336" w:lineRule="auto"/>
        <w:ind w:firstLine="420" w:firstLineChars="200"/>
        <w:jc w:val="both"/>
        <w:rPr>
          <w:sz w:val="21"/>
          <w:szCs w:val="21"/>
        </w:rPr>
      </w:pPr>
      <w:r>
        <w:rPr>
          <w:rFonts w:hint="eastAsia"/>
          <w:sz w:val="21"/>
          <w:szCs w:val="21"/>
        </w:rPr>
        <w:t>一档：技术方案中相关内容说明简单，缺乏实际材料证明，得3分；不能提供说明或不符合规范的得0分；</w:t>
      </w:r>
    </w:p>
    <w:p>
      <w:pPr>
        <w:pStyle w:val="31"/>
        <w:spacing w:before="0" w:beforeAutospacing="0" w:after="0" w:afterAutospacing="0" w:line="336" w:lineRule="auto"/>
        <w:ind w:firstLine="420" w:firstLineChars="200"/>
        <w:jc w:val="both"/>
        <w:rPr>
          <w:sz w:val="21"/>
          <w:szCs w:val="21"/>
        </w:rPr>
      </w:pPr>
      <w:r>
        <w:rPr>
          <w:rFonts w:hint="eastAsia"/>
          <w:sz w:val="21"/>
          <w:szCs w:val="21"/>
        </w:rPr>
        <w:t>二档：技术方案中能够提供说明，符合规范要求，内容不够详细，但相关材料证明不充分，得7分；</w:t>
      </w:r>
    </w:p>
    <w:p>
      <w:pPr>
        <w:pStyle w:val="31"/>
        <w:spacing w:before="0" w:beforeAutospacing="0" w:after="0" w:afterAutospacing="0" w:line="336" w:lineRule="auto"/>
        <w:ind w:firstLine="420" w:firstLineChars="200"/>
        <w:jc w:val="both"/>
        <w:rPr>
          <w:sz w:val="21"/>
          <w:szCs w:val="21"/>
        </w:rPr>
      </w:pPr>
      <w:r>
        <w:rPr>
          <w:rFonts w:hint="eastAsia"/>
          <w:sz w:val="21"/>
          <w:szCs w:val="21"/>
        </w:rPr>
        <w:t>三档：技术方案与新建无线电管理一体化基础平台各模块对接功能设计基本完整，提供详细功能清单的得11分；</w:t>
      </w:r>
    </w:p>
    <w:p>
      <w:pPr>
        <w:pStyle w:val="31"/>
        <w:spacing w:before="0" w:beforeAutospacing="0" w:after="0" w:afterAutospacing="0" w:line="336" w:lineRule="auto"/>
        <w:ind w:firstLine="420" w:firstLineChars="200"/>
        <w:jc w:val="both"/>
        <w:rPr>
          <w:sz w:val="21"/>
          <w:szCs w:val="21"/>
        </w:rPr>
      </w:pPr>
      <w:r>
        <w:rPr>
          <w:rFonts w:hint="eastAsia"/>
          <w:sz w:val="21"/>
          <w:szCs w:val="21"/>
        </w:rPr>
        <w:t>四档：技术方案与新建无线电管理一体化基础平台各模块对接功能设计完整，提供详细功能清单，开放接口设计详实，能证明投标人改造能力及了解原有系统实际情况的得15分。</w:t>
      </w:r>
    </w:p>
    <w:p>
      <w:pPr>
        <w:pStyle w:val="31"/>
        <w:spacing w:before="0" w:beforeAutospacing="0" w:after="0" w:afterAutospacing="0" w:line="336" w:lineRule="auto"/>
        <w:ind w:firstLine="200"/>
        <w:jc w:val="both"/>
        <w:rPr>
          <w:b/>
          <w:bCs/>
          <w:sz w:val="21"/>
          <w:szCs w:val="21"/>
        </w:rPr>
      </w:pPr>
      <w:r>
        <w:rPr>
          <w:rFonts w:hint="eastAsia"/>
          <w:b/>
          <w:bCs/>
          <w:sz w:val="21"/>
          <w:szCs w:val="21"/>
        </w:rPr>
        <w:t>3、商务分 ………………………………………………………………………………满分</w:t>
      </w:r>
      <w:r>
        <w:rPr>
          <w:b/>
          <w:bCs/>
          <w:sz w:val="21"/>
          <w:szCs w:val="21"/>
        </w:rPr>
        <w:t>27</w:t>
      </w:r>
      <w:r>
        <w:rPr>
          <w:rFonts w:hint="eastAsia"/>
          <w:b/>
          <w:bCs/>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（1）售后服务分（</w:t>
      </w:r>
      <w:r>
        <w:rPr>
          <w:sz w:val="21"/>
          <w:szCs w:val="21"/>
        </w:rPr>
        <w:t>7</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 xml:space="preserve">1）项目负责人具有 PMP 或信息系统项目管理师（高级）认证证书的，得 </w:t>
      </w:r>
      <w:r>
        <w:rPr>
          <w:sz w:val="21"/>
          <w:szCs w:val="21"/>
        </w:rPr>
        <w:t>1</w:t>
      </w:r>
      <w:r>
        <w:rPr>
          <w:rFonts w:hint="eastAsia"/>
          <w:sz w:val="21"/>
          <w:szCs w:val="21"/>
        </w:rPr>
        <w:t xml:space="preserve"> 分，未提供不得分（应提供相关人员证书、社保或劳动合同等证明材料）。</w:t>
      </w:r>
    </w:p>
    <w:p>
      <w:pPr>
        <w:pStyle w:val="31"/>
        <w:spacing w:before="0" w:beforeAutospacing="0" w:after="0" w:afterAutospacing="0" w:line="336" w:lineRule="auto"/>
        <w:ind w:firstLine="420" w:firstLineChars="200"/>
        <w:jc w:val="both"/>
        <w:rPr>
          <w:sz w:val="21"/>
          <w:szCs w:val="21"/>
        </w:rPr>
      </w:pPr>
      <w:r>
        <w:rPr>
          <w:sz w:val="21"/>
          <w:szCs w:val="21"/>
        </w:rPr>
        <w:t>2</w:t>
      </w:r>
      <w:r>
        <w:rPr>
          <w:rFonts w:hint="eastAsia"/>
          <w:sz w:val="21"/>
          <w:szCs w:val="21"/>
        </w:rPr>
        <w:t>）投标人拟派项目实施人员具有系统分析师或系统架构师、软件设计师、网络工程师认证证书，具备四项证书人员得</w:t>
      </w:r>
      <w:r>
        <w:rPr>
          <w:sz w:val="21"/>
          <w:szCs w:val="21"/>
        </w:rPr>
        <w:t>6</w:t>
      </w:r>
      <w:r>
        <w:rPr>
          <w:rFonts w:hint="eastAsia"/>
          <w:sz w:val="21"/>
          <w:szCs w:val="21"/>
        </w:rPr>
        <w:t>分，每缺少 1 个扣 2分，扣完为止（应提供相关人员证书、社保或劳动合同等证明材料）。</w:t>
      </w:r>
    </w:p>
    <w:p>
      <w:pPr>
        <w:pStyle w:val="31"/>
        <w:spacing w:before="0" w:beforeAutospacing="0" w:after="0" w:afterAutospacing="0" w:line="336" w:lineRule="auto"/>
        <w:ind w:firstLine="420" w:firstLineChars="200"/>
        <w:jc w:val="both"/>
        <w:rPr>
          <w:sz w:val="21"/>
          <w:szCs w:val="21"/>
        </w:rPr>
      </w:pPr>
      <w:r>
        <w:rPr>
          <w:rFonts w:hint="eastAsia"/>
          <w:sz w:val="21"/>
          <w:szCs w:val="21"/>
        </w:rPr>
        <w:t>4）售后服务方案：完全满足招标需求的得</w:t>
      </w:r>
      <w:r>
        <w:rPr>
          <w:sz w:val="21"/>
          <w:szCs w:val="21"/>
        </w:rPr>
        <w:t>2</w:t>
      </w:r>
      <w:r>
        <w:rPr>
          <w:rFonts w:hint="eastAsia"/>
          <w:sz w:val="21"/>
          <w:szCs w:val="21"/>
        </w:rPr>
        <w:t>分；基本满足招标要求的得</w:t>
      </w:r>
      <w:r>
        <w:rPr>
          <w:sz w:val="21"/>
          <w:szCs w:val="21"/>
        </w:rPr>
        <w:t>1</w:t>
      </w:r>
      <w:r>
        <w:rPr>
          <w:rFonts w:hint="eastAsia"/>
          <w:sz w:val="21"/>
          <w:szCs w:val="21"/>
        </w:rPr>
        <w:t>分；方案简单，无法满足招标要求的得</w:t>
      </w:r>
      <w:r>
        <w:rPr>
          <w:sz w:val="21"/>
          <w:szCs w:val="21"/>
        </w:rPr>
        <w:t>0</w:t>
      </w:r>
      <w:r>
        <w:rPr>
          <w:rFonts w:hint="eastAsia"/>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（2）信誉业绩（12分）</w:t>
      </w:r>
    </w:p>
    <w:p>
      <w:pPr>
        <w:pStyle w:val="31"/>
        <w:spacing w:before="0" w:beforeAutospacing="0" w:after="0" w:afterAutospacing="0" w:line="336" w:lineRule="auto"/>
        <w:ind w:firstLine="420" w:firstLineChars="200"/>
        <w:jc w:val="both"/>
        <w:rPr>
          <w:sz w:val="21"/>
          <w:szCs w:val="21"/>
        </w:rPr>
      </w:pPr>
      <w:r>
        <w:rPr>
          <w:rFonts w:hint="eastAsia"/>
          <w:sz w:val="21"/>
          <w:szCs w:val="21"/>
        </w:rPr>
        <w:t>投标人提供的省级无线电管理行业无线电管理一体化平台项目业绩，每提供一份得1分，满分12分。</w:t>
      </w:r>
    </w:p>
    <w:p>
      <w:pPr>
        <w:pStyle w:val="31"/>
        <w:spacing w:before="0" w:beforeAutospacing="0" w:after="0" w:afterAutospacing="0" w:line="336" w:lineRule="auto"/>
        <w:ind w:firstLine="420" w:firstLineChars="200"/>
        <w:jc w:val="both"/>
        <w:rPr>
          <w:bCs/>
          <w:sz w:val="21"/>
          <w:szCs w:val="21"/>
        </w:rPr>
      </w:pPr>
      <w:r>
        <w:rPr>
          <w:rFonts w:hint="eastAsia"/>
          <w:bCs/>
          <w:sz w:val="21"/>
          <w:szCs w:val="21"/>
        </w:rPr>
        <w:t>注意：提供与省级无线电管理机构签订的合同复印件；未提供合同复印件的不得分。</w:t>
      </w:r>
    </w:p>
    <w:p>
      <w:pPr>
        <w:pStyle w:val="31"/>
        <w:spacing w:before="0" w:beforeAutospacing="0" w:after="0" w:afterAutospacing="0" w:line="336" w:lineRule="auto"/>
        <w:ind w:firstLine="420" w:firstLineChars="200"/>
        <w:jc w:val="both"/>
        <w:rPr>
          <w:sz w:val="21"/>
          <w:szCs w:val="21"/>
        </w:rPr>
      </w:pPr>
      <w:r>
        <w:rPr>
          <w:rFonts w:hint="eastAsia"/>
          <w:sz w:val="21"/>
          <w:szCs w:val="21"/>
        </w:rPr>
        <w:t>（3）资质证书（8分）</w:t>
      </w:r>
    </w:p>
    <w:p>
      <w:pPr>
        <w:pStyle w:val="31"/>
        <w:spacing w:before="0" w:beforeAutospacing="0" w:after="0" w:afterAutospacing="0" w:line="336" w:lineRule="auto"/>
        <w:ind w:firstLine="420" w:firstLineChars="200"/>
        <w:jc w:val="both"/>
        <w:rPr>
          <w:sz w:val="21"/>
          <w:szCs w:val="21"/>
        </w:rPr>
      </w:pPr>
      <w:r>
        <w:rPr>
          <w:rFonts w:hint="eastAsia"/>
          <w:sz w:val="21"/>
          <w:szCs w:val="21"/>
        </w:rPr>
        <w:t>1）投标人提供 ISO9001 质量管理体系认证证书、OHSAS18001 职业健康安全管理体系认证的、 ISO14001环境管理体系认证证书， 均提供者得 3 分，缺少一项扣1 分，满分 3 分。</w:t>
      </w:r>
    </w:p>
    <w:p>
      <w:pPr>
        <w:pStyle w:val="31"/>
        <w:spacing w:before="0" w:beforeAutospacing="0" w:after="0" w:afterAutospacing="0" w:line="336" w:lineRule="auto"/>
        <w:ind w:firstLine="420" w:firstLineChars="200"/>
        <w:jc w:val="both"/>
        <w:rPr>
          <w:sz w:val="21"/>
          <w:szCs w:val="21"/>
        </w:rPr>
      </w:pPr>
      <w:r>
        <w:rPr>
          <w:rFonts w:hint="eastAsia"/>
          <w:sz w:val="21"/>
          <w:szCs w:val="21"/>
        </w:rPr>
        <w:t>（注：提供资质证书等证明材料复印件并加盖公章，未提供不得分）</w:t>
      </w:r>
    </w:p>
    <w:p>
      <w:pPr>
        <w:pStyle w:val="31"/>
        <w:spacing w:before="0" w:beforeAutospacing="0" w:after="0" w:afterAutospacing="0" w:line="336" w:lineRule="auto"/>
        <w:ind w:firstLine="420" w:firstLineChars="200"/>
        <w:jc w:val="both"/>
        <w:rPr>
          <w:sz w:val="21"/>
          <w:szCs w:val="21"/>
        </w:rPr>
      </w:pPr>
      <w:r>
        <w:rPr>
          <w:rFonts w:hint="eastAsia"/>
          <w:sz w:val="21"/>
          <w:szCs w:val="21"/>
        </w:rPr>
        <w:t>2）投标人具有一体化相关软件著作权和权威机构出具的测试报告，每份（软件著作权和测试报告）得1分，满分5分。</w:t>
      </w:r>
    </w:p>
    <w:p>
      <w:pPr>
        <w:pStyle w:val="31"/>
        <w:spacing w:before="0" w:beforeAutospacing="0" w:after="0" w:afterAutospacing="0" w:line="336" w:lineRule="auto"/>
        <w:ind w:firstLine="200"/>
        <w:jc w:val="both"/>
        <w:rPr>
          <w:b/>
          <w:bCs/>
          <w:sz w:val="21"/>
          <w:szCs w:val="21"/>
        </w:rPr>
      </w:pPr>
      <w:r>
        <w:rPr>
          <w:rFonts w:hint="eastAsia"/>
          <w:b/>
          <w:bCs/>
          <w:sz w:val="21"/>
          <w:szCs w:val="21"/>
        </w:rPr>
        <w:t>4、政策性加分………………………………………………………………………………满分</w:t>
      </w:r>
      <w:r>
        <w:rPr>
          <w:b/>
          <w:bCs/>
          <w:sz w:val="21"/>
          <w:szCs w:val="21"/>
        </w:rPr>
        <w:t>3</w:t>
      </w:r>
      <w:r>
        <w:rPr>
          <w:rFonts w:hint="eastAsia"/>
          <w:b/>
          <w:bCs/>
          <w:sz w:val="21"/>
          <w:szCs w:val="21"/>
        </w:rPr>
        <w:t>分</w:t>
      </w:r>
    </w:p>
    <w:p>
      <w:pPr>
        <w:pStyle w:val="31"/>
        <w:spacing w:before="0" w:beforeAutospacing="0" w:after="0" w:afterAutospacing="0" w:line="336" w:lineRule="auto"/>
        <w:ind w:firstLine="420" w:firstLineChars="200"/>
        <w:jc w:val="both"/>
        <w:rPr>
          <w:sz w:val="21"/>
          <w:szCs w:val="21"/>
        </w:rPr>
      </w:pPr>
      <w:r>
        <w:rPr>
          <w:rFonts w:hint="eastAsia"/>
          <w:sz w:val="21"/>
          <w:szCs w:val="21"/>
        </w:rPr>
        <w:t>1、节能产品分（1分）</w:t>
      </w:r>
    </w:p>
    <w:p>
      <w:pPr>
        <w:pStyle w:val="31"/>
        <w:spacing w:before="0" w:beforeAutospacing="0" w:after="0" w:afterAutospacing="0" w:line="336" w:lineRule="auto"/>
        <w:ind w:firstLine="420" w:firstLineChars="200"/>
        <w:jc w:val="both"/>
        <w:rPr>
          <w:sz w:val="21"/>
          <w:szCs w:val="21"/>
        </w:rPr>
      </w:pPr>
      <w:r>
        <w:rPr>
          <w:rFonts w:hint="eastAsia"/>
          <w:sz w:val="21"/>
          <w:szCs w:val="21"/>
        </w:rPr>
        <w:t>投标产品列入财政部、国家发改委公布的最新一期《节能产品政府采购清单》目录的，每有一项得0.5分，最多得1分。采购内容中的强制产品不加分。</w:t>
      </w:r>
    </w:p>
    <w:p>
      <w:pPr>
        <w:pStyle w:val="31"/>
        <w:spacing w:before="0" w:beforeAutospacing="0" w:after="0" w:afterAutospacing="0" w:line="336" w:lineRule="auto"/>
        <w:ind w:firstLine="420" w:firstLineChars="200"/>
        <w:jc w:val="both"/>
        <w:rPr>
          <w:sz w:val="21"/>
          <w:szCs w:val="21"/>
        </w:rPr>
      </w:pPr>
      <w:r>
        <w:rPr>
          <w:rFonts w:hint="eastAsia"/>
          <w:sz w:val="21"/>
          <w:szCs w:val="21"/>
        </w:rPr>
        <w:t>2、环保标志产品分（1分）</w:t>
      </w:r>
    </w:p>
    <w:p>
      <w:pPr>
        <w:pStyle w:val="31"/>
        <w:spacing w:before="0" w:beforeAutospacing="0" w:after="0" w:afterAutospacing="0" w:line="336" w:lineRule="auto"/>
        <w:ind w:firstLine="420" w:firstLineChars="200"/>
        <w:jc w:val="both"/>
        <w:rPr>
          <w:sz w:val="21"/>
          <w:szCs w:val="21"/>
        </w:rPr>
      </w:pPr>
      <w:r>
        <w:rPr>
          <w:rFonts w:hint="eastAsia"/>
          <w:sz w:val="21"/>
          <w:szCs w:val="21"/>
        </w:rPr>
        <w:t>主要投标产品纳入财政部、环保部公布的最新一期《环境标志产品政府采购清单》目录的，每有一项得0.5分，最多得1分。</w:t>
      </w:r>
    </w:p>
    <w:p>
      <w:pPr>
        <w:pStyle w:val="31"/>
        <w:spacing w:before="0" w:beforeAutospacing="0" w:after="0" w:afterAutospacing="0" w:line="336" w:lineRule="auto"/>
        <w:ind w:firstLine="420" w:firstLineChars="200"/>
        <w:jc w:val="both"/>
        <w:rPr>
          <w:sz w:val="21"/>
          <w:szCs w:val="21"/>
        </w:rPr>
      </w:pPr>
      <w:r>
        <w:rPr>
          <w:rFonts w:hint="eastAsia"/>
          <w:sz w:val="21"/>
          <w:szCs w:val="21"/>
        </w:rPr>
        <w:t>3、广西工业产品分（1分）</w:t>
      </w:r>
    </w:p>
    <w:p>
      <w:pPr>
        <w:pStyle w:val="31"/>
        <w:spacing w:before="0" w:beforeAutospacing="0" w:after="0" w:afterAutospacing="0" w:line="336" w:lineRule="auto"/>
        <w:ind w:firstLine="420" w:firstLineChars="200"/>
        <w:jc w:val="both"/>
        <w:rPr>
          <w:sz w:val="21"/>
          <w:szCs w:val="21"/>
        </w:rPr>
      </w:pPr>
      <w:r>
        <w:rPr>
          <w:rFonts w:hint="eastAsia"/>
          <w:sz w:val="21"/>
          <w:szCs w:val="21"/>
        </w:rPr>
        <w:t>投标产品使用广西工业产品80%以上的，得1分。</w:t>
      </w:r>
    </w:p>
    <w:p>
      <w:pPr>
        <w:pStyle w:val="31"/>
        <w:spacing w:before="0" w:beforeAutospacing="0" w:after="0" w:afterAutospacing="0" w:line="336" w:lineRule="auto"/>
        <w:ind w:firstLine="200"/>
        <w:jc w:val="both"/>
        <w:rPr>
          <w:sz w:val="21"/>
          <w:szCs w:val="21"/>
        </w:rPr>
      </w:pPr>
      <w:r>
        <w:rPr>
          <w:rFonts w:hint="eastAsia"/>
          <w:b/>
          <w:bCs/>
          <w:sz w:val="21"/>
          <w:szCs w:val="21"/>
        </w:rPr>
        <w:t xml:space="preserve">（五）总得分=1 + 2 + 3 + 4  </w:t>
      </w:r>
    </w:p>
    <w:p>
      <w:pPr>
        <w:pStyle w:val="31"/>
        <w:spacing w:before="0" w:beforeAutospacing="0" w:after="0" w:afterAutospacing="0" w:line="336" w:lineRule="auto"/>
        <w:ind w:firstLine="200"/>
        <w:jc w:val="both"/>
        <w:rPr>
          <w:sz w:val="21"/>
          <w:szCs w:val="21"/>
        </w:rPr>
      </w:pPr>
      <w:r>
        <w:rPr>
          <w:rFonts w:hint="eastAsia"/>
          <w:sz w:val="21"/>
          <w:szCs w:val="21"/>
        </w:rPr>
        <w:t>三、中标候选人推荐原则</w:t>
      </w:r>
    </w:p>
    <w:p>
      <w:pPr>
        <w:pStyle w:val="31"/>
        <w:spacing w:before="0" w:beforeAutospacing="0" w:after="0" w:afterAutospacing="0" w:line="336" w:lineRule="auto"/>
        <w:ind w:firstLine="420" w:firstLineChars="200"/>
        <w:jc w:val="both"/>
        <w:rPr>
          <w:sz w:val="21"/>
          <w:szCs w:val="21"/>
        </w:rPr>
      </w:pPr>
      <w:r>
        <w:rPr>
          <w:rFonts w:hint="eastAsia"/>
          <w:sz w:val="21"/>
          <w:szCs w:val="21"/>
        </w:rPr>
        <w:t>（一）评标委员会将根据综合总得分由高到低排列次序（得分相同时，以投标报价由低到高顺序排列；得分相同且投标报价相同的，按技术分由高到低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31"/>
        <w:spacing w:before="0" w:beforeAutospacing="0" w:after="0" w:afterAutospacing="0" w:line="336" w:lineRule="auto"/>
        <w:ind w:firstLine="420" w:firstLineChars="200"/>
        <w:rPr>
          <w:rFonts w:ascii="黑体" w:eastAsia="黑体"/>
          <w:b/>
          <w:sz w:val="32"/>
          <w:szCs w:val="32"/>
        </w:rPr>
        <w:sectPr>
          <w:pgSz w:w="11906" w:h="16838"/>
          <w:pgMar w:top="1134" w:right="1418" w:bottom="1134" w:left="1418" w:header="567" w:footer="567" w:gutter="0"/>
          <w:cols w:space="720" w:num="1"/>
          <w:titlePg/>
          <w:docGrid w:linePitch="312" w:charSpace="0"/>
        </w:sectPr>
      </w:pPr>
      <w:r>
        <w:rPr>
          <w:rFonts w:hint="eastAsia"/>
          <w:sz w:val="21"/>
          <w:szCs w:val="21"/>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可以取消该投标人的中标候选资格，采购单位按顺序由排在后面的中标候选人递补，也可重新组织招标。</w:t>
      </w:r>
      <w:r>
        <w:rPr>
          <w:rFonts w:hint="eastAsia"/>
          <w:sz w:val="21"/>
          <w:szCs w:val="21"/>
        </w:rPr>
        <w:br w:type="page"/>
      </w:r>
      <w:bookmarkEnd w:id="108"/>
      <w:bookmarkEnd w:id="109"/>
    </w:p>
    <w:p>
      <w:pPr>
        <w:pStyle w:val="12"/>
        <w:snapToGrid w:val="0"/>
        <w:spacing w:before="120" w:after="120" w:line="320" w:lineRule="exact"/>
        <w:jc w:val="center"/>
        <w:outlineLvl w:val="0"/>
        <w:rPr>
          <w:rFonts w:ascii="黑体" w:hAnsi="宋体" w:eastAsia="黑体"/>
          <w:sz w:val="32"/>
          <w:szCs w:val="32"/>
        </w:rPr>
      </w:pPr>
      <w:bookmarkStart w:id="115" w:name="_Toc48031719"/>
      <w:r>
        <w:rPr>
          <w:rFonts w:hint="eastAsia" w:ascii="黑体" w:eastAsia="黑体"/>
          <w:sz w:val="32"/>
          <w:szCs w:val="32"/>
        </w:rPr>
        <w:t>第五章  合同主要条款格式</w:t>
      </w:r>
      <w:bookmarkEnd w:id="115"/>
    </w:p>
    <w:p>
      <w:pPr>
        <w:snapToGrid w:val="0"/>
        <w:spacing w:line="400" w:lineRule="exact"/>
        <w:jc w:val="center"/>
        <w:rPr>
          <w:rFonts w:ascii="仿宋_GB2312" w:hAnsi="华文中宋" w:eastAsia="仿宋_GB2312"/>
          <w:b/>
          <w:bCs/>
          <w:sz w:val="24"/>
        </w:rPr>
      </w:pPr>
      <w:r>
        <w:rPr>
          <w:rFonts w:hint="eastAsia" w:ascii="仿宋_GB2312" w:hAnsi="华文中宋" w:eastAsia="仿宋_GB2312"/>
          <w:b/>
          <w:bCs/>
          <w:sz w:val="24"/>
        </w:rPr>
        <w:t>广西壮族自治区政府采购合同</w:t>
      </w:r>
    </w:p>
    <w:p>
      <w:pPr>
        <w:spacing w:after="96" w:afterLines="40"/>
        <w:jc w:val="center"/>
        <w:rPr>
          <w:rFonts w:ascii="宋体" w:hAnsi="宋体" w:cs="HiddenHorzOCl"/>
          <w:sz w:val="26"/>
          <w:szCs w:val="26"/>
        </w:rPr>
      </w:pPr>
    </w:p>
    <w:tbl>
      <w:tblPr>
        <w:tblStyle w:val="17"/>
        <w:tblW w:w="7920" w:type="dxa"/>
        <w:tblInd w:w="0" w:type="dxa"/>
        <w:tblLayout w:type="fixed"/>
        <w:tblCellMar>
          <w:top w:w="0" w:type="dxa"/>
          <w:left w:w="108" w:type="dxa"/>
          <w:bottom w:w="0" w:type="dxa"/>
          <w:right w:w="108" w:type="dxa"/>
        </w:tblCellMar>
      </w:tblPr>
      <w:tblGrid>
        <w:gridCol w:w="4170"/>
        <w:gridCol w:w="3750"/>
      </w:tblGrid>
      <w:tr>
        <w:tblPrEx>
          <w:tblCellMar>
            <w:top w:w="0" w:type="dxa"/>
            <w:left w:w="108" w:type="dxa"/>
            <w:bottom w:w="0" w:type="dxa"/>
            <w:right w:w="108" w:type="dxa"/>
          </w:tblCellMar>
        </w:tblPrEx>
        <w:trPr>
          <w:trHeight w:val="346" w:hRule="atLeast"/>
        </w:trPr>
        <w:tc>
          <w:tcPr>
            <w:tcW w:w="4170" w:type="dxa"/>
            <w:vAlign w:val="center"/>
          </w:tcPr>
          <w:p>
            <w:pPr>
              <w:pStyle w:val="32"/>
              <w:rPr>
                <w:rFonts w:hAnsi="宋体" w:cs="HiddenHorzOCl"/>
                <w:color w:val="auto"/>
                <w:sz w:val="21"/>
                <w:szCs w:val="21"/>
              </w:rPr>
            </w:pPr>
            <w:r>
              <w:rPr>
                <w:rFonts w:hint="eastAsia" w:hAnsi="宋体" w:cs="HiddenHorzOCl"/>
                <w:color w:val="auto"/>
                <w:sz w:val="21"/>
                <w:szCs w:val="21"/>
              </w:rPr>
              <w:t>合同编号：</w:t>
            </w:r>
          </w:p>
        </w:tc>
        <w:tc>
          <w:tcPr>
            <w:tcW w:w="3750" w:type="dxa"/>
            <w:vAlign w:val="center"/>
          </w:tcPr>
          <w:p>
            <w:pPr>
              <w:pStyle w:val="32"/>
              <w:rPr>
                <w:rFonts w:hAnsi="宋体" w:cs="HiddenHorzOCl"/>
                <w:color w:val="auto"/>
                <w:sz w:val="21"/>
                <w:szCs w:val="21"/>
              </w:rPr>
            </w:pPr>
          </w:p>
        </w:tc>
      </w:tr>
      <w:tr>
        <w:tblPrEx>
          <w:tblCellMar>
            <w:top w:w="0" w:type="dxa"/>
            <w:left w:w="108" w:type="dxa"/>
            <w:bottom w:w="0" w:type="dxa"/>
            <w:right w:w="108" w:type="dxa"/>
          </w:tblCellMar>
        </w:tblPrEx>
        <w:trPr>
          <w:trHeight w:val="276" w:hRule="atLeast"/>
        </w:trPr>
        <w:tc>
          <w:tcPr>
            <w:tcW w:w="4170" w:type="dxa"/>
            <w:vAlign w:val="bottom"/>
          </w:tcPr>
          <w:p>
            <w:pPr>
              <w:pStyle w:val="32"/>
              <w:rPr>
                <w:rFonts w:hAnsi="宋体" w:cs="HiddenHorzOCl"/>
                <w:color w:val="auto"/>
                <w:sz w:val="21"/>
                <w:szCs w:val="21"/>
              </w:rPr>
            </w:pPr>
            <w:r>
              <w:rPr>
                <w:rFonts w:hint="eastAsia" w:hAnsi="宋体" w:cs="HiddenHorzOCl"/>
                <w:color w:val="auto"/>
                <w:sz w:val="21"/>
                <w:szCs w:val="21"/>
              </w:rPr>
              <w:t>采购单位</w:t>
            </w:r>
            <w:r>
              <w:rPr>
                <w:rFonts w:hAnsi="宋体" w:cs="HiddenHorzOCl"/>
                <w:color w:val="auto"/>
                <w:sz w:val="21"/>
                <w:szCs w:val="21"/>
              </w:rPr>
              <w:t>(</w:t>
            </w:r>
            <w:r>
              <w:rPr>
                <w:rFonts w:hint="eastAsia" w:hAnsi="宋体" w:cs="HiddenHorzOCl"/>
                <w:color w:val="auto"/>
                <w:sz w:val="21"/>
                <w:szCs w:val="21"/>
              </w:rPr>
              <w:t>甲方</w:t>
            </w:r>
            <w:r>
              <w:rPr>
                <w:rFonts w:hAnsi="宋体" w:cs="HiddenHorzOCl"/>
                <w:color w:val="auto"/>
                <w:sz w:val="21"/>
                <w:szCs w:val="21"/>
              </w:rPr>
              <w:t>)</w:t>
            </w:r>
            <w:r>
              <w:rPr>
                <w:rFonts w:hint="eastAsia" w:hAnsi="宋体" w:cs="HiddenHorzOCl"/>
                <w:color w:val="auto"/>
                <w:sz w:val="21"/>
                <w:szCs w:val="21"/>
              </w:rPr>
              <w:t>：</w:t>
            </w:r>
          </w:p>
        </w:tc>
        <w:tc>
          <w:tcPr>
            <w:tcW w:w="3750" w:type="dxa"/>
            <w:vAlign w:val="bottom"/>
          </w:tcPr>
          <w:p>
            <w:pPr>
              <w:pStyle w:val="32"/>
              <w:ind w:right="90"/>
              <w:rPr>
                <w:rFonts w:hAnsi="宋体" w:cs="HiddenHorzOCl"/>
                <w:color w:val="auto"/>
                <w:sz w:val="21"/>
                <w:szCs w:val="21"/>
              </w:rPr>
            </w:pPr>
            <w:r>
              <w:rPr>
                <w:rFonts w:hint="eastAsia" w:hAnsi="宋体" w:cs="HiddenHorzOCl"/>
                <w:color w:val="auto"/>
                <w:sz w:val="21"/>
                <w:szCs w:val="21"/>
              </w:rPr>
              <w:t>采购计划号：</w:t>
            </w:r>
          </w:p>
        </w:tc>
      </w:tr>
      <w:tr>
        <w:tblPrEx>
          <w:tblCellMar>
            <w:top w:w="0" w:type="dxa"/>
            <w:left w:w="108" w:type="dxa"/>
            <w:bottom w:w="0" w:type="dxa"/>
            <w:right w:w="108" w:type="dxa"/>
          </w:tblCellMar>
        </w:tblPrEx>
        <w:trPr>
          <w:trHeight w:val="167" w:hRule="atLeast"/>
        </w:trPr>
        <w:tc>
          <w:tcPr>
            <w:tcW w:w="4170" w:type="dxa"/>
            <w:vAlign w:val="center"/>
          </w:tcPr>
          <w:p>
            <w:pPr>
              <w:pStyle w:val="32"/>
              <w:rPr>
                <w:rFonts w:hAnsi="宋体" w:cs="HiddenHorzOCl"/>
                <w:color w:val="auto"/>
                <w:sz w:val="21"/>
                <w:szCs w:val="21"/>
              </w:rPr>
            </w:pPr>
            <w:r>
              <w:rPr>
                <w:rFonts w:hint="eastAsia" w:hAnsi="宋体" w:cs="HiddenHorzOCl"/>
                <w:color w:val="auto"/>
                <w:sz w:val="21"/>
                <w:szCs w:val="21"/>
              </w:rPr>
              <w:t>供应商</w:t>
            </w:r>
            <w:r>
              <w:rPr>
                <w:rFonts w:hAnsi="宋体" w:cs="HiddenHorzOCl"/>
                <w:color w:val="auto"/>
                <w:sz w:val="21"/>
                <w:szCs w:val="21"/>
              </w:rPr>
              <w:t>(</w:t>
            </w:r>
            <w:r>
              <w:rPr>
                <w:rFonts w:hint="eastAsia" w:hAnsi="宋体" w:cs="HiddenHorzOCl"/>
                <w:color w:val="auto"/>
                <w:sz w:val="21"/>
                <w:szCs w:val="21"/>
              </w:rPr>
              <w:t>乙方</w:t>
            </w:r>
            <w:r>
              <w:rPr>
                <w:rFonts w:hAnsi="宋体" w:cs="HiddenHorzOCl"/>
                <w:color w:val="auto"/>
                <w:sz w:val="21"/>
                <w:szCs w:val="21"/>
              </w:rPr>
              <w:t>)</w:t>
            </w:r>
            <w:r>
              <w:rPr>
                <w:rFonts w:hint="eastAsia" w:hAnsi="宋体" w:cs="HiddenHorzOCl"/>
                <w:color w:val="auto"/>
                <w:sz w:val="21"/>
                <w:szCs w:val="21"/>
              </w:rPr>
              <w:t>：</w:t>
            </w:r>
          </w:p>
        </w:tc>
        <w:tc>
          <w:tcPr>
            <w:tcW w:w="3750" w:type="dxa"/>
            <w:vAlign w:val="center"/>
          </w:tcPr>
          <w:p>
            <w:pPr>
              <w:pStyle w:val="32"/>
              <w:rPr>
                <w:rFonts w:hAnsi="宋体" w:cs="HiddenHorzOCl"/>
                <w:color w:val="auto"/>
                <w:sz w:val="21"/>
                <w:szCs w:val="21"/>
              </w:rPr>
            </w:pPr>
            <w:r>
              <w:rPr>
                <w:rFonts w:hint="eastAsia" w:hAnsi="宋体" w:cs="HiddenHorzOCl"/>
                <w:color w:val="auto"/>
                <w:sz w:val="21"/>
                <w:szCs w:val="21"/>
              </w:rPr>
              <w:t>项目名称和编号：</w:t>
            </w:r>
          </w:p>
        </w:tc>
      </w:tr>
      <w:tr>
        <w:tblPrEx>
          <w:tblCellMar>
            <w:top w:w="0" w:type="dxa"/>
            <w:left w:w="108" w:type="dxa"/>
            <w:bottom w:w="0" w:type="dxa"/>
            <w:right w:w="108" w:type="dxa"/>
          </w:tblCellMar>
        </w:tblPrEx>
        <w:trPr>
          <w:trHeight w:val="106" w:hRule="atLeast"/>
        </w:trPr>
        <w:tc>
          <w:tcPr>
            <w:tcW w:w="4170" w:type="dxa"/>
            <w:vAlign w:val="bottom"/>
          </w:tcPr>
          <w:p>
            <w:pPr>
              <w:pStyle w:val="32"/>
              <w:rPr>
                <w:rFonts w:hAnsi="宋体" w:cs="HiddenHorzOCl"/>
                <w:color w:val="auto"/>
                <w:sz w:val="21"/>
                <w:szCs w:val="21"/>
              </w:rPr>
            </w:pPr>
            <w:r>
              <w:rPr>
                <w:rFonts w:hint="eastAsia" w:hAnsi="宋体" w:cs="HiddenHorzOCl"/>
                <w:color w:val="auto"/>
                <w:sz w:val="21"/>
                <w:szCs w:val="21"/>
              </w:rPr>
              <w:t>签订地点：</w:t>
            </w:r>
          </w:p>
        </w:tc>
        <w:tc>
          <w:tcPr>
            <w:tcW w:w="3750" w:type="dxa"/>
            <w:vAlign w:val="bottom"/>
          </w:tcPr>
          <w:p>
            <w:pPr>
              <w:pStyle w:val="32"/>
              <w:rPr>
                <w:rFonts w:hAnsi="宋体" w:cs="HiddenHorzOCl"/>
                <w:color w:val="auto"/>
                <w:sz w:val="21"/>
                <w:szCs w:val="21"/>
              </w:rPr>
            </w:pPr>
            <w:r>
              <w:rPr>
                <w:rFonts w:hint="eastAsia" w:hAnsi="宋体" w:cs="HiddenHorzOCl"/>
                <w:color w:val="auto"/>
                <w:sz w:val="21"/>
                <w:szCs w:val="21"/>
              </w:rPr>
              <w:t>签订时间：</w:t>
            </w:r>
          </w:p>
        </w:tc>
      </w:tr>
    </w:tbl>
    <w:p>
      <w:pPr>
        <w:spacing w:after="96" w:afterLines="40"/>
        <w:ind w:firstLine="480" w:firstLineChars="200"/>
        <w:rPr>
          <w:sz w:val="24"/>
        </w:rPr>
      </w:pPr>
    </w:p>
    <w:p>
      <w:pPr>
        <w:spacing w:after="96" w:afterLines="40"/>
        <w:ind w:firstLine="420" w:firstLineChars="200"/>
        <w:rPr>
          <w:szCs w:val="21"/>
        </w:rPr>
      </w:pPr>
      <w:r>
        <w:rPr>
          <w:rFonts w:hint="eastAsia"/>
          <w:szCs w:val="21"/>
        </w:rPr>
        <w:t>根据《中华人民共和国政府采购法》、《中华人民共和国合同法》等法律、法规规定，按照招投标文件（采购文件）规定条款和中标（成交）供应商承诺，甲乙双方签订本合同。</w:t>
      </w:r>
    </w:p>
    <w:p>
      <w:pPr>
        <w:spacing w:after="96" w:afterLines="40"/>
        <w:ind w:firstLine="480" w:firstLineChars="200"/>
        <w:rPr>
          <w:rFonts w:ascii="黑体" w:hAnsi="黑体" w:eastAsia="黑体"/>
          <w:sz w:val="24"/>
        </w:rPr>
      </w:pPr>
      <w:r>
        <w:rPr>
          <w:rFonts w:hint="eastAsia" w:ascii="黑体" w:hAnsi="黑体" w:eastAsia="黑体"/>
          <w:sz w:val="24"/>
        </w:rPr>
        <w:t>第一条 合同标的</w:t>
      </w:r>
    </w:p>
    <w:p>
      <w:pPr>
        <w:spacing w:after="96" w:afterLines="40"/>
        <w:ind w:firstLine="420" w:firstLineChars="200"/>
        <w:rPr>
          <w:szCs w:val="21"/>
        </w:rPr>
      </w:pPr>
      <w:r>
        <w:rPr>
          <w:rFonts w:hint="eastAsia"/>
          <w:szCs w:val="21"/>
        </w:rPr>
        <w:t>1．供货/服务一览表</w:t>
      </w:r>
    </w:p>
    <w:tbl>
      <w:tblPr>
        <w:tblStyle w:val="17"/>
        <w:tblW w:w="881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4"/>
        <w:gridCol w:w="1134"/>
        <w:gridCol w:w="1134"/>
        <w:gridCol w:w="1134"/>
        <w:gridCol w:w="709"/>
        <w:gridCol w:w="732"/>
        <w:gridCol w:w="1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pPr>
              <w:jc w:val="center"/>
              <w:rPr>
                <w:szCs w:val="21"/>
              </w:rPr>
            </w:pPr>
            <w:r>
              <w:rPr>
                <w:rFonts w:hint="eastAsia"/>
                <w:szCs w:val="21"/>
              </w:rPr>
              <w:t>序号</w:t>
            </w:r>
          </w:p>
        </w:tc>
        <w:tc>
          <w:tcPr>
            <w:tcW w:w="1134" w:type="dxa"/>
            <w:vAlign w:val="center"/>
          </w:tcPr>
          <w:p>
            <w:pPr>
              <w:jc w:val="center"/>
              <w:rPr>
                <w:szCs w:val="21"/>
              </w:rPr>
            </w:pPr>
            <w:r>
              <w:rPr>
                <w:rFonts w:hint="eastAsia"/>
                <w:szCs w:val="21"/>
              </w:rPr>
              <w:t>产品名称</w:t>
            </w:r>
          </w:p>
        </w:tc>
        <w:tc>
          <w:tcPr>
            <w:tcW w:w="1134" w:type="dxa"/>
            <w:vAlign w:val="center"/>
          </w:tcPr>
          <w:p>
            <w:pPr>
              <w:jc w:val="center"/>
              <w:rPr>
                <w:szCs w:val="21"/>
              </w:rPr>
            </w:pPr>
            <w:r>
              <w:rPr>
                <w:rFonts w:hint="eastAsia"/>
                <w:szCs w:val="21"/>
              </w:rPr>
              <w:t>商标品牌</w:t>
            </w:r>
          </w:p>
        </w:tc>
        <w:tc>
          <w:tcPr>
            <w:tcW w:w="1134" w:type="dxa"/>
            <w:vAlign w:val="center"/>
          </w:tcPr>
          <w:p>
            <w:pPr>
              <w:jc w:val="center"/>
              <w:rPr>
                <w:szCs w:val="21"/>
              </w:rPr>
            </w:pPr>
            <w:r>
              <w:rPr>
                <w:rFonts w:hint="eastAsia"/>
                <w:szCs w:val="21"/>
              </w:rPr>
              <w:t>规格型号</w:t>
            </w:r>
          </w:p>
        </w:tc>
        <w:tc>
          <w:tcPr>
            <w:tcW w:w="1134" w:type="dxa"/>
            <w:vAlign w:val="center"/>
          </w:tcPr>
          <w:p>
            <w:pPr>
              <w:jc w:val="center"/>
              <w:rPr>
                <w:szCs w:val="21"/>
              </w:rPr>
            </w:pPr>
            <w:r>
              <w:rPr>
                <w:rFonts w:hint="eastAsia"/>
                <w:szCs w:val="21"/>
              </w:rPr>
              <w:t>生产厂家</w:t>
            </w:r>
          </w:p>
        </w:tc>
        <w:tc>
          <w:tcPr>
            <w:tcW w:w="709" w:type="dxa"/>
            <w:vAlign w:val="center"/>
          </w:tcPr>
          <w:p>
            <w:pPr>
              <w:jc w:val="center"/>
              <w:rPr>
                <w:szCs w:val="21"/>
              </w:rPr>
            </w:pPr>
            <w:r>
              <w:rPr>
                <w:rFonts w:hint="eastAsia"/>
                <w:szCs w:val="21"/>
              </w:rPr>
              <w:t>数量</w:t>
            </w:r>
          </w:p>
        </w:tc>
        <w:tc>
          <w:tcPr>
            <w:tcW w:w="732" w:type="dxa"/>
            <w:vAlign w:val="center"/>
          </w:tcPr>
          <w:p>
            <w:pPr>
              <w:jc w:val="center"/>
              <w:rPr>
                <w:szCs w:val="21"/>
              </w:rPr>
            </w:pPr>
            <w:r>
              <w:rPr>
                <w:rFonts w:hint="eastAsia"/>
                <w:szCs w:val="21"/>
              </w:rPr>
              <w:t>单位</w:t>
            </w:r>
          </w:p>
        </w:tc>
        <w:tc>
          <w:tcPr>
            <w:tcW w:w="1110" w:type="dxa"/>
            <w:vAlign w:val="center"/>
          </w:tcPr>
          <w:p>
            <w:pPr>
              <w:jc w:val="center"/>
              <w:rPr>
                <w:szCs w:val="21"/>
              </w:rPr>
            </w:pPr>
            <w:r>
              <w:rPr>
                <w:rFonts w:hint="eastAsia"/>
                <w:szCs w:val="21"/>
              </w:rPr>
              <w:t>单价(元)</w:t>
            </w:r>
          </w:p>
        </w:tc>
        <w:tc>
          <w:tcPr>
            <w:tcW w:w="993" w:type="dxa"/>
            <w:vAlign w:val="center"/>
          </w:tcPr>
          <w:p>
            <w:pPr>
              <w:jc w:val="center"/>
              <w:rPr>
                <w:szCs w:val="21"/>
              </w:rPr>
            </w:pPr>
            <w:r>
              <w:rPr>
                <w:rFonts w:hint="eastAsia"/>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1</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2</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Align w:val="center"/>
          </w:tcPr>
          <w:p>
            <w:r>
              <w:rPr>
                <w:rFonts w:hint="eastAsia"/>
              </w:rPr>
              <w:t>3</w:t>
            </w:r>
          </w:p>
        </w:tc>
        <w:tc>
          <w:tcPr>
            <w:tcW w:w="1134"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732" w:type="dxa"/>
            <w:vAlign w:val="center"/>
          </w:tcPr>
          <w:p/>
        </w:tc>
        <w:tc>
          <w:tcPr>
            <w:tcW w:w="1110" w:type="dxa"/>
            <w:vAlign w:val="center"/>
          </w:tcPr>
          <w:p/>
        </w:tc>
        <w:tc>
          <w:tcPr>
            <w:tcW w:w="9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11" w:type="dxa"/>
            <w:gridSpan w:val="9"/>
            <w:vAlign w:val="center"/>
          </w:tcPr>
          <w:p>
            <w:r>
              <w:rPr>
                <w:rFonts w:hint="eastAsia"/>
              </w:rPr>
              <w:t>人民币合计金额(大写)                                   (小写)</w:t>
            </w:r>
          </w:p>
        </w:tc>
      </w:tr>
    </w:tbl>
    <w:p>
      <w:pPr>
        <w:spacing w:after="96" w:afterLines="40"/>
        <w:ind w:firstLine="420" w:firstLineChars="200"/>
        <w:rPr>
          <w:szCs w:val="21"/>
        </w:rPr>
      </w:pPr>
    </w:p>
    <w:p>
      <w:pPr>
        <w:spacing w:after="96" w:afterLines="40"/>
        <w:ind w:firstLine="420" w:firstLineChars="200"/>
        <w:rPr>
          <w:szCs w:val="21"/>
        </w:rPr>
      </w:pPr>
      <w:r>
        <w:rPr>
          <w:szCs w:val="21"/>
        </w:rPr>
        <w:t>2</w:t>
      </w:r>
      <w:r>
        <w:rPr>
          <w:rFonts w:hint="eastAsia"/>
          <w:szCs w:val="21"/>
        </w:rPr>
        <w:t>．合同合计金额包括货物价款，备件、专用工具、安装、调试、检验、技术培训及技术资料和包装、运输等全部费用。如招投标文件对其另有规定的，从其规定。</w:t>
      </w:r>
    </w:p>
    <w:p>
      <w:pPr>
        <w:spacing w:after="96" w:afterLines="40"/>
        <w:ind w:firstLine="480" w:firstLineChars="200"/>
        <w:rPr>
          <w:rFonts w:ascii="黑体" w:hAnsi="黑体" w:eastAsia="黑体"/>
          <w:sz w:val="24"/>
        </w:rPr>
      </w:pPr>
      <w:r>
        <w:rPr>
          <w:rFonts w:hint="eastAsia" w:ascii="黑体" w:hAnsi="黑体" w:eastAsia="黑体"/>
          <w:sz w:val="24"/>
        </w:rPr>
        <w:t>第二条 质量保证</w:t>
      </w:r>
    </w:p>
    <w:p>
      <w:pPr>
        <w:spacing w:after="96" w:afterLines="40"/>
        <w:ind w:firstLine="420" w:firstLineChars="200"/>
        <w:rPr>
          <w:szCs w:val="21"/>
        </w:rPr>
      </w:pPr>
      <w:r>
        <w:rPr>
          <w:szCs w:val="21"/>
        </w:rPr>
        <w:t>1．</w:t>
      </w:r>
      <w:r>
        <w:rPr>
          <w:rFonts w:hint="eastAsia"/>
          <w:szCs w:val="21"/>
        </w:rPr>
        <w:t>乙方所提供的货物型号、技术规格、技术参数等质量必须与招投标文件和承诺相一致。乙方提供的节能和环保产品必须是列入政府采购清单的产品。</w:t>
      </w:r>
    </w:p>
    <w:p>
      <w:pPr>
        <w:spacing w:after="96" w:afterLines="40"/>
        <w:ind w:firstLine="420" w:firstLineChars="200"/>
        <w:rPr>
          <w:szCs w:val="21"/>
        </w:rPr>
      </w:pPr>
      <w:r>
        <w:rPr>
          <w:szCs w:val="21"/>
        </w:rPr>
        <w:t>2</w:t>
      </w:r>
      <w:r>
        <w:rPr>
          <w:rFonts w:hint="eastAsia"/>
          <w:szCs w:val="21"/>
        </w:rPr>
        <w:t>．乙方所提供的货物必须是全新、未使用的原装产品，且在正常安装、使用和保养条件下，其使用寿命期内各项指标均达到质量要求。</w:t>
      </w:r>
    </w:p>
    <w:p>
      <w:pPr>
        <w:spacing w:after="96" w:afterLines="40"/>
        <w:ind w:firstLine="480" w:firstLineChars="200"/>
        <w:rPr>
          <w:rFonts w:ascii="黑体" w:hAnsi="黑体" w:eastAsia="黑体"/>
          <w:sz w:val="24"/>
        </w:rPr>
      </w:pPr>
      <w:r>
        <w:rPr>
          <w:rFonts w:hint="eastAsia" w:ascii="黑体" w:hAnsi="黑体" w:eastAsia="黑体"/>
          <w:sz w:val="24"/>
        </w:rPr>
        <w:t>第三条 权利保证</w:t>
      </w:r>
    </w:p>
    <w:p>
      <w:pPr>
        <w:spacing w:after="96" w:afterLines="40"/>
        <w:ind w:firstLine="420" w:firstLineChars="200"/>
        <w:rPr>
          <w:szCs w:val="21"/>
        </w:rPr>
      </w:pPr>
      <w:r>
        <w:rPr>
          <w:rFonts w:hint="eastAsia"/>
          <w:szCs w:val="21"/>
        </w:rPr>
        <w:t>乙方应保证所提供货物在使用时不会侵犯任何第三方的专利权、商标权、工业设计权或其他权利。</w:t>
      </w:r>
    </w:p>
    <w:p>
      <w:pPr>
        <w:spacing w:after="96" w:afterLines="40"/>
        <w:ind w:firstLine="420" w:firstLineChars="200"/>
        <w:rPr>
          <w:szCs w:val="21"/>
        </w:rPr>
      </w:pPr>
      <w:r>
        <w:rPr>
          <w:rFonts w:hint="eastAsia"/>
          <w:szCs w:val="21"/>
        </w:rPr>
        <w:t>乙方应按招标文件规定的时间向甲方提供使用货物的有关技术资料。</w:t>
      </w:r>
    </w:p>
    <w:p>
      <w:pPr>
        <w:spacing w:after="96" w:afterLines="40"/>
        <w:ind w:firstLine="420" w:firstLineChars="200"/>
        <w:rPr>
          <w:szCs w:val="21"/>
        </w:rPr>
      </w:pPr>
      <w:r>
        <w:rPr>
          <w:rFonts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96" w:afterLines="40"/>
        <w:ind w:firstLine="420" w:firstLineChars="200"/>
        <w:rPr>
          <w:szCs w:val="21"/>
        </w:rPr>
      </w:pPr>
      <w:r>
        <w:rPr>
          <w:rFonts w:hint="eastAsia"/>
          <w:szCs w:val="21"/>
        </w:rPr>
        <w:t>乙方保证所交付的货物的所有权完全属于乙方且无任何抵押、质押、查封等产权瑕疵。</w:t>
      </w:r>
    </w:p>
    <w:p>
      <w:pPr>
        <w:spacing w:after="96" w:afterLines="40"/>
        <w:ind w:firstLine="480" w:firstLineChars="200"/>
        <w:rPr>
          <w:rFonts w:ascii="黑体" w:hAnsi="黑体" w:eastAsia="黑体"/>
          <w:sz w:val="24"/>
        </w:rPr>
      </w:pPr>
      <w:r>
        <w:rPr>
          <w:rFonts w:hint="eastAsia" w:ascii="黑体" w:hAnsi="黑体" w:eastAsia="黑体"/>
          <w:sz w:val="24"/>
        </w:rPr>
        <w:t>第四条 包装和运输</w:t>
      </w:r>
    </w:p>
    <w:p>
      <w:pPr>
        <w:spacing w:after="96" w:afterLines="40"/>
        <w:ind w:firstLine="420" w:firstLineChars="200"/>
        <w:rPr>
          <w:szCs w:val="21"/>
        </w:rPr>
      </w:pPr>
      <w:r>
        <w:rPr>
          <w:szCs w:val="21"/>
        </w:rPr>
        <w:t>1</w:t>
      </w:r>
      <w:r>
        <w:rPr>
          <w:rFonts w:hint="eastAsia"/>
          <w:szCs w:val="21"/>
        </w:rPr>
        <w:t>．乙方提供的货物均应按招投标文件要求的包装材料、包装标准、包装方式进行包装，每一包装单元内应附详细的装箱单和质量合格证。</w:t>
      </w:r>
    </w:p>
    <w:p>
      <w:pPr>
        <w:spacing w:after="96" w:afterLines="40"/>
        <w:ind w:firstLine="420" w:firstLineChars="200"/>
        <w:rPr>
          <w:szCs w:val="21"/>
        </w:rPr>
      </w:pPr>
      <w:r>
        <w:rPr>
          <w:szCs w:val="21"/>
        </w:rPr>
        <w:t>2</w:t>
      </w:r>
      <w:r>
        <w:rPr>
          <w:rFonts w:hint="eastAsia"/>
          <w:szCs w:val="21"/>
        </w:rPr>
        <w:t>．货物的运输方式：</w:t>
      </w:r>
      <w:r>
        <w:rPr>
          <w:rFonts w:hint="eastAsia"/>
          <w:szCs w:val="21"/>
          <w:u w:val="single"/>
        </w:rPr>
        <w:t xml:space="preserve">                                  </w:t>
      </w:r>
      <w:r>
        <w:rPr>
          <w:rFonts w:hint="eastAsia"/>
          <w:szCs w:val="21"/>
        </w:rPr>
        <w:t>。</w:t>
      </w:r>
    </w:p>
    <w:p>
      <w:pPr>
        <w:spacing w:after="96" w:afterLines="40"/>
        <w:ind w:firstLine="420" w:firstLineChars="200"/>
        <w:rPr>
          <w:szCs w:val="21"/>
        </w:rPr>
      </w:pPr>
      <w:r>
        <w:rPr>
          <w:szCs w:val="21"/>
        </w:rPr>
        <w:t>3．</w:t>
      </w:r>
      <w:r>
        <w:rPr>
          <w:rFonts w:hint="eastAsia"/>
          <w:szCs w:val="21"/>
        </w:rPr>
        <w:t>乙方负责货物运输，货物运输合理损耗及计算方法：</w:t>
      </w:r>
      <w:r>
        <w:rPr>
          <w:rFonts w:hint="eastAsia"/>
          <w:szCs w:val="21"/>
          <w:u w:val="single"/>
        </w:rPr>
        <w:t xml:space="preserve">                            </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第五条 交付和验收</w:t>
      </w:r>
    </w:p>
    <w:p>
      <w:pPr>
        <w:spacing w:after="96" w:afterLines="40"/>
        <w:ind w:firstLine="420" w:firstLineChars="200"/>
        <w:rPr>
          <w:szCs w:val="21"/>
        </w:rPr>
      </w:pPr>
      <w:r>
        <w:rPr>
          <w:szCs w:val="21"/>
        </w:rPr>
        <w:t>1．</w:t>
      </w:r>
      <w:r>
        <w:rPr>
          <w:rFonts w:hint="eastAsia"/>
          <w:szCs w:val="21"/>
        </w:rPr>
        <w:t>服务期：</w:t>
      </w:r>
      <w:r>
        <w:rPr>
          <w:rFonts w:hint="eastAsia" w:ascii="宋体" w:hAnsi="宋体"/>
          <w:u w:val="single"/>
        </w:rPr>
        <w:t xml:space="preserve">                  </w:t>
      </w:r>
      <w:r>
        <w:rPr>
          <w:rFonts w:hint="eastAsia"/>
          <w:szCs w:val="21"/>
        </w:rPr>
        <w:t>、地点：</w:t>
      </w:r>
      <w:r>
        <w:rPr>
          <w:rFonts w:hint="eastAsia"/>
          <w:szCs w:val="21"/>
          <w:u w:val="single"/>
        </w:rPr>
        <w:t>甲方指定地点</w:t>
      </w:r>
      <w:r>
        <w:rPr>
          <w:rFonts w:hint="eastAsia"/>
          <w:szCs w:val="21"/>
        </w:rPr>
        <w:t>。</w:t>
      </w:r>
    </w:p>
    <w:p>
      <w:pPr>
        <w:spacing w:after="96" w:afterLines="40"/>
        <w:ind w:firstLine="420" w:firstLineChars="200"/>
        <w:rPr>
          <w:szCs w:val="21"/>
        </w:rPr>
      </w:pPr>
      <w:r>
        <w:rPr>
          <w:rFonts w:hint="eastAsia"/>
          <w:szCs w:val="21"/>
        </w:rPr>
        <w:t>2．乙方提供不符合招投标文件和本合同规定的货物，甲方有权拒绝接受。</w:t>
      </w:r>
    </w:p>
    <w:p>
      <w:pPr>
        <w:spacing w:after="96" w:afterLines="40"/>
        <w:ind w:firstLine="420" w:firstLineChars="200"/>
        <w:rPr>
          <w:szCs w:val="21"/>
        </w:rPr>
      </w:pPr>
      <w:r>
        <w:rPr>
          <w:rFonts w:hint="eastAsia"/>
          <w:szCs w:val="21"/>
        </w:rPr>
        <w:t>3．乙方应将所提供货物的装箱清单、用户手册、原厂保修卡、随机资料、工具和备品、备件等交付给甲方，如有缺失应及时补齐，否则视为逾期交货。</w:t>
      </w:r>
    </w:p>
    <w:p>
      <w:pPr>
        <w:spacing w:after="96" w:afterLines="40"/>
        <w:ind w:firstLine="420" w:firstLineChars="200"/>
        <w:rPr>
          <w:szCs w:val="21"/>
        </w:rPr>
      </w:pPr>
      <w:r>
        <w:rPr>
          <w:rFonts w:hint="eastAsia"/>
          <w:szCs w:val="21"/>
        </w:rPr>
        <w:t>4．甲方应当在到货（安装、调试完）后七个工作日内进行验收，逾期不验收的，乙方可视同验收合格。验收合格后由甲乙双方签署货物验收单并加盖采购单位公章，甲乙双方各执一份。</w:t>
      </w:r>
    </w:p>
    <w:p>
      <w:pPr>
        <w:spacing w:after="96" w:afterLines="40"/>
        <w:ind w:firstLine="420" w:firstLineChars="200"/>
        <w:rPr>
          <w:szCs w:val="21"/>
        </w:rPr>
      </w:pPr>
      <w:r>
        <w:rPr>
          <w:szCs w:val="21"/>
        </w:rPr>
        <w:t>5</w:t>
      </w:r>
      <w:r>
        <w:rPr>
          <w:rFonts w:hint="eastAsia"/>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r>
        <w:rPr>
          <w:szCs w:val="21"/>
        </w:rPr>
        <w:t xml:space="preserve"> </w:t>
      </w:r>
    </w:p>
    <w:p>
      <w:pPr>
        <w:spacing w:after="96" w:afterLines="40"/>
        <w:ind w:firstLine="420" w:firstLineChars="200"/>
        <w:rPr>
          <w:szCs w:val="21"/>
        </w:rPr>
      </w:pPr>
      <w:r>
        <w:rPr>
          <w:szCs w:val="21"/>
        </w:rPr>
        <w:t>6．</w:t>
      </w:r>
      <w:r>
        <w:rPr>
          <w:rFonts w:hint="eastAsia"/>
          <w:szCs w:val="21"/>
        </w:rPr>
        <w:t>甲方对验收有异议的，在验收后五个工作日内以书面形式向乙方提出，乙方应自收到甲方书面异议后</w:t>
      </w:r>
      <w:r>
        <w:rPr>
          <w:rFonts w:hint="eastAsia"/>
          <w:szCs w:val="21"/>
          <w:u w:val="single"/>
        </w:rPr>
        <w:t xml:space="preserve">     </w:t>
      </w:r>
      <w:r>
        <w:rPr>
          <w:rFonts w:hint="eastAsia"/>
          <w:szCs w:val="21"/>
        </w:rPr>
        <w:t>日内及时予以解决。</w:t>
      </w:r>
    </w:p>
    <w:p>
      <w:pPr>
        <w:spacing w:after="96" w:afterLines="40"/>
        <w:ind w:firstLine="480" w:firstLineChars="200"/>
        <w:rPr>
          <w:rFonts w:ascii="黑体" w:hAnsi="黑体" w:eastAsia="黑体"/>
          <w:sz w:val="24"/>
        </w:rPr>
      </w:pPr>
      <w:r>
        <w:rPr>
          <w:rFonts w:hint="eastAsia" w:ascii="黑体" w:hAnsi="黑体" w:eastAsia="黑体"/>
          <w:sz w:val="24"/>
        </w:rPr>
        <w:t>第六条 安装和培训</w:t>
      </w:r>
    </w:p>
    <w:p>
      <w:pPr>
        <w:spacing w:after="96" w:afterLines="40"/>
        <w:ind w:firstLine="420" w:firstLineChars="200"/>
        <w:rPr>
          <w:szCs w:val="21"/>
        </w:rPr>
      </w:pPr>
      <w:r>
        <w:rPr>
          <w:rFonts w:hint="eastAsia"/>
          <w:szCs w:val="21"/>
        </w:rPr>
        <w:t>1．甲方应提供必要安装条件（如场地、电源、水源等）。</w:t>
      </w:r>
    </w:p>
    <w:p>
      <w:pPr>
        <w:spacing w:after="96" w:afterLines="40"/>
        <w:ind w:firstLine="420" w:firstLineChars="200"/>
        <w:rPr>
          <w:szCs w:val="21"/>
        </w:rPr>
      </w:pPr>
      <w:r>
        <w:rPr>
          <w:rFonts w:hint="eastAsia"/>
          <w:szCs w:val="21"/>
        </w:rPr>
        <w:t>2．乙方负责甲方有关人员的培训。培训时间、地点：</w:t>
      </w:r>
      <w:r>
        <w:rPr>
          <w:rFonts w:hint="eastAsia"/>
          <w:szCs w:val="21"/>
          <w:u w:val="single"/>
        </w:rPr>
        <w:t xml:space="preserve">                         </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第七条 售后服务、保修期</w:t>
      </w:r>
    </w:p>
    <w:p>
      <w:pPr>
        <w:spacing w:after="96" w:afterLines="40"/>
        <w:ind w:firstLine="420" w:firstLineChars="200"/>
        <w:rPr>
          <w:szCs w:val="21"/>
        </w:rPr>
      </w:pPr>
      <w:r>
        <w:rPr>
          <w:szCs w:val="21"/>
        </w:rPr>
        <w:t>1．</w:t>
      </w:r>
      <w:r>
        <w:rPr>
          <w:rFonts w:hint="eastAsia"/>
          <w:szCs w:val="21"/>
        </w:rPr>
        <w:t>乙方应按照国家有关法律法规和“三包”规定以及招投标文件和本合同所附的《服务承诺》，为甲方提供售后服务。</w:t>
      </w:r>
    </w:p>
    <w:p>
      <w:pPr>
        <w:spacing w:after="96" w:afterLines="40"/>
        <w:ind w:firstLine="420" w:firstLineChars="200"/>
        <w:rPr>
          <w:szCs w:val="21"/>
        </w:rPr>
      </w:pPr>
      <w:r>
        <w:rPr>
          <w:rFonts w:hint="eastAsia"/>
          <w:szCs w:val="21"/>
        </w:rPr>
        <w:t>2．货物保修期：</w:t>
      </w:r>
      <w:r>
        <w:rPr>
          <w:rFonts w:hint="eastAsia"/>
          <w:szCs w:val="21"/>
          <w:u w:val="single"/>
        </w:rPr>
        <w:t xml:space="preserve">      　　　                   </w:t>
      </w:r>
      <w:r>
        <w:rPr>
          <w:rFonts w:hint="eastAsia"/>
          <w:szCs w:val="21"/>
        </w:rPr>
        <w:t>。</w:t>
      </w:r>
    </w:p>
    <w:p>
      <w:pPr>
        <w:spacing w:after="96" w:afterLines="40"/>
        <w:ind w:firstLine="420" w:firstLineChars="200"/>
        <w:rPr>
          <w:szCs w:val="21"/>
        </w:rPr>
      </w:pPr>
      <w:r>
        <w:rPr>
          <w:szCs w:val="21"/>
        </w:rPr>
        <w:t>3</w:t>
      </w:r>
      <w:r>
        <w:rPr>
          <w:rFonts w:hint="eastAsia"/>
          <w:szCs w:val="21"/>
        </w:rPr>
        <w:t>．乙方提供的服务承诺和售后服务及保修期责任等其它具体约定事项（见合同附件</w:t>
      </w:r>
      <w:r>
        <w:rPr>
          <w:rFonts w:hint="eastAsia" w:ascii="宋体" w:hAnsi="宋体"/>
          <w:szCs w:val="21"/>
        </w:rPr>
        <w:t>)</w:t>
      </w:r>
      <w:r>
        <w:rPr>
          <w:rFonts w:hint="eastAsia"/>
          <w:szCs w:val="21"/>
        </w:rPr>
        <w:t>。</w:t>
      </w:r>
    </w:p>
    <w:p>
      <w:pPr>
        <w:spacing w:after="96" w:afterLines="40"/>
        <w:ind w:firstLine="480" w:firstLineChars="200"/>
        <w:rPr>
          <w:rFonts w:ascii="黑体" w:hAnsi="黑体" w:eastAsia="黑体"/>
          <w:sz w:val="24"/>
        </w:rPr>
      </w:pPr>
      <w:r>
        <w:rPr>
          <w:rFonts w:hint="eastAsia" w:ascii="黑体" w:hAnsi="黑体" w:eastAsia="黑体"/>
          <w:sz w:val="24"/>
        </w:rPr>
        <w:t>第八条 付款方式和保证金</w:t>
      </w:r>
    </w:p>
    <w:p>
      <w:pPr>
        <w:spacing w:after="96" w:afterLines="40"/>
        <w:ind w:firstLine="420" w:firstLineChars="200"/>
        <w:rPr>
          <w:szCs w:val="21"/>
        </w:rPr>
      </w:pPr>
      <w:r>
        <w:rPr>
          <w:szCs w:val="21"/>
        </w:rPr>
        <w:t>1</w:t>
      </w:r>
      <w:r>
        <w:rPr>
          <w:rFonts w:hint="eastAsia"/>
          <w:szCs w:val="21"/>
        </w:rPr>
        <w:t>．当采购数量与实际使用数量不一致时，乙方应根据实际使用量供货，合同的最终结算金额按实际使用量乘以成交单价进行计算。</w:t>
      </w:r>
    </w:p>
    <w:p>
      <w:pPr>
        <w:spacing w:after="96" w:afterLines="40"/>
        <w:ind w:firstLine="420" w:firstLineChars="200"/>
        <w:rPr>
          <w:szCs w:val="21"/>
        </w:rPr>
      </w:pPr>
      <w:r>
        <w:rPr>
          <w:szCs w:val="21"/>
        </w:rPr>
        <w:t>2</w:t>
      </w:r>
      <w:r>
        <w:rPr>
          <w:rFonts w:hint="eastAsia"/>
          <w:szCs w:val="21"/>
        </w:rPr>
        <w:t>．资金性质：</w:t>
      </w:r>
      <w:r>
        <w:rPr>
          <w:rFonts w:hint="eastAsia"/>
          <w:szCs w:val="21"/>
          <w:u w:val="single"/>
        </w:rPr>
        <w:t xml:space="preserve">  预算资金    </w:t>
      </w:r>
      <w:r>
        <w:rPr>
          <w:rFonts w:hint="eastAsia"/>
          <w:szCs w:val="21"/>
        </w:rPr>
        <w:t>。</w:t>
      </w:r>
    </w:p>
    <w:p>
      <w:pPr>
        <w:spacing w:after="96" w:afterLines="40"/>
        <w:ind w:firstLine="420" w:firstLineChars="200"/>
        <w:rPr>
          <w:color w:val="0000FF"/>
          <w:szCs w:val="21"/>
          <w:u w:val="single"/>
        </w:rPr>
      </w:pPr>
      <w:r>
        <w:rPr>
          <w:szCs w:val="21"/>
        </w:rPr>
        <w:t>3．</w:t>
      </w:r>
      <w:r>
        <w:rPr>
          <w:rFonts w:hint="eastAsia"/>
          <w:szCs w:val="21"/>
        </w:rPr>
        <w:t>付款方式：</w:t>
      </w:r>
      <w:r>
        <w:rPr>
          <w:rFonts w:hint="eastAsia"/>
          <w:szCs w:val="21"/>
          <w:u w:val="single"/>
        </w:rPr>
        <w:t>按投标文件夹填写。</w:t>
      </w:r>
    </w:p>
    <w:p>
      <w:pPr>
        <w:spacing w:after="96" w:afterLines="40"/>
        <w:ind w:firstLine="480" w:firstLineChars="200"/>
        <w:rPr>
          <w:rFonts w:ascii="黑体" w:hAnsi="黑体" w:eastAsia="黑体"/>
          <w:sz w:val="24"/>
        </w:rPr>
      </w:pPr>
      <w:r>
        <w:rPr>
          <w:rFonts w:hint="eastAsia" w:ascii="黑体" w:hAnsi="黑体" w:eastAsia="黑体"/>
          <w:sz w:val="24"/>
        </w:rPr>
        <w:t>第九条 质量保证金</w:t>
      </w:r>
    </w:p>
    <w:p>
      <w:pPr>
        <w:spacing w:after="96" w:afterLines="40"/>
        <w:ind w:firstLine="420" w:firstLineChars="200"/>
        <w:rPr>
          <w:szCs w:val="21"/>
        </w:rPr>
      </w:pPr>
      <w:r>
        <w:rPr>
          <w:rFonts w:hint="eastAsia"/>
          <w:szCs w:val="21"/>
        </w:rPr>
        <w:t>无质量保证金。</w:t>
      </w:r>
    </w:p>
    <w:p>
      <w:pPr>
        <w:spacing w:after="96" w:afterLines="40"/>
        <w:ind w:firstLine="480" w:firstLineChars="200"/>
        <w:rPr>
          <w:rFonts w:ascii="黑体" w:hAnsi="黑体" w:eastAsia="黑体"/>
          <w:sz w:val="24"/>
        </w:rPr>
      </w:pPr>
      <w:r>
        <w:rPr>
          <w:rFonts w:hint="eastAsia" w:ascii="黑体" w:hAnsi="黑体" w:eastAsia="黑体"/>
          <w:sz w:val="24"/>
        </w:rPr>
        <w:t>第十条 税费</w:t>
      </w:r>
    </w:p>
    <w:p>
      <w:pPr>
        <w:spacing w:after="96" w:afterLines="40"/>
        <w:ind w:firstLine="420" w:firstLineChars="200"/>
        <w:rPr>
          <w:szCs w:val="21"/>
        </w:rPr>
      </w:pPr>
      <w:r>
        <w:rPr>
          <w:rFonts w:hint="eastAsia"/>
          <w:szCs w:val="21"/>
        </w:rPr>
        <w:t>本合同执行中相关的一切税费均由乙方负担。</w:t>
      </w:r>
    </w:p>
    <w:p>
      <w:pPr>
        <w:spacing w:after="96" w:afterLines="40"/>
        <w:ind w:firstLine="480" w:firstLineChars="200"/>
        <w:rPr>
          <w:rFonts w:ascii="黑体" w:hAnsi="黑体" w:eastAsia="黑体"/>
          <w:sz w:val="24"/>
        </w:rPr>
      </w:pPr>
      <w:r>
        <w:rPr>
          <w:rFonts w:hint="eastAsia" w:ascii="黑体" w:hAnsi="黑体" w:eastAsia="黑体"/>
          <w:sz w:val="24"/>
        </w:rPr>
        <w:t>第十一条 质量保证及售后服务</w:t>
      </w:r>
    </w:p>
    <w:p>
      <w:pPr>
        <w:spacing w:after="96" w:afterLines="40"/>
        <w:ind w:firstLine="420" w:firstLineChars="200"/>
        <w:rPr>
          <w:szCs w:val="21"/>
        </w:rPr>
      </w:pPr>
      <w:r>
        <w:rPr>
          <w:rFonts w:hint="eastAsia"/>
          <w:szCs w:val="21"/>
        </w:rPr>
        <w:t>1．乙方应按招标文件规定的货物性能、技术要求、质量标准向甲方提供未经使用的全新产品。不符合要求者，根据实际情况，经双方协商，可按以下办法处理：</w:t>
      </w:r>
    </w:p>
    <w:p>
      <w:pPr>
        <w:spacing w:after="96" w:afterLines="40"/>
        <w:ind w:firstLine="420" w:firstLineChars="200"/>
        <w:rPr>
          <w:szCs w:val="21"/>
        </w:rPr>
      </w:pPr>
      <w:r>
        <w:rPr>
          <w:rFonts w:hint="eastAsia" w:ascii="宋体" w:hAnsi="宋体"/>
          <w:szCs w:val="21"/>
        </w:rPr>
        <w:t>(</w:t>
      </w:r>
      <w:r>
        <w:rPr>
          <w:szCs w:val="21"/>
        </w:rPr>
        <w:t>1）更换</w:t>
      </w:r>
      <w:r>
        <w:rPr>
          <w:rFonts w:hint="eastAsia"/>
          <w:szCs w:val="21"/>
        </w:rPr>
        <w:t>：</w:t>
      </w:r>
      <w:r>
        <w:rPr>
          <w:szCs w:val="21"/>
        </w:rPr>
        <w:t xml:space="preserve">由乙方承担所发生的全部费用。 </w:t>
      </w:r>
    </w:p>
    <w:p>
      <w:pPr>
        <w:spacing w:after="96" w:afterLines="40"/>
        <w:ind w:firstLine="420" w:firstLineChars="200"/>
        <w:rPr>
          <w:szCs w:val="21"/>
        </w:rPr>
      </w:pPr>
      <w:r>
        <w:rPr>
          <w:rFonts w:hint="eastAsia" w:ascii="宋体" w:hAnsi="宋体"/>
          <w:szCs w:val="21"/>
        </w:rPr>
        <w:t>(</w:t>
      </w:r>
      <w:r>
        <w:rPr>
          <w:szCs w:val="21"/>
        </w:rPr>
        <w:t>2）贬值处理</w:t>
      </w:r>
      <w:r>
        <w:rPr>
          <w:rFonts w:hint="eastAsia"/>
          <w:szCs w:val="21"/>
        </w:rPr>
        <w:t>：</w:t>
      </w:r>
      <w:r>
        <w:rPr>
          <w:szCs w:val="21"/>
        </w:rPr>
        <w:t xml:space="preserve">由甲乙双方合议定价。 </w:t>
      </w:r>
    </w:p>
    <w:p>
      <w:pPr>
        <w:spacing w:after="96" w:afterLines="40"/>
        <w:ind w:firstLine="420" w:firstLineChars="200"/>
        <w:rPr>
          <w:szCs w:val="21"/>
        </w:rPr>
      </w:pPr>
      <w:r>
        <w:rPr>
          <w:rFonts w:hint="eastAsia" w:ascii="宋体" w:hAnsi="宋体"/>
          <w:szCs w:val="21"/>
        </w:rPr>
        <w:t>(</w:t>
      </w:r>
      <w:r>
        <w:rPr>
          <w:szCs w:val="21"/>
        </w:rPr>
        <w:t>3）退货处理</w:t>
      </w:r>
      <w:r>
        <w:rPr>
          <w:rFonts w:hint="eastAsia"/>
          <w:szCs w:val="21"/>
        </w:rPr>
        <w:t>：</w:t>
      </w:r>
      <w:r>
        <w:rPr>
          <w:szCs w:val="21"/>
        </w:rPr>
        <w:t>乙方应退还甲方支付的合同款，同时应承担该货物的直接费用</w:t>
      </w:r>
      <w:r>
        <w:rPr>
          <w:rFonts w:hint="eastAsia"/>
          <w:szCs w:val="21"/>
        </w:rPr>
        <w:t>（</w:t>
      </w:r>
      <w:r>
        <w:rPr>
          <w:szCs w:val="21"/>
        </w:rPr>
        <w:t>运输、保险、检验、货款利息及银行手续费等）。</w:t>
      </w:r>
    </w:p>
    <w:p>
      <w:pPr>
        <w:spacing w:after="96" w:afterLines="40"/>
        <w:ind w:firstLine="420" w:firstLineChars="200"/>
        <w:rPr>
          <w:szCs w:val="21"/>
        </w:rPr>
      </w:pPr>
      <w:r>
        <w:rPr>
          <w:rFonts w:hint="eastAsia"/>
          <w:szCs w:val="21"/>
        </w:rPr>
        <w:t>2．如在使用过程中发生质量问题，乙方在接到甲方通知后在</w:t>
      </w:r>
      <w:r>
        <w:rPr>
          <w:rFonts w:hint="eastAsia"/>
          <w:szCs w:val="21"/>
          <w:u w:val="single"/>
        </w:rPr>
        <w:t xml:space="preserve">   </w:t>
      </w:r>
      <w:r>
        <w:rPr>
          <w:rFonts w:hint="eastAsia"/>
          <w:szCs w:val="21"/>
        </w:rPr>
        <w:t>小时内到达甲方现场处理。</w:t>
      </w:r>
    </w:p>
    <w:p>
      <w:pPr>
        <w:spacing w:after="96" w:afterLines="40"/>
        <w:ind w:firstLine="420" w:firstLineChars="200"/>
        <w:rPr>
          <w:szCs w:val="21"/>
        </w:rPr>
      </w:pPr>
      <w:r>
        <w:rPr>
          <w:rFonts w:hint="eastAsia"/>
          <w:szCs w:val="21"/>
        </w:rPr>
        <w:t>3．在质保期内，乙方应对货物出现的质量及安全问题负责处理解决并承担一切费用。</w:t>
      </w:r>
    </w:p>
    <w:p>
      <w:pPr>
        <w:spacing w:after="96" w:afterLines="40"/>
        <w:ind w:firstLine="420" w:firstLineChars="200"/>
        <w:rPr>
          <w:szCs w:val="21"/>
        </w:rPr>
      </w:pPr>
      <w:r>
        <w:rPr>
          <w:szCs w:val="21"/>
        </w:rPr>
        <w:t>4</w:t>
      </w:r>
      <w:r>
        <w:rPr>
          <w:rFonts w:hint="eastAsia"/>
          <w:szCs w:val="21"/>
        </w:rPr>
        <w:t>．上述的货物免费保修期为</w:t>
      </w:r>
      <w:r>
        <w:rPr>
          <w:rFonts w:hint="eastAsia"/>
          <w:szCs w:val="21"/>
          <w:u w:val="single"/>
        </w:rPr>
        <w:t>5</w:t>
      </w:r>
      <w:r>
        <w:rPr>
          <w:rFonts w:hint="eastAsia"/>
          <w:szCs w:val="21"/>
        </w:rPr>
        <w:t>年，因人为因素出现的故障不在免费保修范围内。超过保修期的机器设备，终生维修，维修时只收部件成本费。</w:t>
      </w:r>
    </w:p>
    <w:p>
      <w:pPr>
        <w:spacing w:after="96" w:afterLines="40"/>
        <w:ind w:firstLine="480" w:firstLineChars="200"/>
        <w:rPr>
          <w:rFonts w:ascii="黑体" w:hAnsi="黑体" w:eastAsia="黑体"/>
          <w:sz w:val="24"/>
        </w:rPr>
      </w:pPr>
      <w:r>
        <w:rPr>
          <w:rFonts w:hint="eastAsia" w:ascii="黑体" w:hAnsi="黑体" w:eastAsia="黑体"/>
          <w:sz w:val="24"/>
        </w:rPr>
        <w:t>第十二条 调试和验收</w:t>
      </w:r>
    </w:p>
    <w:p>
      <w:pPr>
        <w:spacing w:after="96" w:afterLines="40"/>
        <w:ind w:firstLine="420" w:firstLineChars="200"/>
        <w:rPr>
          <w:szCs w:val="21"/>
        </w:rPr>
      </w:pPr>
      <w:r>
        <w:rPr>
          <w:szCs w:val="21"/>
        </w:rPr>
        <w:t>1．</w:t>
      </w:r>
      <w:r>
        <w:rPr>
          <w:rFonts w:hint="eastAsia"/>
          <w:szCs w:val="21"/>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pacing w:after="96" w:afterLines="40"/>
        <w:ind w:firstLine="420" w:firstLineChars="200"/>
        <w:rPr>
          <w:szCs w:val="21"/>
        </w:rPr>
      </w:pPr>
      <w:r>
        <w:rPr>
          <w:szCs w:val="21"/>
        </w:rPr>
        <w:t>2</w:t>
      </w:r>
      <w:r>
        <w:rPr>
          <w:rFonts w:hint="eastAsia"/>
          <w:szCs w:val="21"/>
        </w:rPr>
        <w:t>．乙方交货前应对产品作出全面检查和对验收文件进行整理，并列出清单，作为甲方收货验收和使用的技术条件依据，检验的结果应随货物交甲方。</w:t>
      </w:r>
    </w:p>
    <w:p>
      <w:pPr>
        <w:spacing w:after="96" w:afterLines="40"/>
        <w:ind w:firstLine="420" w:firstLineChars="200"/>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pPr>
        <w:spacing w:after="96" w:afterLines="40"/>
        <w:ind w:firstLine="420" w:firstLineChars="200"/>
        <w:rPr>
          <w:szCs w:val="21"/>
        </w:rPr>
      </w:pPr>
      <w:r>
        <w:rPr>
          <w:rFonts w:hint="eastAsia"/>
          <w:szCs w:val="21"/>
        </w:rPr>
        <w:t>4．对技术复杂的货物，甲方应请国家认可的专业检测机构参与初步验收及最终验收，并由其出具质量检测报告。</w:t>
      </w:r>
    </w:p>
    <w:p>
      <w:pPr>
        <w:spacing w:after="96" w:afterLines="40"/>
        <w:ind w:firstLine="420" w:firstLineChars="200"/>
        <w:rPr>
          <w:szCs w:val="21"/>
        </w:rPr>
      </w:pPr>
      <w:r>
        <w:rPr>
          <w:rFonts w:hint="eastAsia"/>
          <w:szCs w:val="21"/>
        </w:rPr>
        <w:t>5．验收时乙方必须在现场，验收完毕后作出验收结果报告，验收费用由乙方负责。</w:t>
      </w:r>
    </w:p>
    <w:p>
      <w:pPr>
        <w:spacing w:after="96" w:afterLines="40"/>
        <w:ind w:firstLine="480" w:firstLineChars="200"/>
        <w:rPr>
          <w:rFonts w:ascii="黑体" w:hAnsi="黑体" w:eastAsia="黑体"/>
          <w:sz w:val="24"/>
        </w:rPr>
      </w:pPr>
      <w:r>
        <w:rPr>
          <w:rFonts w:hint="eastAsia" w:ascii="黑体" w:hAnsi="黑体" w:eastAsia="黑体"/>
          <w:sz w:val="24"/>
        </w:rPr>
        <w:t>第十三条 货物包装、发运及运输</w:t>
      </w:r>
    </w:p>
    <w:p>
      <w:pPr>
        <w:spacing w:after="96" w:afterLines="40"/>
        <w:ind w:firstLine="420" w:firstLineChars="200"/>
        <w:rPr>
          <w:szCs w:val="21"/>
        </w:rPr>
      </w:pPr>
      <w:r>
        <w:rPr>
          <w:rFonts w:hint="eastAsia"/>
          <w:szCs w:val="21"/>
        </w:rPr>
        <w:t>1．乙方应在货物发运前对其进行满足运输距离、防潮、防震、防锈和防破损装卸等要求包装，以保证货物安全运达甲方指定地点。</w:t>
      </w:r>
    </w:p>
    <w:p>
      <w:pPr>
        <w:spacing w:after="96" w:afterLines="40"/>
        <w:ind w:firstLine="420" w:firstLineChars="200"/>
        <w:rPr>
          <w:szCs w:val="21"/>
        </w:rPr>
      </w:pPr>
      <w:r>
        <w:rPr>
          <w:rFonts w:hint="eastAsia"/>
          <w:szCs w:val="21"/>
        </w:rPr>
        <w:t>2．使用说明书、质量检验证明书、随配附件和工具以及清单一并附于货物内。</w:t>
      </w:r>
    </w:p>
    <w:p>
      <w:pPr>
        <w:spacing w:after="96" w:afterLines="40"/>
        <w:ind w:firstLine="420" w:firstLineChars="200"/>
        <w:rPr>
          <w:szCs w:val="21"/>
        </w:rPr>
      </w:pPr>
      <w:r>
        <w:rPr>
          <w:rFonts w:hint="eastAsia"/>
          <w:szCs w:val="21"/>
        </w:rPr>
        <w:t>3．乙方在货物发运手续办理完毕后二十四小时内或货到甲方四十八小时前通知甲方，以准备接货。</w:t>
      </w:r>
    </w:p>
    <w:p>
      <w:pPr>
        <w:spacing w:after="96" w:afterLines="40"/>
        <w:ind w:firstLine="420" w:firstLineChars="200"/>
        <w:rPr>
          <w:szCs w:val="21"/>
        </w:rPr>
      </w:pPr>
      <w:r>
        <w:rPr>
          <w:rFonts w:hint="eastAsia"/>
          <w:szCs w:val="21"/>
        </w:rPr>
        <w:t>4．货物在交付甲方前发生的风险均由乙方负责。</w:t>
      </w:r>
    </w:p>
    <w:p>
      <w:pPr>
        <w:spacing w:after="96" w:afterLines="40"/>
        <w:ind w:firstLine="420" w:firstLineChars="200"/>
        <w:rPr>
          <w:szCs w:val="21"/>
        </w:rPr>
      </w:pPr>
      <w:r>
        <w:rPr>
          <w:rFonts w:hint="eastAsia"/>
          <w:szCs w:val="21"/>
        </w:rPr>
        <w:t>5．货物在规定的交付期限内由乙方送达甲方指定的地点视为交付，乙方同时需通知甲方货物已送达。</w:t>
      </w:r>
    </w:p>
    <w:p>
      <w:pPr>
        <w:spacing w:after="96" w:afterLines="40"/>
        <w:ind w:firstLine="480" w:firstLineChars="200"/>
        <w:rPr>
          <w:rFonts w:ascii="黑体" w:hAnsi="黑体" w:eastAsia="黑体"/>
          <w:sz w:val="24"/>
        </w:rPr>
      </w:pPr>
      <w:r>
        <w:rPr>
          <w:rFonts w:hint="eastAsia" w:ascii="黑体" w:hAnsi="黑体" w:eastAsia="黑体"/>
          <w:sz w:val="24"/>
        </w:rPr>
        <w:t>第十四条 违约责任</w:t>
      </w:r>
    </w:p>
    <w:p>
      <w:pPr>
        <w:spacing w:after="96" w:afterLines="40"/>
        <w:ind w:firstLine="420" w:firstLineChars="200"/>
        <w:rPr>
          <w:szCs w:val="21"/>
        </w:rPr>
      </w:pPr>
      <w:r>
        <w:rPr>
          <w:szCs w:val="21"/>
        </w:rPr>
        <w:t>1．</w:t>
      </w:r>
      <w:r>
        <w:rPr>
          <w:rFonts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Pr>
          <w:szCs w:val="21"/>
        </w:rPr>
        <w:t>5%</w:t>
      </w:r>
      <w:r>
        <w:rPr>
          <w:rFonts w:hint="eastAsia"/>
          <w:szCs w:val="21"/>
        </w:rPr>
        <w:t>违约金并赔偿甲方经济损失。</w:t>
      </w:r>
    </w:p>
    <w:p>
      <w:pPr>
        <w:spacing w:after="96" w:afterLines="40"/>
        <w:ind w:firstLine="420" w:firstLineChars="200"/>
        <w:rPr>
          <w:szCs w:val="21"/>
        </w:rPr>
      </w:pPr>
      <w:r>
        <w:rPr>
          <w:szCs w:val="21"/>
        </w:rPr>
        <w:t>2</w:t>
      </w:r>
      <w:r>
        <w:rPr>
          <w:rFonts w:hint="eastAsia"/>
          <w:szCs w:val="21"/>
        </w:rPr>
        <w:t>．乙方提供的货物如侵犯了第三方合法权益而引发的任何纠纷或诉讼，均由乙方负责交涉并承担全部责任。</w:t>
      </w:r>
    </w:p>
    <w:p>
      <w:pPr>
        <w:spacing w:after="96" w:afterLines="40"/>
        <w:ind w:firstLine="420" w:firstLineChars="200"/>
        <w:rPr>
          <w:szCs w:val="21"/>
        </w:rPr>
      </w:pPr>
      <w:r>
        <w:rPr>
          <w:szCs w:val="21"/>
        </w:rPr>
        <w:t>3</w:t>
      </w:r>
      <w:r>
        <w:rPr>
          <w:rFonts w:hint="eastAsia"/>
          <w:szCs w:val="21"/>
        </w:rPr>
        <w:t>．因包装、运输引起的货物损坏，按质量不合格处理。</w:t>
      </w:r>
    </w:p>
    <w:p>
      <w:pPr>
        <w:spacing w:after="96" w:afterLines="40"/>
        <w:ind w:firstLine="420" w:firstLineChars="200"/>
        <w:rPr>
          <w:szCs w:val="21"/>
        </w:rPr>
      </w:pPr>
      <w:r>
        <w:rPr>
          <w:szCs w:val="21"/>
        </w:rPr>
        <w:t>4．</w:t>
      </w:r>
      <w:r>
        <w:rPr>
          <w:rFonts w:hint="eastAsia"/>
          <w:szCs w:val="21"/>
        </w:rPr>
        <w:t>甲方无故延期接收货物、乙方逾期交货的，每天向对方偿付违约货款额</w:t>
      </w:r>
      <w:r>
        <w:rPr>
          <w:szCs w:val="21"/>
        </w:rPr>
        <w:t>3‰</w:t>
      </w:r>
      <w:r>
        <w:rPr>
          <w:rFonts w:hint="eastAsia"/>
          <w:szCs w:val="21"/>
        </w:rPr>
        <w:t>违约金，但违约金累计不得超过违约货款额</w:t>
      </w:r>
      <w:r>
        <w:rPr>
          <w:szCs w:val="21"/>
          <w:u w:val="single"/>
        </w:rPr>
        <w:t xml:space="preserve"> 5%</w:t>
      </w:r>
      <w:r>
        <w:rPr>
          <w:rFonts w:hint="eastAsia"/>
          <w:szCs w:val="21"/>
          <w:u w:val="single"/>
        </w:rPr>
        <w:t xml:space="preserve"> </w:t>
      </w:r>
      <w:r>
        <w:rPr>
          <w:rFonts w:hint="eastAsia"/>
          <w:szCs w:val="21"/>
        </w:rPr>
        <w:t>，超过</w:t>
      </w:r>
      <w:r>
        <w:rPr>
          <w:rFonts w:hint="eastAsia"/>
          <w:szCs w:val="21"/>
          <w:u w:val="single"/>
        </w:rPr>
        <w:t>120</w:t>
      </w:r>
      <w:r>
        <w:rPr>
          <w:rFonts w:hint="eastAsia"/>
          <w:szCs w:val="21"/>
        </w:rPr>
        <w:t>天对方有权解除合同，违约方承担因此给对方造成的经济损失，甲方延期付货款的，每天向乙方偿付延期货款额</w:t>
      </w:r>
      <w:r>
        <w:rPr>
          <w:rFonts w:hint="eastAsia"/>
          <w:szCs w:val="21"/>
          <w:u w:val="single"/>
        </w:rPr>
        <w:t xml:space="preserve"> </w:t>
      </w:r>
      <w:r>
        <w:rPr>
          <w:szCs w:val="21"/>
          <w:u w:val="single"/>
        </w:rPr>
        <w:t>3‰</w:t>
      </w:r>
      <w:r>
        <w:rPr>
          <w:rFonts w:hint="eastAsia"/>
          <w:szCs w:val="21"/>
          <w:u w:val="single"/>
        </w:rPr>
        <w:t xml:space="preserve"> </w:t>
      </w:r>
      <w:r>
        <w:rPr>
          <w:rFonts w:hint="eastAsia"/>
          <w:szCs w:val="21"/>
        </w:rPr>
        <w:t>滞纳金，但滞纳金累计不得超过延期货款额</w:t>
      </w:r>
      <w:r>
        <w:rPr>
          <w:rFonts w:hint="eastAsia"/>
          <w:szCs w:val="21"/>
          <w:u w:val="single"/>
        </w:rPr>
        <w:t xml:space="preserve"> </w:t>
      </w:r>
      <w:r>
        <w:rPr>
          <w:szCs w:val="21"/>
          <w:u w:val="single"/>
        </w:rPr>
        <w:t>5%</w:t>
      </w:r>
      <w:r>
        <w:rPr>
          <w:rFonts w:hint="eastAsia"/>
          <w:szCs w:val="21"/>
          <w:u w:val="single"/>
        </w:rPr>
        <w:t xml:space="preserve"> </w:t>
      </w:r>
      <w:r>
        <w:rPr>
          <w:rFonts w:hint="eastAsia"/>
          <w:szCs w:val="21"/>
        </w:rPr>
        <w:t>。</w:t>
      </w:r>
      <w:r>
        <w:rPr>
          <w:szCs w:val="21"/>
        </w:rPr>
        <w:t xml:space="preserve"> </w:t>
      </w:r>
    </w:p>
    <w:p>
      <w:pPr>
        <w:spacing w:after="96" w:afterLines="40"/>
        <w:ind w:firstLine="420" w:firstLineChars="200"/>
        <w:rPr>
          <w:szCs w:val="21"/>
        </w:rPr>
      </w:pPr>
      <w:r>
        <w:rPr>
          <w:szCs w:val="21"/>
        </w:rPr>
        <w:t>5</w:t>
      </w:r>
      <w:r>
        <w:rPr>
          <w:rFonts w:hint="eastAsia"/>
          <w:szCs w:val="21"/>
        </w:rPr>
        <w:t>．乙方未按本合同和投标文件中规定的服务承诺提供售后服务的，乙方应按本合同合计金额</w:t>
      </w:r>
      <w:r>
        <w:rPr>
          <w:szCs w:val="21"/>
          <w:u w:val="single"/>
        </w:rPr>
        <w:t>5%</w:t>
      </w:r>
      <w:r>
        <w:rPr>
          <w:rFonts w:hint="eastAsia"/>
          <w:szCs w:val="21"/>
          <w:u w:val="single"/>
        </w:rPr>
        <w:t xml:space="preserve"> </w:t>
      </w:r>
      <w:r>
        <w:rPr>
          <w:rFonts w:hint="eastAsia"/>
          <w:szCs w:val="21"/>
        </w:rPr>
        <w:t>向甲方支付违约金。</w:t>
      </w:r>
    </w:p>
    <w:p>
      <w:pPr>
        <w:spacing w:after="96" w:afterLines="40"/>
        <w:ind w:firstLine="420" w:firstLineChars="200"/>
        <w:rPr>
          <w:szCs w:val="21"/>
        </w:rPr>
      </w:pPr>
      <w:r>
        <w:rPr>
          <w:szCs w:val="21"/>
        </w:rPr>
        <w:t>6</w:t>
      </w:r>
      <w:r>
        <w:rPr>
          <w:rFonts w:hint="eastAsia"/>
          <w:szCs w:val="21"/>
        </w:rPr>
        <w:t>．乙方提供的货物在质量保证期内，因设计、工艺或材料的缺陷和其它质量原因造成的问题，由乙方负责，费用从质量保证金中扣除，不足另补。</w:t>
      </w:r>
    </w:p>
    <w:p>
      <w:pPr>
        <w:spacing w:after="96" w:afterLines="40"/>
        <w:ind w:firstLine="420" w:firstLineChars="200"/>
        <w:rPr>
          <w:szCs w:val="21"/>
        </w:rPr>
      </w:pPr>
      <w:r>
        <w:rPr>
          <w:szCs w:val="21"/>
        </w:rPr>
        <w:t>7</w:t>
      </w:r>
      <w:r>
        <w:rPr>
          <w:rFonts w:hint="eastAsia"/>
          <w:szCs w:val="21"/>
        </w:rPr>
        <w:t>．其它违约行为按违约货款额</w:t>
      </w:r>
      <w:r>
        <w:rPr>
          <w:szCs w:val="21"/>
        </w:rPr>
        <w:t>5%</w:t>
      </w:r>
      <w:r>
        <w:rPr>
          <w:rFonts w:hint="eastAsia"/>
          <w:szCs w:val="21"/>
        </w:rPr>
        <w:t>收取违约金并赔偿经济损失。</w:t>
      </w:r>
    </w:p>
    <w:p>
      <w:pPr>
        <w:spacing w:after="96" w:afterLines="40"/>
        <w:ind w:firstLine="480" w:firstLineChars="200"/>
        <w:rPr>
          <w:rFonts w:ascii="黑体" w:hAnsi="黑体" w:eastAsia="黑体"/>
          <w:sz w:val="24"/>
        </w:rPr>
      </w:pPr>
      <w:r>
        <w:rPr>
          <w:rFonts w:hint="eastAsia" w:ascii="黑体" w:hAnsi="黑体" w:eastAsia="黑体"/>
          <w:sz w:val="24"/>
        </w:rPr>
        <w:t>第十五条 不可抗力事件处理</w:t>
      </w:r>
    </w:p>
    <w:p>
      <w:pPr>
        <w:spacing w:after="96" w:afterLines="40"/>
        <w:ind w:firstLine="420" w:firstLineChars="200"/>
        <w:rPr>
          <w:szCs w:val="21"/>
        </w:rPr>
      </w:pPr>
      <w:r>
        <w:rPr>
          <w:rFonts w:hint="eastAsia"/>
          <w:szCs w:val="21"/>
        </w:rPr>
        <w:t>1．在合同有效期内，任何一方因不可抗力事件导致不能履行合同，则合同履行期可延长，其延长期与不可抗力影响期相同。</w:t>
      </w:r>
    </w:p>
    <w:p>
      <w:pPr>
        <w:spacing w:after="96" w:afterLines="40"/>
        <w:ind w:firstLine="420" w:firstLineChars="200"/>
        <w:rPr>
          <w:szCs w:val="21"/>
        </w:rPr>
      </w:pPr>
      <w:r>
        <w:rPr>
          <w:rFonts w:hint="eastAsia"/>
          <w:szCs w:val="21"/>
        </w:rPr>
        <w:t>2．不可抗力事件发生后，应立即通知对方，并寄送有关权威机构出具的证明。</w:t>
      </w:r>
    </w:p>
    <w:p>
      <w:pPr>
        <w:spacing w:after="96" w:afterLines="40"/>
        <w:ind w:firstLine="420" w:firstLineChars="200"/>
        <w:rPr>
          <w:szCs w:val="21"/>
        </w:rPr>
      </w:pPr>
      <w:r>
        <w:rPr>
          <w:rFonts w:hint="eastAsia"/>
          <w:szCs w:val="21"/>
        </w:rPr>
        <w:t>3．不可抗力事件延续一百二十天以上，双方应通过友好协商，确定是否继续履行合同。</w:t>
      </w:r>
    </w:p>
    <w:p>
      <w:pPr>
        <w:spacing w:after="96" w:afterLines="40"/>
        <w:ind w:firstLine="480" w:firstLineChars="200"/>
        <w:rPr>
          <w:rFonts w:ascii="黑体" w:hAnsi="黑体" w:eastAsia="黑体"/>
          <w:sz w:val="24"/>
        </w:rPr>
      </w:pPr>
      <w:r>
        <w:rPr>
          <w:rFonts w:hint="eastAsia" w:ascii="黑体" w:hAnsi="黑体" w:eastAsia="黑体"/>
          <w:sz w:val="24"/>
        </w:rPr>
        <w:t>第十六条 合同争议解决</w:t>
      </w:r>
    </w:p>
    <w:p>
      <w:pPr>
        <w:spacing w:after="96" w:afterLines="40"/>
        <w:ind w:firstLine="420" w:firstLineChars="200"/>
        <w:rPr>
          <w:szCs w:val="21"/>
        </w:rPr>
      </w:pPr>
      <w:r>
        <w:rPr>
          <w:rFonts w:hint="eastAsia"/>
          <w:szCs w:val="21"/>
        </w:rPr>
        <w:t>1．因货物质量问题发生争议的，应邀请国家认可的质量检测机构对货物质量进行鉴定。货物符合标准的，鉴定费由甲方承担；货物不符合标准的，鉴定费由乙方承担。</w:t>
      </w:r>
    </w:p>
    <w:p>
      <w:pPr>
        <w:spacing w:after="96" w:afterLines="40"/>
        <w:ind w:firstLine="420" w:firstLineChars="200"/>
        <w:rPr>
          <w:szCs w:val="21"/>
        </w:rPr>
      </w:pPr>
      <w:r>
        <w:rPr>
          <w:rFonts w:hint="eastAsia"/>
          <w:szCs w:val="21"/>
        </w:rPr>
        <w:t>2．因履行本合同引起的或与本合同有关的争议，甲乙双方应首先通过友好协商解决，如果协商不能解决，可向仲裁委员会申请仲裁或向人民法院提起诉讼。</w:t>
      </w:r>
      <w:r>
        <w:rPr>
          <w:szCs w:val="21"/>
        </w:rPr>
        <w:t xml:space="preserve"> </w:t>
      </w:r>
    </w:p>
    <w:p>
      <w:pPr>
        <w:spacing w:after="96" w:afterLines="40"/>
        <w:ind w:firstLine="420" w:firstLineChars="200"/>
        <w:rPr>
          <w:szCs w:val="21"/>
        </w:rPr>
      </w:pPr>
      <w:r>
        <w:rPr>
          <w:rFonts w:hint="eastAsia"/>
          <w:szCs w:val="21"/>
        </w:rPr>
        <w:t>3．诉讼期间，本合同继续履行。</w:t>
      </w:r>
    </w:p>
    <w:p>
      <w:pPr>
        <w:spacing w:after="96" w:afterLines="40"/>
        <w:ind w:firstLine="480" w:firstLineChars="200"/>
        <w:rPr>
          <w:rFonts w:ascii="黑体" w:hAnsi="黑体" w:eastAsia="黑体"/>
          <w:sz w:val="24"/>
        </w:rPr>
      </w:pPr>
      <w:r>
        <w:rPr>
          <w:rFonts w:hint="eastAsia" w:ascii="黑体" w:hAnsi="黑体" w:eastAsia="黑体"/>
          <w:sz w:val="24"/>
        </w:rPr>
        <w:t>第十七条 诉讼</w:t>
      </w:r>
    </w:p>
    <w:p>
      <w:pPr>
        <w:spacing w:after="96" w:afterLines="40"/>
        <w:ind w:firstLine="420" w:firstLineChars="200"/>
        <w:rPr>
          <w:szCs w:val="21"/>
        </w:rPr>
      </w:pPr>
      <w:r>
        <w:rPr>
          <w:rFonts w:hint="eastAsia"/>
          <w:szCs w:val="21"/>
        </w:rPr>
        <w:t>双方在执行合同中所发生的一切争议，应通过协商解决。如果协商不能解决，可向仲裁委员会申请仲裁或向人民法院提起诉讼。</w:t>
      </w:r>
    </w:p>
    <w:p>
      <w:pPr>
        <w:spacing w:after="96" w:afterLines="40"/>
        <w:ind w:firstLine="480" w:firstLineChars="200"/>
        <w:rPr>
          <w:rFonts w:ascii="黑体" w:hAnsi="黑体" w:eastAsia="黑体"/>
          <w:sz w:val="24"/>
        </w:rPr>
      </w:pPr>
      <w:r>
        <w:rPr>
          <w:rFonts w:hint="eastAsia" w:ascii="黑体" w:hAnsi="黑体" w:eastAsia="黑体"/>
          <w:sz w:val="24"/>
        </w:rPr>
        <w:t>第十八条 合同生效及其它</w:t>
      </w:r>
    </w:p>
    <w:p>
      <w:pPr>
        <w:spacing w:after="96" w:afterLines="40"/>
        <w:ind w:firstLine="422" w:firstLineChars="200"/>
        <w:rPr>
          <w:b/>
          <w:szCs w:val="21"/>
        </w:rPr>
      </w:pPr>
      <w:r>
        <w:rPr>
          <w:rFonts w:hint="eastAsia"/>
          <w:b/>
          <w:szCs w:val="21"/>
        </w:rPr>
        <w:t>1．合同经双方法定代表人或授权代表签字并加盖单位公章后生效。</w:t>
      </w:r>
    </w:p>
    <w:p>
      <w:pPr>
        <w:spacing w:after="96" w:afterLines="40"/>
        <w:ind w:firstLine="422" w:firstLineChars="200"/>
        <w:rPr>
          <w:b/>
          <w:szCs w:val="21"/>
        </w:rPr>
      </w:pPr>
      <w:r>
        <w:rPr>
          <w:rFonts w:hint="eastAsia"/>
          <w:b/>
          <w:szCs w:val="21"/>
        </w:rPr>
        <w:t>2．合同执行中涉及采购资金和采购内容修改或补充的，须经财政部门审批，并签书面补充协议报财政部门备案，方可作为主合同不可分割的一部分。</w:t>
      </w:r>
    </w:p>
    <w:p>
      <w:pPr>
        <w:spacing w:after="96" w:afterLines="40"/>
        <w:ind w:firstLine="422" w:firstLineChars="200"/>
        <w:rPr>
          <w:b/>
          <w:szCs w:val="21"/>
        </w:rPr>
      </w:pPr>
      <w:r>
        <w:rPr>
          <w:rFonts w:hint="eastAsia"/>
          <w:b/>
          <w:szCs w:val="21"/>
        </w:rPr>
        <w:t>3．本合同未尽事宜，遵照《合同法》有关条文执行。</w:t>
      </w:r>
    </w:p>
    <w:p>
      <w:pPr>
        <w:spacing w:after="96" w:afterLines="40"/>
        <w:ind w:firstLine="480" w:firstLineChars="200"/>
        <w:rPr>
          <w:rFonts w:ascii="黑体" w:hAnsi="黑体" w:eastAsia="黑体"/>
          <w:sz w:val="24"/>
        </w:rPr>
      </w:pPr>
      <w:r>
        <w:rPr>
          <w:rFonts w:hint="eastAsia" w:ascii="黑体" w:hAnsi="黑体" w:eastAsia="黑体"/>
          <w:sz w:val="24"/>
        </w:rPr>
        <w:t>第十九条 合同的变更、终止与转让</w:t>
      </w:r>
    </w:p>
    <w:p>
      <w:pPr>
        <w:spacing w:after="96" w:afterLines="40"/>
        <w:ind w:firstLine="420" w:firstLineChars="200"/>
        <w:rPr>
          <w:szCs w:val="21"/>
        </w:rPr>
      </w:pPr>
      <w:r>
        <w:rPr>
          <w:rFonts w:hint="eastAsia"/>
          <w:szCs w:val="21"/>
        </w:rPr>
        <w:t>1．除《中华人民共和国政府采购法》第五十条规定的情形外，本合同一经签订，甲乙双方不得擅自变更、中止或终止。</w:t>
      </w:r>
    </w:p>
    <w:p>
      <w:pPr>
        <w:spacing w:after="96" w:afterLines="40"/>
        <w:ind w:firstLine="420" w:firstLineChars="200"/>
        <w:rPr>
          <w:szCs w:val="21"/>
        </w:rPr>
      </w:pPr>
      <w:r>
        <w:rPr>
          <w:rFonts w:hint="eastAsia"/>
          <w:szCs w:val="21"/>
        </w:rPr>
        <w:t>2．乙方不得擅自转让（无进口资格的供应商委托进口货物除外）其应履行的合同义务。</w:t>
      </w:r>
    </w:p>
    <w:p>
      <w:pPr>
        <w:spacing w:after="96" w:afterLines="40"/>
        <w:ind w:firstLine="420" w:firstLineChars="200"/>
        <w:rPr>
          <w:szCs w:val="21"/>
        </w:rPr>
      </w:pPr>
      <w:r>
        <w:rPr>
          <w:szCs w:val="21"/>
        </w:rPr>
        <w:t>3</w:t>
      </w:r>
      <w:r>
        <w:rPr>
          <w:rFonts w:hint="eastAsia"/>
          <w:szCs w:val="21"/>
        </w:rPr>
        <w:t>．合同经双方法定代表人或授权代表签字并加盖单位公章后生效。</w:t>
      </w:r>
    </w:p>
    <w:p>
      <w:pPr>
        <w:spacing w:after="96" w:afterLines="40"/>
        <w:ind w:firstLine="420" w:firstLineChars="200"/>
        <w:rPr>
          <w:szCs w:val="21"/>
        </w:rPr>
      </w:pPr>
      <w:r>
        <w:rPr>
          <w:rFonts w:hint="eastAsia"/>
          <w:szCs w:val="21"/>
        </w:rPr>
        <w:t>4．合同执行中涉及采购资金和采购内容修改或补充的，须经财政部门审批，并签书面补充协议报财政部门备案，方可作为主合同不可分割的一部分。</w:t>
      </w:r>
      <w:r>
        <w:rPr>
          <w:szCs w:val="21"/>
        </w:rPr>
        <w:t xml:space="preserve"> </w:t>
      </w:r>
    </w:p>
    <w:p>
      <w:pPr>
        <w:spacing w:after="96" w:afterLines="40"/>
        <w:ind w:firstLine="420" w:firstLineChars="200"/>
        <w:rPr>
          <w:szCs w:val="21"/>
        </w:rPr>
      </w:pPr>
      <w:r>
        <w:rPr>
          <w:rFonts w:hint="eastAsia"/>
          <w:szCs w:val="21"/>
        </w:rPr>
        <w:t>5．本合同未尽事宜，遵照《合同法》有关条文执行。</w:t>
      </w:r>
    </w:p>
    <w:p>
      <w:pPr>
        <w:spacing w:after="96" w:afterLines="40"/>
        <w:ind w:firstLine="480" w:firstLineChars="200"/>
        <w:rPr>
          <w:rFonts w:ascii="黑体" w:hAnsi="黑体" w:eastAsia="黑体"/>
          <w:sz w:val="24"/>
        </w:rPr>
      </w:pPr>
      <w:r>
        <w:rPr>
          <w:rFonts w:hint="eastAsia" w:ascii="黑体" w:hAnsi="黑体" w:eastAsia="黑体"/>
          <w:sz w:val="24"/>
        </w:rPr>
        <w:t>第二十条 签订本合同依据</w:t>
      </w:r>
    </w:p>
    <w:p>
      <w:pPr>
        <w:spacing w:after="96" w:afterLines="40"/>
        <w:ind w:firstLine="420" w:firstLineChars="200"/>
        <w:rPr>
          <w:szCs w:val="21"/>
        </w:rPr>
      </w:pPr>
      <w:r>
        <w:rPr>
          <w:rFonts w:hint="eastAsia"/>
          <w:szCs w:val="21"/>
        </w:rPr>
        <w:t>1．政府采购招标文件；</w:t>
      </w:r>
    </w:p>
    <w:p>
      <w:pPr>
        <w:spacing w:after="96" w:afterLines="40"/>
        <w:ind w:firstLine="420" w:firstLineChars="200"/>
        <w:rPr>
          <w:szCs w:val="21"/>
        </w:rPr>
      </w:pPr>
      <w:r>
        <w:rPr>
          <w:rFonts w:hint="eastAsia"/>
          <w:szCs w:val="21"/>
        </w:rPr>
        <w:t>2．乙方提供的采购投标</w:t>
      </w:r>
      <w:r>
        <w:rPr>
          <w:szCs w:val="21"/>
        </w:rPr>
        <w:t>(</w:t>
      </w:r>
      <w:r>
        <w:rPr>
          <w:rFonts w:hint="eastAsia"/>
          <w:szCs w:val="21"/>
        </w:rPr>
        <w:t>或应答</w:t>
      </w:r>
      <w:r>
        <w:rPr>
          <w:szCs w:val="21"/>
        </w:rPr>
        <w:t>)</w:t>
      </w:r>
      <w:r>
        <w:rPr>
          <w:rFonts w:hint="eastAsia"/>
          <w:szCs w:val="21"/>
        </w:rPr>
        <w:t>文件；</w:t>
      </w:r>
    </w:p>
    <w:p>
      <w:pPr>
        <w:spacing w:after="96" w:afterLines="40"/>
        <w:ind w:firstLine="420" w:firstLineChars="200"/>
        <w:rPr>
          <w:szCs w:val="21"/>
        </w:rPr>
      </w:pPr>
      <w:r>
        <w:rPr>
          <w:rFonts w:hint="eastAsia"/>
          <w:szCs w:val="21"/>
        </w:rPr>
        <w:t>3．投标承诺书；</w:t>
      </w:r>
    </w:p>
    <w:p>
      <w:pPr>
        <w:spacing w:after="96" w:afterLines="40"/>
        <w:ind w:firstLine="420" w:firstLineChars="200"/>
        <w:rPr>
          <w:szCs w:val="21"/>
        </w:rPr>
      </w:pPr>
      <w:r>
        <w:rPr>
          <w:rFonts w:hint="eastAsia"/>
          <w:szCs w:val="21"/>
        </w:rPr>
        <w:t>4．中标或成交通知书。</w:t>
      </w:r>
    </w:p>
    <w:p>
      <w:pPr>
        <w:spacing w:after="96" w:afterLines="40"/>
        <w:ind w:firstLine="480" w:firstLineChars="200"/>
        <w:rPr>
          <w:szCs w:val="21"/>
        </w:rPr>
      </w:pPr>
      <w:r>
        <w:rPr>
          <w:rFonts w:hint="eastAsia" w:ascii="黑体" w:hAnsi="黑体" w:eastAsia="黑体"/>
          <w:sz w:val="24"/>
        </w:rPr>
        <w:t>第二十一条</w:t>
      </w:r>
      <w:r>
        <w:rPr>
          <w:rFonts w:hint="eastAsia"/>
          <w:szCs w:val="21"/>
        </w:rPr>
        <w:t xml:space="preserve"> 本合同一式四份，具有同等法律效力，财政部门（政府采购监管部门）、采购代理机构各一份，甲乙双方各一份（可根据需要另增加）。</w:t>
      </w:r>
    </w:p>
    <w:p>
      <w:pPr>
        <w:spacing w:after="96" w:afterLines="40"/>
        <w:ind w:firstLine="420" w:firstLineChars="200"/>
        <w:rPr>
          <w:szCs w:val="21"/>
        </w:rPr>
      </w:pPr>
      <w:r>
        <w:rPr>
          <w:rFonts w:hint="eastAsia"/>
          <w:szCs w:val="21"/>
        </w:rPr>
        <w:t>本合同甲乙双方签字盖章后生效，自签订之日起七个工作日内，采购人或采购代理机构应当将合同副本报同级财政部门备案。</w:t>
      </w:r>
      <w:r>
        <w:rPr>
          <w:szCs w:val="21"/>
        </w:rPr>
        <w:t xml:space="preserve"> </w:t>
      </w:r>
    </w:p>
    <w:p>
      <w:pPr>
        <w:spacing w:after="96" w:afterLines="40"/>
        <w:ind w:firstLine="420" w:firstLineChars="200"/>
        <w:rPr>
          <w:szCs w:val="21"/>
        </w:rPr>
      </w:pPr>
    </w:p>
    <w:tbl>
      <w:tblPr>
        <w:tblStyle w:val="17"/>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282" w:type="dxa"/>
            <w:vAlign w:val="center"/>
          </w:tcPr>
          <w:p>
            <w:r>
              <w:rPr>
                <w:rFonts w:hint="eastAsia"/>
              </w:rPr>
              <w:t>甲方</w:t>
            </w:r>
            <w:r>
              <w:t>(</w:t>
            </w:r>
            <w:r>
              <w:rPr>
                <w:rFonts w:hint="eastAsia"/>
              </w:rPr>
              <w:t>章</w:t>
            </w:r>
            <w:r>
              <w:t>)</w:t>
            </w:r>
          </w:p>
          <w:p>
            <w:pPr>
              <w:jc w:val="right"/>
            </w:pPr>
            <w:r>
              <w:rPr>
                <w:rFonts w:hint="eastAsia"/>
              </w:rPr>
              <w:t>年   月   日</w:t>
            </w:r>
          </w:p>
        </w:tc>
        <w:tc>
          <w:tcPr>
            <w:tcW w:w="4270" w:type="dxa"/>
            <w:vAlign w:val="center"/>
          </w:tcPr>
          <w:p>
            <w:r>
              <w:rPr>
                <w:rFonts w:hint="eastAsia"/>
              </w:rPr>
              <w:t>乙方</w:t>
            </w:r>
            <w:r>
              <w:t>(</w:t>
            </w:r>
            <w:r>
              <w:rPr>
                <w:rFonts w:hint="eastAsia"/>
              </w:rPr>
              <w:t>章</w:t>
            </w:r>
            <w:r>
              <w:t>)</w:t>
            </w:r>
          </w:p>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单位地址</w:t>
            </w:r>
            <w:r>
              <w:t>：</w:t>
            </w:r>
          </w:p>
        </w:tc>
        <w:tc>
          <w:tcPr>
            <w:tcW w:w="4270" w:type="dxa"/>
            <w:vAlign w:val="center"/>
          </w:tcPr>
          <w:p>
            <w:r>
              <w:rPr>
                <w:rFonts w:hint="eastAsia"/>
              </w:rPr>
              <w:t>单位地址</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法定代表人</w:t>
            </w:r>
            <w:r>
              <w:t>：</w:t>
            </w:r>
          </w:p>
        </w:tc>
        <w:tc>
          <w:tcPr>
            <w:tcW w:w="4270" w:type="dxa"/>
            <w:vAlign w:val="center"/>
          </w:tcPr>
          <w:p>
            <w:r>
              <w:rPr>
                <w:rFonts w:hint="eastAsia"/>
              </w:rPr>
              <w:t>法定代表人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委托代理人：</w:t>
            </w:r>
          </w:p>
        </w:tc>
        <w:tc>
          <w:tcPr>
            <w:tcW w:w="4270" w:type="dxa"/>
            <w:vAlign w:val="center"/>
          </w:tcPr>
          <w:p>
            <w:r>
              <w:rPr>
                <w:rFonts w:hint="eastAsia"/>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电话</w:t>
            </w:r>
            <w:r>
              <w:t>：</w:t>
            </w:r>
          </w:p>
        </w:tc>
        <w:tc>
          <w:tcPr>
            <w:tcW w:w="4270" w:type="dxa"/>
            <w:vAlign w:val="center"/>
          </w:tcPr>
          <w:p>
            <w:r>
              <w:rPr>
                <w:rFonts w:hint="eastAsia"/>
              </w:rPr>
              <w:t>电话</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电子邮箱</w:t>
            </w:r>
            <w:r>
              <w:t>：</w:t>
            </w:r>
          </w:p>
        </w:tc>
        <w:tc>
          <w:tcPr>
            <w:tcW w:w="4270" w:type="dxa"/>
            <w:vAlign w:val="center"/>
          </w:tcPr>
          <w:p>
            <w:r>
              <w:rPr>
                <w:rFonts w:hint="eastAsi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开户银行</w:t>
            </w:r>
            <w:r>
              <w:t>：</w:t>
            </w:r>
          </w:p>
        </w:tc>
        <w:tc>
          <w:tcPr>
            <w:tcW w:w="4270" w:type="dxa"/>
            <w:vAlign w:val="center"/>
          </w:tcPr>
          <w:p>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账号</w:t>
            </w:r>
            <w:r>
              <w:t>：</w:t>
            </w:r>
          </w:p>
        </w:tc>
        <w:tc>
          <w:tcPr>
            <w:tcW w:w="4270" w:type="dxa"/>
            <w:vAlign w:val="center"/>
          </w:tcPr>
          <w:p>
            <w:r>
              <w:rPr>
                <w:rFonts w:hint="eastAsia"/>
              </w:rPr>
              <w:t>账号</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r>
              <w:rPr>
                <w:rFonts w:hint="eastAsia"/>
              </w:rPr>
              <w:t>邮政编码</w:t>
            </w:r>
            <w:r>
              <w:t>：</w:t>
            </w:r>
          </w:p>
        </w:tc>
        <w:tc>
          <w:tcPr>
            <w:tcW w:w="4270" w:type="dxa"/>
            <w:vAlign w:val="center"/>
          </w:tcPr>
          <w:p>
            <w:r>
              <w:rPr>
                <w:rFonts w:hint="eastAsia"/>
              </w:rPr>
              <w:t>邮政编码</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52" w:type="dxa"/>
            <w:gridSpan w:val="2"/>
            <w:vAlign w:val="center"/>
          </w:tcPr>
          <w:p>
            <w:r>
              <w:rPr>
                <w:rFonts w:hint="eastAsia"/>
              </w:rPr>
              <w:t>经办人</w:t>
            </w:r>
            <w:r>
              <w:t>：</w:t>
            </w:r>
          </w:p>
          <w:p>
            <w:pPr>
              <w:jc w:val="right"/>
            </w:pPr>
            <w:r>
              <w:rPr>
                <w:rFonts w:hint="eastAsia"/>
              </w:rPr>
              <w:t>年   月   日</w:t>
            </w:r>
          </w:p>
        </w:tc>
      </w:tr>
    </w:tbl>
    <w:p>
      <w:pPr>
        <w:spacing w:after="96" w:afterLines="40"/>
        <w:ind w:firstLine="420" w:firstLineChars="200"/>
        <w:rPr>
          <w:szCs w:val="21"/>
        </w:rPr>
      </w:pPr>
    </w:p>
    <w:p>
      <w:pPr>
        <w:spacing w:after="96" w:afterLines="40"/>
        <w:jc w:val="center"/>
        <w:rPr>
          <w:rFonts w:ascii="黑体" w:hAnsi="黑体" w:eastAsia="黑体"/>
          <w:sz w:val="24"/>
        </w:rPr>
      </w:pPr>
    </w:p>
    <w:p>
      <w:pPr>
        <w:spacing w:after="96" w:afterLines="40"/>
        <w:jc w:val="center"/>
        <w:rPr>
          <w:rFonts w:ascii="黑体" w:hAnsi="黑体" w:eastAsia="黑体"/>
          <w:sz w:val="24"/>
        </w:rPr>
      </w:pPr>
      <w:r>
        <w:rPr>
          <w:rFonts w:hint="eastAsia" w:ascii="黑体" w:hAnsi="黑体" w:eastAsia="黑体"/>
          <w:sz w:val="24"/>
        </w:rPr>
        <w:t>合同附件</w:t>
      </w:r>
    </w:p>
    <w:p>
      <w:r>
        <w:rPr>
          <w:rFonts w:hint="eastAsia"/>
        </w:rPr>
        <w:t xml:space="preserve"> </w:t>
      </w:r>
    </w:p>
    <w:tbl>
      <w:tblPr>
        <w:tblStyle w:val="17"/>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pPr>
            <w:r>
              <w:rPr>
                <w:rFonts w:hint="eastAsia"/>
              </w:rPr>
              <w:t>1．供应商承诺具体事项：</w:t>
            </w:r>
          </w:p>
          <w:p>
            <w:pPr>
              <w:ind w:right="21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2．售后服务具体事项：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3．测试期限：</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r>
              <w:rPr>
                <w:rFonts w:hint="eastAsia"/>
              </w:rPr>
              <w:t>4．其他具体事项：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r>
              <w:rPr>
                <w:rFonts w:hint="eastAsia"/>
              </w:rPr>
              <w:t>甲方</w:t>
            </w:r>
            <w:r>
              <w:t>(</w:t>
            </w:r>
            <w:r>
              <w:rPr>
                <w:rFonts w:hint="eastAsia"/>
              </w:rPr>
              <w:t>章</w:t>
            </w:r>
            <w:r>
              <w:t>)</w:t>
            </w:r>
          </w:p>
          <w:p/>
          <w:p/>
          <w:p>
            <w:pPr>
              <w:jc w:val="right"/>
            </w:pPr>
            <w:r>
              <w:rPr>
                <w:rFonts w:hint="eastAsia"/>
              </w:rPr>
              <w:t>年   月   日</w:t>
            </w:r>
          </w:p>
        </w:tc>
        <w:tc>
          <w:tcPr>
            <w:tcW w:w="4285" w:type="dxa"/>
            <w:vAlign w:val="center"/>
          </w:tcPr>
          <w:p>
            <w:r>
              <w:rPr>
                <w:rFonts w:hint="eastAsia"/>
              </w:rPr>
              <w:t>乙方</w:t>
            </w:r>
            <w:r>
              <w:t>(</w:t>
            </w:r>
            <w:r>
              <w:rPr>
                <w:rFonts w:hint="eastAsia"/>
              </w:rPr>
              <w:t>章</w:t>
            </w:r>
            <w:r>
              <w:t>)</w:t>
            </w:r>
          </w:p>
          <w:p/>
          <w:p/>
          <w:p>
            <w:pPr>
              <w:jc w:val="right"/>
            </w:pPr>
            <w:r>
              <w:rPr>
                <w:rFonts w:hint="eastAsia"/>
              </w:rPr>
              <w:t>年   月   日</w:t>
            </w:r>
          </w:p>
        </w:tc>
      </w:tr>
    </w:tbl>
    <w:p>
      <w:pPr>
        <w:snapToGrid w:val="0"/>
        <w:spacing w:line="400" w:lineRule="exact"/>
        <w:rPr>
          <w:rFonts w:ascii="仿宋_GB2312" w:eastAsia="仿宋_GB2312"/>
          <w:b/>
          <w:bCs/>
          <w:sz w:val="24"/>
        </w:rPr>
      </w:pPr>
      <w:r>
        <w:rPr>
          <w:rFonts w:hint="eastAsia"/>
          <w:szCs w:val="21"/>
        </w:rPr>
        <w:t>注：售后服务事项填不下时可另加附页。</w:t>
      </w:r>
    </w:p>
    <w:p>
      <w:pPr>
        <w:snapToGrid w:val="0"/>
        <w:rPr>
          <w:rFonts w:ascii="仿宋_GB2312" w:eastAsia="仿宋_GB2312"/>
          <w:sz w:val="24"/>
        </w:rPr>
      </w:pPr>
    </w:p>
    <w:p>
      <w:pPr>
        <w:widowControl/>
        <w:jc w:val="left"/>
        <w:rPr>
          <w:rFonts w:ascii="黑体" w:hAnsi="宋体" w:eastAsia="黑体" w:cs="Courier New"/>
          <w:sz w:val="32"/>
          <w:szCs w:val="32"/>
        </w:rPr>
      </w:pPr>
      <w:r>
        <w:rPr>
          <w:rFonts w:ascii="黑体" w:hAnsi="宋体" w:eastAsia="黑体"/>
          <w:sz w:val="32"/>
          <w:szCs w:val="32"/>
        </w:rPr>
        <w:br w:type="page"/>
      </w:r>
    </w:p>
    <w:p>
      <w:pPr>
        <w:pStyle w:val="12"/>
        <w:snapToGrid w:val="0"/>
        <w:spacing w:before="120" w:after="120" w:line="320" w:lineRule="exact"/>
        <w:jc w:val="center"/>
        <w:outlineLvl w:val="0"/>
        <w:rPr>
          <w:rFonts w:ascii="黑体" w:hAnsi="宋体" w:eastAsia="黑体"/>
          <w:sz w:val="32"/>
          <w:szCs w:val="32"/>
        </w:rPr>
      </w:pPr>
      <w:bookmarkStart w:id="116" w:name="_Toc48031720"/>
      <w:r>
        <w:rPr>
          <w:rFonts w:hint="eastAsia" w:ascii="黑体" w:hAnsi="宋体" w:eastAsia="黑体"/>
          <w:sz w:val="32"/>
          <w:szCs w:val="32"/>
        </w:rPr>
        <w:t>第六章  投标文件格式</w:t>
      </w:r>
      <w:bookmarkEnd w:id="116"/>
    </w:p>
    <w:p>
      <w:pPr>
        <w:snapToGrid w:val="0"/>
        <w:spacing w:before="120" w:beforeLines="50" w:after="50" w:line="440" w:lineRule="exact"/>
        <w:jc w:val="center"/>
        <w:outlineLvl w:val="1"/>
        <w:rPr>
          <w:rFonts w:ascii="黑体" w:hAnsi="宋体" w:eastAsia="黑体"/>
          <w:bCs/>
          <w:sz w:val="24"/>
        </w:rPr>
      </w:pPr>
      <w:bookmarkStart w:id="117" w:name="_Toc254970556"/>
      <w:bookmarkStart w:id="118" w:name="_Toc254970697"/>
      <w:r>
        <w:rPr>
          <w:rFonts w:hint="eastAsia" w:ascii="黑体" w:hAnsi="宋体" w:eastAsia="黑体"/>
          <w:bCs/>
          <w:sz w:val="24"/>
        </w:rPr>
        <w:t>一、投标文件包装封面及投标文件封面格式</w:t>
      </w:r>
      <w:bookmarkEnd w:id="117"/>
      <w:bookmarkEnd w:id="118"/>
    </w:p>
    <w:p>
      <w:pPr>
        <w:snapToGrid w:val="0"/>
        <w:spacing w:before="120" w:beforeLines="50" w:after="50" w:line="440" w:lineRule="exact"/>
        <w:rPr>
          <w:b/>
          <w:sz w:val="24"/>
        </w:rPr>
      </w:pPr>
      <w:r>
        <w:rPr>
          <w:b/>
          <w:sz w:val="24"/>
        </w:rPr>
        <w:t>1．投标文件的包装封面格式：</w:t>
      </w:r>
    </w:p>
    <w:p>
      <w:pPr>
        <w:snapToGrid w:val="0"/>
        <w:spacing w:before="120" w:beforeLines="50" w:after="50" w:line="440" w:lineRule="exact"/>
        <w:rPr>
          <w:sz w:val="24"/>
        </w:rPr>
      </w:pPr>
    </w:p>
    <w:p>
      <w:pPr>
        <w:snapToGrid w:val="0"/>
        <w:spacing w:before="120" w:beforeLines="50" w:after="50" w:line="440" w:lineRule="exact"/>
        <w:jc w:val="center"/>
        <w:rPr>
          <w:bCs/>
          <w:sz w:val="24"/>
        </w:rPr>
      </w:pPr>
    </w:p>
    <w:p>
      <w:pPr>
        <w:snapToGrid w:val="0"/>
        <w:spacing w:before="120" w:beforeLines="50" w:after="50" w:line="440" w:lineRule="exact"/>
        <w:jc w:val="center"/>
        <w:rPr>
          <w:b/>
          <w:bCs/>
          <w:sz w:val="44"/>
          <w:szCs w:val="44"/>
        </w:rPr>
      </w:pPr>
      <w:r>
        <w:rPr>
          <w:b/>
          <w:bCs/>
          <w:sz w:val="44"/>
          <w:szCs w:val="44"/>
        </w:rPr>
        <w:t>投 标 文 件</w:t>
      </w:r>
    </w:p>
    <w:p>
      <w:pPr>
        <w:snapToGrid w:val="0"/>
        <w:spacing w:before="120" w:beforeLines="50" w:after="50" w:line="440" w:lineRule="exact"/>
        <w:rPr>
          <w:bCs/>
          <w:sz w:val="24"/>
        </w:rPr>
      </w:pPr>
    </w:p>
    <w:p>
      <w:pPr>
        <w:snapToGrid w:val="0"/>
        <w:spacing w:before="120" w:beforeLines="50" w:after="50" w:line="440" w:lineRule="exact"/>
        <w:ind w:firstLine="720" w:firstLineChars="300"/>
        <w:rPr>
          <w:bCs/>
          <w:sz w:val="24"/>
        </w:rPr>
      </w:pPr>
      <w:r>
        <w:rPr>
          <w:bCs/>
          <w:sz w:val="24"/>
        </w:rPr>
        <w:t xml:space="preserve">项目名称： </w:t>
      </w:r>
    </w:p>
    <w:p>
      <w:pPr>
        <w:snapToGrid w:val="0"/>
        <w:spacing w:before="120" w:beforeLines="50" w:after="50" w:line="440" w:lineRule="exact"/>
        <w:ind w:firstLine="720" w:firstLineChars="300"/>
        <w:rPr>
          <w:bCs/>
          <w:sz w:val="24"/>
        </w:rPr>
      </w:pPr>
      <w:r>
        <w:rPr>
          <w:bCs/>
          <w:sz w:val="24"/>
        </w:rPr>
        <w:t xml:space="preserve">项目编号： </w:t>
      </w:r>
    </w:p>
    <w:p>
      <w:pPr>
        <w:pStyle w:val="7"/>
        <w:snapToGrid w:val="0"/>
        <w:spacing w:before="50" w:after="50" w:line="440" w:lineRule="exact"/>
        <w:ind w:firstLine="720" w:firstLineChars="300"/>
        <w:rPr>
          <w:bCs/>
          <w:sz w:val="24"/>
          <w:szCs w:val="24"/>
        </w:rPr>
      </w:pPr>
      <w:r>
        <w:rPr>
          <w:bCs/>
          <w:sz w:val="24"/>
          <w:szCs w:val="24"/>
        </w:rPr>
        <w:t>投标文件名称：资信/商务文件、技术文件、报价文件</w:t>
      </w:r>
    </w:p>
    <w:p>
      <w:pPr>
        <w:pStyle w:val="7"/>
        <w:snapToGrid w:val="0"/>
        <w:spacing w:before="50" w:after="50" w:line="440" w:lineRule="exact"/>
        <w:ind w:firstLine="720" w:firstLineChars="300"/>
        <w:rPr>
          <w:bCs/>
          <w:sz w:val="24"/>
          <w:szCs w:val="24"/>
        </w:rPr>
      </w:pPr>
      <w:r>
        <w:rPr>
          <w:bCs/>
          <w:sz w:val="24"/>
          <w:szCs w:val="24"/>
        </w:rPr>
        <w:t>投标人名称：</w:t>
      </w:r>
      <w:r>
        <w:rPr>
          <w:rFonts w:hint="eastAsia"/>
          <w:bCs/>
          <w:sz w:val="24"/>
          <w:szCs w:val="24"/>
        </w:rPr>
        <w:t>（盖章）</w:t>
      </w:r>
    </w:p>
    <w:p>
      <w:pPr>
        <w:pStyle w:val="7"/>
        <w:snapToGrid w:val="0"/>
        <w:spacing w:before="50" w:after="50" w:line="440" w:lineRule="exact"/>
        <w:ind w:firstLine="720" w:firstLineChars="300"/>
        <w:rPr>
          <w:bCs/>
          <w:sz w:val="24"/>
          <w:szCs w:val="24"/>
        </w:rPr>
      </w:pPr>
      <w:r>
        <w:rPr>
          <w:bCs/>
          <w:sz w:val="24"/>
          <w:szCs w:val="24"/>
        </w:rPr>
        <w:t>投标人地址：</w:t>
      </w:r>
    </w:p>
    <w:p>
      <w:pPr>
        <w:pStyle w:val="7"/>
        <w:snapToGrid w:val="0"/>
        <w:spacing w:before="50" w:after="50" w:line="440" w:lineRule="exact"/>
        <w:ind w:firstLine="720" w:firstLineChars="300"/>
        <w:rPr>
          <w:bCs/>
          <w:sz w:val="24"/>
          <w:szCs w:val="24"/>
        </w:rPr>
      </w:pPr>
      <w:r>
        <w:rPr>
          <w:bCs/>
          <w:sz w:val="24"/>
          <w:szCs w:val="24"/>
        </w:rPr>
        <w:t>在  年  月  日  时  分之前不得启封</w:t>
      </w:r>
    </w:p>
    <w:p>
      <w:pPr>
        <w:pStyle w:val="7"/>
        <w:snapToGrid w:val="0"/>
        <w:spacing w:before="50" w:after="50" w:line="440" w:lineRule="exact"/>
        <w:ind w:firstLine="720" w:firstLineChars="300"/>
        <w:rPr>
          <w:bCs/>
          <w:sz w:val="24"/>
          <w:szCs w:val="24"/>
        </w:rPr>
      </w:pPr>
      <w:r>
        <w:rPr>
          <w:bCs/>
          <w:sz w:val="24"/>
          <w:szCs w:val="24"/>
        </w:rPr>
        <w:t>开标时启封</w:t>
      </w:r>
    </w:p>
    <w:p>
      <w:pPr>
        <w:snapToGrid w:val="0"/>
        <w:spacing w:before="120" w:beforeLines="50" w:after="50" w:line="440" w:lineRule="exact"/>
        <w:ind w:firstLine="4080" w:firstLineChars="1700"/>
        <w:rPr>
          <w:bCs/>
          <w:sz w:val="24"/>
        </w:rPr>
      </w:pPr>
    </w:p>
    <w:p>
      <w:pPr>
        <w:snapToGrid w:val="0"/>
        <w:spacing w:before="120" w:beforeLines="50" w:after="50" w:line="440" w:lineRule="exact"/>
        <w:ind w:firstLine="645"/>
        <w:jc w:val="center"/>
        <w:rPr>
          <w:bCs/>
          <w:sz w:val="24"/>
        </w:rPr>
      </w:pPr>
      <w:r>
        <w:rPr>
          <w:bCs/>
          <w:sz w:val="24"/>
        </w:rPr>
        <w:t xml:space="preserve">                        年  月  日</w:t>
      </w:r>
    </w:p>
    <w:p>
      <w:pPr>
        <w:snapToGrid w:val="0"/>
        <w:spacing w:before="120" w:beforeLines="50" w:after="50" w:line="360" w:lineRule="exact"/>
        <w:rPr>
          <w:b/>
          <w:sz w:val="24"/>
        </w:rPr>
      </w:pPr>
      <w:r>
        <w:rPr>
          <w:sz w:val="24"/>
        </w:rPr>
        <w:br w:type="page"/>
      </w:r>
      <w:r>
        <w:rPr>
          <w:b/>
          <w:sz w:val="24"/>
        </w:rPr>
        <w:t xml:space="preserve">2．投标文件封面格式： </w:t>
      </w:r>
    </w:p>
    <w:p>
      <w:pPr>
        <w:snapToGrid w:val="0"/>
        <w:spacing w:before="120" w:beforeLines="50" w:after="50" w:line="360" w:lineRule="exact"/>
        <w:rPr>
          <w:sz w:val="24"/>
        </w:rPr>
      </w:pPr>
    </w:p>
    <w:p>
      <w:pPr>
        <w:snapToGrid w:val="0"/>
        <w:spacing w:before="120" w:beforeLines="50" w:after="50" w:line="360" w:lineRule="exact"/>
        <w:jc w:val="right"/>
        <w:rPr>
          <w:bCs/>
          <w:sz w:val="24"/>
        </w:rPr>
      </w:pPr>
      <w:r>
        <w:rPr>
          <w:bCs/>
          <w:sz w:val="24"/>
        </w:rPr>
        <w:t>正本/或副本</w:t>
      </w:r>
    </w:p>
    <w:p>
      <w:pPr>
        <w:snapToGrid w:val="0"/>
        <w:spacing w:before="120" w:beforeLines="50" w:after="50" w:line="360" w:lineRule="exact"/>
        <w:jc w:val="center"/>
        <w:rPr>
          <w:bCs/>
          <w:sz w:val="24"/>
        </w:rPr>
      </w:pPr>
    </w:p>
    <w:p>
      <w:pPr>
        <w:snapToGrid w:val="0"/>
        <w:spacing w:before="120" w:beforeLines="50" w:after="50" w:line="360" w:lineRule="exact"/>
        <w:jc w:val="center"/>
        <w:rPr>
          <w:b/>
          <w:bCs/>
          <w:sz w:val="44"/>
          <w:szCs w:val="44"/>
        </w:rPr>
      </w:pPr>
      <w:r>
        <w:rPr>
          <w:b/>
          <w:bCs/>
          <w:sz w:val="44"/>
          <w:szCs w:val="44"/>
        </w:rPr>
        <w:t>投标文件</w:t>
      </w:r>
    </w:p>
    <w:p>
      <w:pPr>
        <w:snapToGrid w:val="0"/>
        <w:spacing w:before="120" w:beforeLines="50" w:after="50" w:line="360" w:lineRule="exact"/>
        <w:rPr>
          <w:bCs/>
          <w:sz w:val="24"/>
        </w:rPr>
      </w:pPr>
    </w:p>
    <w:p>
      <w:pPr>
        <w:snapToGrid w:val="0"/>
        <w:spacing w:before="120" w:beforeLines="50" w:after="50" w:line="360" w:lineRule="exact"/>
        <w:ind w:firstLine="720" w:firstLineChars="300"/>
        <w:rPr>
          <w:bCs/>
          <w:sz w:val="24"/>
        </w:rPr>
      </w:pPr>
      <w:r>
        <w:rPr>
          <w:bCs/>
          <w:sz w:val="24"/>
        </w:rPr>
        <w:t xml:space="preserve">项目名称： </w:t>
      </w:r>
    </w:p>
    <w:p>
      <w:pPr>
        <w:snapToGrid w:val="0"/>
        <w:spacing w:before="120" w:beforeLines="50" w:after="50" w:line="360" w:lineRule="exact"/>
        <w:ind w:firstLine="720" w:firstLineChars="300"/>
        <w:rPr>
          <w:bCs/>
          <w:sz w:val="24"/>
        </w:rPr>
      </w:pPr>
      <w:r>
        <w:rPr>
          <w:bCs/>
          <w:sz w:val="24"/>
        </w:rPr>
        <w:t xml:space="preserve">项目编号： </w:t>
      </w:r>
    </w:p>
    <w:p>
      <w:pPr>
        <w:snapToGrid w:val="0"/>
        <w:spacing w:before="120" w:beforeLines="50" w:after="50" w:line="360" w:lineRule="exact"/>
        <w:ind w:firstLine="720" w:firstLineChars="300"/>
        <w:rPr>
          <w:bCs/>
          <w:sz w:val="24"/>
        </w:rPr>
      </w:pPr>
      <w:r>
        <w:rPr>
          <w:bCs/>
          <w:sz w:val="24"/>
        </w:rPr>
        <w:t>投标人名称：</w:t>
      </w:r>
      <w:r>
        <w:rPr>
          <w:rFonts w:hint="eastAsia"/>
          <w:bCs/>
          <w:sz w:val="24"/>
        </w:rPr>
        <w:t>（盖章）</w:t>
      </w:r>
    </w:p>
    <w:p>
      <w:pPr>
        <w:snapToGrid w:val="0"/>
        <w:spacing w:before="120" w:beforeLines="50" w:after="50" w:line="360" w:lineRule="exact"/>
        <w:ind w:firstLine="720" w:firstLineChars="300"/>
        <w:rPr>
          <w:bCs/>
          <w:sz w:val="24"/>
        </w:rPr>
      </w:pPr>
      <w:r>
        <w:rPr>
          <w:bCs/>
          <w:sz w:val="24"/>
        </w:rPr>
        <w:t>投标人地址：</w:t>
      </w:r>
    </w:p>
    <w:p>
      <w:pPr>
        <w:pStyle w:val="7"/>
        <w:snapToGrid w:val="0"/>
        <w:spacing w:before="50" w:after="50" w:line="360" w:lineRule="exact"/>
        <w:ind w:firstLine="960" w:firstLineChars="400"/>
        <w:rPr>
          <w:bCs/>
          <w:sz w:val="24"/>
          <w:szCs w:val="24"/>
        </w:rPr>
      </w:pPr>
    </w:p>
    <w:p>
      <w:pPr>
        <w:snapToGrid w:val="0"/>
        <w:spacing w:before="120" w:beforeLines="50" w:after="50" w:line="360" w:lineRule="exact"/>
        <w:jc w:val="center"/>
        <w:rPr>
          <w:sz w:val="24"/>
        </w:rPr>
      </w:pPr>
      <w:r>
        <w:rPr>
          <w:sz w:val="24"/>
        </w:rPr>
        <w:t xml:space="preserve">                        年  月  日</w:t>
      </w:r>
    </w:p>
    <w:p>
      <w:pPr>
        <w:snapToGrid w:val="0"/>
        <w:spacing w:before="50" w:after="50" w:line="420" w:lineRule="exact"/>
        <w:ind w:firstLine="120" w:firstLineChars="50"/>
        <w:jc w:val="center"/>
        <w:rPr>
          <w:b/>
          <w:bCs/>
          <w:sz w:val="24"/>
        </w:rPr>
      </w:pPr>
      <w:bookmarkStart w:id="119" w:name="_Toc254970557"/>
      <w:bookmarkStart w:id="120" w:name="_Toc254970698"/>
      <w:r>
        <w:rPr>
          <w:sz w:val="24"/>
        </w:rPr>
        <w:br w:type="page"/>
      </w:r>
      <w:r>
        <w:rPr>
          <w:rFonts w:ascii="黑体" w:hAnsi="宋体" w:eastAsia="黑体"/>
          <w:bCs/>
          <w:sz w:val="24"/>
        </w:rPr>
        <w:t>二、投标文件格式</w:t>
      </w:r>
      <w:bookmarkEnd w:id="119"/>
      <w:bookmarkEnd w:id="120"/>
      <w:r>
        <w:rPr>
          <w:rFonts w:hint="eastAsia" w:ascii="黑体" w:hAnsi="宋体" w:eastAsia="黑体"/>
          <w:bCs/>
          <w:sz w:val="24"/>
        </w:rPr>
        <w:t>（未提供格式的，格式自拟）</w:t>
      </w:r>
    </w:p>
    <w:p>
      <w:pPr>
        <w:snapToGrid w:val="0"/>
        <w:spacing w:before="50" w:after="50" w:line="440" w:lineRule="exact"/>
        <w:ind w:firstLine="138" w:firstLineChars="49"/>
        <w:jc w:val="center"/>
        <w:rPr>
          <w:b/>
          <w:sz w:val="28"/>
          <w:szCs w:val="28"/>
        </w:rPr>
      </w:pPr>
    </w:p>
    <w:p>
      <w:pPr>
        <w:snapToGrid w:val="0"/>
        <w:spacing w:before="50" w:after="50" w:line="420" w:lineRule="exact"/>
        <w:ind w:firstLine="141" w:firstLineChars="50"/>
        <w:rPr>
          <w:b/>
          <w:sz w:val="28"/>
          <w:szCs w:val="28"/>
        </w:rPr>
      </w:pPr>
      <w:r>
        <w:rPr>
          <w:b/>
          <w:bCs/>
          <w:sz w:val="28"/>
          <w:szCs w:val="28"/>
        </w:rPr>
        <w:t>资信/商务文件</w:t>
      </w:r>
      <w:r>
        <w:rPr>
          <w:rFonts w:hint="eastAsia"/>
          <w:b/>
          <w:bCs/>
          <w:sz w:val="28"/>
          <w:szCs w:val="28"/>
        </w:rPr>
        <w:t>部分格式</w:t>
      </w:r>
    </w:p>
    <w:p>
      <w:pPr>
        <w:tabs>
          <w:tab w:val="left" w:pos="288"/>
        </w:tabs>
        <w:snapToGrid w:val="0"/>
        <w:spacing w:before="50" w:after="120" w:afterLines="50" w:line="400" w:lineRule="exact"/>
        <w:jc w:val="left"/>
        <w:rPr>
          <w:b/>
          <w:sz w:val="24"/>
        </w:rPr>
      </w:pPr>
      <w:r>
        <w:rPr>
          <w:rFonts w:hint="eastAsia"/>
          <w:b/>
          <w:sz w:val="24"/>
        </w:rPr>
        <w:t>1、</w:t>
      </w:r>
      <w:r>
        <w:rPr>
          <w:b/>
          <w:sz w:val="24"/>
        </w:rPr>
        <w:t>投标声明书格式：</w:t>
      </w:r>
    </w:p>
    <w:p>
      <w:pPr>
        <w:snapToGrid w:val="0"/>
        <w:spacing w:before="120" w:beforeLines="50" w:after="50" w:line="360" w:lineRule="exact"/>
        <w:jc w:val="center"/>
        <w:rPr>
          <w:b/>
          <w:sz w:val="24"/>
        </w:rPr>
      </w:pPr>
      <w:r>
        <w:rPr>
          <w:b/>
          <w:sz w:val="24"/>
        </w:rPr>
        <w:t>投标声明书</w:t>
      </w:r>
    </w:p>
    <w:p>
      <w:pPr>
        <w:snapToGrid w:val="0"/>
        <w:spacing w:before="120" w:beforeLines="50" w:after="50" w:line="360" w:lineRule="exact"/>
        <w:jc w:val="center"/>
        <w:rPr>
          <w:sz w:val="24"/>
        </w:rPr>
      </w:pPr>
    </w:p>
    <w:p>
      <w:pPr>
        <w:snapToGrid w:val="0"/>
        <w:spacing w:before="120" w:beforeLines="50" w:after="50" w:line="360" w:lineRule="exact"/>
        <w:rPr>
          <w:sz w:val="24"/>
        </w:rPr>
      </w:pPr>
      <w:r>
        <w:rPr>
          <w:sz w:val="24"/>
        </w:rPr>
        <w:t>致：</w:t>
      </w:r>
      <w:r>
        <w:rPr>
          <w:rFonts w:hint="eastAsia"/>
          <w:sz w:val="24"/>
          <w:u w:val="single"/>
        </w:rPr>
        <w:t xml:space="preserve">               </w:t>
      </w:r>
      <w:r>
        <w:rPr>
          <w:sz w:val="24"/>
        </w:rPr>
        <w:t>（招标采购单位名称）：</w:t>
      </w:r>
    </w:p>
    <w:p>
      <w:pPr>
        <w:snapToGrid w:val="0"/>
        <w:spacing w:before="120" w:beforeLines="50" w:after="50" w:line="360" w:lineRule="exact"/>
        <w:ind w:firstLine="720" w:firstLineChars="300"/>
        <w:rPr>
          <w:sz w:val="24"/>
        </w:rPr>
      </w:pPr>
      <w:r>
        <w:rPr>
          <w:rFonts w:hint="eastAsia"/>
          <w:sz w:val="24"/>
        </w:rPr>
        <w:t xml:space="preserve"> </w:t>
      </w:r>
      <w:r>
        <w:rPr>
          <w:rFonts w:hint="eastAsia"/>
          <w:sz w:val="24"/>
          <w:u w:val="single"/>
        </w:rPr>
        <w:t xml:space="preserve">                </w:t>
      </w:r>
      <w:r>
        <w:rPr>
          <w:sz w:val="24"/>
        </w:rPr>
        <w:t>（投标人名称）系中华人民共和国合法企业，经营地址</w:t>
      </w:r>
      <w:r>
        <w:rPr>
          <w:sz w:val="24"/>
          <w:u w:val="single"/>
        </w:rPr>
        <w:t xml:space="preserve">                               </w:t>
      </w:r>
      <w:r>
        <w:rPr>
          <w:sz w:val="24"/>
        </w:rPr>
        <w:t>。</w:t>
      </w:r>
    </w:p>
    <w:p>
      <w:pPr>
        <w:snapToGrid w:val="0"/>
        <w:spacing w:before="120" w:beforeLines="50" w:after="50" w:line="360" w:lineRule="exact"/>
        <w:ind w:firstLine="645"/>
        <w:rPr>
          <w:sz w:val="24"/>
        </w:rPr>
      </w:pPr>
      <w:r>
        <w:rPr>
          <w:sz w:val="24"/>
        </w:rPr>
        <w:t>我</w:t>
      </w:r>
      <w:r>
        <w:rPr>
          <w:rFonts w:hint="eastAsia"/>
          <w:sz w:val="24"/>
          <w:u w:val="single"/>
        </w:rPr>
        <w:t xml:space="preserve">         </w:t>
      </w:r>
      <w:r>
        <w:rPr>
          <w:sz w:val="24"/>
        </w:rPr>
        <w:t>（姓名）系</w:t>
      </w:r>
      <w:r>
        <w:rPr>
          <w:rFonts w:hint="eastAsia"/>
          <w:sz w:val="24"/>
          <w:u w:val="single"/>
        </w:rPr>
        <w:t xml:space="preserve">              </w:t>
      </w:r>
      <w:r>
        <w:rPr>
          <w:sz w:val="24"/>
        </w:rPr>
        <w:t>（投标人名称）的法定代表人，我方愿意参加贵方组织的</w:t>
      </w:r>
      <w:r>
        <w:rPr>
          <w:rFonts w:hint="eastAsia"/>
          <w:sz w:val="24"/>
        </w:rPr>
        <w:t xml:space="preserve"> </w:t>
      </w:r>
      <w:r>
        <w:rPr>
          <w:rFonts w:hint="eastAsia"/>
          <w:sz w:val="24"/>
          <w:u w:val="single"/>
        </w:rPr>
        <w:t xml:space="preserve">                   </w:t>
      </w:r>
      <w:r>
        <w:rPr>
          <w:sz w:val="24"/>
        </w:rPr>
        <w:t>项目的投标，为便于贵方公正、择优地确定中标人及其投标产品和服务，我方就本次投标有关事项郑重声明如下：</w:t>
      </w:r>
    </w:p>
    <w:p>
      <w:pPr>
        <w:snapToGrid w:val="0"/>
        <w:spacing w:line="360" w:lineRule="exact"/>
        <w:ind w:firstLine="480" w:firstLineChars="200"/>
        <w:rPr>
          <w:sz w:val="24"/>
        </w:rPr>
      </w:pPr>
      <w:r>
        <w:rPr>
          <w:sz w:val="24"/>
        </w:rPr>
        <w:t>1．我方向贵方提交的所有投标文件、资料都是准确的和真实的。</w:t>
      </w:r>
    </w:p>
    <w:p>
      <w:pPr>
        <w:snapToGrid w:val="0"/>
        <w:spacing w:before="120" w:beforeLines="50" w:line="360" w:lineRule="exact"/>
        <w:ind w:firstLine="480" w:firstLineChars="200"/>
        <w:rPr>
          <w:sz w:val="24"/>
        </w:rPr>
      </w:pPr>
      <w:r>
        <w:rPr>
          <w:sz w:val="24"/>
        </w:rPr>
        <w:t>2．我方不是采购人的附属机构；在获知本项目采购信息后，与采购人聘请的为此项目提供咨询服务的公司及其附属机构没有任何联系。</w:t>
      </w:r>
    </w:p>
    <w:p>
      <w:pPr>
        <w:snapToGrid w:val="0"/>
        <w:spacing w:before="120" w:beforeLines="50" w:line="360" w:lineRule="exact"/>
        <w:ind w:firstLine="480" w:firstLineChars="200"/>
        <w:rPr>
          <w:sz w:val="24"/>
        </w:rPr>
      </w:pPr>
      <w:r>
        <w:rPr>
          <w:sz w:val="24"/>
        </w:rPr>
        <w:t>3．我方此次向贵方提供的产品名称为：</w:t>
      </w:r>
      <w:r>
        <w:rPr>
          <w:sz w:val="24"/>
          <w:u w:val="single"/>
        </w:rPr>
        <w:t xml:space="preserve">                            </w:t>
      </w:r>
      <w:r>
        <w:rPr>
          <w:sz w:val="24"/>
        </w:rPr>
        <w:t>；规格型号：</w:t>
      </w:r>
      <w:r>
        <w:rPr>
          <w:sz w:val="24"/>
          <w:u w:val="single"/>
        </w:rPr>
        <w:t xml:space="preserve">                           </w:t>
      </w:r>
      <w:r>
        <w:rPr>
          <w:sz w:val="24"/>
        </w:rPr>
        <w:t>；该型号产品我方有现货可供，并已于</w:t>
      </w:r>
      <w:r>
        <w:rPr>
          <w:sz w:val="24"/>
          <w:u w:val="single"/>
        </w:rPr>
        <w:t xml:space="preserve">     </w:t>
      </w:r>
      <w:r>
        <w:rPr>
          <w:sz w:val="24"/>
        </w:rPr>
        <w:t>年</w:t>
      </w:r>
      <w:r>
        <w:rPr>
          <w:sz w:val="24"/>
          <w:u w:val="single"/>
        </w:rPr>
        <w:t xml:space="preserve">   </w:t>
      </w:r>
      <w:r>
        <w:rPr>
          <w:sz w:val="24"/>
        </w:rPr>
        <w:t>月生产完工或向</w:t>
      </w:r>
      <w:r>
        <w:rPr>
          <w:sz w:val="24"/>
          <w:u w:val="single"/>
        </w:rPr>
        <w:t xml:space="preserve">              </w:t>
      </w:r>
      <w:r>
        <w:rPr>
          <w:sz w:val="24"/>
        </w:rPr>
        <w:t>（原厂商名称）购进［</w:t>
      </w:r>
      <w:r>
        <w:rPr>
          <w:b/>
          <w:bCs/>
          <w:sz w:val="24"/>
        </w:rPr>
        <w:t>或</w:t>
      </w:r>
      <w:r>
        <w:rPr>
          <w:sz w:val="24"/>
        </w:rPr>
        <w:t>需在中标后向</w:t>
      </w:r>
      <w:r>
        <w:rPr>
          <w:sz w:val="24"/>
          <w:u w:val="single"/>
        </w:rPr>
        <w:t xml:space="preserve">               </w:t>
      </w:r>
      <w:r>
        <w:rPr>
          <w:sz w:val="24"/>
        </w:rPr>
        <w:t>订购］。</w:t>
      </w:r>
    </w:p>
    <w:p>
      <w:pPr>
        <w:snapToGrid w:val="0"/>
        <w:spacing w:before="120" w:beforeLines="50" w:line="360" w:lineRule="exact"/>
        <w:ind w:firstLine="480" w:firstLineChars="200"/>
        <w:rPr>
          <w:sz w:val="24"/>
        </w:rPr>
      </w:pPr>
      <w:r>
        <w:rPr>
          <w:sz w:val="24"/>
        </w:rPr>
        <w:t>4．我方诚意提请贵方关注：近期有关该型号产品的生产、供货、售后服务以及性能等方面的重大决策和事项有：</w:t>
      </w:r>
    </w:p>
    <w:p>
      <w:pPr>
        <w:snapToGrid w:val="0"/>
        <w:spacing w:before="120" w:beforeLines="50" w:line="360" w:lineRule="exact"/>
        <w:ind w:firstLine="480" w:firstLineChars="200"/>
        <w:rPr>
          <w:sz w:val="24"/>
          <w:u w:val="single"/>
        </w:rPr>
      </w:pPr>
      <w:r>
        <w:rPr>
          <w:sz w:val="24"/>
          <w:u w:val="single"/>
        </w:rPr>
        <w:t>　　　　　　　　　　　　　　　　　　　　　　　　　　　</w:t>
      </w:r>
    </w:p>
    <w:p>
      <w:pPr>
        <w:snapToGrid w:val="0"/>
        <w:spacing w:before="120" w:beforeLines="50" w:line="360" w:lineRule="exact"/>
        <w:ind w:firstLine="480" w:firstLineChars="200"/>
        <w:rPr>
          <w:sz w:val="24"/>
        </w:rPr>
      </w:pPr>
      <w:r>
        <w:rPr>
          <w:sz w:val="24"/>
          <w:u w:val="single"/>
        </w:rPr>
        <w:t>　　　　　　　　　　　　　　　　　　　　　　　　　　　</w:t>
      </w:r>
    </w:p>
    <w:p>
      <w:pPr>
        <w:pStyle w:val="10"/>
        <w:snapToGrid w:val="0"/>
        <w:spacing w:line="360" w:lineRule="exact"/>
        <w:ind w:firstLine="480" w:firstLineChars="200"/>
        <w:rPr>
          <w:sz w:val="24"/>
          <w:szCs w:val="24"/>
        </w:rPr>
      </w:pPr>
      <w:r>
        <w:rPr>
          <w:sz w:val="24"/>
          <w:szCs w:val="24"/>
        </w:rPr>
        <w:t>5．我方及由本人担任法定代表人的其他机构最近三年内被通报或者被处罚的违法行为有：</w:t>
      </w:r>
    </w:p>
    <w:p>
      <w:pPr>
        <w:snapToGrid w:val="0"/>
        <w:spacing w:before="120" w:beforeLines="50" w:line="360" w:lineRule="exact"/>
        <w:ind w:firstLine="480" w:firstLineChars="200"/>
        <w:rPr>
          <w:sz w:val="24"/>
          <w:u w:val="single"/>
        </w:rPr>
      </w:pPr>
      <w:r>
        <w:rPr>
          <w:sz w:val="24"/>
          <w:u w:val="single"/>
        </w:rPr>
        <w:t>　　　　　　　　　　　　　　　　　　　　　　　　　　　</w:t>
      </w:r>
    </w:p>
    <w:p>
      <w:pPr>
        <w:snapToGrid w:val="0"/>
        <w:spacing w:before="120" w:beforeLines="50" w:line="360" w:lineRule="exact"/>
        <w:ind w:firstLine="480" w:firstLineChars="200"/>
        <w:rPr>
          <w:sz w:val="24"/>
          <w:u w:val="single"/>
        </w:rPr>
      </w:pPr>
      <w:r>
        <w:rPr>
          <w:sz w:val="24"/>
          <w:u w:val="single"/>
        </w:rPr>
        <w:t>　　　　　　　　　　　　　　　　　　　　　　　　　　　</w:t>
      </w:r>
    </w:p>
    <w:p>
      <w:pPr>
        <w:snapToGrid w:val="0"/>
        <w:spacing w:line="360" w:lineRule="exact"/>
        <w:ind w:firstLine="480" w:firstLineChars="200"/>
        <w:rPr>
          <w:sz w:val="24"/>
        </w:rPr>
      </w:pPr>
      <w:r>
        <w:rPr>
          <w:sz w:val="24"/>
        </w:rPr>
        <w:t>6．以上事项如有虚假或隐瞒，我方愿意承担一切后果，并不再寻求任何旨在减轻或免除法律责任的辩解。</w:t>
      </w:r>
    </w:p>
    <w:p>
      <w:pPr>
        <w:pStyle w:val="11"/>
        <w:tabs>
          <w:tab w:val="left" w:pos="939"/>
        </w:tabs>
        <w:snapToGrid w:val="0"/>
        <w:spacing w:line="360" w:lineRule="exact"/>
        <w:ind w:left="773" w:leftChars="150" w:hanging="458" w:hangingChars="191"/>
        <w:rPr>
          <w:sz w:val="24"/>
        </w:rPr>
      </w:pPr>
    </w:p>
    <w:p>
      <w:pPr>
        <w:snapToGrid w:val="0"/>
        <w:spacing w:before="120" w:beforeLines="50" w:line="360" w:lineRule="exact"/>
        <w:ind w:firstLine="4010" w:firstLineChars="1671"/>
        <w:rPr>
          <w:sz w:val="24"/>
          <w:u w:val="single"/>
        </w:rPr>
      </w:pPr>
      <w:r>
        <w:rPr>
          <w:sz w:val="24"/>
        </w:rPr>
        <w:t>法定代表人</w:t>
      </w:r>
      <w:r>
        <w:rPr>
          <w:rFonts w:hint="eastAsia"/>
          <w:sz w:val="24"/>
        </w:rPr>
        <w:t>或授权委托人</w:t>
      </w:r>
      <w:r>
        <w:rPr>
          <w:sz w:val="24"/>
        </w:rPr>
        <w:t>签字：</w:t>
      </w:r>
      <w:r>
        <w:rPr>
          <w:sz w:val="24"/>
          <w:u w:val="single"/>
        </w:rPr>
        <w:t xml:space="preserve">             </w:t>
      </w:r>
    </w:p>
    <w:p>
      <w:pPr>
        <w:snapToGrid w:val="0"/>
        <w:spacing w:before="120" w:beforeLines="50" w:after="50" w:line="360" w:lineRule="exact"/>
        <w:ind w:firstLine="4080" w:firstLineChars="1700"/>
        <w:rPr>
          <w:sz w:val="24"/>
        </w:rPr>
      </w:pPr>
      <w:r>
        <w:rPr>
          <w:sz w:val="24"/>
        </w:rPr>
        <w:t>投标人公章：</w:t>
      </w:r>
      <w:r>
        <w:rPr>
          <w:sz w:val="24"/>
          <w:u w:val="single"/>
        </w:rPr>
        <w:t xml:space="preserve">               </w:t>
      </w:r>
    </w:p>
    <w:p>
      <w:pPr>
        <w:snapToGrid w:val="0"/>
        <w:spacing w:before="120" w:beforeLines="50" w:after="50" w:line="360" w:lineRule="exact"/>
        <w:ind w:firstLine="240" w:firstLineChars="100"/>
        <w:rPr>
          <w:sz w:val="24"/>
        </w:rPr>
      </w:pPr>
      <w:r>
        <w:rPr>
          <w:sz w:val="24"/>
        </w:rPr>
        <w:t xml:space="preserve">                                          年    月    日</w:t>
      </w:r>
    </w:p>
    <w:p>
      <w:pPr>
        <w:snapToGrid w:val="0"/>
        <w:spacing w:before="50" w:after="120" w:afterLines="50" w:line="400" w:lineRule="exact"/>
        <w:jc w:val="left"/>
        <w:rPr>
          <w:b/>
          <w:sz w:val="24"/>
        </w:rPr>
      </w:pPr>
      <w:r>
        <w:rPr>
          <w:sz w:val="24"/>
        </w:rPr>
        <w:br w:type="page"/>
      </w:r>
      <w:r>
        <w:rPr>
          <w:rFonts w:hint="eastAsia"/>
          <w:sz w:val="24"/>
        </w:rPr>
        <w:t>2、</w:t>
      </w:r>
      <w:r>
        <w:rPr>
          <w:b/>
          <w:sz w:val="24"/>
        </w:rPr>
        <w:t>法定代表人授权委托书格式：</w:t>
      </w:r>
    </w:p>
    <w:p>
      <w:pPr>
        <w:snapToGrid w:val="0"/>
        <w:spacing w:before="120" w:beforeLines="50" w:after="50" w:line="440" w:lineRule="exact"/>
        <w:jc w:val="center"/>
        <w:rPr>
          <w:sz w:val="24"/>
        </w:rPr>
      </w:pPr>
    </w:p>
    <w:p>
      <w:pPr>
        <w:snapToGrid w:val="0"/>
        <w:spacing w:before="120" w:beforeLines="50" w:after="50" w:line="440" w:lineRule="exact"/>
        <w:jc w:val="center"/>
        <w:rPr>
          <w:b/>
          <w:sz w:val="24"/>
        </w:rPr>
      </w:pPr>
      <w:r>
        <w:rPr>
          <w:b/>
          <w:sz w:val="24"/>
        </w:rPr>
        <w:t>法定代表人授权委托书</w:t>
      </w:r>
    </w:p>
    <w:p>
      <w:pPr>
        <w:snapToGrid w:val="0"/>
        <w:spacing w:before="120" w:beforeLines="50" w:after="50" w:line="440" w:lineRule="exact"/>
        <w:rPr>
          <w:bCs/>
          <w:sz w:val="24"/>
        </w:rPr>
      </w:pPr>
    </w:p>
    <w:p>
      <w:pPr>
        <w:snapToGrid w:val="0"/>
        <w:spacing w:before="120" w:beforeLines="50" w:after="50" w:line="440" w:lineRule="exact"/>
        <w:rPr>
          <w:b/>
          <w:bCs/>
          <w:sz w:val="24"/>
        </w:rPr>
      </w:pPr>
      <w:r>
        <w:rPr>
          <w:bCs/>
          <w:sz w:val="24"/>
        </w:rPr>
        <w:t>致：</w:t>
      </w:r>
      <w:r>
        <w:rPr>
          <w:rFonts w:hint="eastAsia"/>
          <w:sz w:val="24"/>
        </w:rPr>
        <w:t xml:space="preserve"> </w:t>
      </w:r>
      <w:r>
        <w:rPr>
          <w:rFonts w:hint="eastAsia"/>
          <w:sz w:val="24"/>
          <w:u w:val="single"/>
        </w:rPr>
        <w:t xml:space="preserve">               </w:t>
      </w:r>
      <w:r>
        <w:rPr>
          <w:sz w:val="24"/>
        </w:rPr>
        <w:t>（招标采购单位名称）：</w:t>
      </w:r>
    </w:p>
    <w:p>
      <w:pPr>
        <w:snapToGrid w:val="0"/>
        <w:spacing w:before="120" w:beforeLines="50" w:after="50" w:line="440" w:lineRule="exact"/>
        <w:ind w:firstLine="720" w:firstLineChars="300"/>
        <w:rPr>
          <w:sz w:val="24"/>
        </w:rPr>
      </w:pPr>
      <w:r>
        <w:rPr>
          <w:sz w:val="24"/>
        </w:rPr>
        <w:t>我</w:t>
      </w:r>
      <w:r>
        <w:rPr>
          <w:rFonts w:hint="eastAsia"/>
          <w:sz w:val="24"/>
          <w:u w:val="single"/>
        </w:rPr>
        <w:t xml:space="preserve">          </w:t>
      </w:r>
      <w:r>
        <w:rPr>
          <w:sz w:val="24"/>
        </w:rPr>
        <w:t>（姓名）系</w:t>
      </w:r>
      <w:r>
        <w:rPr>
          <w:rFonts w:hint="eastAsia"/>
          <w:sz w:val="24"/>
          <w:u w:val="single"/>
        </w:rPr>
        <w:t xml:space="preserve">                 </w:t>
      </w:r>
      <w:r>
        <w:rPr>
          <w:sz w:val="24"/>
        </w:rPr>
        <w:t xml:space="preserve">（投标人名称）的法定代表人，现授权委托本单位在职职工 </w:t>
      </w:r>
      <w:r>
        <w:rPr>
          <w:sz w:val="24"/>
          <w:u w:val="single"/>
        </w:rPr>
        <w:t xml:space="preserve">              </w:t>
      </w:r>
      <w:r>
        <w:rPr>
          <w:sz w:val="24"/>
        </w:rPr>
        <w:t>（姓名）以我方的名义参加</w:t>
      </w:r>
      <w:r>
        <w:rPr>
          <w:sz w:val="24"/>
          <w:u w:val="single"/>
        </w:rPr>
        <w:t xml:space="preserve">             </w:t>
      </w:r>
      <w:r>
        <w:rPr>
          <w:sz w:val="24"/>
        </w:rPr>
        <w:t>项目的投标活动，并代表我方全权办理针对上述项目的投标、开标、评标、签约等具体事务和签署相关文件。</w:t>
      </w:r>
      <w:r>
        <w:rPr>
          <w:rStyle w:val="33"/>
          <w:rFonts w:hint="eastAsia"/>
          <w:color w:val="auto"/>
        </w:rPr>
        <w:t>被授权人身份证明附后。</w:t>
      </w:r>
    </w:p>
    <w:p>
      <w:pPr>
        <w:snapToGrid w:val="0"/>
        <w:spacing w:before="120" w:beforeLines="50" w:after="50" w:line="440" w:lineRule="exact"/>
        <w:rPr>
          <w:sz w:val="24"/>
        </w:rPr>
      </w:pPr>
      <w:r>
        <w:rPr>
          <w:sz w:val="24"/>
        </w:rPr>
        <w:t xml:space="preserve">    我方对被授权人的签名事项负全部责任。</w:t>
      </w:r>
    </w:p>
    <w:p>
      <w:pPr>
        <w:snapToGrid w:val="0"/>
        <w:spacing w:before="120" w:beforeLines="50" w:after="50" w:line="440" w:lineRule="exact"/>
        <w:ind w:firstLine="480"/>
        <w:rPr>
          <w:sz w:val="24"/>
        </w:rPr>
      </w:pPr>
      <w:r>
        <w:rPr>
          <w:sz w:val="24"/>
          <w:u w:val="single"/>
        </w:rPr>
        <w:t>在撤销授权的书面通知以前，本授权书一直有效。</w:t>
      </w:r>
      <w:r>
        <w:rPr>
          <w:sz w:val="24"/>
        </w:rPr>
        <w:t>被授权人在授权书有效期内签署的所有文件不因授权的撤销而失效。</w:t>
      </w:r>
    </w:p>
    <w:p>
      <w:pPr>
        <w:snapToGrid w:val="0"/>
        <w:spacing w:before="120" w:beforeLines="50" w:after="50" w:line="440" w:lineRule="exact"/>
        <w:ind w:firstLine="480"/>
        <w:rPr>
          <w:sz w:val="24"/>
        </w:rPr>
      </w:pPr>
      <w:r>
        <w:rPr>
          <w:sz w:val="24"/>
        </w:rPr>
        <w:t>被授权人无转委托权，特此委托。</w:t>
      </w:r>
    </w:p>
    <w:p>
      <w:pPr>
        <w:snapToGrid w:val="0"/>
        <w:spacing w:before="120" w:beforeLines="50" w:after="50" w:line="440" w:lineRule="exact"/>
        <w:rPr>
          <w:sz w:val="24"/>
        </w:rPr>
      </w:pPr>
    </w:p>
    <w:p>
      <w:pPr>
        <w:snapToGrid w:val="0"/>
        <w:spacing w:before="120" w:beforeLines="50" w:after="50" w:line="440" w:lineRule="exact"/>
        <w:rPr>
          <w:sz w:val="24"/>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pPr>
        <w:snapToGrid w:val="0"/>
        <w:spacing w:before="120" w:beforeLines="50" w:after="50" w:line="440" w:lineRule="exact"/>
        <w:rPr>
          <w:sz w:val="24"/>
        </w:rPr>
      </w:pPr>
      <w:r>
        <w:rPr>
          <w:sz w:val="24"/>
        </w:rPr>
        <w:t>所在部门职务：</w:t>
      </w:r>
      <w:r>
        <w:rPr>
          <w:sz w:val="24"/>
          <w:u w:val="single"/>
        </w:rPr>
        <w:t xml:space="preserve">           </w:t>
      </w:r>
      <w:r>
        <w:rPr>
          <w:sz w:val="24"/>
        </w:rPr>
        <w:t xml:space="preserve">                          职务：</w:t>
      </w:r>
      <w:r>
        <w:rPr>
          <w:sz w:val="24"/>
          <w:u w:val="single"/>
        </w:rPr>
        <w:t xml:space="preserve">           </w:t>
      </w:r>
    </w:p>
    <w:p>
      <w:pPr>
        <w:snapToGrid w:val="0"/>
        <w:spacing w:before="120" w:beforeLines="50" w:after="50" w:line="440" w:lineRule="exact"/>
        <w:rPr>
          <w:sz w:val="24"/>
        </w:rPr>
      </w:pPr>
      <w:r>
        <w:rPr>
          <w:sz w:val="24"/>
        </w:rPr>
        <w:t>被授权人身份证号码：</w:t>
      </w:r>
      <w:r>
        <w:rPr>
          <w:sz w:val="24"/>
          <w:u w:val="single"/>
        </w:rPr>
        <w:t xml:space="preserve">                             </w:t>
      </w:r>
      <w:r>
        <w:rPr>
          <w:sz w:val="24"/>
        </w:rPr>
        <w:t xml:space="preserve"> </w:t>
      </w:r>
    </w:p>
    <w:p>
      <w:pPr>
        <w:snapToGrid w:val="0"/>
        <w:spacing w:before="120" w:beforeLines="50" w:after="50" w:line="440" w:lineRule="exact"/>
        <w:rPr>
          <w:sz w:val="24"/>
        </w:rPr>
      </w:pPr>
      <w:r>
        <w:rPr>
          <w:sz w:val="24"/>
        </w:rPr>
        <w:t xml:space="preserve">                                   </w:t>
      </w:r>
    </w:p>
    <w:p>
      <w:pPr>
        <w:snapToGrid w:val="0"/>
        <w:spacing w:before="120" w:beforeLines="50" w:after="50" w:line="440" w:lineRule="exact"/>
        <w:rPr>
          <w:sz w:val="24"/>
        </w:rPr>
      </w:pPr>
    </w:p>
    <w:p>
      <w:pPr>
        <w:snapToGrid w:val="0"/>
        <w:spacing w:before="120" w:beforeLines="50" w:after="50" w:line="440" w:lineRule="exact"/>
        <w:ind w:firstLine="5280" w:firstLineChars="2200"/>
        <w:rPr>
          <w:sz w:val="24"/>
        </w:rPr>
      </w:pPr>
      <w:r>
        <w:rPr>
          <w:sz w:val="24"/>
        </w:rPr>
        <w:t xml:space="preserve">  投标人公章：</w:t>
      </w:r>
    </w:p>
    <w:p>
      <w:pPr>
        <w:snapToGrid w:val="0"/>
        <w:spacing w:before="120" w:beforeLines="50" w:after="50" w:line="440" w:lineRule="exact"/>
        <w:jc w:val="center"/>
        <w:rPr>
          <w:sz w:val="24"/>
        </w:rPr>
      </w:pPr>
      <w:r>
        <w:rPr>
          <w:sz w:val="24"/>
        </w:rPr>
        <w:t xml:space="preserve">                                        年    月    日</w:t>
      </w: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jc w:val="center"/>
        <w:rPr>
          <w:sz w:val="24"/>
        </w:rPr>
      </w:pPr>
    </w:p>
    <w:p>
      <w:pPr>
        <w:snapToGrid w:val="0"/>
        <w:spacing w:before="120" w:beforeLines="50" w:after="50" w:line="440" w:lineRule="exact"/>
        <w:rPr>
          <w:sz w:val="24"/>
        </w:rPr>
      </w:pPr>
    </w:p>
    <w:p>
      <w:pPr>
        <w:spacing w:line="480" w:lineRule="auto"/>
        <w:ind w:firstLine="703" w:firstLineChars="250"/>
        <w:jc w:val="center"/>
        <w:rPr>
          <w:sz w:val="28"/>
          <w:szCs w:val="28"/>
        </w:rPr>
      </w:pPr>
      <w:r>
        <w:rPr>
          <w:rFonts w:hint="eastAsia"/>
          <w:b/>
          <w:sz w:val="28"/>
          <w:szCs w:val="28"/>
        </w:rPr>
        <w:t>3、法定代表人身份证明</w:t>
      </w:r>
    </w:p>
    <w:p>
      <w:pPr>
        <w:spacing w:line="560" w:lineRule="exact"/>
        <w:ind w:firstLine="525" w:firstLineChars="250"/>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szCs w:val="21"/>
          <w:u w:val="single"/>
        </w:rPr>
        <w:t xml:space="preserve">                                                        </w:t>
      </w:r>
    </w:p>
    <w:p>
      <w:pPr>
        <w:spacing w:line="560" w:lineRule="exact"/>
        <w:ind w:firstLine="525" w:firstLineChars="250"/>
        <w:rPr>
          <w:szCs w:val="21"/>
        </w:rPr>
      </w:pPr>
      <w:r>
        <w:rPr>
          <w:rFonts w:hint="eastAsia"/>
          <w:szCs w:val="21"/>
        </w:rPr>
        <w:t>单位性质：</w:t>
      </w:r>
      <w:r>
        <w:rPr>
          <w:szCs w:val="21"/>
          <w:u w:val="single"/>
        </w:rPr>
        <w:t xml:space="preserve">                                                        </w:t>
      </w:r>
    </w:p>
    <w:p>
      <w:pPr>
        <w:spacing w:line="560" w:lineRule="exact"/>
        <w:ind w:firstLine="525" w:firstLineChars="250"/>
        <w:rPr>
          <w:szCs w:val="21"/>
        </w:rPr>
      </w:pPr>
      <w:r>
        <w:rPr>
          <w:rFonts w:hint="eastAsia"/>
          <w:szCs w:val="21"/>
        </w:rPr>
        <w:t>地</w:t>
      </w:r>
      <w:r>
        <w:rPr>
          <w:szCs w:val="21"/>
        </w:rPr>
        <w:t xml:space="preserve">    </w:t>
      </w:r>
      <w:r>
        <w:rPr>
          <w:rFonts w:hint="eastAsia"/>
          <w:szCs w:val="21"/>
        </w:rPr>
        <w:t>址：</w:t>
      </w:r>
      <w:r>
        <w:rPr>
          <w:szCs w:val="21"/>
          <w:u w:val="single"/>
        </w:rPr>
        <w:t xml:space="preserve">                                                        </w:t>
      </w:r>
    </w:p>
    <w:p>
      <w:pPr>
        <w:spacing w:line="560" w:lineRule="exact"/>
        <w:ind w:firstLine="525" w:firstLineChars="250"/>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560" w:lineRule="exact"/>
        <w:ind w:firstLine="525" w:firstLineChars="250"/>
        <w:rPr>
          <w:szCs w:val="21"/>
        </w:rPr>
      </w:pPr>
      <w:r>
        <w:rPr>
          <w:rFonts w:hint="eastAsia"/>
          <w:szCs w:val="21"/>
        </w:rPr>
        <w:t>经营期限：</w:t>
      </w:r>
      <w:r>
        <w:rPr>
          <w:szCs w:val="21"/>
          <w:u w:val="single"/>
        </w:rPr>
        <w:t xml:space="preserve">                                                        </w:t>
      </w:r>
    </w:p>
    <w:p>
      <w:pPr>
        <w:spacing w:line="560" w:lineRule="exact"/>
        <w:ind w:firstLine="525" w:firstLineChars="250"/>
        <w:rPr>
          <w:szCs w:val="21"/>
        </w:rPr>
      </w:pPr>
      <w:r>
        <w:rPr>
          <w:rFonts w:hint="eastAsia"/>
          <w:szCs w:val="21"/>
        </w:rPr>
        <w:t>姓</w:t>
      </w:r>
      <w:r>
        <w:rPr>
          <w:szCs w:val="21"/>
        </w:rPr>
        <w:t xml:space="preserve">    </w:t>
      </w:r>
      <w:r>
        <w:rPr>
          <w:rFonts w:hint="eastAsia"/>
          <w:szCs w:val="21"/>
        </w:rPr>
        <w:t>名：</w:t>
      </w:r>
      <w:r>
        <w:rPr>
          <w:szCs w:val="21"/>
          <w:u w:val="single"/>
        </w:rPr>
        <w:t xml:space="preserve">                          </w:t>
      </w:r>
      <w:r>
        <w:rPr>
          <w:rFonts w:hint="eastAsia"/>
          <w:szCs w:val="21"/>
        </w:rPr>
        <w:t>性</w:t>
      </w:r>
      <w:r>
        <w:rPr>
          <w:szCs w:val="21"/>
        </w:rPr>
        <w:t xml:space="preserve">     </w:t>
      </w:r>
      <w:r>
        <w:rPr>
          <w:rFonts w:hint="eastAsia"/>
          <w:szCs w:val="21"/>
        </w:rPr>
        <w:t>别：</w:t>
      </w:r>
      <w:r>
        <w:rPr>
          <w:szCs w:val="21"/>
          <w:u w:val="single"/>
        </w:rPr>
        <w:t xml:space="preserve">                   </w:t>
      </w:r>
    </w:p>
    <w:p>
      <w:pPr>
        <w:spacing w:line="560" w:lineRule="exact"/>
        <w:ind w:firstLine="525" w:firstLineChars="250"/>
        <w:rPr>
          <w:szCs w:val="21"/>
        </w:rPr>
      </w:pPr>
      <w:r>
        <w:rPr>
          <w:rFonts w:hint="eastAsia"/>
          <w:szCs w:val="21"/>
        </w:rPr>
        <w:t>年</w:t>
      </w:r>
      <w:r>
        <w:rPr>
          <w:szCs w:val="21"/>
        </w:rPr>
        <w:t xml:space="preserve">    </w:t>
      </w:r>
      <w:r>
        <w:rPr>
          <w:rFonts w:hint="eastAsia"/>
          <w:szCs w:val="21"/>
        </w:rPr>
        <w:t>龄：</w:t>
      </w:r>
      <w:r>
        <w:rPr>
          <w:szCs w:val="21"/>
          <w:u w:val="single"/>
        </w:rPr>
        <w:t xml:space="preserve">                          </w:t>
      </w:r>
      <w:r>
        <w:rPr>
          <w:rFonts w:hint="eastAsia"/>
          <w:szCs w:val="21"/>
        </w:rPr>
        <w:t>职</w:t>
      </w:r>
      <w:r>
        <w:rPr>
          <w:szCs w:val="21"/>
        </w:rPr>
        <w:t xml:space="preserve">     </w:t>
      </w:r>
      <w:r>
        <w:rPr>
          <w:rFonts w:hint="eastAsia"/>
          <w:szCs w:val="21"/>
        </w:rPr>
        <w:t>务：</w:t>
      </w:r>
      <w:r>
        <w:rPr>
          <w:szCs w:val="21"/>
          <w:u w:val="single"/>
        </w:rPr>
        <w:t xml:space="preserve">                   </w:t>
      </w:r>
    </w:p>
    <w:p>
      <w:pPr>
        <w:spacing w:line="560" w:lineRule="exact"/>
        <w:ind w:firstLine="525" w:firstLineChars="250"/>
        <w:rPr>
          <w:szCs w:val="21"/>
        </w:rPr>
      </w:pPr>
      <w:r>
        <w:rPr>
          <w:rFonts w:hint="eastAsia"/>
          <w:szCs w:val="21"/>
        </w:rPr>
        <w:t>系</w:t>
      </w:r>
      <w:r>
        <w:rPr>
          <w:szCs w:val="21"/>
          <w:u w:val="single"/>
        </w:rPr>
        <w:t xml:space="preserve">                                                 </w:t>
      </w:r>
      <w:r>
        <w:rPr>
          <w:rFonts w:hint="eastAsia"/>
          <w:szCs w:val="21"/>
        </w:rPr>
        <w:t>（投标人名称）的法定代表人。</w:t>
      </w:r>
    </w:p>
    <w:p>
      <w:pPr>
        <w:spacing w:line="560" w:lineRule="exact"/>
        <w:ind w:firstLine="525" w:firstLineChars="250"/>
        <w:rPr>
          <w:szCs w:val="21"/>
        </w:rPr>
      </w:pPr>
      <w:r>
        <w:rPr>
          <w:rFonts w:hint="eastAsia"/>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rFonts w:hint="eastAsia"/>
          <w:szCs w:val="21"/>
        </w:rPr>
        <w:t>投标人：</w:t>
      </w:r>
      <w:r>
        <w:rPr>
          <w:szCs w:val="21"/>
          <w:u w:val="single"/>
        </w:rPr>
        <w:t xml:space="preserve">                          </w:t>
      </w:r>
      <w:r>
        <w:rPr>
          <w:rFonts w:hint="eastAsia"/>
          <w:szCs w:val="21"/>
        </w:rPr>
        <w:t>（盖单位章）</w:t>
      </w:r>
    </w:p>
    <w:p>
      <w:pPr>
        <w:wordWrap w:val="0"/>
        <w:spacing w:line="500" w:lineRule="exact"/>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before="120" w:line="320" w:lineRule="atLeast"/>
        <w:rPr>
          <w:szCs w:val="21"/>
        </w:rPr>
      </w:pPr>
      <w:r>
        <w:rPr>
          <w:sz w:val="24"/>
        </w:rPr>
        <w:br w:type="page"/>
      </w:r>
    </w:p>
    <w:p>
      <w:pPr>
        <w:snapToGrid w:val="0"/>
        <w:spacing w:before="50" w:after="120" w:afterLines="50" w:line="400" w:lineRule="exact"/>
        <w:jc w:val="center"/>
        <w:rPr>
          <w:b/>
          <w:sz w:val="24"/>
        </w:rPr>
      </w:pPr>
      <w:r>
        <w:rPr>
          <w:rFonts w:hint="eastAsia"/>
          <w:b/>
          <w:sz w:val="24"/>
        </w:rPr>
        <w:t>4、商务响应表。</w:t>
      </w:r>
    </w:p>
    <w:p>
      <w:pPr>
        <w:pStyle w:val="12"/>
        <w:spacing w:line="440" w:lineRule="exact"/>
        <w:ind w:firstLine="420" w:firstLineChars="200"/>
        <w:rPr>
          <w:rFonts w:hAnsi="宋体"/>
        </w:rPr>
      </w:pPr>
      <w:r>
        <w:rPr>
          <w:rFonts w:hint="eastAsia" w:hAnsi="宋体"/>
        </w:rPr>
        <w:t>请逐条对应本项目招标文件第二章“采购需求一览表”中商务条款的要求，认真填写该表。“偏离说明”一栏选择“正偏离”、“负偏离”或“无偏离”进行填写。</w:t>
      </w:r>
    </w:p>
    <w:p>
      <w:pPr>
        <w:snapToGrid w:val="0"/>
        <w:spacing w:before="50" w:after="120" w:afterLines="50" w:line="440" w:lineRule="exact"/>
        <w:jc w:val="left"/>
        <w:rPr>
          <w:sz w:val="24"/>
        </w:rPr>
      </w:pPr>
    </w:p>
    <w:tbl>
      <w:tblPr>
        <w:tblStyle w:val="17"/>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103"/>
        <w:gridCol w:w="287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szCs w:val="24"/>
              </w:rPr>
            </w:pPr>
            <w:r>
              <w:rPr>
                <w:rFonts w:hint="eastAsia" w:ascii="Times New Roman" w:hAnsi="Times New Roman"/>
                <w:szCs w:val="24"/>
              </w:rPr>
              <w:t>项号</w:t>
            </w:r>
          </w:p>
        </w:tc>
        <w:tc>
          <w:tcPr>
            <w:tcW w:w="410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szCs w:val="24"/>
              </w:rPr>
            </w:pPr>
            <w:r>
              <w:rPr>
                <w:rFonts w:hint="eastAsia" w:ascii="Times New Roman" w:hAnsi="Times New Roman"/>
                <w:szCs w:val="24"/>
              </w:rPr>
              <w:t>招标文件的商务需求</w:t>
            </w:r>
          </w:p>
        </w:tc>
        <w:tc>
          <w:tcPr>
            <w:tcW w:w="2871"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szCs w:val="24"/>
              </w:rPr>
            </w:pPr>
            <w:r>
              <w:rPr>
                <w:rFonts w:hint="eastAsia" w:ascii="Times New Roman" w:hAnsi="Times New Roman"/>
                <w:szCs w:val="24"/>
              </w:rPr>
              <w:t>投标文件承诺的商务条款</w:t>
            </w:r>
          </w:p>
        </w:tc>
        <w:tc>
          <w:tcPr>
            <w:tcW w:w="114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szCs w:val="24"/>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72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一</w:t>
            </w:r>
          </w:p>
        </w:tc>
        <w:tc>
          <w:tcPr>
            <w:tcW w:w="4103" w:type="dxa"/>
            <w:tcBorders>
              <w:top w:val="single" w:color="auto" w:sz="4" w:space="0"/>
              <w:left w:val="single" w:color="auto" w:sz="4" w:space="0"/>
              <w:bottom w:val="single" w:color="auto" w:sz="4" w:space="0"/>
              <w:right w:val="single" w:color="auto" w:sz="4" w:space="0"/>
            </w:tcBorders>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12"/>
              <w:spacing w:line="600" w:lineRule="exact"/>
              <w:jc w:val="center"/>
              <w:rPr>
                <w:rFonts w:ascii="Times New Roman" w:hAnsi="Times New Roman"/>
                <w:szCs w:val="24"/>
              </w:rPr>
            </w:pPr>
            <w:r>
              <w:rPr>
                <w:rFonts w:hint="eastAsia"/>
                <w:szCs w:val="24"/>
              </w:rPr>
              <w:t>……</w:t>
            </w:r>
          </w:p>
        </w:tc>
        <w:tc>
          <w:tcPr>
            <w:tcW w:w="2871" w:type="dxa"/>
            <w:tcBorders>
              <w:top w:val="single" w:color="auto" w:sz="4" w:space="0"/>
              <w:left w:val="single" w:color="auto" w:sz="4" w:space="0"/>
              <w:bottom w:val="single" w:color="auto" w:sz="4" w:space="0"/>
              <w:right w:val="single" w:color="auto" w:sz="4" w:space="0"/>
            </w:tcBorders>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12"/>
              <w:spacing w:line="600" w:lineRule="exact"/>
              <w:jc w:val="center"/>
              <w:rPr>
                <w:rFonts w:ascii="Times New Roman" w:hAnsi="Times New Roman"/>
                <w:szCs w:val="24"/>
              </w:rPr>
            </w:pPr>
            <w:r>
              <w:rPr>
                <w:rFonts w:hint="eastAsia"/>
                <w:szCs w:val="24"/>
              </w:rPr>
              <w:t>……</w:t>
            </w:r>
          </w:p>
        </w:tc>
        <w:tc>
          <w:tcPr>
            <w:tcW w:w="114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ascii="Times New Roman" w:hAnsi="Times New Roman"/>
                <w:szCs w:val="24"/>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23" w:type="dxa"/>
            <w:tcBorders>
              <w:top w:val="single" w:color="auto" w:sz="4" w:space="0"/>
              <w:left w:val="single" w:color="auto" w:sz="4" w:space="0"/>
              <w:bottom w:val="single" w:color="auto" w:sz="4" w:space="0"/>
              <w:right w:val="single" w:color="auto" w:sz="4" w:space="0"/>
            </w:tcBorders>
          </w:tcPr>
          <w:p>
            <w:pPr>
              <w:jc w:val="center"/>
            </w:pPr>
            <w:r>
              <w:rPr>
                <w:rFonts w:hint="eastAsia"/>
              </w:rPr>
              <w:t>二</w:t>
            </w:r>
          </w:p>
        </w:tc>
        <w:tc>
          <w:tcPr>
            <w:tcW w:w="4103" w:type="dxa"/>
            <w:tcBorders>
              <w:top w:val="single" w:color="auto" w:sz="4" w:space="0"/>
              <w:left w:val="single" w:color="auto" w:sz="4" w:space="0"/>
              <w:bottom w:val="single" w:color="auto" w:sz="4" w:space="0"/>
              <w:right w:val="single" w:color="auto" w:sz="4" w:space="0"/>
            </w:tcBorders>
          </w:tcPr>
          <w:p>
            <w:pPr>
              <w:spacing w:line="600" w:lineRule="exact"/>
              <w:jc w:val="center"/>
            </w:pPr>
            <w:r>
              <w:rPr>
                <w:rFonts w:hint="eastAsia"/>
              </w:rPr>
              <w:t>……</w:t>
            </w:r>
          </w:p>
        </w:tc>
        <w:tc>
          <w:tcPr>
            <w:tcW w:w="2871" w:type="dxa"/>
            <w:tcBorders>
              <w:top w:val="single" w:color="auto" w:sz="4" w:space="0"/>
              <w:left w:val="single" w:color="auto" w:sz="4" w:space="0"/>
              <w:bottom w:val="single" w:color="auto" w:sz="4" w:space="0"/>
              <w:right w:val="single" w:color="auto" w:sz="4" w:space="0"/>
            </w:tcBorders>
          </w:tcPr>
          <w:p>
            <w:pPr>
              <w:spacing w:line="600" w:lineRule="exact"/>
              <w:jc w:val="center"/>
            </w:pPr>
            <w:r>
              <w:rPr>
                <w:rFonts w:hint="eastAsia"/>
              </w:rPr>
              <w:t>……</w:t>
            </w:r>
          </w:p>
        </w:tc>
        <w:tc>
          <w:tcPr>
            <w:tcW w:w="114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83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1"/>
                <w:szCs w:val="21"/>
              </w:rPr>
            </w:pPr>
            <w:r>
              <w:rPr>
                <w:rFonts w:hint="eastAsia" w:ascii="宋体" w:hAnsi="宋体" w:cs="宋体"/>
                <w:bCs/>
                <w:kern w:val="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3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kern w:val="1"/>
                <w:szCs w:val="21"/>
              </w:rPr>
              <w:t>法定代表人或其委托代理人（签字或盖章）：</w:t>
            </w:r>
          </w:p>
        </w:tc>
      </w:tr>
    </w:tbl>
    <w:p>
      <w:pPr>
        <w:snapToGrid w:val="0"/>
        <w:spacing w:before="50" w:after="50" w:line="440" w:lineRule="exact"/>
        <w:rPr>
          <w:sz w:val="24"/>
        </w:rPr>
      </w:pPr>
    </w:p>
    <w:p>
      <w:pPr>
        <w:pStyle w:val="12"/>
        <w:spacing w:line="600" w:lineRule="exact"/>
        <w:rPr>
          <w:rFonts w:ascii="Times New Roman" w:hAnsi="Times New Roman"/>
        </w:rPr>
      </w:pPr>
      <w:r>
        <w:rPr>
          <w:rFonts w:hint="eastAsia" w:ascii="Times New Roman" w:hAnsi="Times New Roman"/>
        </w:rPr>
        <w:t>注：（1）表格内容均需按要求填写并盖章，不得留空，否则按投标无效处理。</w:t>
      </w:r>
    </w:p>
    <w:p>
      <w:pPr>
        <w:pStyle w:val="12"/>
        <w:spacing w:line="600" w:lineRule="exact"/>
        <w:rPr>
          <w:rFonts w:ascii="Times New Roman" w:hAnsi="Times New Roman"/>
        </w:rPr>
      </w:pPr>
      <w:r>
        <w:rPr>
          <w:rFonts w:hint="eastAsia" w:ascii="Times New Roman" w:hAnsi="Times New Roman"/>
        </w:rPr>
        <w:t xml:space="preserve">    （2）当投标文件的商务内容低于招标文件要求时，投标人应当如实写明“负偏离”，否则视为虚假应标。</w:t>
      </w:r>
    </w:p>
    <w:p>
      <w:pPr>
        <w:snapToGrid w:val="0"/>
        <w:spacing w:before="50" w:after="120" w:afterLines="50" w:line="400" w:lineRule="exact"/>
        <w:ind w:firstLine="433"/>
        <w:jc w:val="left"/>
        <w:rPr>
          <w:sz w:val="24"/>
        </w:rPr>
      </w:pPr>
    </w:p>
    <w:p>
      <w:pPr>
        <w:snapToGrid w:val="0"/>
        <w:spacing w:before="50" w:after="120" w:afterLines="50" w:line="400" w:lineRule="exact"/>
        <w:jc w:val="left"/>
        <w:rPr>
          <w:sz w:val="24"/>
        </w:rPr>
      </w:pPr>
    </w:p>
    <w:p>
      <w:pPr>
        <w:snapToGrid w:val="0"/>
        <w:spacing w:before="50" w:after="120" w:afterLines="50" w:line="400" w:lineRule="exact"/>
        <w:jc w:val="left"/>
        <w:rPr>
          <w:sz w:val="24"/>
        </w:rPr>
      </w:pPr>
    </w:p>
    <w:p>
      <w:pPr>
        <w:pStyle w:val="3"/>
        <w:rPr>
          <w:sz w:val="24"/>
        </w:rPr>
      </w:pPr>
    </w:p>
    <w:p>
      <w:pPr>
        <w:pStyle w:val="3"/>
        <w:rPr>
          <w:sz w:val="24"/>
        </w:rPr>
      </w:pPr>
    </w:p>
    <w:p>
      <w:pPr>
        <w:pStyle w:val="3"/>
        <w:rPr>
          <w:sz w:val="24"/>
        </w:rPr>
      </w:pPr>
    </w:p>
    <w:p>
      <w:pPr>
        <w:pStyle w:val="3"/>
      </w:pPr>
    </w:p>
    <w:p>
      <w:pPr>
        <w:pStyle w:val="12"/>
        <w:jc w:val="center"/>
        <w:rPr>
          <w:rFonts w:ascii="Times New Roman" w:hAnsi="Times New Roman"/>
          <w:b/>
          <w:sz w:val="30"/>
          <w:szCs w:val="30"/>
        </w:rPr>
      </w:pPr>
    </w:p>
    <w:p>
      <w:pPr>
        <w:pStyle w:val="12"/>
        <w:rPr>
          <w:rFonts w:ascii="Times New Roman" w:hAnsi="Times New Roman"/>
          <w:b/>
          <w:sz w:val="30"/>
          <w:szCs w:val="30"/>
        </w:rPr>
      </w:pPr>
    </w:p>
    <w:p>
      <w:pPr>
        <w:pStyle w:val="12"/>
        <w:jc w:val="center"/>
        <w:rPr>
          <w:rFonts w:ascii="Times New Roman" w:hAnsi="Times New Roman"/>
          <w:b/>
          <w:sz w:val="30"/>
          <w:szCs w:val="30"/>
        </w:rPr>
      </w:pPr>
      <w:r>
        <w:rPr>
          <w:rFonts w:hint="eastAsia" w:ascii="Times New Roman" w:hAnsi="Times New Roman"/>
          <w:b/>
          <w:sz w:val="28"/>
          <w:szCs w:val="28"/>
        </w:rPr>
        <w:t>5、资格声明函（格式）</w:t>
      </w:r>
    </w:p>
    <w:p>
      <w:pPr>
        <w:pStyle w:val="12"/>
        <w:jc w:val="center"/>
        <w:rPr>
          <w:rFonts w:ascii="Times New Roman" w:hAnsi="Times New Roman"/>
          <w:b/>
          <w:sz w:val="30"/>
          <w:szCs w:val="30"/>
        </w:rPr>
      </w:pPr>
    </w:p>
    <w:p>
      <w:pPr>
        <w:tabs>
          <w:tab w:val="left" w:pos="7200"/>
        </w:tabs>
        <w:spacing w:line="360" w:lineRule="auto"/>
        <w:rPr>
          <w:rFonts w:hAnsi="宋体"/>
        </w:rPr>
      </w:pPr>
      <w:r>
        <w:rPr>
          <w:rFonts w:hint="eastAsia" w:hAnsi="宋体"/>
        </w:rPr>
        <w:t>致：</w:t>
      </w:r>
      <w:r>
        <w:rPr>
          <w:rFonts w:hint="eastAsia" w:hAnsi="宋体"/>
          <w:u w:val="single"/>
        </w:rPr>
        <w:t xml:space="preserve">          </w:t>
      </w:r>
      <w:r>
        <w:rPr>
          <w:rFonts w:hAnsi="宋体"/>
        </w:rPr>
        <w:t>_</w:t>
      </w:r>
      <w:r>
        <w:rPr>
          <w:rFonts w:hint="eastAsia" w:hAnsi="宋体"/>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w:t>
      </w:r>
      <w:r>
        <w:rPr>
          <w:rFonts w:hint="eastAsia" w:hAnsi="宋体"/>
        </w:rPr>
        <w:t>（项目编号：</w:t>
      </w:r>
      <w:r>
        <w:rPr>
          <w:rFonts w:hint="eastAsia" w:hAnsi="宋体"/>
          <w:u w:val="single"/>
        </w:rPr>
        <w:t xml:space="preserve">      </w:t>
      </w:r>
      <w:r>
        <w:rPr>
          <w:rFonts w:hint="eastAsia" w:hAnsi="宋体"/>
        </w:rPr>
        <w:t>）项目的投标，为便于贵方公正、择优地确定中标人及其投标服务成果和服务，我方就本次投标有关事项郑重声明如下：</w:t>
      </w:r>
    </w:p>
    <w:p>
      <w:pPr>
        <w:pStyle w:val="12"/>
        <w:spacing w:line="440" w:lineRule="exact"/>
        <w:ind w:firstLine="482"/>
      </w:pPr>
      <w:r>
        <w:rPr>
          <w:rFonts w:hint="eastAsia"/>
        </w:rPr>
        <w:t>1、我方承诺已经具备《中华人民共和国政府采购法》中规定的参加政府采购活动的供应商应当具备的条件：</w:t>
      </w:r>
    </w:p>
    <w:p>
      <w:pPr>
        <w:pStyle w:val="12"/>
        <w:spacing w:line="440" w:lineRule="exact"/>
        <w:ind w:left="420"/>
      </w:pPr>
      <w:r>
        <w:rPr>
          <w:rFonts w:hint="eastAsia"/>
        </w:rPr>
        <w:t>（1）具有独立承担民事责任的能力；</w:t>
      </w:r>
    </w:p>
    <w:p>
      <w:pPr>
        <w:pStyle w:val="12"/>
        <w:spacing w:line="440" w:lineRule="exact"/>
        <w:ind w:left="420"/>
      </w:pPr>
      <w:r>
        <w:rPr>
          <w:rFonts w:hint="eastAsia"/>
        </w:rPr>
        <w:t>（2）具有良好的商业信誉和健全的财务会计制度；</w:t>
      </w:r>
    </w:p>
    <w:p>
      <w:pPr>
        <w:pStyle w:val="12"/>
        <w:spacing w:line="440" w:lineRule="exact"/>
        <w:ind w:left="420"/>
      </w:pPr>
      <w:r>
        <w:rPr>
          <w:rFonts w:hint="eastAsia"/>
        </w:rPr>
        <w:t>（3）具有履行合同所必需的设备和专业技术能力；</w:t>
      </w:r>
    </w:p>
    <w:p>
      <w:pPr>
        <w:pStyle w:val="12"/>
        <w:spacing w:line="440" w:lineRule="exact"/>
        <w:ind w:left="420"/>
      </w:pPr>
      <w:r>
        <w:rPr>
          <w:rFonts w:hint="eastAsia"/>
        </w:rPr>
        <w:t>（4）有依法缴纳税收和社会保障资金的良好记录；</w:t>
      </w:r>
    </w:p>
    <w:p>
      <w:pPr>
        <w:pStyle w:val="12"/>
        <w:spacing w:line="440" w:lineRule="exact"/>
        <w:ind w:left="420"/>
      </w:pPr>
      <w:r>
        <w:rPr>
          <w:rFonts w:hint="eastAsia"/>
        </w:rPr>
        <w:t>（5）参加政府采购活动前三年内，在经营活动中没有重大违法记录；</w:t>
      </w:r>
    </w:p>
    <w:p>
      <w:pPr>
        <w:pStyle w:val="12"/>
        <w:tabs>
          <w:tab w:val="left" w:pos="7200"/>
        </w:tabs>
        <w:spacing w:line="440" w:lineRule="exact"/>
        <w:ind w:firstLine="420" w:firstLineChars="200"/>
      </w:pPr>
      <w:r>
        <w:rPr>
          <w:rFonts w:hint="eastAsia"/>
        </w:rPr>
        <w:t>（6）法律、行政法规规定的其他条件。</w:t>
      </w:r>
    </w:p>
    <w:p>
      <w:pPr>
        <w:pStyle w:val="12"/>
        <w:tabs>
          <w:tab w:val="left" w:pos="7200"/>
        </w:tabs>
        <w:spacing w:line="440" w:lineRule="exact"/>
        <w:ind w:firstLine="420" w:firstLineChars="200"/>
      </w:pPr>
      <w:r>
        <w:rPr>
          <w:rFonts w:hint="eastAsia"/>
        </w:rPr>
        <w:t>2.经查询，在“信用中国”和“中国政府采购网”网站我方未被列入失信被执行人、重大税收违法案件当事人名单、政府采购严重违法失信行为记录名单。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spacing w:line="440" w:lineRule="exact"/>
        <w:jc w:val="left"/>
        <w:rPr>
          <w:rFonts w:hAnsi="宋体"/>
        </w:rPr>
      </w:pPr>
    </w:p>
    <w:p>
      <w:pPr>
        <w:snapToGrid w:val="0"/>
        <w:spacing w:before="50" w:after="120" w:afterLines="50" w:line="440" w:lineRule="exact"/>
        <w:ind w:firstLine="220" w:firstLineChars="100"/>
        <w:jc w:val="left"/>
        <w:rPr>
          <w:spacing w:val="20"/>
          <w:sz w:val="22"/>
          <w:szCs w:val="22"/>
        </w:rPr>
      </w:pPr>
      <w:r>
        <w:rPr>
          <w:rFonts w:hint="eastAsia"/>
          <w:sz w:val="22"/>
          <w:szCs w:val="22"/>
        </w:rPr>
        <w:t>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before="50" w:after="120" w:afterLines="50" w:line="360" w:lineRule="exact"/>
        <w:jc w:val="left"/>
        <w:rPr>
          <w:b/>
          <w:sz w:val="24"/>
        </w:rPr>
      </w:pPr>
    </w:p>
    <w:p>
      <w:pPr>
        <w:snapToGrid w:val="0"/>
        <w:spacing w:line="360" w:lineRule="exact"/>
        <w:ind w:firstLine="315" w:firstLineChars="150"/>
        <w:jc w:val="left"/>
        <w:rPr>
          <w:rFonts w:ascii="宋体" w:hAnsi="Courier New" w:cs="Courier New"/>
          <w:szCs w:val="21"/>
        </w:rPr>
      </w:pPr>
      <w:r>
        <w:rPr>
          <w:rFonts w:hint="eastAsia" w:ascii="宋体" w:hAnsi="Courier New" w:cs="Courier New"/>
          <w:szCs w:val="21"/>
        </w:rPr>
        <w:t>注：投标人“信用中国”（www.creditchina.gov.cn）和“中国政府采购网”（www.ccgp.gov.cn）查询结果或界面截图（事业单位、高校或团体组织可不提供）（此项材料由采购人或招标代理机构评标时提供给资格性审查人，投标人投标文件中不需要提供）：</w:t>
      </w:r>
    </w:p>
    <w:p>
      <w:pPr>
        <w:snapToGrid w:val="0"/>
        <w:spacing w:line="360" w:lineRule="exact"/>
        <w:ind w:firstLine="480"/>
        <w:jc w:val="left"/>
        <w:rPr>
          <w:rFonts w:ascii="宋体" w:hAnsi="Courier New" w:cs="Courier New"/>
          <w:szCs w:val="21"/>
        </w:rPr>
      </w:pPr>
      <w:r>
        <w:rPr>
          <w:rFonts w:hint="eastAsia" w:ascii="宋体" w:hAnsi="Courier New" w:cs="Courier New"/>
          <w:szCs w:val="21"/>
        </w:rPr>
        <w:fldChar w:fldCharType="begin"/>
      </w:r>
      <w:r>
        <w:rPr>
          <w:rFonts w:hint="eastAsia" w:ascii="宋体" w:hAnsi="Courier New" w:cs="Courier New"/>
          <w:szCs w:val="21"/>
        </w:rPr>
        <w:instrText xml:space="preserve"> = 1 \* GB3 </w:instrText>
      </w:r>
      <w:r>
        <w:rPr>
          <w:rFonts w:hint="eastAsia" w:ascii="宋体" w:hAnsi="Courier New" w:cs="Courier New"/>
          <w:szCs w:val="21"/>
        </w:rPr>
        <w:fldChar w:fldCharType="separate"/>
      </w:r>
      <w:r>
        <w:rPr>
          <w:rFonts w:hint="eastAsia" w:ascii="宋体" w:hAnsi="Courier New" w:cs="Courier New"/>
          <w:szCs w:val="21"/>
        </w:rPr>
        <w:t>①</w:t>
      </w:r>
      <w:r>
        <w:rPr>
          <w:rFonts w:hint="eastAsia" w:ascii="宋体" w:hAnsi="Courier New" w:cs="Courier New"/>
          <w:szCs w:val="21"/>
        </w:rPr>
        <w:fldChar w:fldCharType="end"/>
      </w:r>
      <w:r>
        <w:rPr>
          <w:rFonts w:hint="eastAsia" w:ascii="宋体" w:hAnsi="Courier New" w:cs="Courier New"/>
          <w:szCs w:val="21"/>
        </w:rPr>
        <w:t>“信用中国”查询内容：在该网站下载的信用报告；</w:t>
      </w:r>
    </w:p>
    <w:p>
      <w:pPr>
        <w:snapToGrid w:val="0"/>
        <w:spacing w:line="360" w:lineRule="exact"/>
        <w:ind w:firstLine="480"/>
        <w:jc w:val="left"/>
        <w:rPr>
          <w:rFonts w:ascii="宋体" w:hAnsi="Courier New" w:cs="Courier New"/>
          <w:szCs w:val="21"/>
        </w:rPr>
      </w:pPr>
      <w:r>
        <w:rPr>
          <w:rFonts w:hint="eastAsia" w:ascii="宋体" w:hAnsi="Courier New" w:cs="Courier New"/>
          <w:szCs w:val="21"/>
        </w:rPr>
        <w:fldChar w:fldCharType="begin"/>
      </w:r>
      <w:r>
        <w:rPr>
          <w:rFonts w:hint="eastAsia" w:ascii="宋体" w:hAnsi="Courier New" w:cs="Courier New"/>
          <w:szCs w:val="21"/>
        </w:rPr>
        <w:instrText xml:space="preserve"> = 2 \* GB3 </w:instrText>
      </w:r>
      <w:r>
        <w:rPr>
          <w:rFonts w:hint="eastAsia" w:ascii="宋体" w:hAnsi="Courier New" w:cs="Courier New"/>
          <w:szCs w:val="21"/>
        </w:rPr>
        <w:fldChar w:fldCharType="separate"/>
      </w:r>
      <w:r>
        <w:rPr>
          <w:rFonts w:hint="eastAsia" w:ascii="宋体" w:hAnsi="Courier New" w:cs="Courier New"/>
          <w:szCs w:val="21"/>
        </w:rPr>
        <w:t>②</w:t>
      </w:r>
      <w:r>
        <w:rPr>
          <w:rFonts w:hint="eastAsia" w:ascii="宋体" w:hAnsi="Courier New" w:cs="Courier New"/>
          <w:szCs w:val="21"/>
        </w:rPr>
        <w:fldChar w:fldCharType="end"/>
      </w:r>
      <w:r>
        <w:rPr>
          <w:rFonts w:hint="eastAsia" w:ascii="宋体" w:hAnsi="Courier New" w:cs="Courier New"/>
          <w:szCs w:val="21"/>
        </w:rPr>
        <w:t>“中国政府采购网”的查询内容：政府采购严重违法失信行为信息记录（查询界面截图须显示供应商名称以及查询结果，查询结果截图加盖单位公章）；查询时间为本项目递交投标文件截止时间前10日至递交投标文件截止时间中任意一天；信息记录时间：起始时间为投标文件递交截止时间前三年，截止时间应为购买招标文件之日起至投标文件递交截止时间前。</w:t>
      </w:r>
    </w:p>
    <w:p>
      <w:pPr>
        <w:snapToGrid w:val="0"/>
        <w:spacing w:line="360" w:lineRule="exact"/>
        <w:ind w:firstLine="480"/>
        <w:jc w:val="left"/>
        <w:rPr>
          <w:rFonts w:ascii="宋体" w:hAnsi="Courier New" w:cs="Courier New"/>
          <w:szCs w:val="21"/>
        </w:rPr>
      </w:pPr>
      <w:r>
        <w:rPr>
          <w:rFonts w:hint="eastAsia" w:ascii="宋体" w:hAnsi="Courier New" w:cs="Courier New"/>
          <w:szCs w:val="21"/>
        </w:rPr>
        <w:t>③提供“国家企业信用信息公示系统”中“股东及出资信息”截图，股东类型为法人股东或企业法人或非自然人的必须逐级提供“股东及出资信息”截图。</w:t>
      </w:r>
    </w:p>
    <w:p>
      <w:pPr>
        <w:snapToGrid w:val="0"/>
        <w:spacing w:line="360" w:lineRule="exact"/>
        <w:ind w:firstLine="482"/>
        <w:jc w:val="left"/>
        <w:rPr>
          <w:b/>
          <w:sz w:val="24"/>
        </w:rPr>
      </w:pPr>
      <w:r>
        <w:rPr>
          <w:rFonts w:hint="eastAsia" w:ascii="宋体" w:hAnsi="Courier New" w:cs="Courier New"/>
          <w:szCs w:val="21"/>
        </w:rPr>
        <w:t>（注：经核实投标人的查询界面截图与事实不符或经核实与其他投标人单位负责人为同一人或者存在直接控股、管理关系的，投标无效。）</w:t>
      </w:r>
    </w:p>
    <w:p>
      <w:pPr>
        <w:pStyle w:val="3"/>
        <w:rPr>
          <w:b/>
          <w:sz w:val="24"/>
        </w:rPr>
      </w:pPr>
    </w:p>
    <w:p>
      <w:pPr>
        <w:snapToGrid w:val="0"/>
        <w:spacing w:before="50" w:after="120" w:afterLines="50"/>
        <w:jc w:val="left"/>
        <w:rPr>
          <w:spacing w:val="20"/>
          <w:sz w:val="24"/>
        </w:rPr>
      </w:pPr>
      <w:r>
        <w:rPr>
          <w:b/>
          <w:bCs/>
          <w:sz w:val="28"/>
          <w:szCs w:val="28"/>
        </w:rPr>
        <w:t>技术文件</w:t>
      </w:r>
      <w:r>
        <w:rPr>
          <w:rFonts w:hint="eastAsia"/>
          <w:b/>
          <w:bCs/>
          <w:sz w:val="28"/>
          <w:szCs w:val="28"/>
        </w:rPr>
        <w:t>格式</w:t>
      </w:r>
      <w:r>
        <w:rPr>
          <w:spacing w:val="20"/>
          <w:sz w:val="24"/>
        </w:rPr>
        <w:t xml:space="preserve">          </w:t>
      </w:r>
    </w:p>
    <w:p>
      <w:pPr>
        <w:snapToGrid w:val="0"/>
        <w:spacing w:after="120" w:afterLines="50" w:line="360" w:lineRule="exact"/>
        <w:ind w:firstLine="422" w:firstLineChars="200"/>
        <w:jc w:val="left"/>
        <w:rPr>
          <w:rFonts w:ascii="宋体" w:hAnsi="宋体"/>
          <w:b/>
          <w:szCs w:val="21"/>
        </w:rPr>
      </w:pPr>
      <w:r>
        <w:rPr>
          <w:rFonts w:hint="eastAsia" w:ascii="宋体" w:hAnsi="宋体"/>
          <w:b/>
          <w:szCs w:val="21"/>
        </w:rPr>
        <w:t>1、</w:t>
      </w:r>
      <w:r>
        <w:rPr>
          <w:rFonts w:hint="eastAsia" w:ascii="宋体" w:hAnsi="宋体"/>
          <w:szCs w:val="21"/>
        </w:rPr>
        <w:t>投标技术资料格式：</w:t>
      </w:r>
      <w:r>
        <w:rPr>
          <w:rFonts w:hint="eastAsia" w:ascii="宋体" w:hAnsi="宋体"/>
          <w:b/>
          <w:szCs w:val="21"/>
        </w:rPr>
        <w:t xml:space="preserve"> </w:t>
      </w:r>
    </w:p>
    <w:p>
      <w:pPr>
        <w:pStyle w:val="12"/>
        <w:rPr>
          <w:rFonts w:ascii="Times New Roman" w:hAnsi="Times New Roman"/>
          <w:u w:val="thick"/>
        </w:rPr>
      </w:pPr>
    </w:p>
    <w:p>
      <w:pPr>
        <w:pStyle w:val="12"/>
        <w:spacing w:line="500" w:lineRule="exact"/>
        <w:jc w:val="center"/>
        <w:rPr>
          <w:rFonts w:ascii="Times New Roman" w:hAnsi="Times New Roman"/>
          <w:b/>
          <w:bCs/>
          <w:sz w:val="30"/>
          <w:szCs w:val="30"/>
        </w:rPr>
      </w:pPr>
      <w:r>
        <w:rPr>
          <w:rFonts w:hint="eastAsia" w:ascii="Times New Roman" w:hAnsi="Times New Roman"/>
          <w:b/>
          <w:bCs/>
          <w:sz w:val="30"/>
          <w:szCs w:val="30"/>
        </w:rPr>
        <w:t>投标技术资料表（格式）</w:t>
      </w:r>
    </w:p>
    <w:p>
      <w:pPr>
        <w:pStyle w:val="12"/>
        <w:spacing w:line="440" w:lineRule="exact"/>
        <w:ind w:firstLine="420" w:firstLineChars="200"/>
      </w:pPr>
    </w:p>
    <w:p>
      <w:pPr>
        <w:pStyle w:val="12"/>
        <w:spacing w:line="440" w:lineRule="exact"/>
        <w:ind w:firstLine="420" w:firstLineChars="200"/>
        <w:rPr>
          <w:rFonts w:hAnsi="宋体"/>
        </w:rPr>
      </w:pPr>
      <w:r>
        <w:rPr>
          <w:rFonts w:hint="eastAsia"/>
        </w:rPr>
        <w:t>请根据所投项目的实际技术参数，</w:t>
      </w:r>
      <w:r>
        <w:rPr>
          <w:rFonts w:hint="eastAsia"/>
          <w:b/>
        </w:rPr>
        <w:t>逐条对应</w:t>
      </w:r>
      <w:r>
        <w:rPr>
          <w:rFonts w:hint="eastAsia"/>
        </w:rPr>
        <w:t>本项目招标文件第二章“采购需求一览表”中的技术参数要求</w:t>
      </w:r>
      <w:r>
        <w:rPr>
          <w:rFonts w:hint="eastAsia"/>
          <w:b/>
        </w:rPr>
        <w:t>详细填写相应的具体内容</w:t>
      </w:r>
      <w:r>
        <w:rPr>
          <w:rFonts w:hint="eastAsia"/>
        </w:rPr>
        <w:t>。“偏离说明”一栏应当选择“正偏离”、“负偏离”或“无偏离”进行填写。</w:t>
      </w:r>
    </w:p>
    <w:p>
      <w:pPr>
        <w:pStyle w:val="12"/>
        <w:rPr>
          <w:rFonts w:ascii="Times New Roman" w:hAnsi="Times New Roman"/>
          <w:u w:val="thick"/>
        </w:rPr>
      </w:pPr>
    </w:p>
    <w:tbl>
      <w:tblPr>
        <w:tblStyle w:val="17"/>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272"/>
        <w:gridCol w:w="920"/>
        <w:gridCol w:w="1135"/>
        <w:gridCol w:w="213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项号</w:t>
            </w:r>
          </w:p>
        </w:tc>
        <w:tc>
          <w:tcPr>
            <w:tcW w:w="326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招标文件需求</w:t>
            </w:r>
          </w:p>
        </w:tc>
        <w:tc>
          <w:tcPr>
            <w:tcW w:w="41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投标文件承诺</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rPr>
            </w:pP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服务名称</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数量</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技术要求</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服务名称</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数量</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技术参数</w:t>
            </w: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color w:val="000000"/>
              </w:rPr>
              <w:t>1</w:t>
            </w: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color w:val="000000"/>
              </w:rPr>
              <w:t>2</w:t>
            </w: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2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9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1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c>
          <w:tcPr>
            <w:tcW w:w="21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Calibri" w:hAnsi="Calibri"/>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Cs/>
                <w:color w:val="000000"/>
                <w:kern w:val="1"/>
                <w:szCs w:val="21"/>
              </w:rPr>
            </w:pPr>
            <w:r>
              <w:rPr>
                <w:rFonts w:hint="eastAsia" w:ascii="宋体" w:hAnsi="宋体" w:cs="宋体"/>
                <w:bCs/>
                <w:color w:val="000000"/>
                <w:kern w:val="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olor w:val="000000"/>
                <w:szCs w:val="21"/>
              </w:rPr>
            </w:pPr>
            <w:r>
              <w:rPr>
                <w:rFonts w:hint="eastAsia" w:ascii="宋体" w:hAnsi="宋体" w:cs="宋体"/>
                <w:bCs/>
                <w:color w:val="000000"/>
                <w:kern w:val="1"/>
                <w:szCs w:val="21"/>
              </w:rPr>
              <w:t>法定代表人或其委托代理人（签字或盖章）：</w:t>
            </w:r>
          </w:p>
        </w:tc>
      </w:tr>
    </w:tbl>
    <w:p>
      <w:pPr>
        <w:pStyle w:val="12"/>
        <w:rPr>
          <w:rFonts w:hAnsi="宋体"/>
        </w:rPr>
      </w:pPr>
    </w:p>
    <w:p>
      <w:pPr>
        <w:pStyle w:val="12"/>
        <w:rPr>
          <w:rFonts w:hAnsi="宋体"/>
        </w:rPr>
      </w:pPr>
      <w:r>
        <w:rPr>
          <w:rFonts w:hint="eastAsia" w:hAnsi="宋体"/>
        </w:rPr>
        <w:t>注：（1）表格内容均需按要求填写并盖章，不得留空，否则按投标无效处理。</w:t>
      </w:r>
    </w:p>
    <w:p>
      <w:pPr>
        <w:pStyle w:val="12"/>
        <w:spacing w:line="400" w:lineRule="exact"/>
        <w:ind w:firstLine="420" w:firstLineChars="200"/>
      </w:pPr>
      <w:r>
        <w:rPr>
          <w:rFonts w:hint="eastAsia" w:hAnsi="宋体"/>
        </w:rPr>
        <w:t>（2）当投标文件的技术参数低于招标文件要求时，投标人应当如实写明“负偏离”，否则视为虚假应标。</w:t>
      </w:r>
    </w:p>
    <w:p>
      <w:pPr>
        <w:snapToGrid w:val="0"/>
        <w:spacing w:before="50" w:after="50" w:line="440" w:lineRule="exact"/>
        <w:rPr>
          <w:sz w:val="24"/>
        </w:rPr>
      </w:pPr>
    </w:p>
    <w:p>
      <w:pPr>
        <w:snapToGrid w:val="0"/>
        <w:spacing w:line="360" w:lineRule="exact"/>
        <w:ind w:firstLine="422" w:firstLineChars="200"/>
        <w:jc w:val="left"/>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jc w:val="both"/>
        <w:rPr>
          <w:rFonts w:ascii="宋体" w:hAnsi="宋体"/>
          <w:b/>
          <w:szCs w:val="21"/>
        </w:rPr>
      </w:pPr>
    </w:p>
    <w:p>
      <w:pPr>
        <w:snapToGrid w:val="0"/>
        <w:spacing w:line="360" w:lineRule="exact"/>
        <w:ind w:left="420"/>
        <w:jc w:val="left"/>
        <w:rPr>
          <w:rFonts w:ascii="宋体" w:hAnsi="宋体"/>
          <w:szCs w:val="21"/>
        </w:rPr>
      </w:pPr>
      <w:r>
        <w:rPr>
          <w:rFonts w:hint="eastAsia" w:ascii="宋体" w:hAnsi="宋体"/>
          <w:szCs w:val="21"/>
        </w:rPr>
        <w:t>2、项目实施人员一览表</w:t>
      </w:r>
    </w:p>
    <w:p>
      <w:pPr>
        <w:snapToGrid w:val="0"/>
        <w:spacing w:line="360" w:lineRule="exact"/>
        <w:jc w:val="left"/>
        <w:rPr>
          <w:rFonts w:ascii="宋体" w:hAnsi="宋体"/>
          <w:szCs w:val="21"/>
        </w:rPr>
      </w:pPr>
    </w:p>
    <w:p>
      <w:pPr>
        <w:snapToGrid w:val="0"/>
        <w:spacing w:before="120" w:beforeLines="50" w:after="50" w:line="360" w:lineRule="exact"/>
        <w:jc w:val="center"/>
        <w:rPr>
          <w:rFonts w:ascii="方正小标宋简体" w:hAnsi="宋体" w:eastAsia="方正小标宋简体"/>
          <w:sz w:val="24"/>
        </w:rPr>
      </w:pPr>
      <w:r>
        <w:rPr>
          <w:rFonts w:hint="eastAsia" w:ascii="方正小标宋简体" w:hAnsi="宋体" w:eastAsia="方正小标宋简体"/>
          <w:sz w:val="24"/>
        </w:rPr>
        <w:t>项目实施人员（主要从业人员及其技术资格）一览表</w:t>
      </w:r>
    </w:p>
    <w:tbl>
      <w:tblPr>
        <w:tblStyle w:val="17"/>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
        <w:gridCol w:w="863"/>
        <w:gridCol w:w="2054"/>
        <w:gridCol w:w="1446"/>
        <w:gridCol w:w="198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bookmarkStart w:id="121" w:name="OLE_LINK27"/>
            <w:r>
              <w:rPr>
                <w:rFonts w:hint="eastAsia" w:ascii="宋体" w:hAnsi="宋体"/>
                <w:szCs w:val="21"/>
              </w:rPr>
              <w:t>序号</w:t>
            </w:r>
          </w:p>
        </w:tc>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姓名</w:t>
            </w:r>
          </w:p>
        </w:tc>
        <w:tc>
          <w:tcPr>
            <w:tcW w:w="20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岗位</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szCs w:val="21"/>
              </w:rPr>
            </w:pPr>
            <w:r>
              <w:rPr>
                <w:rFonts w:hint="eastAsia" w:ascii="宋体" w:hAnsi="宋体"/>
                <w:szCs w:val="21"/>
              </w:rPr>
              <w:t>职称</w:t>
            </w:r>
          </w:p>
        </w:tc>
        <w:tc>
          <w:tcPr>
            <w:tcW w:w="19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bCs/>
                <w:szCs w:val="21"/>
              </w:rPr>
            </w:pPr>
            <w:r>
              <w:rPr>
                <w:rFonts w:hint="eastAsia" w:ascii="宋体" w:hAnsi="宋体"/>
                <w:szCs w:val="21"/>
              </w:rPr>
              <w:t>工作内容</w:t>
            </w:r>
          </w:p>
        </w:tc>
        <w:tc>
          <w:tcPr>
            <w:tcW w:w="18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exact"/>
              <w:jc w:val="center"/>
              <w:rPr>
                <w:rFonts w:ascii="宋体" w:hAnsi="宋体"/>
                <w:bCs/>
                <w:szCs w:val="21"/>
              </w:rPr>
            </w:pPr>
            <w:r>
              <w:rPr>
                <w:rFonts w:hint="eastAsia" w:ascii="宋体" w:hAnsi="宋体"/>
                <w:bCs/>
                <w:szCs w:val="21"/>
              </w:rPr>
              <w:t>工作年限</w:t>
            </w:r>
          </w:p>
        </w:tc>
      </w:tr>
      <w:bookmarkEnd w:id="12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3"/>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3"/>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8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tcPr>
          <w:p>
            <w:pPr>
              <w:pStyle w:val="13"/>
              <w:snapToGrid w:val="0"/>
              <w:spacing w:before="120" w:beforeLines="50" w:after="50" w:line="360" w:lineRule="exact"/>
              <w:ind w:left="5250"/>
              <w:rPr>
                <w:rFonts w:hAnsi="宋体" w:cs="Courier New"/>
                <w:kern w:val="2"/>
                <w:sz w:val="21"/>
              </w:rPr>
            </w:pPr>
          </w:p>
        </w:tc>
        <w:tc>
          <w:tcPr>
            <w:tcW w:w="14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98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c>
          <w:tcPr>
            <w:tcW w:w="188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exact"/>
              <w:rPr>
                <w:rFonts w:ascii="宋体" w:hAnsi="宋体"/>
                <w:szCs w:val="21"/>
              </w:rPr>
            </w:pPr>
          </w:p>
        </w:tc>
      </w:tr>
    </w:tbl>
    <w:p>
      <w:pPr>
        <w:snapToGrid w:val="0"/>
        <w:spacing w:before="50" w:after="50" w:line="440" w:lineRule="exact"/>
        <w:rPr>
          <w:sz w:val="24"/>
        </w:rPr>
      </w:pPr>
    </w:p>
    <w:p>
      <w:pPr>
        <w:snapToGrid w:val="0"/>
        <w:spacing w:before="50" w:after="120" w:afterLines="50" w:line="440" w:lineRule="exact"/>
        <w:jc w:val="left"/>
        <w:rPr>
          <w:spacing w:val="20"/>
          <w:sz w:val="22"/>
          <w:szCs w:val="22"/>
        </w:rPr>
      </w:pPr>
      <w:r>
        <w:rPr>
          <w:rFonts w:hint="eastAsia"/>
          <w:spacing w:val="20"/>
          <w:sz w:val="24"/>
        </w:rPr>
        <w:t xml:space="preserve"> </w:t>
      </w: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pStyle w:val="3"/>
      </w:pPr>
    </w:p>
    <w:p>
      <w:pPr>
        <w:rPr>
          <w:spacing w:val="20"/>
          <w:sz w:val="24"/>
        </w:rPr>
      </w:pPr>
    </w:p>
    <w:p>
      <w:pPr>
        <w:rPr>
          <w:rFonts w:ascii="宋体" w:hAnsi="宋体"/>
          <w:szCs w:val="21"/>
        </w:rPr>
      </w:pPr>
    </w:p>
    <w:p>
      <w:pPr>
        <w:rPr>
          <w:spacing w:val="20"/>
          <w:sz w:val="24"/>
          <w:u w:val="single"/>
        </w:rPr>
      </w:pPr>
    </w:p>
    <w:p>
      <w:pPr>
        <w:rPr>
          <w:sz w:val="24"/>
        </w:rPr>
      </w:pPr>
    </w:p>
    <w:p>
      <w:pPr>
        <w:rPr>
          <w:b/>
          <w:bCs/>
          <w:sz w:val="28"/>
          <w:szCs w:val="28"/>
        </w:rPr>
      </w:pPr>
      <w:r>
        <w:rPr>
          <w:b/>
          <w:sz w:val="24"/>
        </w:rPr>
        <w:br w:type="page"/>
      </w:r>
      <w:r>
        <w:rPr>
          <w:b/>
          <w:bCs/>
          <w:sz w:val="28"/>
          <w:szCs w:val="28"/>
        </w:rPr>
        <w:t>报价文件</w:t>
      </w:r>
    </w:p>
    <w:p>
      <w:pPr>
        <w:snapToGrid w:val="0"/>
        <w:spacing w:before="120" w:beforeLines="50" w:after="50" w:line="360" w:lineRule="exact"/>
        <w:ind w:firstLine="422" w:firstLineChars="200"/>
        <w:rPr>
          <w:rFonts w:ascii="宋体" w:hAnsi="宋体"/>
          <w:b/>
          <w:szCs w:val="21"/>
        </w:rPr>
      </w:pPr>
      <w:r>
        <w:rPr>
          <w:rFonts w:hint="eastAsia" w:ascii="宋体" w:hAnsi="宋体"/>
          <w:b/>
          <w:szCs w:val="21"/>
        </w:rPr>
        <w:t>1、投标函格式：</w:t>
      </w:r>
    </w:p>
    <w:p>
      <w:pPr>
        <w:snapToGrid w:val="0"/>
        <w:spacing w:before="120" w:beforeLines="50" w:after="50" w:line="360" w:lineRule="exact"/>
        <w:ind w:firstLine="422" w:firstLineChars="200"/>
        <w:rPr>
          <w:rFonts w:ascii="宋体" w:hAnsi="宋体"/>
          <w:b/>
          <w:szCs w:val="21"/>
        </w:rPr>
      </w:pPr>
    </w:p>
    <w:p>
      <w:pPr>
        <w:snapToGrid w:val="0"/>
        <w:spacing w:before="120" w:beforeLines="50" w:after="50" w:line="360" w:lineRule="exact"/>
        <w:jc w:val="center"/>
        <w:rPr>
          <w:rFonts w:ascii="方正小标宋简体" w:hAnsi="宋体" w:eastAsia="方正小标宋简体"/>
          <w:sz w:val="30"/>
          <w:szCs w:val="30"/>
        </w:rPr>
      </w:pPr>
      <w:r>
        <w:rPr>
          <w:rFonts w:hint="eastAsia" w:ascii="方正小标宋简体" w:hAnsi="宋体" w:eastAsia="方正小标宋简体"/>
          <w:sz w:val="30"/>
          <w:szCs w:val="30"/>
        </w:rPr>
        <w:t>投 标 函</w:t>
      </w:r>
    </w:p>
    <w:p>
      <w:pPr>
        <w:snapToGrid w:val="0"/>
        <w:spacing w:line="420" w:lineRule="exact"/>
        <w:rPr>
          <w:rFonts w:ascii="宋体" w:hAnsi="宋体"/>
          <w:szCs w:val="21"/>
        </w:rPr>
      </w:pPr>
    </w:p>
    <w:p>
      <w:pPr>
        <w:snapToGrid w:val="0"/>
        <w:spacing w:line="420" w:lineRule="exact"/>
        <w:rPr>
          <w:rFonts w:ascii="宋体" w:hAnsi="宋体"/>
          <w:szCs w:val="21"/>
        </w:rPr>
      </w:pPr>
      <w:r>
        <w:rPr>
          <w:rFonts w:hint="eastAsia" w:ascii="宋体" w:hAnsi="宋体"/>
          <w:szCs w:val="21"/>
        </w:rPr>
        <w:t>致：</w:t>
      </w:r>
      <w:r>
        <w:rPr>
          <w:rFonts w:hint="eastAsia"/>
          <w:u w:val="single"/>
        </w:rPr>
        <w:t>采购代理机构名称</w:t>
      </w:r>
      <w:r>
        <w:rPr>
          <w:rFonts w:hint="eastAsia" w:ascii="宋体" w:hAnsi="宋体"/>
          <w:szCs w:val="21"/>
        </w:rPr>
        <w:t>：</w:t>
      </w:r>
    </w:p>
    <w:p>
      <w:pPr>
        <w:snapToGrid w:val="0"/>
        <w:spacing w:line="42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（投标人名称）提交投标文件(内含：资信及商务文件、技术文件、报价文件)正本1份、副本</w:t>
      </w:r>
      <w:r>
        <w:rPr>
          <w:rFonts w:hint="eastAsia" w:ascii="宋体" w:hAnsi="宋体"/>
          <w:szCs w:val="21"/>
          <w:u w:val="single"/>
        </w:rPr>
        <w:t>4</w:t>
      </w:r>
      <w:r>
        <w:rPr>
          <w:rFonts w:hint="eastAsia" w:ascii="宋体" w:hAnsi="宋体"/>
          <w:szCs w:val="21"/>
        </w:rPr>
        <w:t>份。</w:t>
      </w:r>
    </w:p>
    <w:p>
      <w:pPr>
        <w:snapToGrid w:val="0"/>
        <w:spacing w:line="42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42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2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420" w:lineRule="exact"/>
        <w:ind w:firstLine="420" w:firstLineChars="200"/>
        <w:rPr>
          <w:rFonts w:ascii="宋体" w:hAnsi="宋体"/>
          <w:szCs w:val="21"/>
        </w:rPr>
      </w:pPr>
      <w:r>
        <w:rPr>
          <w:rFonts w:hint="eastAsia" w:ascii="宋体" w:hAnsi="宋体"/>
          <w:szCs w:val="21"/>
        </w:rPr>
        <w:t xml:space="preserve">3.本投标有效期自开标日起 </w:t>
      </w:r>
      <w:r>
        <w:rPr>
          <w:rFonts w:hint="eastAsia" w:ascii="宋体" w:hAnsi="宋体"/>
          <w:szCs w:val="21"/>
          <w:u w:val="single"/>
        </w:rPr>
        <w:t>60</w:t>
      </w:r>
      <w:r>
        <w:rPr>
          <w:rFonts w:hint="eastAsia" w:ascii="宋体" w:hAnsi="宋体"/>
          <w:szCs w:val="21"/>
        </w:rPr>
        <w:t>个自然日。</w:t>
      </w:r>
    </w:p>
    <w:p>
      <w:pPr>
        <w:snapToGrid w:val="0"/>
        <w:spacing w:line="42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42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42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42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邮编：__________   电话：______________</w:t>
      </w:r>
    </w:p>
    <w:p>
      <w:pPr>
        <w:snapToGrid w:val="0"/>
        <w:spacing w:line="420" w:lineRule="exact"/>
        <w:rPr>
          <w:rFonts w:ascii="宋体" w:hAnsi="宋体"/>
          <w:szCs w:val="21"/>
        </w:rPr>
      </w:pPr>
      <w:r>
        <w:rPr>
          <w:rFonts w:hint="eastAsia" w:ascii="宋体" w:hAnsi="宋体"/>
          <w:szCs w:val="21"/>
        </w:rPr>
        <w:t>传真：______________投标人代表姓名 ___________  职务：</w:t>
      </w:r>
      <w:r>
        <w:rPr>
          <w:rFonts w:hint="eastAsia" w:ascii="宋体" w:hAnsi="宋体"/>
          <w:szCs w:val="21"/>
          <w:u w:val="single"/>
        </w:rPr>
        <w:t xml:space="preserve">           </w:t>
      </w:r>
    </w:p>
    <w:p>
      <w:pPr>
        <w:snapToGrid w:val="0"/>
        <w:spacing w:line="420" w:lineRule="exact"/>
        <w:rPr>
          <w:rFonts w:ascii="宋体" w:hAnsi="宋体"/>
          <w:szCs w:val="21"/>
        </w:rPr>
      </w:pPr>
      <w:r>
        <w:rPr>
          <w:rFonts w:hint="eastAsia" w:ascii="宋体" w:hAnsi="宋体"/>
          <w:szCs w:val="21"/>
        </w:rPr>
        <w:t>投标人名称(公章):___________________</w:t>
      </w:r>
    </w:p>
    <w:p>
      <w:pPr>
        <w:snapToGrid w:val="0"/>
        <w:spacing w:line="42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p>
    <w:p>
      <w:pPr>
        <w:snapToGrid w:val="0"/>
        <w:spacing w:line="420" w:lineRule="exact"/>
        <w:rPr>
          <w:rFonts w:ascii="宋体" w:hAnsi="宋体"/>
          <w:szCs w:val="21"/>
        </w:rPr>
      </w:pPr>
      <w:r>
        <w:rPr>
          <w:rFonts w:hint="eastAsia" w:ascii="宋体" w:hAnsi="宋体"/>
          <w:szCs w:val="21"/>
        </w:rPr>
        <w:t>银行帐号：</w:t>
      </w:r>
      <w:r>
        <w:rPr>
          <w:rFonts w:hint="eastAsia" w:ascii="宋体" w:hAnsi="宋体"/>
          <w:szCs w:val="21"/>
          <w:u w:val="single"/>
        </w:rPr>
        <w:t xml:space="preserve">                       </w:t>
      </w:r>
      <w:r>
        <w:rPr>
          <w:rFonts w:hint="eastAsia" w:ascii="宋体" w:hAnsi="宋体"/>
          <w:szCs w:val="21"/>
        </w:rPr>
        <w:t xml:space="preserve"> </w:t>
      </w:r>
    </w:p>
    <w:p>
      <w:pPr>
        <w:snapToGrid w:val="0"/>
        <w:spacing w:line="420" w:lineRule="exact"/>
        <w:rPr>
          <w:rFonts w:ascii="宋体" w:hAnsi="宋体"/>
          <w:szCs w:val="21"/>
        </w:rPr>
      </w:pPr>
      <w:r>
        <w:rPr>
          <w:rFonts w:hint="eastAsia" w:ascii="宋体" w:hAnsi="宋体"/>
          <w:szCs w:val="21"/>
        </w:rPr>
        <w:t>法定代表人(负责人) 或委托代理人签字:___________</w:t>
      </w:r>
    </w:p>
    <w:p>
      <w:pPr>
        <w:snapToGrid w:val="0"/>
        <w:spacing w:line="420" w:lineRule="exact"/>
        <w:rPr>
          <w:rFonts w:ascii="宋体" w:hAnsi="宋体"/>
          <w:szCs w:val="21"/>
        </w:rPr>
      </w:pPr>
      <w:r>
        <w:rPr>
          <w:rFonts w:hint="eastAsia" w:ascii="宋体" w:hAnsi="宋体"/>
          <w:szCs w:val="21"/>
        </w:rPr>
        <w:t>日期:_____年___月___日</w:t>
      </w:r>
    </w:p>
    <w:p>
      <w:pPr>
        <w:snapToGrid w:val="0"/>
        <w:spacing w:line="420" w:lineRule="exact"/>
        <w:rPr>
          <w:rFonts w:ascii="宋体" w:hAnsi="宋体"/>
          <w:szCs w:val="21"/>
        </w:rPr>
      </w:pPr>
    </w:p>
    <w:p>
      <w:pPr>
        <w:snapToGrid w:val="0"/>
        <w:spacing w:before="120" w:beforeLines="50" w:after="50" w:line="420" w:lineRule="exact"/>
        <w:rPr>
          <w:b/>
        </w:rPr>
      </w:pPr>
      <w:r>
        <w:rPr>
          <w:b/>
        </w:rPr>
        <w:br w:type="page"/>
      </w:r>
      <w:r>
        <w:rPr>
          <w:rFonts w:hint="eastAsia"/>
          <w:b/>
        </w:rPr>
        <w:t>2、投标报价明细表格式</w:t>
      </w:r>
    </w:p>
    <w:p>
      <w:pPr>
        <w:snapToGrid w:val="0"/>
        <w:spacing w:before="120" w:beforeLines="50" w:after="50" w:line="360" w:lineRule="exact"/>
        <w:rPr>
          <w:b/>
        </w:rPr>
      </w:pPr>
    </w:p>
    <w:p>
      <w:pPr>
        <w:snapToGrid w:val="0"/>
        <w:spacing w:before="120" w:beforeLines="50" w:after="50" w:line="360" w:lineRule="exact"/>
        <w:jc w:val="center"/>
        <w:rPr>
          <w:b/>
          <w:sz w:val="28"/>
          <w:szCs w:val="36"/>
        </w:rPr>
      </w:pPr>
      <w:r>
        <w:rPr>
          <w:rFonts w:hint="eastAsia"/>
          <w:b/>
          <w:sz w:val="28"/>
          <w:szCs w:val="36"/>
        </w:rPr>
        <w:t>投标报价明细表</w:t>
      </w:r>
    </w:p>
    <w:p>
      <w:pPr>
        <w:pStyle w:val="12"/>
        <w:snapToGrid w:val="0"/>
        <w:spacing w:before="295" w:after="295" w:line="360" w:lineRule="exact"/>
        <w:rPr>
          <w:rFonts w:hAnsi="宋体"/>
        </w:rPr>
      </w:pPr>
      <w:r>
        <w:rPr>
          <w:rFonts w:hint="eastAsia" w:hAnsi="宋体"/>
        </w:rPr>
        <w:t xml:space="preserve">                                                             金额单位：人民币（元）</w:t>
      </w:r>
    </w:p>
    <w:tbl>
      <w:tblPr>
        <w:tblStyle w:val="17"/>
        <w:tblW w:w="92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1"/>
        <w:gridCol w:w="2318"/>
        <w:gridCol w:w="2327"/>
        <w:gridCol w:w="1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服务项目名称</w:t>
            </w:r>
          </w:p>
        </w:tc>
        <w:tc>
          <w:tcPr>
            <w:tcW w:w="23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服务内容</w:t>
            </w:r>
          </w:p>
        </w:tc>
        <w:tc>
          <w:tcPr>
            <w:tcW w:w="2327" w:type="dxa"/>
            <w:tcBorders>
              <w:top w:val="single" w:color="auto" w:sz="4" w:space="0"/>
              <w:left w:val="single" w:color="auto" w:sz="4" w:space="0"/>
              <w:bottom w:val="single" w:color="auto" w:sz="4" w:space="0"/>
              <w:right w:val="single" w:color="auto" w:sz="4" w:space="0"/>
            </w:tcBorders>
            <w:vAlign w:val="center"/>
          </w:tcPr>
          <w:p>
            <w:pPr>
              <w:pStyle w:val="35"/>
              <w:ind w:firstLine="525" w:firstLineChars="250"/>
              <w:jc w:val="both"/>
              <w:rPr>
                <w:b w:val="0"/>
                <w:bCs/>
                <w:sz w:val="21"/>
                <w:szCs w:val="21"/>
              </w:rPr>
            </w:pPr>
            <w:r>
              <w:rPr>
                <w:rFonts w:hint="eastAsia" w:ascii="宋体" w:eastAsia="宋体"/>
                <w:b w:val="0"/>
                <w:sz w:val="21"/>
                <w:szCs w:val="21"/>
              </w:rPr>
              <w:t>报价（元）</w:t>
            </w:r>
          </w:p>
        </w:tc>
        <w:tc>
          <w:tcPr>
            <w:tcW w:w="13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559"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合计</w:t>
            </w:r>
          </w:p>
        </w:tc>
        <w:tc>
          <w:tcPr>
            <w:tcW w:w="232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28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u w:val="single"/>
              </w:rPr>
            </w:pPr>
            <w:r>
              <w:rPr>
                <w:rFonts w:hint="eastAsia" w:hAnsi="宋体"/>
              </w:rPr>
              <w:t>项目名称：</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28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hAnsi="宋体"/>
              </w:rPr>
              <w:t>投标总价（</w:t>
            </w:r>
            <w:r>
              <w:rPr>
                <w:rFonts w:hint="eastAsia" w:ascii="宋体" w:hAnsi="宋体"/>
                <w:szCs w:val="21"/>
              </w:rPr>
              <w:t>合计金额大写）：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280" w:type="dxa"/>
            <w:gridSpan w:val="4"/>
            <w:tcBorders>
              <w:top w:val="single" w:color="auto" w:sz="4" w:space="0"/>
              <w:left w:val="single" w:color="auto" w:sz="4" w:space="0"/>
              <w:bottom w:val="single" w:color="auto" w:sz="4" w:space="0"/>
              <w:right w:val="single" w:color="auto" w:sz="4" w:space="0"/>
            </w:tcBorders>
          </w:tcPr>
          <w:p>
            <w:pPr>
              <w:spacing w:line="240" w:lineRule="atLeast"/>
              <w:jc w:val="left"/>
              <w:rPr>
                <w:rFonts w:hAnsi="宋体"/>
              </w:rPr>
            </w:pPr>
            <w:r>
              <w:rPr>
                <w:rFonts w:hint="eastAsia" w:asciiTheme="minorEastAsia" w:hAnsiTheme="minorEastAsia" w:eastAsiaTheme="minorEastAsia"/>
                <w:kern w:val="0"/>
                <w:sz w:val="24"/>
                <w:lang w:bidi="en-US"/>
              </w:rPr>
              <w:t>项目服务期：</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120" w:afterLines="50" w:line="440" w:lineRule="exact"/>
        <w:ind w:firstLine="220" w:firstLineChars="100"/>
        <w:jc w:val="left"/>
        <w:rPr>
          <w:spacing w:val="20"/>
          <w:sz w:val="22"/>
          <w:szCs w:val="22"/>
        </w:rPr>
      </w:pP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before="120" w:beforeLines="50" w:after="50" w:line="360" w:lineRule="exact"/>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pStyle w:val="3"/>
        <w:rPr>
          <w:rFonts w:ascii="宋体" w:hAnsi="宋体"/>
          <w:b/>
          <w:szCs w:val="21"/>
        </w:rPr>
      </w:pPr>
    </w:p>
    <w:p>
      <w:pPr>
        <w:widowControl/>
        <w:jc w:val="left"/>
        <w:rPr>
          <w:rFonts w:ascii="宋体" w:hAnsi="宋体"/>
          <w:b/>
          <w:szCs w:val="21"/>
        </w:rPr>
      </w:pPr>
      <w:r>
        <w:rPr>
          <w:rFonts w:ascii="宋体" w:hAnsi="宋体"/>
          <w:b/>
          <w:szCs w:val="21"/>
        </w:rPr>
        <w:br w:type="page"/>
      </w:r>
    </w:p>
    <w:p>
      <w:pPr>
        <w:snapToGrid w:val="0"/>
        <w:spacing w:before="120" w:beforeLines="50" w:after="50" w:line="360" w:lineRule="exact"/>
        <w:rPr>
          <w:rFonts w:ascii="宋体" w:hAnsi="宋体"/>
          <w:b/>
          <w:szCs w:val="21"/>
        </w:rPr>
      </w:pPr>
      <w:r>
        <w:rPr>
          <w:rFonts w:hint="eastAsia" w:ascii="宋体" w:hAnsi="宋体"/>
          <w:b/>
          <w:szCs w:val="21"/>
        </w:rPr>
        <w:t>开标一览表信封封面格式（可以手写，密封）</w:t>
      </w:r>
    </w:p>
    <w:p>
      <w:pPr>
        <w:snapToGrid w:val="0"/>
        <w:spacing w:line="360" w:lineRule="exact"/>
        <w:rPr>
          <w:rFonts w:ascii="宋体" w:hAnsi="宋体"/>
          <w:b/>
          <w:szCs w:val="21"/>
        </w:rPr>
      </w:pPr>
    </w:p>
    <w:p>
      <w:pPr>
        <w:snapToGrid w:val="0"/>
        <w:spacing w:line="600" w:lineRule="exact"/>
        <w:jc w:val="center"/>
        <w:rPr>
          <w:rFonts w:ascii="方正小标宋简体" w:hAnsi="宋体" w:eastAsia="方正小标宋简体"/>
          <w:sz w:val="30"/>
          <w:szCs w:val="30"/>
        </w:rPr>
      </w:pPr>
      <w:r>
        <w:rPr>
          <w:rFonts w:hint="eastAsia" w:ascii="方正小标宋简体" w:eastAsia="方正小标宋简体"/>
          <w:sz w:val="30"/>
          <w:szCs w:val="30"/>
        </w:rPr>
        <w:t>开标一览表文件</w:t>
      </w:r>
    </w:p>
    <w:p>
      <w:pPr>
        <w:pStyle w:val="12"/>
        <w:spacing w:line="420" w:lineRule="exact"/>
        <w:ind w:firstLine="420" w:firstLineChars="200"/>
        <w:rPr>
          <w:rFonts w:hAnsi="宋体"/>
        </w:rPr>
      </w:pPr>
    </w:p>
    <w:p>
      <w:pPr>
        <w:pStyle w:val="12"/>
        <w:spacing w:line="360" w:lineRule="exact"/>
        <w:ind w:firstLine="420" w:firstLineChars="200"/>
        <w:rPr>
          <w:rFonts w:ascii="Times New Roman" w:hAnsi="宋体" w:cs="Times New Roman"/>
          <w:szCs w:val="24"/>
        </w:rPr>
      </w:pPr>
      <w:r>
        <w:rPr>
          <w:rFonts w:hint="eastAsia" w:ascii="Times New Roman" w:hAnsi="宋体" w:cs="Times New Roman"/>
          <w:szCs w:val="24"/>
        </w:rPr>
        <w:t xml:space="preserve">（1） 采购项目名称：                  </w:t>
      </w:r>
    </w:p>
    <w:p>
      <w:pPr>
        <w:pStyle w:val="12"/>
        <w:spacing w:line="360" w:lineRule="exact"/>
        <w:ind w:firstLine="420" w:firstLineChars="200"/>
        <w:rPr>
          <w:rFonts w:ascii="Times New Roman" w:hAnsi="宋体" w:cs="Times New Roman"/>
          <w:szCs w:val="24"/>
        </w:rPr>
      </w:pPr>
      <w:r>
        <w:rPr>
          <w:rFonts w:hint="eastAsia" w:ascii="Times New Roman" w:hAnsi="宋体" w:cs="Times New Roman"/>
          <w:szCs w:val="24"/>
        </w:rPr>
        <w:t xml:space="preserve">（2） 采购项目编号：                  </w:t>
      </w:r>
    </w:p>
    <w:p>
      <w:pPr>
        <w:snapToGrid w:val="0"/>
        <w:spacing w:line="360" w:lineRule="exact"/>
        <w:ind w:firstLine="420" w:firstLineChars="200"/>
        <w:rPr>
          <w:rFonts w:hAnsi="宋体"/>
        </w:rPr>
      </w:pPr>
      <w:r>
        <w:rPr>
          <w:rFonts w:hint="eastAsia" w:hAnsi="宋体"/>
        </w:rPr>
        <w:t>（3） 分标号：</w:t>
      </w:r>
    </w:p>
    <w:p>
      <w:pPr>
        <w:pStyle w:val="12"/>
        <w:spacing w:line="360" w:lineRule="exact"/>
        <w:ind w:firstLine="420" w:firstLineChars="200"/>
        <w:rPr>
          <w:rFonts w:hAnsi="宋体"/>
          <w:u w:val="single"/>
        </w:rPr>
      </w:pPr>
      <w:r>
        <w:rPr>
          <w:rFonts w:hint="eastAsia" w:ascii="Times New Roman" w:hAnsi="宋体" w:cs="Times New Roman"/>
          <w:szCs w:val="24"/>
        </w:rPr>
        <w:t>（4） 投标人名称（加盖公章）：</w:t>
      </w:r>
      <w:r>
        <w:rPr>
          <w:rFonts w:hint="eastAsia" w:hAnsi="宋体"/>
          <w:u w:val="single"/>
        </w:rPr>
        <w:t xml:space="preserve">                  </w:t>
      </w:r>
    </w:p>
    <w:p>
      <w:pPr>
        <w:snapToGrid w:val="0"/>
        <w:spacing w:line="360" w:lineRule="exact"/>
        <w:ind w:firstLine="420" w:firstLineChars="200"/>
        <w:rPr>
          <w:rFonts w:ascii="宋体" w:hAnsi="宋体"/>
          <w:szCs w:val="21"/>
        </w:rPr>
      </w:pPr>
      <w:r>
        <w:rPr>
          <w:rFonts w:hint="eastAsia" w:hAnsi="宋体"/>
        </w:rPr>
        <w:t>（5） 注明“开标时才能启封”</w:t>
      </w:r>
    </w:p>
    <w:p>
      <w:pPr>
        <w:snapToGrid w:val="0"/>
        <w:spacing w:before="50" w:after="50" w:line="360" w:lineRule="exact"/>
        <w:jc w:val="center"/>
        <w:rPr>
          <w:rFonts w:ascii="宋体" w:hAnsi="宋体"/>
          <w:b/>
          <w:szCs w:val="21"/>
        </w:rPr>
      </w:pPr>
    </w:p>
    <w:p>
      <w:pPr>
        <w:snapToGrid w:val="0"/>
        <w:spacing w:before="50" w:after="50" w:line="360" w:lineRule="exact"/>
        <w:rPr>
          <w:rFonts w:ascii="宋体" w:hAnsi="宋体"/>
          <w:b/>
          <w:szCs w:val="21"/>
        </w:rPr>
      </w:pPr>
      <w:r>
        <w:rPr>
          <w:rFonts w:ascii="宋体" w:hAnsi="宋体"/>
          <w:b/>
          <w:szCs w:val="21"/>
        </w:rPr>
        <w:br w:type="page"/>
      </w:r>
      <w:r>
        <w:rPr>
          <w:rFonts w:hint="eastAsia" w:ascii="宋体" w:hAnsi="宋体"/>
          <w:b/>
          <w:szCs w:val="21"/>
        </w:rPr>
        <w:t>3、开标一览表</w:t>
      </w:r>
    </w:p>
    <w:p>
      <w:pPr>
        <w:snapToGrid w:val="0"/>
        <w:spacing w:line="360" w:lineRule="exact"/>
        <w:rPr>
          <w:rFonts w:ascii="宋体" w:hAnsi="宋体"/>
          <w:b/>
          <w:szCs w:val="21"/>
        </w:rPr>
      </w:pPr>
    </w:p>
    <w:p>
      <w:pPr>
        <w:snapToGrid w:val="0"/>
        <w:spacing w:line="600" w:lineRule="exact"/>
        <w:jc w:val="center"/>
        <w:rPr>
          <w:rFonts w:ascii="方正小标宋简体" w:eastAsia="方正小标宋简体"/>
          <w:sz w:val="30"/>
          <w:szCs w:val="30"/>
        </w:rPr>
      </w:pPr>
      <w:r>
        <w:rPr>
          <w:rFonts w:hint="eastAsia" w:ascii="方正小标宋简体" w:eastAsia="方正小标宋简体"/>
          <w:sz w:val="30"/>
          <w:szCs w:val="30"/>
        </w:rPr>
        <w:t>开标一览表</w:t>
      </w:r>
    </w:p>
    <w:p>
      <w:pPr>
        <w:snapToGrid w:val="0"/>
        <w:spacing w:line="360" w:lineRule="exact"/>
        <w:jc w:val="left"/>
      </w:pPr>
      <w:r>
        <w:rPr>
          <w:rFonts w:hint="eastAsia" w:hAnsi="宋体"/>
        </w:rPr>
        <w:t>项目名称：</w:t>
      </w:r>
    </w:p>
    <w:p>
      <w:pPr>
        <w:snapToGrid w:val="0"/>
        <w:spacing w:line="360" w:lineRule="exact"/>
        <w:jc w:val="left"/>
      </w:pPr>
      <w:r>
        <w:rPr>
          <w:rFonts w:hint="eastAsia"/>
        </w:rPr>
        <w:t xml:space="preserve">项目编号：      </w:t>
      </w:r>
    </w:p>
    <w:p>
      <w:pPr>
        <w:snapToGrid w:val="0"/>
        <w:spacing w:line="360" w:lineRule="exact"/>
        <w:jc w:val="left"/>
        <w:rPr>
          <w:rFonts w:ascii="宋体" w:hAnsi="宋体"/>
          <w:b/>
          <w:szCs w:val="21"/>
        </w:rPr>
      </w:pPr>
      <w:r>
        <w:rPr>
          <w:rFonts w:hint="eastAsia"/>
        </w:rPr>
        <w:t xml:space="preserve">                                  </w:t>
      </w:r>
    </w:p>
    <w:p>
      <w:pPr>
        <w:pStyle w:val="12"/>
        <w:snapToGrid w:val="0"/>
        <w:spacing w:after="120" w:afterLines="50" w:line="360" w:lineRule="exact"/>
        <w:ind w:firstLine="1890" w:firstLineChars="900"/>
        <w:rPr>
          <w:rFonts w:hAnsi="宋体"/>
        </w:rPr>
      </w:pPr>
      <w:r>
        <w:rPr>
          <w:rFonts w:hint="eastAsia" w:hAnsi="宋体"/>
        </w:rPr>
        <w:t xml:space="preserve">                                            金额单位：人民币（元）</w:t>
      </w:r>
    </w:p>
    <w:tbl>
      <w:tblPr>
        <w:tblStyle w:val="17"/>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11"/>
        <w:gridCol w:w="2300"/>
        <w:gridCol w:w="2309"/>
        <w:gridCol w:w="1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321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服务项目名称</w:t>
            </w:r>
          </w:p>
        </w:tc>
        <w:tc>
          <w:tcPr>
            <w:tcW w:w="23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服务内容</w:t>
            </w:r>
          </w:p>
        </w:tc>
        <w:tc>
          <w:tcPr>
            <w:tcW w:w="2309"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ascii="宋体" w:eastAsia="宋体"/>
                <w:b w:val="0"/>
                <w:sz w:val="21"/>
                <w:szCs w:val="21"/>
              </w:rPr>
              <w:t>报价（元）</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2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2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51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合计</w:t>
            </w:r>
          </w:p>
        </w:tc>
        <w:tc>
          <w:tcPr>
            <w:tcW w:w="23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3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20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hAnsi="宋体"/>
              </w:rPr>
              <w:t>项目投标总价（</w:t>
            </w:r>
            <w:r>
              <w:rPr>
                <w:rFonts w:hint="eastAsia" w:ascii="宋体" w:hAnsi="宋体"/>
                <w:szCs w:val="21"/>
              </w:rPr>
              <w:t>合计金额大写）：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20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rPr>
            </w:pPr>
            <w:r>
              <w:rPr>
                <w:rFonts w:hint="eastAsia" w:ascii="宋体" w:hAnsi="宋体" w:cs="宋体"/>
              </w:rPr>
              <w:t>服务期：</w:t>
            </w:r>
          </w:p>
        </w:tc>
      </w:tr>
    </w:tbl>
    <w:p>
      <w:pPr>
        <w:snapToGrid w:val="0"/>
        <w:spacing w:line="360" w:lineRule="exact"/>
        <w:jc w:val="left"/>
        <w:rPr>
          <w:rFonts w:ascii="宋体" w:hAnsi="宋体"/>
          <w:szCs w:val="21"/>
        </w:rPr>
      </w:pPr>
      <w:r>
        <w:rPr>
          <w:rFonts w:hint="eastAsia" w:ascii="宋体" w:hAnsi="宋体"/>
          <w:szCs w:val="21"/>
        </w:rPr>
        <w:t>注: 1.报价一经涂改，应在涂改处加盖单位公章或者由法定代表人(负责人)或授权委托人签字或盖章，否则其投标作无效标处理。</w:t>
      </w:r>
    </w:p>
    <w:p>
      <w:pPr>
        <w:snapToGrid w:val="0"/>
        <w:spacing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line="360" w:lineRule="exact"/>
        <w:ind w:firstLine="420" w:firstLineChars="200"/>
        <w:jc w:val="left"/>
        <w:rPr>
          <w:rFonts w:ascii="宋体" w:hAnsi="宋体"/>
          <w:szCs w:val="21"/>
        </w:rPr>
      </w:pPr>
      <w:r>
        <w:rPr>
          <w:rFonts w:hint="eastAsia" w:ascii="宋体" w:hAnsi="宋体"/>
          <w:szCs w:val="21"/>
        </w:rPr>
        <w:t>3.以上报价应与“</w:t>
      </w:r>
      <w:r>
        <w:rPr>
          <w:rFonts w:hint="eastAsia" w:ascii="宋体" w:hAnsi="宋体"/>
          <w:b/>
          <w:szCs w:val="21"/>
        </w:rPr>
        <w:t>投标报价明细表</w:t>
      </w:r>
      <w:r>
        <w:rPr>
          <w:rFonts w:hint="eastAsia" w:ascii="宋体" w:hAnsi="宋体"/>
          <w:szCs w:val="21"/>
        </w:rPr>
        <w:t>”中的“投标总价”相一致。</w:t>
      </w:r>
    </w:p>
    <w:p>
      <w:pPr>
        <w:snapToGrid w:val="0"/>
        <w:spacing w:line="360" w:lineRule="exact"/>
        <w:ind w:firstLine="420" w:firstLineChars="200"/>
        <w:rPr>
          <w:rFonts w:ascii="宋体" w:hAnsi="宋体"/>
          <w:szCs w:val="21"/>
        </w:rPr>
      </w:pPr>
      <w:r>
        <w:rPr>
          <w:rFonts w:hint="eastAsia" w:ascii="宋体" w:hAnsi="宋体"/>
          <w:szCs w:val="21"/>
        </w:rPr>
        <w:t>4.此表要求单独包装、密封、递交，信封封面请注明采购项目名称、采购项目编号、所投所有分标号、投标人名称及“开标一览表”字样。注明“开标时才能启封”。</w:t>
      </w:r>
    </w:p>
    <w:p>
      <w:pPr>
        <w:snapToGrid w:val="0"/>
        <w:spacing w:line="360" w:lineRule="exact"/>
        <w:ind w:left="-2" w:leftChars="-1" w:right="-817" w:rightChars="-389" w:firstLine="420" w:firstLineChars="200"/>
        <w:rPr>
          <w:rFonts w:ascii="宋体" w:hAnsi="宋体"/>
          <w:szCs w:val="21"/>
        </w:rPr>
      </w:pPr>
    </w:p>
    <w:p>
      <w:pPr>
        <w:snapToGrid w:val="0"/>
        <w:spacing w:line="360" w:lineRule="exact"/>
        <w:ind w:left="-2" w:leftChars="-1" w:right="-817" w:rightChars="-389" w:firstLine="420" w:firstLineChars="200"/>
        <w:rPr>
          <w:rFonts w:ascii="宋体" w:hAnsi="宋体"/>
          <w:szCs w:val="21"/>
        </w:rPr>
      </w:pPr>
    </w:p>
    <w:p>
      <w:pPr>
        <w:snapToGrid w:val="0"/>
        <w:spacing w:before="50" w:after="120" w:afterLines="50" w:line="440" w:lineRule="exact"/>
        <w:jc w:val="left"/>
        <w:rPr>
          <w:spacing w:val="20"/>
          <w:sz w:val="22"/>
          <w:szCs w:val="22"/>
        </w:rPr>
      </w:pPr>
      <w:r>
        <w:rPr>
          <w:rFonts w:hint="eastAsia"/>
          <w:sz w:val="22"/>
          <w:szCs w:val="22"/>
        </w:rPr>
        <w:t xml:space="preserve"> 投标人：</w:t>
      </w:r>
      <w:r>
        <w:rPr>
          <w:sz w:val="20"/>
          <w:szCs w:val="20"/>
          <w:u w:val="single"/>
        </w:rPr>
        <w:t xml:space="preserve">                          </w:t>
      </w:r>
      <w:r>
        <w:rPr>
          <w:rFonts w:hint="eastAsia"/>
          <w:sz w:val="20"/>
          <w:szCs w:val="20"/>
        </w:rPr>
        <w:t>（盖单位章）</w:t>
      </w:r>
      <w:r>
        <w:rPr>
          <w:spacing w:val="20"/>
          <w:sz w:val="22"/>
          <w:szCs w:val="22"/>
        </w:rPr>
        <w:t xml:space="preserve">  </w:t>
      </w:r>
    </w:p>
    <w:p>
      <w:pPr>
        <w:snapToGrid w:val="0"/>
        <w:spacing w:before="50" w:after="50" w:line="440" w:lineRule="exact"/>
        <w:ind w:firstLine="220" w:firstLineChars="100"/>
        <w:rPr>
          <w:spacing w:val="20"/>
          <w:sz w:val="22"/>
          <w:szCs w:val="22"/>
        </w:rPr>
      </w:pPr>
      <w:r>
        <w:rPr>
          <w:sz w:val="22"/>
          <w:szCs w:val="22"/>
        </w:rPr>
        <w:t>法定代表人</w:t>
      </w:r>
      <w:r>
        <w:rPr>
          <w:rFonts w:hint="eastAsia"/>
          <w:sz w:val="22"/>
          <w:szCs w:val="22"/>
        </w:rPr>
        <w:t>或授权委托人</w:t>
      </w:r>
      <w:r>
        <w:rPr>
          <w:sz w:val="22"/>
          <w:szCs w:val="22"/>
        </w:rPr>
        <w:t>签字</w:t>
      </w:r>
      <w:r>
        <w:rPr>
          <w:spacing w:val="20"/>
          <w:sz w:val="22"/>
          <w:szCs w:val="22"/>
        </w:rPr>
        <w:t>：</w:t>
      </w:r>
      <w:r>
        <w:rPr>
          <w:spacing w:val="20"/>
          <w:sz w:val="22"/>
          <w:szCs w:val="22"/>
          <w:u w:val="single"/>
        </w:rPr>
        <w:t xml:space="preserve">            </w:t>
      </w:r>
      <w:r>
        <w:rPr>
          <w:spacing w:val="20"/>
          <w:sz w:val="22"/>
          <w:szCs w:val="22"/>
        </w:rPr>
        <w:t xml:space="preserve">           </w:t>
      </w:r>
    </w:p>
    <w:p>
      <w:pPr>
        <w:snapToGrid w:val="0"/>
        <w:spacing w:before="50" w:after="120" w:afterLines="50" w:line="440" w:lineRule="exact"/>
        <w:jc w:val="left"/>
        <w:rPr>
          <w:spacing w:val="20"/>
          <w:sz w:val="22"/>
          <w:szCs w:val="22"/>
          <w:u w:val="single"/>
        </w:rPr>
      </w:pPr>
      <w:r>
        <w:rPr>
          <w:rFonts w:hint="eastAsia"/>
          <w:spacing w:val="20"/>
          <w:sz w:val="22"/>
          <w:szCs w:val="22"/>
        </w:rPr>
        <w:t xml:space="preserve">  </w:t>
      </w:r>
      <w:r>
        <w:rPr>
          <w:spacing w:val="20"/>
          <w:sz w:val="22"/>
          <w:szCs w:val="22"/>
        </w:rPr>
        <w:t>日  期：</w:t>
      </w:r>
      <w:r>
        <w:rPr>
          <w:spacing w:val="20"/>
          <w:sz w:val="22"/>
          <w:szCs w:val="22"/>
          <w:u w:val="single"/>
        </w:rPr>
        <w:t xml:space="preserve">        </w:t>
      </w:r>
    </w:p>
    <w:p>
      <w:pPr>
        <w:snapToGrid w:val="0"/>
        <w:spacing w:line="360" w:lineRule="exact"/>
        <w:ind w:right="-817" w:rightChars="-389" w:firstLine="420" w:firstLineChars="200"/>
        <w:rPr>
          <w:rFonts w:ascii="宋体" w:hAnsi="宋体"/>
          <w:szCs w:val="21"/>
        </w:rPr>
      </w:pPr>
    </w:p>
    <w:p>
      <w:pPr>
        <w:snapToGrid w:val="0"/>
        <w:spacing w:line="360" w:lineRule="exact"/>
        <w:ind w:right="-817" w:rightChars="-389" w:firstLine="562" w:firstLineChars="200"/>
        <w:rPr>
          <w:rFonts w:ascii="宋体" w:hAnsi="宋体"/>
          <w:b/>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pStyle w:val="12"/>
        <w:jc w:val="center"/>
        <w:rPr>
          <w:rFonts w:ascii="Times New Roman" w:hAnsi="Times New Roman"/>
          <w:b/>
          <w:sz w:val="30"/>
          <w:szCs w:val="30"/>
        </w:rPr>
      </w:pPr>
    </w:p>
    <w:p>
      <w:pPr>
        <w:pStyle w:val="12"/>
        <w:ind w:left="420" w:firstLine="2329" w:firstLineChars="725"/>
        <w:rPr>
          <w:rFonts w:ascii="Times New Roman" w:hAnsi="Times New Roman"/>
          <w:b/>
          <w:sz w:val="32"/>
          <w:szCs w:val="32"/>
        </w:rPr>
      </w:pPr>
      <w:r>
        <w:rPr>
          <w:rFonts w:hint="eastAsia" w:ascii="Times New Roman" w:hAnsi="Times New Roman"/>
          <w:b/>
          <w:sz w:val="32"/>
          <w:szCs w:val="32"/>
        </w:rPr>
        <w:t>4、中小企业声明函（格式）</w:t>
      </w:r>
    </w:p>
    <w:p>
      <w:pPr>
        <w:pStyle w:val="6"/>
        <w:ind w:left="420"/>
        <w:jc w:val="both"/>
      </w:pPr>
    </w:p>
    <w:p>
      <w:pPr>
        <w:pStyle w:val="10"/>
        <w:ind w:firstLine="739"/>
        <w:rPr>
          <w:sz w:val="21"/>
          <w:szCs w:val="21"/>
        </w:rPr>
      </w:pPr>
      <w:r>
        <w:rPr>
          <w:rFonts w:hint="eastAsia" w:hAnsi="宋体"/>
          <w:sz w:val="21"/>
          <w:szCs w:val="21"/>
        </w:rPr>
        <w:t>说明：</w:t>
      </w:r>
    </w:p>
    <w:p>
      <w:pPr>
        <w:pStyle w:val="10"/>
        <w:ind w:firstLine="420" w:firstLineChars="200"/>
        <w:rPr>
          <w:sz w:val="21"/>
          <w:szCs w:val="21"/>
        </w:rPr>
      </w:pPr>
      <w:r>
        <w:rPr>
          <w:sz w:val="21"/>
          <w:szCs w:val="21"/>
        </w:rPr>
        <w:t>1</w:t>
      </w:r>
      <w:r>
        <w:rPr>
          <w:rFonts w:hint="eastAsia" w:hAnsi="宋体"/>
          <w:sz w:val="21"/>
          <w:szCs w:val="21"/>
        </w:rPr>
        <w:t>、本声明函主要供参加政府采购活动的中小企业填写，非中小企业无需填写。</w:t>
      </w:r>
    </w:p>
    <w:p>
      <w:pPr>
        <w:pStyle w:val="10"/>
        <w:ind w:firstLine="420" w:firstLineChars="200"/>
        <w:rPr>
          <w:rFonts w:hAnsi="宋体"/>
          <w:sz w:val="21"/>
          <w:szCs w:val="21"/>
        </w:rPr>
      </w:pPr>
      <w:r>
        <w:rPr>
          <w:sz w:val="21"/>
          <w:szCs w:val="21"/>
        </w:rPr>
        <w:t>2</w:t>
      </w:r>
      <w:r>
        <w:rPr>
          <w:rFonts w:hint="eastAsia" w:hAnsi="宋体"/>
          <w:sz w:val="21"/>
          <w:szCs w:val="21"/>
        </w:rPr>
        <w:t>、小型、微型企业提供中型企业制造的货物的，视同为中型企业。</w:t>
      </w:r>
    </w:p>
    <w:p>
      <w:pPr>
        <w:pStyle w:val="10"/>
        <w:ind w:firstLine="420" w:firstLineChars="200"/>
        <w:rPr>
          <w:rFonts w:hAnsi="宋体"/>
          <w:sz w:val="21"/>
          <w:szCs w:val="21"/>
        </w:rPr>
      </w:pPr>
      <w:r>
        <w:rPr>
          <w:rFonts w:hAnsi="宋体"/>
          <w:sz w:val="21"/>
          <w:szCs w:val="21"/>
        </w:rPr>
        <w:t>3</w:t>
      </w:r>
      <w:r>
        <w:rPr>
          <w:rFonts w:hint="eastAsia" w:hAnsi="宋体"/>
          <w:sz w:val="21"/>
          <w:szCs w:val="21"/>
        </w:rPr>
        <w:t>、投标人按《财政部、司法部关于政府采购支持监狱企业发展有关问题的通知》（财库〔</w:t>
      </w:r>
      <w:r>
        <w:rPr>
          <w:rFonts w:hAnsi="宋体"/>
          <w:sz w:val="21"/>
          <w:szCs w:val="21"/>
        </w:rPr>
        <w:t>2014</w:t>
      </w:r>
      <w:r>
        <w:rPr>
          <w:rFonts w:hint="eastAsia" w:hAnsi="宋体"/>
          <w:sz w:val="21"/>
          <w:szCs w:val="21"/>
        </w:rPr>
        <w:t>〕</w:t>
      </w:r>
      <w:r>
        <w:rPr>
          <w:rFonts w:hAnsi="宋体"/>
          <w:sz w:val="21"/>
          <w:szCs w:val="21"/>
        </w:rPr>
        <w:t>68</w:t>
      </w:r>
      <w:r>
        <w:rPr>
          <w:rFonts w:hint="eastAsia" w:hAnsi="宋体"/>
          <w:sz w:val="21"/>
          <w:szCs w:val="21"/>
        </w:rPr>
        <w:t>号）认定为监狱企业，且提供由省级以上监狱管理局、戒毒管理局（含新疆生产建设兵团）出具的属于监狱企业的证明文件的，视同小型、微型企业。</w:t>
      </w:r>
    </w:p>
    <w:p>
      <w:pPr>
        <w:pStyle w:val="10"/>
        <w:spacing w:line="360" w:lineRule="auto"/>
        <w:ind w:firstLine="420" w:firstLineChars="200"/>
        <w:rPr>
          <w:sz w:val="21"/>
          <w:szCs w:val="21"/>
        </w:rPr>
      </w:pPr>
      <w:r>
        <w:rPr>
          <w:rFonts w:hint="eastAsia"/>
          <w:sz w:val="21"/>
          <w:szCs w:val="21"/>
        </w:rPr>
        <w:t>4、须提供相关职能部门出具的证明文件。</w:t>
      </w:r>
    </w:p>
    <w:p>
      <w:pPr>
        <w:pStyle w:val="12"/>
        <w:spacing w:line="360" w:lineRule="auto"/>
        <w:ind w:firstLine="420" w:firstLineChars="200"/>
        <w:rPr>
          <w:rFonts w:ascii="Times New Roman" w:hAnsi="Times New Roman"/>
        </w:rPr>
      </w:pPr>
      <w:r>
        <w:rPr>
          <w:rFonts w:hint="eastAsia" w:ascii="Times New Roman" w:hAnsi="Times New Roman"/>
        </w:rPr>
        <w:t>本公司郑重声明，根据《政府采购促进中小企业发展暂行办法》（财库〔</w:t>
      </w:r>
      <w:r>
        <w:rPr>
          <w:rFonts w:ascii="Times New Roman" w:hAnsi="Times New Roman"/>
        </w:rPr>
        <w:t>2011</w:t>
      </w:r>
      <w:r>
        <w:rPr>
          <w:rFonts w:hint="eastAsia" w:ascii="Times New Roman" w:hAnsi="Times New Roman"/>
        </w:rPr>
        <w:t>〕</w:t>
      </w:r>
      <w:r>
        <w:rPr>
          <w:rFonts w:ascii="Times New Roman" w:hAnsi="Times New Roman"/>
        </w:rPr>
        <w:t>181</w:t>
      </w:r>
      <w:r>
        <w:rPr>
          <w:rFonts w:hint="eastAsia" w:ascii="Times New Roman" w:hAnsi="Times New Roman"/>
        </w:rPr>
        <w:t>号）的规定，本公司为</w:t>
      </w:r>
      <w:r>
        <w:rPr>
          <w:rFonts w:ascii="Times New Roman" w:hAnsi="Times New Roman"/>
        </w:rPr>
        <w:t>______</w:t>
      </w:r>
      <w:r>
        <w:rPr>
          <w:rFonts w:hint="eastAsia" w:ascii="Times New Roman" w:hAnsi="Times New Roman"/>
        </w:rPr>
        <w:t>（请填写：中型、小型、微型）企业。即，本公司同时满足以下条件：</w:t>
      </w:r>
    </w:p>
    <w:p>
      <w:pPr>
        <w:pStyle w:val="12"/>
        <w:spacing w:line="360" w:lineRule="auto"/>
        <w:ind w:firstLine="420" w:firstLineChars="200"/>
        <w:rPr>
          <w:rFonts w:ascii="Times New Roman" w:hAnsi="Times New Roman"/>
        </w:rPr>
      </w:pPr>
      <w:r>
        <w:rPr>
          <w:rFonts w:ascii="Times New Roman" w:hAnsi="Times New Roman"/>
        </w:rPr>
        <w:t>1</w:t>
      </w:r>
      <w:r>
        <w:rPr>
          <w:rFonts w:hint="eastAsia" w:ascii="Times New Roman" w:hAnsi="宋体"/>
        </w:rPr>
        <w:t>．</w:t>
      </w:r>
      <w:r>
        <w:rPr>
          <w:rFonts w:hint="eastAsia" w:ascii="Times New Roman" w:hAnsi="Times New Roman"/>
        </w:rPr>
        <w:t>根据《工业和信息化部、国家统计局、国家发展和改革委员会、财政部关于印发中小企业划型标准规定的通知》（工信部联企业〔</w:t>
      </w:r>
      <w:r>
        <w:rPr>
          <w:rFonts w:ascii="Times New Roman" w:hAnsi="Times New Roman"/>
        </w:rPr>
        <w:t>2011</w:t>
      </w:r>
      <w:r>
        <w:rPr>
          <w:rFonts w:hint="eastAsia" w:ascii="Times New Roman" w:hAnsi="Times New Roman"/>
        </w:rPr>
        <w:t>〕</w:t>
      </w:r>
      <w:r>
        <w:rPr>
          <w:rFonts w:ascii="Times New Roman" w:hAnsi="Times New Roman"/>
        </w:rPr>
        <w:t>300</w:t>
      </w:r>
      <w:r>
        <w:rPr>
          <w:rFonts w:hint="eastAsia" w:ascii="Times New Roman" w:hAnsi="Times New Roman"/>
        </w:rPr>
        <w:t>号）规定的划分标准，本公司为</w:t>
      </w:r>
      <w:r>
        <w:rPr>
          <w:rFonts w:ascii="Times New Roman" w:hAnsi="Times New Roman"/>
        </w:rPr>
        <w:t>______</w:t>
      </w:r>
      <w:r>
        <w:rPr>
          <w:rFonts w:hint="eastAsia" w:ascii="Times New Roman" w:hAnsi="Times New Roman"/>
        </w:rPr>
        <w:t>（请填写：中型、小型、微型）企业。</w:t>
      </w:r>
    </w:p>
    <w:p>
      <w:pPr>
        <w:pStyle w:val="12"/>
        <w:spacing w:line="360" w:lineRule="auto"/>
        <w:ind w:firstLine="420" w:firstLineChars="200"/>
        <w:rPr>
          <w:rFonts w:ascii="Times New Roman" w:hAnsi="Times New Roman"/>
        </w:rPr>
      </w:pPr>
      <w:r>
        <w:rPr>
          <w:rFonts w:ascii="Times New Roman" w:hAnsi="Times New Roman"/>
        </w:rPr>
        <w:t>2</w:t>
      </w:r>
      <w:r>
        <w:rPr>
          <w:rFonts w:hint="eastAsia" w:ascii="Times New Roman" w:hAnsi="宋体"/>
        </w:rPr>
        <w:t>．</w:t>
      </w:r>
      <w:r>
        <w:rPr>
          <w:rFonts w:hint="eastAsia" w:ascii="Times New Roman" w:hAnsi="Times New Roman"/>
        </w:rPr>
        <w:t>本公司参加</w:t>
      </w:r>
      <w:r>
        <w:rPr>
          <w:rFonts w:ascii="Times New Roman" w:hAnsi="Times New Roman"/>
        </w:rPr>
        <w:t>______</w:t>
      </w:r>
      <w:r>
        <w:rPr>
          <w:rFonts w:hint="eastAsia" w:ascii="Times New Roman" w:hAnsi="Times New Roman"/>
        </w:rPr>
        <w:t>单位的</w:t>
      </w:r>
      <w:r>
        <w:rPr>
          <w:rFonts w:ascii="Times New Roman" w:hAnsi="Times New Roman"/>
        </w:rPr>
        <w:t>______</w:t>
      </w:r>
      <w:r>
        <w:rPr>
          <w:rFonts w:hint="eastAsia" w:ascii="Times New Roman" w:hAnsi="Times New Roman"/>
        </w:rPr>
        <w:t>项目采购活动提供本企业制造的货物，由本企业承担工程、提供服务，或者提供其他</w:t>
      </w:r>
      <w:r>
        <w:rPr>
          <w:rFonts w:ascii="Times New Roman" w:hAnsi="Times New Roman"/>
        </w:rPr>
        <w:t>______</w:t>
      </w:r>
      <w:r>
        <w:rPr>
          <w:rFonts w:hint="eastAsia" w:ascii="Times New Roman" w:hAnsi="Times New Roman"/>
        </w:rPr>
        <w:t>（请填写：中型、小型、微型）企业制造的货物。本条所称货物不包括使用大型企业注册商标的货物。</w:t>
      </w:r>
    </w:p>
    <w:p>
      <w:pPr>
        <w:pStyle w:val="12"/>
        <w:spacing w:line="360" w:lineRule="auto"/>
        <w:ind w:firstLine="420" w:firstLineChars="200"/>
        <w:rPr>
          <w:rFonts w:ascii="Times New Roman" w:hAnsi="Times New Roman"/>
        </w:rPr>
      </w:pPr>
      <w:r>
        <w:rPr>
          <w:rFonts w:hint="eastAsia" w:ascii="Times New Roman" w:hAnsi="Times New Roman"/>
        </w:rPr>
        <w:t>本公司对上述声明的真实性负责。如有虚假，将依法承担相应责任。</w:t>
      </w:r>
    </w:p>
    <w:p>
      <w:pPr>
        <w:pStyle w:val="12"/>
        <w:spacing w:line="360" w:lineRule="auto"/>
        <w:ind w:firstLine="420" w:firstLineChars="200"/>
        <w:rPr>
          <w:rFonts w:ascii="Times New Roman" w:hAnsi="Times New Roman"/>
        </w:rPr>
      </w:pPr>
    </w:p>
    <w:p>
      <w:pPr>
        <w:pStyle w:val="12"/>
        <w:spacing w:line="360" w:lineRule="auto"/>
        <w:ind w:firstLine="420" w:firstLineChars="200"/>
        <w:rPr>
          <w:rFonts w:ascii="Times New Roman" w:hAnsi="Times New Roman"/>
        </w:rPr>
      </w:pPr>
    </w:p>
    <w:p>
      <w:pPr>
        <w:pStyle w:val="12"/>
        <w:spacing w:line="360" w:lineRule="auto"/>
        <w:ind w:firstLine="420" w:firstLineChars="200"/>
      </w:pPr>
    </w:p>
    <w:p>
      <w:pPr>
        <w:pStyle w:val="12"/>
        <w:spacing w:line="600" w:lineRule="exact"/>
        <w:rPr>
          <w:rFonts w:ascii="Times New Roman" w:hAnsi="Times New Roman"/>
          <w:u w:val="single"/>
        </w:rPr>
      </w:pPr>
      <w:r>
        <w:rPr>
          <w:rFonts w:hint="eastAsia" w:ascii="Times New Roman" w:hAnsi="Times New Roman"/>
        </w:rPr>
        <w:t>投标人（盖单位公章）：</w:t>
      </w:r>
    </w:p>
    <w:p>
      <w:pPr>
        <w:pStyle w:val="12"/>
        <w:spacing w:line="500" w:lineRule="exact"/>
        <w:rPr>
          <w:rFonts w:ascii="Times New Roman" w:hAnsi="Times New Roman"/>
          <w:u w:val="single"/>
        </w:rPr>
      </w:pPr>
      <w:r>
        <w:rPr>
          <w:rFonts w:hint="eastAsia" w:ascii="Times New Roman" w:hAnsi="Times New Roman"/>
        </w:rPr>
        <w:t>法定代表人或其委托代理人（签字或盖章）：</w:t>
      </w:r>
    </w:p>
    <w:p>
      <w:pPr>
        <w:pStyle w:val="12"/>
        <w:spacing w:line="360" w:lineRule="auto"/>
        <w:ind w:firstLine="420" w:firstLineChars="200"/>
        <w:rPr>
          <w:bCs/>
        </w:rPr>
      </w:pPr>
      <w:r>
        <w:rPr>
          <w:rFonts w:hint="eastAsia"/>
          <w:bCs/>
        </w:rPr>
        <w:t>年   月   日</w:t>
      </w:r>
    </w:p>
    <w:p>
      <w:pPr>
        <w:rPr>
          <w:bCs/>
          <w:szCs w:val="21"/>
        </w:rPr>
      </w:pPr>
    </w:p>
    <w:p>
      <w:pPr>
        <w:rPr>
          <w:bCs/>
          <w:szCs w:val="21"/>
        </w:rPr>
      </w:pPr>
    </w:p>
    <w:p>
      <w:pPr>
        <w:rPr>
          <w:rFonts w:ascii="Arial" w:hAnsi="Arial" w:cs="Arial"/>
          <w:szCs w:val="21"/>
        </w:rPr>
      </w:pPr>
      <w:r>
        <w:rPr>
          <w:rFonts w:hint="eastAsia" w:ascii="Arial" w:hAnsi="Arial" w:cs="Arial"/>
          <w:szCs w:val="21"/>
        </w:rPr>
        <w:t>注：</w:t>
      </w:r>
      <w:r>
        <w:rPr>
          <w:rFonts w:ascii="Arial" w:hAnsi="Arial" w:cs="Arial"/>
          <w:szCs w:val="21"/>
        </w:rPr>
        <w:t>小、微企业 的应按《工业和信息化部、国家统计局、国家发展和改革委员会、财政部关于印发中小企业划型标准规定的通知》（工信部联企业[2011]300号）的规定提供真实的充分的证明材料，包括但不限于企业经会计师事务所审计的2</w:t>
      </w:r>
      <w:r>
        <w:rPr>
          <w:rFonts w:hint="eastAsia" w:ascii="Arial" w:hAnsi="Arial" w:cs="Arial"/>
          <w:szCs w:val="21"/>
        </w:rPr>
        <w:t>017</w:t>
      </w:r>
      <w:r>
        <w:rPr>
          <w:rFonts w:ascii="Arial" w:hAnsi="Arial" w:cs="Arial"/>
          <w:szCs w:val="21"/>
        </w:rPr>
        <w:t>年度的财务报表和审计报告，企业在册正式员工的社保证明等资料。</w:t>
      </w:r>
    </w:p>
    <w:bookmarkEnd w:id="0"/>
    <w:bookmarkEnd w:id="1"/>
    <w:p>
      <w:pPr>
        <w:spacing w:line="588" w:lineRule="exact"/>
        <w:jc w:val="center"/>
        <w:rPr>
          <w:rFonts w:ascii="宋体" w:hAnsi="宋体"/>
          <w:b/>
          <w:spacing w:val="6"/>
          <w:sz w:val="32"/>
          <w:szCs w:val="32"/>
        </w:rPr>
      </w:pPr>
      <w:bookmarkStart w:id="122" w:name="OLE_LINK14"/>
    </w:p>
    <w:p>
      <w:pPr>
        <w:spacing w:line="588" w:lineRule="exact"/>
        <w:jc w:val="center"/>
        <w:rPr>
          <w:rFonts w:ascii="宋体" w:hAnsi="宋体"/>
          <w:b/>
          <w:spacing w:val="6"/>
          <w:sz w:val="32"/>
          <w:szCs w:val="32"/>
        </w:rPr>
      </w:pPr>
    </w:p>
    <w:p>
      <w:pPr>
        <w:pStyle w:val="3"/>
        <w:rPr>
          <w:rFonts w:ascii="宋体" w:hAnsi="宋体"/>
          <w:b/>
          <w:spacing w:val="6"/>
          <w:sz w:val="32"/>
          <w:szCs w:val="32"/>
        </w:rPr>
      </w:pPr>
    </w:p>
    <w:p>
      <w:pPr>
        <w:pStyle w:val="3"/>
        <w:rPr>
          <w:rFonts w:ascii="宋体" w:hAnsi="宋体"/>
          <w:b/>
          <w:spacing w:val="6"/>
          <w:sz w:val="32"/>
          <w:szCs w:val="32"/>
        </w:rPr>
      </w:pPr>
    </w:p>
    <w:p>
      <w:pPr>
        <w:spacing w:line="588" w:lineRule="exact"/>
        <w:rPr>
          <w:rFonts w:ascii="宋体" w:hAnsi="宋体"/>
          <w:b/>
          <w:spacing w:val="6"/>
          <w:sz w:val="32"/>
          <w:szCs w:val="32"/>
        </w:rPr>
      </w:pPr>
    </w:p>
    <w:p>
      <w:pPr>
        <w:spacing w:line="588" w:lineRule="exact"/>
        <w:jc w:val="center"/>
        <w:rPr>
          <w:rFonts w:ascii="宋体" w:hAnsi="宋体"/>
          <w:b/>
          <w:spacing w:val="6"/>
          <w:sz w:val="32"/>
          <w:szCs w:val="32"/>
        </w:rPr>
      </w:pPr>
      <w:r>
        <w:rPr>
          <w:rFonts w:hint="eastAsia" w:ascii="宋体" w:hAnsi="宋体"/>
          <w:b/>
          <w:spacing w:val="6"/>
          <w:sz w:val="32"/>
          <w:szCs w:val="32"/>
        </w:rPr>
        <w:t>5、残疾人福利性单位声明函</w:t>
      </w:r>
    </w:p>
    <w:bookmarkEnd w:id="122"/>
    <w:p>
      <w:pPr>
        <w:spacing w:line="588" w:lineRule="exact"/>
        <w:rPr>
          <w:rFonts w:ascii="宋体" w:hAnsi="宋体"/>
          <w:b/>
          <w:spacing w:val="6"/>
          <w:szCs w:val="21"/>
        </w:rPr>
      </w:pP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hint="eastAsia" w:ascii="宋体" w:hAnsi="宋体"/>
          <w:spacing w:val="6"/>
          <w:szCs w:val="21"/>
          <w:u w:val="single"/>
        </w:rPr>
        <w:t xml:space="preserve">                     </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20" w:firstLineChars="200"/>
        <w:jc w:val="center"/>
        <w:rPr>
          <w:rFonts w:ascii="宋体"/>
        </w:rPr>
      </w:pPr>
      <w:r>
        <w:rPr>
          <w:rFonts w:ascii="宋体"/>
        </w:rPr>
        <w:t xml:space="preserve">              </w:t>
      </w:r>
      <w:r>
        <w:rPr>
          <w:rFonts w:hint="eastAsia" w:ascii="宋体"/>
        </w:rPr>
        <w:t xml:space="preserve">       </w:t>
      </w:r>
      <w:r>
        <w:rPr>
          <w:rFonts w:ascii="宋体"/>
        </w:rPr>
        <w:t xml:space="preserve"> </w:t>
      </w:r>
      <w:r>
        <w:rPr>
          <w:rFonts w:hint="eastAsia" w:ascii="宋体"/>
        </w:rPr>
        <w:t>单位名称（盖章）：</w:t>
      </w:r>
    </w:p>
    <w:p>
      <w:pPr>
        <w:tabs>
          <w:tab w:val="left" w:pos="4860"/>
        </w:tabs>
        <w:spacing w:line="588" w:lineRule="exact"/>
        <w:ind w:right="1560" w:firstLine="420" w:firstLineChars="200"/>
        <w:jc w:val="center"/>
        <w:rPr>
          <w:rFonts w:ascii="宋体" w:hAnsi="Courier New"/>
          <w:b/>
          <w:bCs/>
        </w:rPr>
      </w:pPr>
      <w:r>
        <w:t xml:space="preserve">       </w:t>
      </w:r>
      <w:r>
        <w:rPr>
          <w:rFonts w:hint="eastAsia"/>
        </w:rPr>
        <w:t xml:space="preserve">                         日</w:t>
      </w:r>
      <w:r>
        <w:t xml:space="preserve">  </w:t>
      </w:r>
      <w:r>
        <w:rPr>
          <w:rFonts w:hint="eastAsia"/>
        </w:rPr>
        <w:t>期：</w:t>
      </w:r>
      <w:r>
        <w:rPr>
          <w:rFonts w:hint="eastAsia" w:ascii="宋体" w:hAnsi="Courier New"/>
          <w:b/>
          <w:bCs/>
        </w:rPr>
        <w:t xml:space="preserve">  </w:t>
      </w:r>
    </w:p>
    <w:p/>
    <w:p/>
    <w:sectPr>
      <w:pgSz w:w="11906" w:h="16838"/>
      <w:pgMar w:top="1276" w:right="1418" w:bottom="127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6061" w:y="14"/>
      <w:jc w:val="center"/>
      <w:rPr>
        <w:rStyle w:val="21"/>
      </w:rPr>
    </w:pPr>
    <w:r>
      <w:fldChar w:fldCharType="begin"/>
    </w:r>
    <w:r>
      <w:rPr>
        <w:rStyle w:val="21"/>
      </w:rPr>
      <w:instrText xml:space="preserve">PAGE  </w:instrText>
    </w:r>
    <w:r>
      <w:fldChar w:fldCharType="separate"/>
    </w:r>
    <w:r>
      <w:rPr>
        <w:rStyle w:val="21"/>
      </w:rPr>
      <w:t>20</w:t>
    </w:r>
    <w:r>
      <w:fldChar w:fldCharType="end"/>
    </w:r>
  </w:p>
  <w:p>
    <w:pPr>
      <w:pStyle w:val="1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pStyle w:val="14"/>
      <w:ind w:right="-2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04"/>
        <w:tab w:val="clear" w:pos="4153"/>
      </w:tabs>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677A0"/>
    <w:multiLevelType w:val="singleLevel"/>
    <w:tmpl w:val="98B677A0"/>
    <w:lvl w:ilvl="0" w:tentative="0">
      <w:start w:val="6"/>
      <w:numFmt w:val="chineseCounting"/>
      <w:suff w:val="nothing"/>
      <w:lvlText w:val="%1、"/>
      <w:lvlJc w:val="left"/>
      <w:rPr>
        <w:rFonts w:hint="eastAsia"/>
      </w:rPr>
    </w:lvl>
  </w:abstractNum>
  <w:abstractNum w:abstractNumId="1">
    <w:nsid w:val="A0432B97"/>
    <w:multiLevelType w:val="singleLevel"/>
    <w:tmpl w:val="A0432B97"/>
    <w:lvl w:ilvl="0" w:tentative="0">
      <w:start w:val="14"/>
      <w:numFmt w:val="decimal"/>
      <w:suff w:val="nothing"/>
      <w:lvlText w:val="（%1）"/>
      <w:lvlJc w:val="left"/>
    </w:lvl>
  </w:abstractNum>
  <w:abstractNum w:abstractNumId="2">
    <w:nsid w:val="00000014"/>
    <w:multiLevelType w:val="multilevel"/>
    <w:tmpl w:val="0000001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9"/>
    <w:multiLevelType w:val="multilevel"/>
    <w:tmpl w:val="00000019"/>
    <w:lvl w:ilvl="0" w:tentative="0">
      <w:start w:val="1"/>
      <w:numFmt w:val="decimal"/>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C"/>
    <w:multiLevelType w:val="multilevel"/>
    <w:tmpl w:val="0000001C"/>
    <w:lvl w:ilvl="0" w:tentative="0">
      <w:start w:val="1"/>
      <w:numFmt w:val="decimal"/>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decimal"/>
      <w:lvlText w:val="%3．"/>
      <w:lvlJc w:val="left"/>
      <w:pPr>
        <w:ind w:left="1635" w:hanging="375"/>
      </w:pPr>
      <w:rPr>
        <w:rFonts w:hint="default"/>
        <w:b w:val="0"/>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E"/>
    <w:multiLevelType w:val="multilevel"/>
    <w:tmpl w:val="0000001E"/>
    <w:lvl w:ilvl="0" w:tentative="0">
      <w:start w:val="1"/>
      <w:numFmt w:val="decimal"/>
      <w:lvlText w:val="（%1）"/>
      <w:lvlJc w:val="left"/>
      <w:pPr>
        <w:ind w:left="1815" w:hanging="915"/>
      </w:pPr>
      <w:rPr>
        <w:rFonts w:hint="default"/>
      </w:rPr>
    </w:lvl>
    <w:lvl w:ilvl="1" w:tentative="0">
      <w:start w:val="1"/>
      <w:numFmt w:val="decimal"/>
      <w:lvlText w:val="%2．"/>
      <w:lvlJc w:val="left"/>
      <w:pPr>
        <w:ind w:left="3255" w:hanging="3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5233D5E"/>
    <w:multiLevelType w:val="singleLevel"/>
    <w:tmpl w:val="05233D5E"/>
    <w:lvl w:ilvl="0" w:tentative="0">
      <w:start w:val="4"/>
      <w:numFmt w:val="decimal"/>
      <w:suff w:val="nothing"/>
      <w:lvlText w:val="（%1）"/>
      <w:lvlJc w:val="left"/>
    </w:lvl>
  </w:abstractNum>
  <w:abstractNum w:abstractNumId="7">
    <w:nsid w:val="1A590F4A"/>
    <w:multiLevelType w:val="multilevel"/>
    <w:tmpl w:val="1A590F4A"/>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3373ED1"/>
    <w:multiLevelType w:val="multilevel"/>
    <w:tmpl w:val="23373ED1"/>
    <w:lvl w:ilvl="0" w:tentative="0">
      <w:start w:val="1"/>
      <w:numFmt w:val="decimal"/>
      <w:lvlText w:val="（%1）"/>
      <w:lvlJc w:val="left"/>
      <w:pPr>
        <w:ind w:left="840" w:hanging="360"/>
      </w:pPr>
      <w:rPr>
        <w:rFonts w:hint="default"/>
        <w:i w:val="0"/>
        <w:color w:val="000000" w:themeColor="text1"/>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E8E2DE1"/>
    <w:multiLevelType w:val="multilevel"/>
    <w:tmpl w:val="2E8E2DE1"/>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5524BE"/>
    <w:multiLevelType w:val="multilevel"/>
    <w:tmpl w:val="395524BE"/>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A784A1D"/>
    <w:multiLevelType w:val="multilevel"/>
    <w:tmpl w:val="3A784A1D"/>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B3B564D"/>
    <w:multiLevelType w:val="multilevel"/>
    <w:tmpl w:val="4B3B564D"/>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080119D"/>
    <w:multiLevelType w:val="multilevel"/>
    <w:tmpl w:val="5080119D"/>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9FF173F"/>
    <w:multiLevelType w:val="multilevel"/>
    <w:tmpl w:val="69FF173F"/>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13"/>
  </w:num>
  <w:num w:numId="4">
    <w:abstractNumId w:val="14"/>
  </w:num>
  <w:num w:numId="5">
    <w:abstractNumId w:val="10"/>
  </w:num>
  <w:num w:numId="6">
    <w:abstractNumId w:val="12"/>
  </w:num>
  <w:num w:numId="7">
    <w:abstractNumId w:val="9"/>
  </w:num>
  <w:num w:numId="8">
    <w:abstractNumId w:val="7"/>
  </w:num>
  <w:num w:numId="9">
    <w:abstractNumId w:val="11"/>
  </w:num>
  <w:num w:numId="10">
    <w:abstractNumId w:val="8"/>
  </w:num>
  <w:num w:numId="11">
    <w:abstractNumId w:val="1"/>
  </w:num>
  <w:num w:numId="12">
    <w:abstractNumId w:val="2"/>
  </w:num>
  <w:num w:numId="13">
    <w:abstractNumId w:val="4"/>
  </w:num>
  <w:num w:numId="14">
    <w:abstractNumId w:val="5"/>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B3169"/>
    <w:rsid w:val="001228E7"/>
    <w:rsid w:val="001A014D"/>
    <w:rsid w:val="001D2DE8"/>
    <w:rsid w:val="0038282D"/>
    <w:rsid w:val="00420932"/>
    <w:rsid w:val="00452EA7"/>
    <w:rsid w:val="005812A5"/>
    <w:rsid w:val="00595699"/>
    <w:rsid w:val="006157CF"/>
    <w:rsid w:val="00746F9C"/>
    <w:rsid w:val="007D4A30"/>
    <w:rsid w:val="007E1416"/>
    <w:rsid w:val="008576CD"/>
    <w:rsid w:val="00867DAD"/>
    <w:rsid w:val="00970007"/>
    <w:rsid w:val="00B94E24"/>
    <w:rsid w:val="00CF7BFC"/>
    <w:rsid w:val="00DD2E48"/>
    <w:rsid w:val="00E24DAE"/>
    <w:rsid w:val="00F136D9"/>
    <w:rsid w:val="00F345F8"/>
    <w:rsid w:val="00F77764"/>
    <w:rsid w:val="019E2724"/>
    <w:rsid w:val="03846445"/>
    <w:rsid w:val="04DD6EAA"/>
    <w:rsid w:val="0C4C73C4"/>
    <w:rsid w:val="0C7C273A"/>
    <w:rsid w:val="100B0F07"/>
    <w:rsid w:val="100E28A7"/>
    <w:rsid w:val="10CF4554"/>
    <w:rsid w:val="11D253CC"/>
    <w:rsid w:val="122527E6"/>
    <w:rsid w:val="175F11AC"/>
    <w:rsid w:val="17FB42D4"/>
    <w:rsid w:val="182451C6"/>
    <w:rsid w:val="185170E4"/>
    <w:rsid w:val="1A7016EE"/>
    <w:rsid w:val="1A8019A5"/>
    <w:rsid w:val="1B066376"/>
    <w:rsid w:val="1B3B3169"/>
    <w:rsid w:val="1B6458E7"/>
    <w:rsid w:val="1D1B4A43"/>
    <w:rsid w:val="1D981D23"/>
    <w:rsid w:val="1F793E2E"/>
    <w:rsid w:val="1FC74F1E"/>
    <w:rsid w:val="2149000A"/>
    <w:rsid w:val="23E567E4"/>
    <w:rsid w:val="256E7E8F"/>
    <w:rsid w:val="27092F20"/>
    <w:rsid w:val="289A3ED2"/>
    <w:rsid w:val="299F4E9A"/>
    <w:rsid w:val="2BF07E3C"/>
    <w:rsid w:val="2E420F05"/>
    <w:rsid w:val="319A5B5B"/>
    <w:rsid w:val="321E2A7D"/>
    <w:rsid w:val="34675BDF"/>
    <w:rsid w:val="34FF6426"/>
    <w:rsid w:val="360B6850"/>
    <w:rsid w:val="36D67EEF"/>
    <w:rsid w:val="37727CCC"/>
    <w:rsid w:val="38AD7A80"/>
    <w:rsid w:val="3D3A0BB7"/>
    <w:rsid w:val="3D894157"/>
    <w:rsid w:val="41C27388"/>
    <w:rsid w:val="467466E0"/>
    <w:rsid w:val="48F2148E"/>
    <w:rsid w:val="4DDB673E"/>
    <w:rsid w:val="510C497D"/>
    <w:rsid w:val="549B68AE"/>
    <w:rsid w:val="59A703EA"/>
    <w:rsid w:val="5D654A0C"/>
    <w:rsid w:val="5E1669AC"/>
    <w:rsid w:val="638B3016"/>
    <w:rsid w:val="65B9600B"/>
    <w:rsid w:val="6CC54A1E"/>
    <w:rsid w:val="6D535020"/>
    <w:rsid w:val="6F215E2D"/>
    <w:rsid w:val="747D4602"/>
    <w:rsid w:val="7C0B3D61"/>
    <w:rsid w:val="7FA125F6"/>
    <w:rsid w:val="7FE2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2"/>
    <w:pPr>
      <w:keepNext/>
      <w:keepLines/>
      <w:widowControl/>
      <w:spacing w:before="120" w:after="120" w:line="360" w:lineRule="auto"/>
      <w:jc w:val="center"/>
      <w:outlineLvl w:val="3"/>
    </w:pPr>
    <w:rPr>
      <w:b/>
      <w:bCs/>
      <w:color w:val="000000"/>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cs="宋体"/>
    </w:rPr>
  </w:style>
  <w:style w:type="paragraph" w:styleId="3">
    <w:name w:val="Body Text"/>
    <w:basedOn w:val="1"/>
    <w:qFormat/>
    <w:uiPriority w:val="0"/>
    <w:pPr>
      <w:jc w:val="center"/>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Body Text 3"/>
    <w:basedOn w:val="1"/>
    <w:qFormat/>
    <w:uiPriority w:val="99"/>
    <w:pPr>
      <w:spacing w:line="500" w:lineRule="exact"/>
    </w:pPr>
    <w:rPr>
      <w:kern w:val="0"/>
      <w:sz w:val="16"/>
      <w:szCs w:val="16"/>
    </w:rPr>
  </w:style>
  <w:style w:type="paragraph" w:styleId="10">
    <w:name w:val="Body Text Indent"/>
    <w:basedOn w:val="1"/>
    <w:qFormat/>
    <w:uiPriority w:val="99"/>
    <w:pPr>
      <w:ind w:firstLine="830" w:firstLineChars="352"/>
    </w:pPr>
    <w:rPr>
      <w:kern w:val="0"/>
      <w:sz w:val="20"/>
      <w:szCs w:val="20"/>
    </w:rPr>
  </w:style>
  <w:style w:type="paragraph" w:styleId="11">
    <w:name w:val="List 2"/>
    <w:basedOn w:val="1"/>
    <w:qFormat/>
    <w:uiPriority w:val="0"/>
    <w:pPr>
      <w:ind w:left="100" w:leftChars="200" w:hanging="200" w:hangingChars="200"/>
    </w:pPr>
    <w:rPr>
      <w:sz w:val="28"/>
    </w:rPr>
  </w:style>
  <w:style w:type="paragraph" w:styleId="12">
    <w:name w:val="Plain Text"/>
    <w:basedOn w:val="1"/>
    <w:next w:val="6"/>
    <w:qFormat/>
    <w:uiPriority w:val="0"/>
    <w:rPr>
      <w:rFonts w:ascii="宋体" w:hAnsi="Courier New" w:cs="Courier New"/>
      <w:szCs w:val="21"/>
    </w:rPr>
  </w:style>
  <w:style w:type="paragraph" w:styleId="13">
    <w:name w:val="Date"/>
    <w:basedOn w:val="1"/>
    <w:next w:val="1"/>
    <w:qFormat/>
    <w:uiPriority w:val="99"/>
    <w:pPr>
      <w:ind w:left="100" w:leftChars="2500"/>
    </w:pPr>
    <w:rPr>
      <w:kern w:val="0"/>
      <w:sz w:val="20"/>
      <w:szCs w:val="20"/>
    </w:rPr>
  </w:style>
  <w:style w:type="paragraph" w:styleId="14">
    <w:name w:val="footer"/>
    <w:basedOn w:val="1"/>
    <w:qFormat/>
    <w:uiPriority w:val="99"/>
    <w:pPr>
      <w:tabs>
        <w:tab w:val="center" w:pos="4153"/>
        <w:tab w:val="right" w:pos="8306"/>
      </w:tabs>
      <w:snapToGrid w:val="0"/>
      <w:jc w:val="left"/>
    </w:pPr>
    <w:rPr>
      <w:b/>
      <w:bCs/>
      <w:kern w:val="0"/>
      <w:sz w:val="16"/>
      <w:szCs w:val="16"/>
    </w:rPr>
  </w:style>
  <w:style w:type="paragraph" w:styleId="15">
    <w:name w:val="toc 1"/>
    <w:basedOn w:val="1"/>
    <w:next w:val="1"/>
    <w:qFormat/>
    <w:uiPriority w:val="39"/>
    <w:pPr>
      <w:tabs>
        <w:tab w:val="right" w:leader="dot" w:pos="9043"/>
      </w:tabs>
      <w:spacing w:line="360" w:lineRule="auto"/>
      <w:ind w:firstLine="239" w:firstLineChars="85"/>
      <w:jc w:val="left"/>
    </w:pPr>
    <w:rPr>
      <w:rFonts w:ascii="宋体" w:hAnsi="宋体"/>
      <w:b/>
      <w:bCs/>
      <w:caps/>
      <w:sz w:val="24"/>
    </w:rPr>
  </w:style>
  <w:style w:type="paragraph" w:styleId="16">
    <w:name w:val="Normal (Web)"/>
    <w:basedOn w:val="1"/>
    <w:qFormat/>
    <w:uiPriority w:val="0"/>
    <w:pPr>
      <w:spacing w:before="75" w:after="75"/>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Acronym"/>
    <w:basedOn w:val="19"/>
    <w:qFormat/>
    <w:uiPriority w:val="0"/>
  </w:style>
  <w:style w:type="character" w:styleId="26">
    <w:name w:val="HTML Variable"/>
    <w:basedOn w:val="19"/>
    <w:qFormat/>
    <w:uiPriority w:val="0"/>
  </w:style>
  <w:style w:type="character" w:styleId="27">
    <w:name w:val="Hyperlink"/>
    <w:qFormat/>
    <w:uiPriority w:val="99"/>
    <w:rPr>
      <w:color w:val="0000FF"/>
      <w:u w:val="single"/>
    </w:rPr>
  </w:style>
  <w:style w:type="character" w:styleId="28">
    <w:name w:val="HTML Code"/>
    <w:basedOn w:val="19"/>
    <w:qFormat/>
    <w:uiPriority w:val="0"/>
    <w:rPr>
      <w:rFonts w:ascii="Courier New" w:hAnsi="Courier New"/>
      <w:color w:val="505050"/>
      <w:sz w:val="24"/>
      <w:szCs w:val="24"/>
    </w:rPr>
  </w:style>
  <w:style w:type="character" w:styleId="29">
    <w:name w:val="HTML Cite"/>
    <w:basedOn w:val="19"/>
    <w:qFormat/>
    <w:uiPriority w:val="0"/>
  </w:style>
  <w:style w:type="paragraph" w:customStyle="1" w:styleId="30">
    <w:name w:val="表格文字"/>
    <w:basedOn w:val="1"/>
    <w:next w:val="3"/>
    <w:qFormat/>
    <w:uiPriority w:val="99"/>
    <w:pPr>
      <w:spacing w:before="25" w:after="25"/>
      <w:jc w:val="left"/>
    </w:pPr>
    <w:rPr>
      <w:bCs/>
      <w:spacing w:val="10"/>
      <w:kern w:val="0"/>
      <w:sz w:val="24"/>
    </w:rPr>
  </w:style>
  <w:style w:type="paragraph" w:customStyle="1" w:styleId="31">
    <w:name w:val="new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正文 + 小四 Char Char"/>
    <w:link w:val="34"/>
    <w:qFormat/>
    <w:uiPriority w:val="0"/>
    <w:rPr>
      <w:color w:val="FF0000"/>
      <w:sz w:val="24"/>
    </w:rPr>
  </w:style>
  <w:style w:type="paragraph" w:customStyle="1" w:styleId="34">
    <w:name w:val="正文 + 小四"/>
    <w:basedOn w:val="1"/>
    <w:link w:val="33"/>
    <w:qFormat/>
    <w:uiPriority w:val="0"/>
    <w:pPr>
      <w:snapToGrid w:val="0"/>
      <w:spacing w:before="156" w:beforeLines="50" w:after="50" w:line="440" w:lineRule="exact"/>
      <w:ind w:firstLine="720" w:firstLineChars="300"/>
    </w:pPr>
    <w:rPr>
      <w:color w:val="FF0000"/>
      <w:sz w:val="24"/>
    </w:rPr>
  </w:style>
  <w:style w:type="paragraph" w:customStyle="1" w:styleId="35">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6">
    <w:name w:val="标题 2 Char"/>
    <w:basedOn w:val="19"/>
    <w:link w:val="4"/>
    <w:semiHidden/>
    <w:qFormat/>
    <w:uiPriority w:val="0"/>
    <w:rPr>
      <w:rFonts w:asciiTheme="majorHAnsi" w:hAnsiTheme="majorHAnsi" w:eastAsiaTheme="majorEastAsia" w:cstheme="majorBidi"/>
      <w:b/>
      <w:bCs/>
      <w:kern w:val="2"/>
      <w:sz w:val="32"/>
      <w:szCs w:val="32"/>
    </w:rPr>
  </w:style>
  <w:style w:type="character" w:customStyle="1" w:styleId="37">
    <w:name w:val="标题 3 Char"/>
    <w:basedOn w:val="19"/>
    <w:link w:val="5"/>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47</Pages>
  <Words>29745</Words>
  <Characters>30950</Characters>
  <Lines>251</Lines>
  <Paragraphs>70</Paragraphs>
  <TotalTime>23</TotalTime>
  <ScaleCrop>false</ScaleCrop>
  <LinksUpToDate>false</LinksUpToDate>
  <CharactersWithSpaces>33671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2018-09-25T09:06:00Z</dcterms:created>
  <dc:creator>Administrator</dc:creator>
  <cp:lastModifiedBy>悄然</cp:lastModifiedBy>
  <dcterms:modified xsi:type="dcterms:W3CDTF">2020-08-21T08:47:12Z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