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宋体" w:hAnsi="宋体"/>
          <w:color w:val="auto"/>
          <w:highlight w:val="none"/>
        </w:rPr>
      </w:pPr>
      <w:r>
        <w:rPr>
          <w:rFonts w:ascii="宋体" w:hAnsi="宋体"/>
          <w:color w:val="auto"/>
          <w:highlight w:val="none"/>
        </w:rPr>
        <w:drawing>
          <wp:inline distT="0" distB="0" distL="0" distR="0">
            <wp:extent cx="893445" cy="932815"/>
            <wp:effectExtent l="0" t="0" r="0" b="0"/>
            <wp:docPr id="1026" name="Picture 1" descr="科文名片"/>
            <wp:cNvGraphicFramePr/>
            <a:graphic xmlns:a="http://schemas.openxmlformats.org/drawingml/2006/main">
              <a:graphicData uri="http://schemas.openxmlformats.org/drawingml/2006/picture">
                <pic:pic xmlns:pic="http://schemas.openxmlformats.org/drawingml/2006/picture">
                  <pic:nvPicPr>
                    <pic:cNvPr id="1026" name="Picture 1" descr="科文名片"/>
                    <pic:cNvPicPr/>
                  </pic:nvPicPr>
                  <pic:blipFill>
                    <a:blip r:embed="rId16" cstate="print"/>
                    <a:srcRect/>
                    <a:stretch>
                      <a:fillRect/>
                    </a:stretch>
                  </pic:blipFill>
                  <pic:spPr>
                    <a:xfrm>
                      <a:off x="0" y="0"/>
                      <a:ext cx="893445" cy="932815"/>
                    </a:xfrm>
                    <a:prstGeom prst="rect">
                      <a:avLst/>
                    </a:prstGeom>
                    <a:ln>
                      <a:noFill/>
                    </a:ln>
                  </pic:spPr>
                </pic:pic>
              </a:graphicData>
            </a:graphic>
          </wp:inline>
        </w:drawing>
      </w:r>
    </w:p>
    <w:p>
      <w:pPr>
        <w:spacing w:line="600" w:lineRule="exact"/>
        <w:ind w:firstLine="400"/>
        <w:jc w:val="center"/>
        <w:rPr>
          <w:rFonts w:ascii="黑体" w:hAnsi="黑体" w:eastAsia="黑体"/>
          <w:color w:val="auto"/>
          <w:sz w:val="52"/>
          <w:szCs w:val="52"/>
          <w:highlight w:val="none"/>
        </w:rPr>
      </w:pPr>
      <w:r>
        <w:rPr>
          <w:rFonts w:ascii="宋体" w:hAnsi="宋体"/>
          <w:color w:val="auto"/>
          <w:spacing w:val="94"/>
          <w:sz w:val="20"/>
          <w:highlight w:val="none"/>
        </w:rPr>
        <mc:AlternateContent>
          <mc:Choice Requires="wps">
            <w:drawing>
              <wp:anchor distT="0" distB="0" distL="0" distR="0" simplePos="0" relativeHeight="1024" behindDoc="0" locked="0" layoutInCell="1" allowOverlap="1">
                <wp:simplePos x="0" y="0"/>
                <wp:positionH relativeFrom="column">
                  <wp:posOffset>727710</wp:posOffset>
                </wp:positionH>
                <wp:positionV relativeFrom="paragraph">
                  <wp:posOffset>405765</wp:posOffset>
                </wp:positionV>
                <wp:extent cx="5143500" cy="0"/>
                <wp:effectExtent l="0" t="0" r="0" b="0"/>
                <wp:wrapNone/>
                <wp:docPr id="1027" name="Line 101"/>
                <wp:cNvGraphicFramePr/>
                <a:graphic xmlns:a="http://schemas.openxmlformats.org/drawingml/2006/main">
                  <a:graphicData uri="http://schemas.microsoft.com/office/word/2010/wordprocessingShape">
                    <wps:wsp>
                      <wps:cNvCnPr/>
                      <wps:spPr>
                        <a:xfrm>
                          <a:off x="0" y="0"/>
                          <a:ext cx="5143500" cy="0"/>
                        </a:xfrm>
                        <a:prstGeom prst="line">
                          <a:avLst/>
                        </a:prstGeom>
                        <a:ln w="12700" cap="flat" cmpd="sng">
                          <a:solidFill>
                            <a:srgbClr val="000000"/>
                          </a:solidFill>
                          <a:prstDash val="solid"/>
                          <a:round/>
                          <a:headEnd type="none" w="med" len="med"/>
                          <a:tailEnd type="none" w="med" len="med"/>
                        </a:ln>
                      </wps:spPr>
                      <wps:bodyPr/>
                    </wps:wsp>
                  </a:graphicData>
                </a:graphic>
              </wp:anchor>
            </w:drawing>
          </mc:Choice>
          <mc:Fallback>
            <w:pict>
              <v:line id="Line 101" o:spid="_x0000_s1026" o:spt="20" style="position:absolute;left:0pt;margin-left:57.3pt;margin-top:31.95pt;height:0pt;width:405pt;z-index:1024;mso-width-relative:page;mso-height-relative:page;" filled="f" stroked="t" coordsize="21600,21600" o:gfxdata="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uMAPL1wAAAAkBAAAPAAAAAAAA&#10;AAEAIAAAACIAAABkcnMvZG93bnJldi54bWxQSwECFAAUAAAACACHTuJAGao649oBAADdAwAADgAA&#10;AAAAAAABACAAAAAmAQAAZHJzL2Uyb0RvYy54bWxQSwUGAAAAAAYABgBZAQAAcgUAAAAA&#10;">
                <v:fill on="f" focussize="0,0"/>
                <v:stroke weight="1pt" color="#000000" joinstyle="round"/>
                <v:imagedata o:title=""/>
                <o:lock v:ext="edit" aspectratio="f"/>
              </v:line>
            </w:pict>
          </mc:Fallback>
        </mc:AlternateContent>
      </w:r>
      <w:r>
        <w:rPr>
          <w:rFonts w:hint="eastAsia" w:ascii="宋体" w:hAnsi="宋体"/>
          <w:color w:val="auto"/>
          <w:sz w:val="52"/>
          <w:highlight w:val="none"/>
        </w:rPr>
        <w:t xml:space="preserve">  </w:t>
      </w:r>
      <w:r>
        <w:rPr>
          <w:rFonts w:hint="eastAsia" w:ascii="黑体" w:hAnsi="黑体" w:eastAsia="黑体"/>
          <w:color w:val="auto"/>
          <w:sz w:val="52"/>
          <w:highlight w:val="none"/>
        </w:rPr>
        <w:t>广 西 科 文 招 标 有 限 公 司</w:t>
      </w:r>
      <w:r>
        <w:rPr>
          <w:rFonts w:hint="eastAsia" w:ascii="黑体" w:hAnsi="黑体" w:eastAsia="黑体"/>
          <w:color w:val="auto"/>
          <w:sz w:val="52"/>
          <w:highlight w:val="none"/>
        </w:rPr>
        <w:cr/>
      </w:r>
    </w:p>
    <w:p>
      <w:pPr>
        <w:spacing w:line="720" w:lineRule="exact"/>
        <w:ind w:firstLine="1040"/>
        <w:jc w:val="center"/>
        <w:rPr>
          <w:rFonts w:ascii="宋体" w:hAnsi="宋体"/>
          <w:color w:val="auto"/>
          <w:sz w:val="52"/>
          <w:highlight w:val="none"/>
        </w:rPr>
      </w:pPr>
    </w:p>
    <w:p>
      <w:pPr>
        <w:spacing w:line="1000" w:lineRule="exact"/>
        <w:ind w:firstLine="0" w:firstLineChars="0"/>
        <w:jc w:val="center"/>
        <w:rPr>
          <w:rFonts w:ascii="宋体" w:hAnsi="宋体"/>
          <w:b/>
          <w:color w:val="auto"/>
          <w:sz w:val="84"/>
          <w:szCs w:val="84"/>
          <w:highlight w:val="none"/>
        </w:rPr>
      </w:pPr>
      <w:r>
        <w:rPr>
          <w:rFonts w:hint="eastAsia" w:ascii="宋体" w:hAnsi="宋体"/>
          <w:b/>
          <w:color w:val="auto"/>
          <w:sz w:val="84"/>
          <w:szCs w:val="84"/>
          <w:highlight w:val="none"/>
        </w:rPr>
        <w:t>竞争性磋商文件</w:t>
      </w:r>
      <w:r>
        <w:rPr>
          <w:rFonts w:hint="eastAsia" w:ascii="宋体" w:hAnsi="宋体"/>
          <w:b/>
          <w:color w:val="auto"/>
          <w:sz w:val="84"/>
          <w:szCs w:val="84"/>
          <w:highlight w:val="none"/>
        </w:rPr>
        <w:cr/>
      </w:r>
      <w:r>
        <w:rPr>
          <w:rFonts w:hint="eastAsia" w:ascii="宋体" w:hAnsi="宋体"/>
          <w:b/>
          <w:color w:val="auto"/>
          <w:sz w:val="84"/>
          <w:szCs w:val="84"/>
          <w:highlight w:val="none"/>
        </w:rPr>
        <w:cr/>
      </w:r>
    </w:p>
    <w:p>
      <w:pPr>
        <w:tabs>
          <w:tab w:val="left" w:pos="2940"/>
        </w:tabs>
        <w:spacing w:line="480" w:lineRule="auto"/>
        <w:ind w:left="4082" w:leftChars="1150" w:right="1085" w:rightChars="517" w:hanging="1667" w:hangingChars="521"/>
        <w:rPr>
          <w:rFonts w:hint="eastAsia" w:ascii="宋体" w:hAnsi="宋体" w:eastAsia="宋体"/>
          <w:b/>
          <w:bCs/>
          <w:color w:val="auto"/>
          <w:sz w:val="32"/>
          <w:highlight w:val="none"/>
          <w:lang w:eastAsia="zh-CN"/>
        </w:rPr>
      </w:pPr>
      <w:r>
        <w:rPr>
          <w:rFonts w:hint="eastAsia" w:ascii="宋体" w:hAnsi="宋体"/>
          <w:b/>
          <w:bCs/>
          <w:color w:val="auto"/>
          <w:sz w:val="32"/>
          <w:highlight w:val="none"/>
        </w:rPr>
        <w:t>项目名称：</w:t>
      </w:r>
      <w:r>
        <w:rPr>
          <w:rFonts w:hint="eastAsia" w:ascii="宋体" w:hAnsi="宋体"/>
          <w:b/>
          <w:bCs/>
          <w:color w:val="auto"/>
          <w:sz w:val="32"/>
          <w:highlight w:val="none"/>
          <w:lang w:eastAsia="zh-CN"/>
        </w:rPr>
        <w:t>病房服务交互系统采购</w:t>
      </w:r>
    </w:p>
    <w:p>
      <w:pPr>
        <w:spacing w:line="480" w:lineRule="auto"/>
        <w:ind w:firstLine="2384" w:firstLineChars="745"/>
        <w:rPr>
          <w:rFonts w:hint="eastAsia" w:ascii="宋体" w:hAnsi="宋体" w:eastAsia="宋体"/>
          <w:b/>
          <w:bCs/>
          <w:color w:val="auto"/>
          <w:sz w:val="32"/>
          <w:highlight w:val="none"/>
          <w:lang w:eastAsia="zh-CN"/>
        </w:rPr>
      </w:pPr>
      <w:r>
        <w:rPr>
          <w:rFonts w:hint="eastAsia" w:ascii="宋体" w:hAnsi="宋体"/>
          <w:b/>
          <w:bCs/>
          <w:color w:val="auto"/>
          <w:sz w:val="32"/>
          <w:highlight w:val="none"/>
        </w:rPr>
        <w:t>项目编号</w:t>
      </w:r>
      <w:r>
        <w:rPr>
          <w:rFonts w:hint="eastAsia" w:ascii="宋体" w:hAnsi="宋体"/>
          <w:b/>
          <w:bCs/>
          <w:color w:val="auto"/>
          <w:sz w:val="32"/>
          <w:szCs w:val="32"/>
          <w:highlight w:val="none"/>
        </w:rPr>
        <w:t>：</w:t>
      </w:r>
      <w:r>
        <w:rPr>
          <w:rFonts w:hint="eastAsia" w:ascii="宋体" w:hAnsi="宋体"/>
          <w:b/>
          <w:bCs/>
          <w:color w:val="auto"/>
          <w:sz w:val="32"/>
          <w:szCs w:val="32"/>
          <w:highlight w:val="none"/>
          <w:lang w:eastAsia="zh-CN"/>
        </w:rPr>
        <w:t>GLZC2020-C3-270044-KWZB</w:t>
      </w:r>
    </w:p>
    <w:p>
      <w:pPr>
        <w:ind w:firstLine="1050" w:firstLineChars="500"/>
        <w:jc w:val="center"/>
        <w:rPr>
          <w:rFonts w:ascii="宋体" w:hAnsi="宋体"/>
          <w:color w:val="auto"/>
          <w:highlight w:val="none"/>
        </w:rPr>
      </w:pPr>
    </w:p>
    <w:p>
      <w:pPr>
        <w:ind w:firstLine="420"/>
        <w:jc w:val="center"/>
        <w:rPr>
          <w:rFonts w:ascii="宋体" w:hAnsi="宋体"/>
          <w:color w:val="auto"/>
          <w:highlight w:val="none"/>
        </w:rPr>
      </w:pPr>
    </w:p>
    <w:p>
      <w:pPr>
        <w:ind w:firstLine="420"/>
        <w:jc w:val="center"/>
        <w:rPr>
          <w:rFonts w:ascii="宋体" w:hAnsi="宋体"/>
          <w:color w:val="auto"/>
          <w:highlight w:val="none"/>
        </w:rPr>
      </w:pPr>
    </w:p>
    <w:p>
      <w:pPr>
        <w:ind w:firstLine="0" w:firstLineChars="0"/>
        <w:jc w:val="center"/>
        <w:rPr>
          <w:rFonts w:ascii="宋体" w:hAnsi="宋体"/>
          <w:b/>
          <w:bCs/>
          <w:color w:val="auto"/>
          <w:sz w:val="32"/>
          <w:highlight w:val="none"/>
        </w:rPr>
      </w:pPr>
    </w:p>
    <w:p>
      <w:pPr>
        <w:ind w:firstLine="0" w:firstLineChars="0"/>
        <w:jc w:val="center"/>
        <w:rPr>
          <w:rFonts w:ascii="宋体" w:hAnsi="宋体"/>
          <w:b/>
          <w:bCs/>
          <w:color w:val="auto"/>
          <w:sz w:val="32"/>
          <w:highlight w:val="none"/>
        </w:rPr>
      </w:pPr>
    </w:p>
    <w:p>
      <w:pPr>
        <w:ind w:firstLine="0" w:firstLineChars="0"/>
        <w:jc w:val="center"/>
        <w:rPr>
          <w:rFonts w:ascii="宋体" w:hAnsi="宋体"/>
          <w:color w:val="auto"/>
          <w:sz w:val="32"/>
          <w:highlight w:val="none"/>
        </w:rPr>
      </w:pPr>
      <w:r>
        <w:rPr>
          <w:rFonts w:hint="eastAsia" w:ascii="宋体" w:hAnsi="宋体"/>
          <w:b/>
          <w:bCs/>
          <w:color w:val="auto"/>
          <w:sz w:val="32"/>
          <w:highlight w:val="none"/>
        </w:rPr>
        <w:t>采购代理机构：广西科文招标有限公司</w:t>
      </w:r>
      <w:r>
        <w:rPr>
          <w:rFonts w:hint="eastAsia" w:ascii="宋体" w:hAnsi="宋体"/>
          <w:b/>
          <w:bCs/>
          <w:color w:val="auto"/>
          <w:sz w:val="32"/>
          <w:highlight w:val="none"/>
        </w:rPr>
        <w:cr/>
      </w:r>
      <w:r>
        <w:rPr>
          <w:rFonts w:hint="eastAsia" w:ascii="宋体" w:hAnsi="宋体"/>
          <w:b/>
          <w:bCs/>
          <w:color w:val="auto"/>
          <w:sz w:val="32"/>
          <w:highlight w:val="none"/>
        </w:rPr>
        <w:t>2020年</w:t>
      </w:r>
      <w:r>
        <w:rPr>
          <w:rFonts w:hint="eastAsia" w:ascii="宋体" w:hAnsi="宋体"/>
          <w:b/>
          <w:bCs/>
          <w:color w:val="auto"/>
          <w:sz w:val="32"/>
          <w:highlight w:val="none"/>
          <w:lang w:val="en-US" w:eastAsia="zh-CN"/>
        </w:rPr>
        <w:t>12</w:t>
      </w:r>
      <w:r>
        <w:rPr>
          <w:rFonts w:hint="eastAsia" w:ascii="宋体" w:hAnsi="宋体"/>
          <w:b/>
          <w:bCs/>
          <w:color w:val="auto"/>
          <w:sz w:val="32"/>
          <w:highlight w:val="none"/>
        </w:rPr>
        <w:t>月</w:t>
      </w:r>
    </w:p>
    <w:p>
      <w:pPr>
        <w:pStyle w:val="23"/>
        <w:spacing w:line="420" w:lineRule="exact"/>
        <w:ind w:firstLine="880"/>
        <w:jc w:val="center"/>
        <w:rPr>
          <w:rFonts w:hAnsi="宋体"/>
          <w:color w:val="auto"/>
          <w:sz w:val="44"/>
          <w:highlight w:val="none"/>
        </w:rPr>
      </w:pPr>
    </w:p>
    <w:p>
      <w:pPr>
        <w:pStyle w:val="23"/>
        <w:spacing w:line="420" w:lineRule="exact"/>
        <w:ind w:firstLine="198" w:firstLineChars="45"/>
        <w:jc w:val="center"/>
        <w:rPr>
          <w:rFonts w:hAnsi="宋体"/>
          <w:b/>
          <w:bCs/>
          <w:color w:val="auto"/>
          <w:sz w:val="44"/>
          <w:highlight w:val="none"/>
        </w:rPr>
      </w:pPr>
      <w:r>
        <w:rPr>
          <w:rFonts w:hint="eastAsia" w:hAnsi="宋体"/>
          <w:b/>
          <w:bCs/>
          <w:color w:val="auto"/>
          <w:sz w:val="44"/>
          <w:highlight w:val="none"/>
        </w:rPr>
        <w:t>目     录</w:t>
      </w:r>
    </w:p>
    <w:p>
      <w:pPr>
        <w:pStyle w:val="23"/>
        <w:tabs>
          <w:tab w:val="left" w:pos="8860"/>
          <w:tab w:val="left" w:pos="9140"/>
        </w:tabs>
        <w:ind w:firstLine="560"/>
        <w:rPr>
          <w:rFonts w:hAnsi="宋体"/>
          <w:color w:val="auto"/>
          <w:sz w:val="28"/>
          <w:szCs w:val="28"/>
          <w:highlight w:val="none"/>
        </w:rPr>
      </w:pPr>
    </w:p>
    <w:p>
      <w:pPr>
        <w:pStyle w:val="31"/>
        <w:ind w:left="1418" w:right="808" w:hanging="1103"/>
        <w:rPr>
          <w:rFonts w:hint="eastAsia" w:ascii="宋体" w:hAnsi="宋体" w:eastAsia="宋体"/>
          <w:color w:val="auto"/>
          <w:sz w:val="28"/>
          <w:szCs w:val="28"/>
          <w:highlight w:val="none"/>
          <w:lang w:eastAsia="zh-CN"/>
        </w:rPr>
      </w:pPr>
      <w:r>
        <w:rPr>
          <w:rFonts w:ascii="宋体" w:hAnsi="宋体"/>
          <w:color w:val="auto"/>
          <w:sz w:val="28"/>
          <w:szCs w:val="28"/>
          <w:highlight w:val="none"/>
        </w:rPr>
        <w:fldChar w:fldCharType="begin"/>
      </w:r>
      <w:r>
        <w:rPr>
          <w:rFonts w:ascii="宋体" w:hAnsi="宋体"/>
          <w:color w:val="auto"/>
          <w:sz w:val="28"/>
          <w:szCs w:val="28"/>
          <w:highlight w:val="none"/>
        </w:rPr>
        <w:instrText xml:space="preserve"> TOC \o "1-3" </w:instrText>
      </w:r>
      <w:r>
        <w:rPr>
          <w:rFonts w:ascii="宋体" w:hAnsi="宋体"/>
          <w:color w:val="auto"/>
          <w:sz w:val="28"/>
          <w:szCs w:val="28"/>
          <w:highlight w:val="none"/>
        </w:rPr>
        <w:fldChar w:fldCharType="separate"/>
      </w:r>
      <w:r>
        <w:rPr>
          <w:rFonts w:hint="eastAsia" w:ascii="宋体" w:hAnsi="宋体"/>
          <w:color w:val="auto"/>
          <w:sz w:val="28"/>
          <w:szCs w:val="28"/>
          <w:highlight w:val="none"/>
        </w:rPr>
        <w:t>第一章 竞争性磋商公告</w:t>
      </w:r>
      <w:r>
        <w:rPr>
          <w:rFonts w:ascii="宋体" w:hAnsi="宋体"/>
          <w:color w:val="auto"/>
          <w:sz w:val="28"/>
          <w:szCs w:val="28"/>
          <w:highlight w:val="none"/>
        </w:rPr>
        <w:tab/>
      </w:r>
      <w:r>
        <w:rPr>
          <w:rFonts w:hint="eastAsia" w:ascii="宋体" w:hAnsi="宋体"/>
          <w:color w:val="auto"/>
          <w:sz w:val="28"/>
          <w:szCs w:val="28"/>
          <w:highlight w:val="none"/>
          <w:lang w:val="en-US" w:eastAsia="zh-CN"/>
        </w:rPr>
        <w:t>1</w:t>
      </w:r>
    </w:p>
    <w:p>
      <w:pPr>
        <w:pStyle w:val="31"/>
        <w:ind w:left="1418" w:right="808" w:hanging="1103"/>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第二章 磋商供应商须知及前附表</w:t>
      </w:r>
      <w:r>
        <w:rPr>
          <w:rFonts w:ascii="宋体" w:hAnsi="宋体"/>
          <w:color w:val="auto"/>
          <w:sz w:val="28"/>
          <w:szCs w:val="28"/>
          <w:highlight w:val="none"/>
        </w:rPr>
        <w:tab/>
      </w:r>
      <w:r>
        <w:rPr>
          <w:rFonts w:hint="eastAsia" w:ascii="宋体" w:hAnsi="宋体"/>
          <w:color w:val="auto"/>
          <w:sz w:val="28"/>
          <w:szCs w:val="28"/>
          <w:highlight w:val="none"/>
          <w:lang w:val="en-US" w:eastAsia="zh-CN"/>
        </w:rPr>
        <w:t>4</w:t>
      </w:r>
    </w:p>
    <w:p>
      <w:pPr>
        <w:pStyle w:val="31"/>
        <w:ind w:left="1418" w:right="808" w:hanging="1103"/>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第三章 服务采购需求</w:t>
      </w:r>
      <w:r>
        <w:rPr>
          <w:rFonts w:ascii="宋体" w:hAnsi="宋体"/>
          <w:color w:val="auto"/>
          <w:sz w:val="28"/>
          <w:szCs w:val="28"/>
          <w:highlight w:val="none"/>
        </w:rPr>
        <w:tab/>
      </w:r>
      <w:r>
        <w:rPr>
          <w:rFonts w:hint="eastAsia" w:ascii="宋体" w:hAnsi="宋体"/>
          <w:color w:val="auto"/>
          <w:sz w:val="28"/>
          <w:szCs w:val="28"/>
          <w:highlight w:val="none"/>
        </w:rPr>
        <w:t>1</w:t>
      </w:r>
      <w:r>
        <w:rPr>
          <w:rFonts w:hint="eastAsia" w:ascii="宋体" w:hAnsi="宋体"/>
          <w:color w:val="auto"/>
          <w:sz w:val="28"/>
          <w:szCs w:val="28"/>
          <w:highlight w:val="none"/>
          <w:lang w:val="en-US" w:eastAsia="zh-CN"/>
        </w:rPr>
        <w:t>7</w:t>
      </w:r>
    </w:p>
    <w:p>
      <w:pPr>
        <w:pStyle w:val="31"/>
        <w:ind w:left="1418" w:right="808" w:hanging="1103"/>
        <w:rPr>
          <w:rFonts w:hint="default" w:ascii="宋体" w:hAnsi="宋体" w:eastAsia="宋体"/>
          <w:color w:val="auto"/>
          <w:sz w:val="28"/>
          <w:szCs w:val="28"/>
          <w:highlight w:val="none"/>
          <w:lang w:val="en-US" w:eastAsia="zh-CN"/>
        </w:rPr>
      </w:pPr>
      <w:r>
        <w:rPr>
          <w:rFonts w:hint="eastAsia" w:ascii="宋体" w:hAnsi="宋体"/>
          <w:color w:val="auto"/>
          <w:sz w:val="28"/>
          <w:szCs w:val="28"/>
          <w:highlight w:val="none"/>
        </w:rPr>
        <w:t>第四章 评审办法</w:t>
      </w:r>
      <w:r>
        <w:rPr>
          <w:rFonts w:ascii="宋体" w:hAnsi="宋体"/>
          <w:color w:val="auto"/>
          <w:sz w:val="28"/>
          <w:szCs w:val="28"/>
          <w:highlight w:val="none"/>
        </w:rPr>
        <w:tab/>
      </w:r>
      <w:r>
        <w:rPr>
          <w:rFonts w:hint="eastAsia" w:ascii="宋体" w:hAnsi="宋体"/>
          <w:color w:val="auto"/>
          <w:sz w:val="28"/>
          <w:szCs w:val="28"/>
          <w:highlight w:val="none"/>
          <w:lang w:val="en-US" w:eastAsia="zh-CN"/>
        </w:rPr>
        <w:t>27</w:t>
      </w:r>
    </w:p>
    <w:p>
      <w:pPr>
        <w:pStyle w:val="31"/>
        <w:ind w:left="1418" w:right="808" w:hanging="1103"/>
        <w:rPr>
          <w:rFonts w:hint="default" w:ascii="宋体" w:hAnsi="宋体" w:eastAsia="宋体"/>
          <w:color w:val="auto"/>
          <w:sz w:val="28"/>
          <w:szCs w:val="28"/>
          <w:highlight w:val="none"/>
          <w:lang w:val="en-US" w:eastAsia="zh-CN"/>
        </w:rPr>
      </w:pPr>
      <w:r>
        <w:rPr>
          <w:rFonts w:hint="eastAsia" w:ascii="宋体" w:hAnsi="宋体"/>
          <w:color w:val="auto"/>
          <w:sz w:val="28"/>
          <w:szCs w:val="28"/>
          <w:highlight w:val="none"/>
        </w:rPr>
        <w:t>第五章 合同条款及格式</w:t>
      </w:r>
      <w:r>
        <w:rPr>
          <w:rFonts w:ascii="宋体" w:hAnsi="宋体"/>
          <w:color w:val="auto"/>
          <w:sz w:val="28"/>
          <w:szCs w:val="28"/>
          <w:highlight w:val="none"/>
        </w:rPr>
        <w:tab/>
      </w:r>
      <w:r>
        <w:rPr>
          <w:rFonts w:hint="eastAsia" w:ascii="宋体" w:hAnsi="宋体"/>
          <w:color w:val="auto"/>
          <w:sz w:val="28"/>
          <w:szCs w:val="28"/>
          <w:highlight w:val="none"/>
          <w:lang w:val="en-US" w:eastAsia="zh-CN"/>
        </w:rPr>
        <w:t>30</w:t>
      </w:r>
    </w:p>
    <w:p>
      <w:pPr>
        <w:pStyle w:val="31"/>
        <w:ind w:left="1418" w:right="808" w:hanging="1103"/>
        <w:jc w:val="center"/>
        <w:rPr>
          <w:rFonts w:hint="default" w:ascii="宋体" w:hAnsi="宋体" w:eastAsia="宋体"/>
          <w:color w:val="auto"/>
          <w:sz w:val="28"/>
          <w:szCs w:val="28"/>
          <w:highlight w:val="none"/>
          <w:lang w:val="en-US" w:eastAsia="zh-CN"/>
        </w:rPr>
        <w:sectPr>
          <w:footerReference r:id="rId7" w:type="first"/>
          <w:headerReference r:id="rId3" w:type="default"/>
          <w:footerReference r:id="rId5" w:type="default"/>
          <w:headerReference r:id="rId4" w:type="even"/>
          <w:footerReference r:id="rId6" w:type="even"/>
          <w:pgSz w:w="11906" w:h="16838"/>
          <w:pgMar w:top="1134" w:right="849" w:bottom="1134" w:left="1134" w:header="720" w:footer="720" w:gutter="0"/>
          <w:pgNumType w:fmt="decimal" w:start="0"/>
          <w:cols w:space="720" w:num="1"/>
          <w:titlePg/>
          <w:docGrid w:type="linesAndChars" w:linePitch="331" w:charSpace="0"/>
        </w:sectPr>
      </w:pPr>
      <w:r>
        <w:rPr>
          <w:rFonts w:hint="eastAsia" w:ascii="宋体" w:hAnsi="宋体"/>
          <w:color w:val="auto"/>
          <w:sz w:val="28"/>
          <w:szCs w:val="28"/>
          <w:highlight w:val="none"/>
        </w:rPr>
        <w:t>第六章 响应文件格式</w:t>
      </w:r>
      <w:r>
        <w:rPr>
          <w:rFonts w:ascii="宋体" w:hAnsi="宋体"/>
          <w:color w:val="auto"/>
          <w:sz w:val="28"/>
          <w:szCs w:val="28"/>
          <w:highlight w:val="none"/>
        </w:rPr>
        <w:tab/>
      </w:r>
      <w:r>
        <w:rPr>
          <w:rFonts w:hint="eastAsia" w:ascii="宋体" w:hAnsi="宋体"/>
          <w:color w:val="auto"/>
          <w:sz w:val="28"/>
          <w:szCs w:val="28"/>
          <w:highlight w:val="none"/>
          <w:lang w:val="en-US" w:eastAsia="zh-CN"/>
        </w:rPr>
        <w:t>34</w:t>
      </w:r>
    </w:p>
    <w:p>
      <w:pPr>
        <w:pStyle w:val="31"/>
        <w:ind w:left="1418" w:right="808" w:hanging="1103"/>
        <w:jc w:val="center"/>
        <w:rPr>
          <w:rFonts w:hint="eastAsia" w:ascii="宋体" w:hAnsi="宋体" w:cs="宋体"/>
          <w:b/>
          <w:color w:val="auto"/>
          <w:sz w:val="32"/>
          <w:szCs w:val="32"/>
          <w:highlight w:val="none"/>
        </w:rPr>
      </w:pPr>
      <w:r>
        <w:rPr>
          <w:rFonts w:hAnsi="宋体"/>
          <w:color w:val="auto"/>
          <w:sz w:val="28"/>
          <w:szCs w:val="28"/>
          <w:highlight w:val="none"/>
        </w:rPr>
        <w:fldChar w:fldCharType="end"/>
      </w:r>
      <w:r>
        <w:rPr>
          <w:rFonts w:hint="eastAsia" w:ascii="宋体" w:hAnsi="宋体" w:cs="宋体"/>
          <w:b/>
          <w:color w:val="auto"/>
          <w:sz w:val="32"/>
          <w:szCs w:val="32"/>
          <w:highlight w:val="none"/>
        </w:rPr>
        <w:t>第一章   竞争性磋商公告</w:t>
      </w:r>
    </w:p>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9480" w:type="dxa"/>
          </w:tcPr>
          <w:p>
            <w:pPr>
              <w:spacing w:line="400" w:lineRule="exact"/>
              <w:ind w:firstLine="422"/>
              <w:rPr>
                <w:rFonts w:ascii="宋体" w:hAnsi="宋体" w:cs="宋体"/>
                <w:b/>
                <w:bCs/>
                <w:color w:val="auto"/>
                <w:szCs w:val="21"/>
                <w:highlight w:val="none"/>
              </w:rPr>
            </w:pPr>
            <w:r>
              <w:rPr>
                <w:rFonts w:hint="eastAsia" w:ascii="宋体" w:hAnsi="宋体" w:cs="宋体"/>
                <w:b/>
                <w:bCs/>
                <w:color w:val="auto"/>
                <w:szCs w:val="21"/>
                <w:highlight w:val="none"/>
              </w:rPr>
              <w:t>项目概况：</w:t>
            </w:r>
          </w:p>
          <w:p>
            <w:pPr>
              <w:spacing w:line="400" w:lineRule="exact"/>
              <w:ind w:firstLine="420"/>
              <w:rPr>
                <w:rFonts w:ascii="宋体" w:hAnsi="宋体" w:cs="宋体"/>
                <w:b/>
                <w:bCs/>
                <w:color w:val="auto"/>
                <w:szCs w:val="21"/>
                <w:highlight w:val="none"/>
              </w:rPr>
            </w:pPr>
            <w:r>
              <w:rPr>
                <w:rFonts w:hint="eastAsia" w:ascii="宋体" w:hAnsi="宋体" w:cs="宋体"/>
                <w:color w:val="auto"/>
                <w:szCs w:val="21"/>
                <w:highlight w:val="none"/>
                <w:lang w:eastAsia="zh-CN"/>
              </w:rPr>
              <w:t>病房服务交互系统采购</w:t>
            </w:r>
            <w:r>
              <w:rPr>
                <w:rFonts w:hint="eastAsia" w:ascii="宋体" w:hAnsi="宋体" w:cs="宋体"/>
                <w:bCs/>
                <w:color w:val="auto"/>
                <w:szCs w:val="21"/>
                <w:highlight w:val="none"/>
              </w:rPr>
              <w:t>项目的潜在供应商应在桂林市公共资源交易中心（http://glggzy.org.cn/gxglzbw/）或桂林市政府采购网（http://zfcg.czj.guilin.gov.cn/）获取采购文件，并于2020年</w:t>
            </w:r>
            <w:r>
              <w:rPr>
                <w:rFonts w:hint="eastAsia" w:ascii="宋体" w:hAnsi="宋体" w:cs="宋体"/>
                <w:bCs/>
                <w:color w:val="auto"/>
                <w:szCs w:val="21"/>
                <w:highlight w:val="none"/>
                <w:lang w:val="en-US" w:eastAsia="zh-CN"/>
              </w:rPr>
              <w:t>12月24日10时30分</w:t>
            </w:r>
            <w:r>
              <w:rPr>
                <w:rFonts w:hint="eastAsia" w:ascii="宋体" w:hAnsi="宋体" w:cs="宋体"/>
                <w:bCs/>
                <w:color w:val="auto"/>
                <w:szCs w:val="21"/>
                <w:highlight w:val="none"/>
              </w:rPr>
              <w:t>（北京时间）前提交响应文件。</w:t>
            </w:r>
          </w:p>
        </w:tc>
      </w:tr>
    </w:tbl>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420" w:leftChars="200" w:firstLine="422"/>
        <w:textAlignment w:val="auto"/>
        <w:rPr>
          <w:rFonts w:ascii="宋体" w:hAnsi="宋体" w:cs="宋体"/>
          <w:b/>
          <w:color w:val="auto"/>
          <w:szCs w:val="21"/>
          <w:highlight w:val="none"/>
        </w:rPr>
      </w:pPr>
      <w:r>
        <w:rPr>
          <w:rFonts w:hint="eastAsia" w:ascii="宋体" w:hAnsi="宋体" w:cs="宋体"/>
          <w:b/>
          <w:color w:val="auto"/>
          <w:szCs w:val="21"/>
          <w:highlight w:val="none"/>
        </w:rPr>
        <w:t>项目基本情况</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rPr>
        <w:t>1.项目编号：</w:t>
      </w:r>
      <w:r>
        <w:rPr>
          <w:rFonts w:hint="eastAsia" w:ascii="宋体" w:hAnsi="宋体" w:cs="宋体"/>
          <w:bCs/>
          <w:color w:val="auto"/>
          <w:szCs w:val="21"/>
          <w:highlight w:val="none"/>
          <w:lang w:eastAsia="zh-CN"/>
        </w:rPr>
        <w:t>GLZC2020-C3-270044-KWZB</w:t>
      </w:r>
      <w:r>
        <w:rPr>
          <w:rFonts w:hint="eastAsia" w:ascii="宋体" w:hAnsi="宋体" w:cs="宋体"/>
          <w:bCs/>
          <w:szCs w:val="21"/>
        </w:rPr>
        <w:t>，政府采购计划编号：GYZC2020-C3-00992</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rPr>
        <w:t>2.项目名称：</w:t>
      </w:r>
      <w:r>
        <w:rPr>
          <w:rFonts w:hint="eastAsia" w:ascii="宋体" w:hAnsi="宋体" w:cs="宋体"/>
          <w:color w:val="auto"/>
          <w:szCs w:val="21"/>
          <w:highlight w:val="none"/>
          <w:lang w:eastAsia="zh-CN"/>
        </w:rPr>
        <w:t>病房服务交互系统采购</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 xml:space="preserve">3.采购方式：□竞争性谈判 </w:t>
      </w:r>
      <w:r>
        <w:rPr>
          <w:rFonts w:hint="eastAsia" w:ascii="宋体" w:hAnsi="宋体" w:cs="宋体"/>
          <w:bCs/>
          <w:color w:val="auto"/>
          <w:szCs w:val="21"/>
          <w:highlight w:val="none"/>
        </w:rPr>
        <w:sym w:font="Wingdings 2" w:char="0052"/>
      </w:r>
      <w:r>
        <w:rPr>
          <w:rFonts w:hint="eastAsia" w:ascii="宋体" w:hAnsi="宋体" w:cs="宋体"/>
          <w:bCs/>
          <w:color w:val="auto"/>
          <w:szCs w:val="21"/>
          <w:highlight w:val="none"/>
        </w:rPr>
        <w:t>竞争性磋商 □询价</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hint="eastAsia" w:ascii="宋体" w:hAnsi="宋体" w:cs="宋体"/>
          <w:bCs/>
          <w:color w:val="auto"/>
          <w:szCs w:val="21"/>
          <w:highlight w:val="none"/>
        </w:rPr>
      </w:pPr>
      <w:r>
        <w:rPr>
          <w:rFonts w:hint="eastAsia" w:ascii="宋体" w:hAnsi="宋体" w:cs="宋体"/>
          <w:bCs/>
          <w:color w:val="auto"/>
          <w:szCs w:val="21"/>
          <w:highlight w:val="none"/>
        </w:rPr>
        <w:t>4.预算金额：</w:t>
      </w:r>
      <w:r>
        <w:rPr>
          <w:rFonts w:hint="eastAsia" w:ascii="宋体" w:hAnsi="宋体" w:cs="宋体"/>
          <w:bCs/>
          <w:color w:val="auto"/>
          <w:szCs w:val="21"/>
          <w:highlight w:val="none"/>
          <w:lang w:eastAsia="zh-CN"/>
        </w:rPr>
        <w:t>46.80</w:t>
      </w:r>
      <w:r>
        <w:rPr>
          <w:rFonts w:hint="eastAsia" w:ascii="宋体" w:hAnsi="宋体" w:cs="宋体"/>
          <w:bCs/>
          <w:color w:val="auto"/>
          <w:szCs w:val="21"/>
          <w:highlight w:val="none"/>
        </w:rPr>
        <w:t>万元</w:t>
      </w:r>
    </w:p>
    <w:p>
      <w:pPr>
        <w:pStyle w:val="45"/>
        <w:rPr>
          <w:rFonts w:hint="eastAsia" w:eastAsia="宋体"/>
          <w:lang w:eastAsia="zh-CN"/>
        </w:rPr>
      </w:pPr>
      <w:r>
        <w:rPr>
          <w:rFonts w:hint="eastAsia" w:ascii="宋体" w:hAnsi="宋体" w:cs="宋体"/>
          <w:color w:val="auto"/>
          <w:highlight w:val="none"/>
        </w:rPr>
        <w:t>5.采购需求：标的名称、数量、简要技术需求或服务要求</w:t>
      </w:r>
      <w:r>
        <w:rPr>
          <w:rFonts w:hint="eastAsia" w:ascii="宋体" w:hAnsi="宋体" w:cs="宋体"/>
          <w:color w:val="auto"/>
          <w:highlight w:val="none"/>
          <w:lang w:eastAsia="zh-CN"/>
        </w:rPr>
        <w:t>：</w:t>
      </w:r>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41"/>
        <w:gridCol w:w="3896"/>
        <w:gridCol w:w="830"/>
        <w:gridCol w:w="990"/>
        <w:gridCol w:w="20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exac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before="0" w:after="0" w:line="340" w:lineRule="exact"/>
              <w:ind w:firstLine="0" w:firstLineChars="0"/>
              <w:jc w:val="center"/>
              <w:rPr>
                <w:rFonts w:ascii="宋体" w:hAnsi="宋体"/>
                <w:b/>
                <w:bCs/>
                <w:color w:val="auto"/>
                <w:highlight w:val="none"/>
              </w:rPr>
            </w:pPr>
            <w:r>
              <w:rPr>
                <w:rFonts w:hint="eastAsia" w:ascii="宋体" w:hAnsi="宋体"/>
                <w:b/>
                <w:bCs/>
                <w:color w:val="auto"/>
                <w:highlight w:val="none"/>
              </w:rPr>
              <w:t>项号</w:t>
            </w:r>
          </w:p>
        </w:tc>
        <w:tc>
          <w:tcPr>
            <w:tcW w:w="3896"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ind w:firstLine="0" w:firstLineChars="0"/>
              <w:jc w:val="center"/>
              <w:rPr>
                <w:rFonts w:ascii="宋体" w:hAnsi="宋体"/>
                <w:b/>
                <w:bCs/>
                <w:color w:val="auto"/>
                <w:highlight w:val="none"/>
              </w:rPr>
            </w:pPr>
            <w:r>
              <w:rPr>
                <w:rFonts w:hint="eastAsia" w:ascii="宋体" w:hAnsi="宋体"/>
                <w:b/>
                <w:bCs/>
                <w:color w:val="auto"/>
                <w:highlight w:val="none"/>
              </w:rPr>
              <w:t>服务名称</w:t>
            </w:r>
          </w:p>
        </w:tc>
        <w:tc>
          <w:tcPr>
            <w:tcW w:w="83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ind w:firstLine="0" w:firstLineChars="0"/>
              <w:jc w:val="center"/>
              <w:rPr>
                <w:rFonts w:ascii="宋体" w:hAnsi="宋体"/>
                <w:b/>
                <w:bCs/>
                <w:color w:val="auto"/>
                <w:highlight w:val="none"/>
              </w:rPr>
            </w:pPr>
            <w:r>
              <w:rPr>
                <w:rFonts w:hint="eastAsia" w:ascii="宋体" w:hAnsi="宋体" w:cs="宋体"/>
                <w:b/>
                <w:bCs/>
                <w:color w:val="auto"/>
                <w:kern w:val="0"/>
                <w:szCs w:val="21"/>
                <w:highlight w:val="none"/>
              </w:rPr>
              <w:t>数量</w:t>
            </w:r>
          </w:p>
        </w:tc>
        <w:tc>
          <w:tcPr>
            <w:tcW w:w="990" w:type="dxa"/>
            <w:tcBorders>
              <w:top w:val="single" w:color="auto" w:sz="4" w:space="0"/>
              <w:left w:val="single" w:color="auto" w:sz="4" w:space="0"/>
              <w:bottom w:val="single" w:color="auto" w:sz="4" w:space="0"/>
              <w:right w:val="single" w:color="auto" w:sz="4" w:space="0"/>
            </w:tcBorders>
            <w:vAlign w:val="center"/>
          </w:tcPr>
          <w:p>
            <w:pPr>
              <w:spacing w:before="0" w:after="0" w:line="340" w:lineRule="exact"/>
              <w:ind w:firstLine="0" w:firstLineChars="0"/>
              <w:jc w:val="center"/>
              <w:rPr>
                <w:rFonts w:ascii="宋体" w:hAnsi="宋体"/>
                <w:b/>
                <w:bCs/>
                <w:color w:val="auto"/>
                <w:highlight w:val="none"/>
              </w:rPr>
            </w:pPr>
            <w:r>
              <w:rPr>
                <w:rFonts w:hint="eastAsia" w:ascii="宋体" w:hAnsi="宋体"/>
                <w:b/>
                <w:bCs/>
                <w:color w:val="auto"/>
                <w:highlight w:val="none"/>
              </w:rPr>
              <w:t>单位</w:t>
            </w:r>
          </w:p>
        </w:tc>
        <w:tc>
          <w:tcPr>
            <w:tcW w:w="2021" w:type="dxa"/>
            <w:tcBorders>
              <w:top w:val="single" w:color="auto" w:sz="4" w:space="0"/>
              <w:left w:val="single" w:color="auto" w:sz="4" w:space="0"/>
              <w:bottom w:val="single" w:color="auto" w:sz="4" w:space="0"/>
              <w:right w:val="single" w:color="auto" w:sz="4" w:space="0"/>
            </w:tcBorders>
            <w:vAlign w:val="center"/>
          </w:tcPr>
          <w:p>
            <w:pPr>
              <w:spacing w:line="340" w:lineRule="exact"/>
              <w:ind w:firstLine="0" w:firstLineChars="0"/>
              <w:jc w:val="center"/>
              <w:rPr>
                <w:rFonts w:ascii="宋体" w:hAnsi="宋体"/>
                <w:b/>
                <w:bCs/>
                <w:color w:val="auto"/>
                <w:highlight w:val="none"/>
              </w:rPr>
            </w:pPr>
            <w:r>
              <w:rPr>
                <w:rFonts w:hint="eastAsia" w:ascii="宋体" w:hAnsi="宋体"/>
                <w:b/>
                <w:color w:val="auto"/>
                <w:szCs w:val="21"/>
                <w:highlight w:val="none"/>
              </w:rPr>
              <w:t>简要规格描述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exac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ascii="宋体" w:hAnsi="宋体" w:cs="Arial"/>
                <w:color w:val="auto"/>
                <w:kern w:val="0"/>
                <w:szCs w:val="21"/>
                <w:highlight w:val="none"/>
              </w:rPr>
            </w:pPr>
            <w:r>
              <w:rPr>
                <w:rFonts w:hint="eastAsia" w:ascii="宋体" w:hAnsi="宋体" w:cs="Arial"/>
                <w:color w:val="auto"/>
                <w:kern w:val="0"/>
                <w:szCs w:val="21"/>
                <w:highlight w:val="none"/>
              </w:rPr>
              <w:t>1</w:t>
            </w:r>
          </w:p>
        </w:tc>
        <w:tc>
          <w:tcPr>
            <w:tcW w:w="389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ind w:firstLine="0" w:firstLineChars="0"/>
              <w:jc w:val="center"/>
              <w:rPr>
                <w:rFonts w:ascii="宋体" w:hAnsi="宋体" w:cs="宋体"/>
                <w:color w:val="auto"/>
                <w:szCs w:val="21"/>
                <w:highlight w:val="none"/>
              </w:rPr>
            </w:pPr>
            <w:r>
              <w:rPr>
                <w:rFonts w:hint="eastAsia" w:ascii="宋体" w:hAnsi="宋体" w:cs="宋体"/>
                <w:color w:val="auto"/>
                <w:szCs w:val="21"/>
                <w:lang w:val="en-US" w:eastAsia="zh-CN"/>
              </w:rPr>
              <w:t>服务器及</w:t>
            </w:r>
            <w:r>
              <w:rPr>
                <w:rFonts w:hint="eastAsia" w:ascii="宋体" w:hAnsi="宋体" w:eastAsia="宋体" w:cs="宋体"/>
                <w:color w:val="auto"/>
                <w:szCs w:val="21"/>
                <w:lang w:val="en-US" w:eastAsia="zh-CN"/>
              </w:rPr>
              <w:t>软件</w:t>
            </w:r>
          </w:p>
        </w:tc>
        <w:tc>
          <w:tcPr>
            <w:tcW w:w="83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ascii="宋体" w:hAnsi="宋体" w:cs="Arial"/>
                <w:color w:val="auto"/>
                <w:kern w:val="0"/>
                <w:szCs w:val="21"/>
                <w:highlight w:val="none"/>
              </w:rPr>
            </w:pPr>
            <w:r>
              <w:rPr>
                <w:rFonts w:hint="eastAsia" w:ascii="宋体" w:hAnsi="宋体" w:cs="Arial"/>
                <w:color w:val="auto"/>
                <w:kern w:val="0"/>
                <w:szCs w:val="21"/>
                <w:highlight w:val="none"/>
              </w:rPr>
              <w:t>1</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hint="eastAsia" w:ascii="宋体" w:hAnsi="宋体" w:cs="Arial"/>
                <w:color w:val="auto"/>
                <w:kern w:val="0"/>
                <w:szCs w:val="21"/>
                <w:highlight w:val="none"/>
                <w:lang w:eastAsia="zh-CN"/>
              </w:rPr>
            </w:pPr>
            <w:r>
              <w:rPr>
                <w:rFonts w:hint="eastAsia" w:ascii="宋体" w:hAnsi="宋体" w:cs="Arial"/>
                <w:color w:val="auto"/>
                <w:kern w:val="0"/>
                <w:szCs w:val="21"/>
                <w:highlight w:val="none"/>
                <w:lang w:eastAsia="zh-CN"/>
              </w:rPr>
              <w:t>套</w:t>
            </w:r>
          </w:p>
        </w:tc>
        <w:tc>
          <w:tcPr>
            <w:tcW w:w="2021" w:type="dxa"/>
            <w:vMerge w:val="restart"/>
            <w:tcBorders>
              <w:top w:val="single" w:color="auto" w:sz="4" w:space="0"/>
              <w:left w:val="single" w:color="auto" w:sz="4" w:space="0"/>
              <w:right w:val="single" w:color="auto" w:sz="4" w:space="0"/>
            </w:tcBorders>
            <w:vAlign w:val="center"/>
          </w:tcPr>
          <w:p>
            <w:pPr>
              <w:spacing w:before="0" w:after="0" w:line="420" w:lineRule="exact"/>
              <w:ind w:left="0" w:leftChars="0" w:firstLine="0" w:firstLineChars="0"/>
              <w:jc w:val="center"/>
              <w:rPr>
                <w:rFonts w:ascii="宋体" w:hAnsi="宋体"/>
                <w:bCs/>
                <w:color w:val="auto"/>
                <w:szCs w:val="21"/>
                <w:highlight w:val="none"/>
              </w:rPr>
            </w:pPr>
            <w:r>
              <w:rPr>
                <w:rFonts w:hint="eastAsia" w:ascii="宋体" w:hAnsi="宋体"/>
                <w:bCs/>
                <w:color w:val="auto"/>
                <w:szCs w:val="21"/>
                <w:highlight w:val="none"/>
              </w:rPr>
              <w:t>如需进一步了解详细内容，详见竞争性磋商文件。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exac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hint="eastAsia" w:ascii="宋体" w:hAnsi="宋体" w:eastAsia="宋体" w:cs="Arial"/>
                <w:color w:val="auto"/>
                <w:kern w:val="0"/>
                <w:szCs w:val="21"/>
                <w:highlight w:val="none"/>
                <w:lang w:val="en-US" w:eastAsia="zh-CN"/>
              </w:rPr>
            </w:pPr>
            <w:r>
              <w:rPr>
                <w:rFonts w:hint="eastAsia" w:ascii="宋体" w:hAnsi="宋体" w:cs="Arial"/>
                <w:color w:val="auto"/>
                <w:kern w:val="0"/>
                <w:szCs w:val="21"/>
                <w:highlight w:val="none"/>
                <w:lang w:val="en-US" w:eastAsia="zh-CN"/>
              </w:rPr>
              <w:t>2</w:t>
            </w:r>
          </w:p>
        </w:tc>
        <w:tc>
          <w:tcPr>
            <w:tcW w:w="389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ind w:firstLine="0" w:firstLineChars="0"/>
              <w:jc w:val="center"/>
              <w:rPr>
                <w:rFonts w:hint="eastAsia" w:ascii="宋体" w:hAnsi="宋体" w:cs="宋体"/>
                <w:color w:val="auto"/>
                <w:szCs w:val="21"/>
                <w:highlight w:val="none"/>
                <w:lang w:eastAsia="zh-CN"/>
              </w:rPr>
            </w:pPr>
            <w:r>
              <w:rPr>
                <w:rFonts w:hint="eastAsia" w:ascii="宋体" w:hAnsi="宋体" w:eastAsia="宋体" w:cs="宋体"/>
                <w:color w:val="auto"/>
                <w:szCs w:val="21"/>
                <w:lang w:val="en-US" w:eastAsia="zh-CN"/>
              </w:rPr>
              <w:t>医护主机</w:t>
            </w:r>
          </w:p>
        </w:tc>
        <w:tc>
          <w:tcPr>
            <w:tcW w:w="83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hint="eastAsia" w:ascii="宋体" w:hAnsi="宋体" w:cs="Arial"/>
                <w:color w:val="auto"/>
                <w:kern w:val="0"/>
                <w:szCs w:val="21"/>
                <w:highlight w:val="none"/>
                <w:lang w:val="en-US" w:eastAsia="zh-CN"/>
              </w:rPr>
            </w:pPr>
            <w:r>
              <w:rPr>
                <w:rFonts w:hint="eastAsia" w:ascii="宋体" w:hAnsi="宋体" w:cs="Arial"/>
                <w:color w:val="auto"/>
                <w:kern w:val="0"/>
                <w:szCs w:val="21"/>
                <w:highlight w:val="none"/>
              </w:rPr>
              <w:t>1</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hint="eastAsia" w:ascii="宋体" w:hAnsi="宋体" w:cs="Arial"/>
                <w:color w:val="auto"/>
                <w:kern w:val="0"/>
                <w:szCs w:val="21"/>
                <w:highlight w:val="none"/>
                <w:lang w:val="en-US" w:eastAsia="zh-CN"/>
              </w:rPr>
            </w:pPr>
            <w:r>
              <w:rPr>
                <w:rFonts w:hint="eastAsia" w:ascii="宋体" w:hAnsi="宋体" w:cs="Arial"/>
                <w:color w:val="auto"/>
                <w:kern w:val="0"/>
                <w:szCs w:val="21"/>
                <w:highlight w:val="none"/>
                <w:lang w:eastAsia="zh-CN"/>
              </w:rPr>
              <w:t>套</w:t>
            </w:r>
          </w:p>
        </w:tc>
        <w:tc>
          <w:tcPr>
            <w:tcW w:w="2021" w:type="dxa"/>
            <w:vMerge w:val="continue"/>
            <w:tcBorders>
              <w:left w:val="single" w:color="auto" w:sz="4" w:space="0"/>
              <w:right w:val="single" w:color="auto" w:sz="4" w:space="0"/>
            </w:tcBorders>
            <w:vAlign w:val="center"/>
          </w:tcPr>
          <w:p>
            <w:pPr>
              <w:spacing w:before="0" w:after="0" w:line="420" w:lineRule="exact"/>
              <w:ind w:left="0" w:leftChars="0" w:firstLine="0" w:firstLineChars="0"/>
              <w:jc w:val="center"/>
              <w:rPr>
                <w:rFonts w:hint="eastAsia"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exac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hint="eastAsia" w:ascii="宋体" w:hAnsi="宋体" w:eastAsia="宋体" w:cs="Arial"/>
                <w:color w:val="auto"/>
                <w:kern w:val="0"/>
                <w:szCs w:val="21"/>
                <w:highlight w:val="none"/>
                <w:lang w:val="en-US" w:eastAsia="zh-CN"/>
              </w:rPr>
            </w:pPr>
            <w:r>
              <w:rPr>
                <w:rFonts w:hint="eastAsia" w:ascii="宋体" w:hAnsi="宋体" w:cs="Arial"/>
                <w:color w:val="auto"/>
                <w:kern w:val="0"/>
                <w:szCs w:val="21"/>
                <w:highlight w:val="none"/>
                <w:lang w:val="en-US" w:eastAsia="zh-CN"/>
              </w:rPr>
              <w:t>3</w:t>
            </w:r>
          </w:p>
        </w:tc>
        <w:tc>
          <w:tcPr>
            <w:tcW w:w="3896" w:type="dxa"/>
            <w:tcBorders>
              <w:top w:val="single" w:color="auto" w:sz="4" w:space="0"/>
              <w:left w:val="single" w:color="auto" w:sz="4" w:space="0"/>
              <w:bottom w:val="single" w:color="auto" w:sz="4" w:space="0"/>
              <w:right w:val="single" w:color="auto" w:sz="4" w:space="0"/>
            </w:tcBorders>
            <w:vAlign w:val="center"/>
          </w:tcPr>
          <w:p>
            <w:pPr>
              <w:spacing w:before="0" w:after="0" w:line="420" w:lineRule="exact"/>
              <w:ind w:firstLine="0" w:firstLineChars="0"/>
              <w:jc w:val="center"/>
              <w:rPr>
                <w:rFonts w:hint="eastAsia" w:ascii="宋体" w:hAnsi="宋体" w:cs="宋体"/>
                <w:color w:val="auto"/>
                <w:szCs w:val="21"/>
                <w:highlight w:val="none"/>
                <w:lang w:eastAsia="zh-CN"/>
              </w:rPr>
            </w:pPr>
            <w:r>
              <w:rPr>
                <w:rFonts w:hint="eastAsia" w:ascii="宋体" w:hAnsi="宋体" w:eastAsia="宋体" w:cs="宋体"/>
                <w:color w:val="auto"/>
                <w:szCs w:val="21"/>
                <w:lang w:val="en-US" w:eastAsia="zh-CN"/>
              </w:rPr>
              <w:t>床旁分机</w:t>
            </w:r>
          </w:p>
        </w:tc>
        <w:tc>
          <w:tcPr>
            <w:tcW w:w="83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16</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hint="eastAsia" w:ascii="宋体" w:hAnsi="宋体" w:cs="Arial"/>
                <w:color w:val="auto"/>
                <w:kern w:val="0"/>
                <w:szCs w:val="21"/>
                <w:highlight w:val="none"/>
                <w:lang w:eastAsia="zh-CN"/>
              </w:rPr>
            </w:pPr>
            <w:r>
              <w:rPr>
                <w:rFonts w:hint="eastAsia" w:ascii="宋体" w:hAnsi="宋体" w:cs="Arial"/>
                <w:color w:val="auto"/>
                <w:kern w:val="0"/>
                <w:szCs w:val="21"/>
                <w:highlight w:val="none"/>
                <w:lang w:eastAsia="zh-CN"/>
              </w:rPr>
              <w:t>套</w:t>
            </w:r>
          </w:p>
        </w:tc>
        <w:tc>
          <w:tcPr>
            <w:tcW w:w="2021" w:type="dxa"/>
            <w:vMerge w:val="continue"/>
            <w:tcBorders>
              <w:left w:val="single" w:color="auto" w:sz="4" w:space="0"/>
              <w:right w:val="single" w:color="auto" w:sz="4" w:space="0"/>
            </w:tcBorders>
            <w:vAlign w:val="center"/>
          </w:tcPr>
          <w:p>
            <w:pPr>
              <w:spacing w:before="0" w:after="0" w:line="420" w:lineRule="exact"/>
              <w:ind w:left="0" w:leftChars="0" w:firstLine="0" w:firstLineChars="0"/>
              <w:jc w:val="center"/>
              <w:rPr>
                <w:rFonts w:hint="eastAsia"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exac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Arial"/>
                <w:color w:val="auto"/>
                <w:kern w:val="0"/>
                <w:szCs w:val="21"/>
                <w:highlight w:val="none"/>
                <w:lang w:val="en-US" w:eastAsia="zh-CN"/>
              </w:rPr>
            </w:pPr>
            <w:r>
              <w:rPr>
                <w:rFonts w:hint="eastAsia" w:ascii="宋体" w:hAnsi="宋体" w:cs="宋体"/>
                <w:color w:val="auto"/>
                <w:szCs w:val="21"/>
                <w:lang w:val="en-US" w:eastAsia="zh-CN"/>
              </w:rPr>
              <w:t>4</w:t>
            </w:r>
          </w:p>
        </w:tc>
        <w:tc>
          <w:tcPr>
            <w:tcW w:w="389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cs="宋体"/>
                <w:color w:val="auto"/>
                <w:szCs w:val="21"/>
                <w:highlight w:val="none"/>
                <w:lang w:eastAsia="zh-CN"/>
              </w:rPr>
            </w:pPr>
            <w:r>
              <w:rPr>
                <w:rFonts w:hint="eastAsia" w:ascii="宋体" w:hAnsi="宋体" w:eastAsia="宋体" w:cs="宋体"/>
                <w:color w:val="auto"/>
                <w:szCs w:val="21"/>
                <w:lang w:val="en-US" w:eastAsia="zh-CN"/>
              </w:rPr>
              <w:t>落地支架</w:t>
            </w:r>
          </w:p>
        </w:tc>
        <w:tc>
          <w:tcPr>
            <w:tcW w:w="83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hint="eastAsia"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16</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hint="eastAsia" w:ascii="宋体" w:hAnsi="宋体" w:cs="Arial"/>
                <w:color w:val="auto"/>
                <w:kern w:val="0"/>
                <w:szCs w:val="21"/>
                <w:highlight w:val="none"/>
                <w:lang w:val="en-US" w:eastAsia="zh-CN"/>
              </w:rPr>
            </w:pPr>
            <w:r>
              <w:rPr>
                <w:rFonts w:hint="eastAsia" w:ascii="宋体" w:hAnsi="宋体" w:cs="Arial"/>
                <w:color w:val="auto"/>
                <w:kern w:val="0"/>
                <w:szCs w:val="21"/>
                <w:highlight w:val="none"/>
                <w:lang w:eastAsia="zh-CN"/>
              </w:rPr>
              <w:t>套</w:t>
            </w:r>
          </w:p>
        </w:tc>
        <w:tc>
          <w:tcPr>
            <w:tcW w:w="2021" w:type="dxa"/>
            <w:vMerge w:val="continue"/>
            <w:tcBorders>
              <w:left w:val="single" w:color="auto" w:sz="4" w:space="0"/>
              <w:right w:val="single" w:color="auto" w:sz="4" w:space="0"/>
            </w:tcBorders>
            <w:vAlign w:val="center"/>
          </w:tcPr>
          <w:p>
            <w:pPr>
              <w:spacing w:before="0" w:after="0" w:line="420" w:lineRule="exact"/>
              <w:ind w:left="0" w:leftChars="0" w:firstLine="0" w:firstLineChars="0"/>
              <w:jc w:val="center"/>
              <w:rPr>
                <w:rFonts w:hint="eastAsia"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exac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Arial"/>
                <w:color w:val="auto"/>
                <w:kern w:val="0"/>
                <w:szCs w:val="21"/>
                <w:highlight w:val="none"/>
                <w:lang w:val="en-US" w:eastAsia="zh-CN"/>
              </w:rPr>
            </w:pPr>
            <w:r>
              <w:rPr>
                <w:rFonts w:hint="eastAsia" w:ascii="宋体" w:hAnsi="宋体" w:cs="宋体"/>
                <w:color w:val="auto"/>
                <w:szCs w:val="21"/>
                <w:lang w:val="en-US" w:eastAsia="zh-CN"/>
              </w:rPr>
              <w:t>5</w:t>
            </w:r>
          </w:p>
        </w:tc>
        <w:tc>
          <w:tcPr>
            <w:tcW w:w="389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cs="宋体"/>
                <w:color w:val="auto"/>
                <w:szCs w:val="21"/>
                <w:highlight w:val="none"/>
                <w:lang w:eastAsia="zh-CN"/>
              </w:rPr>
            </w:pPr>
            <w:r>
              <w:rPr>
                <w:rFonts w:hint="eastAsia" w:ascii="宋体" w:hAnsi="宋体" w:eastAsia="宋体" w:cs="宋体"/>
                <w:color w:val="auto"/>
                <w:szCs w:val="21"/>
                <w:lang w:val="en-US" w:eastAsia="zh-CN"/>
              </w:rPr>
              <w:t>门口分机</w:t>
            </w:r>
          </w:p>
        </w:tc>
        <w:tc>
          <w:tcPr>
            <w:tcW w:w="83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hint="eastAsia"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13</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hint="eastAsia" w:ascii="宋体" w:hAnsi="宋体" w:cs="Arial"/>
                <w:color w:val="auto"/>
                <w:kern w:val="0"/>
                <w:szCs w:val="21"/>
                <w:highlight w:val="none"/>
                <w:lang w:val="en-US" w:eastAsia="zh-CN"/>
              </w:rPr>
            </w:pPr>
            <w:r>
              <w:rPr>
                <w:rFonts w:hint="eastAsia" w:ascii="宋体" w:hAnsi="宋体" w:cs="Arial"/>
                <w:color w:val="auto"/>
                <w:kern w:val="0"/>
                <w:szCs w:val="21"/>
                <w:highlight w:val="none"/>
                <w:lang w:eastAsia="zh-CN"/>
              </w:rPr>
              <w:t>套</w:t>
            </w:r>
          </w:p>
        </w:tc>
        <w:tc>
          <w:tcPr>
            <w:tcW w:w="2021" w:type="dxa"/>
            <w:vMerge w:val="continue"/>
            <w:tcBorders>
              <w:left w:val="single" w:color="auto" w:sz="4" w:space="0"/>
              <w:right w:val="single" w:color="auto" w:sz="4" w:space="0"/>
            </w:tcBorders>
            <w:vAlign w:val="center"/>
          </w:tcPr>
          <w:p>
            <w:pPr>
              <w:spacing w:before="0" w:after="0" w:line="420" w:lineRule="exact"/>
              <w:ind w:left="0" w:leftChars="0" w:firstLine="0" w:firstLineChars="0"/>
              <w:jc w:val="center"/>
              <w:rPr>
                <w:rFonts w:hint="eastAsia"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exact"/>
          <w:jc w:val="center"/>
        </w:trPr>
        <w:tc>
          <w:tcPr>
            <w:tcW w:w="641"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cs="宋体"/>
                <w:color w:val="auto"/>
                <w:szCs w:val="21"/>
                <w:lang w:val="en-US" w:eastAsia="zh-CN"/>
              </w:rPr>
            </w:pPr>
            <w:r>
              <w:rPr>
                <w:rFonts w:hint="eastAsia" w:ascii="宋体" w:hAnsi="宋体" w:cs="宋体"/>
                <w:color w:val="auto"/>
                <w:szCs w:val="21"/>
                <w:lang w:val="en-US" w:eastAsia="zh-CN"/>
              </w:rPr>
              <w:t>6</w:t>
            </w:r>
          </w:p>
        </w:tc>
        <w:tc>
          <w:tcPr>
            <w:tcW w:w="389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卫生间分机</w:t>
            </w:r>
          </w:p>
        </w:tc>
        <w:tc>
          <w:tcPr>
            <w:tcW w:w="83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hint="eastAsia"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13</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hint="eastAsia" w:ascii="宋体" w:hAnsi="宋体" w:cs="Arial"/>
                <w:color w:val="auto"/>
                <w:kern w:val="0"/>
                <w:szCs w:val="21"/>
                <w:highlight w:val="none"/>
                <w:lang w:eastAsia="zh-CN"/>
              </w:rPr>
            </w:pPr>
            <w:r>
              <w:rPr>
                <w:rFonts w:hint="eastAsia" w:ascii="宋体" w:hAnsi="宋体" w:cs="Arial"/>
                <w:color w:val="auto"/>
                <w:kern w:val="0"/>
                <w:szCs w:val="21"/>
                <w:highlight w:val="none"/>
                <w:lang w:eastAsia="zh-CN"/>
              </w:rPr>
              <w:t>套</w:t>
            </w:r>
          </w:p>
        </w:tc>
        <w:tc>
          <w:tcPr>
            <w:tcW w:w="2021" w:type="dxa"/>
            <w:vMerge w:val="continue"/>
            <w:tcBorders>
              <w:left w:val="single" w:color="auto" w:sz="4" w:space="0"/>
              <w:right w:val="single" w:color="auto" w:sz="4" w:space="0"/>
            </w:tcBorders>
            <w:vAlign w:val="center"/>
          </w:tcPr>
          <w:p>
            <w:pPr>
              <w:spacing w:before="0" w:after="0" w:line="420" w:lineRule="exact"/>
              <w:ind w:left="0" w:leftChars="0" w:firstLine="0" w:firstLineChars="0"/>
              <w:jc w:val="center"/>
              <w:rPr>
                <w:rFonts w:hint="eastAsia"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exact"/>
          <w:jc w:val="center"/>
        </w:trPr>
        <w:tc>
          <w:tcPr>
            <w:tcW w:w="641"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cs="宋体"/>
                <w:color w:val="auto"/>
                <w:szCs w:val="21"/>
                <w:lang w:val="en-US" w:eastAsia="zh-CN"/>
              </w:rPr>
            </w:pPr>
            <w:r>
              <w:rPr>
                <w:rFonts w:hint="eastAsia" w:ascii="宋体" w:hAnsi="宋体" w:cs="宋体"/>
                <w:color w:val="auto"/>
                <w:szCs w:val="21"/>
                <w:lang w:val="en-US" w:eastAsia="zh-CN"/>
              </w:rPr>
              <w:t>7</w:t>
            </w:r>
          </w:p>
        </w:tc>
        <w:tc>
          <w:tcPr>
            <w:tcW w:w="389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门禁分机</w:t>
            </w:r>
          </w:p>
        </w:tc>
        <w:tc>
          <w:tcPr>
            <w:tcW w:w="83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1</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hint="eastAsia" w:ascii="宋体" w:hAnsi="宋体" w:cs="Arial"/>
                <w:color w:val="auto"/>
                <w:kern w:val="0"/>
                <w:szCs w:val="21"/>
                <w:highlight w:val="none"/>
                <w:lang w:eastAsia="zh-CN"/>
              </w:rPr>
            </w:pPr>
            <w:r>
              <w:rPr>
                <w:rFonts w:hint="eastAsia" w:ascii="宋体" w:hAnsi="宋体" w:cs="Arial"/>
                <w:color w:val="auto"/>
                <w:kern w:val="0"/>
                <w:szCs w:val="21"/>
                <w:highlight w:val="none"/>
                <w:lang w:eastAsia="zh-CN"/>
              </w:rPr>
              <w:t>套</w:t>
            </w:r>
          </w:p>
        </w:tc>
        <w:tc>
          <w:tcPr>
            <w:tcW w:w="2021" w:type="dxa"/>
            <w:vMerge w:val="continue"/>
            <w:tcBorders>
              <w:left w:val="single" w:color="auto" w:sz="4" w:space="0"/>
              <w:right w:val="single" w:color="auto" w:sz="4" w:space="0"/>
            </w:tcBorders>
            <w:vAlign w:val="center"/>
          </w:tcPr>
          <w:p>
            <w:pPr>
              <w:spacing w:before="0" w:after="0" w:line="420" w:lineRule="exact"/>
              <w:ind w:left="0" w:leftChars="0" w:firstLine="0" w:firstLineChars="0"/>
              <w:jc w:val="center"/>
              <w:rPr>
                <w:rFonts w:hint="eastAsia"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exact"/>
          <w:jc w:val="center"/>
        </w:trPr>
        <w:tc>
          <w:tcPr>
            <w:tcW w:w="641"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cs="宋体"/>
                <w:color w:val="auto"/>
                <w:szCs w:val="21"/>
                <w:lang w:val="en-US" w:eastAsia="zh-CN"/>
              </w:rPr>
            </w:pPr>
            <w:r>
              <w:rPr>
                <w:rFonts w:hint="eastAsia" w:ascii="宋体" w:hAnsi="宋体" w:cs="宋体"/>
                <w:color w:val="auto"/>
                <w:szCs w:val="21"/>
                <w:lang w:val="en-US" w:eastAsia="zh-CN"/>
              </w:rPr>
              <w:t>8</w:t>
            </w:r>
          </w:p>
        </w:tc>
        <w:tc>
          <w:tcPr>
            <w:tcW w:w="389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走廊点阵屏</w:t>
            </w:r>
          </w:p>
        </w:tc>
        <w:tc>
          <w:tcPr>
            <w:tcW w:w="83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hint="eastAsia"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1</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hint="eastAsia" w:ascii="宋体" w:hAnsi="宋体" w:cs="Arial"/>
                <w:color w:val="auto"/>
                <w:kern w:val="0"/>
                <w:szCs w:val="21"/>
                <w:highlight w:val="none"/>
                <w:lang w:eastAsia="zh-CN"/>
              </w:rPr>
            </w:pPr>
            <w:r>
              <w:rPr>
                <w:rFonts w:hint="eastAsia" w:ascii="宋体" w:hAnsi="宋体" w:cs="Arial"/>
                <w:color w:val="auto"/>
                <w:kern w:val="0"/>
                <w:szCs w:val="21"/>
                <w:highlight w:val="none"/>
                <w:lang w:eastAsia="zh-CN"/>
              </w:rPr>
              <w:t>套</w:t>
            </w:r>
          </w:p>
        </w:tc>
        <w:tc>
          <w:tcPr>
            <w:tcW w:w="2021" w:type="dxa"/>
            <w:vMerge w:val="continue"/>
            <w:tcBorders>
              <w:left w:val="single" w:color="auto" w:sz="4" w:space="0"/>
              <w:right w:val="single" w:color="auto" w:sz="4" w:space="0"/>
            </w:tcBorders>
            <w:vAlign w:val="center"/>
          </w:tcPr>
          <w:p>
            <w:pPr>
              <w:spacing w:before="0" w:after="0" w:line="420" w:lineRule="exact"/>
              <w:ind w:left="0" w:leftChars="0" w:firstLine="0" w:firstLineChars="0"/>
              <w:jc w:val="center"/>
              <w:rPr>
                <w:rFonts w:hint="eastAsia"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exact"/>
          <w:jc w:val="center"/>
        </w:trPr>
        <w:tc>
          <w:tcPr>
            <w:tcW w:w="641"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Arial"/>
                <w:color w:val="auto"/>
                <w:kern w:val="0"/>
                <w:szCs w:val="21"/>
                <w:highlight w:val="none"/>
                <w:lang w:val="en-US" w:eastAsia="zh-CN"/>
              </w:rPr>
            </w:pPr>
            <w:r>
              <w:rPr>
                <w:rFonts w:hint="eastAsia" w:ascii="宋体" w:hAnsi="宋体" w:cs="宋体"/>
                <w:color w:val="auto"/>
                <w:szCs w:val="21"/>
                <w:lang w:val="en-US" w:eastAsia="zh-CN"/>
              </w:rPr>
              <w:t>9</w:t>
            </w:r>
          </w:p>
        </w:tc>
        <w:tc>
          <w:tcPr>
            <w:tcW w:w="389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cs="宋体"/>
                <w:color w:val="auto"/>
                <w:szCs w:val="21"/>
                <w:highlight w:val="none"/>
                <w:lang w:eastAsia="zh-CN"/>
              </w:rPr>
            </w:pPr>
            <w:r>
              <w:rPr>
                <w:rFonts w:hint="eastAsia" w:ascii="宋体" w:hAnsi="宋体" w:eastAsia="宋体" w:cs="宋体"/>
                <w:color w:val="auto"/>
                <w:szCs w:val="21"/>
                <w:lang w:val="en-US" w:eastAsia="zh-CN"/>
              </w:rPr>
              <w:t>多媒体控制器</w:t>
            </w:r>
          </w:p>
        </w:tc>
        <w:tc>
          <w:tcPr>
            <w:tcW w:w="83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hint="eastAsia" w:ascii="宋体" w:hAnsi="宋体" w:cs="Arial"/>
                <w:color w:val="auto"/>
                <w:kern w:val="0"/>
                <w:szCs w:val="21"/>
                <w:highlight w:val="none"/>
              </w:rPr>
            </w:pPr>
            <w:r>
              <w:rPr>
                <w:rFonts w:hint="eastAsia" w:ascii="宋体" w:hAnsi="宋体" w:cs="Arial"/>
                <w:color w:val="auto"/>
                <w:kern w:val="0"/>
                <w:szCs w:val="21"/>
                <w:highlight w:val="none"/>
                <w:lang w:val="en-US" w:eastAsia="zh-CN"/>
              </w:rPr>
              <w:t>1</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hint="eastAsia" w:ascii="宋体" w:hAnsi="宋体" w:cs="Arial"/>
                <w:color w:val="auto"/>
                <w:kern w:val="0"/>
                <w:szCs w:val="21"/>
                <w:highlight w:val="none"/>
              </w:rPr>
            </w:pPr>
            <w:r>
              <w:rPr>
                <w:rFonts w:hint="eastAsia" w:ascii="宋体" w:hAnsi="宋体" w:cs="Arial"/>
                <w:color w:val="auto"/>
                <w:kern w:val="0"/>
                <w:szCs w:val="21"/>
                <w:highlight w:val="none"/>
                <w:lang w:eastAsia="zh-CN"/>
              </w:rPr>
              <w:t>套</w:t>
            </w:r>
          </w:p>
        </w:tc>
        <w:tc>
          <w:tcPr>
            <w:tcW w:w="2021" w:type="dxa"/>
            <w:vMerge w:val="continue"/>
            <w:tcBorders>
              <w:left w:val="single" w:color="auto" w:sz="4" w:space="0"/>
              <w:right w:val="single" w:color="auto" w:sz="4" w:space="0"/>
            </w:tcBorders>
            <w:vAlign w:val="center"/>
          </w:tcPr>
          <w:p>
            <w:pPr>
              <w:spacing w:before="0" w:after="0" w:line="420" w:lineRule="exact"/>
              <w:ind w:left="0" w:leftChars="0" w:firstLine="0" w:firstLineChars="0"/>
              <w:jc w:val="center"/>
              <w:rPr>
                <w:rFonts w:hint="eastAsia"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exact"/>
          <w:jc w:val="center"/>
        </w:trPr>
        <w:tc>
          <w:tcPr>
            <w:tcW w:w="641"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cs="宋体"/>
                <w:color w:val="auto"/>
                <w:szCs w:val="21"/>
                <w:lang w:val="en-US" w:eastAsia="zh-CN"/>
              </w:rPr>
            </w:pPr>
            <w:r>
              <w:rPr>
                <w:rFonts w:hint="eastAsia" w:ascii="宋体" w:hAnsi="宋体" w:cs="宋体"/>
                <w:color w:val="auto"/>
                <w:szCs w:val="21"/>
                <w:lang w:val="en-US" w:eastAsia="zh-CN"/>
              </w:rPr>
              <w:t>10</w:t>
            </w:r>
          </w:p>
        </w:tc>
        <w:tc>
          <w:tcPr>
            <w:tcW w:w="389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外置电源</w:t>
            </w:r>
          </w:p>
        </w:tc>
        <w:tc>
          <w:tcPr>
            <w:tcW w:w="83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hint="eastAsia"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1</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hint="eastAsia" w:ascii="宋体" w:hAnsi="宋体" w:cs="Arial"/>
                <w:color w:val="auto"/>
                <w:kern w:val="0"/>
                <w:szCs w:val="21"/>
                <w:highlight w:val="none"/>
                <w:lang w:val="en-US" w:eastAsia="zh-CN"/>
              </w:rPr>
            </w:pPr>
            <w:r>
              <w:rPr>
                <w:rFonts w:hint="eastAsia" w:ascii="宋体" w:hAnsi="宋体" w:cs="Arial"/>
                <w:color w:val="auto"/>
                <w:kern w:val="0"/>
                <w:szCs w:val="21"/>
                <w:highlight w:val="none"/>
                <w:lang w:eastAsia="zh-CN"/>
              </w:rPr>
              <w:t>套</w:t>
            </w:r>
          </w:p>
        </w:tc>
        <w:tc>
          <w:tcPr>
            <w:tcW w:w="2021" w:type="dxa"/>
            <w:vMerge w:val="continue"/>
            <w:tcBorders>
              <w:left w:val="single" w:color="auto" w:sz="4" w:space="0"/>
              <w:right w:val="single" w:color="auto" w:sz="4" w:space="0"/>
            </w:tcBorders>
            <w:vAlign w:val="center"/>
          </w:tcPr>
          <w:p>
            <w:pPr>
              <w:spacing w:before="0" w:after="0" w:line="420" w:lineRule="exact"/>
              <w:ind w:left="0" w:leftChars="0" w:firstLine="0" w:firstLineChars="0"/>
              <w:jc w:val="center"/>
              <w:rPr>
                <w:rFonts w:hint="eastAsia"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exact"/>
          <w:jc w:val="center"/>
        </w:trPr>
        <w:tc>
          <w:tcPr>
            <w:tcW w:w="641"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cs="宋体"/>
                <w:color w:val="auto"/>
                <w:szCs w:val="21"/>
                <w:lang w:val="en-US" w:eastAsia="zh-CN"/>
              </w:rPr>
            </w:pPr>
            <w:r>
              <w:rPr>
                <w:rFonts w:hint="eastAsia" w:ascii="宋体" w:hAnsi="宋体" w:cs="宋体"/>
                <w:color w:val="auto"/>
                <w:szCs w:val="21"/>
                <w:lang w:val="en-US" w:eastAsia="zh-CN"/>
              </w:rPr>
              <w:t>11</w:t>
            </w:r>
          </w:p>
        </w:tc>
        <w:tc>
          <w:tcPr>
            <w:tcW w:w="389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设备带</w:t>
            </w:r>
          </w:p>
        </w:tc>
        <w:tc>
          <w:tcPr>
            <w:tcW w:w="83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lang w:val="en-US" w:eastAsia="zh-CN"/>
              </w:rPr>
              <w:t>22</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before="0" w:after="0" w:line="340" w:lineRule="exact"/>
              <w:ind w:firstLine="0" w:firstLineChars="0"/>
              <w:jc w:val="center"/>
              <w:rPr>
                <w:rFonts w:hint="eastAsia" w:ascii="宋体" w:hAnsi="宋体" w:cs="Arial"/>
                <w:color w:val="auto"/>
                <w:kern w:val="0"/>
                <w:szCs w:val="21"/>
                <w:highlight w:val="none"/>
                <w:lang w:eastAsia="zh-CN"/>
              </w:rPr>
            </w:pPr>
            <w:r>
              <w:rPr>
                <w:rFonts w:hint="eastAsia" w:ascii="宋体" w:hAnsi="宋体" w:cs="Arial"/>
                <w:color w:val="auto"/>
                <w:kern w:val="0"/>
                <w:szCs w:val="21"/>
                <w:highlight w:val="none"/>
                <w:lang w:eastAsia="zh-CN"/>
              </w:rPr>
              <w:t>套</w:t>
            </w:r>
          </w:p>
        </w:tc>
        <w:tc>
          <w:tcPr>
            <w:tcW w:w="2021" w:type="dxa"/>
            <w:vMerge w:val="continue"/>
            <w:tcBorders>
              <w:left w:val="single" w:color="auto" w:sz="4" w:space="0"/>
              <w:right w:val="single" w:color="auto" w:sz="4" w:space="0"/>
            </w:tcBorders>
            <w:vAlign w:val="center"/>
          </w:tcPr>
          <w:p>
            <w:pPr>
              <w:spacing w:before="0" w:after="0" w:line="420" w:lineRule="exact"/>
              <w:ind w:left="0" w:leftChars="0" w:firstLine="0" w:firstLineChars="0"/>
              <w:jc w:val="center"/>
              <w:rPr>
                <w:rFonts w:hint="eastAsia" w:ascii="宋体" w:hAnsi="宋体"/>
                <w:bCs/>
                <w:color w:val="auto"/>
                <w:szCs w:val="21"/>
                <w:highlight w:val="none"/>
              </w:rPr>
            </w:pPr>
          </w:p>
        </w:tc>
      </w:tr>
    </w:tbl>
    <w:p>
      <w:pPr>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ascii="宋体" w:hAnsi="宋体" w:cs="宋体"/>
          <w:color w:val="auto"/>
          <w:szCs w:val="21"/>
          <w:highlight w:val="none"/>
        </w:rPr>
      </w:pPr>
      <w:r>
        <w:rPr>
          <w:rFonts w:hint="eastAsia" w:ascii="宋体" w:hAnsi="宋体" w:cs="宋体"/>
          <w:color w:val="auto"/>
          <w:szCs w:val="21"/>
          <w:highlight w:val="none"/>
        </w:rPr>
        <w:t>6.合同履行期限：</w:t>
      </w:r>
      <w:r>
        <w:rPr>
          <w:rFonts w:hint="eastAsia" w:ascii="宋体" w:hAnsi="宋体" w:eastAsia="宋体" w:cs="宋体"/>
          <w:color w:val="auto"/>
          <w:szCs w:val="21"/>
        </w:rPr>
        <w:t>自合同签订后</w:t>
      </w:r>
      <w:r>
        <w:rPr>
          <w:rFonts w:hint="eastAsia" w:ascii="宋体" w:hAnsi="宋体" w:eastAsia="宋体" w:cs="宋体"/>
          <w:color w:val="auto"/>
          <w:szCs w:val="21"/>
          <w:lang w:val="en-US" w:eastAsia="zh-CN"/>
        </w:rPr>
        <w:t>7</w:t>
      </w:r>
      <w:r>
        <w:rPr>
          <w:rFonts w:hint="eastAsia" w:ascii="宋体" w:hAnsi="宋体" w:eastAsia="宋体" w:cs="宋体"/>
          <w:color w:val="auto"/>
          <w:szCs w:val="21"/>
        </w:rPr>
        <w:t>个工作日内交货并按采购人要求安装调试完毕交付使用。</w:t>
      </w:r>
      <w:r>
        <w:rPr>
          <w:rFonts w:hint="eastAsia" w:ascii="宋体" w:hAnsi="宋体" w:cs="宋体"/>
          <w:color w:val="auto"/>
          <w:szCs w:val="21"/>
          <w:highlight w:val="none"/>
        </w:rPr>
        <w:t>具体详见采购文件。</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rPr>
          <w:rFonts w:ascii="宋体" w:hAnsi="宋体" w:cs="宋体"/>
          <w:color w:val="auto"/>
          <w:szCs w:val="21"/>
          <w:highlight w:val="none"/>
        </w:rPr>
      </w:pPr>
      <w:r>
        <w:rPr>
          <w:rFonts w:hint="eastAsia" w:ascii="宋体" w:hAnsi="宋体" w:cs="宋体"/>
          <w:color w:val="auto"/>
          <w:szCs w:val="21"/>
          <w:highlight w:val="none"/>
        </w:rPr>
        <w:t>7.本项目不接受联合体。</w:t>
      </w:r>
    </w:p>
    <w:p>
      <w:pPr>
        <w:keepNext w:val="0"/>
        <w:keepLines w:val="0"/>
        <w:pageBreakBefore w:val="0"/>
        <w:widowControl w:val="0"/>
        <w:kinsoku/>
        <w:wordWrap/>
        <w:overflowPunct/>
        <w:topLinePunct w:val="0"/>
        <w:autoSpaceDE/>
        <w:autoSpaceDN/>
        <w:bidi w:val="0"/>
        <w:adjustRightInd/>
        <w:snapToGrid/>
        <w:spacing w:line="380" w:lineRule="exact"/>
        <w:ind w:left="840" w:leftChars="400" w:firstLine="0" w:firstLineChars="0"/>
        <w:textAlignment w:val="auto"/>
        <w:rPr>
          <w:rFonts w:ascii="宋体" w:hAnsi="宋体" w:cs="宋体"/>
          <w:b/>
          <w:color w:val="auto"/>
          <w:szCs w:val="21"/>
          <w:highlight w:val="none"/>
        </w:rPr>
      </w:pPr>
      <w:bookmarkStart w:id="0" w:name="_Toc28359013"/>
      <w:bookmarkStart w:id="1" w:name="_Toc28359090"/>
      <w:bookmarkStart w:id="2" w:name="_Toc35393630"/>
      <w:bookmarkStart w:id="3" w:name="_Toc35393799"/>
      <w:r>
        <w:rPr>
          <w:rFonts w:hint="eastAsia" w:ascii="宋体" w:hAnsi="宋体" w:cs="宋体"/>
          <w:b/>
          <w:color w:val="auto"/>
          <w:szCs w:val="21"/>
          <w:highlight w:val="none"/>
        </w:rPr>
        <w:t>二、申请人的资格要求：</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bookmarkStart w:id="4" w:name="_Toc35393800"/>
      <w:bookmarkStart w:id="5" w:name="_Toc35393631"/>
      <w:r>
        <w:rPr>
          <w:rFonts w:hint="eastAsia" w:ascii="宋体" w:hAnsi="宋体" w:cs="宋体"/>
          <w:bCs/>
          <w:color w:val="auto"/>
          <w:szCs w:val="21"/>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2.落实政府采购政策需满足的资格要求：无。</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3.本项目的特定资格要求：无</w:t>
      </w:r>
    </w:p>
    <w:p>
      <w:pPr>
        <w:keepNext w:val="0"/>
        <w:keepLines w:val="0"/>
        <w:pageBreakBefore w:val="0"/>
        <w:widowControl w:val="0"/>
        <w:kinsoku/>
        <w:wordWrap/>
        <w:overflowPunct/>
        <w:topLinePunct w:val="0"/>
        <w:autoSpaceDE/>
        <w:autoSpaceDN/>
        <w:bidi w:val="0"/>
        <w:adjustRightInd/>
        <w:snapToGrid/>
        <w:spacing w:line="380" w:lineRule="exact"/>
        <w:ind w:left="840" w:leftChars="400" w:firstLine="0" w:firstLineChars="0"/>
        <w:textAlignment w:val="auto"/>
        <w:rPr>
          <w:rFonts w:ascii="宋体" w:hAnsi="宋体" w:cs="宋体"/>
          <w:b/>
          <w:color w:val="auto"/>
          <w:szCs w:val="21"/>
          <w:highlight w:val="none"/>
        </w:rPr>
      </w:pPr>
      <w:r>
        <w:rPr>
          <w:rFonts w:hint="eastAsia" w:ascii="宋体" w:hAnsi="宋体" w:cs="宋体"/>
          <w:b/>
          <w:color w:val="auto"/>
          <w:szCs w:val="21"/>
          <w:highlight w:val="none"/>
        </w:rPr>
        <w:t>三、获取采购文件</w:t>
      </w:r>
      <w:bookmarkEnd w:id="4"/>
      <w:bookmarkEnd w:id="5"/>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潜在供应商登陆桂林市政府采购网（http://zfcg.</w:t>
      </w:r>
      <w:r>
        <w:rPr>
          <w:rFonts w:hint="eastAsia" w:ascii="宋体" w:hAnsi="宋体" w:cs="宋体"/>
          <w:bCs/>
          <w:color w:val="auto"/>
          <w:szCs w:val="21"/>
          <w:highlight w:val="none"/>
          <w:lang w:val="en-US" w:eastAsia="zh-CN"/>
        </w:rPr>
        <w:t>czj.guilin.</w:t>
      </w:r>
      <w:r>
        <w:rPr>
          <w:rFonts w:hint="eastAsia" w:ascii="宋体" w:hAnsi="宋体" w:cs="宋体"/>
          <w:bCs/>
          <w:color w:val="auto"/>
          <w:szCs w:val="21"/>
          <w:highlight w:val="none"/>
        </w:rPr>
        <w:t>gov.cn/）、桂林市公共资源交易中心（http://glggzy.org.cn/gxglzbw/）网上下载竞争性</w:t>
      </w:r>
      <w:r>
        <w:rPr>
          <w:rFonts w:hint="eastAsia" w:ascii="宋体" w:hAnsi="宋体" w:cs="宋体"/>
          <w:bCs/>
          <w:color w:val="auto"/>
          <w:szCs w:val="21"/>
          <w:highlight w:val="none"/>
          <w:lang w:eastAsia="zh-CN"/>
        </w:rPr>
        <w:t>磋商</w:t>
      </w:r>
      <w:r>
        <w:rPr>
          <w:rFonts w:hint="eastAsia" w:ascii="宋体" w:hAnsi="宋体" w:cs="宋体"/>
          <w:bCs/>
          <w:color w:val="auto"/>
          <w:szCs w:val="21"/>
          <w:highlight w:val="none"/>
        </w:rPr>
        <w:t xml:space="preserve">文件电子版。   </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已获取采购文件的供应商不等于符合本项目的</w:t>
      </w:r>
      <w:r>
        <w:rPr>
          <w:rFonts w:hint="eastAsia" w:ascii="宋体" w:hAnsi="宋体" w:cs="宋体"/>
          <w:bCs/>
          <w:color w:val="auto"/>
          <w:szCs w:val="21"/>
          <w:highlight w:val="none"/>
          <w:lang w:eastAsia="zh-CN"/>
        </w:rPr>
        <w:t>磋商</w:t>
      </w:r>
      <w:r>
        <w:rPr>
          <w:rFonts w:hint="eastAsia" w:ascii="宋体" w:hAnsi="宋体" w:cs="宋体"/>
          <w:bCs/>
          <w:color w:val="auto"/>
          <w:szCs w:val="21"/>
          <w:highlight w:val="none"/>
        </w:rPr>
        <w:t>供应商资格。</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为配合采购人进行政府采购项目执行和备案，未在政采云注册的供应商可在获取</w:t>
      </w:r>
      <w:r>
        <w:rPr>
          <w:rFonts w:hint="eastAsia" w:ascii="宋体" w:hAnsi="宋体" w:cs="宋体"/>
          <w:bCs/>
          <w:color w:val="auto"/>
          <w:szCs w:val="21"/>
          <w:highlight w:val="none"/>
          <w:lang w:eastAsia="zh-CN"/>
        </w:rPr>
        <w:t>采购</w:t>
      </w:r>
      <w:r>
        <w:rPr>
          <w:rFonts w:hint="eastAsia" w:ascii="宋体" w:hAnsi="宋体" w:cs="宋体"/>
          <w:bCs/>
          <w:color w:val="auto"/>
          <w:szCs w:val="21"/>
          <w:highlight w:val="none"/>
        </w:rPr>
        <w:t>文件后须登录政采云进行注册，如在操作过程中遇到问题或者需要技术支持，请致电政采云客服热线：400-881-7190。</w:t>
      </w:r>
    </w:p>
    <w:p>
      <w:pPr>
        <w:keepNext w:val="0"/>
        <w:keepLines w:val="0"/>
        <w:pageBreakBefore w:val="0"/>
        <w:widowControl w:val="0"/>
        <w:kinsoku/>
        <w:wordWrap/>
        <w:overflowPunct/>
        <w:topLinePunct w:val="0"/>
        <w:autoSpaceDE/>
        <w:autoSpaceDN/>
        <w:bidi w:val="0"/>
        <w:adjustRightInd/>
        <w:snapToGrid/>
        <w:spacing w:line="380" w:lineRule="exact"/>
        <w:ind w:left="840" w:leftChars="400" w:firstLine="0" w:firstLineChars="0"/>
        <w:textAlignment w:val="auto"/>
        <w:rPr>
          <w:rFonts w:ascii="宋体" w:hAnsi="宋体" w:cs="宋体"/>
          <w:b/>
          <w:color w:val="auto"/>
          <w:szCs w:val="21"/>
          <w:highlight w:val="none"/>
        </w:rPr>
      </w:pPr>
      <w:r>
        <w:rPr>
          <w:rFonts w:hint="eastAsia" w:ascii="宋体" w:hAnsi="宋体" w:cs="宋体"/>
          <w:b/>
          <w:color w:val="auto"/>
          <w:szCs w:val="21"/>
          <w:highlight w:val="none"/>
        </w:rPr>
        <w:t>四、响应文件提交</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bookmarkStart w:id="6" w:name="_Toc35393802"/>
      <w:bookmarkStart w:id="7" w:name="_Toc28359093"/>
      <w:bookmarkStart w:id="8" w:name="_Toc28359016"/>
      <w:bookmarkStart w:id="9" w:name="_Toc35393633"/>
      <w:r>
        <w:rPr>
          <w:rFonts w:hint="eastAsia" w:ascii="宋体" w:hAnsi="宋体" w:cs="宋体"/>
          <w:bCs/>
          <w:color w:val="auto"/>
          <w:szCs w:val="21"/>
          <w:highlight w:val="none"/>
        </w:rPr>
        <w:t>1.响应文件递交起止时间：2020年</w:t>
      </w:r>
      <w:r>
        <w:rPr>
          <w:rFonts w:hint="eastAsia" w:ascii="宋体" w:hAnsi="宋体" w:cs="宋体"/>
          <w:bCs/>
          <w:color w:val="auto"/>
          <w:szCs w:val="21"/>
          <w:highlight w:val="none"/>
          <w:lang w:eastAsia="zh-CN"/>
        </w:rPr>
        <w:t>12月24日</w:t>
      </w: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时起至</w:t>
      </w: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时</w:t>
      </w:r>
      <w:r>
        <w:rPr>
          <w:rFonts w:hint="eastAsia" w:ascii="宋体" w:hAnsi="宋体" w:cs="宋体"/>
          <w:bCs/>
          <w:color w:val="auto"/>
          <w:szCs w:val="21"/>
          <w:highlight w:val="none"/>
          <w:lang w:val="en-US" w:eastAsia="zh-CN"/>
        </w:rPr>
        <w:t>30</w:t>
      </w:r>
      <w:r>
        <w:rPr>
          <w:rFonts w:hint="eastAsia" w:ascii="宋体" w:hAnsi="宋体" w:cs="宋体"/>
          <w:bCs/>
          <w:color w:val="auto"/>
          <w:szCs w:val="21"/>
          <w:highlight w:val="none"/>
        </w:rPr>
        <w:t>分止</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2.响应文件递交截止时间：</w:t>
      </w:r>
      <w:r>
        <w:rPr>
          <w:rFonts w:hint="eastAsia" w:ascii="宋体" w:hAnsi="宋体" w:cs="宋体"/>
          <w:bCs/>
          <w:color w:val="auto"/>
          <w:szCs w:val="21"/>
          <w:highlight w:val="none"/>
          <w:lang w:eastAsia="zh-CN"/>
        </w:rPr>
        <w:t>2020年12月24日10时30分</w:t>
      </w:r>
      <w:r>
        <w:rPr>
          <w:rFonts w:hint="eastAsia" w:ascii="宋体" w:hAnsi="宋体" w:cs="宋体"/>
          <w:bCs/>
          <w:color w:val="auto"/>
          <w:szCs w:val="21"/>
          <w:highlight w:val="none"/>
        </w:rPr>
        <w:t>（北京时间）</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3.响应文件递交地点：桂林市公共资源交易中心</w:t>
      </w:r>
      <w:r>
        <w:rPr>
          <w:rFonts w:hint="eastAsia" w:ascii="宋体" w:hAnsi="宋体" w:cs="宋体"/>
          <w:bCs/>
          <w:color w:val="auto"/>
          <w:szCs w:val="21"/>
          <w:highlight w:val="none"/>
          <w:lang w:val="en-US" w:eastAsia="zh-CN"/>
        </w:rPr>
        <w:t>1号开标室</w:t>
      </w:r>
      <w:r>
        <w:rPr>
          <w:rFonts w:hint="eastAsia" w:ascii="宋体" w:hAnsi="宋体" w:cs="宋体"/>
          <w:bCs/>
          <w:color w:val="auto"/>
          <w:szCs w:val="21"/>
          <w:highlight w:val="none"/>
        </w:rPr>
        <w:t>（广西桂林市临桂区西城中路69号创业大厦西辅楼4楼北区）</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color w:val="auto"/>
          <w:szCs w:val="21"/>
          <w:highlight w:val="none"/>
        </w:rPr>
      </w:pPr>
      <w:r>
        <w:rPr>
          <w:rFonts w:hint="eastAsia" w:ascii="宋体" w:hAnsi="宋体" w:cs="宋体"/>
          <w:bCs/>
          <w:color w:val="auto"/>
          <w:szCs w:val="21"/>
          <w:highlight w:val="none"/>
        </w:rPr>
        <w:t>注：</w:t>
      </w:r>
      <w:r>
        <w:rPr>
          <w:rFonts w:hint="eastAsia" w:ascii="宋体" w:hAnsi="宋体" w:cs="宋体"/>
          <w:bCs/>
          <w:color w:val="auto"/>
          <w:szCs w:val="21"/>
          <w:highlight w:val="none"/>
          <w:lang w:eastAsia="zh-CN"/>
        </w:rPr>
        <w:t>磋商</w:t>
      </w:r>
      <w:r>
        <w:rPr>
          <w:rFonts w:hint="eastAsia" w:ascii="宋体" w:hAnsi="宋体" w:cs="宋体"/>
          <w:bCs/>
          <w:color w:val="auto"/>
          <w:szCs w:val="21"/>
          <w:highlight w:val="none"/>
        </w:rPr>
        <w:t>供应商应在响应文件提交起止时间内，将响应文件密封送达指定地点，未在规定时间内送达或未按照采购文件要求密封的响应文件，将予以拒收。</w:t>
      </w:r>
    </w:p>
    <w:p>
      <w:pPr>
        <w:keepNext w:val="0"/>
        <w:keepLines w:val="0"/>
        <w:pageBreakBefore w:val="0"/>
        <w:widowControl w:val="0"/>
        <w:kinsoku/>
        <w:wordWrap/>
        <w:overflowPunct/>
        <w:topLinePunct w:val="0"/>
        <w:autoSpaceDE/>
        <w:autoSpaceDN/>
        <w:bidi w:val="0"/>
        <w:adjustRightInd/>
        <w:snapToGrid/>
        <w:spacing w:line="380" w:lineRule="exact"/>
        <w:ind w:left="840" w:leftChars="400" w:firstLine="0" w:firstLineChars="0"/>
        <w:textAlignment w:val="auto"/>
        <w:rPr>
          <w:rFonts w:ascii="宋体" w:hAnsi="宋体" w:cs="宋体"/>
          <w:b/>
          <w:color w:val="auto"/>
          <w:szCs w:val="21"/>
          <w:highlight w:val="none"/>
        </w:rPr>
      </w:pPr>
      <w:r>
        <w:rPr>
          <w:rFonts w:hint="eastAsia" w:ascii="宋体" w:hAnsi="宋体" w:cs="宋体"/>
          <w:b/>
          <w:color w:val="auto"/>
          <w:szCs w:val="21"/>
          <w:highlight w:val="none"/>
        </w:rPr>
        <w:t>五、开启</w:t>
      </w:r>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时间：</w:t>
      </w:r>
      <w:r>
        <w:rPr>
          <w:rFonts w:hint="eastAsia" w:ascii="宋体" w:hAnsi="宋体" w:cs="宋体"/>
          <w:bCs/>
          <w:color w:val="auto"/>
          <w:szCs w:val="21"/>
          <w:highlight w:val="none"/>
          <w:lang w:eastAsia="zh-CN"/>
        </w:rPr>
        <w:t>2020年12月24日10时30分</w:t>
      </w:r>
      <w:r>
        <w:rPr>
          <w:rFonts w:hint="eastAsia" w:ascii="宋体" w:hAnsi="宋体" w:cs="宋体"/>
          <w:bCs/>
          <w:color w:val="auto"/>
          <w:szCs w:val="21"/>
          <w:highlight w:val="none"/>
        </w:rPr>
        <w:t>后</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地点：桂林市公共资源交易中心评标室</w:t>
      </w:r>
    </w:p>
    <w:p>
      <w:pPr>
        <w:keepNext w:val="0"/>
        <w:keepLines w:val="0"/>
        <w:pageBreakBefore w:val="0"/>
        <w:widowControl w:val="0"/>
        <w:kinsoku/>
        <w:wordWrap/>
        <w:overflowPunct/>
        <w:topLinePunct w:val="0"/>
        <w:autoSpaceDE/>
        <w:autoSpaceDN/>
        <w:bidi w:val="0"/>
        <w:adjustRightInd/>
        <w:snapToGrid/>
        <w:spacing w:line="380" w:lineRule="exact"/>
        <w:ind w:left="840" w:leftChars="400" w:firstLine="0" w:firstLineChars="0"/>
        <w:textAlignment w:val="auto"/>
        <w:rPr>
          <w:rFonts w:ascii="宋体" w:hAnsi="宋体" w:cs="宋体"/>
          <w:b/>
          <w:color w:val="auto"/>
          <w:szCs w:val="21"/>
          <w:highlight w:val="none"/>
        </w:rPr>
      </w:pPr>
      <w:bookmarkStart w:id="10" w:name="_Toc35393634"/>
      <w:bookmarkStart w:id="11" w:name="_Toc28359094"/>
      <w:bookmarkStart w:id="12" w:name="_Toc35393803"/>
      <w:bookmarkStart w:id="13" w:name="_Toc28359017"/>
      <w:r>
        <w:rPr>
          <w:rFonts w:hint="eastAsia" w:ascii="宋体" w:hAnsi="宋体" w:cs="宋体"/>
          <w:b/>
          <w:color w:val="auto"/>
          <w:szCs w:val="21"/>
          <w:highlight w:val="none"/>
        </w:rPr>
        <w:t>六、公告期限</w:t>
      </w:r>
      <w:bookmarkEnd w:id="10"/>
      <w:bookmarkEnd w:id="11"/>
      <w:bookmarkEnd w:id="12"/>
      <w:bookmarkEnd w:id="13"/>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本公告及采购文件公告期限为自发布之日起3个工作日。</w:t>
      </w:r>
    </w:p>
    <w:p>
      <w:pPr>
        <w:keepNext w:val="0"/>
        <w:keepLines w:val="0"/>
        <w:pageBreakBefore w:val="0"/>
        <w:widowControl w:val="0"/>
        <w:kinsoku/>
        <w:wordWrap/>
        <w:overflowPunct/>
        <w:topLinePunct w:val="0"/>
        <w:autoSpaceDE/>
        <w:autoSpaceDN/>
        <w:bidi w:val="0"/>
        <w:adjustRightInd/>
        <w:snapToGrid/>
        <w:spacing w:line="380" w:lineRule="exact"/>
        <w:ind w:left="840" w:leftChars="400" w:firstLine="0" w:firstLineChars="0"/>
        <w:textAlignment w:val="auto"/>
        <w:rPr>
          <w:rFonts w:ascii="宋体" w:hAnsi="宋体" w:cs="宋体"/>
          <w:b/>
          <w:color w:val="auto"/>
          <w:szCs w:val="21"/>
          <w:highlight w:val="none"/>
        </w:rPr>
      </w:pPr>
      <w:r>
        <w:rPr>
          <w:rFonts w:hint="eastAsia" w:ascii="宋体" w:hAnsi="宋体" w:cs="宋体"/>
          <w:b/>
          <w:color w:val="auto"/>
          <w:szCs w:val="21"/>
          <w:highlight w:val="none"/>
        </w:rPr>
        <w:t>七、其他补充事宜</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1.本项目无须缴纳磋商保证金。</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3.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4.本项目需要落实的政府采购政策：</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（1）《政府采购促进中小企业发展暂行办法》（财库[2011]181号）；</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（2）《关于政府采购支持监狱企业发展有关问题的通知》（财库[2014]68号）；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（3）《关于促进残疾人就业政府采购政策的通知》（财库[2017]141号）。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5.信息公告发布媒体：http://www.ccgp.gov.cn（中国政府采购网）、 http://zfcg.gxzf.gov.cn（广西壮族自治区政府采购网）、http://zfcg.</w:t>
      </w:r>
      <w:r>
        <w:rPr>
          <w:rFonts w:hint="eastAsia" w:ascii="宋体" w:hAnsi="宋体" w:cs="宋体"/>
          <w:bCs/>
          <w:color w:val="auto"/>
          <w:szCs w:val="21"/>
          <w:highlight w:val="none"/>
          <w:lang w:val="en-US" w:eastAsia="zh-CN"/>
        </w:rPr>
        <w:t>czj.guilin.</w:t>
      </w:r>
      <w:r>
        <w:rPr>
          <w:rFonts w:hint="eastAsia" w:ascii="宋体" w:hAnsi="宋体" w:cs="宋体"/>
          <w:bCs/>
          <w:color w:val="auto"/>
          <w:szCs w:val="21"/>
          <w:highlight w:val="none"/>
        </w:rPr>
        <w:t>gov.cn/（桂林市政府采购网）、</w:t>
      </w:r>
      <w:r>
        <w:rPr>
          <w:color w:val="auto"/>
          <w:highlight w:val="none"/>
        </w:rPr>
        <w:fldChar w:fldCharType="begin"/>
      </w:r>
      <w:r>
        <w:rPr>
          <w:color w:val="auto"/>
          <w:highlight w:val="none"/>
        </w:rPr>
        <w:instrText xml:space="preserve"> HYPERLINK "http://glggzy.org.cn/" </w:instrText>
      </w:r>
      <w:r>
        <w:rPr>
          <w:color w:val="auto"/>
          <w:highlight w:val="none"/>
        </w:rPr>
        <w:fldChar w:fldCharType="separate"/>
      </w:r>
      <w:r>
        <w:rPr>
          <w:rFonts w:hint="eastAsia" w:ascii="宋体" w:hAnsi="宋体" w:cs="宋体"/>
          <w:bCs/>
          <w:color w:val="auto"/>
          <w:szCs w:val="21"/>
          <w:highlight w:val="none"/>
        </w:rPr>
        <w:t>http://glggzy.org.cn</w:t>
      </w:r>
      <w:r>
        <w:rPr>
          <w:rFonts w:hint="eastAsia" w:ascii="宋体" w:hAnsi="宋体" w:cs="宋体"/>
          <w:bCs/>
          <w:color w:val="auto"/>
          <w:szCs w:val="21"/>
          <w:highlight w:val="none"/>
        </w:rPr>
        <w:fldChar w:fldCharType="end"/>
      </w:r>
      <w:r>
        <w:rPr>
          <w:rFonts w:hint="eastAsia" w:ascii="宋体" w:hAnsi="宋体" w:cs="宋体"/>
          <w:bCs/>
          <w:color w:val="auto"/>
          <w:szCs w:val="21"/>
          <w:highlight w:val="none"/>
        </w:rPr>
        <w:t>（桂林市公共资源交易中心）、http://www.kwbid.com.cn（广西科文招标有限公司网)。</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 xml:space="preserve"> 6.磋商供应商在递交响应文件时，必须同时递交响应文件电子版，否则，磋商无效。</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（1）响应文件电子版内容：磋商报价表（包括服务的名称、数量、单价），服务承诺，售后服务承诺书。</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（2）响应文件电子版份数：1份。</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（3）响应文件电子版形式：可编辑的word文档格式。</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（4）响应文件电子版密封方式：响应文件电子版U盘或光盘与纸质版投标文件一并装入响应文件袋中。</w:t>
      </w:r>
    </w:p>
    <w:p>
      <w:pPr>
        <w:keepNext w:val="0"/>
        <w:keepLines w:val="0"/>
        <w:pageBreakBefore w:val="0"/>
        <w:widowControl w:val="0"/>
        <w:kinsoku/>
        <w:wordWrap/>
        <w:overflowPunct/>
        <w:topLinePunct w:val="0"/>
        <w:autoSpaceDE/>
        <w:autoSpaceDN/>
        <w:bidi w:val="0"/>
        <w:adjustRightInd/>
        <w:snapToGrid/>
        <w:spacing w:line="380" w:lineRule="exact"/>
        <w:ind w:left="840" w:leftChars="400" w:firstLine="0" w:firstLineChars="0"/>
        <w:textAlignment w:val="auto"/>
        <w:rPr>
          <w:rFonts w:ascii="宋体" w:hAnsi="宋体" w:cs="宋体"/>
          <w:b/>
          <w:color w:val="auto"/>
          <w:szCs w:val="21"/>
          <w:highlight w:val="none"/>
        </w:rPr>
      </w:pPr>
      <w:bookmarkStart w:id="14" w:name="_Toc35393805"/>
      <w:bookmarkStart w:id="15" w:name="_Toc28359018"/>
      <w:bookmarkStart w:id="16" w:name="_Toc28359095"/>
      <w:bookmarkStart w:id="17" w:name="_Toc35393636"/>
      <w:r>
        <w:rPr>
          <w:rFonts w:hint="eastAsia" w:ascii="宋体" w:hAnsi="宋体" w:cs="宋体"/>
          <w:b/>
          <w:color w:val="auto"/>
          <w:szCs w:val="21"/>
          <w:highlight w:val="none"/>
        </w:rPr>
        <w:t>八、凡对本次采购提出询问，请按以下方式联系</w:t>
      </w:r>
      <w:bookmarkEnd w:id="14"/>
      <w:bookmarkEnd w:id="15"/>
      <w:bookmarkEnd w:id="16"/>
      <w:bookmarkEnd w:id="17"/>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1.采购人信息：</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rPr>
        <w:t xml:space="preserve">    名称：</w:t>
      </w:r>
      <w:r>
        <w:rPr>
          <w:rFonts w:hint="eastAsia" w:ascii="宋体" w:hAnsi="宋体" w:cs="宋体"/>
          <w:color w:val="auto"/>
          <w:szCs w:val="21"/>
          <w:highlight w:val="none"/>
          <w:lang w:eastAsia="zh-CN"/>
        </w:rPr>
        <w:t>灌阳县人民医院</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 xml:space="preserve">    地址：</w:t>
      </w:r>
      <w:r>
        <w:rPr>
          <w:rFonts w:hint="eastAsia" w:ascii="宋体" w:hAnsi="宋体" w:cs="宋体"/>
          <w:color w:val="auto"/>
          <w:szCs w:val="21"/>
          <w:highlight w:val="none"/>
          <w:lang w:eastAsia="zh-CN"/>
        </w:rPr>
        <w:t>灌阳县</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rPr>
        <w:t xml:space="preserve">    联系方式：</w:t>
      </w:r>
      <w:r>
        <w:rPr>
          <w:rFonts w:hint="eastAsia" w:ascii="宋体" w:hAnsi="宋体" w:cs="宋体"/>
          <w:color w:val="auto"/>
          <w:highlight w:val="none"/>
        </w:rPr>
        <w:t>蒋本超</w:t>
      </w:r>
      <w:r>
        <w:rPr>
          <w:rFonts w:hint="eastAsia" w:ascii="宋体" w:hAnsi="宋体" w:cs="宋体"/>
          <w:bCs/>
          <w:color w:val="auto"/>
          <w:szCs w:val="21"/>
          <w:highlight w:val="none"/>
        </w:rPr>
        <w:t>，</w:t>
      </w:r>
      <w:r>
        <w:rPr>
          <w:rFonts w:hint="eastAsia" w:ascii="宋体" w:hAnsi="宋体"/>
          <w:color w:val="auto"/>
          <w:szCs w:val="21"/>
          <w:highlight w:val="none"/>
        </w:rPr>
        <w:t>0773-</w:t>
      </w:r>
      <w:r>
        <w:rPr>
          <w:rFonts w:hint="eastAsia" w:ascii="宋体" w:hAnsi="宋体"/>
          <w:color w:val="auto"/>
          <w:szCs w:val="21"/>
          <w:highlight w:val="none"/>
          <w:lang w:val="en-US" w:eastAsia="zh-CN"/>
        </w:rPr>
        <w:t>4253485</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2.采购代理机构信息</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840" w:firstLineChars="400"/>
        <w:textAlignment w:val="auto"/>
        <w:rPr>
          <w:rFonts w:ascii="宋体" w:hAnsi="宋体" w:cs="宋体"/>
          <w:bCs/>
          <w:color w:val="auto"/>
          <w:szCs w:val="21"/>
          <w:highlight w:val="none"/>
        </w:rPr>
      </w:pPr>
      <w:r>
        <w:rPr>
          <w:rFonts w:hint="eastAsia" w:ascii="宋体" w:hAnsi="宋体" w:cs="宋体"/>
          <w:bCs/>
          <w:color w:val="auto"/>
          <w:szCs w:val="21"/>
          <w:highlight w:val="none"/>
        </w:rPr>
        <w:t>名称：广西科文招标有限公司</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 xml:space="preserve">    地址：桂林市七星区穿山东路41号彰泰•天街V+国际中心1#楼八层802号</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hint="default" w:ascii="宋体" w:hAnsi="宋体" w:eastAsia="宋体" w:cs="宋体"/>
          <w:bCs/>
          <w:color w:val="auto"/>
          <w:szCs w:val="21"/>
          <w:highlight w:val="none"/>
          <w:lang w:val="en-US" w:eastAsia="zh-CN"/>
        </w:rPr>
      </w:pPr>
      <w:r>
        <w:rPr>
          <w:rFonts w:hint="eastAsia" w:ascii="宋体" w:hAnsi="宋体" w:cs="宋体"/>
          <w:bCs/>
          <w:color w:val="auto"/>
          <w:szCs w:val="21"/>
          <w:highlight w:val="none"/>
        </w:rPr>
        <w:t xml:space="preserve">    联系方式：潘虹，0773－89980</w:t>
      </w:r>
      <w:r>
        <w:rPr>
          <w:rFonts w:hint="eastAsia" w:ascii="宋体" w:hAnsi="宋体" w:cs="宋体"/>
          <w:bCs/>
          <w:color w:val="auto"/>
          <w:szCs w:val="21"/>
          <w:highlight w:val="none"/>
          <w:lang w:val="en-US" w:eastAsia="zh-CN"/>
        </w:rPr>
        <w:t>63</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420"/>
        <w:textAlignment w:val="auto"/>
        <w:rPr>
          <w:rFonts w:ascii="宋体" w:hAnsi="宋体" w:cs="宋体"/>
          <w:bCs/>
          <w:color w:val="auto"/>
          <w:szCs w:val="21"/>
          <w:highlight w:val="none"/>
        </w:rPr>
      </w:pPr>
      <w:r>
        <w:rPr>
          <w:rFonts w:hint="eastAsia" w:ascii="宋体" w:hAnsi="宋体" w:cs="宋体"/>
          <w:bCs/>
          <w:color w:val="auto"/>
          <w:szCs w:val="21"/>
          <w:highlight w:val="none"/>
        </w:rPr>
        <w:t>3.项目联系方式</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840" w:firstLineChars="400"/>
        <w:textAlignment w:val="auto"/>
        <w:rPr>
          <w:rFonts w:ascii="宋体" w:hAnsi="宋体" w:cs="宋体"/>
          <w:bCs/>
          <w:color w:val="auto"/>
          <w:szCs w:val="21"/>
          <w:highlight w:val="none"/>
        </w:rPr>
      </w:pPr>
      <w:r>
        <w:rPr>
          <w:rFonts w:hint="eastAsia" w:ascii="宋体" w:hAnsi="宋体" w:cs="宋体"/>
          <w:bCs/>
          <w:color w:val="auto"/>
          <w:szCs w:val="21"/>
          <w:highlight w:val="none"/>
        </w:rPr>
        <w:t>项目联系人：潘虹</w:t>
      </w:r>
    </w:p>
    <w:p>
      <w:pPr>
        <w:keepNext w:val="0"/>
        <w:keepLines w:val="0"/>
        <w:pageBreakBefore w:val="0"/>
        <w:widowControl w:val="0"/>
        <w:kinsoku/>
        <w:wordWrap/>
        <w:overflowPunct/>
        <w:topLinePunct w:val="0"/>
        <w:autoSpaceDE/>
        <w:autoSpaceDN/>
        <w:bidi w:val="0"/>
        <w:adjustRightInd/>
        <w:snapToGrid/>
        <w:spacing w:line="380" w:lineRule="exact"/>
        <w:ind w:left="420" w:leftChars="200" w:firstLine="840" w:firstLineChars="400"/>
        <w:textAlignment w:val="auto"/>
        <w:rPr>
          <w:rFonts w:ascii="宋体" w:hAnsi="宋体" w:cs="宋体"/>
          <w:bCs/>
          <w:color w:val="auto"/>
          <w:szCs w:val="21"/>
          <w:highlight w:val="none"/>
        </w:rPr>
      </w:pPr>
      <w:r>
        <w:rPr>
          <w:rFonts w:hint="eastAsia" w:ascii="宋体" w:hAnsi="宋体" w:cs="宋体"/>
          <w:bCs/>
          <w:color w:val="auto"/>
          <w:szCs w:val="21"/>
          <w:highlight w:val="none"/>
        </w:rPr>
        <w:t>联系电话：0773－89980</w:t>
      </w:r>
      <w:r>
        <w:rPr>
          <w:rFonts w:hint="eastAsia" w:ascii="宋体" w:hAnsi="宋体" w:cs="宋体"/>
          <w:bCs/>
          <w:color w:val="auto"/>
          <w:szCs w:val="21"/>
          <w:highlight w:val="none"/>
          <w:lang w:val="en-US" w:eastAsia="zh-CN"/>
        </w:rPr>
        <w:t>63</w:t>
      </w:r>
    </w:p>
    <w:p>
      <w:pPr>
        <w:keepNext w:val="0"/>
        <w:keepLines w:val="0"/>
        <w:pageBreakBefore w:val="0"/>
        <w:widowControl w:val="0"/>
        <w:kinsoku/>
        <w:wordWrap/>
        <w:overflowPunct/>
        <w:topLinePunct w:val="0"/>
        <w:autoSpaceDE/>
        <w:autoSpaceDN/>
        <w:bidi w:val="0"/>
        <w:adjustRightInd/>
        <w:snapToGrid/>
        <w:spacing w:line="360" w:lineRule="exact"/>
        <w:ind w:firstLine="7035" w:firstLineChars="3350"/>
        <w:textAlignment w:val="auto"/>
        <w:rPr>
          <w:rFonts w:ascii="宋体" w:hAnsi="宋体" w:cs="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exact"/>
        <w:ind w:firstLine="7035" w:firstLineChars="3350"/>
        <w:textAlignment w:val="auto"/>
        <w:rPr>
          <w:rFonts w:ascii="宋体" w:hAnsi="宋体" w:cs="宋体"/>
          <w:color w:val="auto"/>
          <w:szCs w:val="21"/>
          <w:highlight w:val="none"/>
        </w:rPr>
      </w:pPr>
      <w:r>
        <w:rPr>
          <w:rFonts w:hint="eastAsia" w:ascii="宋体" w:hAnsi="宋体" w:cs="宋体"/>
          <w:color w:val="auto"/>
          <w:szCs w:val="21"/>
          <w:highlight w:val="none"/>
        </w:rPr>
        <w:t>广西科文招标有限公司</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ascii="宋体" w:hAnsi="宋体" w:eastAsia="Calibri" w:cs="宋体"/>
          <w:color w:val="auto"/>
          <w:szCs w:val="21"/>
          <w:highlight w:val="none"/>
        </w:rPr>
      </w:pPr>
      <w:r>
        <w:rPr>
          <w:rFonts w:hint="eastAsia" w:ascii="宋体" w:hAnsi="宋体" w:cs="宋体"/>
          <w:color w:val="auto"/>
          <w:szCs w:val="21"/>
          <w:highlight w:val="none"/>
        </w:rPr>
        <w:t xml:space="preserve">                                                                  2020年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日</w:t>
      </w:r>
    </w:p>
    <w:p>
      <w:pPr>
        <w:ind w:firstLine="420"/>
        <w:rPr>
          <w:color w:val="auto"/>
          <w:highlight w:val="none"/>
        </w:rPr>
      </w:pPr>
    </w:p>
    <w:p>
      <w:pPr>
        <w:ind w:firstLine="643"/>
        <w:jc w:val="center"/>
        <w:rPr>
          <w:rFonts w:ascii="宋体" w:hAnsi="宋体" w:cs="宋体"/>
          <w:b/>
          <w:color w:val="auto"/>
          <w:sz w:val="32"/>
          <w:szCs w:val="32"/>
          <w:highlight w:val="none"/>
        </w:rPr>
      </w:pPr>
      <w:r>
        <w:rPr>
          <w:rFonts w:hint="eastAsia" w:ascii="宋体" w:hAnsi="宋体" w:cs="宋体"/>
          <w:b/>
          <w:color w:val="auto"/>
          <w:sz w:val="32"/>
          <w:szCs w:val="32"/>
          <w:highlight w:val="none"/>
        </w:rPr>
        <w:t>第二章    磋商供应商须知及前附表</w:t>
      </w:r>
    </w:p>
    <w:p>
      <w:pPr>
        <w:tabs>
          <w:tab w:val="left" w:pos="1065"/>
          <w:tab w:val="center" w:pos="4411"/>
        </w:tabs>
        <w:spacing w:line="440" w:lineRule="atLeast"/>
        <w:ind w:firstLine="482"/>
        <w:jc w:val="center"/>
        <w:rPr>
          <w:rFonts w:ascii="宋体" w:hAnsi="宋体"/>
          <w:b/>
          <w:color w:val="auto"/>
          <w:sz w:val="24"/>
          <w:highlight w:val="none"/>
        </w:rPr>
      </w:pPr>
      <w:r>
        <w:rPr>
          <w:rFonts w:hint="eastAsia" w:ascii="宋体" w:hAnsi="宋体"/>
          <w:b/>
          <w:color w:val="auto"/>
          <w:sz w:val="24"/>
          <w:highlight w:val="none"/>
        </w:rPr>
        <w:t>磋商供应商须知前附表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91"/>
        <w:gridCol w:w="2130"/>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96" w:type="dxa"/>
            <w:vAlign w:val="center"/>
          </w:tcPr>
          <w:p>
            <w:pPr>
              <w:spacing w:before="0" w:after="0" w:line="420" w:lineRule="exact"/>
              <w:ind w:firstLine="0" w:firstLineChars="0"/>
              <w:rPr>
                <w:rFonts w:ascii="宋体" w:hAnsi="宋体" w:cs="宋体"/>
                <w:color w:val="auto"/>
                <w:sz w:val="24"/>
                <w:highlight w:val="none"/>
              </w:rPr>
            </w:pPr>
            <w:r>
              <w:rPr>
                <w:rFonts w:hint="eastAsia" w:ascii="宋体" w:hAnsi="宋体" w:cs="宋体"/>
                <w:color w:val="auto"/>
                <w:sz w:val="24"/>
                <w:highlight w:val="none"/>
              </w:rPr>
              <w:t>序号</w:t>
            </w:r>
          </w:p>
        </w:tc>
        <w:tc>
          <w:tcPr>
            <w:tcW w:w="991" w:type="dxa"/>
            <w:vAlign w:val="center"/>
          </w:tcPr>
          <w:p>
            <w:pPr>
              <w:spacing w:before="0" w:after="0" w:line="360" w:lineRule="exact"/>
              <w:ind w:firstLine="0" w:firstLineChars="0"/>
              <w:rPr>
                <w:rFonts w:ascii="宋体" w:hAnsi="宋体" w:cs="宋体"/>
                <w:color w:val="auto"/>
                <w:sz w:val="24"/>
                <w:highlight w:val="none"/>
              </w:rPr>
            </w:pPr>
            <w:r>
              <w:rPr>
                <w:rFonts w:hint="eastAsia" w:ascii="宋体" w:hAnsi="宋体" w:cs="宋体"/>
                <w:color w:val="auto"/>
                <w:sz w:val="24"/>
                <w:highlight w:val="none"/>
              </w:rPr>
              <w:t>条款号</w:t>
            </w:r>
          </w:p>
        </w:tc>
        <w:tc>
          <w:tcPr>
            <w:tcW w:w="2130" w:type="dxa"/>
            <w:vAlign w:val="center"/>
          </w:tcPr>
          <w:p>
            <w:pPr>
              <w:spacing w:before="0" w:after="0" w:line="360" w:lineRule="exact"/>
              <w:ind w:left="0" w:leftChars="0" w:firstLine="0" w:firstLineChars="0"/>
              <w:jc w:val="center"/>
              <w:rPr>
                <w:rFonts w:ascii="宋体" w:hAnsi="宋体" w:cs="宋体"/>
                <w:color w:val="auto"/>
                <w:sz w:val="24"/>
                <w:highlight w:val="none"/>
              </w:rPr>
            </w:pPr>
            <w:r>
              <w:rPr>
                <w:rFonts w:hint="eastAsia" w:ascii="宋体" w:hAnsi="宋体" w:cs="宋体"/>
                <w:color w:val="auto"/>
                <w:sz w:val="24"/>
                <w:highlight w:val="none"/>
              </w:rPr>
              <w:t>条款名称</w:t>
            </w:r>
          </w:p>
        </w:tc>
        <w:tc>
          <w:tcPr>
            <w:tcW w:w="6283" w:type="dxa"/>
            <w:vAlign w:val="center"/>
          </w:tcPr>
          <w:p>
            <w:pPr>
              <w:spacing w:before="0" w:after="0" w:line="360" w:lineRule="exact"/>
              <w:ind w:firstLine="480" w:firstLineChars="0"/>
              <w:jc w:val="center"/>
              <w:rPr>
                <w:rFonts w:ascii="宋体" w:hAnsi="宋体" w:cs="宋体"/>
                <w:color w:val="auto"/>
                <w:sz w:val="24"/>
                <w:highlight w:val="none"/>
              </w:rPr>
            </w:pPr>
            <w:r>
              <w:rPr>
                <w:rFonts w:hint="eastAsia" w:ascii="宋体" w:hAnsi="宋体" w:cs="宋体"/>
                <w:color w:val="auto"/>
                <w:sz w:val="24"/>
                <w:highlight w:val="none"/>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96" w:type="dxa"/>
            <w:vAlign w:val="center"/>
          </w:tcPr>
          <w:p>
            <w:pPr>
              <w:spacing w:before="0" w:after="0" w:line="400" w:lineRule="exact"/>
              <w:ind w:firstLineChars="0"/>
              <w:rPr>
                <w:rFonts w:ascii="宋体" w:hAnsi="宋体" w:cs="宋体"/>
                <w:color w:val="auto"/>
                <w:szCs w:val="21"/>
                <w:highlight w:val="none"/>
              </w:rPr>
            </w:pPr>
            <w:r>
              <w:rPr>
                <w:rFonts w:hint="eastAsia" w:ascii="宋体" w:hAnsi="宋体" w:cs="宋体"/>
                <w:color w:val="auto"/>
                <w:szCs w:val="21"/>
                <w:highlight w:val="none"/>
              </w:rPr>
              <w:t>1</w:t>
            </w:r>
          </w:p>
        </w:tc>
        <w:tc>
          <w:tcPr>
            <w:tcW w:w="991" w:type="dxa"/>
            <w:vAlign w:val="center"/>
          </w:tcPr>
          <w:p>
            <w:pPr>
              <w:spacing w:before="0" w:after="0" w:line="360" w:lineRule="exact"/>
              <w:ind w:firstLineChars="0"/>
              <w:rPr>
                <w:rFonts w:ascii="宋体" w:hAnsi="宋体" w:cs="宋体"/>
                <w:color w:val="auto"/>
                <w:szCs w:val="21"/>
                <w:highlight w:val="none"/>
              </w:rPr>
            </w:pPr>
            <w:r>
              <w:rPr>
                <w:rFonts w:hint="eastAsia" w:ascii="宋体" w:hAnsi="宋体" w:cs="宋体"/>
                <w:color w:val="auto"/>
                <w:szCs w:val="21"/>
                <w:highlight w:val="none"/>
              </w:rPr>
              <w:t>1.1</w:t>
            </w:r>
          </w:p>
        </w:tc>
        <w:tc>
          <w:tcPr>
            <w:tcW w:w="2130" w:type="dxa"/>
            <w:vAlign w:val="center"/>
          </w:tcPr>
          <w:p>
            <w:pPr>
              <w:spacing w:before="0" w:after="0" w:line="36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项目名称及项目编号</w:t>
            </w:r>
          </w:p>
        </w:tc>
        <w:tc>
          <w:tcPr>
            <w:tcW w:w="6283" w:type="dxa"/>
          </w:tcPr>
          <w:p>
            <w:pPr>
              <w:spacing w:before="0" w:after="0" w:line="400" w:lineRule="exact"/>
              <w:ind w:firstLine="0" w:firstLineChars="0"/>
              <w:rPr>
                <w:rFonts w:hint="eastAsia" w:ascii="宋体" w:hAnsi="宋体" w:eastAsia="宋体" w:cs="宋体"/>
                <w:color w:val="auto"/>
                <w:highlight w:val="non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lang w:eastAsia="zh-CN"/>
              </w:rPr>
              <w:t>病房服务交互系统采购</w:t>
            </w:r>
          </w:p>
          <w:p>
            <w:pPr>
              <w:spacing w:before="0" w:after="0" w:line="400" w:lineRule="exact"/>
              <w:ind w:firstLine="0" w:firstLineChars="0"/>
              <w:rPr>
                <w:rFonts w:hint="eastAsia" w:ascii="宋体" w:hAnsi="宋体" w:eastAsia="宋体" w:cs="宋体"/>
                <w:color w:val="auto"/>
                <w:highlight w:val="none"/>
                <w:lang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lang w:eastAsia="zh-CN"/>
              </w:rPr>
              <w:t>GLZC2020-C3-270044-KWZB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spacing w:before="0" w:after="0" w:line="400" w:lineRule="exact"/>
              <w:ind w:firstLineChars="0"/>
              <w:rPr>
                <w:rFonts w:ascii="宋体" w:hAnsi="宋体" w:cs="宋体"/>
                <w:color w:val="auto"/>
                <w:szCs w:val="21"/>
                <w:highlight w:val="none"/>
              </w:rPr>
            </w:pPr>
            <w:r>
              <w:rPr>
                <w:rFonts w:hint="eastAsia" w:ascii="宋体" w:hAnsi="宋体" w:cs="宋体"/>
                <w:color w:val="auto"/>
                <w:szCs w:val="21"/>
                <w:highlight w:val="none"/>
              </w:rPr>
              <w:t>2</w:t>
            </w:r>
          </w:p>
        </w:tc>
        <w:tc>
          <w:tcPr>
            <w:tcW w:w="991" w:type="dxa"/>
            <w:vAlign w:val="center"/>
          </w:tcPr>
          <w:p>
            <w:pPr>
              <w:spacing w:before="0" w:after="0" w:line="36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3</w:t>
            </w:r>
          </w:p>
        </w:tc>
        <w:tc>
          <w:tcPr>
            <w:tcW w:w="2130" w:type="dxa"/>
            <w:vAlign w:val="center"/>
          </w:tcPr>
          <w:p>
            <w:pPr>
              <w:spacing w:before="0" w:after="0" w:line="36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供应商资格</w:t>
            </w:r>
          </w:p>
        </w:tc>
        <w:tc>
          <w:tcPr>
            <w:tcW w:w="6283" w:type="dxa"/>
            <w:vAlign w:val="center"/>
          </w:tcPr>
          <w:p>
            <w:pPr>
              <w:spacing w:before="0" w:after="0" w:line="400" w:lineRule="exact"/>
              <w:ind w:firstLine="0" w:firstLineChars="0"/>
              <w:rPr>
                <w:rFonts w:ascii="宋体" w:hAnsi="宋体" w:cs="宋体"/>
                <w:color w:val="auto"/>
                <w:highlight w:val="none"/>
              </w:rPr>
            </w:pPr>
            <w:r>
              <w:rPr>
                <w:rFonts w:hint="eastAsia" w:ascii="宋体" w:hAnsi="宋体" w:cs="宋体"/>
                <w:color w:val="auto"/>
                <w:highlight w:val="none"/>
              </w:rPr>
              <w:t>3.1 满足《中华人民共和国政府采购法》第二十二条规定。</w:t>
            </w:r>
          </w:p>
          <w:p>
            <w:pPr>
              <w:spacing w:before="0" w:after="0" w:line="400" w:lineRule="exact"/>
              <w:ind w:firstLine="0" w:firstLineChars="0"/>
              <w:rPr>
                <w:rFonts w:ascii="宋体" w:hAnsi="宋体" w:cs="宋体"/>
                <w:color w:val="auto"/>
                <w:highlight w:val="none"/>
              </w:rPr>
            </w:pPr>
            <w:r>
              <w:rPr>
                <w:rFonts w:hint="eastAsia" w:ascii="宋体" w:hAnsi="宋体" w:cs="宋体"/>
                <w:color w:val="auto"/>
                <w:highlight w:val="none"/>
              </w:rPr>
              <w:t>3.2 落实政府采购政策需满足的资格要求：无。</w:t>
            </w:r>
          </w:p>
          <w:p>
            <w:pPr>
              <w:spacing w:before="0" w:after="0" w:line="400" w:lineRule="exact"/>
              <w:ind w:firstLine="0" w:firstLineChars="0"/>
              <w:rPr>
                <w:rFonts w:ascii="宋体" w:hAnsi="宋体" w:cs="宋体"/>
                <w:color w:val="auto"/>
                <w:highlight w:val="none"/>
              </w:rPr>
            </w:pPr>
            <w:r>
              <w:rPr>
                <w:rFonts w:hint="eastAsia" w:ascii="宋体" w:hAnsi="宋体" w:cs="宋体"/>
                <w:color w:val="auto"/>
                <w:highlight w:val="none"/>
              </w:rPr>
              <w:t>3.3 本项目的特定资格要求：无。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Align w:val="center"/>
          </w:tcPr>
          <w:p>
            <w:pPr>
              <w:spacing w:before="0" w:after="0" w:line="400" w:lineRule="exact"/>
              <w:ind w:firstLineChars="0"/>
              <w:rPr>
                <w:rFonts w:ascii="宋体" w:hAnsi="宋体" w:cs="宋体"/>
                <w:color w:val="auto"/>
                <w:szCs w:val="21"/>
                <w:highlight w:val="none"/>
              </w:rPr>
            </w:pPr>
            <w:r>
              <w:rPr>
                <w:rFonts w:hint="eastAsia" w:ascii="宋体" w:hAnsi="宋体" w:cs="宋体"/>
                <w:color w:val="auto"/>
                <w:szCs w:val="21"/>
                <w:highlight w:val="none"/>
              </w:rPr>
              <w:t>3</w:t>
            </w:r>
          </w:p>
        </w:tc>
        <w:tc>
          <w:tcPr>
            <w:tcW w:w="991" w:type="dxa"/>
            <w:vAlign w:val="center"/>
          </w:tcPr>
          <w:p>
            <w:pPr>
              <w:spacing w:before="0" w:after="0" w:line="36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4</w:t>
            </w:r>
          </w:p>
        </w:tc>
        <w:tc>
          <w:tcPr>
            <w:tcW w:w="2130" w:type="dxa"/>
            <w:vAlign w:val="center"/>
          </w:tcPr>
          <w:p>
            <w:pPr>
              <w:spacing w:before="0" w:after="0" w:line="36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磋商费用</w:t>
            </w:r>
          </w:p>
        </w:tc>
        <w:tc>
          <w:tcPr>
            <w:tcW w:w="6283" w:type="dxa"/>
            <w:vAlign w:val="center"/>
          </w:tcPr>
          <w:p>
            <w:pPr>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不论</w:t>
            </w:r>
            <w:r>
              <w:rPr>
                <w:rFonts w:hint="eastAsia" w:ascii="宋体" w:hAnsi="宋体" w:cs="宋体"/>
                <w:color w:val="auto"/>
                <w:highlight w:val="none"/>
              </w:rPr>
              <w:t>磋商</w:t>
            </w:r>
            <w:r>
              <w:rPr>
                <w:rFonts w:hint="eastAsia" w:ascii="宋体" w:hAnsi="宋体" w:cs="宋体"/>
                <w:color w:val="auto"/>
                <w:szCs w:val="21"/>
                <w:highlight w:val="none"/>
              </w:rPr>
              <w:t>结果如何，供应商均应自行承担所有与</w:t>
            </w:r>
            <w:r>
              <w:rPr>
                <w:rFonts w:hint="eastAsia" w:ascii="宋体" w:hAnsi="宋体" w:cs="宋体"/>
                <w:color w:val="auto"/>
                <w:highlight w:val="none"/>
              </w:rPr>
              <w:t>磋商</w:t>
            </w:r>
            <w:r>
              <w:rPr>
                <w:rFonts w:hint="eastAsia" w:ascii="宋体" w:hAnsi="宋体" w:cs="宋体"/>
                <w:color w:val="auto"/>
                <w:szCs w:val="21"/>
                <w:highlight w:val="none"/>
              </w:rPr>
              <w:t xml:space="preserve">有关的全部费用。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spacing w:before="0" w:after="0" w:line="400" w:lineRule="exact"/>
              <w:ind w:firstLineChars="0"/>
              <w:rPr>
                <w:rFonts w:ascii="宋体" w:hAnsi="宋体" w:cs="宋体"/>
                <w:color w:val="auto"/>
                <w:szCs w:val="21"/>
                <w:highlight w:val="none"/>
              </w:rPr>
            </w:pPr>
            <w:r>
              <w:rPr>
                <w:rFonts w:hint="eastAsia" w:ascii="宋体" w:hAnsi="宋体" w:cs="宋体"/>
                <w:color w:val="auto"/>
                <w:szCs w:val="21"/>
                <w:highlight w:val="none"/>
              </w:rPr>
              <w:t>4</w:t>
            </w:r>
          </w:p>
        </w:tc>
        <w:tc>
          <w:tcPr>
            <w:tcW w:w="991" w:type="dxa"/>
            <w:vAlign w:val="center"/>
          </w:tcPr>
          <w:p>
            <w:pPr>
              <w:spacing w:before="0" w:after="0" w:line="360" w:lineRule="exact"/>
              <w:ind w:firstLine="0" w:firstLineChars="0"/>
              <w:jc w:val="center"/>
              <w:rPr>
                <w:rFonts w:ascii="宋体" w:hAnsi="宋体" w:cs="宋体"/>
                <w:color w:val="auto"/>
                <w:position w:val="-2"/>
                <w:szCs w:val="21"/>
                <w:highlight w:val="none"/>
              </w:rPr>
            </w:pPr>
            <w:r>
              <w:rPr>
                <w:rFonts w:hint="eastAsia" w:ascii="宋体" w:hAnsi="宋体" w:cs="宋体"/>
                <w:color w:val="auto"/>
                <w:position w:val="-2"/>
                <w:szCs w:val="21"/>
                <w:highlight w:val="none"/>
              </w:rPr>
              <w:t>13</w:t>
            </w:r>
          </w:p>
        </w:tc>
        <w:tc>
          <w:tcPr>
            <w:tcW w:w="2130" w:type="dxa"/>
            <w:vAlign w:val="center"/>
          </w:tcPr>
          <w:p>
            <w:pPr>
              <w:spacing w:before="0" w:after="0" w:line="360" w:lineRule="exact"/>
              <w:ind w:firstLine="0" w:firstLineChars="0"/>
              <w:jc w:val="center"/>
              <w:rPr>
                <w:rFonts w:ascii="宋体" w:hAnsi="宋体" w:cs="宋体"/>
                <w:color w:val="auto"/>
                <w:position w:val="-2"/>
                <w:szCs w:val="21"/>
                <w:highlight w:val="none"/>
              </w:rPr>
            </w:pPr>
            <w:r>
              <w:rPr>
                <w:rFonts w:hint="eastAsia" w:ascii="宋体" w:hAnsi="宋体" w:cs="宋体"/>
                <w:color w:val="auto"/>
                <w:szCs w:val="21"/>
                <w:highlight w:val="none"/>
              </w:rPr>
              <w:t>磋商报价及</w:t>
            </w:r>
            <w:r>
              <w:rPr>
                <w:rFonts w:hint="eastAsia" w:ascii="宋体" w:hAnsi="宋体" w:cs="宋体"/>
                <w:color w:val="auto"/>
                <w:position w:val="-2"/>
                <w:szCs w:val="21"/>
                <w:highlight w:val="none"/>
              </w:rPr>
              <w:t>采购预算总金额</w:t>
            </w:r>
          </w:p>
        </w:tc>
        <w:tc>
          <w:tcPr>
            <w:tcW w:w="6283" w:type="dxa"/>
            <w:vAlign w:val="center"/>
          </w:tcPr>
          <w:p>
            <w:pPr>
              <w:spacing w:before="0" w:after="0" w:line="400" w:lineRule="exact"/>
              <w:ind w:firstLine="0" w:firstLineChars="0"/>
              <w:rPr>
                <w:rFonts w:ascii="宋体" w:hAnsi="宋体" w:cs="宋体"/>
                <w:color w:val="auto"/>
                <w:szCs w:val="21"/>
                <w:highlight w:val="none"/>
              </w:rPr>
            </w:pPr>
            <w:r>
              <w:rPr>
                <w:rFonts w:hint="eastAsia" w:ascii="宋体" w:hAnsi="宋体"/>
                <w:color w:val="auto"/>
                <w:highlight w:val="none"/>
              </w:rPr>
              <w:t>采购项目</w:t>
            </w:r>
            <w:r>
              <w:rPr>
                <w:rFonts w:hint="eastAsia" w:ascii="宋体" w:hAnsi="宋体" w:cs="宋体"/>
                <w:color w:val="auto"/>
                <w:szCs w:val="21"/>
                <w:highlight w:val="none"/>
              </w:rPr>
              <w:t>预算金额（人民币）：</w:t>
            </w:r>
            <w:r>
              <w:rPr>
                <w:rFonts w:hint="eastAsia" w:ascii="宋体" w:hAnsi="宋体" w:cs="宋体"/>
                <w:color w:val="auto"/>
                <w:szCs w:val="21"/>
                <w:highlight w:val="none"/>
                <w:lang w:eastAsia="zh-CN"/>
              </w:rPr>
              <w:t>46.80</w:t>
            </w:r>
            <w:r>
              <w:rPr>
                <w:rFonts w:hint="eastAsia" w:ascii="宋体" w:hAnsi="宋体" w:cs="宋体"/>
                <w:color w:val="auto"/>
                <w:szCs w:val="21"/>
                <w:highlight w:val="none"/>
              </w:rPr>
              <w:t>万。</w:t>
            </w:r>
          </w:p>
          <w:p>
            <w:pPr>
              <w:spacing w:before="0" w:after="0" w:line="400" w:lineRule="exact"/>
              <w:ind w:firstLine="0" w:firstLineChars="0"/>
              <w:rPr>
                <w:rFonts w:ascii="宋体" w:hAnsi="宋体" w:cs="宋体"/>
                <w:color w:val="auto"/>
                <w:kern w:val="0"/>
                <w:szCs w:val="21"/>
                <w:highlight w:val="none"/>
              </w:rPr>
            </w:pPr>
            <w:r>
              <w:rPr>
                <w:rFonts w:hint="eastAsia" w:ascii="宋体" w:hAnsi="宋体" w:cs="宋体"/>
                <w:color w:val="auto"/>
                <w:szCs w:val="21"/>
                <w:highlight w:val="none"/>
              </w:rPr>
              <w:t>报价</w:t>
            </w:r>
            <w:r>
              <w:rPr>
                <w:rFonts w:hint="eastAsia" w:ascii="宋体" w:hAnsi="宋体" w:cs="宋体"/>
                <w:color w:val="auto"/>
                <w:kern w:val="0"/>
                <w:szCs w:val="21"/>
                <w:highlight w:val="none"/>
              </w:rPr>
              <w:t>超</w:t>
            </w:r>
            <w:r>
              <w:rPr>
                <w:rFonts w:hint="eastAsia" w:ascii="宋体" w:hAnsi="宋体"/>
                <w:color w:val="auto"/>
                <w:kern w:val="0"/>
                <w:szCs w:val="21"/>
                <w:highlight w:val="none"/>
              </w:rPr>
              <w:t>过</w:t>
            </w:r>
            <w:r>
              <w:rPr>
                <w:rFonts w:hint="eastAsia" w:ascii="宋体" w:hAnsi="宋体" w:cs="宋体"/>
                <w:color w:val="auto"/>
                <w:kern w:val="0"/>
                <w:szCs w:val="21"/>
                <w:highlight w:val="none"/>
              </w:rPr>
              <w:t>采购预算金额的，响应文件按无效处理。</w:t>
            </w:r>
          </w:p>
          <w:p>
            <w:pPr>
              <w:spacing w:before="0" w:after="0" w:line="400" w:lineRule="exact"/>
              <w:ind w:firstLine="0" w:firstLineChars="0"/>
              <w:rPr>
                <w:rFonts w:ascii="宋体" w:hAnsi="宋体" w:cs="宋体"/>
                <w:color w:val="auto"/>
                <w:sz w:val="24"/>
                <w:highlight w:val="none"/>
              </w:rPr>
            </w:pPr>
            <w:r>
              <w:rPr>
                <w:rFonts w:hint="eastAsia" w:ascii="宋体" w:hAnsi="宋体" w:cs="宋体"/>
                <w:color w:val="auto"/>
                <w:szCs w:val="21"/>
                <w:highlight w:val="none"/>
              </w:rPr>
              <w:t>13.2供应商必须就“服务采购需求”中的所有服务内容作完整唯一报价，否则，其响应文件无效。响应文件只允许有一个报价，有选择的或有条件的报价将不予接受。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spacing w:before="0" w:after="0" w:line="400" w:lineRule="exact"/>
              <w:ind w:firstLineChars="0"/>
              <w:rPr>
                <w:rFonts w:ascii="宋体" w:hAnsi="宋体" w:cs="宋体"/>
                <w:color w:val="auto"/>
                <w:szCs w:val="21"/>
                <w:highlight w:val="none"/>
              </w:rPr>
            </w:pPr>
            <w:r>
              <w:rPr>
                <w:rFonts w:hint="eastAsia" w:ascii="宋体" w:hAnsi="宋体" w:cs="宋体"/>
                <w:color w:val="auto"/>
                <w:szCs w:val="21"/>
                <w:highlight w:val="none"/>
              </w:rPr>
              <w:t>5</w:t>
            </w:r>
          </w:p>
        </w:tc>
        <w:tc>
          <w:tcPr>
            <w:tcW w:w="991" w:type="dxa"/>
            <w:vAlign w:val="center"/>
          </w:tcPr>
          <w:p>
            <w:pPr>
              <w:spacing w:before="0" w:after="0" w:line="360" w:lineRule="exact"/>
              <w:ind w:firstLine="0" w:firstLineChars="0"/>
              <w:jc w:val="center"/>
              <w:rPr>
                <w:rFonts w:ascii="宋体" w:hAnsi="宋体" w:cs="宋体"/>
                <w:color w:val="auto"/>
                <w:position w:val="-2"/>
                <w:szCs w:val="21"/>
                <w:highlight w:val="none"/>
              </w:rPr>
            </w:pPr>
            <w:r>
              <w:rPr>
                <w:rFonts w:hint="eastAsia" w:ascii="宋体" w:hAnsi="宋体" w:cs="宋体"/>
                <w:color w:val="auto"/>
                <w:position w:val="-2"/>
                <w:szCs w:val="21"/>
                <w:highlight w:val="none"/>
              </w:rPr>
              <w:t>14.1</w:t>
            </w:r>
          </w:p>
        </w:tc>
        <w:tc>
          <w:tcPr>
            <w:tcW w:w="2130" w:type="dxa"/>
            <w:vAlign w:val="center"/>
          </w:tcPr>
          <w:p>
            <w:pPr>
              <w:spacing w:before="0" w:after="0" w:line="360" w:lineRule="exact"/>
              <w:ind w:firstLine="0" w:firstLineChars="0"/>
              <w:jc w:val="center"/>
              <w:rPr>
                <w:rFonts w:ascii="宋体" w:hAnsi="宋体" w:cs="宋体"/>
                <w:color w:val="auto"/>
                <w:position w:val="-2"/>
                <w:szCs w:val="21"/>
                <w:highlight w:val="none"/>
              </w:rPr>
            </w:pPr>
            <w:r>
              <w:rPr>
                <w:rFonts w:hint="eastAsia" w:ascii="宋体" w:hAnsi="宋体" w:cs="宋体"/>
                <w:color w:val="auto"/>
                <w:position w:val="-2"/>
                <w:szCs w:val="21"/>
                <w:highlight w:val="none"/>
              </w:rPr>
              <w:t>响应文件有效期</w:t>
            </w:r>
          </w:p>
        </w:tc>
        <w:tc>
          <w:tcPr>
            <w:tcW w:w="6283" w:type="dxa"/>
          </w:tcPr>
          <w:p>
            <w:pPr>
              <w:tabs>
                <w:tab w:val="left" w:pos="1305"/>
              </w:tabs>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响应文件递交截止时间之日起90天，有效期不足的响应文件将被拒绝。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spacing w:before="0" w:after="0" w:line="400" w:lineRule="exact"/>
              <w:ind w:firstLineChars="0"/>
              <w:rPr>
                <w:rFonts w:ascii="宋体" w:hAnsi="宋体" w:cs="宋体"/>
                <w:color w:val="auto"/>
                <w:szCs w:val="21"/>
                <w:highlight w:val="none"/>
              </w:rPr>
            </w:pPr>
            <w:r>
              <w:rPr>
                <w:rFonts w:hint="eastAsia" w:ascii="宋体" w:hAnsi="宋体" w:cs="宋体"/>
                <w:color w:val="auto"/>
                <w:szCs w:val="21"/>
                <w:highlight w:val="none"/>
              </w:rPr>
              <w:t>6</w:t>
            </w:r>
          </w:p>
        </w:tc>
        <w:tc>
          <w:tcPr>
            <w:tcW w:w="991" w:type="dxa"/>
            <w:vAlign w:val="center"/>
          </w:tcPr>
          <w:p>
            <w:pPr>
              <w:spacing w:before="0" w:after="0" w:line="360" w:lineRule="exact"/>
              <w:ind w:firstLine="0" w:firstLineChars="0"/>
              <w:jc w:val="center"/>
              <w:rPr>
                <w:rFonts w:ascii="宋体" w:hAnsi="宋体" w:cs="宋体"/>
                <w:color w:val="auto"/>
                <w:position w:val="-2"/>
                <w:szCs w:val="21"/>
                <w:highlight w:val="none"/>
              </w:rPr>
            </w:pPr>
            <w:r>
              <w:rPr>
                <w:rFonts w:hint="eastAsia" w:ascii="宋体" w:hAnsi="宋体" w:cs="宋体"/>
                <w:color w:val="auto"/>
                <w:position w:val="-2"/>
                <w:szCs w:val="21"/>
                <w:highlight w:val="none"/>
              </w:rPr>
              <w:t>15</w:t>
            </w:r>
          </w:p>
        </w:tc>
        <w:tc>
          <w:tcPr>
            <w:tcW w:w="2130" w:type="dxa"/>
            <w:vAlign w:val="center"/>
          </w:tcPr>
          <w:p>
            <w:pPr>
              <w:spacing w:before="0" w:after="0" w:line="360" w:lineRule="exact"/>
              <w:ind w:firstLine="0" w:firstLineChars="0"/>
              <w:jc w:val="center"/>
              <w:rPr>
                <w:rFonts w:ascii="宋体" w:hAnsi="宋体" w:cs="宋体"/>
                <w:color w:val="auto"/>
                <w:position w:val="-2"/>
                <w:szCs w:val="21"/>
                <w:highlight w:val="none"/>
              </w:rPr>
            </w:pPr>
            <w:r>
              <w:rPr>
                <w:rFonts w:hint="eastAsia" w:ascii="宋体" w:hAnsi="宋体" w:cs="宋体"/>
                <w:color w:val="auto"/>
                <w:position w:val="-2"/>
                <w:szCs w:val="21"/>
                <w:highlight w:val="none"/>
              </w:rPr>
              <w:t>保证金</w:t>
            </w:r>
          </w:p>
        </w:tc>
        <w:tc>
          <w:tcPr>
            <w:tcW w:w="6283" w:type="dxa"/>
          </w:tcPr>
          <w:p>
            <w:pPr>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本项目无须缴纳磋商保证金。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Align w:val="center"/>
          </w:tcPr>
          <w:p>
            <w:pPr>
              <w:spacing w:before="0" w:after="0" w:line="420" w:lineRule="exact"/>
              <w:ind w:firstLineChars="0"/>
              <w:rPr>
                <w:rFonts w:ascii="宋体" w:hAnsi="宋体" w:cs="宋体"/>
                <w:color w:val="auto"/>
                <w:szCs w:val="21"/>
                <w:highlight w:val="none"/>
              </w:rPr>
            </w:pPr>
            <w:r>
              <w:rPr>
                <w:rFonts w:hint="eastAsia" w:ascii="宋体" w:hAnsi="宋体" w:cs="宋体"/>
                <w:color w:val="auto"/>
                <w:szCs w:val="21"/>
                <w:highlight w:val="none"/>
              </w:rPr>
              <w:t>7</w:t>
            </w:r>
          </w:p>
        </w:tc>
        <w:tc>
          <w:tcPr>
            <w:tcW w:w="991" w:type="dxa"/>
            <w:vAlign w:val="center"/>
          </w:tcPr>
          <w:p>
            <w:pPr>
              <w:spacing w:before="0" w:after="0" w:line="36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16.1</w:t>
            </w:r>
          </w:p>
        </w:tc>
        <w:tc>
          <w:tcPr>
            <w:tcW w:w="2130" w:type="dxa"/>
            <w:vAlign w:val="center"/>
          </w:tcPr>
          <w:p>
            <w:pPr>
              <w:spacing w:before="0" w:after="0" w:line="36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响应文件份数</w:t>
            </w:r>
          </w:p>
        </w:tc>
        <w:tc>
          <w:tcPr>
            <w:tcW w:w="6283" w:type="dxa"/>
            <w:vAlign w:val="center"/>
          </w:tcPr>
          <w:p>
            <w:pPr>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正本壹册，副本肆册，响应文件电子版U盘或光盘壹个，须完整提交（A4纸装订）。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spacing w:before="0" w:after="0" w:line="420" w:lineRule="exact"/>
              <w:ind w:firstLineChars="0"/>
              <w:rPr>
                <w:rFonts w:ascii="宋体" w:hAnsi="宋体" w:cs="宋体"/>
                <w:color w:val="auto"/>
                <w:szCs w:val="21"/>
                <w:highlight w:val="none"/>
              </w:rPr>
            </w:pPr>
            <w:r>
              <w:rPr>
                <w:rFonts w:hint="eastAsia" w:ascii="宋体" w:hAnsi="宋体" w:cs="宋体"/>
                <w:color w:val="auto"/>
                <w:szCs w:val="21"/>
                <w:highlight w:val="none"/>
              </w:rPr>
              <w:t>8</w:t>
            </w:r>
          </w:p>
        </w:tc>
        <w:tc>
          <w:tcPr>
            <w:tcW w:w="991" w:type="dxa"/>
            <w:vAlign w:val="center"/>
          </w:tcPr>
          <w:p>
            <w:pPr>
              <w:spacing w:before="0" w:after="0" w:line="36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16.2</w:t>
            </w:r>
          </w:p>
        </w:tc>
        <w:tc>
          <w:tcPr>
            <w:tcW w:w="2130" w:type="dxa"/>
            <w:vAlign w:val="center"/>
          </w:tcPr>
          <w:p>
            <w:pPr>
              <w:spacing w:before="0" w:after="0" w:line="360" w:lineRule="exact"/>
              <w:ind w:firstLine="0" w:firstLineChars="0"/>
              <w:jc w:val="center"/>
              <w:rPr>
                <w:rFonts w:ascii="宋体" w:hAnsi="宋体" w:cs="宋体"/>
                <w:color w:val="auto"/>
                <w:position w:val="10"/>
                <w:szCs w:val="21"/>
                <w:highlight w:val="none"/>
              </w:rPr>
            </w:pPr>
            <w:r>
              <w:rPr>
                <w:rFonts w:hint="eastAsia" w:ascii="宋体" w:hAnsi="宋体" w:cs="宋体"/>
                <w:color w:val="auto"/>
                <w:szCs w:val="21"/>
                <w:highlight w:val="none"/>
              </w:rPr>
              <w:t>响应文件装订要求</w:t>
            </w:r>
          </w:p>
        </w:tc>
        <w:tc>
          <w:tcPr>
            <w:tcW w:w="6283" w:type="dxa"/>
            <w:vAlign w:val="center"/>
          </w:tcPr>
          <w:p>
            <w:pPr>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供应商应按供应商须知第11.1款“响应文件组成”规定的顺序自编目录及页码，响应文件的“正本”、“副本”应当单独装订成册并标注页码，装订应牢固，不易拆散和换页。封面应注明“正本”、“副本”字样，封面上写明项目名称、项目编号、采购代理机构、供应商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spacing w:before="0" w:after="0" w:line="360" w:lineRule="exact"/>
              <w:ind w:firstLineChars="0"/>
              <w:rPr>
                <w:rFonts w:ascii="宋体" w:hAnsi="宋体" w:cs="宋体"/>
                <w:color w:val="auto"/>
                <w:szCs w:val="21"/>
                <w:highlight w:val="none"/>
              </w:rPr>
            </w:pPr>
            <w:r>
              <w:rPr>
                <w:rFonts w:hint="eastAsia" w:ascii="宋体" w:hAnsi="宋体" w:cs="宋体"/>
                <w:color w:val="auto"/>
                <w:szCs w:val="21"/>
                <w:highlight w:val="none"/>
              </w:rPr>
              <w:t>9</w:t>
            </w:r>
          </w:p>
        </w:tc>
        <w:tc>
          <w:tcPr>
            <w:tcW w:w="991" w:type="dxa"/>
            <w:vAlign w:val="center"/>
          </w:tcPr>
          <w:p>
            <w:pPr>
              <w:spacing w:before="0" w:after="0" w:line="36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16.6</w:t>
            </w:r>
          </w:p>
        </w:tc>
        <w:tc>
          <w:tcPr>
            <w:tcW w:w="2130" w:type="dxa"/>
            <w:vAlign w:val="center"/>
          </w:tcPr>
          <w:p>
            <w:pPr>
              <w:spacing w:before="0" w:after="0" w:line="36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响应文件包装、密封、标记</w:t>
            </w:r>
          </w:p>
        </w:tc>
        <w:tc>
          <w:tcPr>
            <w:tcW w:w="6283" w:type="dxa"/>
            <w:vAlign w:val="center"/>
          </w:tcPr>
          <w:p>
            <w:pPr>
              <w:snapToGrid w:val="0"/>
              <w:spacing w:before="0" w:after="0" w:line="400" w:lineRule="exact"/>
              <w:ind w:firstLine="0" w:firstLineChars="0"/>
              <w:jc w:val="left"/>
              <w:rPr>
                <w:rFonts w:ascii="宋体" w:hAnsi="宋体" w:cs="宋体"/>
                <w:color w:val="auto"/>
                <w:szCs w:val="21"/>
                <w:highlight w:val="none"/>
              </w:rPr>
            </w:pPr>
            <w:r>
              <w:rPr>
                <w:rFonts w:hint="eastAsia" w:ascii="宋体" w:hAnsi="宋体" w:cs="宋体"/>
                <w:color w:val="auto"/>
                <w:szCs w:val="21"/>
                <w:highlight w:val="none"/>
              </w:rPr>
              <w:t>16.6.1响应文件包装、密封：供应商须将响应文件“正本”、“副本” 及响应文件电子版U盘或光盘一并装入一个响应文件袋（盒、箱）中密封，并在密封处密封签章【公章、密封章、法定代表人、负责人、自然人或相应的授权委托代理人签字均可】。</w:t>
            </w:r>
          </w:p>
          <w:p>
            <w:pPr>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16.6.2响应文件袋（盒、箱）标记：</w:t>
            </w:r>
          </w:p>
          <w:p>
            <w:pPr>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项目名称：</w:t>
            </w:r>
          </w:p>
          <w:p>
            <w:pPr>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项目编号：</w:t>
            </w:r>
          </w:p>
          <w:p>
            <w:pPr>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采购代理机构：</w:t>
            </w:r>
          </w:p>
          <w:p>
            <w:pPr>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供应商单位名称：</w:t>
            </w:r>
          </w:p>
          <w:p>
            <w:pPr>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在</w:t>
            </w:r>
            <w:r>
              <w:rPr>
                <w:rFonts w:ascii="宋体" w:hAnsi="宋体" w:cs="宋体"/>
                <w:color w:val="auto"/>
                <w:szCs w:val="21"/>
                <w:highlight w:val="none"/>
              </w:rPr>
              <w:t xml:space="preserve">    </w:t>
            </w:r>
            <w:r>
              <w:rPr>
                <w:rFonts w:hint="eastAsia" w:ascii="宋体" w:hAnsi="宋体" w:cs="宋体"/>
                <w:color w:val="auto"/>
                <w:szCs w:val="21"/>
                <w:highlight w:val="none"/>
              </w:rPr>
              <w:t>年 月  日  时 分前不得开启（此处供应商填写响应文件递交截止时间）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96" w:type="dxa"/>
            <w:vAlign w:val="center"/>
          </w:tcPr>
          <w:p>
            <w:pPr>
              <w:spacing w:before="0" w:after="0" w:line="40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10</w:t>
            </w:r>
          </w:p>
        </w:tc>
        <w:tc>
          <w:tcPr>
            <w:tcW w:w="991" w:type="dxa"/>
            <w:vAlign w:val="center"/>
          </w:tcPr>
          <w:p>
            <w:pPr>
              <w:spacing w:before="0" w:after="0" w:line="36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16.7</w:t>
            </w:r>
          </w:p>
        </w:tc>
        <w:tc>
          <w:tcPr>
            <w:tcW w:w="2130" w:type="dxa"/>
            <w:vAlign w:val="center"/>
          </w:tcPr>
          <w:p>
            <w:pPr>
              <w:spacing w:before="0" w:after="0" w:line="36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供应商公章</w:t>
            </w:r>
          </w:p>
        </w:tc>
        <w:tc>
          <w:tcPr>
            <w:tcW w:w="6283" w:type="dxa"/>
            <w:vAlign w:val="center"/>
          </w:tcPr>
          <w:p>
            <w:pPr>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本竞争性</w:t>
            </w:r>
            <w:r>
              <w:rPr>
                <w:rFonts w:hint="eastAsia" w:ascii="宋体" w:hAnsi="宋体" w:cs="宋体"/>
                <w:color w:val="auto"/>
                <w:highlight w:val="none"/>
              </w:rPr>
              <w:t>磋商</w:t>
            </w:r>
            <w:r>
              <w:rPr>
                <w:rFonts w:hint="eastAsia" w:ascii="宋体" w:hAnsi="宋体" w:cs="宋体"/>
                <w:color w:val="auto"/>
                <w:szCs w:val="21"/>
                <w:highlight w:val="none"/>
              </w:rPr>
              <w:t>文件中描述供应商的“公章”是指根据我国对公章的管理规定，用供应商法定主体行为名称制作的印章，除本文件有特殊规定外，供应商的财务章、部门章、分公司章、工会章、合同章、磋商专用章、业务专用章及银行的转账章、现金收讫章、现金付讫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696" w:type="dxa"/>
            <w:vAlign w:val="center"/>
          </w:tcPr>
          <w:p>
            <w:pPr>
              <w:spacing w:before="0" w:after="0" w:line="40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11</w:t>
            </w:r>
          </w:p>
        </w:tc>
        <w:tc>
          <w:tcPr>
            <w:tcW w:w="991" w:type="dxa"/>
            <w:vAlign w:val="center"/>
          </w:tcPr>
          <w:p>
            <w:pPr>
              <w:spacing w:before="0" w:after="0" w:line="36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18.1</w:t>
            </w:r>
          </w:p>
        </w:tc>
        <w:tc>
          <w:tcPr>
            <w:tcW w:w="2130" w:type="dxa"/>
            <w:vAlign w:val="center"/>
          </w:tcPr>
          <w:p>
            <w:pPr>
              <w:spacing w:before="0" w:after="0" w:line="36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响应文件递交起止时间</w:t>
            </w:r>
          </w:p>
        </w:tc>
        <w:tc>
          <w:tcPr>
            <w:tcW w:w="6283" w:type="dxa"/>
            <w:vAlign w:val="center"/>
          </w:tcPr>
          <w:p>
            <w:pPr>
              <w:spacing w:before="0" w:after="0" w:line="400" w:lineRule="exact"/>
              <w:ind w:firstLine="0" w:firstLineChars="0"/>
              <w:rPr>
                <w:rFonts w:ascii="宋体" w:hAnsi="宋体" w:cs="宋体"/>
                <w:color w:val="auto"/>
                <w:szCs w:val="21"/>
                <w:highlight w:val="none"/>
              </w:rPr>
            </w:pPr>
            <w:r>
              <w:rPr>
                <w:rFonts w:hint="eastAsia" w:ascii="宋体" w:hAnsi="宋体" w:cs="宋体"/>
                <w:b/>
                <w:color w:val="auto"/>
                <w:szCs w:val="21"/>
                <w:highlight w:val="none"/>
              </w:rPr>
              <w:t>响应文件递交起止时间：</w:t>
            </w:r>
            <w:r>
              <w:rPr>
                <w:rFonts w:hint="eastAsia" w:ascii="宋体" w:hAnsi="宋体" w:cs="宋体"/>
                <w:color w:val="auto"/>
                <w:szCs w:val="21"/>
                <w:highlight w:val="none"/>
              </w:rPr>
              <w:t>2020年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24</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时至</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96" w:type="dxa"/>
            <w:vAlign w:val="center"/>
          </w:tcPr>
          <w:p>
            <w:pPr>
              <w:spacing w:before="0" w:after="0" w:line="360" w:lineRule="exact"/>
              <w:ind w:firstLine="0" w:firstLineChars="0"/>
              <w:jc w:val="center"/>
              <w:rPr>
                <w:rFonts w:ascii="宋体" w:hAnsi="宋体" w:cs="宋体"/>
                <w:color w:val="auto"/>
                <w:position w:val="-2"/>
                <w:szCs w:val="21"/>
                <w:highlight w:val="none"/>
              </w:rPr>
            </w:pPr>
            <w:r>
              <w:rPr>
                <w:rFonts w:hint="eastAsia" w:ascii="宋体" w:hAnsi="宋体" w:cs="宋体"/>
                <w:color w:val="auto"/>
                <w:position w:val="-2"/>
                <w:szCs w:val="21"/>
                <w:highlight w:val="none"/>
              </w:rPr>
              <w:t>12</w:t>
            </w:r>
          </w:p>
        </w:tc>
        <w:tc>
          <w:tcPr>
            <w:tcW w:w="991" w:type="dxa"/>
            <w:vAlign w:val="center"/>
          </w:tcPr>
          <w:p>
            <w:pPr>
              <w:spacing w:before="0" w:after="0" w:line="360" w:lineRule="exact"/>
              <w:ind w:firstLine="0" w:firstLineChars="0"/>
              <w:jc w:val="center"/>
              <w:rPr>
                <w:rFonts w:ascii="宋体" w:hAnsi="宋体" w:cs="宋体"/>
                <w:color w:val="auto"/>
                <w:position w:val="-2"/>
                <w:szCs w:val="21"/>
                <w:highlight w:val="none"/>
              </w:rPr>
            </w:pPr>
            <w:r>
              <w:rPr>
                <w:rFonts w:hint="eastAsia" w:ascii="宋体" w:hAnsi="宋体" w:cs="宋体"/>
                <w:color w:val="auto"/>
                <w:position w:val="-2"/>
                <w:szCs w:val="21"/>
                <w:highlight w:val="none"/>
              </w:rPr>
              <w:t>18.2</w:t>
            </w:r>
          </w:p>
        </w:tc>
        <w:tc>
          <w:tcPr>
            <w:tcW w:w="2130" w:type="dxa"/>
            <w:vAlign w:val="center"/>
          </w:tcPr>
          <w:p>
            <w:pPr>
              <w:spacing w:before="0" w:after="0" w:line="360" w:lineRule="exact"/>
              <w:ind w:firstLine="0" w:firstLineChars="0"/>
              <w:jc w:val="center"/>
              <w:rPr>
                <w:rFonts w:ascii="宋体" w:hAnsi="宋体" w:cs="宋体"/>
                <w:color w:val="auto"/>
                <w:position w:val="-2"/>
                <w:szCs w:val="21"/>
                <w:highlight w:val="none"/>
              </w:rPr>
            </w:pPr>
            <w:r>
              <w:rPr>
                <w:rFonts w:hint="eastAsia" w:ascii="宋体" w:hAnsi="宋体" w:cs="宋体"/>
                <w:color w:val="auto"/>
                <w:position w:val="-2"/>
                <w:szCs w:val="21"/>
                <w:highlight w:val="none"/>
              </w:rPr>
              <w:t>响应文件递交地点</w:t>
            </w:r>
          </w:p>
        </w:tc>
        <w:tc>
          <w:tcPr>
            <w:tcW w:w="6283" w:type="dxa"/>
            <w:vAlign w:val="center"/>
          </w:tcPr>
          <w:p>
            <w:pPr>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桂林市公共资源交易中心（临桂新区西城中路69号西辅楼四楼）</w:t>
            </w:r>
            <w:r>
              <w:rPr>
                <w:rFonts w:hint="eastAsia" w:ascii="宋体" w:hAnsi="宋体" w:cs="宋体"/>
                <w:color w:val="auto"/>
                <w:szCs w:val="21"/>
                <w:highlight w:val="none"/>
                <w:lang w:val="en-US" w:eastAsia="zh-CN"/>
              </w:rPr>
              <w:t>1号开标室</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96" w:type="dxa"/>
            <w:vAlign w:val="center"/>
          </w:tcPr>
          <w:p>
            <w:pPr>
              <w:spacing w:before="0" w:after="0" w:line="40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13</w:t>
            </w:r>
          </w:p>
        </w:tc>
        <w:tc>
          <w:tcPr>
            <w:tcW w:w="991" w:type="dxa"/>
            <w:vAlign w:val="center"/>
          </w:tcPr>
          <w:p>
            <w:pPr>
              <w:spacing w:before="0" w:after="0" w:line="360" w:lineRule="exact"/>
              <w:ind w:firstLine="0" w:firstLineChars="0"/>
              <w:jc w:val="center"/>
              <w:rPr>
                <w:rFonts w:ascii="宋体" w:hAnsi="宋体" w:cs="宋体"/>
                <w:color w:val="auto"/>
                <w:position w:val="-2"/>
                <w:szCs w:val="21"/>
                <w:highlight w:val="none"/>
              </w:rPr>
            </w:pPr>
            <w:r>
              <w:rPr>
                <w:rFonts w:hint="eastAsia" w:ascii="宋体" w:hAnsi="宋体" w:cs="宋体"/>
                <w:color w:val="auto"/>
                <w:position w:val="-2"/>
                <w:szCs w:val="21"/>
                <w:highlight w:val="none"/>
              </w:rPr>
              <w:t>19.1</w:t>
            </w:r>
          </w:p>
        </w:tc>
        <w:tc>
          <w:tcPr>
            <w:tcW w:w="2130" w:type="dxa"/>
            <w:vAlign w:val="center"/>
          </w:tcPr>
          <w:p>
            <w:pPr>
              <w:spacing w:before="0" w:after="0" w:line="42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磋商小组组成</w:t>
            </w:r>
          </w:p>
        </w:tc>
        <w:tc>
          <w:tcPr>
            <w:tcW w:w="6283" w:type="dxa"/>
            <w:vAlign w:val="center"/>
          </w:tcPr>
          <w:p>
            <w:pPr>
              <w:spacing w:before="0" w:after="0" w:line="400" w:lineRule="exact"/>
              <w:ind w:firstLine="0" w:firstLineChars="0"/>
              <w:rPr>
                <w:rFonts w:ascii="宋体" w:hAnsi="宋体" w:cs="宋体"/>
                <w:color w:val="auto"/>
                <w:szCs w:val="21"/>
                <w:highlight w:val="none"/>
              </w:rPr>
            </w:pPr>
            <w:r>
              <w:rPr>
                <w:rFonts w:hint="eastAsia" w:ascii="宋体" w:hAnsi="宋体" w:cs="宋体"/>
                <w:color w:val="auto"/>
                <w:highlight w:val="none"/>
              </w:rPr>
              <w:t>磋商</w:t>
            </w:r>
            <w:r>
              <w:rPr>
                <w:rFonts w:hint="eastAsia" w:ascii="宋体" w:hAnsi="宋体" w:cs="宋体"/>
                <w:color w:val="auto"/>
                <w:szCs w:val="21"/>
                <w:highlight w:val="none"/>
              </w:rPr>
              <w:t>小组由采购人代表和有关方面的专家组成，共</w:t>
            </w:r>
            <w:r>
              <w:rPr>
                <w:rFonts w:hint="eastAsia" w:ascii="宋体" w:hAnsi="宋体" w:cs="宋体"/>
                <w:color w:val="auto"/>
                <w:szCs w:val="21"/>
                <w:highlight w:val="none"/>
                <w:u w:val="single"/>
              </w:rPr>
              <w:t xml:space="preserve"> 3</w:t>
            </w:r>
            <w:r>
              <w:rPr>
                <w:rFonts w:hint="eastAsia" w:ascii="宋体" w:hAnsi="宋体" w:cs="宋体"/>
                <w:color w:val="auto"/>
                <w:szCs w:val="21"/>
                <w:highlight w:val="none"/>
              </w:rPr>
              <w:t>人，其中采购人代表</w:t>
            </w:r>
            <w:r>
              <w:rPr>
                <w:rFonts w:hint="eastAsia" w:ascii="宋体" w:hAnsi="宋体" w:cs="宋体"/>
                <w:color w:val="auto"/>
                <w:szCs w:val="21"/>
                <w:highlight w:val="none"/>
                <w:u w:val="single"/>
              </w:rPr>
              <w:t xml:space="preserve"> 1 </w:t>
            </w:r>
            <w:r>
              <w:rPr>
                <w:rFonts w:hint="eastAsia" w:ascii="宋体" w:hAnsi="宋体" w:cs="宋体"/>
                <w:color w:val="auto"/>
                <w:szCs w:val="21"/>
                <w:highlight w:val="none"/>
              </w:rPr>
              <w:t>人，专家</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696" w:type="dxa"/>
            <w:vAlign w:val="center"/>
          </w:tcPr>
          <w:p>
            <w:pPr>
              <w:spacing w:before="0" w:after="0" w:line="40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14</w:t>
            </w:r>
          </w:p>
        </w:tc>
        <w:tc>
          <w:tcPr>
            <w:tcW w:w="991" w:type="dxa"/>
            <w:vAlign w:val="center"/>
          </w:tcPr>
          <w:p>
            <w:pPr>
              <w:spacing w:before="0" w:after="0" w:line="36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19.2</w:t>
            </w:r>
          </w:p>
        </w:tc>
        <w:tc>
          <w:tcPr>
            <w:tcW w:w="2130" w:type="dxa"/>
            <w:vAlign w:val="center"/>
          </w:tcPr>
          <w:p>
            <w:pPr>
              <w:spacing w:before="0" w:after="0" w:line="36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磋商时间、地点、人员</w:t>
            </w:r>
          </w:p>
        </w:tc>
        <w:tc>
          <w:tcPr>
            <w:tcW w:w="6283" w:type="dxa"/>
          </w:tcPr>
          <w:p>
            <w:pPr>
              <w:spacing w:before="0" w:after="0" w:line="400" w:lineRule="exact"/>
              <w:ind w:left="315" w:hanging="315" w:hangingChars="150"/>
              <w:rPr>
                <w:rFonts w:ascii="宋体" w:hAnsi="宋体" w:cs="宋体"/>
                <w:color w:val="auto"/>
                <w:szCs w:val="21"/>
                <w:highlight w:val="none"/>
              </w:rPr>
            </w:pPr>
            <w:r>
              <w:rPr>
                <w:rFonts w:hint="eastAsia" w:ascii="宋体" w:hAnsi="宋体" w:cs="宋体"/>
                <w:color w:val="auto"/>
                <w:szCs w:val="21"/>
                <w:highlight w:val="none"/>
              </w:rPr>
              <w:t>19.2.1</w:t>
            </w:r>
            <w:r>
              <w:rPr>
                <w:rFonts w:hint="eastAsia" w:ascii="宋体" w:hAnsi="宋体" w:cs="宋体"/>
                <w:color w:val="auto"/>
                <w:highlight w:val="none"/>
              </w:rPr>
              <w:t>磋商</w:t>
            </w:r>
            <w:r>
              <w:rPr>
                <w:rFonts w:hint="eastAsia" w:ascii="宋体" w:hAnsi="宋体" w:cs="宋体"/>
                <w:color w:val="auto"/>
                <w:szCs w:val="21"/>
                <w:highlight w:val="none"/>
              </w:rPr>
              <w:t>时间：响应文件递交截止时间后。</w:t>
            </w:r>
          </w:p>
          <w:p>
            <w:pPr>
              <w:spacing w:before="0" w:after="0" w:line="400" w:lineRule="exact"/>
              <w:ind w:left="315" w:hanging="315" w:hangingChars="150"/>
              <w:rPr>
                <w:rFonts w:ascii="宋体" w:hAnsi="宋体" w:cs="宋体"/>
                <w:color w:val="auto"/>
                <w:szCs w:val="21"/>
                <w:highlight w:val="none"/>
              </w:rPr>
            </w:pPr>
            <w:r>
              <w:rPr>
                <w:rFonts w:hint="eastAsia" w:ascii="宋体" w:hAnsi="宋体" w:cs="宋体"/>
                <w:color w:val="auto"/>
                <w:szCs w:val="21"/>
                <w:highlight w:val="none"/>
              </w:rPr>
              <w:t>19.2.2</w:t>
            </w:r>
            <w:r>
              <w:rPr>
                <w:rFonts w:hint="eastAsia" w:ascii="宋体" w:hAnsi="宋体" w:cs="宋体"/>
                <w:color w:val="auto"/>
                <w:highlight w:val="none"/>
              </w:rPr>
              <w:t>磋商</w:t>
            </w:r>
            <w:r>
              <w:rPr>
                <w:rFonts w:hint="eastAsia" w:ascii="宋体" w:hAnsi="宋体" w:cs="宋体"/>
                <w:color w:val="auto"/>
                <w:szCs w:val="21"/>
                <w:highlight w:val="none"/>
              </w:rPr>
              <w:t>地点：桂林市公共资源交易中心（临桂新区西城中路</w:t>
            </w:r>
          </w:p>
          <w:p>
            <w:pPr>
              <w:spacing w:before="0" w:after="0" w:line="400" w:lineRule="exact"/>
              <w:ind w:firstLine="11" w:firstLineChars="0"/>
              <w:rPr>
                <w:rFonts w:ascii="宋体" w:hAnsi="宋体" w:cs="宋体"/>
                <w:color w:val="auto"/>
                <w:szCs w:val="21"/>
                <w:highlight w:val="none"/>
              </w:rPr>
            </w:pPr>
            <w:r>
              <w:rPr>
                <w:rFonts w:hint="eastAsia" w:ascii="宋体" w:hAnsi="宋体" w:cs="宋体"/>
                <w:color w:val="auto"/>
                <w:szCs w:val="21"/>
                <w:highlight w:val="none"/>
              </w:rPr>
              <w:t>69号西辅楼四楼）。</w:t>
            </w:r>
          </w:p>
          <w:p>
            <w:pPr>
              <w:spacing w:before="0" w:after="0" w:line="400" w:lineRule="exact"/>
              <w:ind w:left="315" w:hanging="315" w:hangingChars="150"/>
              <w:rPr>
                <w:rFonts w:ascii="宋体" w:hAnsi="宋体" w:cs="宋体"/>
                <w:color w:val="auto"/>
                <w:szCs w:val="21"/>
                <w:highlight w:val="none"/>
              </w:rPr>
            </w:pPr>
            <w:r>
              <w:rPr>
                <w:rFonts w:hint="eastAsia" w:ascii="宋体" w:hAnsi="宋体" w:cs="宋体"/>
                <w:color w:val="auto"/>
                <w:szCs w:val="21"/>
                <w:highlight w:val="none"/>
              </w:rPr>
              <w:t>19.2.3</w:t>
            </w:r>
            <w:r>
              <w:rPr>
                <w:rFonts w:hint="eastAsia" w:ascii="宋体" w:hAnsi="宋体" w:cs="宋体"/>
                <w:color w:val="auto"/>
                <w:highlight w:val="none"/>
              </w:rPr>
              <w:t>磋商</w:t>
            </w:r>
            <w:r>
              <w:rPr>
                <w:rFonts w:hint="eastAsia" w:ascii="宋体" w:hAnsi="宋体" w:cs="宋体"/>
                <w:color w:val="auto"/>
                <w:szCs w:val="21"/>
                <w:highlight w:val="none"/>
              </w:rPr>
              <w:t>参加人员：供应商法定代表人、负责人、自然人或相</w:t>
            </w:r>
          </w:p>
          <w:p>
            <w:pPr>
              <w:spacing w:before="0" w:after="0" w:line="400" w:lineRule="exact"/>
              <w:ind w:left="315" w:hanging="315" w:hangingChars="150"/>
              <w:rPr>
                <w:rFonts w:ascii="宋体" w:hAnsi="宋体" w:cs="宋体"/>
                <w:color w:val="auto"/>
                <w:szCs w:val="21"/>
                <w:highlight w:val="none"/>
              </w:rPr>
            </w:pPr>
            <w:r>
              <w:rPr>
                <w:rFonts w:hint="eastAsia" w:ascii="宋体" w:hAnsi="宋体" w:cs="宋体"/>
                <w:color w:val="auto"/>
                <w:szCs w:val="21"/>
                <w:highlight w:val="none"/>
              </w:rPr>
              <w:t>应的委托代理人持有效身份证原件参加磋商。请供应商按时到达</w:t>
            </w:r>
          </w:p>
          <w:p>
            <w:pPr>
              <w:spacing w:before="0" w:after="0" w:line="400" w:lineRule="exact"/>
              <w:ind w:left="315" w:hanging="315" w:hangingChars="150"/>
              <w:rPr>
                <w:rFonts w:ascii="宋体" w:hAnsi="宋体" w:cs="宋体"/>
                <w:color w:val="auto"/>
                <w:szCs w:val="21"/>
                <w:highlight w:val="none"/>
              </w:rPr>
            </w:pPr>
            <w:r>
              <w:rPr>
                <w:rFonts w:hint="eastAsia" w:ascii="宋体" w:hAnsi="宋体" w:cs="宋体"/>
                <w:color w:val="auto"/>
                <w:szCs w:val="21"/>
                <w:highlight w:val="none"/>
              </w:rPr>
              <w:t>指定地点等候当面</w:t>
            </w:r>
            <w:r>
              <w:rPr>
                <w:rFonts w:hint="eastAsia" w:ascii="宋体" w:hAnsi="宋体" w:cs="宋体"/>
                <w:color w:val="auto"/>
                <w:highlight w:val="none"/>
              </w:rPr>
              <w:t>磋商</w:t>
            </w:r>
            <w:r>
              <w:rPr>
                <w:rFonts w:hint="eastAsia" w:ascii="宋体" w:hAnsi="宋体" w:cs="宋体"/>
                <w:color w:val="auto"/>
                <w:szCs w:val="21"/>
                <w:highlight w:val="none"/>
              </w:rPr>
              <w:t>。</w:t>
            </w:r>
          </w:p>
          <w:p>
            <w:pPr>
              <w:tabs>
                <w:tab w:val="left" w:pos="1140"/>
              </w:tabs>
              <w:spacing w:before="0" w:after="0" w:line="400" w:lineRule="exact"/>
              <w:ind w:firstLine="0" w:firstLineChars="0"/>
              <w:rPr>
                <w:rFonts w:ascii="宋体" w:hAnsi="宋体" w:cs="宋体"/>
                <w:b/>
                <w:color w:val="auto"/>
                <w:szCs w:val="21"/>
                <w:highlight w:val="none"/>
              </w:rPr>
            </w:pPr>
            <w:r>
              <w:rPr>
                <w:rFonts w:hint="eastAsia" w:ascii="宋体" w:hAnsi="宋体" w:cs="宋体"/>
                <w:color w:val="auto"/>
                <w:position w:val="-2"/>
                <w:szCs w:val="21"/>
                <w:highlight w:val="none"/>
              </w:rPr>
              <w:t>19.2.4响应文件递交</w:t>
            </w:r>
            <w:r>
              <w:rPr>
                <w:rFonts w:hint="eastAsia" w:ascii="宋体" w:hAnsi="宋体" w:cs="宋体"/>
                <w:color w:val="auto"/>
                <w:szCs w:val="21"/>
                <w:highlight w:val="none"/>
              </w:rPr>
              <w:t>截止时间后，由</w:t>
            </w:r>
            <w:r>
              <w:rPr>
                <w:rFonts w:hint="eastAsia" w:ascii="宋体" w:hAnsi="宋体" w:cs="宋体"/>
                <w:color w:val="auto"/>
                <w:highlight w:val="none"/>
              </w:rPr>
              <w:t>磋商</w:t>
            </w:r>
            <w:r>
              <w:rPr>
                <w:rFonts w:hint="eastAsia" w:ascii="宋体" w:hAnsi="宋体" w:cs="宋体"/>
                <w:color w:val="auto"/>
                <w:szCs w:val="21"/>
                <w:highlight w:val="none"/>
              </w:rPr>
              <w:t>小组在评标室内开启响应文件。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spacing w:before="0" w:after="0" w:line="400" w:lineRule="exact"/>
              <w:ind w:firstLine="0" w:firstLineChars="0"/>
              <w:jc w:val="center"/>
              <w:rPr>
                <w:rFonts w:ascii="宋体" w:hAnsi="宋体" w:cs="宋体"/>
                <w:color w:val="auto"/>
                <w:szCs w:val="21"/>
                <w:highlight w:val="none"/>
              </w:rPr>
            </w:pPr>
            <w:r>
              <w:rPr>
                <w:rFonts w:hint="eastAsia" w:ascii="宋体" w:hAnsi="宋体" w:cs="宋体"/>
                <w:color w:val="auto"/>
                <w:kern w:val="0"/>
                <w:szCs w:val="21"/>
                <w:highlight w:val="none"/>
              </w:rPr>
              <w:t>15</w:t>
            </w:r>
          </w:p>
        </w:tc>
        <w:tc>
          <w:tcPr>
            <w:tcW w:w="991" w:type="dxa"/>
            <w:vAlign w:val="center"/>
          </w:tcPr>
          <w:p>
            <w:pPr>
              <w:spacing w:before="0" w:after="0" w:line="36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20.2</w:t>
            </w:r>
          </w:p>
        </w:tc>
        <w:tc>
          <w:tcPr>
            <w:tcW w:w="2130" w:type="dxa"/>
            <w:vAlign w:val="center"/>
          </w:tcPr>
          <w:p>
            <w:pPr>
              <w:spacing w:before="0" w:after="0" w:line="360" w:lineRule="exact"/>
              <w:ind w:firstLine="0" w:firstLineChars="0"/>
              <w:jc w:val="center"/>
              <w:rPr>
                <w:rFonts w:ascii="宋体" w:hAnsi="宋体" w:cs="宋体"/>
                <w:color w:val="auto"/>
                <w:kern w:val="0"/>
                <w:szCs w:val="21"/>
                <w:highlight w:val="none"/>
              </w:rPr>
            </w:pPr>
            <w:r>
              <w:rPr>
                <w:rFonts w:hint="eastAsia" w:ascii="宋体" w:hAnsi="宋体" w:cs="宋体"/>
                <w:color w:val="auto"/>
                <w:kern w:val="0"/>
                <w:szCs w:val="21"/>
                <w:highlight w:val="none"/>
              </w:rPr>
              <w:t>评审办法</w:t>
            </w:r>
          </w:p>
        </w:tc>
        <w:tc>
          <w:tcPr>
            <w:tcW w:w="6283" w:type="dxa"/>
            <w:vAlign w:val="center"/>
          </w:tcPr>
          <w:p>
            <w:pPr>
              <w:tabs>
                <w:tab w:val="left" w:pos="1140"/>
              </w:tabs>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具体详见第四章评审办法。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96" w:type="dxa"/>
            <w:vAlign w:val="center"/>
          </w:tcPr>
          <w:p>
            <w:pPr>
              <w:spacing w:before="0" w:after="0" w:line="42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16</w:t>
            </w:r>
          </w:p>
        </w:tc>
        <w:tc>
          <w:tcPr>
            <w:tcW w:w="991" w:type="dxa"/>
            <w:vAlign w:val="center"/>
          </w:tcPr>
          <w:p>
            <w:pPr>
              <w:spacing w:before="0" w:after="0" w:line="36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26</w:t>
            </w:r>
          </w:p>
        </w:tc>
        <w:tc>
          <w:tcPr>
            <w:tcW w:w="2130" w:type="dxa"/>
            <w:vAlign w:val="center"/>
          </w:tcPr>
          <w:p>
            <w:pPr>
              <w:spacing w:before="0" w:after="0" w:line="36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成交公告</w:t>
            </w:r>
          </w:p>
          <w:p>
            <w:pPr>
              <w:spacing w:before="0" w:after="0" w:line="36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及成交通知书</w:t>
            </w:r>
          </w:p>
        </w:tc>
        <w:tc>
          <w:tcPr>
            <w:tcW w:w="6283" w:type="dxa"/>
          </w:tcPr>
          <w:p>
            <w:pPr>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26.1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26.2在发布成交公告的同时，采购代理机构向成交供应商发出成交通知书。如成交供应商自接到通知之日起七个工作日内，不办理成交通知书领取手续的，按违约处理。采购单位将取消其成交资格，成交供应商所有</w:t>
            </w:r>
            <w:r>
              <w:rPr>
                <w:rFonts w:hint="eastAsia" w:ascii="宋体" w:hAnsi="宋体" w:cs="宋体"/>
                <w:color w:val="auto"/>
                <w:highlight w:val="none"/>
              </w:rPr>
              <w:t>磋商</w:t>
            </w:r>
            <w:r>
              <w:rPr>
                <w:rFonts w:hint="eastAsia" w:ascii="宋体" w:hAnsi="宋体" w:cs="宋体"/>
                <w:color w:val="auto"/>
                <w:szCs w:val="21"/>
                <w:highlight w:val="none"/>
              </w:rPr>
              <w:t>的全部保证金不予退还，从磋商小组推荐的成交候选供应商中按顺序重新确定成交供应商。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96" w:type="dxa"/>
            <w:vAlign w:val="center"/>
          </w:tcPr>
          <w:p>
            <w:pPr>
              <w:spacing w:line="400" w:lineRule="exact"/>
              <w:ind w:firstLine="0" w:firstLineChars="0"/>
              <w:jc w:val="center"/>
              <w:rPr>
                <w:rFonts w:ascii="宋体" w:hAnsi="宋体"/>
                <w:color w:val="auto"/>
                <w:szCs w:val="21"/>
                <w:highlight w:val="none"/>
              </w:rPr>
            </w:pPr>
            <w:r>
              <w:rPr>
                <w:rFonts w:hint="eastAsia" w:ascii="宋体" w:hAnsi="宋体"/>
                <w:color w:val="auto"/>
                <w:szCs w:val="21"/>
                <w:highlight w:val="none"/>
              </w:rPr>
              <w:t>17</w:t>
            </w:r>
          </w:p>
        </w:tc>
        <w:tc>
          <w:tcPr>
            <w:tcW w:w="991" w:type="dxa"/>
            <w:vAlign w:val="center"/>
          </w:tcPr>
          <w:p>
            <w:pPr>
              <w:spacing w:line="400" w:lineRule="exact"/>
              <w:ind w:firstLine="0" w:firstLineChars="0"/>
              <w:jc w:val="center"/>
              <w:rPr>
                <w:rFonts w:ascii="宋体" w:hAnsi="宋体"/>
                <w:color w:val="auto"/>
                <w:szCs w:val="21"/>
                <w:highlight w:val="none"/>
              </w:rPr>
            </w:pPr>
            <w:r>
              <w:rPr>
                <w:rFonts w:hint="eastAsia" w:ascii="宋体" w:hAnsi="宋体"/>
                <w:color w:val="auto"/>
                <w:szCs w:val="21"/>
                <w:highlight w:val="none"/>
              </w:rPr>
              <w:t>27</w:t>
            </w:r>
          </w:p>
        </w:tc>
        <w:tc>
          <w:tcPr>
            <w:tcW w:w="2130" w:type="dxa"/>
            <w:vAlign w:val="center"/>
          </w:tcPr>
          <w:p>
            <w:pPr>
              <w:spacing w:line="400" w:lineRule="exact"/>
              <w:ind w:firstLine="0" w:firstLineChars="0"/>
              <w:jc w:val="center"/>
              <w:rPr>
                <w:rFonts w:ascii="宋体" w:hAnsi="宋体"/>
                <w:color w:val="auto"/>
                <w:szCs w:val="21"/>
                <w:highlight w:val="none"/>
              </w:rPr>
            </w:pPr>
            <w:r>
              <w:rPr>
                <w:rFonts w:hint="eastAsia" w:ascii="宋体" w:hAnsi="宋体"/>
                <w:color w:val="auto"/>
                <w:szCs w:val="21"/>
                <w:highlight w:val="none"/>
              </w:rPr>
              <w:t>信用查询</w:t>
            </w:r>
          </w:p>
        </w:tc>
        <w:tc>
          <w:tcPr>
            <w:tcW w:w="6283" w:type="dxa"/>
            <w:vAlign w:val="center"/>
          </w:tcPr>
          <w:p>
            <w:pPr>
              <w:autoSpaceDE w:val="0"/>
              <w:autoSpaceDN w:val="0"/>
              <w:snapToGrid w:val="0"/>
              <w:spacing w:line="400" w:lineRule="exact"/>
              <w:ind w:firstLine="0" w:firstLineChars="0"/>
              <w:jc w:val="left"/>
              <w:textAlignment w:val="bottom"/>
              <w:rPr>
                <w:rFonts w:ascii="宋体" w:hAnsi="宋体" w:cs="宋体"/>
                <w:color w:val="auto"/>
                <w:szCs w:val="21"/>
                <w:highlight w:val="none"/>
              </w:rPr>
            </w:pPr>
            <w:r>
              <w:rPr>
                <w:rFonts w:hint="eastAsia" w:ascii="宋体" w:hAnsi="宋体" w:cs="宋体"/>
                <w:color w:val="auto"/>
                <w:szCs w:val="21"/>
                <w:highlight w:val="none"/>
              </w:rPr>
              <w:t>根据《关于做好政府采购有关信用主体标识码登记及在政府采购活动中查询使用信用记录有关问题的通知》（桂财采〔2016〕37），由采购代理机构对第一成交候选人进行信用查询：</w:t>
            </w:r>
          </w:p>
          <w:p>
            <w:pPr>
              <w:autoSpaceDE w:val="0"/>
              <w:autoSpaceDN w:val="0"/>
              <w:snapToGrid w:val="0"/>
              <w:spacing w:line="400" w:lineRule="exact"/>
              <w:ind w:firstLine="0" w:firstLineChars="0"/>
              <w:jc w:val="left"/>
              <w:textAlignment w:val="bottom"/>
              <w:rPr>
                <w:rFonts w:ascii="宋体" w:hAnsi="宋体" w:cs="宋体"/>
                <w:color w:val="auto"/>
                <w:szCs w:val="21"/>
                <w:highlight w:val="none"/>
              </w:rPr>
            </w:pPr>
            <w:r>
              <w:rPr>
                <w:rFonts w:hint="eastAsia" w:ascii="宋体" w:hAnsi="宋体" w:cs="宋体"/>
                <w:color w:val="auto"/>
                <w:szCs w:val="21"/>
                <w:highlight w:val="none"/>
              </w:rPr>
              <w:t>（1）查询渠道：“信用中国”网站(www.creditchina.gov.cn)、中国政府采购网(www.ccgp.gov.cn)等；</w:t>
            </w:r>
          </w:p>
          <w:p>
            <w:pPr>
              <w:autoSpaceDE w:val="0"/>
              <w:autoSpaceDN w:val="0"/>
              <w:snapToGrid w:val="0"/>
              <w:spacing w:line="400" w:lineRule="exact"/>
              <w:ind w:firstLine="0" w:firstLineChars="0"/>
              <w:jc w:val="left"/>
              <w:textAlignment w:val="bottom"/>
              <w:rPr>
                <w:rFonts w:ascii="宋体" w:hAnsi="宋体" w:cs="宋体"/>
                <w:color w:val="auto"/>
                <w:szCs w:val="21"/>
                <w:highlight w:val="none"/>
              </w:rPr>
            </w:pPr>
            <w:r>
              <w:rPr>
                <w:rFonts w:hint="eastAsia" w:ascii="宋体" w:hAnsi="宋体" w:cs="宋体"/>
                <w:color w:val="auto"/>
                <w:szCs w:val="21"/>
                <w:highlight w:val="none"/>
              </w:rPr>
              <w:t>（2）查询截止时点：成交通知书发出前；</w:t>
            </w:r>
          </w:p>
          <w:p>
            <w:pPr>
              <w:autoSpaceDE w:val="0"/>
              <w:autoSpaceDN w:val="0"/>
              <w:snapToGrid w:val="0"/>
              <w:spacing w:line="400" w:lineRule="exact"/>
              <w:ind w:firstLine="0" w:firstLineChars="0"/>
              <w:jc w:val="left"/>
              <w:textAlignment w:val="bottom"/>
              <w:rPr>
                <w:rFonts w:ascii="宋体" w:hAnsi="宋体" w:cs="宋体"/>
                <w:color w:val="auto"/>
                <w:szCs w:val="21"/>
                <w:highlight w:val="none"/>
              </w:rPr>
            </w:pPr>
            <w:r>
              <w:rPr>
                <w:rFonts w:hint="eastAsia" w:ascii="宋体" w:hAnsi="宋体" w:cs="宋体"/>
                <w:color w:val="auto"/>
                <w:szCs w:val="21"/>
                <w:highlight w:val="none"/>
              </w:rPr>
              <w:t>（3）信用信息查询记录和证据留存方式：在查询网站中直接打印查询记录，打印材料作为采购活动资料保存。</w:t>
            </w:r>
          </w:p>
          <w:p>
            <w:pPr>
              <w:pStyle w:val="70"/>
              <w:spacing w:line="400" w:lineRule="exact"/>
              <w:jc w:val="left"/>
              <w:rPr>
                <w:rFonts w:hAnsi="宋体" w:cs="宋体"/>
                <w:color w:val="auto"/>
                <w:szCs w:val="21"/>
                <w:highlight w:val="none"/>
              </w:rPr>
            </w:pPr>
            <w:r>
              <w:rPr>
                <w:rFonts w:hint="eastAsia" w:hAnsi="宋体" w:cs="宋体"/>
                <w:color w:val="auto"/>
                <w:szCs w:val="21"/>
                <w:highlight w:val="none"/>
              </w:rPr>
              <w:t>（4）信用信息使用规则：对在“信用中国”网站（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52"/>
                <w:rFonts w:hint="eastAsia" w:ascii="宋体" w:hAnsi="宋体" w:cs="宋体"/>
                <w:color w:val="auto"/>
                <w:sz w:val="21"/>
                <w:szCs w:val="21"/>
                <w:highlight w:val="none"/>
              </w:rPr>
              <w:t>www.creditchina.gov.cn</w:t>
            </w:r>
            <w:r>
              <w:rPr>
                <w:rStyle w:val="52"/>
                <w:rFonts w:hint="eastAsia" w:ascii="宋体" w:hAnsi="宋体" w:cs="宋体"/>
                <w:color w:val="auto"/>
                <w:sz w:val="21"/>
                <w:szCs w:val="21"/>
                <w:highlight w:val="none"/>
              </w:rPr>
              <w:fldChar w:fldCharType="end"/>
            </w:r>
            <w:r>
              <w:rPr>
                <w:rFonts w:hint="eastAsia" w:hAnsi="宋体" w:cs="宋体"/>
                <w:color w:val="auto"/>
                <w:szCs w:val="21"/>
                <w:highlight w:val="none"/>
              </w:rPr>
              <w:t>）、中国政府采购网（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Style w:val="52"/>
                <w:rFonts w:hint="eastAsia" w:ascii="宋体" w:hAnsi="宋体" w:cs="宋体"/>
                <w:color w:val="auto"/>
                <w:sz w:val="21"/>
                <w:szCs w:val="21"/>
                <w:highlight w:val="none"/>
              </w:rPr>
              <w:t>www.ccgp.gov.cn</w:t>
            </w:r>
            <w:r>
              <w:rPr>
                <w:rStyle w:val="52"/>
                <w:rFonts w:hint="eastAsia" w:ascii="宋体" w:hAnsi="宋体" w:cs="宋体"/>
                <w:color w:val="auto"/>
                <w:sz w:val="21"/>
                <w:szCs w:val="21"/>
                <w:highlight w:val="none"/>
              </w:rPr>
              <w:fldChar w:fldCharType="end"/>
            </w:r>
            <w:r>
              <w:rPr>
                <w:rFonts w:hint="eastAsia" w:hAnsi="宋体" w:cs="宋体"/>
                <w:color w:val="auto"/>
                <w:szCs w:val="21"/>
                <w:highlight w:val="none"/>
              </w:rPr>
              <w:t>）等渠道列入失信被执行人、重大税收违法案件当事人名单、政府采购严重违法失信行为记录名单及其他不符合《中华人民共和国政府采购法》第二十二条规定条件的供应商，取消其成交候选人资格。</w:t>
            </w:r>
          </w:p>
          <w:p>
            <w:pPr>
              <w:spacing w:line="400" w:lineRule="exact"/>
              <w:ind w:firstLine="0" w:firstLineChars="0"/>
              <w:jc w:val="left"/>
              <w:rPr>
                <w:rFonts w:ascii="宋体" w:hAnsi="宋体"/>
                <w:color w:val="auto"/>
                <w:szCs w:val="21"/>
                <w:highlight w:val="none"/>
              </w:rPr>
            </w:pPr>
            <w:r>
              <w:rPr>
                <w:rFonts w:hint="eastAsia" w:ascii="宋体" w:hAnsi="宋体" w:cs="宋体"/>
                <w:color w:val="auto"/>
                <w:szCs w:val="21"/>
                <w:highlight w:val="none"/>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696" w:type="dxa"/>
            <w:vAlign w:val="center"/>
          </w:tcPr>
          <w:p>
            <w:pPr>
              <w:spacing w:before="0" w:after="0" w:line="40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18</w:t>
            </w:r>
          </w:p>
        </w:tc>
        <w:tc>
          <w:tcPr>
            <w:tcW w:w="991" w:type="dxa"/>
            <w:vAlign w:val="center"/>
          </w:tcPr>
          <w:p>
            <w:pPr>
              <w:spacing w:before="0" w:after="0" w:line="40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28</w:t>
            </w:r>
          </w:p>
        </w:tc>
        <w:tc>
          <w:tcPr>
            <w:tcW w:w="2130" w:type="dxa"/>
            <w:vAlign w:val="center"/>
          </w:tcPr>
          <w:p>
            <w:pPr>
              <w:spacing w:before="0" w:after="0" w:line="40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履约保证金</w:t>
            </w:r>
          </w:p>
        </w:tc>
        <w:tc>
          <w:tcPr>
            <w:tcW w:w="6283" w:type="dxa"/>
            <w:vAlign w:val="center"/>
          </w:tcPr>
          <w:p>
            <w:pPr>
              <w:spacing w:before="0" w:after="0" w:line="400" w:lineRule="exact"/>
              <w:ind w:firstLine="0" w:firstLineChars="0"/>
              <w:rPr>
                <w:rFonts w:hint="eastAsia" w:ascii="宋体" w:hAnsi="宋体" w:cs="宋体"/>
                <w:color w:val="auto"/>
                <w:szCs w:val="21"/>
                <w:highlight w:val="none"/>
              </w:rPr>
            </w:pPr>
            <w:r>
              <w:rPr>
                <w:rFonts w:hint="eastAsia" w:ascii="宋体" w:hAnsi="宋体" w:cs="宋体"/>
                <w:color w:val="auto"/>
                <w:szCs w:val="21"/>
                <w:highlight w:val="none"/>
              </w:rPr>
              <w:t>28.1履约保证金金额按成交价的5%（人民币，四舍五入到元）提供，由成交供应商在领取成交通知书前将履约保证金以转账、电汇形式缴入采购人指定账户。</w:t>
            </w:r>
          </w:p>
          <w:p>
            <w:pPr>
              <w:spacing w:before="0" w:after="0" w:line="400" w:lineRule="exact"/>
              <w:ind w:firstLine="0" w:firstLineChars="0"/>
              <w:rPr>
                <w:rFonts w:hint="eastAsia" w:ascii="宋体" w:hAnsi="宋体" w:cs="宋体"/>
                <w:color w:val="auto"/>
                <w:szCs w:val="21"/>
                <w:highlight w:val="none"/>
              </w:rPr>
            </w:pPr>
            <w:r>
              <w:rPr>
                <w:rFonts w:hint="eastAsia" w:ascii="宋体" w:hAnsi="宋体" w:cs="宋体"/>
                <w:color w:val="auto"/>
                <w:szCs w:val="21"/>
                <w:highlight w:val="none"/>
              </w:rPr>
              <w:t xml:space="preserve">账户名称：灌阳县人民医院 </w:t>
            </w:r>
          </w:p>
          <w:p>
            <w:pPr>
              <w:spacing w:before="0" w:after="0" w:line="400" w:lineRule="exact"/>
              <w:ind w:firstLine="0" w:firstLineChars="0"/>
              <w:rPr>
                <w:rFonts w:hint="eastAsia" w:ascii="宋体" w:hAnsi="宋体" w:cs="宋体"/>
                <w:color w:val="auto"/>
                <w:szCs w:val="21"/>
                <w:highlight w:val="none"/>
              </w:rPr>
            </w:pPr>
            <w:r>
              <w:rPr>
                <w:rFonts w:hint="eastAsia" w:ascii="宋体" w:hAnsi="宋体" w:cs="宋体"/>
                <w:color w:val="auto"/>
                <w:szCs w:val="21"/>
                <w:highlight w:val="none"/>
              </w:rPr>
              <w:t xml:space="preserve">开户银行：广西灌阳农村商业银行营业部  </w:t>
            </w:r>
          </w:p>
          <w:p>
            <w:pPr>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银行账号：325412010102728923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96" w:type="dxa"/>
            <w:vAlign w:val="center"/>
          </w:tcPr>
          <w:p>
            <w:pPr>
              <w:spacing w:before="0" w:after="0" w:line="40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19</w:t>
            </w:r>
          </w:p>
        </w:tc>
        <w:tc>
          <w:tcPr>
            <w:tcW w:w="991" w:type="dxa"/>
            <w:vAlign w:val="center"/>
          </w:tcPr>
          <w:p>
            <w:pPr>
              <w:spacing w:before="0" w:after="0" w:line="40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29.1</w:t>
            </w:r>
          </w:p>
        </w:tc>
        <w:tc>
          <w:tcPr>
            <w:tcW w:w="2130" w:type="dxa"/>
            <w:vAlign w:val="center"/>
          </w:tcPr>
          <w:p>
            <w:pPr>
              <w:spacing w:before="0" w:after="0" w:line="40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签订合同时间</w:t>
            </w:r>
          </w:p>
        </w:tc>
        <w:tc>
          <w:tcPr>
            <w:tcW w:w="6283" w:type="dxa"/>
          </w:tcPr>
          <w:p>
            <w:pPr>
              <w:spacing w:before="0" w:after="0" w:line="400" w:lineRule="exact"/>
              <w:ind w:firstLine="0" w:firstLineChars="0"/>
              <w:rPr>
                <w:rFonts w:ascii="宋体" w:hAnsi="宋体" w:cs="宋体"/>
                <w:color w:val="auto"/>
                <w:szCs w:val="21"/>
                <w:highlight w:val="none"/>
              </w:rPr>
            </w:pPr>
            <w:r>
              <w:rPr>
                <w:rFonts w:hint="eastAsia" w:ascii="宋体" w:hAnsi="宋体" w:cs="宋体"/>
                <w:color w:val="auto"/>
                <w:highlight w:val="none"/>
              </w:rPr>
              <w:t>成交通知书发出之日起</w:t>
            </w:r>
            <w:r>
              <w:rPr>
                <w:rFonts w:hint="eastAsia" w:ascii="宋体" w:hAnsi="宋体" w:cs="宋体"/>
                <w:color w:val="auto"/>
                <w:highlight w:val="none"/>
                <w:lang w:eastAsia="zh-CN"/>
              </w:rPr>
              <w:t>七个工作</w:t>
            </w:r>
            <w:r>
              <w:rPr>
                <w:rFonts w:hint="eastAsia" w:ascii="宋体" w:hAnsi="宋体" w:cs="宋体"/>
                <w:color w:val="auto"/>
                <w:highlight w:val="none"/>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96" w:type="dxa"/>
            <w:vAlign w:val="center"/>
          </w:tcPr>
          <w:p>
            <w:pPr>
              <w:spacing w:before="0" w:after="0" w:line="40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20</w:t>
            </w:r>
          </w:p>
        </w:tc>
        <w:tc>
          <w:tcPr>
            <w:tcW w:w="991" w:type="dxa"/>
            <w:vAlign w:val="center"/>
          </w:tcPr>
          <w:p>
            <w:pPr>
              <w:spacing w:before="0" w:after="0" w:line="40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29.3</w:t>
            </w:r>
          </w:p>
        </w:tc>
        <w:tc>
          <w:tcPr>
            <w:tcW w:w="2130" w:type="dxa"/>
            <w:vAlign w:val="center"/>
          </w:tcPr>
          <w:p>
            <w:pPr>
              <w:spacing w:before="0" w:after="0" w:line="40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合同备案存档</w:t>
            </w:r>
          </w:p>
        </w:tc>
        <w:tc>
          <w:tcPr>
            <w:tcW w:w="6283" w:type="dxa"/>
            <w:vAlign w:val="center"/>
          </w:tcPr>
          <w:p>
            <w:pPr>
              <w:spacing w:before="0" w:after="0" w:line="400" w:lineRule="exact"/>
              <w:ind w:firstLine="0" w:firstLineChars="0"/>
              <w:rPr>
                <w:rFonts w:ascii="宋体" w:hAnsi="宋体" w:cs="宋体"/>
                <w:color w:val="auto"/>
                <w:szCs w:val="21"/>
                <w:highlight w:val="none"/>
              </w:rPr>
            </w:pPr>
            <w:r>
              <w:rPr>
                <w:rFonts w:hint="eastAsia" w:ascii="宋体" w:hAnsi="宋体" w:cs="宋体"/>
                <w:color w:val="auto"/>
                <w:highlight w:val="none"/>
              </w:rPr>
              <w:t>政府采购合同双方自签订之日起1个工作日内将合同原件两份交采购代理机构。采购代理机构将政府采购合同在省级以上人民政府财政部门指定媒体上公告并于合同签订之日起七个工作日内将一份合同原件送</w:t>
            </w:r>
            <w:r>
              <w:rPr>
                <w:rFonts w:hint="eastAsia" w:ascii="宋体" w:hAnsi="宋体" w:cs="宋体"/>
                <w:color w:val="auto"/>
                <w:highlight w:val="none"/>
                <w:lang w:eastAsia="zh-CN"/>
              </w:rPr>
              <w:t>灌阳县政府采购管理办公室</w:t>
            </w:r>
            <w:r>
              <w:rPr>
                <w:rFonts w:hint="eastAsia" w:ascii="宋体" w:hAnsi="宋体" w:cs="宋体"/>
                <w:color w:val="auto"/>
                <w:highlight w:val="none"/>
              </w:rPr>
              <w:t>备案，一份由采购代理机构存档。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96" w:type="dxa"/>
            <w:vAlign w:val="center"/>
          </w:tcPr>
          <w:p>
            <w:pPr>
              <w:spacing w:before="0" w:after="0" w:line="40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21</w:t>
            </w:r>
          </w:p>
        </w:tc>
        <w:tc>
          <w:tcPr>
            <w:tcW w:w="991" w:type="dxa"/>
            <w:vAlign w:val="center"/>
          </w:tcPr>
          <w:p>
            <w:pPr>
              <w:spacing w:before="0" w:after="0" w:line="40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30</w:t>
            </w:r>
          </w:p>
        </w:tc>
        <w:tc>
          <w:tcPr>
            <w:tcW w:w="2130" w:type="dxa"/>
            <w:vAlign w:val="center"/>
          </w:tcPr>
          <w:p>
            <w:pPr>
              <w:spacing w:before="0" w:after="0" w:line="40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采购代理服务费</w:t>
            </w:r>
          </w:p>
        </w:tc>
        <w:tc>
          <w:tcPr>
            <w:tcW w:w="6283" w:type="dxa"/>
          </w:tcPr>
          <w:p>
            <w:pPr>
              <w:spacing w:before="0" w:after="0" w:line="400" w:lineRule="exact"/>
              <w:ind w:firstLine="0" w:firstLineChars="0"/>
              <w:rPr>
                <w:rFonts w:ascii="宋体" w:hAnsi="宋体" w:cs="宋体"/>
                <w:color w:val="auto"/>
                <w:szCs w:val="21"/>
                <w:highlight w:val="none"/>
              </w:rPr>
            </w:pPr>
            <w:r>
              <w:rPr>
                <w:rFonts w:hint="eastAsia" w:ascii="宋体" w:hAnsi="宋体" w:cs="宋体"/>
                <w:color w:val="auto"/>
                <w:highlight w:val="none"/>
              </w:rPr>
              <w:t>成交供应商领取成交通知书前，</w:t>
            </w:r>
            <w:r>
              <w:rPr>
                <w:rFonts w:hint="eastAsia" w:ascii="宋体" w:hAnsi="宋体" w:cs="宋体"/>
                <w:color w:val="auto"/>
                <w:szCs w:val="21"/>
                <w:highlight w:val="none"/>
              </w:rPr>
              <w:t>参照计价格[2002]1980号《招标代理服务收费管理暂行办法》服务类收费标准向</w:t>
            </w:r>
            <w:r>
              <w:rPr>
                <w:rFonts w:hint="eastAsia" w:ascii="宋体" w:hAnsi="宋体" w:cs="宋体"/>
                <w:color w:val="auto"/>
                <w:highlight w:val="none"/>
              </w:rPr>
              <w:t>广西科文招标有限公司一次性付清代理服务费。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6" w:type="dxa"/>
            <w:vAlign w:val="center"/>
          </w:tcPr>
          <w:p>
            <w:pPr>
              <w:spacing w:before="0" w:after="0" w:line="40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23</w:t>
            </w:r>
          </w:p>
        </w:tc>
        <w:tc>
          <w:tcPr>
            <w:tcW w:w="991" w:type="dxa"/>
            <w:vAlign w:val="center"/>
          </w:tcPr>
          <w:p>
            <w:pPr>
              <w:spacing w:before="0" w:after="0" w:line="40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32</w:t>
            </w:r>
          </w:p>
        </w:tc>
        <w:tc>
          <w:tcPr>
            <w:tcW w:w="2130" w:type="dxa"/>
            <w:vAlign w:val="center"/>
          </w:tcPr>
          <w:p>
            <w:pPr>
              <w:spacing w:before="0" w:after="0" w:line="40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解释权</w:t>
            </w:r>
          </w:p>
        </w:tc>
        <w:tc>
          <w:tcPr>
            <w:tcW w:w="6283" w:type="dxa"/>
          </w:tcPr>
          <w:p>
            <w:pPr>
              <w:spacing w:before="0" w:after="0" w:line="400" w:lineRule="exact"/>
              <w:ind w:firstLine="0" w:firstLineChars="0"/>
              <w:rPr>
                <w:rFonts w:ascii="宋体" w:hAnsi="宋体" w:cs="宋体"/>
                <w:color w:val="auto"/>
                <w:szCs w:val="21"/>
                <w:highlight w:val="none"/>
              </w:rPr>
            </w:pPr>
            <w:r>
              <w:rPr>
                <w:rFonts w:hint="eastAsia" w:ascii="宋体" w:hAnsi="宋体" w:cs="宋体"/>
                <w:color w:val="auto"/>
                <w:highlight w:val="none"/>
              </w:rPr>
              <w:t>本竞争性磋商文件是根据《中华人民共和国政府采购法》、《中华人民共和国政府采购法实施条例》、《政府采购非招标采购方式管理办法》和政府采购管理有关规定编制，本竞争性磋商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6" w:type="dxa"/>
            <w:vAlign w:val="center"/>
          </w:tcPr>
          <w:p>
            <w:pPr>
              <w:spacing w:before="0" w:after="0" w:line="40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23</w:t>
            </w:r>
          </w:p>
        </w:tc>
        <w:tc>
          <w:tcPr>
            <w:tcW w:w="991" w:type="dxa"/>
            <w:vAlign w:val="center"/>
          </w:tcPr>
          <w:p>
            <w:pPr>
              <w:spacing w:before="0" w:after="0" w:line="40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33</w:t>
            </w:r>
          </w:p>
        </w:tc>
        <w:tc>
          <w:tcPr>
            <w:tcW w:w="2130" w:type="dxa"/>
            <w:vAlign w:val="center"/>
          </w:tcPr>
          <w:p>
            <w:pPr>
              <w:spacing w:before="0" w:after="0" w:line="400" w:lineRule="exact"/>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监督管理机构</w:t>
            </w:r>
          </w:p>
        </w:tc>
        <w:tc>
          <w:tcPr>
            <w:tcW w:w="6283" w:type="dxa"/>
            <w:vAlign w:val="center"/>
          </w:tcPr>
          <w:p>
            <w:pPr>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lang w:eastAsia="zh-CN"/>
              </w:rPr>
              <w:t>灌阳县政府采购管理办公室</w:t>
            </w:r>
            <w:r>
              <w:rPr>
                <w:rFonts w:hint="eastAsia" w:ascii="宋体" w:hAnsi="宋体" w:cs="宋体"/>
                <w:color w:val="auto"/>
                <w:szCs w:val="21"/>
                <w:highlight w:val="none"/>
              </w:rPr>
              <w:t xml:space="preserve"> </w:t>
            </w:r>
          </w:p>
        </w:tc>
      </w:tr>
    </w:tbl>
    <w:p>
      <w:pPr>
        <w:spacing w:before="0" w:after="0" w:line="380" w:lineRule="exact"/>
        <w:ind w:firstLine="0" w:firstLineChars="0"/>
        <w:jc w:val="center"/>
        <w:rPr>
          <w:rFonts w:ascii="宋体" w:hAnsi="宋体" w:cs="宋体"/>
          <w:b/>
          <w:color w:val="auto"/>
          <w:sz w:val="28"/>
          <w:szCs w:val="28"/>
          <w:highlight w:val="none"/>
        </w:rPr>
      </w:pPr>
    </w:p>
    <w:p>
      <w:pPr>
        <w:spacing w:before="0" w:after="0" w:line="380" w:lineRule="exact"/>
        <w:ind w:firstLine="0" w:firstLineChars="0"/>
        <w:jc w:val="center"/>
        <w:rPr>
          <w:rFonts w:ascii="宋体" w:hAnsi="宋体" w:cs="宋体"/>
          <w:b/>
          <w:color w:val="auto"/>
          <w:sz w:val="28"/>
          <w:szCs w:val="28"/>
          <w:highlight w:val="none"/>
        </w:rPr>
      </w:pPr>
    </w:p>
    <w:p>
      <w:pPr>
        <w:pStyle w:val="2"/>
        <w:rPr>
          <w:rFonts w:ascii="宋体" w:hAnsi="宋体" w:cs="宋体"/>
          <w:b/>
          <w:color w:val="auto"/>
          <w:sz w:val="28"/>
          <w:szCs w:val="28"/>
          <w:highlight w:val="none"/>
        </w:rPr>
      </w:pPr>
    </w:p>
    <w:p>
      <w:pPr>
        <w:pStyle w:val="2"/>
        <w:rPr>
          <w:rFonts w:ascii="宋体" w:hAnsi="宋体" w:cs="宋体"/>
          <w:b/>
          <w:color w:val="auto"/>
          <w:sz w:val="28"/>
          <w:szCs w:val="28"/>
          <w:highlight w:val="none"/>
        </w:rPr>
      </w:pPr>
    </w:p>
    <w:p>
      <w:pPr>
        <w:pStyle w:val="2"/>
        <w:rPr>
          <w:rFonts w:ascii="宋体" w:hAnsi="宋体" w:cs="宋体"/>
          <w:b/>
          <w:color w:val="auto"/>
          <w:sz w:val="28"/>
          <w:szCs w:val="28"/>
          <w:highlight w:val="none"/>
        </w:rPr>
      </w:pPr>
    </w:p>
    <w:p>
      <w:pPr>
        <w:pStyle w:val="2"/>
        <w:rPr>
          <w:rFonts w:ascii="宋体" w:hAnsi="宋体" w:cs="宋体"/>
          <w:b/>
          <w:color w:val="auto"/>
          <w:sz w:val="28"/>
          <w:szCs w:val="28"/>
          <w:highlight w:val="none"/>
        </w:rPr>
      </w:pPr>
    </w:p>
    <w:p>
      <w:pPr>
        <w:pStyle w:val="2"/>
        <w:rPr>
          <w:rFonts w:ascii="宋体" w:hAnsi="宋体" w:cs="宋体"/>
          <w:b/>
          <w:color w:val="auto"/>
          <w:sz w:val="28"/>
          <w:szCs w:val="28"/>
          <w:highlight w:val="none"/>
        </w:rPr>
      </w:pPr>
    </w:p>
    <w:p>
      <w:pPr>
        <w:pStyle w:val="2"/>
        <w:rPr>
          <w:rFonts w:ascii="宋体" w:hAnsi="宋体" w:cs="宋体"/>
          <w:b/>
          <w:color w:val="auto"/>
          <w:sz w:val="28"/>
          <w:szCs w:val="28"/>
          <w:highlight w:val="none"/>
        </w:rPr>
      </w:pPr>
    </w:p>
    <w:p>
      <w:pPr>
        <w:pStyle w:val="2"/>
        <w:rPr>
          <w:rFonts w:ascii="宋体" w:hAnsi="宋体" w:cs="宋体"/>
          <w:b/>
          <w:color w:val="auto"/>
          <w:sz w:val="28"/>
          <w:szCs w:val="28"/>
          <w:highlight w:val="none"/>
        </w:rPr>
      </w:pPr>
    </w:p>
    <w:p>
      <w:pPr>
        <w:pStyle w:val="2"/>
        <w:rPr>
          <w:rFonts w:ascii="宋体" w:hAnsi="宋体" w:cs="宋体"/>
          <w:b/>
          <w:color w:val="auto"/>
          <w:sz w:val="28"/>
          <w:szCs w:val="28"/>
          <w:highlight w:val="none"/>
        </w:rPr>
      </w:pPr>
    </w:p>
    <w:p>
      <w:pPr>
        <w:pStyle w:val="2"/>
        <w:rPr>
          <w:rFonts w:ascii="宋体" w:hAnsi="宋体" w:cs="宋体"/>
          <w:b/>
          <w:color w:val="auto"/>
          <w:sz w:val="28"/>
          <w:szCs w:val="28"/>
          <w:highlight w:val="none"/>
        </w:rPr>
      </w:pPr>
    </w:p>
    <w:p>
      <w:pPr>
        <w:pStyle w:val="2"/>
        <w:rPr>
          <w:rFonts w:ascii="宋体" w:hAnsi="宋体" w:cs="宋体"/>
          <w:b/>
          <w:color w:val="auto"/>
          <w:sz w:val="28"/>
          <w:szCs w:val="28"/>
          <w:highlight w:val="none"/>
        </w:rPr>
      </w:pPr>
    </w:p>
    <w:p>
      <w:pPr>
        <w:pStyle w:val="2"/>
        <w:rPr>
          <w:rFonts w:ascii="宋体" w:hAnsi="宋体" w:cs="宋体"/>
          <w:b/>
          <w:color w:val="auto"/>
          <w:sz w:val="28"/>
          <w:szCs w:val="28"/>
          <w:highlight w:val="none"/>
        </w:rPr>
      </w:pPr>
    </w:p>
    <w:p>
      <w:pPr>
        <w:pStyle w:val="2"/>
        <w:rPr>
          <w:rFonts w:ascii="宋体" w:hAnsi="宋体" w:cs="宋体"/>
          <w:b/>
          <w:color w:val="auto"/>
          <w:sz w:val="28"/>
          <w:szCs w:val="28"/>
          <w:highlight w:val="none"/>
        </w:rPr>
      </w:pPr>
    </w:p>
    <w:p>
      <w:pPr>
        <w:pStyle w:val="2"/>
        <w:rPr>
          <w:rFonts w:ascii="宋体" w:hAnsi="宋体" w:cs="宋体"/>
          <w:b/>
          <w:color w:val="auto"/>
          <w:sz w:val="28"/>
          <w:szCs w:val="28"/>
          <w:highlight w:val="none"/>
        </w:rPr>
      </w:pPr>
    </w:p>
    <w:p>
      <w:pPr>
        <w:pStyle w:val="2"/>
        <w:rPr>
          <w:rFonts w:ascii="宋体" w:hAnsi="宋体" w:cs="宋体"/>
          <w:b/>
          <w:color w:val="auto"/>
          <w:sz w:val="28"/>
          <w:szCs w:val="28"/>
          <w:highlight w:val="none"/>
        </w:rPr>
      </w:pPr>
    </w:p>
    <w:p>
      <w:pPr>
        <w:pStyle w:val="2"/>
        <w:rPr>
          <w:rFonts w:ascii="宋体" w:hAnsi="宋体" w:cs="宋体"/>
          <w:b/>
          <w:color w:val="auto"/>
          <w:sz w:val="28"/>
          <w:szCs w:val="28"/>
          <w:highlight w:val="none"/>
        </w:rPr>
      </w:pPr>
    </w:p>
    <w:p>
      <w:pPr>
        <w:pStyle w:val="2"/>
        <w:rPr>
          <w:rFonts w:ascii="宋体" w:hAnsi="宋体" w:cs="宋体"/>
          <w:b/>
          <w:color w:val="auto"/>
          <w:sz w:val="28"/>
          <w:szCs w:val="28"/>
          <w:highlight w:val="none"/>
        </w:rPr>
      </w:pPr>
    </w:p>
    <w:p>
      <w:pPr>
        <w:spacing w:before="0" w:after="0" w:line="380" w:lineRule="exact"/>
        <w:ind w:firstLine="0" w:firstLineChars="0"/>
        <w:jc w:val="center"/>
        <w:rPr>
          <w:rFonts w:ascii="宋体" w:hAnsi="宋体" w:cs="宋体"/>
          <w:b/>
          <w:color w:val="auto"/>
          <w:sz w:val="28"/>
          <w:szCs w:val="28"/>
          <w:highlight w:val="none"/>
        </w:rPr>
      </w:pPr>
      <w:r>
        <w:rPr>
          <w:rFonts w:hint="eastAsia" w:ascii="宋体" w:hAnsi="宋体" w:cs="宋体"/>
          <w:b/>
          <w:color w:val="auto"/>
          <w:sz w:val="28"/>
          <w:szCs w:val="28"/>
          <w:highlight w:val="none"/>
        </w:rPr>
        <w:t>一、总则</w:t>
      </w:r>
    </w:p>
    <w:p>
      <w:pPr>
        <w:spacing w:before="0" w:after="0" w:line="400" w:lineRule="exact"/>
        <w:ind w:firstLine="413" w:firstLineChars="196"/>
        <w:rPr>
          <w:rFonts w:ascii="宋体" w:hAnsi="宋体" w:cs="宋体"/>
          <w:b/>
          <w:color w:val="auto"/>
          <w:szCs w:val="21"/>
          <w:highlight w:val="none"/>
        </w:rPr>
      </w:pPr>
      <w:r>
        <w:rPr>
          <w:rFonts w:hint="eastAsia" w:ascii="宋体" w:hAnsi="宋体" w:cs="宋体"/>
          <w:b/>
          <w:color w:val="auto"/>
          <w:szCs w:val="21"/>
          <w:highlight w:val="none"/>
        </w:rPr>
        <w:t>1. 适应范围</w:t>
      </w:r>
    </w:p>
    <w:p>
      <w:pPr>
        <w:spacing w:before="0" w:after="0" w:line="400" w:lineRule="exact"/>
        <w:ind w:firstLine="435" w:firstLineChars="0"/>
        <w:rPr>
          <w:rFonts w:ascii="宋体" w:hAnsi="宋体" w:cs="宋体"/>
          <w:color w:val="auto"/>
          <w:szCs w:val="21"/>
          <w:highlight w:val="none"/>
        </w:rPr>
      </w:pPr>
      <w:r>
        <w:rPr>
          <w:rFonts w:hint="eastAsia" w:ascii="宋体" w:hAnsi="宋体" w:cs="宋体"/>
          <w:color w:val="auto"/>
          <w:szCs w:val="21"/>
          <w:highlight w:val="none"/>
        </w:rPr>
        <w:t>1.1  项目名称及项目编号</w:t>
      </w:r>
    </w:p>
    <w:p>
      <w:pPr>
        <w:spacing w:before="0" w:after="0" w:line="400" w:lineRule="exact"/>
        <w:ind w:firstLine="435" w:firstLineChars="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xml:space="preserve">     项目名称：</w:t>
      </w:r>
      <w:r>
        <w:rPr>
          <w:rFonts w:hint="eastAsia" w:ascii="宋体" w:hAnsi="宋体" w:cs="宋体"/>
          <w:color w:val="auto"/>
          <w:szCs w:val="21"/>
          <w:highlight w:val="none"/>
          <w:lang w:eastAsia="zh-CN"/>
        </w:rPr>
        <w:t>病房服务交互系统采购</w:t>
      </w:r>
    </w:p>
    <w:p>
      <w:pPr>
        <w:spacing w:before="0" w:after="0" w:line="400" w:lineRule="exact"/>
        <w:ind w:firstLine="854" w:firstLineChars="407"/>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xml:space="preserve"> 项目编号：</w:t>
      </w:r>
      <w:r>
        <w:rPr>
          <w:rFonts w:hint="eastAsia" w:ascii="宋体" w:hAnsi="宋体" w:cs="宋体"/>
          <w:color w:val="auto"/>
          <w:szCs w:val="21"/>
          <w:highlight w:val="none"/>
          <w:lang w:eastAsia="zh-CN"/>
        </w:rPr>
        <w:t>GLZC2020-C3-270044-KWZB</w:t>
      </w:r>
    </w:p>
    <w:p>
      <w:pPr>
        <w:spacing w:before="0" w:after="0" w:line="400" w:lineRule="exact"/>
        <w:ind w:firstLine="411" w:firstLineChars="196"/>
        <w:rPr>
          <w:rFonts w:ascii="宋体" w:hAnsi="宋体" w:cs="宋体"/>
          <w:color w:val="auto"/>
          <w:szCs w:val="21"/>
          <w:highlight w:val="none"/>
        </w:rPr>
      </w:pPr>
      <w:r>
        <w:rPr>
          <w:rFonts w:hint="eastAsia" w:ascii="宋体" w:hAnsi="宋体" w:cs="宋体"/>
          <w:color w:val="auto"/>
          <w:szCs w:val="21"/>
          <w:highlight w:val="none"/>
        </w:rPr>
        <w:t>1.2本竞争性磋商文件（以下简称磋商文件）适用于本磋商项目的磋商、评审、合同履约、验收、付款等行为（法律、法规另有规定的，从其规定）。</w:t>
      </w:r>
    </w:p>
    <w:p>
      <w:pPr>
        <w:spacing w:before="0" w:after="0" w:line="400" w:lineRule="exact"/>
        <w:ind w:firstLine="435" w:firstLineChars="0"/>
        <w:rPr>
          <w:rFonts w:ascii="宋体" w:hAnsi="宋体" w:cs="宋体"/>
          <w:b/>
          <w:color w:val="auto"/>
          <w:szCs w:val="21"/>
          <w:highlight w:val="none"/>
        </w:rPr>
      </w:pPr>
      <w:r>
        <w:rPr>
          <w:rFonts w:hint="eastAsia" w:ascii="宋体" w:hAnsi="宋体" w:cs="宋体"/>
          <w:b/>
          <w:color w:val="auto"/>
          <w:szCs w:val="21"/>
          <w:highlight w:val="none"/>
        </w:rPr>
        <w:t>2. 定义</w:t>
      </w:r>
    </w:p>
    <w:p>
      <w:pPr>
        <w:spacing w:before="0" w:after="0" w:line="400" w:lineRule="exact"/>
        <w:ind w:firstLine="435" w:firstLineChars="0"/>
        <w:rPr>
          <w:rFonts w:ascii="宋体" w:hAnsi="宋体" w:cs="宋体"/>
          <w:color w:val="auto"/>
          <w:szCs w:val="21"/>
          <w:highlight w:val="none"/>
        </w:rPr>
      </w:pPr>
      <w:r>
        <w:rPr>
          <w:rFonts w:hint="eastAsia" w:ascii="宋体" w:hAnsi="宋体" w:cs="宋体"/>
          <w:color w:val="auto"/>
          <w:szCs w:val="21"/>
          <w:highlight w:val="none"/>
        </w:rPr>
        <w:t>2.1“供应商”是指符合本次采购项目的供应商资格并提交响应文件、参加磋商的供应商。如果该供应商在本次磋商中成交，即成为“成交供应商”。</w:t>
      </w:r>
    </w:p>
    <w:p>
      <w:pPr>
        <w:spacing w:before="0" w:after="0" w:line="400" w:lineRule="exact"/>
        <w:ind w:firstLine="435" w:firstLineChars="0"/>
        <w:rPr>
          <w:rFonts w:ascii="宋体" w:hAnsi="宋体" w:cs="宋体"/>
          <w:color w:val="auto"/>
          <w:szCs w:val="21"/>
          <w:highlight w:val="none"/>
        </w:rPr>
      </w:pPr>
      <w:r>
        <w:rPr>
          <w:rFonts w:hint="eastAsia" w:ascii="宋体" w:hAnsi="宋体" w:cs="宋体"/>
          <w:color w:val="auto"/>
          <w:szCs w:val="21"/>
          <w:highlight w:val="none"/>
        </w:rPr>
        <w:t>2.2“货物”系指按磋商文件规定，供应商须向采购人提供的一切设备、保险、税金、备品备件、工具、手册及其它有关技术资料和材料。</w:t>
      </w:r>
    </w:p>
    <w:p>
      <w:pPr>
        <w:spacing w:before="0" w:after="0" w:line="400" w:lineRule="exact"/>
        <w:ind w:firstLine="435" w:firstLineChars="0"/>
        <w:rPr>
          <w:rFonts w:ascii="宋体" w:hAnsi="宋体" w:cs="宋体"/>
          <w:color w:val="auto"/>
          <w:szCs w:val="21"/>
          <w:highlight w:val="none"/>
        </w:rPr>
      </w:pPr>
      <w:r>
        <w:rPr>
          <w:rFonts w:hint="eastAsia" w:ascii="宋体" w:hAnsi="宋体" w:cs="宋体"/>
          <w:color w:val="auto"/>
          <w:szCs w:val="21"/>
          <w:highlight w:val="none"/>
        </w:rPr>
        <w:t>2.3“服务”系指按磋商文件规定，供应商须承担的安装、调试、技术协助、校准、培训、技术指导以及其他类似的义务。</w:t>
      </w:r>
    </w:p>
    <w:p>
      <w:pPr>
        <w:spacing w:before="0" w:after="0" w:line="400" w:lineRule="exact"/>
        <w:ind w:firstLine="435" w:firstLineChars="0"/>
        <w:rPr>
          <w:rFonts w:ascii="宋体" w:hAnsi="宋体" w:cs="宋体"/>
          <w:color w:val="auto"/>
          <w:szCs w:val="21"/>
          <w:highlight w:val="none"/>
        </w:rPr>
      </w:pPr>
      <w:r>
        <w:rPr>
          <w:rFonts w:hint="eastAsia" w:ascii="宋体" w:hAnsi="宋体" w:cs="宋体"/>
          <w:color w:val="auto"/>
          <w:szCs w:val="21"/>
          <w:highlight w:val="none"/>
        </w:rPr>
        <w:t>2.4“项目”系指供应商按磋商文件规定向采购人提供的货物和服务。</w:t>
      </w:r>
    </w:p>
    <w:p>
      <w:pPr>
        <w:spacing w:before="0" w:after="0" w:line="400" w:lineRule="exact"/>
        <w:ind w:firstLine="435" w:firstLineChars="0"/>
        <w:rPr>
          <w:rFonts w:ascii="宋体" w:hAnsi="宋体" w:cs="宋体"/>
          <w:color w:val="auto"/>
          <w:szCs w:val="21"/>
          <w:highlight w:val="none"/>
        </w:rPr>
      </w:pPr>
      <w:r>
        <w:rPr>
          <w:rFonts w:hint="eastAsia" w:ascii="宋体" w:hAnsi="宋体" w:cs="宋体"/>
          <w:color w:val="auto"/>
          <w:szCs w:val="21"/>
          <w:highlight w:val="none"/>
        </w:rPr>
        <w:t>2.5“书面形式”包括信函、传真、电报等。</w:t>
      </w:r>
    </w:p>
    <w:p>
      <w:pPr>
        <w:spacing w:before="0" w:after="0" w:line="400" w:lineRule="exact"/>
        <w:ind w:firstLine="435" w:firstLineChars="0"/>
        <w:rPr>
          <w:rFonts w:ascii="宋体" w:hAnsi="宋体" w:cs="宋体"/>
          <w:b/>
          <w:color w:val="auto"/>
          <w:szCs w:val="21"/>
          <w:highlight w:val="none"/>
        </w:rPr>
      </w:pPr>
      <w:r>
        <w:rPr>
          <w:rFonts w:hint="eastAsia" w:ascii="宋体" w:hAnsi="宋体" w:cs="宋体"/>
          <w:b/>
          <w:color w:val="auto"/>
          <w:szCs w:val="21"/>
          <w:highlight w:val="none"/>
        </w:rPr>
        <w:t>3. 供应商资格</w:t>
      </w:r>
    </w:p>
    <w:p>
      <w:pPr>
        <w:spacing w:before="0" w:after="0" w:line="400" w:lineRule="exact"/>
        <w:ind w:firstLine="435" w:firstLineChars="0"/>
        <w:rPr>
          <w:rFonts w:ascii="宋体" w:hAnsi="宋体" w:cs="宋体"/>
          <w:bCs/>
          <w:color w:val="auto"/>
          <w:szCs w:val="21"/>
          <w:highlight w:val="none"/>
        </w:rPr>
      </w:pPr>
      <w:r>
        <w:rPr>
          <w:rFonts w:hint="eastAsia" w:ascii="宋体" w:hAnsi="宋体" w:cs="宋体"/>
          <w:bCs/>
          <w:color w:val="auto"/>
          <w:szCs w:val="21"/>
          <w:highlight w:val="none"/>
        </w:rPr>
        <w:t>3.1 满足《中华人民共和国政府采购法》第二十二条规定；</w:t>
      </w:r>
    </w:p>
    <w:p>
      <w:pPr>
        <w:spacing w:before="0" w:after="0" w:line="400" w:lineRule="exact"/>
        <w:ind w:firstLine="435" w:firstLineChars="0"/>
        <w:rPr>
          <w:rFonts w:ascii="宋体" w:hAnsi="宋体" w:cs="宋体"/>
          <w:bCs/>
          <w:color w:val="auto"/>
          <w:szCs w:val="21"/>
          <w:highlight w:val="none"/>
        </w:rPr>
      </w:pPr>
      <w:r>
        <w:rPr>
          <w:rFonts w:hint="eastAsia" w:ascii="宋体" w:hAnsi="宋体" w:cs="宋体"/>
          <w:bCs/>
          <w:color w:val="auto"/>
          <w:szCs w:val="21"/>
          <w:highlight w:val="none"/>
        </w:rPr>
        <w:t>3.2 落实政府采购政策需满足的资格要求：无；</w:t>
      </w:r>
    </w:p>
    <w:p>
      <w:pPr>
        <w:spacing w:before="0" w:after="0" w:line="400" w:lineRule="exact"/>
        <w:ind w:firstLine="435" w:firstLineChars="0"/>
        <w:rPr>
          <w:rFonts w:ascii="宋体" w:hAnsi="宋体" w:cs="宋体"/>
          <w:bCs/>
          <w:color w:val="auto"/>
          <w:szCs w:val="21"/>
          <w:highlight w:val="none"/>
        </w:rPr>
      </w:pPr>
      <w:r>
        <w:rPr>
          <w:rFonts w:hint="eastAsia" w:ascii="宋体" w:hAnsi="宋体" w:cs="宋体"/>
          <w:bCs/>
          <w:color w:val="auto"/>
          <w:szCs w:val="21"/>
          <w:highlight w:val="none"/>
        </w:rPr>
        <w:t>3.3 本项目的特定资格要求：无。</w:t>
      </w:r>
    </w:p>
    <w:p>
      <w:pPr>
        <w:spacing w:before="0" w:after="0" w:line="400" w:lineRule="exact"/>
        <w:ind w:firstLine="435" w:firstLineChars="0"/>
        <w:rPr>
          <w:rFonts w:ascii="宋体" w:hAnsi="宋体" w:cs="宋体"/>
          <w:b/>
          <w:color w:val="auto"/>
          <w:szCs w:val="21"/>
          <w:highlight w:val="none"/>
        </w:rPr>
      </w:pPr>
      <w:r>
        <w:rPr>
          <w:rFonts w:hint="eastAsia" w:ascii="宋体" w:hAnsi="宋体" w:cs="宋体"/>
          <w:b/>
          <w:color w:val="auto"/>
          <w:szCs w:val="21"/>
          <w:highlight w:val="none"/>
        </w:rPr>
        <w:t>4. 磋商费用</w:t>
      </w:r>
    </w:p>
    <w:p>
      <w:pPr>
        <w:tabs>
          <w:tab w:val="left" w:pos="1635"/>
        </w:tabs>
        <w:spacing w:before="0" w:after="0" w:line="400" w:lineRule="exact"/>
        <w:ind w:firstLine="435" w:firstLineChars="0"/>
        <w:rPr>
          <w:rFonts w:ascii="宋体" w:hAnsi="宋体" w:cs="宋体"/>
          <w:color w:val="auto"/>
          <w:szCs w:val="21"/>
          <w:highlight w:val="none"/>
        </w:rPr>
      </w:pPr>
      <w:r>
        <w:rPr>
          <w:rFonts w:hint="eastAsia" w:ascii="宋体" w:hAnsi="宋体" w:cs="宋体"/>
          <w:color w:val="auto"/>
          <w:szCs w:val="21"/>
          <w:highlight w:val="none"/>
        </w:rPr>
        <w:t>不论磋商结果如何，供应商均应自行承担所有与磋商有关的全部费用。</w:t>
      </w:r>
    </w:p>
    <w:p>
      <w:pPr>
        <w:numPr>
          <w:ilvl w:val="0"/>
          <w:numId w:val="5"/>
        </w:numPr>
        <w:tabs>
          <w:tab w:val="left" w:pos="1635"/>
        </w:tabs>
        <w:spacing w:before="0" w:after="0" w:line="400" w:lineRule="exact"/>
        <w:ind w:firstLine="435" w:firstLineChars="0"/>
        <w:rPr>
          <w:rFonts w:ascii="宋体" w:hAnsi="宋体" w:cs="宋体"/>
          <w:b/>
          <w:color w:val="auto"/>
          <w:szCs w:val="21"/>
          <w:highlight w:val="none"/>
        </w:rPr>
      </w:pPr>
      <w:r>
        <w:rPr>
          <w:rFonts w:hint="eastAsia" w:ascii="宋体" w:hAnsi="宋体" w:cs="宋体"/>
          <w:b/>
          <w:color w:val="auto"/>
          <w:szCs w:val="21"/>
          <w:highlight w:val="none"/>
        </w:rPr>
        <w:t>联合体要求</w:t>
      </w:r>
    </w:p>
    <w:p>
      <w:pPr>
        <w:tabs>
          <w:tab w:val="left" w:pos="1635"/>
        </w:tabs>
        <w:spacing w:before="0" w:after="0" w:line="400" w:lineRule="exact"/>
        <w:ind w:firstLine="0" w:firstLineChars="0"/>
        <w:rPr>
          <w:rFonts w:ascii="宋体" w:hAnsi="宋体" w:cs="宋体"/>
          <w:b/>
          <w:color w:val="auto"/>
          <w:szCs w:val="21"/>
          <w:highlight w:val="none"/>
        </w:rPr>
      </w:pPr>
      <w:r>
        <w:rPr>
          <w:rFonts w:hint="eastAsia" w:ascii="宋体" w:hAnsi="宋体" w:cs="宋体"/>
          <w:color w:val="auto"/>
          <w:highlight w:val="none"/>
        </w:rPr>
        <w:t xml:space="preserve">     本项目不接受联合体磋商。</w:t>
      </w:r>
    </w:p>
    <w:p>
      <w:pPr>
        <w:tabs>
          <w:tab w:val="left" w:pos="2190"/>
        </w:tabs>
        <w:spacing w:before="0" w:after="0" w:line="400" w:lineRule="exact"/>
        <w:ind w:firstLine="413" w:firstLineChars="196"/>
        <w:rPr>
          <w:rFonts w:ascii="宋体" w:hAnsi="宋体" w:cs="宋体"/>
          <w:b/>
          <w:color w:val="auto"/>
          <w:szCs w:val="21"/>
          <w:highlight w:val="none"/>
        </w:rPr>
      </w:pPr>
      <w:r>
        <w:rPr>
          <w:rFonts w:hint="eastAsia" w:ascii="宋体" w:hAnsi="宋体" w:cs="宋体"/>
          <w:b/>
          <w:color w:val="auto"/>
          <w:szCs w:val="21"/>
          <w:highlight w:val="none"/>
        </w:rPr>
        <w:t>6. 质疑和投诉</w:t>
      </w:r>
      <w:r>
        <w:rPr>
          <w:rFonts w:hint="eastAsia" w:ascii="宋体" w:hAnsi="宋体" w:cs="宋体"/>
          <w:b/>
          <w:color w:val="auto"/>
          <w:szCs w:val="21"/>
          <w:highlight w:val="none"/>
        </w:rPr>
        <w:tab/>
      </w:r>
    </w:p>
    <w:p>
      <w:pPr>
        <w:tabs>
          <w:tab w:val="left" w:pos="2190"/>
        </w:tabs>
        <w:spacing w:before="0" w:after="0" w:line="400" w:lineRule="exact"/>
        <w:ind w:firstLine="435" w:firstLineChars="0"/>
        <w:rPr>
          <w:rFonts w:ascii="宋体" w:hAnsi="宋体" w:cs="宋体"/>
          <w:color w:val="auto"/>
          <w:szCs w:val="21"/>
          <w:highlight w:val="none"/>
        </w:rPr>
      </w:pPr>
      <w:r>
        <w:rPr>
          <w:rFonts w:hint="eastAsia" w:ascii="宋体" w:hAnsi="宋体" w:cs="宋体"/>
          <w:color w:val="auto"/>
          <w:szCs w:val="21"/>
          <w:highlight w:val="none"/>
        </w:rPr>
        <w:t>6.1供应商认为磋商文件使自己的合法权益受到损害的，应当在竞争性磋商文件购买之日起7个工作日内，以书面形式向采购代理机构提出质疑。供应商认为采购过程或成交结果使自己的合法权益受到损害的，应当在各采购程序环节结束之日或成交公告期限届满之日起七个工作日内，以书面形式采购代理机构提出质疑。采购代理机构应认真做好质疑处理工作。</w:t>
      </w:r>
    </w:p>
    <w:p>
      <w:pPr>
        <w:snapToGrid w:val="0"/>
        <w:spacing w:before="0" w:after="0" w:line="440" w:lineRule="exact"/>
        <w:ind w:firstLine="420"/>
        <w:rPr>
          <w:rFonts w:ascii="宋体" w:hAnsi="宋体"/>
          <w:color w:val="auto"/>
          <w:szCs w:val="20"/>
          <w:highlight w:val="none"/>
        </w:rPr>
      </w:pPr>
      <w:r>
        <w:rPr>
          <w:rFonts w:hint="eastAsia" w:ascii="宋体" w:hAnsi="宋体"/>
          <w:color w:val="auto"/>
          <w:szCs w:val="20"/>
          <w:highlight w:val="none"/>
        </w:rPr>
        <w:t>接收质疑函方式：以书面形式（原件）提交</w:t>
      </w:r>
    </w:p>
    <w:p>
      <w:pPr>
        <w:snapToGrid w:val="0"/>
        <w:spacing w:before="0" w:after="0" w:line="440" w:lineRule="exact"/>
        <w:ind w:firstLine="420"/>
        <w:rPr>
          <w:rFonts w:ascii="宋体" w:hAnsi="宋体"/>
          <w:color w:val="auto"/>
          <w:szCs w:val="20"/>
          <w:highlight w:val="none"/>
        </w:rPr>
      </w:pPr>
      <w:r>
        <w:rPr>
          <w:rFonts w:hint="eastAsia" w:ascii="宋体" w:hAnsi="宋体"/>
          <w:color w:val="auto"/>
          <w:szCs w:val="20"/>
          <w:highlight w:val="none"/>
        </w:rPr>
        <w:t>质疑联系人及联系方式：潘虹，联系电话：0773-8998063</w:t>
      </w:r>
    </w:p>
    <w:p>
      <w:pPr>
        <w:tabs>
          <w:tab w:val="left" w:pos="2190"/>
        </w:tabs>
        <w:spacing w:before="0" w:after="0" w:line="400" w:lineRule="exact"/>
        <w:ind w:firstLine="435" w:firstLineChars="0"/>
        <w:rPr>
          <w:rFonts w:ascii="宋体" w:hAnsi="宋体" w:cs="宋体"/>
          <w:color w:val="auto"/>
          <w:szCs w:val="21"/>
          <w:highlight w:val="none"/>
        </w:rPr>
      </w:pPr>
      <w:r>
        <w:rPr>
          <w:rFonts w:hint="eastAsia" w:ascii="宋体" w:hAnsi="宋体"/>
          <w:color w:val="auto"/>
          <w:szCs w:val="20"/>
          <w:highlight w:val="none"/>
        </w:rPr>
        <w:t>通讯地址：桂林市七星区穿山东路41号彰泰•天街V+国际中心1#楼八层802号</w:t>
      </w:r>
    </w:p>
    <w:p>
      <w:pPr>
        <w:tabs>
          <w:tab w:val="left" w:pos="2190"/>
        </w:tabs>
        <w:spacing w:before="0" w:after="0" w:line="400" w:lineRule="exact"/>
        <w:ind w:firstLine="435" w:firstLineChars="0"/>
        <w:rPr>
          <w:rFonts w:ascii="宋体" w:hAnsi="宋体" w:cs="宋体"/>
          <w:color w:val="auto"/>
          <w:szCs w:val="21"/>
          <w:highlight w:val="none"/>
        </w:rPr>
      </w:pPr>
      <w:r>
        <w:rPr>
          <w:rFonts w:hint="eastAsia" w:ascii="宋体" w:hAnsi="宋体" w:cs="宋体"/>
          <w:color w:val="auto"/>
          <w:szCs w:val="21"/>
          <w:highlight w:val="none"/>
        </w:rPr>
        <w:t>6.2供应商对采购代理机构的质疑答复不满意或者采购代理机构未在规定的时间内作出答复的，可以在答复期满后十五个工作日内向</w:t>
      </w:r>
      <w:r>
        <w:rPr>
          <w:rFonts w:hint="eastAsia" w:ascii="宋体" w:hAnsi="宋体" w:cs="宋体"/>
          <w:color w:val="auto"/>
          <w:szCs w:val="21"/>
          <w:highlight w:val="none"/>
          <w:lang w:eastAsia="zh-CN"/>
        </w:rPr>
        <w:t>灌阳县</w:t>
      </w:r>
      <w:r>
        <w:rPr>
          <w:rFonts w:hint="eastAsia" w:ascii="宋体" w:hAnsi="宋体" w:cs="宋体"/>
          <w:color w:val="auto"/>
          <w:szCs w:val="21"/>
          <w:highlight w:val="none"/>
        </w:rPr>
        <w:t>政府采购监督管理机构投诉。</w:t>
      </w:r>
    </w:p>
    <w:p>
      <w:pPr>
        <w:tabs>
          <w:tab w:val="left" w:pos="2190"/>
        </w:tabs>
        <w:spacing w:before="0" w:after="0" w:line="400" w:lineRule="exact"/>
        <w:ind w:firstLine="435" w:firstLineChars="0"/>
        <w:rPr>
          <w:rFonts w:ascii="宋体" w:hAnsi="宋体" w:cs="宋体"/>
          <w:color w:val="auto"/>
          <w:szCs w:val="21"/>
          <w:highlight w:val="none"/>
        </w:rPr>
      </w:pPr>
      <w:r>
        <w:rPr>
          <w:rFonts w:hint="eastAsia" w:ascii="宋体" w:hAnsi="宋体" w:cs="宋体"/>
          <w:color w:val="auto"/>
          <w:szCs w:val="21"/>
          <w:highlight w:val="none"/>
        </w:rPr>
        <w:t>6.3质疑、投诉应当采用书面形式，质疑书、投诉书实行实名制，均应明确阐述磋商文件、磋商过程或成交结果中使自己合法权益受到损害的实质性内容，并提供必要的证明材料。</w:t>
      </w:r>
    </w:p>
    <w:p>
      <w:pPr>
        <w:tabs>
          <w:tab w:val="left" w:pos="2190"/>
        </w:tabs>
        <w:spacing w:before="0" w:after="0" w:line="400" w:lineRule="exact"/>
        <w:ind w:firstLine="435" w:firstLineChars="0"/>
        <w:rPr>
          <w:rFonts w:ascii="宋体" w:hAnsi="宋体" w:cs="宋体"/>
          <w:b/>
          <w:color w:val="auto"/>
          <w:szCs w:val="21"/>
          <w:highlight w:val="none"/>
        </w:rPr>
      </w:pPr>
      <w:r>
        <w:rPr>
          <w:rFonts w:hint="eastAsia" w:ascii="宋体" w:hAnsi="宋体" w:cs="宋体"/>
          <w:b/>
          <w:color w:val="auto"/>
          <w:szCs w:val="21"/>
          <w:highlight w:val="none"/>
        </w:rPr>
        <w:t>7. 转包与分包</w:t>
      </w:r>
    </w:p>
    <w:p>
      <w:pPr>
        <w:tabs>
          <w:tab w:val="left" w:pos="2190"/>
        </w:tabs>
        <w:spacing w:before="0" w:after="0" w:line="400" w:lineRule="exact"/>
        <w:ind w:firstLine="435" w:firstLineChars="0"/>
        <w:rPr>
          <w:rFonts w:ascii="宋体" w:hAnsi="宋体" w:cs="宋体"/>
          <w:color w:val="auto"/>
          <w:szCs w:val="21"/>
          <w:highlight w:val="none"/>
        </w:rPr>
      </w:pPr>
      <w:r>
        <w:rPr>
          <w:rFonts w:hint="eastAsia" w:ascii="宋体" w:hAnsi="宋体" w:cs="宋体"/>
          <w:color w:val="auto"/>
          <w:szCs w:val="21"/>
          <w:highlight w:val="none"/>
        </w:rPr>
        <w:t>7.1 本项目不允许转包。</w:t>
      </w:r>
    </w:p>
    <w:p>
      <w:pPr>
        <w:tabs>
          <w:tab w:val="left" w:pos="2190"/>
        </w:tabs>
        <w:spacing w:before="0" w:after="0" w:line="400" w:lineRule="exact"/>
        <w:ind w:firstLine="435" w:firstLineChars="0"/>
        <w:rPr>
          <w:rFonts w:ascii="宋体" w:hAnsi="宋体" w:cs="宋体"/>
          <w:color w:val="auto"/>
          <w:szCs w:val="21"/>
          <w:highlight w:val="none"/>
        </w:rPr>
      </w:pPr>
      <w:r>
        <w:rPr>
          <w:rFonts w:hint="eastAsia" w:ascii="宋体" w:hAnsi="宋体" w:cs="宋体"/>
          <w:color w:val="auto"/>
          <w:szCs w:val="21"/>
          <w:highlight w:val="none"/>
        </w:rPr>
        <w:t>7.2 本项目不可以分包。</w:t>
      </w:r>
    </w:p>
    <w:p>
      <w:pPr>
        <w:tabs>
          <w:tab w:val="left" w:pos="2190"/>
        </w:tabs>
        <w:spacing w:before="0" w:after="0" w:line="400" w:lineRule="exact"/>
        <w:ind w:firstLine="435" w:firstLineChars="0"/>
        <w:rPr>
          <w:rFonts w:ascii="宋体" w:hAnsi="宋体" w:cs="宋体"/>
          <w:b/>
          <w:color w:val="auto"/>
          <w:szCs w:val="21"/>
          <w:highlight w:val="none"/>
        </w:rPr>
      </w:pPr>
      <w:r>
        <w:rPr>
          <w:rFonts w:hint="eastAsia" w:ascii="宋体" w:hAnsi="宋体" w:cs="宋体"/>
          <w:b/>
          <w:color w:val="auto"/>
          <w:szCs w:val="21"/>
          <w:highlight w:val="none"/>
        </w:rPr>
        <w:t>8. 特别说明</w:t>
      </w:r>
    </w:p>
    <w:p>
      <w:pPr>
        <w:tabs>
          <w:tab w:val="left" w:pos="2190"/>
        </w:tabs>
        <w:spacing w:before="0" w:after="0" w:line="400" w:lineRule="exact"/>
        <w:ind w:firstLine="435" w:firstLineChars="0"/>
        <w:rPr>
          <w:rFonts w:ascii="宋体" w:hAnsi="宋体" w:cs="宋体"/>
          <w:color w:val="auto"/>
          <w:szCs w:val="21"/>
          <w:highlight w:val="none"/>
        </w:rPr>
      </w:pPr>
      <w:r>
        <w:rPr>
          <w:rFonts w:hint="eastAsia" w:ascii="宋体" w:hAnsi="宋体" w:cs="宋体"/>
          <w:color w:val="auto"/>
          <w:szCs w:val="21"/>
          <w:highlight w:val="none"/>
        </w:rPr>
        <w:t>8.1关联供应商不得参加同一合同项下政府采购活动，否则响应文件将被视为无效：</w:t>
      </w:r>
    </w:p>
    <w:p>
      <w:pPr>
        <w:tabs>
          <w:tab w:val="left" w:pos="2190"/>
        </w:tabs>
        <w:spacing w:before="0" w:after="0" w:line="400" w:lineRule="exact"/>
        <w:ind w:firstLine="435" w:firstLineChars="0"/>
        <w:rPr>
          <w:rFonts w:ascii="宋体" w:hAnsi="宋体" w:cs="宋体"/>
          <w:color w:val="auto"/>
          <w:szCs w:val="21"/>
          <w:highlight w:val="none"/>
        </w:rPr>
      </w:pPr>
      <w:r>
        <w:rPr>
          <w:rFonts w:hint="eastAsia" w:ascii="宋体" w:hAnsi="宋体" w:cs="宋体"/>
          <w:color w:val="auto"/>
          <w:szCs w:val="21"/>
          <w:highlight w:val="none"/>
        </w:rPr>
        <w:t>（1）单位负责人为同一人或者存在直接控股、管理关系的，不得参加同一合同项下的政府采购活动。</w:t>
      </w:r>
    </w:p>
    <w:p>
      <w:pPr>
        <w:tabs>
          <w:tab w:val="left" w:pos="2190"/>
        </w:tabs>
        <w:spacing w:before="0" w:after="0" w:line="400" w:lineRule="exact"/>
        <w:ind w:firstLine="435" w:firstLineChars="0"/>
        <w:rPr>
          <w:rFonts w:ascii="宋体" w:hAnsi="宋体" w:cs="宋体"/>
          <w:color w:val="auto"/>
          <w:szCs w:val="21"/>
          <w:highlight w:val="none"/>
        </w:rPr>
      </w:pPr>
      <w:r>
        <w:rPr>
          <w:rFonts w:hint="eastAsia" w:ascii="宋体" w:hAnsi="宋体" w:cs="宋体"/>
          <w:color w:val="auto"/>
          <w:szCs w:val="21"/>
          <w:highlight w:val="none"/>
        </w:rPr>
        <w:t>（2）为本采购项目提供整体设计、规范编制或者项目管理、监理、检测等服务的供应商，不得再参加本次采购活动。</w:t>
      </w:r>
    </w:p>
    <w:p>
      <w:pPr>
        <w:tabs>
          <w:tab w:val="left" w:pos="2190"/>
        </w:tabs>
        <w:spacing w:before="0" w:after="0" w:line="400" w:lineRule="exact"/>
        <w:ind w:firstLine="435" w:firstLineChars="0"/>
        <w:rPr>
          <w:rFonts w:ascii="宋体" w:hAnsi="宋体"/>
          <w:color w:val="auto"/>
          <w:szCs w:val="21"/>
          <w:highlight w:val="none"/>
        </w:rPr>
      </w:pPr>
      <w:r>
        <w:rPr>
          <w:rFonts w:hint="eastAsia" w:ascii="宋体" w:hAnsi="宋体"/>
          <w:color w:val="auto"/>
          <w:szCs w:val="21"/>
          <w:highlight w:val="none"/>
        </w:rPr>
        <w:t>8.2磋商供应商磋商所使用的资格、信誉、荣誉、业绩与企业认证必须为本法人所拥有，磋商供应商磋商所使用的采购项目实施人员必须为磋商供应商员工。</w:t>
      </w:r>
    </w:p>
    <w:p>
      <w:pPr>
        <w:tabs>
          <w:tab w:val="left" w:pos="1635"/>
        </w:tabs>
        <w:spacing w:before="0" w:after="0" w:line="400" w:lineRule="exact"/>
        <w:ind w:firstLine="435" w:firstLineChars="0"/>
        <w:rPr>
          <w:rFonts w:ascii="宋体" w:hAnsi="宋体"/>
          <w:color w:val="auto"/>
          <w:szCs w:val="21"/>
          <w:highlight w:val="none"/>
        </w:rPr>
      </w:pPr>
      <w:r>
        <w:rPr>
          <w:rFonts w:hint="eastAsia" w:ascii="宋体" w:hAnsi="宋体"/>
          <w:color w:val="auto"/>
          <w:szCs w:val="21"/>
          <w:highlight w:val="none"/>
        </w:rPr>
        <w:t>8.3磋商供应商应仔细阅读磋商文件的所有内容，按照磋商文件的要求提交响应文件，并对所提供的全部资料的真实性承担法律责任。</w:t>
      </w:r>
    </w:p>
    <w:p>
      <w:pPr>
        <w:tabs>
          <w:tab w:val="left" w:pos="1635"/>
        </w:tabs>
        <w:spacing w:before="0" w:after="0" w:line="380" w:lineRule="exact"/>
        <w:ind w:firstLine="435" w:firstLineChars="0"/>
        <w:rPr>
          <w:rFonts w:ascii="宋体" w:hAnsi="宋体"/>
          <w:color w:val="auto"/>
          <w:szCs w:val="21"/>
          <w:highlight w:val="none"/>
        </w:rPr>
      </w:pPr>
      <w:r>
        <w:rPr>
          <w:rFonts w:hint="eastAsia" w:ascii="宋体" w:hAnsi="宋体"/>
          <w:color w:val="auto"/>
          <w:szCs w:val="21"/>
          <w:highlight w:val="none"/>
        </w:rPr>
        <w:t>8.4磋商供应商在磋商活动中提供任何虚假材料，其磋商无效，并报监管部门查处；成交后发现的，成交人须依照《中华人民共和国消费者权益保护法》第49条之规定双倍赔偿采购人，且民事赔偿并不免除违法磋商供应商的行政与刑事责任。</w:t>
      </w:r>
    </w:p>
    <w:p>
      <w:pPr>
        <w:tabs>
          <w:tab w:val="left" w:pos="1635"/>
        </w:tabs>
        <w:spacing w:before="0" w:after="0" w:line="400" w:lineRule="exact"/>
        <w:ind w:firstLine="435" w:firstLineChars="0"/>
        <w:rPr>
          <w:rFonts w:ascii="宋体" w:hAnsi="宋体"/>
          <w:b/>
          <w:color w:val="auto"/>
          <w:szCs w:val="21"/>
          <w:highlight w:val="none"/>
        </w:rPr>
      </w:pPr>
    </w:p>
    <w:p>
      <w:pPr>
        <w:tabs>
          <w:tab w:val="left" w:pos="2190"/>
        </w:tabs>
        <w:spacing w:before="0" w:after="0" w:line="400" w:lineRule="exact"/>
        <w:ind w:firstLine="435" w:firstLineChars="0"/>
        <w:jc w:val="center"/>
        <w:rPr>
          <w:rFonts w:ascii="宋体" w:hAnsi="宋体" w:cs="宋体"/>
          <w:b/>
          <w:color w:val="auto"/>
          <w:sz w:val="28"/>
          <w:szCs w:val="28"/>
          <w:highlight w:val="none"/>
        </w:rPr>
      </w:pPr>
    </w:p>
    <w:p>
      <w:pPr>
        <w:tabs>
          <w:tab w:val="left" w:pos="2190"/>
        </w:tabs>
        <w:spacing w:before="0" w:after="0" w:line="400" w:lineRule="exact"/>
        <w:ind w:firstLine="435" w:firstLineChars="0"/>
        <w:jc w:val="center"/>
        <w:rPr>
          <w:rFonts w:ascii="宋体" w:hAnsi="宋体" w:cs="宋体"/>
          <w:b/>
          <w:color w:val="auto"/>
          <w:sz w:val="28"/>
          <w:szCs w:val="28"/>
          <w:highlight w:val="none"/>
        </w:rPr>
      </w:pPr>
      <w:r>
        <w:rPr>
          <w:rFonts w:hint="eastAsia" w:ascii="宋体" w:hAnsi="宋体" w:cs="宋体"/>
          <w:b/>
          <w:color w:val="auto"/>
          <w:sz w:val="28"/>
          <w:szCs w:val="28"/>
          <w:highlight w:val="none"/>
        </w:rPr>
        <w:t>二、磋商文件</w:t>
      </w:r>
    </w:p>
    <w:p>
      <w:pPr>
        <w:tabs>
          <w:tab w:val="left" w:pos="2190"/>
        </w:tabs>
        <w:spacing w:before="0" w:after="0" w:line="400" w:lineRule="exact"/>
        <w:ind w:firstLine="437" w:firstLineChars="0"/>
        <w:rPr>
          <w:rFonts w:ascii="宋体" w:hAnsi="宋体" w:cs="宋体"/>
          <w:b/>
          <w:color w:val="auto"/>
          <w:szCs w:val="21"/>
          <w:highlight w:val="none"/>
        </w:rPr>
      </w:pPr>
      <w:r>
        <w:rPr>
          <w:rFonts w:hint="eastAsia" w:ascii="宋体" w:hAnsi="宋体" w:cs="宋体"/>
          <w:b/>
          <w:color w:val="auto"/>
          <w:szCs w:val="21"/>
          <w:highlight w:val="none"/>
        </w:rPr>
        <w:t>9. 磋商文件的构成</w:t>
      </w:r>
    </w:p>
    <w:p>
      <w:pPr>
        <w:tabs>
          <w:tab w:val="left" w:pos="2190"/>
        </w:tabs>
        <w:spacing w:before="0" w:after="0" w:line="400" w:lineRule="exact"/>
        <w:ind w:firstLine="437" w:firstLineChars="0"/>
        <w:rPr>
          <w:rFonts w:ascii="宋体" w:hAnsi="宋体" w:cs="宋体"/>
          <w:color w:val="auto"/>
          <w:szCs w:val="21"/>
          <w:highlight w:val="none"/>
        </w:rPr>
      </w:pPr>
      <w:r>
        <w:rPr>
          <w:rFonts w:hint="eastAsia" w:ascii="宋体" w:hAnsi="宋体" w:cs="宋体"/>
          <w:color w:val="auto"/>
          <w:szCs w:val="21"/>
          <w:highlight w:val="none"/>
        </w:rPr>
        <w:t>（1）竞争性磋商公告；</w:t>
      </w:r>
    </w:p>
    <w:p>
      <w:pPr>
        <w:tabs>
          <w:tab w:val="left" w:pos="2190"/>
        </w:tabs>
        <w:spacing w:before="0" w:after="0" w:line="400" w:lineRule="exact"/>
        <w:ind w:firstLine="437" w:firstLineChars="0"/>
        <w:rPr>
          <w:rFonts w:ascii="宋体" w:hAnsi="宋体" w:cs="宋体"/>
          <w:color w:val="auto"/>
          <w:szCs w:val="21"/>
          <w:highlight w:val="none"/>
        </w:rPr>
      </w:pPr>
      <w:r>
        <w:rPr>
          <w:rFonts w:hint="eastAsia" w:ascii="宋体" w:hAnsi="宋体" w:cs="宋体"/>
          <w:color w:val="auto"/>
          <w:szCs w:val="21"/>
          <w:highlight w:val="none"/>
        </w:rPr>
        <w:t>（2）供应商须知；</w:t>
      </w:r>
    </w:p>
    <w:p>
      <w:pPr>
        <w:tabs>
          <w:tab w:val="left" w:pos="2190"/>
        </w:tabs>
        <w:spacing w:before="0" w:after="0" w:line="400" w:lineRule="exact"/>
        <w:ind w:firstLine="437" w:firstLineChars="0"/>
        <w:rPr>
          <w:rFonts w:ascii="宋体" w:hAnsi="宋体" w:cs="宋体"/>
          <w:color w:val="auto"/>
          <w:szCs w:val="21"/>
          <w:highlight w:val="none"/>
        </w:rPr>
      </w:pPr>
      <w:r>
        <w:rPr>
          <w:rFonts w:hint="eastAsia" w:ascii="宋体" w:hAnsi="宋体" w:cs="宋体"/>
          <w:color w:val="auto"/>
          <w:szCs w:val="21"/>
          <w:highlight w:val="none"/>
        </w:rPr>
        <w:t>（3）服务采购需求（“服务采购需求”中的所有条款要求均为实质性要求）；</w:t>
      </w:r>
    </w:p>
    <w:p>
      <w:pPr>
        <w:tabs>
          <w:tab w:val="left" w:pos="2190"/>
        </w:tabs>
        <w:spacing w:before="0" w:after="0" w:line="400" w:lineRule="exact"/>
        <w:ind w:firstLine="437" w:firstLineChars="0"/>
        <w:rPr>
          <w:rFonts w:ascii="宋体" w:hAnsi="宋体" w:cs="宋体"/>
          <w:color w:val="auto"/>
          <w:szCs w:val="21"/>
          <w:highlight w:val="none"/>
        </w:rPr>
      </w:pPr>
      <w:r>
        <w:rPr>
          <w:rFonts w:hint="eastAsia" w:ascii="宋体" w:hAnsi="宋体" w:cs="宋体"/>
          <w:color w:val="auto"/>
          <w:szCs w:val="21"/>
          <w:highlight w:val="none"/>
        </w:rPr>
        <w:t>（4）评审办法；</w:t>
      </w:r>
    </w:p>
    <w:p>
      <w:pPr>
        <w:tabs>
          <w:tab w:val="left" w:pos="2190"/>
        </w:tabs>
        <w:spacing w:before="0" w:after="0" w:line="400" w:lineRule="exact"/>
        <w:ind w:firstLine="437" w:firstLineChars="0"/>
        <w:rPr>
          <w:rFonts w:ascii="宋体" w:hAnsi="宋体" w:cs="宋体"/>
          <w:color w:val="auto"/>
          <w:szCs w:val="21"/>
          <w:highlight w:val="none"/>
        </w:rPr>
      </w:pPr>
      <w:r>
        <w:rPr>
          <w:rFonts w:hint="eastAsia" w:ascii="宋体" w:hAnsi="宋体" w:cs="宋体"/>
          <w:color w:val="auto"/>
          <w:szCs w:val="21"/>
          <w:highlight w:val="none"/>
        </w:rPr>
        <w:t>（5）采购合同（合同主要条款及格式）；</w:t>
      </w:r>
    </w:p>
    <w:p>
      <w:pPr>
        <w:tabs>
          <w:tab w:val="left" w:pos="2190"/>
        </w:tabs>
        <w:spacing w:before="0" w:after="0" w:line="400" w:lineRule="exact"/>
        <w:ind w:firstLine="437" w:firstLineChars="0"/>
        <w:rPr>
          <w:rFonts w:ascii="宋体" w:hAnsi="宋体" w:cs="宋体"/>
          <w:color w:val="auto"/>
          <w:szCs w:val="21"/>
          <w:highlight w:val="none"/>
        </w:rPr>
      </w:pPr>
      <w:r>
        <w:rPr>
          <w:rFonts w:hint="eastAsia" w:ascii="宋体" w:hAnsi="宋体" w:cs="宋体"/>
          <w:color w:val="auto"/>
          <w:szCs w:val="21"/>
          <w:highlight w:val="none"/>
        </w:rPr>
        <w:t>（6）响应文件格式。</w:t>
      </w:r>
    </w:p>
    <w:p>
      <w:pPr>
        <w:tabs>
          <w:tab w:val="left" w:pos="2190"/>
        </w:tabs>
        <w:spacing w:before="0" w:after="0" w:line="400" w:lineRule="exact"/>
        <w:ind w:firstLine="437" w:firstLineChars="0"/>
        <w:rPr>
          <w:rFonts w:ascii="宋体" w:hAnsi="宋体" w:cs="宋体"/>
          <w:b/>
          <w:color w:val="auto"/>
          <w:szCs w:val="21"/>
          <w:highlight w:val="none"/>
        </w:rPr>
      </w:pPr>
      <w:r>
        <w:rPr>
          <w:rFonts w:hint="eastAsia" w:ascii="宋体" w:hAnsi="宋体" w:cs="宋体"/>
          <w:b/>
          <w:color w:val="auto"/>
          <w:szCs w:val="21"/>
          <w:highlight w:val="none"/>
        </w:rPr>
        <w:t>10. 磋商文件的澄清与修改</w:t>
      </w:r>
    </w:p>
    <w:p>
      <w:pPr>
        <w:tabs>
          <w:tab w:val="left" w:pos="2190"/>
        </w:tabs>
        <w:spacing w:before="0" w:after="0" w:line="400" w:lineRule="exact"/>
        <w:ind w:firstLine="437" w:firstLineChars="0"/>
        <w:rPr>
          <w:rFonts w:ascii="宋体" w:hAnsi="宋体" w:cs="宋体"/>
          <w:color w:val="auto"/>
          <w:szCs w:val="21"/>
          <w:highlight w:val="none"/>
        </w:rPr>
      </w:pPr>
      <w:r>
        <w:rPr>
          <w:rFonts w:hint="eastAsia" w:ascii="宋体" w:hAnsi="宋体" w:cs="宋体"/>
          <w:color w:val="auto"/>
          <w:szCs w:val="21"/>
          <w:highlight w:val="none"/>
        </w:rPr>
        <w:t>10.1 提交首次响应文件截止之日前，采购代理机构可以对已发出的磋商文件进行必要澄清或者修改，澄清或者修改的内容可能影响响应文件编制的，采购代理机构应当在提交首次响应文件递交截止时间5日前在本项目竞争性磋商公告发布的同一媒体上发布更正公告，不足5日的，应当顺延首次响应文件递交截止时间。</w:t>
      </w:r>
    </w:p>
    <w:p>
      <w:pPr>
        <w:tabs>
          <w:tab w:val="left" w:pos="2190"/>
        </w:tabs>
        <w:spacing w:before="0" w:after="0" w:line="400" w:lineRule="exact"/>
        <w:ind w:firstLine="437" w:firstLineChars="0"/>
        <w:rPr>
          <w:rFonts w:ascii="宋体" w:hAnsi="宋体" w:cs="宋体"/>
          <w:color w:val="auto"/>
          <w:szCs w:val="21"/>
          <w:highlight w:val="none"/>
        </w:rPr>
      </w:pPr>
      <w:r>
        <w:rPr>
          <w:rFonts w:hint="eastAsia" w:ascii="宋体" w:hAnsi="宋体" w:cs="宋体"/>
          <w:color w:val="auto"/>
          <w:szCs w:val="21"/>
          <w:highlight w:val="none"/>
        </w:rPr>
        <w:t>10.2供应商购买竞争性磋商文件后应实时关注相关网站了解澄清、修改等与项目有关的内容，如因供应商未及时登录相关网站了解澄清、修改等与项目有关的内容，从而导致磋商无效的，由供应商自行承担责任。</w:t>
      </w:r>
    </w:p>
    <w:p>
      <w:pPr>
        <w:tabs>
          <w:tab w:val="left" w:pos="2190"/>
        </w:tabs>
        <w:spacing w:before="0" w:after="0" w:line="400" w:lineRule="exact"/>
        <w:ind w:firstLine="437" w:firstLineChars="0"/>
        <w:rPr>
          <w:rFonts w:ascii="宋体" w:hAnsi="宋体" w:cs="宋体"/>
          <w:color w:val="auto"/>
          <w:szCs w:val="21"/>
          <w:highlight w:val="none"/>
        </w:rPr>
      </w:pPr>
      <w:r>
        <w:rPr>
          <w:rFonts w:hint="eastAsia" w:ascii="宋体" w:hAnsi="宋体" w:cs="宋体"/>
          <w:color w:val="auto"/>
          <w:szCs w:val="21"/>
          <w:highlight w:val="none"/>
        </w:rPr>
        <w:t>10.3</w:t>
      </w:r>
      <w:r>
        <w:rPr>
          <w:rFonts w:hint="eastAsia" w:ascii="宋体" w:hAnsi="宋体"/>
          <w:color w:val="auto"/>
          <w:szCs w:val="21"/>
          <w:highlight w:val="none"/>
        </w:rPr>
        <w:t>澄清或者修改的内容为</w:t>
      </w:r>
      <w:r>
        <w:rPr>
          <w:rFonts w:hint="eastAsia" w:ascii="宋体" w:hAnsi="宋体" w:cs="宋体"/>
          <w:bCs/>
          <w:color w:val="auto"/>
          <w:szCs w:val="21"/>
          <w:highlight w:val="none"/>
          <w:lang w:eastAsia="zh-CN"/>
        </w:rPr>
        <w:t>磋商</w:t>
      </w:r>
      <w:r>
        <w:rPr>
          <w:rFonts w:hint="eastAsia" w:ascii="宋体" w:hAnsi="宋体"/>
          <w:color w:val="auto"/>
          <w:szCs w:val="21"/>
          <w:highlight w:val="none"/>
        </w:rPr>
        <w:t>文件的组成部分。当澄清或者修改通知就同一内容的表述不一致时，以最后发出的文件为准。</w:t>
      </w:r>
    </w:p>
    <w:p>
      <w:pPr>
        <w:tabs>
          <w:tab w:val="left" w:pos="2190"/>
        </w:tabs>
        <w:spacing w:before="0" w:after="0" w:line="400" w:lineRule="exact"/>
        <w:ind w:firstLine="437" w:firstLineChars="0"/>
        <w:rPr>
          <w:rFonts w:ascii="宋体" w:hAnsi="宋体" w:cs="宋体"/>
          <w:color w:val="auto"/>
          <w:szCs w:val="21"/>
          <w:highlight w:val="none"/>
        </w:rPr>
      </w:pPr>
      <w:r>
        <w:rPr>
          <w:rFonts w:hint="eastAsia" w:ascii="宋体" w:hAnsi="宋体" w:cs="宋体"/>
          <w:color w:val="auto"/>
          <w:szCs w:val="21"/>
          <w:highlight w:val="none"/>
        </w:rPr>
        <w:t>10.4 磋商文件的澄清或者修改都应该通过本项目采购代理机构以法定形式发布，采购人非通过本机构，不得擅自澄清或者修改磋商文件。</w:t>
      </w:r>
    </w:p>
    <w:p>
      <w:pPr>
        <w:tabs>
          <w:tab w:val="left" w:pos="2190"/>
        </w:tabs>
        <w:spacing w:before="0" w:after="0" w:line="400" w:lineRule="exact"/>
        <w:ind w:firstLine="437" w:firstLineChars="0"/>
        <w:rPr>
          <w:rFonts w:ascii="宋体" w:hAnsi="宋体" w:cs="宋体"/>
          <w:color w:val="auto"/>
          <w:szCs w:val="21"/>
          <w:highlight w:val="none"/>
        </w:rPr>
      </w:pPr>
      <w:r>
        <w:rPr>
          <w:rFonts w:hint="eastAsia" w:ascii="宋体" w:hAnsi="宋体" w:cs="宋体"/>
          <w:color w:val="auto"/>
          <w:szCs w:val="21"/>
          <w:highlight w:val="none"/>
        </w:rPr>
        <w:t>10.5 采购代理机构可以视采购具体情况，延长首次响应文件递交截止时间和磋商时间，并将变更时间通知所有购买磋商文件收受人，在本项目竞争性磋商公告发布的同一媒体上发布变更公告。</w:t>
      </w:r>
    </w:p>
    <w:p>
      <w:pPr>
        <w:tabs>
          <w:tab w:val="left" w:pos="2190"/>
        </w:tabs>
        <w:spacing w:before="0" w:after="0" w:line="400" w:lineRule="exact"/>
        <w:ind w:firstLine="435" w:firstLineChars="0"/>
        <w:jc w:val="center"/>
        <w:rPr>
          <w:rFonts w:ascii="宋体" w:hAnsi="宋体" w:cs="宋体"/>
          <w:b/>
          <w:color w:val="auto"/>
          <w:sz w:val="28"/>
          <w:szCs w:val="28"/>
          <w:highlight w:val="none"/>
        </w:rPr>
      </w:pPr>
    </w:p>
    <w:p>
      <w:pPr>
        <w:tabs>
          <w:tab w:val="left" w:pos="2190"/>
        </w:tabs>
        <w:spacing w:before="0" w:after="0" w:line="400" w:lineRule="exact"/>
        <w:ind w:firstLine="435" w:firstLineChars="0"/>
        <w:jc w:val="center"/>
        <w:rPr>
          <w:rFonts w:ascii="宋体" w:hAnsi="宋体" w:cs="宋体"/>
          <w:b/>
          <w:color w:val="auto"/>
          <w:sz w:val="28"/>
          <w:szCs w:val="28"/>
          <w:highlight w:val="none"/>
        </w:rPr>
      </w:pPr>
      <w:r>
        <w:rPr>
          <w:rFonts w:hint="eastAsia" w:ascii="宋体" w:hAnsi="宋体" w:cs="宋体"/>
          <w:b/>
          <w:color w:val="auto"/>
          <w:sz w:val="28"/>
          <w:szCs w:val="28"/>
          <w:highlight w:val="none"/>
        </w:rPr>
        <w:t>三、竞争性磋商响应文件的编制</w:t>
      </w:r>
    </w:p>
    <w:p>
      <w:pPr>
        <w:tabs>
          <w:tab w:val="left" w:pos="2190"/>
        </w:tabs>
        <w:spacing w:before="0" w:after="0" w:line="400" w:lineRule="exact"/>
        <w:ind w:firstLine="435" w:firstLineChars="0"/>
        <w:rPr>
          <w:rFonts w:ascii="宋体" w:hAnsi="宋体" w:cs="宋体"/>
          <w:b/>
          <w:color w:val="auto"/>
          <w:szCs w:val="21"/>
          <w:highlight w:val="none"/>
        </w:rPr>
      </w:pPr>
      <w:r>
        <w:rPr>
          <w:rFonts w:hint="eastAsia" w:ascii="宋体" w:hAnsi="宋体" w:cs="宋体"/>
          <w:b/>
          <w:color w:val="auto"/>
          <w:szCs w:val="21"/>
          <w:highlight w:val="none"/>
        </w:rPr>
        <w:t>11.竞争性磋商响应文件（以下简称响应文件）的组成及要求</w:t>
      </w:r>
    </w:p>
    <w:p>
      <w:pPr>
        <w:tabs>
          <w:tab w:val="left" w:pos="1305"/>
        </w:tabs>
        <w:spacing w:before="0" w:after="0" w:line="400" w:lineRule="exact"/>
        <w:ind w:firstLine="422"/>
        <w:rPr>
          <w:rFonts w:ascii="宋体" w:hAnsi="宋体" w:cs="宋体"/>
          <w:color w:val="auto"/>
          <w:szCs w:val="21"/>
          <w:highlight w:val="none"/>
        </w:rPr>
      </w:pPr>
      <w:r>
        <w:rPr>
          <w:rFonts w:hint="eastAsia" w:ascii="宋体" w:hAnsi="宋体" w:cs="宋体"/>
          <w:b/>
          <w:color w:val="auto"/>
          <w:szCs w:val="21"/>
          <w:highlight w:val="none"/>
        </w:rPr>
        <w:t>11.1响应文件组成【格式见第六章“响应文件格式”】</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（1）响应函</w:t>
      </w:r>
      <w:r>
        <w:rPr>
          <w:rFonts w:hint="eastAsia" w:ascii="宋体" w:hAnsi="宋体" w:cs="宋体"/>
          <w:b/>
          <w:color w:val="auto"/>
          <w:szCs w:val="21"/>
          <w:highlight w:val="none"/>
        </w:rPr>
        <w:t>（必须提供）；</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（2）供应商相应的法定代表人、负责人、自然人身份证正反两面复印件</w:t>
      </w:r>
      <w:r>
        <w:rPr>
          <w:rFonts w:hint="eastAsia" w:ascii="宋体" w:hAnsi="宋体" w:cs="宋体"/>
          <w:b/>
          <w:color w:val="auto"/>
          <w:szCs w:val="21"/>
          <w:highlight w:val="none"/>
        </w:rPr>
        <w:t>（必须提供）</w:t>
      </w:r>
      <w:r>
        <w:rPr>
          <w:rFonts w:hint="eastAsia" w:ascii="宋体" w:hAnsi="宋体" w:cs="宋体"/>
          <w:color w:val="auto"/>
          <w:szCs w:val="21"/>
          <w:highlight w:val="none"/>
        </w:rPr>
        <w:t>；</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（3）供应商的授权委托书原件、委托代理人</w:t>
      </w:r>
      <w:r>
        <w:rPr>
          <w:rFonts w:hint="eastAsia" w:ascii="宋体" w:hAnsi="宋体" w:cs="宋体"/>
          <w:color w:val="auto"/>
          <w:highlight w:val="none"/>
        </w:rPr>
        <w:t>身份证正反面</w:t>
      </w:r>
      <w:r>
        <w:rPr>
          <w:rFonts w:hint="eastAsia" w:ascii="宋体" w:hAnsi="宋体" w:cs="宋体"/>
          <w:color w:val="auto"/>
          <w:szCs w:val="21"/>
          <w:highlight w:val="none"/>
        </w:rPr>
        <w:t>复印件以及由县级以上（含县级）社会养老保险经办机构出具的供应商为委托代理人交纳的开标截止时间前半年内任意三个月社保证明复印件【属自然人的应提供由县级以上（含县级）社会养老保险经办机构出具的自然人本人及委托代理人所交纳的开标截止时间前半年内任意三个月社保证明复印件】</w:t>
      </w:r>
      <w:r>
        <w:rPr>
          <w:rFonts w:hint="eastAsia" w:ascii="宋体" w:hAnsi="宋体" w:cs="宋体"/>
          <w:b/>
          <w:color w:val="auto"/>
          <w:szCs w:val="21"/>
          <w:highlight w:val="none"/>
        </w:rPr>
        <w:t>（委托代理时必须提供）</w:t>
      </w:r>
      <w:r>
        <w:rPr>
          <w:rFonts w:hint="eastAsia" w:ascii="宋体" w:hAnsi="宋体" w:cs="宋体"/>
          <w:color w:val="auto"/>
          <w:szCs w:val="21"/>
          <w:highlight w:val="none"/>
        </w:rPr>
        <w:t>；</w:t>
      </w:r>
    </w:p>
    <w:p>
      <w:pPr>
        <w:tabs>
          <w:tab w:val="left" w:pos="1305"/>
        </w:tabs>
        <w:spacing w:before="0" w:after="0" w:line="400" w:lineRule="exact"/>
        <w:ind w:firstLine="420"/>
        <w:rPr>
          <w:rFonts w:ascii="宋体" w:hAnsi="宋体" w:cs="宋体"/>
          <w:b/>
          <w:color w:val="auto"/>
          <w:szCs w:val="21"/>
          <w:highlight w:val="none"/>
        </w:rPr>
      </w:pPr>
      <w:r>
        <w:rPr>
          <w:rFonts w:hint="eastAsia" w:ascii="宋体" w:hAnsi="宋体" w:cs="宋体"/>
          <w:color w:val="auto"/>
          <w:szCs w:val="21"/>
          <w:highlight w:val="none"/>
        </w:rPr>
        <w:t>（4）供应商参加政府采购活动前3年内在经营活动中没有重大违法记录的书面声明</w:t>
      </w:r>
      <w:r>
        <w:rPr>
          <w:rFonts w:hint="eastAsia" w:ascii="宋体" w:hAnsi="宋体" w:cs="宋体"/>
          <w:b/>
          <w:color w:val="auto"/>
          <w:szCs w:val="21"/>
          <w:highlight w:val="none"/>
        </w:rPr>
        <w:t>（必须提供）；</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（5）供应商的法人或者其他组织三证合一营业执照等证明文件</w:t>
      </w:r>
      <w:r>
        <w:rPr>
          <w:rFonts w:hint="eastAsia" w:ascii="宋体" w:hAnsi="宋体" w:cs="宋体"/>
          <w:b/>
          <w:color w:val="auto"/>
          <w:szCs w:val="21"/>
          <w:highlight w:val="none"/>
        </w:rPr>
        <w:t>（必须提供，自然人除外）</w:t>
      </w:r>
      <w:r>
        <w:rPr>
          <w:rFonts w:hint="eastAsia" w:ascii="宋体" w:hAnsi="宋体" w:cs="宋体"/>
          <w:color w:val="auto"/>
          <w:szCs w:val="21"/>
          <w:highlight w:val="none"/>
        </w:rPr>
        <w:t>；</w:t>
      </w:r>
    </w:p>
    <w:p>
      <w:pPr>
        <w:tabs>
          <w:tab w:val="left" w:pos="1305"/>
        </w:tabs>
        <w:spacing w:before="0" w:after="0" w:line="400" w:lineRule="exact"/>
        <w:ind w:firstLine="422"/>
        <w:rPr>
          <w:rFonts w:ascii="宋体" w:hAnsi="宋体" w:cs="宋体"/>
          <w:b/>
          <w:color w:val="auto"/>
          <w:szCs w:val="21"/>
          <w:highlight w:val="none"/>
        </w:rPr>
      </w:pPr>
      <w:r>
        <w:rPr>
          <w:rFonts w:hint="eastAsia" w:ascii="宋体" w:hAnsi="宋体" w:cs="宋体"/>
          <w:b/>
          <w:color w:val="auto"/>
          <w:szCs w:val="21"/>
          <w:highlight w:val="none"/>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（6）磋商报价表（格式见附件）</w:t>
      </w:r>
      <w:r>
        <w:rPr>
          <w:rFonts w:hint="eastAsia" w:ascii="宋体" w:hAnsi="宋体" w:cs="宋体"/>
          <w:b/>
          <w:color w:val="auto"/>
          <w:szCs w:val="21"/>
          <w:highlight w:val="none"/>
        </w:rPr>
        <w:t>（必须提供）</w:t>
      </w:r>
      <w:r>
        <w:rPr>
          <w:rFonts w:hint="eastAsia" w:ascii="宋体" w:hAnsi="宋体" w:cs="宋体"/>
          <w:color w:val="auto"/>
          <w:szCs w:val="21"/>
          <w:highlight w:val="none"/>
        </w:rPr>
        <w:t>；</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（7）项目实施方案（格式见附件）</w:t>
      </w:r>
      <w:r>
        <w:rPr>
          <w:rFonts w:hint="eastAsia" w:ascii="宋体" w:hAnsi="宋体" w:cs="宋体"/>
          <w:b/>
          <w:color w:val="auto"/>
          <w:szCs w:val="21"/>
          <w:highlight w:val="none"/>
        </w:rPr>
        <w:t>（必须提供）</w:t>
      </w:r>
      <w:r>
        <w:rPr>
          <w:rFonts w:hint="eastAsia" w:ascii="宋体" w:hAnsi="宋体" w:cs="宋体"/>
          <w:color w:val="auto"/>
          <w:szCs w:val="21"/>
          <w:highlight w:val="none"/>
        </w:rPr>
        <w:t>；</w:t>
      </w:r>
    </w:p>
    <w:p>
      <w:pPr>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（8）供应商的售后服务承诺书（含服务期、技术服务、技术培训、售后服务的内容和措施等）</w:t>
      </w:r>
      <w:r>
        <w:rPr>
          <w:rFonts w:hint="eastAsia" w:ascii="宋体" w:hAnsi="宋体" w:cs="宋体"/>
          <w:b/>
          <w:color w:val="auto"/>
          <w:szCs w:val="21"/>
          <w:highlight w:val="none"/>
        </w:rPr>
        <w:t>（必须提供）；</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（9）项目实施人员一览表</w:t>
      </w:r>
      <w:r>
        <w:rPr>
          <w:rFonts w:hint="eastAsia" w:ascii="宋体" w:hAnsi="宋体" w:cs="宋体"/>
          <w:b/>
          <w:color w:val="auto"/>
          <w:szCs w:val="21"/>
          <w:highlight w:val="none"/>
        </w:rPr>
        <w:t>【必须提供，并一起提供由县级以上（含县级）社会养老保险经办机构出具的供应商为项目实施人员交纳的开标截止时间前半年内任意三个月社保证明复印件】；</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（10）供应商</w:t>
      </w:r>
      <w:r>
        <w:rPr>
          <w:rFonts w:hint="eastAsia" w:ascii="宋体" w:hAnsi="宋体" w:cs="宋体"/>
          <w:color w:val="auto"/>
          <w:szCs w:val="21"/>
          <w:highlight w:val="none"/>
          <w:u w:val="single"/>
        </w:rPr>
        <w:t xml:space="preserve"> 2019年度通过中</w:t>
      </w:r>
      <w:r>
        <w:rPr>
          <w:rFonts w:hint="eastAsia" w:ascii="宋体" w:hAnsi="宋体" w:cs="宋体"/>
          <w:color w:val="auto"/>
          <w:szCs w:val="21"/>
          <w:highlight w:val="none"/>
        </w:rPr>
        <w:t>介审计的有效财务审计报告复印件</w:t>
      </w:r>
      <w:r>
        <w:rPr>
          <w:rFonts w:hint="eastAsia" w:ascii="宋体" w:hAnsi="宋体" w:cs="宋体"/>
          <w:b/>
          <w:color w:val="auto"/>
          <w:highlight w:val="none"/>
        </w:rPr>
        <w:t>（如有，请提供）</w:t>
      </w:r>
      <w:r>
        <w:rPr>
          <w:rFonts w:hint="eastAsia" w:ascii="宋体" w:hAnsi="宋体" w:cs="宋体"/>
          <w:color w:val="auto"/>
          <w:szCs w:val="21"/>
          <w:highlight w:val="none"/>
        </w:rPr>
        <w:t>；</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（11）</w:t>
      </w:r>
      <w:r>
        <w:rPr>
          <w:rFonts w:hint="eastAsia" w:ascii="宋体" w:hAnsi="宋体" w:cs="宋体"/>
          <w:color w:val="auto"/>
          <w:highlight w:val="none"/>
        </w:rPr>
        <w:t>供应商</w:t>
      </w:r>
      <w:r>
        <w:rPr>
          <w:rFonts w:hint="eastAsia" w:ascii="宋体" w:hAnsi="宋体" w:cs="Courier New"/>
          <w:color w:val="auto"/>
          <w:szCs w:val="21"/>
          <w:highlight w:val="none"/>
          <w:lang w:eastAsia="zh-CN"/>
        </w:rPr>
        <w:t>2015年以来具有的同类项目</w:t>
      </w:r>
      <w:r>
        <w:rPr>
          <w:rFonts w:hint="eastAsia" w:ascii="宋体" w:hAnsi="宋体" w:cs="Courier New"/>
          <w:color w:val="auto"/>
          <w:szCs w:val="21"/>
          <w:highlight w:val="none"/>
        </w:rPr>
        <w:t>业绩</w:t>
      </w:r>
      <w:r>
        <w:rPr>
          <w:rFonts w:hint="eastAsia" w:ascii="宋体" w:hAnsi="宋体" w:cs="宋体"/>
          <w:color w:val="auto"/>
          <w:highlight w:val="none"/>
        </w:rPr>
        <w:t>的相关证明材料</w:t>
      </w:r>
      <w:r>
        <w:rPr>
          <w:rFonts w:hint="eastAsia" w:ascii="宋体" w:hAnsi="宋体" w:cs="宋体"/>
          <w:color w:val="auto"/>
          <w:spacing w:val="-12"/>
          <w:szCs w:val="21"/>
          <w:highlight w:val="none"/>
        </w:rPr>
        <w:t>（无不良记录，以中标、成交通知书或签订的销售合同为准，并能清晰反映所销售的货物名称、种类、金额</w:t>
      </w:r>
      <w:r>
        <w:rPr>
          <w:rFonts w:hint="eastAsia" w:ascii="宋体" w:hAnsi="宋体" w:cs="宋体"/>
          <w:b/>
          <w:color w:val="auto"/>
          <w:highlight w:val="none"/>
        </w:rPr>
        <w:t>）（如有，请提供）；</w:t>
      </w:r>
    </w:p>
    <w:p>
      <w:pPr>
        <w:tabs>
          <w:tab w:val="left" w:pos="1305"/>
        </w:tabs>
        <w:spacing w:before="0" w:after="0" w:line="400" w:lineRule="exact"/>
        <w:ind w:firstLine="420"/>
        <w:rPr>
          <w:rFonts w:ascii="宋体" w:hAnsi="宋体" w:cs="宋体"/>
          <w:color w:val="auto"/>
          <w:highlight w:val="none"/>
        </w:rPr>
      </w:pPr>
      <w:r>
        <w:rPr>
          <w:rFonts w:hint="eastAsia" w:ascii="宋体" w:hAnsi="宋体" w:cs="宋体"/>
          <w:color w:val="auto"/>
          <w:highlight w:val="none"/>
        </w:rPr>
        <w:t>（12）</w:t>
      </w:r>
      <w:r>
        <w:rPr>
          <w:rFonts w:hint="eastAsia" w:ascii="宋体" w:hAnsi="宋体" w:cs="宋体"/>
          <w:color w:val="auto"/>
          <w:szCs w:val="21"/>
          <w:highlight w:val="none"/>
        </w:rPr>
        <w:t>“</w:t>
      </w:r>
      <w:r>
        <w:rPr>
          <w:rFonts w:hint="eastAsia" w:ascii="宋体" w:hAnsi="宋体" w:cs="宋体"/>
          <w:color w:val="auto"/>
          <w:highlight w:val="none"/>
        </w:rPr>
        <w:t>服务采购需求”需提供的有效证明文件</w:t>
      </w:r>
      <w:r>
        <w:rPr>
          <w:rFonts w:hint="eastAsia" w:ascii="宋体" w:hAnsi="宋体" w:cs="宋体"/>
          <w:b/>
          <w:color w:val="auto"/>
          <w:highlight w:val="none"/>
        </w:rPr>
        <w:t>（如有，请提供）</w:t>
      </w:r>
      <w:r>
        <w:rPr>
          <w:rFonts w:hint="eastAsia" w:ascii="宋体" w:hAnsi="宋体" w:cs="宋体"/>
          <w:color w:val="auto"/>
          <w:highlight w:val="none"/>
        </w:rPr>
        <w:t>；</w:t>
      </w:r>
    </w:p>
    <w:p>
      <w:pPr>
        <w:snapToGrid w:val="0"/>
        <w:spacing w:before="0" w:after="0" w:line="400" w:lineRule="exact"/>
        <w:ind w:firstLine="420"/>
        <w:outlineLvl w:val="4"/>
        <w:rPr>
          <w:rFonts w:ascii="宋体" w:hAnsi="宋体" w:cs="宋体"/>
          <w:color w:val="auto"/>
          <w:highlight w:val="none"/>
        </w:rPr>
      </w:pPr>
      <w:r>
        <w:rPr>
          <w:rFonts w:hint="eastAsia" w:ascii="宋体" w:hAnsi="宋体" w:cs="宋体"/>
          <w:color w:val="auto"/>
          <w:szCs w:val="20"/>
          <w:highlight w:val="none"/>
        </w:rPr>
        <w:t>（13）</w:t>
      </w:r>
      <w:r>
        <w:rPr>
          <w:rFonts w:hint="eastAsia" w:ascii="宋体" w:hAnsi="宋体" w:cs="宋体"/>
          <w:color w:val="auto"/>
          <w:highlight w:val="none"/>
        </w:rPr>
        <w:t>其他有效证明文件的复印件（如提供服务的供应商属于小型、微型企业、监狱企业的，以提供工商注册地的工业和信息化部门等其他行政部门出具的相关证明材料为准）</w:t>
      </w:r>
      <w:r>
        <w:rPr>
          <w:rFonts w:hint="eastAsia" w:ascii="宋体" w:hAnsi="宋体" w:cs="宋体"/>
          <w:b/>
          <w:color w:val="auto"/>
          <w:highlight w:val="none"/>
        </w:rPr>
        <w:t>（如有，请提供）</w:t>
      </w:r>
      <w:r>
        <w:rPr>
          <w:rFonts w:hint="eastAsia" w:ascii="宋体" w:hAnsi="宋体" w:cs="宋体"/>
          <w:color w:val="auto"/>
          <w:highlight w:val="none"/>
        </w:rPr>
        <w:t>。</w:t>
      </w:r>
    </w:p>
    <w:p>
      <w:pPr>
        <w:snapToGrid w:val="0"/>
        <w:spacing w:before="0" w:after="0" w:line="400" w:lineRule="exact"/>
        <w:ind w:firstLine="539" w:firstLineChars="257"/>
        <w:outlineLvl w:val="4"/>
        <w:rPr>
          <w:rFonts w:ascii="宋体" w:hAnsi="宋体" w:cs="宋体"/>
          <w:color w:val="auto"/>
          <w:szCs w:val="20"/>
          <w:highlight w:val="none"/>
        </w:rPr>
      </w:pPr>
      <w:r>
        <w:rPr>
          <w:rFonts w:hint="eastAsia" w:ascii="宋体" w:hAnsi="宋体" w:cs="宋体"/>
          <w:color w:val="auto"/>
          <w:szCs w:val="21"/>
          <w:highlight w:val="none"/>
        </w:rPr>
        <w:t>(14)　供应商可结合本项目自身情况自行提交其它相关证明材料。</w:t>
      </w:r>
    </w:p>
    <w:p>
      <w:pPr>
        <w:tabs>
          <w:tab w:val="left" w:pos="1305"/>
        </w:tabs>
        <w:spacing w:before="0" w:after="0" w:line="400" w:lineRule="exact"/>
        <w:ind w:firstLine="422"/>
        <w:rPr>
          <w:rFonts w:ascii="宋体" w:hAnsi="宋体" w:cs="宋体"/>
          <w:bCs/>
          <w:color w:val="auto"/>
          <w:highlight w:val="none"/>
        </w:rPr>
      </w:pPr>
      <w:r>
        <w:rPr>
          <w:rFonts w:hint="eastAsia" w:ascii="宋体" w:hAnsi="宋体" w:cs="宋体"/>
          <w:b/>
          <w:color w:val="auto"/>
          <w:szCs w:val="21"/>
          <w:highlight w:val="none"/>
        </w:rPr>
        <w:t>供应商提供的相关材料应真实有效，属于“必须提供”的文件应加盖供应商公章（扫描公章无效，自然人除外），并于本项目磋商截止时间前与响应文件同时提交。</w:t>
      </w:r>
    </w:p>
    <w:p>
      <w:pPr>
        <w:spacing w:before="0" w:after="0" w:line="400" w:lineRule="exact"/>
        <w:ind w:firstLine="420"/>
        <w:rPr>
          <w:rFonts w:ascii="宋体" w:hAnsi="宋体" w:cs="宋体"/>
          <w:color w:val="auto"/>
          <w:szCs w:val="20"/>
          <w:highlight w:val="none"/>
        </w:rPr>
      </w:pPr>
      <w:r>
        <w:rPr>
          <w:rFonts w:hint="eastAsia" w:ascii="宋体" w:hAnsi="宋体" w:cs="宋体"/>
          <w:color w:val="auto"/>
          <w:szCs w:val="20"/>
          <w:highlight w:val="none"/>
        </w:rPr>
        <w:t>11.2 供应商应按竞争性磋商文件第六章“响应文件格式”编制响应文件。</w:t>
      </w:r>
    </w:p>
    <w:p>
      <w:pPr>
        <w:tabs>
          <w:tab w:val="left" w:pos="1305"/>
        </w:tabs>
        <w:spacing w:before="0" w:after="0" w:line="400" w:lineRule="exact"/>
        <w:ind w:firstLine="422"/>
        <w:rPr>
          <w:rFonts w:ascii="宋体" w:hAnsi="宋体" w:cs="宋体"/>
          <w:b/>
          <w:color w:val="auto"/>
          <w:szCs w:val="21"/>
          <w:highlight w:val="none"/>
        </w:rPr>
      </w:pPr>
      <w:r>
        <w:rPr>
          <w:rFonts w:hint="eastAsia" w:ascii="宋体" w:hAnsi="宋体" w:cs="宋体"/>
          <w:b/>
          <w:color w:val="auto"/>
          <w:szCs w:val="21"/>
          <w:highlight w:val="none"/>
        </w:rPr>
        <w:t>12. 响应文件的语言及计量</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12.1 响应文件以及供应商与采购代理机构就有关磋商事宜的所有来往函电，均应以中文汉语书写。供应商提交的支持文件和印刷的文献可以使用别的语言，但其相应内容必须附有中文翻译文本，在解释响应文件时以中文翻译文本为主。</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12.2 磋商计量单位，磋商文件已有明确规定的，使用磋商文件规定的计量单位；磋商文件没有规定的，应采用中华人民共和国法定计量单位（货币单位：人民币元），否则视同未响应。</w:t>
      </w:r>
    </w:p>
    <w:p>
      <w:pPr>
        <w:tabs>
          <w:tab w:val="left" w:pos="1305"/>
        </w:tabs>
        <w:spacing w:before="0" w:after="0" w:line="400" w:lineRule="exact"/>
        <w:ind w:firstLine="422"/>
        <w:rPr>
          <w:rFonts w:ascii="宋体" w:hAnsi="宋体" w:cs="宋体"/>
          <w:b/>
          <w:color w:val="auto"/>
          <w:szCs w:val="21"/>
          <w:highlight w:val="none"/>
        </w:rPr>
      </w:pPr>
      <w:r>
        <w:rPr>
          <w:rFonts w:hint="eastAsia" w:ascii="宋体" w:hAnsi="宋体" w:cs="宋体"/>
          <w:b/>
          <w:color w:val="auto"/>
          <w:szCs w:val="21"/>
          <w:highlight w:val="none"/>
        </w:rPr>
        <w:t>13. 磋商报价</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13.1 磋商报价应按磋商文件中相关附表格式填写，报价</w:t>
      </w:r>
      <w:r>
        <w:rPr>
          <w:rFonts w:hint="eastAsia" w:ascii="宋体" w:hAnsi="宋体" w:cs="宋体"/>
          <w:color w:val="auto"/>
          <w:kern w:val="0"/>
          <w:szCs w:val="21"/>
          <w:highlight w:val="none"/>
        </w:rPr>
        <w:t>超过采购预算总金额的，</w:t>
      </w:r>
      <w:r>
        <w:rPr>
          <w:rFonts w:hint="eastAsia" w:ascii="宋体" w:hAnsi="宋体"/>
          <w:color w:val="auto"/>
          <w:kern w:val="0"/>
          <w:szCs w:val="21"/>
          <w:highlight w:val="none"/>
        </w:rPr>
        <w:t>响应文件按无效处理</w:t>
      </w:r>
      <w:r>
        <w:rPr>
          <w:rFonts w:hint="eastAsia" w:ascii="宋体" w:hAnsi="宋体" w:cs="宋体"/>
          <w:color w:val="auto"/>
          <w:kern w:val="0"/>
          <w:szCs w:val="21"/>
          <w:highlight w:val="none"/>
        </w:rPr>
        <w:t>。</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13.2 供应商必须就“服务采购需求”中的所有服务内容作完整唯一报价，否则，其响应文件无效。响应文件只允许有一个报价，有选择的或有条件的报价将不予接受。</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13.3 磋商报价应包括本次采购服务价款以及因提供服务所产生的人工、保险、税金、售后服务、培训、保修及其他所有成本费用的总和；</w:t>
      </w:r>
      <w:r>
        <w:rPr>
          <w:rFonts w:hint="eastAsia" w:ascii="宋体" w:hAnsi="宋体" w:cs="宋体"/>
          <w:color w:val="auto"/>
          <w:highlight w:val="none"/>
        </w:rPr>
        <w:t>供应商综合考虑在报价中。</w:t>
      </w:r>
    </w:p>
    <w:p>
      <w:pPr>
        <w:tabs>
          <w:tab w:val="left" w:pos="1305"/>
        </w:tabs>
        <w:spacing w:before="0" w:after="0" w:line="400" w:lineRule="exact"/>
        <w:ind w:firstLine="420"/>
        <w:rPr>
          <w:rFonts w:ascii="宋体" w:hAnsi="宋体" w:cs="宋体"/>
          <w:color w:val="auto"/>
          <w:kern w:val="0"/>
          <w:szCs w:val="21"/>
          <w:highlight w:val="none"/>
        </w:rPr>
      </w:pPr>
      <w:r>
        <w:rPr>
          <w:rFonts w:hint="eastAsia" w:ascii="宋体" w:hAnsi="宋体" w:cs="宋体"/>
          <w:color w:val="auto"/>
          <w:kern w:val="0"/>
          <w:szCs w:val="21"/>
          <w:highlight w:val="none"/>
        </w:rPr>
        <w:t>13.4未书面退出磋商的供应商在规定时间内密封提交最后报价，其最后报价超出采购预算导致已通过评审的响应文件无效的，按供应商在提交响应文件截止时间后撤回响应文件处理。</w:t>
      </w:r>
    </w:p>
    <w:p>
      <w:pPr>
        <w:tabs>
          <w:tab w:val="left" w:pos="1305"/>
        </w:tabs>
        <w:spacing w:before="0" w:after="0" w:line="400" w:lineRule="exact"/>
        <w:ind w:firstLine="422"/>
        <w:rPr>
          <w:rFonts w:ascii="宋体" w:hAnsi="宋体" w:cs="宋体"/>
          <w:b/>
          <w:color w:val="auto"/>
          <w:szCs w:val="21"/>
          <w:highlight w:val="none"/>
        </w:rPr>
      </w:pPr>
      <w:r>
        <w:rPr>
          <w:rFonts w:hint="eastAsia" w:ascii="宋体" w:hAnsi="宋体" w:cs="宋体"/>
          <w:b/>
          <w:color w:val="auto"/>
          <w:szCs w:val="21"/>
          <w:highlight w:val="none"/>
        </w:rPr>
        <w:t>14. 响应文件有效期</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14.1 响应文件有效期：响应文件递交截止时间之日起90天，有效期不足的响应文件将被拒绝。</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14.2 出现特殊情况下，需要延长响应文件有效期的，采购代理机构以书面形式通知供应商延长响应文件有效期。供应商同意延长的，应相应延长其保证金有效期，但不能修改响应文件。供应商拒绝延长的，其响应文件无效，但供应商有权收回其保证金。</w:t>
      </w:r>
    </w:p>
    <w:p>
      <w:pPr>
        <w:tabs>
          <w:tab w:val="left" w:pos="1305"/>
        </w:tabs>
        <w:spacing w:before="0" w:after="0" w:line="400" w:lineRule="exact"/>
        <w:ind w:firstLine="422"/>
        <w:rPr>
          <w:rFonts w:ascii="宋体" w:hAnsi="宋体" w:cs="宋体"/>
          <w:b/>
          <w:color w:val="auto"/>
          <w:szCs w:val="21"/>
          <w:highlight w:val="none"/>
        </w:rPr>
      </w:pPr>
      <w:r>
        <w:rPr>
          <w:rFonts w:hint="eastAsia" w:ascii="宋体" w:hAnsi="宋体" w:cs="宋体"/>
          <w:b/>
          <w:color w:val="auto"/>
          <w:szCs w:val="21"/>
          <w:highlight w:val="none"/>
        </w:rPr>
        <w:t>15. 保证金</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本项目无须缴纳磋商保证金。</w:t>
      </w:r>
    </w:p>
    <w:p>
      <w:pPr>
        <w:tabs>
          <w:tab w:val="left" w:pos="1305"/>
        </w:tabs>
        <w:spacing w:before="0" w:after="0" w:line="400" w:lineRule="exact"/>
        <w:ind w:firstLine="422"/>
        <w:rPr>
          <w:rFonts w:ascii="宋体" w:hAnsi="宋体" w:cs="宋体"/>
          <w:b/>
          <w:color w:val="auto"/>
          <w:szCs w:val="21"/>
          <w:highlight w:val="none"/>
        </w:rPr>
      </w:pPr>
      <w:r>
        <w:rPr>
          <w:rFonts w:hint="eastAsia" w:ascii="宋体" w:hAnsi="宋体" w:cs="宋体"/>
          <w:b/>
          <w:color w:val="auto"/>
          <w:szCs w:val="21"/>
          <w:highlight w:val="none"/>
        </w:rPr>
        <w:t>16. 响应文件的份数、装订、签署和包装、密封</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16.1 响应文件份数：正本壹册、副本肆册（A4纸装订）、响应文件电子版U盘或光盘壹个，须完整提交。</w:t>
      </w:r>
    </w:p>
    <w:p>
      <w:pPr>
        <w:tabs>
          <w:tab w:val="left" w:pos="1305"/>
        </w:tabs>
        <w:spacing w:before="0" w:after="0" w:line="400" w:lineRule="exact"/>
        <w:ind w:firstLine="420"/>
        <w:rPr>
          <w:rFonts w:ascii="宋体" w:hAnsi="宋体" w:cs="宋体"/>
          <w:b/>
          <w:color w:val="auto"/>
          <w:szCs w:val="21"/>
          <w:highlight w:val="none"/>
        </w:rPr>
      </w:pPr>
      <w:r>
        <w:rPr>
          <w:rFonts w:hint="eastAsia" w:ascii="宋体" w:hAnsi="宋体" w:cs="宋体"/>
          <w:color w:val="auto"/>
          <w:szCs w:val="21"/>
          <w:highlight w:val="none"/>
        </w:rPr>
        <w:t>16.2 响应文件装订要求：供应商应按供应商须知第11.1款“响应文件组成”规定的顺序自编目录及页码。响应文件的“正本”、“副本”应当单独装订成册并标注页码，装订应牢固，不易拆散和换页。封面应注明“正本”、“副本”字样，封面上写明项目名称、项目编号、采购代理机构、供应商单位名称。</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16.3 响应文件的正本需打印或用不褪色的墨水填写，响应文件正本除本磋商文件中规定的可提供复印件外均须提供原件。</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16.4 响应文件须由供应商在规定位置加盖供应商公章（扫描公章无效，自然人除外）并由法定代表人、负责人、自然人或相应的授权委托代理人签字，供应商应写全称，响应文件副本可以是加盖公章（自然人除外）的正本的复印件，当正本与副本不一致时，以正本为准。</w:t>
      </w:r>
    </w:p>
    <w:p>
      <w:pPr>
        <w:spacing w:before="0" w:after="0" w:line="400" w:lineRule="exact"/>
        <w:ind w:left="315" w:leftChars="150" w:firstLine="105" w:firstLineChars="50"/>
        <w:rPr>
          <w:rFonts w:ascii="宋体" w:hAnsi="宋体" w:cs="宋体"/>
          <w:color w:val="auto"/>
          <w:szCs w:val="21"/>
          <w:highlight w:val="none"/>
        </w:rPr>
      </w:pPr>
      <w:r>
        <w:rPr>
          <w:rFonts w:hint="eastAsia" w:ascii="宋体" w:hAnsi="宋体" w:cs="宋体"/>
          <w:color w:val="auto"/>
          <w:szCs w:val="21"/>
          <w:highlight w:val="none"/>
        </w:rPr>
        <w:t>16.5 响应文件不得涂改，若有修改错漏处，须加盖供应商公章（自然人除外）及法定代表人、负责人、</w:t>
      </w:r>
    </w:p>
    <w:p>
      <w:pPr>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自然人或相应的授权委托代理人签字。响应文件因字迹潦草或表达不清所引起的后果由供应商负责。</w:t>
      </w:r>
    </w:p>
    <w:p>
      <w:pPr>
        <w:snapToGrid w:val="0"/>
        <w:spacing w:before="0" w:after="0" w:line="400" w:lineRule="exact"/>
        <w:ind w:firstLine="420"/>
        <w:jc w:val="left"/>
        <w:rPr>
          <w:rFonts w:ascii="宋体" w:hAnsi="宋体" w:cs="宋体"/>
          <w:color w:val="auto"/>
          <w:szCs w:val="21"/>
          <w:highlight w:val="none"/>
        </w:rPr>
      </w:pPr>
      <w:r>
        <w:rPr>
          <w:rFonts w:hint="eastAsia" w:ascii="宋体" w:hAnsi="宋体" w:cs="宋体"/>
          <w:color w:val="auto"/>
          <w:szCs w:val="21"/>
          <w:highlight w:val="none"/>
        </w:rPr>
        <w:t>16.6 响应文件包装、密封、标记：</w:t>
      </w:r>
    </w:p>
    <w:p>
      <w:pPr>
        <w:snapToGrid w:val="0"/>
        <w:spacing w:before="0" w:after="0" w:line="400" w:lineRule="exact"/>
        <w:ind w:firstLine="420"/>
        <w:jc w:val="left"/>
        <w:rPr>
          <w:rFonts w:ascii="宋体" w:hAnsi="宋体" w:cs="宋体"/>
          <w:color w:val="auto"/>
          <w:szCs w:val="21"/>
          <w:highlight w:val="none"/>
        </w:rPr>
      </w:pPr>
      <w:r>
        <w:rPr>
          <w:rFonts w:hint="eastAsia" w:ascii="宋体" w:hAnsi="宋体" w:cs="宋体"/>
          <w:color w:val="auto"/>
          <w:szCs w:val="21"/>
          <w:highlight w:val="none"/>
        </w:rPr>
        <w:t>16.6.1 响应文件包装、密封：供应商须将响应文件“正本”、“副本”及响应文件电子版U盘或光盘一并装入一个响应文件袋（盒、箱）中密封，并在密封处密封签章【公章、密封章、法定代表人、负责人、自然人或相应的授权委托代理人签字均可】。</w:t>
      </w:r>
    </w:p>
    <w:p>
      <w:pPr>
        <w:snapToGrid w:val="0"/>
        <w:spacing w:before="0" w:after="0" w:line="400" w:lineRule="exact"/>
        <w:ind w:firstLine="420"/>
        <w:jc w:val="left"/>
        <w:rPr>
          <w:rFonts w:ascii="宋体" w:hAnsi="宋体" w:cs="宋体"/>
          <w:color w:val="auto"/>
          <w:szCs w:val="21"/>
          <w:highlight w:val="none"/>
        </w:rPr>
      </w:pPr>
      <w:r>
        <w:rPr>
          <w:rFonts w:hint="eastAsia" w:ascii="宋体" w:hAnsi="宋体" w:cs="宋体"/>
          <w:color w:val="auto"/>
          <w:szCs w:val="21"/>
          <w:highlight w:val="none"/>
        </w:rPr>
        <w:t>16.6.2 响应文件袋（盒、箱）标记：</w:t>
      </w:r>
    </w:p>
    <w:p>
      <w:pPr>
        <w:snapToGrid w:val="0"/>
        <w:spacing w:before="0" w:after="0" w:line="400" w:lineRule="exact"/>
        <w:ind w:firstLine="0" w:firstLineChars="0"/>
        <w:jc w:val="left"/>
        <w:rPr>
          <w:rFonts w:ascii="宋体" w:hAnsi="宋体" w:cs="宋体"/>
          <w:color w:val="auto"/>
          <w:szCs w:val="21"/>
          <w:highlight w:val="none"/>
        </w:rPr>
      </w:pPr>
      <w:r>
        <w:rPr>
          <w:rFonts w:hint="eastAsia" w:ascii="宋体" w:hAnsi="宋体" w:cs="宋体"/>
          <w:color w:val="auto"/>
          <w:szCs w:val="21"/>
          <w:highlight w:val="none"/>
        </w:rPr>
        <w:t xml:space="preserve">           项目名称：</w:t>
      </w:r>
    </w:p>
    <w:p>
      <w:pPr>
        <w:snapToGrid w:val="0"/>
        <w:spacing w:before="0" w:after="0" w:line="400" w:lineRule="exact"/>
        <w:ind w:firstLine="0" w:firstLineChars="0"/>
        <w:jc w:val="left"/>
        <w:rPr>
          <w:rFonts w:ascii="宋体" w:hAnsi="宋体" w:cs="宋体"/>
          <w:color w:val="auto"/>
          <w:szCs w:val="21"/>
          <w:highlight w:val="none"/>
        </w:rPr>
      </w:pPr>
      <w:r>
        <w:rPr>
          <w:rFonts w:hint="eastAsia" w:ascii="宋体" w:hAnsi="宋体" w:cs="宋体"/>
          <w:color w:val="auto"/>
          <w:szCs w:val="21"/>
          <w:highlight w:val="none"/>
        </w:rPr>
        <w:t xml:space="preserve">           项目编号：</w:t>
      </w:r>
    </w:p>
    <w:p>
      <w:pPr>
        <w:snapToGrid w:val="0"/>
        <w:spacing w:before="0" w:after="0" w:line="400" w:lineRule="exact"/>
        <w:ind w:firstLine="0" w:firstLineChars="0"/>
        <w:jc w:val="left"/>
        <w:rPr>
          <w:rFonts w:ascii="宋体" w:hAnsi="宋体" w:cs="宋体"/>
          <w:color w:val="auto"/>
          <w:szCs w:val="21"/>
          <w:highlight w:val="none"/>
        </w:rPr>
      </w:pPr>
      <w:r>
        <w:rPr>
          <w:rFonts w:hint="eastAsia" w:ascii="宋体" w:hAnsi="宋体" w:cs="宋体"/>
          <w:color w:val="auto"/>
          <w:szCs w:val="21"/>
          <w:highlight w:val="none"/>
        </w:rPr>
        <w:t xml:space="preserve">           采购代理机构：</w:t>
      </w:r>
    </w:p>
    <w:p>
      <w:pPr>
        <w:snapToGrid w:val="0"/>
        <w:spacing w:before="0" w:after="0" w:line="400" w:lineRule="exact"/>
        <w:ind w:firstLine="0" w:firstLineChars="0"/>
        <w:jc w:val="left"/>
        <w:rPr>
          <w:rFonts w:ascii="宋体" w:hAnsi="宋体" w:cs="宋体"/>
          <w:color w:val="auto"/>
          <w:szCs w:val="21"/>
          <w:highlight w:val="none"/>
        </w:rPr>
      </w:pPr>
      <w:r>
        <w:rPr>
          <w:rFonts w:hint="eastAsia" w:ascii="宋体" w:hAnsi="宋体" w:cs="宋体"/>
          <w:color w:val="auto"/>
          <w:szCs w:val="21"/>
          <w:highlight w:val="none"/>
        </w:rPr>
        <w:t xml:space="preserve">           供应商单位名称：</w:t>
      </w:r>
    </w:p>
    <w:p>
      <w:pPr>
        <w:snapToGrid w:val="0"/>
        <w:spacing w:before="0" w:after="0" w:line="400" w:lineRule="exact"/>
        <w:ind w:firstLine="1155" w:firstLineChars="550"/>
        <w:jc w:val="left"/>
        <w:rPr>
          <w:rFonts w:ascii="宋体" w:hAnsi="宋体" w:cs="宋体"/>
          <w:color w:val="auto"/>
          <w:szCs w:val="21"/>
          <w:highlight w:val="none"/>
        </w:rPr>
      </w:pPr>
      <w:r>
        <w:rPr>
          <w:rFonts w:hint="eastAsia" w:ascii="宋体" w:hAnsi="宋体" w:cs="宋体"/>
          <w:color w:val="auto"/>
          <w:szCs w:val="21"/>
          <w:highlight w:val="none"/>
        </w:rPr>
        <w:t>在</w:t>
      </w:r>
      <w:r>
        <w:rPr>
          <w:rFonts w:ascii="宋体" w:hAnsi="宋体" w:cs="宋体"/>
          <w:color w:val="auto"/>
          <w:szCs w:val="21"/>
          <w:highlight w:val="none"/>
        </w:rPr>
        <w:t xml:space="preserve">   </w:t>
      </w:r>
      <w:r>
        <w:rPr>
          <w:rFonts w:hint="eastAsia" w:ascii="宋体" w:hAnsi="宋体" w:cs="宋体"/>
          <w:color w:val="auto"/>
          <w:szCs w:val="21"/>
          <w:highlight w:val="none"/>
        </w:rPr>
        <w:t>年 月   日   时 分前不得开启(此处供应商填写响应文件递交截止时间)</w:t>
      </w:r>
    </w:p>
    <w:p>
      <w:pPr>
        <w:snapToGrid w:val="0"/>
        <w:spacing w:before="0" w:after="0" w:line="400" w:lineRule="exact"/>
        <w:ind w:firstLine="420"/>
        <w:jc w:val="left"/>
        <w:rPr>
          <w:rFonts w:ascii="宋体" w:hAnsi="宋体" w:cs="宋体"/>
          <w:color w:val="auto"/>
          <w:szCs w:val="21"/>
          <w:highlight w:val="none"/>
        </w:rPr>
      </w:pPr>
      <w:r>
        <w:rPr>
          <w:rFonts w:hint="eastAsia" w:ascii="宋体" w:hAnsi="宋体" w:cs="宋体"/>
          <w:color w:val="auto"/>
          <w:szCs w:val="21"/>
          <w:highlight w:val="none"/>
        </w:rPr>
        <w:t>16.7 供应商公章：本竞争性磋商文件中描述供应商的“公章”是指根据我国对公章的管理规定，用供应商法定主体行为名称制作的印章，除本文件有特殊规定外，供应商的财务章、部门章、分公司章、工会章、合同章、磋商专用章、业务专用章及银行的转账章、现金收讫章、现金付讫章等其它形式印章均不能代替公章。</w:t>
      </w:r>
    </w:p>
    <w:p>
      <w:pPr>
        <w:tabs>
          <w:tab w:val="left" w:pos="1305"/>
        </w:tabs>
        <w:spacing w:before="0" w:after="0" w:line="400" w:lineRule="exact"/>
        <w:ind w:firstLine="422"/>
        <w:rPr>
          <w:rFonts w:ascii="宋体" w:hAnsi="宋体" w:cs="宋体"/>
          <w:b/>
          <w:color w:val="auto"/>
          <w:szCs w:val="21"/>
          <w:highlight w:val="none"/>
        </w:rPr>
      </w:pPr>
      <w:r>
        <w:rPr>
          <w:rFonts w:hint="eastAsia" w:ascii="宋体" w:hAnsi="宋体" w:cs="宋体"/>
          <w:b/>
          <w:color w:val="auto"/>
          <w:szCs w:val="21"/>
          <w:highlight w:val="none"/>
        </w:rPr>
        <w:t>17. 响应文件的修改和撤回</w:t>
      </w:r>
    </w:p>
    <w:p>
      <w:pPr>
        <w:spacing w:before="0" w:after="0" w:line="400" w:lineRule="exact"/>
        <w:ind w:firstLine="435" w:firstLineChars="0"/>
        <w:rPr>
          <w:rFonts w:ascii="宋体" w:hAnsi="宋体" w:cs="宋体"/>
          <w:color w:val="auto"/>
          <w:szCs w:val="21"/>
          <w:highlight w:val="none"/>
        </w:rPr>
      </w:pPr>
      <w:r>
        <w:rPr>
          <w:rFonts w:hint="eastAsia" w:ascii="宋体" w:hAnsi="宋体" w:cs="宋体"/>
          <w:color w:val="auto"/>
          <w:szCs w:val="21"/>
          <w:highlight w:val="none"/>
        </w:rPr>
        <w:t>17.1 供应商在响应文件递交截止时间之前，可以对已递交的响应文件进行修改或撤回，并书面通知采购代理机构。</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17.2 在响应文件递交截止时间后的响应文件有效期内，供应商不得撤回其响应文件。</w:t>
      </w:r>
    </w:p>
    <w:p>
      <w:pPr>
        <w:tabs>
          <w:tab w:val="left" w:pos="1305"/>
        </w:tabs>
        <w:spacing w:before="0" w:after="0" w:line="400" w:lineRule="exact"/>
        <w:ind w:firstLine="422"/>
        <w:rPr>
          <w:rFonts w:ascii="宋体" w:hAnsi="宋体" w:cs="宋体"/>
          <w:b/>
          <w:color w:val="auto"/>
          <w:szCs w:val="21"/>
          <w:highlight w:val="none"/>
        </w:rPr>
      </w:pPr>
      <w:r>
        <w:rPr>
          <w:rFonts w:hint="eastAsia" w:ascii="宋体" w:hAnsi="宋体" w:cs="宋体"/>
          <w:b/>
          <w:color w:val="auto"/>
          <w:szCs w:val="21"/>
          <w:highlight w:val="none"/>
        </w:rPr>
        <w:t>18. 响应文件的递交</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18.1响应文件递交起止时间</w:t>
      </w:r>
    </w:p>
    <w:p>
      <w:pPr>
        <w:tabs>
          <w:tab w:val="left" w:pos="1305"/>
        </w:tabs>
        <w:spacing w:before="0" w:after="0" w:line="400" w:lineRule="exact"/>
        <w:ind w:firstLine="422"/>
        <w:rPr>
          <w:rFonts w:ascii="宋体" w:hAnsi="宋体" w:cs="宋体"/>
          <w:color w:val="auto"/>
          <w:szCs w:val="21"/>
          <w:highlight w:val="none"/>
        </w:rPr>
      </w:pPr>
      <w:r>
        <w:rPr>
          <w:rFonts w:hint="eastAsia" w:ascii="宋体" w:hAnsi="宋体" w:cs="宋体"/>
          <w:b/>
          <w:color w:val="auto"/>
          <w:szCs w:val="21"/>
          <w:highlight w:val="none"/>
        </w:rPr>
        <w:t>响应文件递交起止时间</w:t>
      </w:r>
      <w:r>
        <w:rPr>
          <w:rFonts w:hint="eastAsia" w:ascii="宋体" w:hAnsi="宋体" w:cs="宋体"/>
          <w:color w:val="auto"/>
          <w:szCs w:val="21"/>
          <w:highlight w:val="none"/>
        </w:rPr>
        <w:t>：2020年</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24</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时至</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分，供应商应按竞争性磋商文件规定的响应文件递交截止时间前递交响应文件。</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18.2 响应文件递交地点：</w:t>
      </w:r>
      <w:r>
        <w:rPr>
          <w:rFonts w:hint="eastAsia" w:ascii="宋体" w:hAnsi="宋体" w:cs="宋体"/>
          <w:color w:val="auto"/>
          <w:highlight w:val="none"/>
        </w:rPr>
        <w:t xml:space="preserve"> </w:t>
      </w:r>
      <w:r>
        <w:rPr>
          <w:rFonts w:hint="eastAsia" w:ascii="宋体" w:hAnsi="宋体" w:cs="宋体"/>
          <w:color w:val="auto"/>
          <w:szCs w:val="21"/>
          <w:highlight w:val="none"/>
        </w:rPr>
        <w:t>桂林市公共资源交易中心（临桂新区西城中路69号西辅楼四楼）</w:t>
      </w:r>
      <w:r>
        <w:rPr>
          <w:rFonts w:hint="eastAsia" w:ascii="宋体" w:hAnsi="宋体" w:cs="宋体"/>
          <w:color w:val="auto"/>
          <w:szCs w:val="21"/>
          <w:highlight w:val="none"/>
          <w:lang w:val="en-US" w:eastAsia="zh-CN"/>
        </w:rPr>
        <w:t>1号开标室</w:t>
      </w:r>
      <w:r>
        <w:rPr>
          <w:rFonts w:hint="eastAsia" w:ascii="宋体" w:hAnsi="宋体" w:cs="宋体"/>
          <w:color w:val="auto"/>
          <w:szCs w:val="21"/>
          <w:highlight w:val="none"/>
        </w:rPr>
        <w:t>。</w:t>
      </w:r>
      <w:r>
        <w:rPr>
          <w:rFonts w:hint="eastAsia" w:ascii="宋体" w:hAnsi="宋体" w:cs="宋体"/>
          <w:color w:val="auto"/>
          <w:highlight w:val="none"/>
        </w:rPr>
        <w:t xml:space="preserve"> </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18.3 除竞争性磋商文件另有规定外，供应商所递交的响应文件不予退还。</w:t>
      </w:r>
    </w:p>
    <w:p>
      <w:pPr>
        <w:tabs>
          <w:tab w:val="left" w:pos="1305"/>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18.4 逾期送达的或者未送达指定地点的响应文件，采购代理机构不予受理。</w:t>
      </w:r>
    </w:p>
    <w:p>
      <w:pPr>
        <w:tabs>
          <w:tab w:val="left" w:pos="1305"/>
        </w:tabs>
        <w:spacing w:before="0" w:after="0" w:line="400" w:lineRule="exact"/>
        <w:ind w:firstLine="562"/>
        <w:jc w:val="center"/>
        <w:rPr>
          <w:rFonts w:ascii="宋体" w:hAnsi="宋体" w:cs="宋体"/>
          <w:b/>
          <w:color w:val="auto"/>
          <w:sz w:val="28"/>
          <w:szCs w:val="28"/>
          <w:highlight w:val="none"/>
        </w:rPr>
      </w:pPr>
    </w:p>
    <w:p>
      <w:pPr>
        <w:tabs>
          <w:tab w:val="left" w:pos="1305"/>
        </w:tabs>
        <w:spacing w:before="0" w:after="0" w:line="400" w:lineRule="exact"/>
        <w:ind w:firstLine="562"/>
        <w:jc w:val="center"/>
        <w:rPr>
          <w:rFonts w:ascii="宋体" w:hAnsi="宋体" w:cs="宋体"/>
          <w:b/>
          <w:color w:val="auto"/>
          <w:sz w:val="28"/>
          <w:szCs w:val="28"/>
          <w:highlight w:val="none"/>
        </w:rPr>
      </w:pPr>
      <w:r>
        <w:rPr>
          <w:rFonts w:hint="eastAsia" w:ascii="宋体" w:hAnsi="宋体" w:cs="宋体"/>
          <w:b/>
          <w:color w:val="auto"/>
          <w:sz w:val="28"/>
          <w:szCs w:val="28"/>
          <w:highlight w:val="none"/>
        </w:rPr>
        <w:t>四、竞争性磋商（简称磋商）与评审</w:t>
      </w:r>
    </w:p>
    <w:p>
      <w:pPr>
        <w:tabs>
          <w:tab w:val="center" w:pos="4411"/>
          <w:tab w:val="left" w:pos="5475"/>
        </w:tabs>
        <w:spacing w:before="0" w:after="0" w:line="400" w:lineRule="exact"/>
        <w:ind w:firstLine="422"/>
        <w:jc w:val="left"/>
        <w:rPr>
          <w:rFonts w:ascii="宋体" w:hAnsi="宋体" w:cs="宋体"/>
          <w:b/>
          <w:color w:val="auto"/>
          <w:szCs w:val="21"/>
          <w:highlight w:val="none"/>
        </w:rPr>
      </w:pPr>
      <w:r>
        <w:rPr>
          <w:rFonts w:hint="eastAsia" w:ascii="宋体" w:hAnsi="宋体" w:cs="宋体"/>
          <w:b/>
          <w:color w:val="auto"/>
          <w:szCs w:val="21"/>
          <w:highlight w:val="none"/>
        </w:rPr>
        <w:t>19. 磋商小组组成及磋商时间、地点、人员</w:t>
      </w:r>
    </w:p>
    <w:p>
      <w:pPr>
        <w:spacing w:before="0" w:after="0" w:line="400" w:lineRule="exact"/>
        <w:ind w:firstLine="435" w:firstLineChars="0"/>
        <w:rPr>
          <w:rFonts w:ascii="宋体" w:hAnsi="宋体" w:cs="宋体"/>
          <w:b/>
          <w:color w:val="auto"/>
          <w:szCs w:val="21"/>
          <w:highlight w:val="none"/>
        </w:rPr>
      </w:pPr>
      <w:r>
        <w:rPr>
          <w:rFonts w:hint="eastAsia" w:ascii="宋体" w:hAnsi="宋体" w:cs="宋体"/>
          <w:b/>
          <w:color w:val="auto"/>
          <w:szCs w:val="21"/>
          <w:highlight w:val="none"/>
        </w:rPr>
        <w:t>19.1 磋商小组组成：</w:t>
      </w:r>
    </w:p>
    <w:p>
      <w:pPr>
        <w:spacing w:before="0" w:after="0" w:line="400" w:lineRule="exact"/>
        <w:ind w:firstLine="435" w:firstLineChars="0"/>
        <w:rPr>
          <w:rFonts w:ascii="宋体" w:hAnsi="宋体" w:cs="宋体"/>
          <w:color w:val="auto"/>
          <w:szCs w:val="21"/>
          <w:highlight w:val="none"/>
        </w:rPr>
      </w:pPr>
      <w:r>
        <w:rPr>
          <w:rFonts w:hint="eastAsia" w:ascii="宋体" w:hAnsi="宋体" w:cs="宋体"/>
          <w:color w:val="auto"/>
          <w:szCs w:val="21"/>
          <w:highlight w:val="none"/>
        </w:rPr>
        <w:t>磋商及评审工作由采购代理机构负责组织，具体磋商、评审工作由依法组建的磋商小组负责，磋商小组由采购人代表和有关方面的专家组成。磋商小组的构成：3人，其中采购人代表1人， 专家2人。专家确定方式：随机抽取。</w:t>
      </w:r>
    </w:p>
    <w:p>
      <w:pPr>
        <w:tabs>
          <w:tab w:val="left" w:pos="1140"/>
        </w:tabs>
        <w:spacing w:before="0" w:after="0" w:line="400" w:lineRule="exact"/>
        <w:ind w:left="420" w:leftChars="172" w:hanging="59" w:hangingChars="28"/>
        <w:rPr>
          <w:rFonts w:ascii="宋体" w:hAnsi="宋体" w:cs="宋体"/>
          <w:b/>
          <w:color w:val="auto"/>
          <w:szCs w:val="21"/>
          <w:highlight w:val="none"/>
        </w:rPr>
      </w:pPr>
      <w:r>
        <w:rPr>
          <w:rFonts w:hint="eastAsia" w:ascii="宋体" w:hAnsi="宋体" w:cs="宋体"/>
          <w:b/>
          <w:color w:val="auto"/>
          <w:szCs w:val="21"/>
          <w:highlight w:val="none"/>
        </w:rPr>
        <w:t>19.2 磋商时间、地点、人员：</w:t>
      </w:r>
    </w:p>
    <w:p>
      <w:pPr>
        <w:spacing w:before="0" w:after="0" w:line="400" w:lineRule="exact"/>
        <w:ind w:left="315" w:leftChars="150" w:firstLine="105" w:firstLineChars="50"/>
        <w:rPr>
          <w:rFonts w:ascii="宋体" w:hAnsi="宋体" w:cs="宋体"/>
          <w:color w:val="auto"/>
          <w:szCs w:val="21"/>
          <w:highlight w:val="none"/>
        </w:rPr>
      </w:pPr>
      <w:r>
        <w:rPr>
          <w:rFonts w:hint="eastAsia" w:ascii="宋体" w:hAnsi="宋体" w:cs="宋体"/>
          <w:color w:val="auto"/>
          <w:szCs w:val="21"/>
          <w:highlight w:val="none"/>
        </w:rPr>
        <w:t>19.2.1 磋商时间：</w:t>
      </w:r>
      <w:r>
        <w:rPr>
          <w:rFonts w:hint="eastAsia" w:ascii="宋体" w:hAnsi="宋体" w:cs="宋体"/>
          <w:color w:val="auto"/>
          <w:position w:val="-2"/>
          <w:szCs w:val="21"/>
          <w:highlight w:val="none"/>
        </w:rPr>
        <w:t>响应文件递交</w:t>
      </w:r>
      <w:r>
        <w:rPr>
          <w:rFonts w:hint="eastAsia" w:ascii="宋体" w:hAnsi="宋体" w:cs="宋体"/>
          <w:color w:val="auto"/>
          <w:szCs w:val="21"/>
          <w:highlight w:val="none"/>
        </w:rPr>
        <w:t>截止时间后。</w:t>
      </w:r>
    </w:p>
    <w:p>
      <w:pPr>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19.2.2 磋商地点：桂林市公共资源交易中心（临桂新区西城中路69号西辅楼四楼）</w:t>
      </w:r>
      <w:r>
        <w:rPr>
          <w:rFonts w:hint="eastAsia" w:ascii="宋体" w:hAnsi="宋体" w:cs="宋体"/>
          <w:color w:val="auto"/>
          <w:highlight w:val="none"/>
        </w:rPr>
        <w:t xml:space="preserve"> </w:t>
      </w:r>
    </w:p>
    <w:p>
      <w:pPr>
        <w:tabs>
          <w:tab w:val="left" w:pos="1140"/>
        </w:tabs>
        <w:spacing w:before="0" w:after="0" w:line="400" w:lineRule="exact"/>
        <w:ind w:left="420" w:leftChars="200" w:firstLine="0" w:firstLineChars="0"/>
        <w:rPr>
          <w:rFonts w:ascii="宋体" w:hAnsi="宋体" w:cs="宋体"/>
          <w:color w:val="auto"/>
          <w:szCs w:val="21"/>
          <w:highlight w:val="none"/>
        </w:rPr>
      </w:pPr>
      <w:r>
        <w:rPr>
          <w:rFonts w:hint="eastAsia" w:ascii="宋体" w:hAnsi="宋体" w:cs="宋体"/>
          <w:color w:val="auto"/>
          <w:szCs w:val="21"/>
          <w:highlight w:val="none"/>
        </w:rPr>
        <w:t>19.2.3 磋商参加人员：供应商法定代表人、负责人、自然人或相应的委托代理人持有效身份证原件参加</w:t>
      </w:r>
    </w:p>
    <w:p>
      <w:pPr>
        <w:tabs>
          <w:tab w:val="left" w:pos="1140"/>
        </w:tabs>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磋商。请供应商按时到达指定地点等候当面磋商。</w:t>
      </w:r>
    </w:p>
    <w:p>
      <w:pPr>
        <w:tabs>
          <w:tab w:val="left" w:pos="1140"/>
        </w:tabs>
        <w:spacing w:before="0" w:after="0" w:line="400" w:lineRule="exact"/>
        <w:ind w:left="420" w:leftChars="200" w:firstLine="0" w:firstLineChars="0"/>
        <w:rPr>
          <w:rFonts w:ascii="宋体" w:hAnsi="宋体" w:cs="宋体"/>
          <w:color w:val="auto"/>
          <w:szCs w:val="21"/>
          <w:highlight w:val="none"/>
        </w:rPr>
      </w:pPr>
      <w:r>
        <w:rPr>
          <w:rFonts w:hint="eastAsia" w:ascii="宋体" w:hAnsi="宋体" w:cs="宋体"/>
          <w:color w:val="auto"/>
          <w:position w:val="-2"/>
          <w:szCs w:val="21"/>
          <w:highlight w:val="none"/>
        </w:rPr>
        <w:t>19.2.4 响应文件递交</w:t>
      </w:r>
      <w:r>
        <w:rPr>
          <w:rFonts w:hint="eastAsia" w:ascii="宋体" w:hAnsi="宋体" w:cs="宋体"/>
          <w:color w:val="auto"/>
          <w:szCs w:val="21"/>
          <w:highlight w:val="none"/>
        </w:rPr>
        <w:t xml:space="preserve">截止时间后，由磋商小组在评标室内开启响应文件。  </w:t>
      </w:r>
    </w:p>
    <w:p>
      <w:pPr>
        <w:tabs>
          <w:tab w:val="left" w:pos="1140"/>
        </w:tabs>
        <w:spacing w:before="0" w:after="0" w:line="400" w:lineRule="exact"/>
        <w:ind w:left="420" w:leftChars="172" w:hanging="59" w:hangingChars="28"/>
        <w:rPr>
          <w:rFonts w:ascii="宋体" w:hAnsi="宋体" w:cs="宋体"/>
          <w:b/>
          <w:color w:val="auto"/>
          <w:szCs w:val="21"/>
          <w:highlight w:val="none"/>
        </w:rPr>
      </w:pPr>
      <w:r>
        <w:rPr>
          <w:rFonts w:hint="eastAsia" w:ascii="宋体" w:hAnsi="宋体" w:cs="宋体"/>
          <w:b/>
          <w:color w:val="auto"/>
          <w:szCs w:val="21"/>
          <w:highlight w:val="none"/>
        </w:rPr>
        <w:t>20. 评审原则和评审办法</w:t>
      </w:r>
    </w:p>
    <w:p>
      <w:pPr>
        <w:tabs>
          <w:tab w:val="left" w:pos="1140"/>
        </w:tabs>
        <w:spacing w:before="0" w:after="0" w:line="400" w:lineRule="exact"/>
        <w:ind w:firstLine="359" w:firstLineChars="171"/>
        <w:rPr>
          <w:rFonts w:ascii="宋体" w:hAnsi="宋体" w:cs="宋体"/>
          <w:color w:val="auto"/>
          <w:szCs w:val="21"/>
          <w:highlight w:val="none"/>
        </w:rPr>
      </w:pPr>
      <w:r>
        <w:rPr>
          <w:rFonts w:hint="eastAsia" w:ascii="宋体" w:hAnsi="宋体" w:cs="宋体"/>
          <w:color w:val="auto"/>
          <w:szCs w:val="20"/>
          <w:highlight w:val="none"/>
        </w:rPr>
        <w:t xml:space="preserve">20.1 </w:t>
      </w:r>
      <w:r>
        <w:rPr>
          <w:rFonts w:hint="eastAsia" w:ascii="宋体" w:hAnsi="宋体" w:cs="宋体"/>
          <w:color w:val="auto"/>
          <w:szCs w:val="21"/>
          <w:highlight w:val="none"/>
        </w:rPr>
        <w:t>磋商小组必须坚持公平、公正、科学和择优的原则。</w:t>
      </w:r>
    </w:p>
    <w:p>
      <w:pPr>
        <w:tabs>
          <w:tab w:val="left" w:pos="1140"/>
        </w:tabs>
        <w:spacing w:before="0" w:after="0" w:line="400" w:lineRule="exact"/>
        <w:ind w:firstLine="359" w:firstLineChars="171"/>
        <w:rPr>
          <w:rFonts w:ascii="宋体" w:hAnsi="宋体" w:cs="宋体"/>
          <w:color w:val="auto"/>
          <w:szCs w:val="21"/>
          <w:highlight w:val="none"/>
        </w:rPr>
      </w:pPr>
      <w:r>
        <w:rPr>
          <w:rFonts w:hint="eastAsia" w:ascii="宋体" w:hAnsi="宋体" w:cs="宋体"/>
          <w:color w:val="auto"/>
          <w:szCs w:val="20"/>
          <w:highlight w:val="none"/>
        </w:rPr>
        <w:t xml:space="preserve">20.2 </w:t>
      </w:r>
      <w:r>
        <w:rPr>
          <w:rFonts w:hint="eastAsia" w:ascii="宋体" w:hAnsi="宋体" w:cs="宋体"/>
          <w:color w:val="auto"/>
          <w:szCs w:val="21"/>
          <w:highlight w:val="none"/>
        </w:rPr>
        <w:t>评审办法：具体详见第四章评审办法。</w:t>
      </w:r>
    </w:p>
    <w:p>
      <w:pPr>
        <w:spacing w:before="0" w:after="0" w:line="400" w:lineRule="exact"/>
        <w:ind w:firstLine="359" w:firstLineChars="171"/>
        <w:rPr>
          <w:rFonts w:ascii="宋体" w:hAnsi="宋体" w:cs="宋体"/>
          <w:color w:val="auto"/>
          <w:szCs w:val="21"/>
          <w:highlight w:val="none"/>
        </w:rPr>
      </w:pPr>
      <w:r>
        <w:rPr>
          <w:rFonts w:hint="eastAsia" w:ascii="宋体" w:hAnsi="宋体" w:cs="宋体"/>
          <w:color w:val="auto"/>
          <w:szCs w:val="21"/>
          <w:highlight w:val="none"/>
        </w:rPr>
        <w:t>20.3 磋商小组应按磋商文件进行评审，不得擅自更改评审办法。</w:t>
      </w:r>
    </w:p>
    <w:p>
      <w:pPr>
        <w:spacing w:before="0" w:after="0" w:line="400" w:lineRule="exact"/>
        <w:ind w:firstLine="359" w:firstLineChars="171"/>
        <w:rPr>
          <w:rFonts w:ascii="宋体" w:hAnsi="宋体" w:cs="宋体"/>
          <w:color w:val="auto"/>
          <w:szCs w:val="21"/>
          <w:highlight w:val="none"/>
        </w:rPr>
      </w:pPr>
      <w:r>
        <w:rPr>
          <w:rFonts w:hint="eastAsia" w:ascii="宋体" w:hAnsi="宋体" w:cs="宋体"/>
          <w:color w:val="auto"/>
          <w:szCs w:val="21"/>
          <w:highlight w:val="none"/>
        </w:rPr>
        <w:t>20.4 在评审过程中，磋商小组任何人不得对某个供应商发表任何倾向性意见，不得向其他磋商小组成员明示或者暗示自己的评审意见。</w:t>
      </w:r>
    </w:p>
    <w:p>
      <w:pPr>
        <w:tabs>
          <w:tab w:val="left" w:pos="1140"/>
        </w:tabs>
        <w:spacing w:before="0" w:after="0" w:line="400" w:lineRule="exact"/>
        <w:ind w:firstLine="359" w:firstLineChars="171"/>
        <w:rPr>
          <w:rFonts w:ascii="宋体" w:hAnsi="宋体" w:cs="宋体"/>
          <w:color w:val="auto"/>
          <w:szCs w:val="21"/>
          <w:highlight w:val="none"/>
        </w:rPr>
      </w:pPr>
      <w:r>
        <w:rPr>
          <w:rFonts w:hint="eastAsia" w:ascii="宋体" w:hAnsi="宋体" w:cs="宋体"/>
          <w:color w:val="auto"/>
          <w:szCs w:val="21"/>
          <w:highlight w:val="none"/>
        </w:rPr>
        <w:t>20.5 磋商小组成员对需要共同认定的事项存在争议的，按照少数服从多数的原则作出结论。持不　　　　　　　　　　　　　　　　　　　　　　　　　　　　　　　　　　　　　　　　　　　　　　　　　　　　　　　　　　　　　　　　　　　　　　同意见的磋商小组成员应当在评审报告上签署不同意见并说明理由，否则视为同意。</w:t>
      </w:r>
    </w:p>
    <w:p>
      <w:pPr>
        <w:tabs>
          <w:tab w:val="left" w:pos="1140"/>
        </w:tabs>
        <w:spacing w:before="0" w:after="0" w:line="400" w:lineRule="exact"/>
        <w:ind w:left="420" w:leftChars="172" w:hanging="59" w:hangingChars="28"/>
        <w:rPr>
          <w:rFonts w:ascii="宋体" w:hAnsi="宋体" w:cs="宋体"/>
          <w:b/>
          <w:color w:val="auto"/>
          <w:szCs w:val="21"/>
          <w:highlight w:val="none"/>
        </w:rPr>
      </w:pPr>
      <w:r>
        <w:rPr>
          <w:rFonts w:hint="eastAsia" w:ascii="宋体" w:hAnsi="宋体" w:cs="宋体"/>
          <w:b/>
          <w:color w:val="auto"/>
          <w:szCs w:val="21"/>
          <w:highlight w:val="none"/>
        </w:rPr>
        <w:t>21. 评审程序及磋商要求</w:t>
      </w:r>
    </w:p>
    <w:p>
      <w:pPr>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21.1 采购代理机构核实磋商小组成员身份，告知回避要求，宣布评审工作纪律和程序，统一保管通讯工具或相关电子设备，推选磋商小组组长。</w:t>
      </w:r>
    </w:p>
    <w:p>
      <w:pPr>
        <w:spacing w:before="0" w:after="0" w:line="400" w:lineRule="exact"/>
        <w:ind w:firstLine="420"/>
        <w:rPr>
          <w:rFonts w:ascii="宋体" w:hAnsi="宋体" w:cs="宋体"/>
          <w:color w:val="auto"/>
          <w:kern w:val="0"/>
          <w:szCs w:val="21"/>
          <w:highlight w:val="none"/>
        </w:rPr>
      </w:pPr>
      <w:r>
        <w:rPr>
          <w:rFonts w:hint="eastAsia" w:ascii="宋体" w:hAnsi="宋体" w:cs="宋体"/>
          <w:color w:val="auto"/>
          <w:szCs w:val="21"/>
          <w:highlight w:val="none"/>
        </w:rPr>
        <w:t>21.2 磋商小组应当对发布公告的竞争性磋商文件（简称磋商文件）进行确认，</w:t>
      </w:r>
      <w:r>
        <w:rPr>
          <w:rFonts w:hint="eastAsia" w:ascii="宋体" w:hAnsi="宋体" w:cs="宋体"/>
          <w:color w:val="auto"/>
          <w:kern w:val="0"/>
          <w:szCs w:val="21"/>
          <w:highlight w:val="none"/>
        </w:rPr>
        <w:t>审查供应商的响应文件并作出评价；要求供应商解释或者澄清其响应文件；编写评审报告；告知采购人、采购代理机构在评审过程中发现的供应商的违法违规行为。</w:t>
      </w:r>
    </w:p>
    <w:p>
      <w:pPr>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21.3</w:t>
      </w:r>
      <w:r>
        <w:rPr>
          <w:rFonts w:hint="eastAsia" w:ascii="宋体" w:hAnsi="宋体" w:cs="宋体"/>
          <w:color w:val="auto"/>
          <w:kern w:val="0"/>
          <w:szCs w:val="21"/>
          <w:highlight w:val="none"/>
        </w:rPr>
        <w:t>磋商小组</w:t>
      </w:r>
      <w:r>
        <w:rPr>
          <w:rFonts w:hint="eastAsia" w:ascii="宋体" w:hAnsi="宋体" w:cs="宋体"/>
          <w:color w:val="auto"/>
          <w:szCs w:val="21"/>
          <w:highlight w:val="none"/>
        </w:rPr>
        <w:t>依据法律法规和竞争性磋商文件的规定，首先对响应文件中的资格证明、保证金等进行资格性审查，以确定供应商是否具备本项目供应商资格；再对通过资格性审查的供应商响应文件的有效性、完整性和对磋商文件的响应程度进行符合性审查，以确定是否对磋商文件的实质性要求做出响应。</w:t>
      </w:r>
    </w:p>
    <w:p>
      <w:pPr>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在进行资格性审查时，磋商小组将进入《国家企业信用信息公示系统》对企业股东及出资等信息进行查询，对存在《中华人民共和国政府采购法实施条例》第十八条第一款情形的，其响应文件将被视为无效文件。</w:t>
      </w:r>
    </w:p>
    <w:p>
      <w:pPr>
        <w:spacing w:before="0" w:after="0" w:line="400" w:lineRule="exact"/>
        <w:ind w:firstLine="420"/>
        <w:rPr>
          <w:rFonts w:ascii="宋体" w:hAnsi="宋体" w:cs="宋体"/>
          <w:color w:val="auto"/>
          <w:kern w:val="0"/>
          <w:szCs w:val="21"/>
          <w:highlight w:val="none"/>
        </w:rPr>
      </w:pPr>
      <w:r>
        <w:rPr>
          <w:rFonts w:hint="eastAsia" w:ascii="宋体" w:hAnsi="宋体" w:cs="宋体"/>
          <w:color w:val="auto"/>
          <w:kern w:val="0"/>
          <w:szCs w:val="21"/>
          <w:highlight w:val="none"/>
        </w:rPr>
        <w:t>21.4磋商小组</w:t>
      </w:r>
      <w:r>
        <w:rPr>
          <w:rFonts w:hint="eastAsia" w:ascii="宋体" w:hAnsi="宋体" w:cs="宋体"/>
          <w:color w:val="auto"/>
          <w:szCs w:val="21"/>
          <w:highlight w:val="none"/>
        </w:rPr>
        <w:t>如发现供应商提供的证明文件不齐全或不符合规定格式的，应一次性告知供应商，供应商应在规定的时间内当场补正或更正。</w:t>
      </w:r>
    </w:p>
    <w:p>
      <w:pPr>
        <w:spacing w:before="0" w:after="0" w:line="400" w:lineRule="exact"/>
        <w:ind w:firstLine="420"/>
        <w:rPr>
          <w:rFonts w:ascii="宋体" w:hAnsi="宋体" w:cs="宋体"/>
          <w:color w:val="auto"/>
          <w:kern w:val="0"/>
          <w:szCs w:val="21"/>
          <w:highlight w:val="none"/>
        </w:rPr>
      </w:pPr>
      <w:r>
        <w:rPr>
          <w:rFonts w:hint="eastAsia" w:ascii="宋体" w:hAnsi="宋体" w:cs="宋体"/>
          <w:color w:val="auto"/>
          <w:kern w:val="0"/>
          <w:szCs w:val="21"/>
          <w:highlight w:val="none"/>
        </w:rPr>
        <w:t>21.5磋商小组在对响应文件的有效性、完整性和响应程度进行审查时，可以要求供应商对</w:t>
      </w:r>
      <w:r>
        <w:rPr>
          <w:rFonts w:hint="eastAsia" w:ascii="宋体" w:hAnsi="宋体" w:cs="宋体"/>
          <w:color w:val="auto"/>
          <w:szCs w:val="21"/>
          <w:highlight w:val="none"/>
        </w:rPr>
        <w:t>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负责人、自然人或相应的授权委托代表签字或者加盖供应商公章（自然人除外）。由授权委托代表签字的，应当附授权委托书。供应商为自然人的，应当由本人签字并附身份证明。</w:t>
      </w:r>
    </w:p>
    <w:p>
      <w:pPr>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根据磋商文件规定的程序、评审办法等事项与实质性响应竞争性磋商文件要求的供应商进行磋商。未实质性响应磋商文件的响应文件按无效处理，磋商小组应当告知有关供应商。</w:t>
      </w:r>
    </w:p>
    <w:p>
      <w:pPr>
        <w:spacing w:before="0" w:after="0" w:line="400" w:lineRule="exact"/>
        <w:ind w:firstLine="420"/>
        <w:rPr>
          <w:rFonts w:ascii="宋体" w:hAnsi="宋体" w:cs="宋体"/>
          <w:color w:val="auto"/>
          <w:szCs w:val="21"/>
          <w:highlight w:val="none"/>
        </w:rPr>
      </w:pPr>
      <w:r>
        <w:rPr>
          <w:rFonts w:hint="eastAsia" w:ascii="宋体" w:hAnsi="宋体" w:cs="宋体"/>
          <w:color w:val="auto"/>
          <w:kern w:val="0"/>
          <w:szCs w:val="21"/>
          <w:highlight w:val="none"/>
        </w:rPr>
        <w:t>磋商小组</w:t>
      </w:r>
      <w:r>
        <w:rPr>
          <w:rFonts w:hint="eastAsia" w:ascii="宋体" w:hAnsi="宋体" w:cs="宋体"/>
          <w:color w:val="auto"/>
          <w:szCs w:val="21"/>
          <w:highlight w:val="none"/>
        </w:rPr>
        <w:t>所有成员应当</w:t>
      </w:r>
      <w:r>
        <w:rPr>
          <w:rFonts w:hint="eastAsia" w:ascii="宋体" w:hAnsi="宋体" w:cs="宋体"/>
          <w:color w:val="auto"/>
          <w:kern w:val="0"/>
          <w:szCs w:val="21"/>
          <w:highlight w:val="none"/>
        </w:rPr>
        <w:t>按已确定的</w:t>
      </w:r>
      <w:r>
        <w:rPr>
          <w:rFonts w:hint="eastAsia" w:ascii="宋体" w:hAnsi="宋体" w:cs="宋体"/>
          <w:color w:val="auto"/>
          <w:szCs w:val="21"/>
          <w:highlight w:val="none"/>
        </w:rPr>
        <w:t>磋商顺序集中与单一供应商分别进行磋商，并给予所有实质性响应竞争性磋商文件要求的供应商平等的磋商机会。</w:t>
      </w:r>
    </w:p>
    <w:p>
      <w:pPr>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磋商中，磋商小组不得透露与磋商有关的其他供应商的技术资料、价格和其他信息。</w:t>
      </w:r>
    </w:p>
    <w:p>
      <w:pPr>
        <w:widowControl/>
        <w:tabs>
          <w:tab w:val="left" w:pos="540"/>
        </w:tabs>
        <w:spacing w:before="0" w:after="0" w:line="400" w:lineRule="exact"/>
        <w:ind w:firstLine="420"/>
        <w:jc w:val="left"/>
        <w:rPr>
          <w:rFonts w:ascii="宋体" w:hAnsi="宋体" w:cs="宋体"/>
          <w:color w:val="auto"/>
          <w:szCs w:val="21"/>
          <w:highlight w:val="none"/>
        </w:rPr>
      </w:pPr>
      <w:r>
        <w:rPr>
          <w:rFonts w:hint="eastAsia" w:ascii="宋体" w:hAnsi="宋体" w:cs="宋体"/>
          <w:color w:val="auto"/>
          <w:szCs w:val="21"/>
          <w:highlight w:val="none"/>
        </w:rPr>
        <w:t>采购代理机构对磋商过程和重要磋商内容进行记录，磋商双方在记录上签字确认。</w:t>
      </w:r>
    </w:p>
    <w:p>
      <w:pPr>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21.6 在磋商过程中，磋商小组可以根据磋商文件和磋商情况实质性变动项目需求中的技术、服务要求以及合同草案条款，但不得变动磋商文件中的其他内容。实质性变动的内容，须经采购人代表确认。</w:t>
      </w:r>
    </w:p>
    <w:p>
      <w:pPr>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对磋商文件作出的实质性变动是磋商文件的有效组成部分，磋商小组应当及时以书面形式同时通知所有参加磋商的供应商。</w:t>
      </w:r>
    </w:p>
    <w:p>
      <w:pPr>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供应商应当按照磋商文件的变动情况和磋商小组的要求重新提交响应文件，并由其法定代表人、负责人、自然人或相应的授权委托代表签字或者加盖供应商公章（自然人除外）。逾时不交的，视同放弃磋商。</w:t>
      </w:r>
    </w:p>
    <w:p>
      <w:pPr>
        <w:widowControl/>
        <w:spacing w:before="0" w:after="0" w:line="40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21.7在采购过程中符合竞争要求的供应商或者报价未超过采购预算的供应商不足3家的，采购人或者采购代理机构应当终止竞争性磋商采购活动。</w:t>
      </w:r>
    </w:p>
    <w:p>
      <w:pPr>
        <w:widowControl/>
        <w:spacing w:before="0" w:after="0" w:line="40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21.8最后报价</w:t>
      </w:r>
    </w:p>
    <w:p>
      <w:pPr>
        <w:spacing w:before="0" w:after="0" w:line="400" w:lineRule="exact"/>
        <w:ind w:firstLine="420"/>
        <w:rPr>
          <w:rFonts w:ascii="宋体" w:hAnsi="宋体" w:cs="宋体"/>
          <w:color w:val="auto"/>
          <w:kern w:val="0"/>
          <w:szCs w:val="21"/>
          <w:highlight w:val="none"/>
        </w:rPr>
      </w:pPr>
      <w:r>
        <w:rPr>
          <w:rFonts w:hint="eastAsia" w:ascii="宋体" w:hAnsi="宋体" w:cs="宋体"/>
          <w:color w:val="auto"/>
          <w:kern w:val="0"/>
          <w:szCs w:val="21"/>
          <w:highlight w:val="none"/>
        </w:rPr>
        <w:t>21.8.1磋商文件能够详细列明采购标的的技术、服务要求的，</w:t>
      </w:r>
      <w:r>
        <w:rPr>
          <w:rFonts w:hint="eastAsia" w:ascii="宋体" w:hAnsi="宋体" w:cs="宋体"/>
          <w:color w:val="auto"/>
          <w:szCs w:val="21"/>
          <w:highlight w:val="none"/>
        </w:rPr>
        <w:t>磋商</w:t>
      </w:r>
      <w:r>
        <w:rPr>
          <w:rFonts w:hint="eastAsia" w:ascii="宋体" w:hAnsi="宋体" w:cs="宋体"/>
          <w:color w:val="auto"/>
          <w:kern w:val="0"/>
          <w:szCs w:val="21"/>
          <w:highlight w:val="none"/>
        </w:rPr>
        <w:t>结束后，磋商小组应当要求所有继续参加</w:t>
      </w:r>
      <w:r>
        <w:rPr>
          <w:rFonts w:hint="eastAsia" w:ascii="宋体" w:hAnsi="宋体" w:cs="宋体"/>
          <w:color w:val="auto"/>
          <w:szCs w:val="21"/>
          <w:highlight w:val="none"/>
        </w:rPr>
        <w:t>磋商</w:t>
      </w:r>
      <w:r>
        <w:rPr>
          <w:rFonts w:hint="eastAsia" w:ascii="宋体" w:hAnsi="宋体" w:cs="宋体"/>
          <w:color w:val="auto"/>
          <w:kern w:val="0"/>
          <w:szCs w:val="21"/>
          <w:highlight w:val="none"/>
        </w:rPr>
        <w:t>的供应商在规定时间内密封提交最后报价，提交最后报价的供应商不得少于3家。</w:t>
      </w:r>
    </w:p>
    <w:p>
      <w:pPr>
        <w:spacing w:before="0" w:after="0" w:line="400" w:lineRule="exact"/>
        <w:ind w:firstLine="420"/>
        <w:rPr>
          <w:rFonts w:ascii="宋体" w:hAnsi="宋体" w:cs="宋体"/>
          <w:color w:val="auto"/>
          <w:kern w:val="0"/>
          <w:szCs w:val="21"/>
          <w:highlight w:val="none"/>
        </w:rPr>
      </w:pPr>
      <w:r>
        <w:rPr>
          <w:rFonts w:hint="eastAsia" w:ascii="宋体" w:hAnsi="宋体" w:cs="宋体"/>
          <w:color w:val="auto"/>
          <w:kern w:val="0"/>
          <w:szCs w:val="21"/>
          <w:highlight w:val="none"/>
        </w:rPr>
        <w:t>21.8.2磋商文件不能详细列明采购标的的技术、服务要求的，需由磋商供应商提供最终设计方案或解决方案的，</w:t>
      </w:r>
      <w:r>
        <w:rPr>
          <w:rFonts w:hint="eastAsia" w:ascii="宋体" w:hAnsi="宋体" w:cs="宋体"/>
          <w:color w:val="auto"/>
          <w:szCs w:val="21"/>
          <w:highlight w:val="none"/>
        </w:rPr>
        <w:t>磋商</w:t>
      </w:r>
      <w:r>
        <w:rPr>
          <w:rFonts w:hint="eastAsia" w:ascii="宋体" w:hAnsi="宋体" w:cs="宋体"/>
          <w:color w:val="auto"/>
          <w:kern w:val="0"/>
          <w:szCs w:val="21"/>
          <w:highlight w:val="none"/>
        </w:rPr>
        <w:t>结束后，磋商小组应当按照少数服从多数的原则投票推荐3家以上（含3家）供应商的设计方案或者解决方案，并要求其在规定时间内密封提交最后报价。</w:t>
      </w:r>
    </w:p>
    <w:p>
      <w:pPr>
        <w:spacing w:before="0" w:after="0" w:line="400" w:lineRule="exact"/>
        <w:ind w:firstLine="420"/>
        <w:rPr>
          <w:rFonts w:ascii="宋体" w:hAnsi="宋体" w:cs="宋体"/>
          <w:color w:val="auto"/>
          <w:kern w:val="0"/>
          <w:szCs w:val="21"/>
          <w:highlight w:val="none"/>
        </w:rPr>
      </w:pPr>
      <w:r>
        <w:rPr>
          <w:rFonts w:hint="eastAsia" w:ascii="宋体" w:hAnsi="宋体" w:cs="宋体"/>
          <w:color w:val="auto"/>
          <w:kern w:val="0"/>
          <w:szCs w:val="21"/>
          <w:highlight w:val="none"/>
        </w:rPr>
        <w:t>21.8.3最后报价是供应商响应文件的有效组成部分。</w:t>
      </w:r>
    </w:p>
    <w:p>
      <w:pPr>
        <w:spacing w:before="0" w:after="0" w:line="400" w:lineRule="exact"/>
        <w:ind w:firstLine="420"/>
        <w:rPr>
          <w:rFonts w:ascii="宋体" w:hAnsi="宋体" w:cs="宋体"/>
          <w:color w:val="auto"/>
          <w:kern w:val="0"/>
          <w:szCs w:val="21"/>
          <w:highlight w:val="none"/>
        </w:rPr>
      </w:pPr>
      <w:r>
        <w:rPr>
          <w:rFonts w:hint="eastAsia" w:ascii="宋体" w:hAnsi="宋体" w:cs="宋体"/>
          <w:color w:val="auto"/>
          <w:kern w:val="0"/>
          <w:szCs w:val="21"/>
          <w:highlight w:val="none"/>
        </w:rPr>
        <w:t>21.9已提交响应文件的供应商，在提交最后报价之前，可以根据</w:t>
      </w:r>
      <w:r>
        <w:rPr>
          <w:rFonts w:hint="eastAsia" w:ascii="宋体" w:hAnsi="宋体" w:cs="宋体"/>
          <w:color w:val="auto"/>
          <w:szCs w:val="21"/>
          <w:highlight w:val="none"/>
        </w:rPr>
        <w:t>磋商</w:t>
      </w:r>
      <w:r>
        <w:rPr>
          <w:rFonts w:hint="eastAsia" w:ascii="宋体" w:hAnsi="宋体" w:cs="宋体"/>
          <w:color w:val="auto"/>
          <w:kern w:val="0"/>
          <w:szCs w:val="21"/>
          <w:highlight w:val="none"/>
        </w:rPr>
        <w:t>情况书面退出</w:t>
      </w:r>
      <w:r>
        <w:rPr>
          <w:rFonts w:hint="eastAsia" w:ascii="宋体" w:hAnsi="宋体" w:cs="宋体"/>
          <w:color w:val="auto"/>
          <w:szCs w:val="21"/>
          <w:highlight w:val="none"/>
        </w:rPr>
        <w:t>磋商</w:t>
      </w:r>
      <w:r>
        <w:rPr>
          <w:rFonts w:hint="eastAsia" w:ascii="宋体" w:hAnsi="宋体" w:cs="宋体"/>
          <w:color w:val="auto"/>
          <w:kern w:val="0"/>
          <w:szCs w:val="21"/>
          <w:highlight w:val="none"/>
        </w:rPr>
        <w:t>。</w:t>
      </w:r>
    </w:p>
    <w:p>
      <w:pPr>
        <w:spacing w:before="0" w:after="0" w:line="400" w:lineRule="exact"/>
        <w:ind w:firstLine="420"/>
        <w:rPr>
          <w:rFonts w:ascii="宋体" w:hAnsi="宋体" w:cs="宋体"/>
          <w:color w:val="auto"/>
          <w:kern w:val="0"/>
          <w:szCs w:val="21"/>
          <w:highlight w:val="none"/>
        </w:rPr>
      </w:pPr>
      <w:r>
        <w:rPr>
          <w:rFonts w:hint="eastAsia" w:ascii="宋体" w:hAnsi="宋体" w:cs="宋体"/>
          <w:color w:val="auto"/>
          <w:kern w:val="0"/>
          <w:szCs w:val="21"/>
          <w:highlight w:val="none"/>
        </w:rPr>
        <w:t>未书面退出</w:t>
      </w:r>
      <w:r>
        <w:rPr>
          <w:rFonts w:hint="eastAsia" w:ascii="宋体" w:hAnsi="宋体" w:cs="宋体"/>
          <w:color w:val="auto"/>
          <w:szCs w:val="21"/>
          <w:highlight w:val="none"/>
        </w:rPr>
        <w:t>磋商</w:t>
      </w:r>
      <w:r>
        <w:rPr>
          <w:rFonts w:hint="eastAsia" w:ascii="宋体" w:hAnsi="宋体" w:cs="宋体"/>
          <w:color w:val="auto"/>
          <w:kern w:val="0"/>
          <w:szCs w:val="21"/>
          <w:highlight w:val="none"/>
        </w:rPr>
        <w:t>的供应商在规定时间内密封提交最后报价，其最后报价超出采购预算导致已通过评审的响应文件无效的，按供应商在提交响应文件截止时间后撤回响应文件处理。</w:t>
      </w:r>
    </w:p>
    <w:p>
      <w:pPr>
        <w:widowControl/>
        <w:tabs>
          <w:tab w:val="left" w:pos="540"/>
        </w:tabs>
        <w:spacing w:before="0" w:after="0" w:line="400" w:lineRule="exact"/>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21.10 评审报告</w:t>
      </w:r>
    </w:p>
    <w:p>
      <w:pPr>
        <w:spacing w:before="0" w:after="0" w:line="400" w:lineRule="exact"/>
        <w:ind w:firstLine="420"/>
        <w:rPr>
          <w:rFonts w:ascii="宋体" w:hAnsi="宋体" w:cs="宋体"/>
          <w:color w:val="auto"/>
          <w:kern w:val="0"/>
          <w:sz w:val="24"/>
          <w:highlight w:val="none"/>
        </w:rPr>
      </w:pPr>
      <w:r>
        <w:rPr>
          <w:rFonts w:hint="eastAsia" w:ascii="宋体" w:hAnsi="宋体" w:cs="宋体"/>
          <w:color w:val="auto"/>
          <w:kern w:val="0"/>
          <w:szCs w:val="21"/>
          <w:highlight w:val="none"/>
        </w:rPr>
        <w:t>磋商小组应当从质量和服务均能满足磋商文件全部实质性响应要求的供应商中，按照评审报价（最后报价及享受政府采购政策的优惠扣除）由低到高的顺序提出3名以上（含3名）成交候选人，并编写评审报告。</w:t>
      </w:r>
    </w:p>
    <w:p>
      <w:pPr>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21.11采购代理机构发现磋商小组有明显的违规倾向或歧视现象，或不按评审办法进行，或其他不正常行为的，应当及时制止。如制止无效，应及时向</w:t>
      </w:r>
      <w:r>
        <w:rPr>
          <w:rFonts w:hint="eastAsia" w:ascii="宋体" w:hAnsi="宋体" w:cs="宋体"/>
          <w:color w:val="auto"/>
          <w:szCs w:val="21"/>
          <w:highlight w:val="none"/>
          <w:lang w:eastAsia="zh-CN"/>
        </w:rPr>
        <w:t>灌阳县</w:t>
      </w:r>
      <w:r>
        <w:rPr>
          <w:rFonts w:hint="eastAsia" w:ascii="宋体" w:hAnsi="宋体" w:cs="宋体"/>
          <w:color w:val="auto"/>
          <w:szCs w:val="21"/>
          <w:highlight w:val="none"/>
        </w:rPr>
        <w:t>政府采购监督管理机构报告。</w:t>
      </w:r>
    </w:p>
    <w:p>
      <w:pPr>
        <w:spacing w:before="0" w:after="0" w:line="400" w:lineRule="exact"/>
        <w:ind w:firstLine="422"/>
        <w:rPr>
          <w:rFonts w:ascii="宋体" w:hAnsi="宋体" w:cs="宋体"/>
          <w:b/>
          <w:bCs/>
          <w:color w:val="auto"/>
          <w:szCs w:val="21"/>
          <w:highlight w:val="none"/>
        </w:rPr>
      </w:pPr>
      <w:r>
        <w:rPr>
          <w:rFonts w:hint="eastAsia" w:ascii="宋体" w:hAnsi="宋体" w:cs="宋体"/>
          <w:b/>
          <w:bCs/>
          <w:color w:val="auto"/>
          <w:szCs w:val="21"/>
          <w:highlight w:val="none"/>
        </w:rPr>
        <w:t>22. 确定成交供应商</w:t>
      </w:r>
    </w:p>
    <w:p>
      <w:pPr>
        <w:tabs>
          <w:tab w:val="left" w:pos="4214"/>
        </w:tabs>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（1）采购单位应当确定磋商小组推荐排名第一的成交候选人为成交供应商。</w:t>
      </w:r>
    </w:p>
    <w:p>
      <w:pPr>
        <w:spacing w:before="0" w:after="0" w:line="400" w:lineRule="exact"/>
        <w:ind w:firstLine="447" w:firstLineChars="213"/>
        <w:rPr>
          <w:rFonts w:ascii="宋体" w:hAnsi="宋体" w:cs="宋体"/>
          <w:color w:val="auto"/>
          <w:szCs w:val="21"/>
          <w:highlight w:val="none"/>
        </w:rPr>
      </w:pPr>
      <w:r>
        <w:rPr>
          <w:rFonts w:hint="eastAsia" w:ascii="宋体" w:hAnsi="宋体" w:cs="宋体"/>
          <w:color w:val="auto"/>
          <w:szCs w:val="21"/>
          <w:highlight w:val="none"/>
        </w:rPr>
        <w:t>（2）排名第一的成交候选人放弃成交、因不可抗力提出不能履行合同，采购单位可以确定排名第二的成交候选人为成交供应商。</w:t>
      </w:r>
    </w:p>
    <w:p>
      <w:pPr>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（3）排名第二的成交候选人因前款规定的同样原因不能签订合同的，采购单位可以确定排名第三的成交候选人为成交供应商。</w:t>
      </w:r>
    </w:p>
    <w:p>
      <w:pPr>
        <w:widowControl/>
        <w:shd w:val="clear" w:color="auto" w:fill="FFFFFF"/>
        <w:spacing w:before="0" w:after="0" w:line="400" w:lineRule="exact"/>
        <w:ind w:firstLine="480" w:firstLineChars="0"/>
        <w:jc w:val="left"/>
        <w:rPr>
          <w:rFonts w:ascii="宋体" w:hAnsi="宋体" w:cs="宋体"/>
          <w:b/>
          <w:color w:val="auto"/>
          <w:szCs w:val="21"/>
          <w:highlight w:val="none"/>
        </w:rPr>
      </w:pPr>
      <w:r>
        <w:rPr>
          <w:rFonts w:hint="eastAsia" w:ascii="宋体" w:hAnsi="宋体" w:cs="宋体"/>
          <w:b/>
          <w:bCs/>
          <w:color w:val="auto"/>
          <w:szCs w:val="21"/>
          <w:highlight w:val="none"/>
        </w:rPr>
        <w:t xml:space="preserve">23. </w:t>
      </w:r>
      <w:r>
        <w:rPr>
          <w:rFonts w:hint="eastAsia" w:ascii="宋体" w:hAnsi="宋体" w:cs="宋体"/>
          <w:b/>
          <w:color w:val="auto"/>
          <w:szCs w:val="21"/>
          <w:highlight w:val="none"/>
        </w:rPr>
        <w:t>属于下列情况之一者，响应文件无效：</w:t>
      </w:r>
    </w:p>
    <w:p>
      <w:pPr>
        <w:snapToGrid w:val="0"/>
        <w:spacing w:before="0" w:after="0" w:line="400" w:lineRule="exact"/>
        <w:ind w:firstLine="411" w:firstLineChars="196"/>
        <w:outlineLvl w:val="4"/>
        <w:rPr>
          <w:rFonts w:ascii="宋体" w:hAnsi="宋体" w:cs="宋体"/>
          <w:color w:val="auto"/>
          <w:szCs w:val="21"/>
          <w:highlight w:val="none"/>
        </w:rPr>
      </w:pPr>
      <w:r>
        <w:rPr>
          <w:rFonts w:hint="eastAsia" w:ascii="宋体" w:hAnsi="宋体" w:cs="宋体"/>
          <w:color w:val="auto"/>
          <w:szCs w:val="21"/>
          <w:highlight w:val="none"/>
        </w:rPr>
        <w:t>（1）未按磋商文件规定完整提交响应文件或未按规定要求密封、签字、盖章的；</w:t>
      </w:r>
    </w:p>
    <w:p>
      <w:pPr>
        <w:snapToGrid w:val="0"/>
        <w:spacing w:before="0" w:after="0" w:line="400" w:lineRule="exact"/>
        <w:ind w:firstLine="420"/>
        <w:outlineLvl w:val="4"/>
        <w:rPr>
          <w:rFonts w:ascii="宋体" w:hAnsi="宋体" w:cs="宋体"/>
          <w:color w:val="auto"/>
          <w:szCs w:val="21"/>
          <w:highlight w:val="none"/>
        </w:rPr>
      </w:pPr>
      <w:r>
        <w:rPr>
          <w:rFonts w:hint="eastAsia" w:ascii="宋体" w:hAnsi="宋体" w:cs="宋体"/>
          <w:color w:val="auto"/>
          <w:szCs w:val="21"/>
          <w:highlight w:val="none"/>
        </w:rPr>
        <w:t>（2）超越了行政审批的经营范围的；</w:t>
      </w:r>
    </w:p>
    <w:p>
      <w:pPr>
        <w:snapToGrid w:val="0"/>
        <w:spacing w:before="0" w:after="0" w:line="400" w:lineRule="exact"/>
        <w:ind w:firstLine="411" w:firstLineChars="196"/>
        <w:outlineLvl w:val="4"/>
        <w:rPr>
          <w:rFonts w:ascii="宋体" w:hAnsi="宋体" w:cs="宋体"/>
          <w:color w:val="auto"/>
          <w:szCs w:val="21"/>
          <w:highlight w:val="none"/>
        </w:rPr>
      </w:pPr>
      <w:r>
        <w:rPr>
          <w:rFonts w:hint="eastAsia" w:ascii="宋体" w:hAnsi="宋体" w:cs="宋体"/>
          <w:color w:val="auto"/>
          <w:szCs w:val="21"/>
          <w:highlight w:val="none"/>
        </w:rPr>
        <w:t>（3）不具备磋商文件规定的资格要求的</w:t>
      </w:r>
      <w:r>
        <w:rPr>
          <w:rFonts w:hint="eastAsia" w:ascii="宋体" w:hAnsi="宋体" w:cs="宋体"/>
          <w:color w:val="auto"/>
          <w:highlight w:val="none"/>
        </w:rPr>
        <w:t>；</w:t>
      </w:r>
    </w:p>
    <w:p>
      <w:pPr>
        <w:snapToGrid w:val="0"/>
        <w:spacing w:before="0" w:after="0" w:line="400" w:lineRule="exact"/>
        <w:ind w:firstLine="411" w:firstLineChars="196"/>
        <w:outlineLvl w:val="4"/>
        <w:rPr>
          <w:rFonts w:ascii="宋体" w:hAnsi="宋体" w:cs="宋体"/>
          <w:color w:val="auto"/>
          <w:szCs w:val="21"/>
          <w:highlight w:val="none"/>
        </w:rPr>
      </w:pPr>
      <w:r>
        <w:rPr>
          <w:rFonts w:hint="eastAsia" w:ascii="宋体" w:hAnsi="宋体" w:cs="宋体"/>
          <w:color w:val="auto"/>
          <w:szCs w:val="21"/>
          <w:highlight w:val="none"/>
        </w:rPr>
        <w:t>（4）响应文件未按磋商文件的内容和要求编制，或提供虚假材料的；</w:t>
      </w:r>
    </w:p>
    <w:p>
      <w:pPr>
        <w:snapToGrid w:val="0"/>
        <w:spacing w:before="0" w:after="0" w:line="400" w:lineRule="exact"/>
        <w:ind w:firstLine="420"/>
        <w:outlineLvl w:val="4"/>
        <w:rPr>
          <w:rFonts w:ascii="宋体" w:hAnsi="宋体" w:cs="宋体"/>
          <w:color w:val="auto"/>
          <w:szCs w:val="21"/>
          <w:highlight w:val="none"/>
        </w:rPr>
      </w:pPr>
      <w:r>
        <w:rPr>
          <w:rFonts w:hint="eastAsia" w:ascii="宋体" w:hAnsi="宋体" w:cs="宋体"/>
          <w:color w:val="auto"/>
          <w:szCs w:val="21"/>
          <w:highlight w:val="none"/>
        </w:rPr>
        <w:t>（5）属于“必须提供”的响应文件未能按时提供或补正、更正的；</w:t>
      </w:r>
    </w:p>
    <w:p>
      <w:pPr>
        <w:snapToGrid w:val="0"/>
        <w:spacing w:before="0" w:after="0" w:line="400" w:lineRule="exact"/>
        <w:ind w:firstLine="411" w:firstLineChars="196"/>
        <w:outlineLvl w:val="4"/>
        <w:rPr>
          <w:rFonts w:ascii="宋体" w:hAnsi="宋体" w:cs="宋体"/>
          <w:color w:val="auto"/>
          <w:szCs w:val="21"/>
          <w:highlight w:val="none"/>
        </w:rPr>
      </w:pPr>
      <w:r>
        <w:rPr>
          <w:rFonts w:hint="eastAsia" w:ascii="宋体" w:hAnsi="宋体" w:cs="宋体"/>
          <w:color w:val="auto"/>
          <w:szCs w:val="21"/>
          <w:highlight w:val="none"/>
        </w:rPr>
        <w:t>（6）响应文件有效期、交付时间、免费保修期、售后服务不能满足磋商文件要求的；</w:t>
      </w:r>
    </w:p>
    <w:p>
      <w:pPr>
        <w:snapToGrid w:val="0"/>
        <w:spacing w:before="0" w:after="0" w:line="400" w:lineRule="exact"/>
        <w:ind w:firstLine="411" w:firstLineChars="196"/>
        <w:outlineLvl w:val="4"/>
        <w:rPr>
          <w:rFonts w:ascii="宋体" w:hAnsi="宋体" w:cs="宋体"/>
          <w:color w:val="auto"/>
          <w:highlight w:val="none"/>
        </w:rPr>
      </w:pPr>
      <w:r>
        <w:rPr>
          <w:rFonts w:hint="eastAsia" w:ascii="宋体" w:hAnsi="宋体" w:cs="宋体"/>
          <w:color w:val="auto"/>
          <w:szCs w:val="21"/>
          <w:highlight w:val="none"/>
        </w:rPr>
        <w:t>（</w:t>
      </w:r>
      <w:r>
        <w:rPr>
          <w:rFonts w:hint="eastAsia" w:ascii="宋体" w:hAnsi="宋体" w:cs="宋体"/>
          <w:color w:val="auto"/>
          <w:highlight w:val="none"/>
        </w:rPr>
        <w:t>7）供应商</w:t>
      </w:r>
      <w:r>
        <w:rPr>
          <w:rFonts w:hint="eastAsia" w:ascii="宋体" w:hAnsi="宋体" w:cs="宋体"/>
          <w:color w:val="auto"/>
          <w:szCs w:val="21"/>
          <w:highlight w:val="none"/>
        </w:rPr>
        <w:t>未就“服务采购需求”中的所有服务内容作完整唯一报价的</w:t>
      </w:r>
      <w:r>
        <w:rPr>
          <w:rFonts w:hint="eastAsia" w:ascii="宋体" w:hAnsi="宋体" w:cs="宋体"/>
          <w:color w:val="auto"/>
          <w:highlight w:val="none"/>
        </w:rPr>
        <w:t>，或报价超出采购预算总金额的；</w:t>
      </w:r>
    </w:p>
    <w:p>
      <w:pPr>
        <w:spacing w:before="0" w:after="0" w:line="400" w:lineRule="exact"/>
        <w:ind w:firstLine="420"/>
        <w:rPr>
          <w:rFonts w:ascii="宋体" w:hAnsi="宋体" w:cs="宋体"/>
          <w:color w:val="auto"/>
          <w:highlight w:val="none"/>
        </w:rPr>
      </w:pPr>
      <w:r>
        <w:rPr>
          <w:rFonts w:hint="eastAsia" w:ascii="宋体" w:hAnsi="宋体" w:cs="宋体"/>
          <w:color w:val="auto"/>
          <w:highlight w:val="none"/>
        </w:rPr>
        <w:t>（8）</w:t>
      </w:r>
      <w:r>
        <w:rPr>
          <w:rFonts w:hint="eastAsia" w:ascii="宋体" w:hAnsi="宋体" w:cs="宋体"/>
          <w:color w:val="auto"/>
          <w:szCs w:val="20"/>
          <w:highlight w:val="none"/>
        </w:rPr>
        <w:t>未在磋商小组规定的时间内重新提交响应文件的；</w:t>
      </w:r>
    </w:p>
    <w:p>
      <w:pPr>
        <w:spacing w:before="0" w:after="0" w:line="400" w:lineRule="exact"/>
        <w:ind w:firstLine="420"/>
        <w:rPr>
          <w:rFonts w:ascii="宋体" w:hAnsi="宋体" w:cs="宋体"/>
          <w:color w:val="auto"/>
          <w:highlight w:val="none"/>
        </w:rPr>
      </w:pPr>
      <w:r>
        <w:rPr>
          <w:rFonts w:hint="eastAsia" w:ascii="宋体" w:hAnsi="宋体" w:cs="宋体"/>
          <w:color w:val="auto"/>
          <w:highlight w:val="none"/>
        </w:rPr>
        <w:t>（9）未满足磋商文件全部实质性要求的或者响应文件有采购人不能接受的附加条件的；</w:t>
      </w:r>
    </w:p>
    <w:p>
      <w:pPr>
        <w:snapToGrid w:val="0"/>
        <w:spacing w:before="0" w:after="0" w:line="400" w:lineRule="exact"/>
        <w:ind w:firstLine="411" w:firstLineChars="196"/>
        <w:outlineLvl w:val="4"/>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）不符合法律、法规和磋商文件规定的其他实质性要求和条件的。</w:t>
      </w:r>
    </w:p>
    <w:p>
      <w:pPr>
        <w:snapToGrid w:val="0"/>
        <w:spacing w:before="0" w:after="0" w:line="380" w:lineRule="exact"/>
        <w:ind w:left="355" w:leftChars="169" w:firstLine="103" w:firstLineChars="49"/>
        <w:outlineLvl w:val="4"/>
        <w:rPr>
          <w:rFonts w:ascii="宋体" w:hAnsi="宋体"/>
          <w:b/>
          <w:color w:val="auto"/>
          <w:szCs w:val="21"/>
          <w:highlight w:val="none"/>
        </w:rPr>
      </w:pPr>
      <w:r>
        <w:rPr>
          <w:rFonts w:hint="eastAsia" w:ascii="宋体" w:hAnsi="宋体"/>
          <w:b/>
          <w:color w:val="auto"/>
          <w:szCs w:val="21"/>
          <w:highlight w:val="none"/>
        </w:rPr>
        <w:t>磋商供应商有下列情形之一的，视为串通磋商，响应文件将被视为无效：</w:t>
      </w:r>
    </w:p>
    <w:p>
      <w:pPr>
        <w:snapToGrid w:val="0"/>
        <w:spacing w:before="0" w:after="0" w:line="380" w:lineRule="exact"/>
        <w:ind w:left="355" w:leftChars="169" w:firstLine="102" w:firstLineChars="49"/>
        <w:outlineLvl w:val="4"/>
        <w:rPr>
          <w:rFonts w:ascii="宋体" w:hAnsi="宋体"/>
          <w:color w:val="auto"/>
          <w:highlight w:val="none"/>
        </w:rPr>
      </w:pPr>
      <w:r>
        <w:rPr>
          <w:rFonts w:hint="eastAsia" w:ascii="宋体" w:hAnsi="宋体"/>
          <w:color w:val="auto"/>
          <w:highlight w:val="none"/>
        </w:rPr>
        <w:t>（1）不同磋商供应商的响应文件由同一单位或者个人编制；或不同磋商供应商报名的IP地址一致的；</w:t>
      </w:r>
    </w:p>
    <w:p>
      <w:pPr>
        <w:snapToGrid w:val="0"/>
        <w:spacing w:before="0" w:after="0" w:line="380" w:lineRule="exact"/>
        <w:ind w:left="355" w:leftChars="169" w:firstLine="102" w:firstLineChars="49"/>
        <w:outlineLvl w:val="4"/>
        <w:rPr>
          <w:rFonts w:ascii="宋体" w:hAnsi="宋体"/>
          <w:color w:val="auto"/>
          <w:highlight w:val="none"/>
        </w:rPr>
      </w:pPr>
      <w:r>
        <w:rPr>
          <w:rFonts w:hint="eastAsia" w:ascii="宋体" w:hAnsi="宋体"/>
          <w:color w:val="auto"/>
          <w:highlight w:val="none"/>
        </w:rPr>
        <w:t>（2）不同磋商供应商委托同一单位或者个人办理磋商事宜；</w:t>
      </w:r>
    </w:p>
    <w:p>
      <w:pPr>
        <w:snapToGrid w:val="0"/>
        <w:spacing w:before="0" w:after="0" w:line="380" w:lineRule="exact"/>
        <w:ind w:left="355" w:leftChars="169" w:firstLine="102" w:firstLineChars="49"/>
        <w:outlineLvl w:val="4"/>
        <w:rPr>
          <w:rFonts w:ascii="宋体" w:hAnsi="宋体"/>
          <w:color w:val="auto"/>
          <w:highlight w:val="none"/>
        </w:rPr>
      </w:pPr>
      <w:r>
        <w:rPr>
          <w:rFonts w:hint="eastAsia" w:ascii="宋体" w:hAnsi="宋体"/>
          <w:color w:val="auto"/>
          <w:highlight w:val="none"/>
        </w:rPr>
        <w:t>（3）不同的磋商供应商的响应文件载明的项目管理员为同一个人；</w:t>
      </w:r>
    </w:p>
    <w:p>
      <w:pPr>
        <w:snapToGrid w:val="0"/>
        <w:spacing w:before="0" w:after="0" w:line="380" w:lineRule="exact"/>
        <w:ind w:left="355" w:leftChars="169" w:firstLine="102" w:firstLineChars="49"/>
        <w:outlineLvl w:val="4"/>
        <w:rPr>
          <w:rFonts w:ascii="宋体" w:hAnsi="宋体"/>
          <w:color w:val="auto"/>
          <w:highlight w:val="none"/>
        </w:rPr>
      </w:pPr>
      <w:r>
        <w:rPr>
          <w:rFonts w:hint="eastAsia" w:ascii="宋体" w:hAnsi="宋体"/>
          <w:color w:val="auto"/>
          <w:highlight w:val="none"/>
        </w:rPr>
        <w:t xml:space="preserve">（4）不同磋商供应商的响应文件异常一致或磋商报价呈规律性差异； </w:t>
      </w:r>
    </w:p>
    <w:p>
      <w:pPr>
        <w:snapToGrid w:val="0"/>
        <w:spacing w:before="0" w:after="0" w:line="380" w:lineRule="exact"/>
        <w:ind w:left="355" w:leftChars="169" w:firstLine="102" w:firstLineChars="49"/>
        <w:outlineLvl w:val="4"/>
        <w:rPr>
          <w:rFonts w:ascii="宋体" w:hAnsi="宋体"/>
          <w:color w:val="auto"/>
          <w:highlight w:val="none"/>
        </w:rPr>
      </w:pPr>
      <w:r>
        <w:rPr>
          <w:rFonts w:hint="eastAsia" w:ascii="宋体" w:hAnsi="宋体"/>
          <w:color w:val="auto"/>
          <w:highlight w:val="none"/>
        </w:rPr>
        <w:t>（5）不同磋商供应商的响应文件相互混装；</w:t>
      </w:r>
    </w:p>
    <w:p>
      <w:pPr>
        <w:snapToGrid w:val="0"/>
        <w:spacing w:before="0" w:after="0" w:line="380" w:lineRule="exact"/>
        <w:ind w:left="325" w:leftChars="155" w:firstLine="105" w:firstLineChars="50"/>
        <w:outlineLvl w:val="4"/>
        <w:rPr>
          <w:rFonts w:ascii="宋体" w:hAnsi="宋体" w:cs="宋体"/>
          <w:color w:val="auto"/>
          <w:szCs w:val="21"/>
          <w:highlight w:val="none"/>
        </w:rPr>
      </w:pPr>
      <w:r>
        <w:rPr>
          <w:rFonts w:hint="eastAsia" w:ascii="宋体" w:hAnsi="宋体"/>
          <w:color w:val="auto"/>
          <w:szCs w:val="21"/>
          <w:highlight w:val="none"/>
        </w:rPr>
        <w:t>（6）响应文件实质性要求未做变动，磋商供应商最终报价高于第一次报价的。</w:t>
      </w:r>
    </w:p>
    <w:p>
      <w:pPr>
        <w:snapToGrid w:val="0"/>
        <w:spacing w:before="0" w:after="0" w:line="400" w:lineRule="exact"/>
        <w:ind w:firstLine="413" w:firstLineChars="196"/>
        <w:outlineLvl w:val="4"/>
        <w:rPr>
          <w:rFonts w:ascii="宋体" w:hAnsi="宋体" w:cs="宋体"/>
          <w:b/>
          <w:color w:val="auto"/>
          <w:szCs w:val="21"/>
          <w:highlight w:val="none"/>
        </w:rPr>
      </w:pPr>
      <w:r>
        <w:rPr>
          <w:rFonts w:hint="eastAsia" w:ascii="宋体" w:hAnsi="宋体" w:cs="宋体"/>
          <w:b/>
          <w:color w:val="auto"/>
          <w:szCs w:val="21"/>
          <w:highlight w:val="none"/>
        </w:rPr>
        <w:t>24. 出现下列情形之一的，采购人或者采购代理机构应当终止竞争性磋商采购活动，发布项目终止公告并说明原因，重新开展采购活动：</w:t>
      </w:r>
    </w:p>
    <w:p>
      <w:pPr>
        <w:snapToGrid w:val="0"/>
        <w:spacing w:before="0" w:after="0" w:line="400" w:lineRule="exact"/>
        <w:ind w:firstLine="411" w:firstLineChars="196"/>
        <w:outlineLvl w:val="4"/>
        <w:rPr>
          <w:rFonts w:ascii="宋体" w:hAnsi="宋体" w:cs="宋体"/>
          <w:color w:val="auto"/>
          <w:szCs w:val="21"/>
          <w:highlight w:val="none"/>
        </w:rPr>
      </w:pPr>
      <w:r>
        <w:rPr>
          <w:rFonts w:hint="eastAsia" w:ascii="宋体" w:hAnsi="宋体" w:cs="宋体"/>
          <w:color w:val="auto"/>
          <w:szCs w:val="21"/>
          <w:highlight w:val="none"/>
        </w:rPr>
        <w:t>（1）因情况变化，不再符合规定的竞争性磋商采购方式适用情形的；</w:t>
      </w:r>
    </w:p>
    <w:p>
      <w:pPr>
        <w:snapToGrid w:val="0"/>
        <w:spacing w:before="0" w:after="0" w:line="400" w:lineRule="exact"/>
        <w:ind w:firstLine="411" w:firstLineChars="196"/>
        <w:outlineLvl w:val="4"/>
        <w:rPr>
          <w:rFonts w:ascii="宋体" w:hAnsi="宋体" w:cs="宋体"/>
          <w:color w:val="auto"/>
          <w:szCs w:val="21"/>
          <w:highlight w:val="none"/>
        </w:rPr>
      </w:pPr>
      <w:r>
        <w:rPr>
          <w:rFonts w:hint="eastAsia" w:ascii="宋体" w:hAnsi="宋体" w:cs="宋体"/>
          <w:color w:val="auto"/>
          <w:szCs w:val="21"/>
          <w:highlight w:val="none"/>
        </w:rPr>
        <w:t xml:space="preserve">（2）出现影响采购公正的违法、违规行为的； </w:t>
      </w:r>
    </w:p>
    <w:p>
      <w:pPr>
        <w:snapToGrid w:val="0"/>
        <w:spacing w:before="0" w:after="0" w:line="400" w:lineRule="exact"/>
        <w:ind w:firstLine="411" w:firstLineChars="196"/>
        <w:outlineLvl w:val="4"/>
        <w:rPr>
          <w:rFonts w:ascii="宋体" w:hAnsi="宋体" w:cs="宋体"/>
          <w:color w:val="auto"/>
          <w:szCs w:val="21"/>
          <w:highlight w:val="none"/>
        </w:rPr>
      </w:pPr>
      <w:r>
        <w:rPr>
          <w:rFonts w:hint="eastAsia" w:ascii="宋体" w:hAnsi="宋体" w:cs="宋体"/>
          <w:color w:val="auto"/>
          <w:szCs w:val="21"/>
          <w:highlight w:val="none"/>
        </w:rPr>
        <w:t xml:space="preserve">（3）在采购过程中符合竞争要求的供应商或者报价未超过采购预算的供应商不足3家的。 </w:t>
      </w:r>
    </w:p>
    <w:p>
      <w:pPr>
        <w:snapToGrid w:val="0"/>
        <w:spacing w:before="0" w:after="0" w:line="400" w:lineRule="exact"/>
        <w:ind w:firstLine="422"/>
        <w:outlineLvl w:val="4"/>
        <w:rPr>
          <w:rFonts w:ascii="宋体" w:hAnsi="宋体" w:cs="宋体"/>
          <w:b/>
          <w:color w:val="auto"/>
          <w:highlight w:val="none"/>
        </w:rPr>
      </w:pPr>
      <w:r>
        <w:rPr>
          <w:rFonts w:hint="eastAsia" w:ascii="宋体" w:hAnsi="宋体" w:cs="宋体"/>
          <w:b/>
          <w:color w:val="auto"/>
          <w:highlight w:val="none"/>
        </w:rPr>
        <w:t>25. 磋商过程的监控</w:t>
      </w:r>
    </w:p>
    <w:p>
      <w:pPr>
        <w:spacing w:before="0" w:after="0" w:line="400" w:lineRule="exact"/>
        <w:ind w:firstLine="411" w:firstLineChars="196"/>
        <w:rPr>
          <w:rFonts w:ascii="宋体" w:hAnsi="宋体" w:cs="宋体"/>
          <w:color w:val="auto"/>
          <w:szCs w:val="20"/>
          <w:highlight w:val="none"/>
        </w:rPr>
      </w:pPr>
      <w:r>
        <w:rPr>
          <w:rFonts w:hint="eastAsia" w:ascii="宋体" w:hAnsi="宋体" w:cs="宋体"/>
          <w:color w:val="auto"/>
          <w:szCs w:val="20"/>
          <w:highlight w:val="none"/>
        </w:rPr>
        <w:t>本项目</w:t>
      </w:r>
      <w:r>
        <w:rPr>
          <w:rFonts w:hint="eastAsia" w:ascii="宋体" w:hAnsi="宋体" w:cs="宋体"/>
          <w:color w:val="auto"/>
          <w:szCs w:val="21"/>
          <w:highlight w:val="none"/>
        </w:rPr>
        <w:t>磋商</w:t>
      </w:r>
      <w:r>
        <w:rPr>
          <w:rFonts w:hint="eastAsia" w:ascii="宋体" w:hAnsi="宋体" w:cs="宋体"/>
          <w:color w:val="auto"/>
          <w:szCs w:val="20"/>
          <w:highlight w:val="none"/>
        </w:rPr>
        <w:t>过程实行全程录音、录像监控，供应商在</w:t>
      </w:r>
      <w:r>
        <w:rPr>
          <w:rFonts w:hint="eastAsia" w:ascii="宋体" w:hAnsi="宋体" w:cs="宋体"/>
          <w:color w:val="auto"/>
          <w:szCs w:val="21"/>
          <w:highlight w:val="none"/>
        </w:rPr>
        <w:t>磋商</w:t>
      </w:r>
      <w:r>
        <w:rPr>
          <w:rFonts w:hint="eastAsia" w:ascii="宋体" w:hAnsi="宋体" w:cs="宋体"/>
          <w:color w:val="auto"/>
          <w:szCs w:val="20"/>
          <w:highlight w:val="none"/>
        </w:rPr>
        <w:t>过程中所进行的试图影响</w:t>
      </w:r>
      <w:r>
        <w:rPr>
          <w:rFonts w:hint="eastAsia" w:ascii="宋体" w:hAnsi="宋体" w:cs="宋体"/>
          <w:color w:val="auto"/>
          <w:szCs w:val="21"/>
          <w:highlight w:val="none"/>
        </w:rPr>
        <w:t>磋商</w:t>
      </w:r>
      <w:r>
        <w:rPr>
          <w:rFonts w:hint="eastAsia" w:ascii="宋体" w:hAnsi="宋体" w:cs="宋体"/>
          <w:color w:val="auto"/>
          <w:szCs w:val="20"/>
          <w:highlight w:val="none"/>
        </w:rPr>
        <w:t>结果的不公正活动，可能导致其</w:t>
      </w:r>
      <w:r>
        <w:rPr>
          <w:rFonts w:hint="eastAsia" w:ascii="宋体" w:hAnsi="宋体" w:cs="宋体"/>
          <w:color w:val="auto"/>
          <w:szCs w:val="21"/>
          <w:highlight w:val="none"/>
        </w:rPr>
        <w:t>磋商</w:t>
      </w:r>
      <w:r>
        <w:rPr>
          <w:rFonts w:hint="eastAsia" w:ascii="宋体" w:hAnsi="宋体" w:cs="宋体"/>
          <w:color w:val="auto"/>
          <w:szCs w:val="20"/>
          <w:highlight w:val="none"/>
        </w:rPr>
        <w:t>被拒绝。</w:t>
      </w:r>
    </w:p>
    <w:p>
      <w:pPr>
        <w:spacing w:before="0" w:after="0" w:line="400" w:lineRule="exact"/>
        <w:ind w:firstLine="413" w:firstLineChars="196"/>
        <w:rPr>
          <w:rFonts w:ascii="宋体" w:hAnsi="宋体" w:cs="宋体"/>
          <w:b/>
          <w:color w:val="auto"/>
          <w:szCs w:val="20"/>
          <w:highlight w:val="none"/>
        </w:rPr>
      </w:pPr>
      <w:r>
        <w:rPr>
          <w:rFonts w:hint="eastAsia" w:ascii="宋体" w:hAnsi="宋体" w:cs="宋体"/>
          <w:b/>
          <w:color w:val="auto"/>
          <w:szCs w:val="20"/>
          <w:highlight w:val="none"/>
        </w:rPr>
        <w:t>26</w:t>
      </w:r>
      <w:r>
        <w:rPr>
          <w:rFonts w:hint="eastAsia" w:ascii="宋体" w:hAnsi="宋体" w:cs="宋体"/>
          <w:b/>
          <w:color w:val="auto"/>
          <w:szCs w:val="21"/>
          <w:highlight w:val="none"/>
        </w:rPr>
        <w:t xml:space="preserve">. </w:t>
      </w:r>
      <w:r>
        <w:rPr>
          <w:rFonts w:hint="eastAsia" w:ascii="宋体" w:hAnsi="宋体" w:cs="宋体"/>
          <w:b/>
          <w:color w:val="auto"/>
          <w:highlight w:val="none"/>
        </w:rPr>
        <w:t>成交公告及成交通知书</w:t>
      </w:r>
    </w:p>
    <w:p>
      <w:pPr>
        <w:spacing w:before="0" w:after="0" w:line="400" w:lineRule="exact"/>
        <w:ind w:firstLine="420"/>
        <w:rPr>
          <w:rFonts w:ascii="宋体" w:hAnsi="宋体" w:cs="宋体"/>
          <w:color w:val="auto"/>
          <w:szCs w:val="21"/>
          <w:highlight w:val="none"/>
        </w:rPr>
      </w:pPr>
      <w:r>
        <w:rPr>
          <w:rFonts w:hint="eastAsia" w:ascii="宋体" w:hAnsi="宋体" w:cs="宋体"/>
          <w:color w:val="auto"/>
          <w:highlight w:val="none"/>
        </w:rPr>
        <w:t xml:space="preserve">26.1 </w:t>
      </w:r>
      <w:r>
        <w:rPr>
          <w:rFonts w:hint="eastAsia" w:ascii="宋体" w:hAnsi="宋体" w:cs="宋体"/>
          <w:color w:val="auto"/>
          <w:szCs w:val="21"/>
          <w:highlight w:val="none"/>
        </w:rPr>
        <w:t>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napToGrid w:val="0"/>
        <w:spacing w:before="0" w:after="0" w:line="400" w:lineRule="exact"/>
        <w:ind w:firstLine="411" w:firstLineChars="196"/>
        <w:outlineLvl w:val="4"/>
        <w:rPr>
          <w:rFonts w:ascii="宋体" w:hAnsi="宋体" w:cs="宋体"/>
          <w:color w:val="auto"/>
          <w:szCs w:val="21"/>
          <w:highlight w:val="none"/>
        </w:rPr>
      </w:pPr>
      <w:r>
        <w:rPr>
          <w:rFonts w:hint="eastAsia" w:ascii="宋体" w:hAnsi="宋体" w:cs="宋体"/>
          <w:color w:val="auto"/>
          <w:szCs w:val="21"/>
          <w:highlight w:val="none"/>
        </w:rPr>
        <w:t>26.2 在发布成交公告的同时，采购代理机构向成交供应商发出成交通知书。如成交供应商自接到通知之日起七个工作日内，不办理成交通知书领取手续的，按违约处理。采购单位将取消其成交资格，成交供应商所有磋商的全部保证金不予退还，从磋商小组推荐的成交候选人中按顺序重新确定成交供应商。</w:t>
      </w:r>
    </w:p>
    <w:p>
      <w:pPr>
        <w:spacing w:before="0" w:after="0" w:line="400" w:lineRule="exact"/>
        <w:ind w:firstLine="420"/>
        <w:rPr>
          <w:rFonts w:ascii="宋体" w:hAnsi="宋体" w:cs="宋体"/>
          <w:color w:val="auto"/>
          <w:szCs w:val="20"/>
          <w:highlight w:val="none"/>
        </w:rPr>
      </w:pPr>
      <w:r>
        <w:rPr>
          <w:rFonts w:hint="eastAsia" w:ascii="宋体" w:hAnsi="宋体" w:cs="宋体"/>
          <w:color w:val="auto"/>
          <w:szCs w:val="20"/>
          <w:highlight w:val="none"/>
        </w:rPr>
        <w:t>26.3 采购代理机构无义务向未成交的供应商解释未成交原因和退还响应文件。</w:t>
      </w:r>
    </w:p>
    <w:p>
      <w:pPr>
        <w:spacing w:before="0" w:after="0" w:line="380" w:lineRule="exact"/>
        <w:ind w:firstLine="413" w:firstLineChars="196"/>
        <w:rPr>
          <w:rFonts w:ascii="宋体" w:hAnsi="宋体"/>
          <w:b/>
          <w:color w:val="auto"/>
          <w:szCs w:val="20"/>
          <w:highlight w:val="none"/>
        </w:rPr>
      </w:pPr>
      <w:r>
        <w:rPr>
          <w:rFonts w:hint="eastAsia" w:ascii="宋体" w:hAnsi="宋体"/>
          <w:b/>
          <w:color w:val="auto"/>
          <w:szCs w:val="20"/>
          <w:highlight w:val="none"/>
        </w:rPr>
        <w:t>27.信用查询</w:t>
      </w:r>
    </w:p>
    <w:p>
      <w:pPr>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根据《关于做好政府采购有关信用主体标识码登记及在政府采购活动中查询使用信用记录有关问题的通知》（桂财采〔2016〕37），由采购代理机构对第一成交候选人进行信用查询：</w:t>
      </w:r>
    </w:p>
    <w:p>
      <w:pPr>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（1）查询渠道：“信用中国”网站(www.creditchina.gov.cn）、中国政府采购网(www.ccgp.gov.cn)等；</w:t>
      </w:r>
    </w:p>
    <w:p>
      <w:pPr>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（2）查询截止时点：成交通知书发出前；</w:t>
      </w:r>
    </w:p>
    <w:p>
      <w:pPr>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（3）信用信息查询记录和证据留存方式：在查询网站中直接打印查询记录，打印材料作为采购活动资料保存。</w:t>
      </w:r>
    </w:p>
    <w:p>
      <w:pPr>
        <w:spacing w:before="0" w:after="0" w:line="400" w:lineRule="exact"/>
        <w:ind w:firstLine="420"/>
        <w:rPr>
          <w:rFonts w:ascii="宋体" w:hAnsi="宋体" w:cs="宋体"/>
          <w:color w:val="auto"/>
          <w:szCs w:val="21"/>
          <w:highlight w:val="none"/>
        </w:rPr>
      </w:pPr>
      <w:r>
        <w:rPr>
          <w:rFonts w:hint="eastAsia" w:ascii="宋体" w:hAnsi="宋体" w:cs="宋体"/>
          <w:color w:val="auto"/>
          <w:szCs w:val="21"/>
          <w:highlight w:val="none"/>
        </w:rPr>
        <w:t>（4）信用信息使用规则：对在“信用中国”网站（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52"/>
          <w:rFonts w:hint="eastAsia" w:ascii="宋体" w:hAnsi="宋体" w:cs="宋体"/>
          <w:color w:val="auto"/>
          <w:sz w:val="21"/>
          <w:szCs w:val="21"/>
          <w:highlight w:val="none"/>
        </w:rPr>
        <w:t>www.creditchina.gov.cn</w:t>
      </w:r>
      <w:r>
        <w:rPr>
          <w:rStyle w:val="52"/>
          <w:rFonts w:hint="eastAsia" w:ascii="宋体" w:hAnsi="宋体" w:cs="宋体"/>
          <w:color w:val="auto"/>
          <w:sz w:val="21"/>
          <w:szCs w:val="21"/>
          <w:highlight w:val="none"/>
        </w:rPr>
        <w:fldChar w:fldCharType="end"/>
      </w:r>
      <w:r>
        <w:rPr>
          <w:rFonts w:hint="eastAsia" w:ascii="宋体" w:hAnsi="宋体" w:cs="宋体"/>
          <w:color w:val="auto"/>
          <w:szCs w:val="21"/>
          <w:highlight w:val="none"/>
        </w:rPr>
        <w:t>）、中国政府采购网（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Style w:val="52"/>
          <w:rFonts w:hint="eastAsia" w:ascii="宋体" w:hAnsi="宋体" w:cs="宋体"/>
          <w:color w:val="auto"/>
          <w:sz w:val="21"/>
          <w:szCs w:val="21"/>
          <w:highlight w:val="none"/>
        </w:rPr>
        <w:t>www.ccgp.gov.cn</w:t>
      </w:r>
      <w:r>
        <w:rPr>
          <w:rStyle w:val="52"/>
          <w:rFonts w:hint="eastAsia" w:ascii="宋体" w:hAnsi="宋体" w:cs="宋体"/>
          <w:color w:val="auto"/>
          <w:sz w:val="21"/>
          <w:szCs w:val="21"/>
          <w:highlight w:val="none"/>
        </w:rPr>
        <w:fldChar w:fldCharType="end"/>
      </w:r>
      <w:r>
        <w:rPr>
          <w:rFonts w:hint="eastAsia" w:ascii="宋体" w:hAnsi="宋体" w:cs="宋体"/>
          <w:color w:val="auto"/>
          <w:szCs w:val="21"/>
          <w:highlight w:val="none"/>
        </w:rPr>
        <w:t>）等渠道列入失信被执行人、重大税收违法案件当事人名单、政府采购严重违法失信行为记录名单及其他不符合《中华人民共和国政府采购法》第二十二条规定条件的供应商，取消其成交候选人资格。</w:t>
      </w:r>
    </w:p>
    <w:p>
      <w:pPr>
        <w:spacing w:before="0" w:after="0" w:line="400" w:lineRule="exact"/>
        <w:ind w:firstLine="420"/>
        <w:rPr>
          <w:rFonts w:ascii="宋体" w:hAnsi="宋体" w:cs="宋体"/>
          <w:color w:val="auto"/>
          <w:szCs w:val="21"/>
          <w:highlight w:val="none"/>
        </w:rPr>
      </w:pPr>
    </w:p>
    <w:p>
      <w:pPr>
        <w:tabs>
          <w:tab w:val="left" w:pos="1140"/>
        </w:tabs>
        <w:spacing w:before="0" w:after="0" w:line="400" w:lineRule="exact"/>
        <w:ind w:firstLine="0" w:firstLineChars="0"/>
        <w:jc w:val="center"/>
        <w:rPr>
          <w:rFonts w:ascii="宋体" w:hAnsi="宋体" w:cs="宋体"/>
          <w:b/>
          <w:color w:val="auto"/>
          <w:sz w:val="28"/>
          <w:szCs w:val="28"/>
          <w:highlight w:val="none"/>
        </w:rPr>
      </w:pPr>
      <w:r>
        <w:rPr>
          <w:rFonts w:hint="eastAsia" w:ascii="宋体" w:hAnsi="宋体" w:cs="宋体"/>
          <w:b/>
          <w:color w:val="auto"/>
          <w:sz w:val="28"/>
          <w:szCs w:val="28"/>
          <w:highlight w:val="none"/>
        </w:rPr>
        <w:t>五、签订合同</w:t>
      </w:r>
    </w:p>
    <w:p>
      <w:pPr>
        <w:spacing w:before="0" w:after="0" w:line="400" w:lineRule="exact"/>
        <w:ind w:firstLine="413" w:firstLineChars="196"/>
        <w:rPr>
          <w:rFonts w:ascii="宋体" w:hAnsi="宋体" w:cs="宋体"/>
          <w:b/>
          <w:color w:val="auto"/>
          <w:highlight w:val="none"/>
        </w:rPr>
      </w:pPr>
      <w:r>
        <w:rPr>
          <w:rFonts w:hint="eastAsia" w:ascii="宋体" w:hAnsi="宋体" w:cs="宋体"/>
          <w:b/>
          <w:color w:val="auto"/>
          <w:highlight w:val="none"/>
        </w:rPr>
        <w:t>28</w:t>
      </w:r>
      <w:r>
        <w:rPr>
          <w:rFonts w:hint="eastAsia" w:ascii="宋体" w:hAnsi="宋体" w:cs="宋体"/>
          <w:b/>
          <w:color w:val="auto"/>
          <w:szCs w:val="21"/>
          <w:highlight w:val="none"/>
        </w:rPr>
        <w:t xml:space="preserve">. </w:t>
      </w:r>
      <w:r>
        <w:rPr>
          <w:rFonts w:hint="eastAsia" w:ascii="宋体" w:hAnsi="宋体" w:cs="宋体"/>
          <w:b/>
          <w:color w:val="auto"/>
          <w:highlight w:val="none"/>
        </w:rPr>
        <w:t>履约保证金</w:t>
      </w:r>
    </w:p>
    <w:p>
      <w:pPr>
        <w:tabs>
          <w:tab w:val="left" w:pos="1140"/>
        </w:tabs>
        <w:spacing w:before="0" w:after="0" w:line="400" w:lineRule="exact"/>
        <w:ind w:firstLine="422"/>
        <w:rPr>
          <w:rFonts w:hint="eastAsia" w:ascii="宋体" w:hAnsi="宋体" w:cs="宋体"/>
          <w:b w:val="0"/>
          <w:bCs/>
          <w:color w:val="auto"/>
          <w:szCs w:val="21"/>
          <w:highlight w:val="none"/>
        </w:rPr>
      </w:pPr>
      <w:r>
        <w:rPr>
          <w:rFonts w:hint="eastAsia" w:ascii="宋体" w:hAnsi="宋体" w:cs="宋体"/>
          <w:b w:val="0"/>
          <w:bCs/>
          <w:color w:val="auto"/>
          <w:szCs w:val="21"/>
          <w:highlight w:val="none"/>
        </w:rPr>
        <w:t>2</w:t>
      </w:r>
      <w:r>
        <w:rPr>
          <w:rFonts w:hint="eastAsia" w:ascii="宋体" w:hAnsi="宋体" w:cs="宋体"/>
          <w:b w:val="0"/>
          <w:bCs/>
          <w:color w:val="auto"/>
          <w:szCs w:val="21"/>
          <w:highlight w:val="none"/>
          <w:lang w:val="en-US" w:eastAsia="zh-CN"/>
        </w:rPr>
        <w:t>8</w:t>
      </w:r>
      <w:r>
        <w:rPr>
          <w:rFonts w:hint="eastAsia" w:ascii="宋体" w:hAnsi="宋体" w:cs="宋体"/>
          <w:b w:val="0"/>
          <w:bCs/>
          <w:color w:val="auto"/>
          <w:szCs w:val="21"/>
          <w:highlight w:val="none"/>
        </w:rPr>
        <w:t>.1履约保证金金额按成交价的5%（人民币，四舍五入到元）提供，由成交供应商在领取成交通知书前将履约保证金以转账、电汇形式缴入采购人指定账户。</w:t>
      </w:r>
    </w:p>
    <w:p>
      <w:pPr>
        <w:tabs>
          <w:tab w:val="left" w:pos="1140"/>
        </w:tabs>
        <w:spacing w:before="0" w:after="0" w:line="400" w:lineRule="exact"/>
        <w:ind w:firstLine="422"/>
        <w:rPr>
          <w:rFonts w:hint="eastAsia" w:ascii="宋体" w:hAnsi="宋体" w:cs="宋体"/>
          <w:b w:val="0"/>
          <w:bCs/>
          <w:color w:val="auto"/>
          <w:szCs w:val="21"/>
          <w:highlight w:val="none"/>
        </w:rPr>
      </w:pPr>
      <w:r>
        <w:rPr>
          <w:rFonts w:hint="eastAsia" w:ascii="宋体" w:hAnsi="宋体" w:cs="宋体"/>
          <w:b w:val="0"/>
          <w:bCs/>
          <w:color w:val="auto"/>
          <w:szCs w:val="21"/>
          <w:highlight w:val="none"/>
        </w:rPr>
        <w:t>账户名称：</w:t>
      </w:r>
      <w:r>
        <w:rPr>
          <w:rFonts w:hint="eastAsia" w:ascii="宋体" w:hAnsi="宋体" w:cs="宋体"/>
          <w:b w:val="0"/>
          <w:bCs/>
          <w:color w:val="auto"/>
          <w:szCs w:val="21"/>
          <w:highlight w:val="none"/>
          <w:lang w:eastAsia="zh-CN"/>
        </w:rPr>
        <w:t>灌阳县人民医院</w:t>
      </w:r>
      <w:r>
        <w:rPr>
          <w:rFonts w:hint="eastAsia" w:ascii="宋体" w:hAnsi="宋体" w:cs="宋体"/>
          <w:b w:val="0"/>
          <w:bCs/>
          <w:color w:val="auto"/>
          <w:szCs w:val="21"/>
          <w:highlight w:val="none"/>
        </w:rPr>
        <w:t xml:space="preserve"> </w:t>
      </w:r>
    </w:p>
    <w:p>
      <w:pPr>
        <w:tabs>
          <w:tab w:val="left" w:pos="1140"/>
        </w:tabs>
        <w:spacing w:before="0" w:after="0" w:line="400" w:lineRule="exact"/>
        <w:ind w:firstLine="422"/>
        <w:rPr>
          <w:rFonts w:hint="eastAsia" w:ascii="宋体" w:hAnsi="宋体" w:cs="宋体"/>
          <w:b w:val="0"/>
          <w:bCs/>
          <w:color w:val="auto"/>
          <w:szCs w:val="21"/>
          <w:highlight w:val="none"/>
        </w:rPr>
      </w:pPr>
      <w:r>
        <w:rPr>
          <w:rFonts w:hint="eastAsia" w:ascii="宋体" w:hAnsi="宋体" w:cs="宋体"/>
          <w:b w:val="0"/>
          <w:bCs/>
          <w:color w:val="auto"/>
          <w:szCs w:val="21"/>
          <w:highlight w:val="none"/>
        </w:rPr>
        <w:t>开户银行：</w:t>
      </w:r>
      <w:r>
        <w:rPr>
          <w:rFonts w:hint="eastAsia" w:ascii="宋体" w:hAnsi="宋体" w:cs="宋体"/>
          <w:b w:val="0"/>
          <w:bCs/>
          <w:color w:val="auto"/>
          <w:szCs w:val="21"/>
          <w:highlight w:val="none"/>
          <w:lang w:eastAsia="zh-CN"/>
        </w:rPr>
        <w:t>广西灌阳农村商业银行营业部</w:t>
      </w:r>
      <w:r>
        <w:rPr>
          <w:rFonts w:hint="eastAsia" w:ascii="宋体" w:hAnsi="宋体" w:cs="宋体"/>
          <w:b w:val="0"/>
          <w:bCs/>
          <w:color w:val="auto"/>
          <w:szCs w:val="21"/>
          <w:highlight w:val="none"/>
        </w:rPr>
        <w:t xml:space="preserve">  </w:t>
      </w:r>
    </w:p>
    <w:p>
      <w:pPr>
        <w:tabs>
          <w:tab w:val="left" w:pos="1140"/>
        </w:tabs>
        <w:spacing w:before="0" w:after="0" w:line="400" w:lineRule="exact"/>
        <w:ind w:firstLine="422"/>
        <w:rPr>
          <w:rFonts w:hint="default" w:ascii="宋体" w:hAnsi="宋体" w:eastAsia="宋体" w:cs="宋体"/>
          <w:b w:val="0"/>
          <w:bCs/>
          <w:color w:val="auto"/>
          <w:szCs w:val="21"/>
          <w:highlight w:val="none"/>
          <w:lang w:val="en-US" w:eastAsia="zh-CN"/>
        </w:rPr>
      </w:pPr>
      <w:r>
        <w:rPr>
          <w:rFonts w:hint="eastAsia" w:ascii="宋体" w:hAnsi="宋体" w:cs="宋体"/>
          <w:b w:val="0"/>
          <w:bCs/>
          <w:color w:val="auto"/>
          <w:szCs w:val="21"/>
          <w:highlight w:val="none"/>
        </w:rPr>
        <w:t>银行账号：</w:t>
      </w:r>
      <w:r>
        <w:rPr>
          <w:rFonts w:hint="eastAsia" w:ascii="宋体" w:hAnsi="宋体" w:cs="宋体"/>
          <w:b w:val="0"/>
          <w:bCs/>
          <w:color w:val="auto"/>
          <w:szCs w:val="21"/>
          <w:highlight w:val="none"/>
          <w:lang w:val="en-US" w:eastAsia="zh-CN"/>
        </w:rPr>
        <w:t>325412010102728923</w:t>
      </w:r>
    </w:p>
    <w:p>
      <w:pPr>
        <w:tabs>
          <w:tab w:val="left" w:pos="1140"/>
        </w:tabs>
        <w:spacing w:before="0" w:after="0" w:line="400" w:lineRule="exact"/>
        <w:ind w:firstLine="422"/>
        <w:rPr>
          <w:rFonts w:hint="eastAsia" w:ascii="宋体" w:hAnsi="宋体" w:cs="宋体"/>
          <w:b w:val="0"/>
          <w:bCs/>
          <w:color w:val="auto"/>
          <w:szCs w:val="21"/>
          <w:highlight w:val="none"/>
        </w:rPr>
      </w:pPr>
      <w:r>
        <w:rPr>
          <w:rFonts w:hint="eastAsia" w:ascii="宋体" w:hAnsi="宋体" w:cs="宋体"/>
          <w:b w:val="0"/>
          <w:bCs/>
          <w:color w:val="auto"/>
          <w:szCs w:val="21"/>
          <w:highlight w:val="none"/>
        </w:rPr>
        <w:t>2</w:t>
      </w:r>
      <w:r>
        <w:rPr>
          <w:rFonts w:hint="eastAsia" w:ascii="宋体" w:hAnsi="宋体" w:cs="宋体"/>
          <w:b w:val="0"/>
          <w:bCs/>
          <w:color w:val="auto"/>
          <w:szCs w:val="21"/>
          <w:highlight w:val="none"/>
          <w:lang w:val="en-US" w:eastAsia="zh-CN"/>
        </w:rPr>
        <w:t>8</w:t>
      </w:r>
      <w:r>
        <w:rPr>
          <w:rFonts w:hint="eastAsia" w:ascii="宋体" w:hAnsi="宋体" w:cs="宋体"/>
          <w:b w:val="0"/>
          <w:bCs/>
          <w:color w:val="auto"/>
          <w:szCs w:val="21"/>
          <w:highlight w:val="none"/>
        </w:rPr>
        <w:t>.2如果成交供应商没能按上述第27.1款规定执行，采购人将上报</w:t>
      </w:r>
      <w:r>
        <w:rPr>
          <w:rFonts w:hint="eastAsia" w:ascii="宋体" w:hAnsi="宋体" w:cs="宋体"/>
          <w:b w:val="0"/>
          <w:bCs/>
          <w:color w:val="auto"/>
          <w:szCs w:val="21"/>
          <w:highlight w:val="none"/>
          <w:lang w:eastAsia="zh-CN"/>
        </w:rPr>
        <w:t>灌阳县</w:t>
      </w:r>
      <w:r>
        <w:rPr>
          <w:rFonts w:hint="eastAsia" w:ascii="宋体" w:hAnsi="宋体" w:cs="宋体"/>
          <w:b w:val="0"/>
          <w:bCs/>
          <w:color w:val="auto"/>
          <w:szCs w:val="21"/>
          <w:highlight w:val="none"/>
        </w:rPr>
        <w:t>政府采购监督管理部门，取消成交资格，并有权授予第二成交候选供应商为成交供应商资格或重新组织采购。</w:t>
      </w:r>
    </w:p>
    <w:p>
      <w:pPr>
        <w:tabs>
          <w:tab w:val="left" w:pos="1140"/>
        </w:tabs>
        <w:spacing w:before="0" w:after="0" w:line="400" w:lineRule="exact"/>
        <w:ind w:firstLine="422"/>
        <w:rPr>
          <w:rFonts w:hint="eastAsia" w:ascii="宋体" w:hAnsi="宋体" w:cs="宋体"/>
          <w:b w:val="0"/>
          <w:bCs/>
          <w:color w:val="auto"/>
          <w:szCs w:val="21"/>
          <w:highlight w:val="none"/>
        </w:rPr>
      </w:pPr>
      <w:r>
        <w:rPr>
          <w:rFonts w:hint="eastAsia" w:ascii="宋体" w:hAnsi="宋体" w:cs="宋体"/>
          <w:b w:val="0"/>
          <w:bCs/>
          <w:color w:val="auto"/>
          <w:szCs w:val="21"/>
          <w:highlight w:val="none"/>
        </w:rPr>
        <w:t>2</w:t>
      </w:r>
      <w:r>
        <w:rPr>
          <w:rFonts w:hint="eastAsia" w:ascii="宋体" w:hAnsi="宋体" w:cs="宋体"/>
          <w:b w:val="0"/>
          <w:bCs/>
          <w:color w:val="auto"/>
          <w:szCs w:val="21"/>
          <w:highlight w:val="none"/>
          <w:lang w:val="en-US" w:eastAsia="zh-CN"/>
        </w:rPr>
        <w:t>8</w:t>
      </w:r>
      <w:r>
        <w:rPr>
          <w:rFonts w:hint="eastAsia" w:ascii="宋体" w:hAnsi="宋体" w:cs="宋体"/>
          <w:b w:val="0"/>
          <w:bCs/>
          <w:color w:val="auto"/>
          <w:szCs w:val="21"/>
          <w:highlight w:val="none"/>
        </w:rPr>
        <w:t>.3成交供应商履行完合同约定的权利义务事项且承诺的设备保修期满后，若设备无质量问题，凭《政府采购项目验收单》和履约保证金交纳凭证向采购人申请办理退还手续（无息）。如成交供应商不按双方签订的合同规定履约，则没收其全部履约保证金，履约保证金不足以赔偿损失的，按实际损失赔偿。</w:t>
      </w:r>
    </w:p>
    <w:p>
      <w:pPr>
        <w:tabs>
          <w:tab w:val="left" w:pos="1140"/>
        </w:tabs>
        <w:spacing w:before="0" w:after="0" w:line="400" w:lineRule="exact"/>
        <w:ind w:firstLine="422"/>
        <w:rPr>
          <w:rFonts w:hint="eastAsia" w:ascii="宋体" w:hAnsi="宋体" w:cs="宋体"/>
          <w:b w:val="0"/>
          <w:bCs/>
          <w:color w:val="auto"/>
          <w:szCs w:val="21"/>
          <w:highlight w:val="none"/>
        </w:rPr>
      </w:pPr>
      <w:r>
        <w:rPr>
          <w:rFonts w:hint="eastAsia" w:ascii="宋体" w:hAnsi="宋体" w:cs="宋体"/>
          <w:b w:val="0"/>
          <w:bCs/>
          <w:color w:val="auto"/>
          <w:szCs w:val="21"/>
          <w:highlight w:val="none"/>
        </w:rPr>
        <w:t>2</w:t>
      </w:r>
      <w:r>
        <w:rPr>
          <w:rFonts w:hint="eastAsia" w:ascii="宋体" w:hAnsi="宋体" w:cs="宋体"/>
          <w:b w:val="0"/>
          <w:bCs/>
          <w:color w:val="auto"/>
          <w:szCs w:val="21"/>
          <w:highlight w:val="none"/>
          <w:lang w:val="en-US" w:eastAsia="zh-CN"/>
        </w:rPr>
        <w:t>8</w:t>
      </w:r>
      <w:r>
        <w:rPr>
          <w:rFonts w:hint="eastAsia" w:ascii="宋体" w:hAnsi="宋体" w:cs="宋体"/>
          <w:b w:val="0"/>
          <w:bCs/>
          <w:color w:val="auto"/>
          <w:szCs w:val="21"/>
          <w:highlight w:val="none"/>
        </w:rPr>
        <w:t>.4 在履约保证金到期退还前，若成交供应商的开户名称、开户银行、账号有变动的，以书面形式通知采购人，否则由此产生的后果由成交供应商自负。</w:t>
      </w:r>
    </w:p>
    <w:p>
      <w:pPr>
        <w:tabs>
          <w:tab w:val="left" w:pos="1140"/>
        </w:tabs>
        <w:spacing w:before="0" w:after="0" w:line="400" w:lineRule="exact"/>
        <w:ind w:firstLine="422"/>
        <w:rPr>
          <w:rFonts w:ascii="宋体" w:hAnsi="宋体" w:cs="宋体"/>
          <w:b/>
          <w:color w:val="auto"/>
          <w:szCs w:val="21"/>
          <w:highlight w:val="none"/>
        </w:rPr>
      </w:pPr>
      <w:r>
        <w:rPr>
          <w:rFonts w:hint="eastAsia" w:ascii="宋体" w:hAnsi="宋体" w:cs="宋体"/>
          <w:b/>
          <w:color w:val="auto"/>
          <w:szCs w:val="21"/>
          <w:highlight w:val="none"/>
        </w:rPr>
        <w:t>29. 签订合同</w:t>
      </w:r>
    </w:p>
    <w:p>
      <w:pPr>
        <w:tabs>
          <w:tab w:val="left" w:pos="1140"/>
        </w:tabs>
        <w:spacing w:before="0" w:after="0" w:line="400" w:lineRule="exact"/>
        <w:ind w:firstLine="420"/>
        <w:rPr>
          <w:rFonts w:ascii="宋体" w:hAnsi="宋体" w:cs="宋体"/>
          <w:color w:val="auto"/>
          <w:highlight w:val="none"/>
        </w:rPr>
      </w:pPr>
      <w:r>
        <w:rPr>
          <w:rFonts w:hint="eastAsia" w:ascii="宋体" w:hAnsi="宋体" w:cs="宋体"/>
          <w:color w:val="auto"/>
          <w:highlight w:val="none"/>
        </w:rPr>
        <w:t>29.1 签订合同时间：成交通知书发出之日起</w:t>
      </w:r>
      <w:r>
        <w:rPr>
          <w:rFonts w:hint="eastAsia" w:ascii="宋体" w:hAnsi="宋体" w:cs="宋体"/>
          <w:color w:val="auto"/>
          <w:highlight w:val="none"/>
          <w:lang w:eastAsia="zh-CN"/>
        </w:rPr>
        <w:t>七个工作</w:t>
      </w:r>
      <w:r>
        <w:rPr>
          <w:rFonts w:hint="eastAsia" w:ascii="宋体" w:hAnsi="宋体" w:cs="宋体"/>
          <w:color w:val="auto"/>
          <w:highlight w:val="none"/>
        </w:rPr>
        <w:t>日内。</w:t>
      </w:r>
    </w:p>
    <w:p>
      <w:pPr>
        <w:spacing w:before="0" w:after="0" w:line="400" w:lineRule="exact"/>
        <w:ind w:firstLine="420"/>
        <w:rPr>
          <w:rFonts w:ascii="宋体" w:hAnsi="宋体" w:cs="宋体"/>
          <w:color w:val="auto"/>
          <w:highlight w:val="none"/>
        </w:rPr>
      </w:pPr>
      <w:r>
        <w:rPr>
          <w:rFonts w:hint="eastAsia" w:ascii="宋体" w:hAnsi="宋体" w:cs="宋体"/>
          <w:color w:val="auto"/>
          <w:highlight w:val="none"/>
        </w:rPr>
        <w:t>29.2如成交供应商有下列情形之一的</w:t>
      </w:r>
      <w:r>
        <w:rPr>
          <w:rFonts w:hint="eastAsia" w:ascii="宋体" w:hAnsi="宋体" w:cs="宋体"/>
          <w:color w:val="auto"/>
          <w:highlight w:val="none"/>
          <w:lang w:eastAsia="zh-CN"/>
        </w:rPr>
        <w:t>并且</w:t>
      </w:r>
      <w:r>
        <w:rPr>
          <w:rFonts w:hint="eastAsia" w:ascii="宋体" w:hAnsi="宋体" w:cs="宋体"/>
          <w:color w:val="auto"/>
          <w:highlight w:val="none"/>
        </w:rPr>
        <w:t>情节严重的，由财政部门将其列入不良行为记录名单，在一至三年内禁止参加政府采购活动，并予以通报。采购代理机构可从磋商小组推荐的成交候选人中按顺序重新确定成交供应商或重新组织采购。</w:t>
      </w:r>
      <w:r>
        <w:rPr>
          <w:rFonts w:hint="eastAsia" w:ascii="宋体" w:hAnsi="宋体" w:cs="宋体"/>
          <w:color w:val="auto"/>
          <w:szCs w:val="21"/>
          <w:highlight w:val="none"/>
        </w:rPr>
        <w:t>拒绝签订政府采购合同的成交供应商不得参加对该项目重新开展的采购活动。</w:t>
      </w:r>
    </w:p>
    <w:p>
      <w:pPr>
        <w:widowControl/>
        <w:spacing w:before="0" w:after="0" w:line="400" w:lineRule="exact"/>
        <w:ind w:firstLine="0" w:firstLineChars="0"/>
        <w:jc w:val="left"/>
        <w:rPr>
          <w:rFonts w:ascii="宋体" w:hAnsi="宋体" w:cs="宋体"/>
          <w:color w:val="auto"/>
          <w:highlight w:val="none"/>
        </w:rPr>
      </w:pPr>
      <w:r>
        <w:rPr>
          <w:rFonts w:hint="eastAsia" w:ascii="宋体" w:hAnsi="宋体" w:cs="宋体"/>
          <w:color w:val="auto"/>
          <w:highlight w:val="none"/>
        </w:rPr>
        <w:t>　　（1）成交后不与采购人签订合同的（不可抗力除外）；</w:t>
      </w:r>
    </w:p>
    <w:p>
      <w:pPr>
        <w:widowControl/>
        <w:spacing w:before="0" w:after="0" w:line="400" w:lineRule="exact"/>
        <w:ind w:firstLine="0" w:firstLineChars="0"/>
        <w:jc w:val="left"/>
        <w:rPr>
          <w:rFonts w:ascii="宋体" w:hAnsi="宋体" w:cs="宋体"/>
          <w:color w:val="auto"/>
          <w:highlight w:val="none"/>
        </w:rPr>
      </w:pPr>
      <w:r>
        <w:rPr>
          <w:rFonts w:hint="eastAsia" w:ascii="宋体" w:hAnsi="宋体" w:cs="宋体"/>
          <w:color w:val="auto"/>
          <w:highlight w:val="none"/>
        </w:rPr>
        <w:t xml:space="preserve">    （2）将成交项目转让给他人，或者在响应文件中未说明，且未经采购人同意，将成交项目分包给他人的；</w:t>
      </w:r>
    </w:p>
    <w:p>
      <w:pPr>
        <w:widowControl/>
        <w:spacing w:before="0" w:after="0" w:line="400" w:lineRule="exact"/>
        <w:ind w:firstLine="420" w:firstLineChars="0"/>
        <w:jc w:val="left"/>
        <w:rPr>
          <w:rFonts w:ascii="宋体" w:hAnsi="宋体" w:cs="宋体"/>
          <w:color w:val="auto"/>
          <w:highlight w:val="none"/>
        </w:rPr>
      </w:pPr>
      <w:r>
        <w:rPr>
          <w:rFonts w:hint="eastAsia" w:ascii="宋体" w:hAnsi="宋体" w:cs="宋体"/>
          <w:color w:val="auto"/>
          <w:highlight w:val="none"/>
        </w:rPr>
        <w:t>（3）拒绝履行合同义务的。</w:t>
      </w:r>
    </w:p>
    <w:p>
      <w:pPr>
        <w:spacing w:before="0" w:after="0" w:line="400" w:lineRule="exact"/>
        <w:ind w:firstLine="420"/>
        <w:rPr>
          <w:rFonts w:ascii="宋体" w:hAnsi="宋体" w:cs="宋体"/>
          <w:color w:val="auto"/>
          <w:highlight w:val="none"/>
        </w:rPr>
      </w:pPr>
      <w:r>
        <w:rPr>
          <w:rFonts w:hint="eastAsia" w:ascii="宋体" w:hAnsi="宋体" w:cs="宋体"/>
          <w:color w:val="auto"/>
          <w:highlight w:val="none"/>
        </w:rPr>
        <w:t>29.3 合同备案存档：政府采购合同双方自签订之日起1个工作日内将合同原件两份交采购代理机构。采购代理机构将政府采购合同在省级以上人民政府财政部门指定媒体上公告并于合同签订之日起7个工作日内将一份合同原件送</w:t>
      </w:r>
      <w:r>
        <w:rPr>
          <w:rFonts w:hint="eastAsia" w:ascii="宋体" w:hAnsi="宋体" w:cs="宋体"/>
          <w:color w:val="auto"/>
          <w:highlight w:val="none"/>
          <w:lang w:eastAsia="zh-CN"/>
        </w:rPr>
        <w:t>灌阳县政府采购管理办公室</w:t>
      </w:r>
      <w:r>
        <w:rPr>
          <w:rFonts w:hint="eastAsia" w:ascii="宋体" w:hAnsi="宋体" w:cs="宋体"/>
          <w:color w:val="auto"/>
          <w:highlight w:val="none"/>
        </w:rPr>
        <w:t>备案，一份由采购代理机构存档。</w:t>
      </w:r>
    </w:p>
    <w:p>
      <w:pPr>
        <w:spacing w:before="0" w:after="0" w:line="400" w:lineRule="exact"/>
        <w:ind w:left="3" w:firstLine="0" w:firstLineChars="0"/>
        <w:jc w:val="center"/>
        <w:rPr>
          <w:rFonts w:ascii="宋体" w:hAnsi="宋体" w:cs="宋体"/>
          <w:b/>
          <w:color w:val="auto"/>
          <w:sz w:val="28"/>
          <w:szCs w:val="28"/>
          <w:highlight w:val="none"/>
        </w:rPr>
      </w:pPr>
    </w:p>
    <w:p>
      <w:pPr>
        <w:spacing w:before="0" w:after="0" w:line="400" w:lineRule="exact"/>
        <w:ind w:left="3" w:firstLine="0" w:firstLineChars="0"/>
        <w:jc w:val="center"/>
        <w:rPr>
          <w:rFonts w:ascii="宋体" w:hAnsi="宋体" w:cs="宋体"/>
          <w:b/>
          <w:color w:val="auto"/>
          <w:sz w:val="28"/>
          <w:szCs w:val="28"/>
          <w:highlight w:val="none"/>
        </w:rPr>
      </w:pPr>
      <w:r>
        <w:rPr>
          <w:rFonts w:hint="eastAsia" w:ascii="宋体" w:hAnsi="宋体" w:cs="宋体"/>
          <w:b/>
          <w:color w:val="auto"/>
          <w:sz w:val="28"/>
          <w:szCs w:val="28"/>
          <w:highlight w:val="none"/>
        </w:rPr>
        <w:t>六、其他事项</w:t>
      </w:r>
    </w:p>
    <w:p>
      <w:pPr>
        <w:spacing w:before="0" w:after="0" w:line="400" w:lineRule="exact"/>
        <w:ind w:firstLine="517" w:firstLineChars="245"/>
        <w:rPr>
          <w:rFonts w:ascii="宋体" w:hAnsi="宋体" w:cs="宋体"/>
          <w:b/>
          <w:color w:val="auto"/>
          <w:highlight w:val="none"/>
        </w:rPr>
      </w:pPr>
      <w:r>
        <w:rPr>
          <w:rFonts w:hint="eastAsia" w:ascii="宋体" w:hAnsi="宋体" w:cs="宋体"/>
          <w:b/>
          <w:color w:val="auto"/>
          <w:highlight w:val="none"/>
        </w:rPr>
        <w:t>30</w:t>
      </w:r>
      <w:r>
        <w:rPr>
          <w:rFonts w:hint="eastAsia" w:ascii="宋体" w:hAnsi="宋体" w:cs="宋体"/>
          <w:b/>
          <w:color w:val="auto"/>
          <w:szCs w:val="21"/>
          <w:highlight w:val="none"/>
        </w:rPr>
        <w:t xml:space="preserve">. </w:t>
      </w:r>
      <w:r>
        <w:rPr>
          <w:rFonts w:hint="eastAsia" w:ascii="宋体" w:hAnsi="宋体" w:cs="宋体"/>
          <w:b/>
          <w:color w:val="auto"/>
          <w:highlight w:val="none"/>
        </w:rPr>
        <w:t>采购代理服务费</w:t>
      </w:r>
    </w:p>
    <w:p>
      <w:pPr>
        <w:spacing w:line="400" w:lineRule="exact"/>
        <w:ind w:firstLine="420"/>
        <w:rPr>
          <w:rFonts w:hint="eastAsia" w:ascii="宋体" w:hAnsi="宋体" w:cs="宋体"/>
          <w:color w:val="auto"/>
          <w:szCs w:val="21"/>
          <w:highlight w:val="none"/>
        </w:rPr>
      </w:pPr>
      <w:r>
        <w:rPr>
          <w:rFonts w:hint="eastAsia" w:ascii="宋体" w:hAnsi="宋体" w:cs="宋体"/>
          <w:color w:val="auto"/>
          <w:highlight w:val="none"/>
        </w:rPr>
        <w:t>成交供应商领取成交通知书前，</w:t>
      </w:r>
      <w:r>
        <w:rPr>
          <w:rFonts w:hint="eastAsia" w:ascii="宋体" w:hAnsi="宋体" w:cs="宋体"/>
          <w:color w:val="auto"/>
          <w:szCs w:val="21"/>
          <w:highlight w:val="none"/>
        </w:rPr>
        <w:t>向</w:t>
      </w:r>
      <w:r>
        <w:rPr>
          <w:rFonts w:hint="eastAsia" w:ascii="宋体" w:hAnsi="宋体" w:cs="宋体"/>
          <w:color w:val="auto"/>
          <w:highlight w:val="none"/>
        </w:rPr>
        <w:t>广西科文招标有限公司一次性付清代理服务费。</w:t>
      </w:r>
      <w:r>
        <w:rPr>
          <w:rFonts w:hint="eastAsia" w:ascii="宋体" w:hAnsi="宋体" w:cs="宋体"/>
          <w:color w:val="auto"/>
          <w:szCs w:val="21"/>
          <w:highlight w:val="none"/>
        </w:rPr>
        <w:t>本项目招标代理服务收费标准参照计价格[2002]1980号《招标代理服务收费管理暂行办法》服务类收费标准向成交供应商收取。</w:t>
      </w:r>
    </w:p>
    <w:p>
      <w:pPr>
        <w:pStyle w:val="45"/>
      </w:pPr>
    </w:p>
    <w:tbl>
      <w:tblPr>
        <w:tblStyle w:val="46"/>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1841"/>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880" w:type="dxa"/>
          </w:tcPr>
          <w:p>
            <w:pPr>
              <w:spacing w:before="0" w:after="0" w:line="400" w:lineRule="exact"/>
              <w:ind w:left="23" w:firstLine="0" w:firstLineChars="0"/>
              <w:rPr>
                <w:rFonts w:ascii="宋体" w:hAnsi="宋体" w:cs="宋体"/>
                <w:color w:val="auto"/>
                <w:szCs w:val="21"/>
                <w:highlight w:val="none"/>
              </w:rPr>
            </w:pPr>
            <w:r>
              <w:rPr>
                <w:rFonts w:hint="eastAsia" w:ascii="宋体" w:hAnsi="宋体" w:cs="宋体"/>
                <w:color w:val="auto"/>
                <w:szCs w:val="21"/>
                <w:highlight w:val="none"/>
              </w:rPr>
              <mc:AlternateContent>
                <mc:Choice Requires="wps">
                  <w:drawing>
                    <wp:anchor distT="0" distB="0" distL="0" distR="0" simplePos="0" relativeHeight="1024" behindDoc="0" locked="0" layoutInCell="1" allowOverlap="1">
                      <wp:simplePos x="0" y="0"/>
                      <wp:positionH relativeFrom="column">
                        <wp:posOffset>296545</wp:posOffset>
                      </wp:positionH>
                      <wp:positionV relativeFrom="paragraph">
                        <wp:posOffset>10795</wp:posOffset>
                      </wp:positionV>
                      <wp:extent cx="1463675" cy="653415"/>
                      <wp:effectExtent l="0" t="0" r="0" b="0"/>
                      <wp:wrapNone/>
                      <wp:docPr id="1028" name="直线 109"/>
                      <wp:cNvGraphicFramePr/>
                      <a:graphic xmlns:a="http://schemas.openxmlformats.org/drawingml/2006/main">
                        <a:graphicData uri="http://schemas.microsoft.com/office/word/2010/wordprocessingShape">
                          <wps:wsp>
                            <wps:cNvCnPr/>
                            <wps:spPr>
                              <a:xfrm>
                                <a:off x="0" y="0"/>
                                <a:ext cx="1463675" cy="653415"/>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线 109" o:spid="_x0000_s1026" o:spt="20" style="position:absolute;left:0pt;margin-left:23.35pt;margin-top:0.85pt;height:51.45pt;width:115.25pt;z-index:1024;mso-width-relative:page;mso-height-relative:page;" filled="f" stroked="t" coordsize="21600,21600" o:gfxdata="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IB&#10;UzTWAAAACAEAAA8AAAAAAAAAAQAgAAAAIgAAAGRycy9kb3ducmV2LnhtbFBLAQIUABQAAAAIAIdO&#10;4kAbnqqe7AEAAOMDAAAOAAAAAAAAAAEAIAAAACUBAABkcnMvZTJvRG9jLnhtbFBLBQYAAAAABgAG&#10;AFkBAACDBQAAAAA=&#10;">
                      <v:fill on="f" focussize="0,0"/>
                      <v:stroke color="#000000" joinstyle="round"/>
                      <v:imagedata o:title=""/>
                      <o:lock v:ext="edit" aspectratio="f"/>
                    </v:line>
                  </w:pict>
                </mc:Fallback>
              </mc:AlternateContent>
            </w:r>
            <w:r>
              <w:rPr>
                <w:rFonts w:hint="eastAsia" w:ascii="宋体" w:hAnsi="宋体" w:cs="宋体"/>
                <w:color w:val="auto"/>
                <w:szCs w:val="21"/>
                <w:highlight w:val="none"/>
              </w:rPr>
              <w:t>费率           服务类型</w:t>
            </w:r>
          </w:p>
          <w:p>
            <w:pPr>
              <w:spacing w:before="0" w:after="0" w:line="400" w:lineRule="exact"/>
              <w:ind w:left="23" w:firstLine="0" w:firstLineChars="0"/>
              <w:rPr>
                <w:rFonts w:ascii="宋体" w:hAnsi="宋体" w:cs="宋体"/>
                <w:color w:val="auto"/>
                <w:szCs w:val="21"/>
                <w:highlight w:val="none"/>
              </w:rPr>
            </w:pPr>
            <w:r>
              <w:rPr>
                <w:rFonts w:hint="eastAsia" w:ascii="宋体" w:hAnsi="宋体" w:cs="宋体"/>
                <w:color w:val="auto"/>
                <w:szCs w:val="21"/>
                <w:highlight w:val="none"/>
              </w:rPr>
              <mc:AlternateContent>
                <mc:Choice Requires="wps">
                  <w:drawing>
                    <wp:anchor distT="0" distB="0" distL="0" distR="0" simplePos="0" relativeHeight="1024" behindDoc="0" locked="0" layoutInCell="1" allowOverlap="1">
                      <wp:simplePos x="0" y="0"/>
                      <wp:positionH relativeFrom="column">
                        <wp:posOffset>-68580</wp:posOffset>
                      </wp:positionH>
                      <wp:positionV relativeFrom="paragraph">
                        <wp:posOffset>39370</wp:posOffset>
                      </wp:positionV>
                      <wp:extent cx="1828800" cy="396240"/>
                      <wp:effectExtent l="0" t="0" r="0" b="0"/>
                      <wp:wrapNone/>
                      <wp:docPr id="1029" name="直线 110"/>
                      <wp:cNvGraphicFramePr/>
                      <a:graphic xmlns:a="http://schemas.openxmlformats.org/drawingml/2006/main">
                        <a:graphicData uri="http://schemas.microsoft.com/office/word/2010/wordprocessingShape">
                          <wps:wsp>
                            <wps:cNvCnPr/>
                            <wps:spPr>
                              <a:xfrm>
                                <a:off x="0" y="0"/>
                                <a:ext cx="1828800" cy="396236"/>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线 110" o:spid="_x0000_s1026" o:spt="20" style="position:absolute;left:0pt;margin-left:-5.4pt;margin-top:3.1pt;height:31.2pt;width:144pt;z-index:1024;mso-width-relative:page;mso-height-relative:page;" filled="f" stroked="t" coordsize="21600,21600" o:gfxdata="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ADq9E&#10;1gAAAAgBAAAPAAAAAAAAAAEAIAAAACIAAABkcnMvZG93bnJldi54bWxQSwECFAAUAAAACACHTuJA&#10;FqSQtuoBAADjAwAADgAAAAAAAAABACAAAAAlAQAAZHJzL2Uyb0RvYy54bWxQSwUGAAAAAAYABgBZ&#10;AQAAgQUAAAAA&#10;">
                      <v:fill on="f" focussize="0,0"/>
                      <v:stroke color="#000000" joinstyle="round"/>
                      <v:imagedata o:title=""/>
                      <o:lock v:ext="edit" aspectratio="f"/>
                    </v:line>
                  </w:pict>
                </mc:Fallback>
              </mc:AlternateContent>
            </w:r>
          </w:p>
          <w:p>
            <w:pPr>
              <w:spacing w:before="0" w:after="0" w:line="400" w:lineRule="exact"/>
              <w:ind w:left="23" w:firstLine="0" w:firstLineChars="0"/>
              <w:rPr>
                <w:rFonts w:ascii="宋体" w:hAnsi="宋体" w:cs="宋体"/>
                <w:color w:val="auto"/>
                <w:szCs w:val="21"/>
                <w:highlight w:val="none"/>
              </w:rPr>
            </w:pPr>
            <w:r>
              <w:rPr>
                <w:rFonts w:hint="eastAsia" w:ascii="宋体" w:hAnsi="宋体" w:cs="宋体"/>
                <w:color w:val="auto"/>
                <w:szCs w:val="21"/>
                <w:highlight w:val="none"/>
              </w:rPr>
              <w:t>中标金额（万元）</w:t>
            </w:r>
          </w:p>
        </w:tc>
        <w:tc>
          <w:tcPr>
            <w:tcW w:w="1841" w:type="dxa"/>
            <w:vAlign w:val="center"/>
          </w:tcPr>
          <w:p>
            <w:pPr>
              <w:spacing w:before="0" w:after="0" w:line="400" w:lineRule="exact"/>
              <w:ind w:left="23" w:firstLine="0" w:firstLineChars="0"/>
              <w:jc w:val="center"/>
              <w:rPr>
                <w:rFonts w:ascii="宋体" w:hAnsi="宋体" w:cs="宋体"/>
                <w:color w:val="auto"/>
                <w:szCs w:val="21"/>
                <w:highlight w:val="none"/>
              </w:rPr>
            </w:pPr>
            <w:r>
              <w:rPr>
                <w:rFonts w:hint="eastAsia" w:ascii="宋体" w:hAnsi="宋体" w:cs="宋体"/>
                <w:color w:val="auto"/>
                <w:szCs w:val="21"/>
                <w:highlight w:val="none"/>
              </w:rPr>
              <w:t>货物招标</w:t>
            </w:r>
          </w:p>
        </w:tc>
        <w:tc>
          <w:tcPr>
            <w:tcW w:w="1992" w:type="dxa"/>
            <w:vAlign w:val="center"/>
          </w:tcPr>
          <w:p>
            <w:pPr>
              <w:spacing w:before="0" w:after="0" w:line="400" w:lineRule="exact"/>
              <w:ind w:left="23" w:firstLine="0" w:firstLineChars="0"/>
              <w:jc w:val="center"/>
              <w:rPr>
                <w:rFonts w:ascii="宋体" w:hAnsi="宋体" w:cs="宋体"/>
                <w:color w:val="auto"/>
                <w:szCs w:val="21"/>
                <w:highlight w:val="none"/>
              </w:rPr>
            </w:pPr>
            <w:r>
              <w:rPr>
                <w:rFonts w:hint="eastAsia" w:ascii="宋体" w:hAnsi="宋体" w:cs="宋体"/>
                <w:color w:val="auto"/>
                <w:szCs w:val="21"/>
                <w:highlight w:val="none"/>
              </w:rPr>
              <w:t>服务招标</w:t>
            </w:r>
          </w:p>
        </w:tc>
        <w:tc>
          <w:tcPr>
            <w:tcW w:w="2293" w:type="dxa"/>
            <w:vAlign w:val="center"/>
          </w:tcPr>
          <w:p>
            <w:pPr>
              <w:spacing w:before="0" w:after="0" w:line="400" w:lineRule="exact"/>
              <w:ind w:left="23" w:firstLine="0" w:firstLineChars="0"/>
              <w:jc w:val="center"/>
              <w:rPr>
                <w:rFonts w:ascii="宋体" w:hAnsi="宋体" w:cs="宋体"/>
                <w:color w:val="auto"/>
                <w:szCs w:val="21"/>
                <w:highlight w:val="none"/>
              </w:rPr>
            </w:pPr>
            <w:r>
              <w:rPr>
                <w:rFonts w:hint="eastAsia" w:ascii="宋体" w:hAnsi="宋体" w:cs="宋体"/>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880" w:type="dxa"/>
          </w:tcPr>
          <w:p>
            <w:pPr>
              <w:spacing w:before="0" w:after="0" w:line="400" w:lineRule="exact"/>
              <w:ind w:left="23" w:firstLine="0" w:firstLineChars="0"/>
              <w:rPr>
                <w:rFonts w:ascii="宋体" w:hAnsi="宋体" w:cs="宋体"/>
                <w:color w:val="auto"/>
                <w:szCs w:val="21"/>
                <w:highlight w:val="none"/>
              </w:rPr>
            </w:pPr>
            <w:r>
              <w:rPr>
                <w:rFonts w:hint="eastAsia" w:ascii="宋体" w:hAnsi="宋体" w:cs="宋体"/>
                <w:color w:val="auto"/>
                <w:szCs w:val="21"/>
                <w:highlight w:val="none"/>
              </w:rPr>
              <w:t>100以下</w:t>
            </w:r>
          </w:p>
        </w:tc>
        <w:tc>
          <w:tcPr>
            <w:tcW w:w="1841" w:type="dxa"/>
          </w:tcPr>
          <w:p>
            <w:pPr>
              <w:spacing w:before="0" w:after="0" w:line="400" w:lineRule="exact"/>
              <w:ind w:left="23" w:firstLine="0" w:firstLineChars="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992" w:type="dxa"/>
          </w:tcPr>
          <w:p>
            <w:pPr>
              <w:spacing w:before="0" w:after="0" w:line="400" w:lineRule="exact"/>
              <w:ind w:left="23" w:firstLine="0" w:firstLineChars="0"/>
              <w:jc w:val="center"/>
              <w:rPr>
                <w:rFonts w:ascii="宋体" w:hAnsi="宋体" w:cs="宋体"/>
                <w:color w:val="auto"/>
                <w:szCs w:val="21"/>
                <w:highlight w:val="none"/>
              </w:rPr>
            </w:pPr>
            <w:r>
              <w:rPr>
                <w:rFonts w:hint="eastAsia" w:ascii="宋体" w:hAnsi="宋体" w:cs="宋体"/>
                <w:color w:val="auto"/>
                <w:szCs w:val="21"/>
                <w:highlight w:val="none"/>
              </w:rPr>
              <w:t>1.5%</w:t>
            </w:r>
          </w:p>
        </w:tc>
        <w:tc>
          <w:tcPr>
            <w:tcW w:w="2293" w:type="dxa"/>
          </w:tcPr>
          <w:p>
            <w:pPr>
              <w:spacing w:before="0" w:after="0" w:line="400" w:lineRule="exact"/>
              <w:ind w:left="23" w:firstLine="0" w:firstLineChars="0"/>
              <w:jc w:val="center"/>
              <w:rPr>
                <w:rFonts w:ascii="宋体" w:hAnsi="宋体" w:cs="宋体"/>
                <w:color w:val="auto"/>
                <w:szCs w:val="21"/>
                <w:highlight w:val="none"/>
              </w:rPr>
            </w:pPr>
            <w:r>
              <w:rPr>
                <w:rFonts w:hint="eastAsia" w:ascii="宋体" w:hAnsi="宋体" w:cs="宋体"/>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880" w:type="dxa"/>
          </w:tcPr>
          <w:p>
            <w:pPr>
              <w:spacing w:before="0" w:after="0" w:line="400" w:lineRule="exact"/>
              <w:ind w:left="23" w:firstLine="0" w:firstLineChars="0"/>
              <w:rPr>
                <w:rFonts w:ascii="宋体" w:hAnsi="宋体" w:cs="宋体"/>
                <w:color w:val="auto"/>
                <w:szCs w:val="21"/>
                <w:highlight w:val="none"/>
              </w:rPr>
            </w:pPr>
            <w:r>
              <w:rPr>
                <w:rFonts w:hint="eastAsia" w:ascii="宋体" w:hAnsi="宋体" w:cs="宋体"/>
                <w:color w:val="auto"/>
                <w:szCs w:val="21"/>
                <w:highlight w:val="none"/>
              </w:rPr>
              <w:t>100-500</w:t>
            </w:r>
          </w:p>
        </w:tc>
        <w:tc>
          <w:tcPr>
            <w:tcW w:w="1841" w:type="dxa"/>
          </w:tcPr>
          <w:p>
            <w:pPr>
              <w:spacing w:before="0" w:after="0" w:line="400" w:lineRule="exact"/>
              <w:ind w:left="23" w:firstLine="0" w:firstLineChars="0"/>
              <w:jc w:val="center"/>
              <w:rPr>
                <w:rFonts w:ascii="宋体" w:hAnsi="宋体" w:cs="宋体"/>
                <w:color w:val="auto"/>
                <w:szCs w:val="21"/>
                <w:highlight w:val="none"/>
              </w:rPr>
            </w:pPr>
            <w:r>
              <w:rPr>
                <w:rFonts w:hint="eastAsia" w:ascii="宋体" w:hAnsi="宋体" w:cs="宋体"/>
                <w:color w:val="auto"/>
                <w:szCs w:val="21"/>
                <w:highlight w:val="none"/>
              </w:rPr>
              <w:t>1.1%</w:t>
            </w:r>
          </w:p>
        </w:tc>
        <w:tc>
          <w:tcPr>
            <w:tcW w:w="1992" w:type="dxa"/>
          </w:tcPr>
          <w:p>
            <w:pPr>
              <w:spacing w:before="0" w:after="0" w:line="400" w:lineRule="exact"/>
              <w:ind w:left="23" w:firstLine="0" w:firstLineChars="0"/>
              <w:jc w:val="center"/>
              <w:rPr>
                <w:rFonts w:ascii="宋体" w:hAnsi="宋体" w:cs="宋体"/>
                <w:color w:val="auto"/>
                <w:szCs w:val="21"/>
                <w:highlight w:val="none"/>
              </w:rPr>
            </w:pPr>
            <w:r>
              <w:rPr>
                <w:rFonts w:hint="eastAsia" w:ascii="宋体" w:hAnsi="宋体" w:cs="宋体"/>
                <w:color w:val="auto"/>
                <w:szCs w:val="21"/>
                <w:highlight w:val="none"/>
              </w:rPr>
              <w:t>0.8%</w:t>
            </w:r>
          </w:p>
        </w:tc>
        <w:tc>
          <w:tcPr>
            <w:tcW w:w="2293" w:type="dxa"/>
          </w:tcPr>
          <w:p>
            <w:pPr>
              <w:spacing w:before="0" w:after="0" w:line="400" w:lineRule="exact"/>
              <w:ind w:left="23" w:firstLine="0" w:firstLineChars="0"/>
              <w:jc w:val="center"/>
              <w:rPr>
                <w:rFonts w:ascii="宋体" w:hAnsi="宋体" w:cs="宋体"/>
                <w:color w:val="auto"/>
                <w:szCs w:val="21"/>
                <w:highlight w:val="none"/>
              </w:rPr>
            </w:pPr>
            <w:r>
              <w:rPr>
                <w:rFonts w:hint="eastAsia" w:ascii="宋体" w:hAnsi="宋体" w:cs="宋体"/>
                <w:color w:val="auto"/>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spacing w:before="0" w:after="0" w:line="400" w:lineRule="exact"/>
              <w:ind w:left="23" w:firstLine="0" w:firstLineChars="0"/>
              <w:rPr>
                <w:rFonts w:ascii="宋体" w:hAnsi="宋体" w:cs="宋体"/>
                <w:color w:val="auto"/>
                <w:szCs w:val="21"/>
                <w:highlight w:val="none"/>
              </w:rPr>
            </w:pPr>
            <w:r>
              <w:rPr>
                <w:rFonts w:hint="eastAsia" w:ascii="宋体" w:hAnsi="宋体" w:cs="宋体"/>
                <w:color w:val="auto"/>
                <w:szCs w:val="21"/>
                <w:highlight w:val="none"/>
              </w:rPr>
              <w:t>500-1000</w:t>
            </w:r>
          </w:p>
        </w:tc>
        <w:tc>
          <w:tcPr>
            <w:tcW w:w="1841" w:type="dxa"/>
          </w:tcPr>
          <w:p>
            <w:pPr>
              <w:spacing w:before="0" w:after="0" w:line="400" w:lineRule="exact"/>
              <w:ind w:left="23" w:firstLine="0" w:firstLineChars="0"/>
              <w:jc w:val="center"/>
              <w:rPr>
                <w:rFonts w:ascii="宋体" w:hAnsi="宋体" w:cs="宋体"/>
                <w:color w:val="auto"/>
                <w:szCs w:val="21"/>
                <w:highlight w:val="none"/>
              </w:rPr>
            </w:pPr>
            <w:r>
              <w:rPr>
                <w:rFonts w:hint="eastAsia" w:ascii="宋体" w:hAnsi="宋体" w:cs="宋体"/>
                <w:color w:val="auto"/>
                <w:szCs w:val="21"/>
                <w:highlight w:val="none"/>
              </w:rPr>
              <w:t>0.8%</w:t>
            </w:r>
          </w:p>
        </w:tc>
        <w:tc>
          <w:tcPr>
            <w:tcW w:w="1992" w:type="dxa"/>
          </w:tcPr>
          <w:p>
            <w:pPr>
              <w:spacing w:before="0" w:after="0" w:line="400" w:lineRule="exact"/>
              <w:ind w:left="23" w:firstLine="0" w:firstLineChars="0"/>
              <w:jc w:val="center"/>
              <w:rPr>
                <w:rFonts w:ascii="宋体" w:hAnsi="宋体" w:cs="宋体"/>
                <w:color w:val="auto"/>
                <w:szCs w:val="21"/>
                <w:highlight w:val="none"/>
              </w:rPr>
            </w:pPr>
            <w:r>
              <w:rPr>
                <w:rFonts w:hint="eastAsia" w:ascii="宋体" w:hAnsi="宋体" w:cs="宋体"/>
                <w:color w:val="auto"/>
                <w:szCs w:val="21"/>
                <w:highlight w:val="none"/>
              </w:rPr>
              <w:t>0.45%</w:t>
            </w:r>
          </w:p>
        </w:tc>
        <w:tc>
          <w:tcPr>
            <w:tcW w:w="2293" w:type="dxa"/>
          </w:tcPr>
          <w:p>
            <w:pPr>
              <w:spacing w:before="0" w:after="0" w:line="400" w:lineRule="exact"/>
              <w:ind w:left="23" w:firstLine="0" w:firstLineChars="0"/>
              <w:jc w:val="center"/>
              <w:rPr>
                <w:rFonts w:ascii="宋体" w:hAnsi="宋体" w:cs="宋体"/>
                <w:color w:val="auto"/>
                <w:szCs w:val="21"/>
                <w:highlight w:val="none"/>
              </w:rPr>
            </w:pPr>
            <w:r>
              <w:rPr>
                <w:rFonts w:hint="eastAsia" w:ascii="宋体" w:hAnsi="宋体" w:cs="宋体"/>
                <w:color w:val="auto"/>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spacing w:before="0" w:after="0" w:line="400" w:lineRule="exact"/>
              <w:ind w:left="23" w:firstLine="0" w:firstLineChars="0"/>
              <w:rPr>
                <w:rFonts w:ascii="宋体" w:hAnsi="宋体" w:cs="宋体"/>
                <w:color w:val="auto"/>
                <w:szCs w:val="21"/>
                <w:highlight w:val="none"/>
              </w:rPr>
            </w:pPr>
            <w:r>
              <w:rPr>
                <w:rFonts w:hint="eastAsia" w:ascii="宋体" w:hAnsi="宋体" w:cs="宋体"/>
                <w:color w:val="auto"/>
                <w:szCs w:val="21"/>
                <w:highlight w:val="none"/>
              </w:rPr>
              <w:t>1000-5000</w:t>
            </w:r>
          </w:p>
        </w:tc>
        <w:tc>
          <w:tcPr>
            <w:tcW w:w="1841" w:type="dxa"/>
          </w:tcPr>
          <w:p>
            <w:pPr>
              <w:spacing w:before="0" w:after="0" w:line="400" w:lineRule="exact"/>
              <w:ind w:left="23" w:firstLine="0" w:firstLineChars="0"/>
              <w:jc w:val="center"/>
              <w:rPr>
                <w:rFonts w:ascii="宋体" w:hAnsi="宋体" w:cs="宋体"/>
                <w:color w:val="auto"/>
                <w:szCs w:val="21"/>
                <w:highlight w:val="none"/>
              </w:rPr>
            </w:pPr>
            <w:r>
              <w:rPr>
                <w:rFonts w:hint="eastAsia" w:ascii="宋体" w:hAnsi="宋体" w:cs="宋体"/>
                <w:color w:val="auto"/>
                <w:szCs w:val="21"/>
                <w:highlight w:val="none"/>
              </w:rPr>
              <w:t>0.5%</w:t>
            </w:r>
          </w:p>
        </w:tc>
        <w:tc>
          <w:tcPr>
            <w:tcW w:w="1992" w:type="dxa"/>
          </w:tcPr>
          <w:p>
            <w:pPr>
              <w:spacing w:before="0" w:after="0" w:line="400" w:lineRule="exact"/>
              <w:ind w:left="23" w:firstLine="0" w:firstLineChars="0"/>
              <w:jc w:val="center"/>
              <w:rPr>
                <w:rFonts w:ascii="宋体" w:hAnsi="宋体" w:cs="宋体"/>
                <w:color w:val="auto"/>
                <w:szCs w:val="21"/>
                <w:highlight w:val="none"/>
              </w:rPr>
            </w:pPr>
            <w:r>
              <w:rPr>
                <w:rFonts w:hint="eastAsia" w:ascii="宋体" w:hAnsi="宋体" w:cs="宋体"/>
                <w:color w:val="auto"/>
                <w:szCs w:val="21"/>
                <w:highlight w:val="none"/>
              </w:rPr>
              <w:t>0.25%</w:t>
            </w:r>
          </w:p>
        </w:tc>
        <w:tc>
          <w:tcPr>
            <w:tcW w:w="2293" w:type="dxa"/>
          </w:tcPr>
          <w:p>
            <w:pPr>
              <w:spacing w:before="0" w:after="0" w:line="400" w:lineRule="exact"/>
              <w:ind w:left="23" w:firstLine="0" w:firstLineChars="0"/>
              <w:jc w:val="center"/>
              <w:rPr>
                <w:rFonts w:ascii="宋体" w:hAnsi="宋体" w:cs="宋体"/>
                <w:color w:val="auto"/>
                <w:szCs w:val="21"/>
                <w:highlight w:val="none"/>
              </w:rPr>
            </w:pPr>
            <w:r>
              <w:rPr>
                <w:rFonts w:hint="eastAsia" w:ascii="宋体" w:hAnsi="宋体" w:cs="宋体"/>
                <w:color w:val="auto"/>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spacing w:before="0" w:after="0" w:line="400" w:lineRule="exact"/>
              <w:ind w:left="23" w:firstLine="0" w:firstLineChars="0"/>
              <w:rPr>
                <w:rFonts w:ascii="宋体" w:hAnsi="宋体" w:cs="宋体"/>
                <w:color w:val="auto"/>
                <w:szCs w:val="21"/>
                <w:highlight w:val="none"/>
              </w:rPr>
            </w:pPr>
            <w:r>
              <w:rPr>
                <w:rFonts w:hint="eastAsia" w:ascii="宋体" w:hAnsi="宋体" w:cs="宋体"/>
                <w:color w:val="auto"/>
                <w:szCs w:val="21"/>
                <w:highlight w:val="none"/>
              </w:rPr>
              <w:t>5000-10000</w:t>
            </w:r>
          </w:p>
        </w:tc>
        <w:tc>
          <w:tcPr>
            <w:tcW w:w="1841" w:type="dxa"/>
          </w:tcPr>
          <w:p>
            <w:pPr>
              <w:spacing w:before="0" w:after="0" w:line="400" w:lineRule="exact"/>
              <w:ind w:left="23" w:firstLine="0" w:firstLineChars="0"/>
              <w:jc w:val="center"/>
              <w:rPr>
                <w:rFonts w:ascii="宋体" w:hAnsi="宋体" w:cs="宋体"/>
                <w:color w:val="auto"/>
                <w:szCs w:val="21"/>
                <w:highlight w:val="none"/>
              </w:rPr>
            </w:pPr>
            <w:r>
              <w:rPr>
                <w:rFonts w:hint="eastAsia" w:ascii="宋体" w:hAnsi="宋体" w:cs="宋体"/>
                <w:color w:val="auto"/>
                <w:szCs w:val="21"/>
                <w:highlight w:val="none"/>
              </w:rPr>
              <w:t>0.25%</w:t>
            </w:r>
          </w:p>
        </w:tc>
        <w:tc>
          <w:tcPr>
            <w:tcW w:w="1992" w:type="dxa"/>
          </w:tcPr>
          <w:p>
            <w:pPr>
              <w:spacing w:before="0" w:after="0" w:line="400" w:lineRule="exact"/>
              <w:ind w:left="23" w:firstLine="0" w:firstLineChars="0"/>
              <w:jc w:val="center"/>
              <w:rPr>
                <w:rFonts w:ascii="宋体" w:hAnsi="宋体" w:cs="宋体"/>
                <w:color w:val="auto"/>
                <w:szCs w:val="21"/>
                <w:highlight w:val="none"/>
              </w:rPr>
            </w:pPr>
            <w:r>
              <w:rPr>
                <w:rFonts w:hint="eastAsia" w:ascii="宋体" w:hAnsi="宋体" w:cs="宋体"/>
                <w:color w:val="auto"/>
                <w:szCs w:val="21"/>
                <w:highlight w:val="none"/>
              </w:rPr>
              <w:t>0.1%</w:t>
            </w:r>
          </w:p>
        </w:tc>
        <w:tc>
          <w:tcPr>
            <w:tcW w:w="2293" w:type="dxa"/>
          </w:tcPr>
          <w:p>
            <w:pPr>
              <w:spacing w:before="0" w:after="0" w:line="400" w:lineRule="exact"/>
              <w:ind w:left="23" w:firstLine="0" w:firstLineChars="0"/>
              <w:jc w:val="center"/>
              <w:rPr>
                <w:rFonts w:ascii="宋体" w:hAnsi="宋体" w:cs="宋体"/>
                <w:color w:val="auto"/>
                <w:szCs w:val="21"/>
                <w:highlight w:val="none"/>
              </w:rPr>
            </w:pPr>
            <w:r>
              <w:rPr>
                <w:rFonts w:hint="eastAsia" w:ascii="宋体" w:hAnsi="宋体" w:cs="宋体"/>
                <w:color w:val="auto"/>
                <w:szCs w:val="21"/>
                <w:highlight w:val="none"/>
              </w:rPr>
              <w:t>0.2%</w:t>
            </w:r>
          </w:p>
        </w:tc>
      </w:tr>
    </w:tbl>
    <w:p>
      <w:pPr>
        <w:spacing w:before="0" w:after="0" w:line="400" w:lineRule="exact"/>
        <w:ind w:left="25" w:firstLine="0" w:firstLineChars="0"/>
        <w:rPr>
          <w:rFonts w:ascii="宋体" w:hAnsi="宋体"/>
          <w:color w:val="auto"/>
          <w:szCs w:val="20"/>
          <w:highlight w:val="none"/>
        </w:rPr>
      </w:pPr>
      <w:r>
        <w:rPr>
          <w:rFonts w:hint="eastAsia" w:ascii="宋体" w:hAnsi="宋体"/>
          <w:color w:val="auto"/>
          <w:szCs w:val="20"/>
          <w:highlight w:val="none"/>
        </w:rPr>
        <w:t>注：招标代理服务收费按差额定率累进法计算。</w:t>
      </w:r>
    </w:p>
    <w:p>
      <w:pPr>
        <w:spacing w:before="0" w:after="0" w:line="400" w:lineRule="exact"/>
        <w:ind w:firstLine="422"/>
        <w:rPr>
          <w:rFonts w:ascii="宋体" w:hAnsi="宋体"/>
          <w:b/>
          <w:color w:val="auto"/>
          <w:highlight w:val="none"/>
        </w:rPr>
      </w:pPr>
      <w:r>
        <w:rPr>
          <w:rFonts w:hint="eastAsia" w:ascii="宋体" w:hAnsi="宋体" w:cs="宋体"/>
          <w:b/>
          <w:color w:val="auto"/>
          <w:highlight w:val="none"/>
        </w:rPr>
        <w:t xml:space="preserve">31. </w:t>
      </w:r>
      <w:r>
        <w:rPr>
          <w:rFonts w:hint="eastAsia" w:ascii="宋体" w:hAnsi="宋体"/>
          <w:b/>
          <w:color w:val="auto"/>
          <w:highlight w:val="none"/>
        </w:rPr>
        <w:t>招标代理服务费缴纳账户：</w:t>
      </w:r>
    </w:p>
    <w:p>
      <w:pPr>
        <w:spacing w:before="0" w:after="0" w:line="400" w:lineRule="exact"/>
        <w:ind w:firstLine="420"/>
        <w:rPr>
          <w:rFonts w:ascii="宋体" w:hAnsi="宋体"/>
          <w:color w:val="auto"/>
          <w:highlight w:val="none"/>
        </w:rPr>
      </w:pPr>
      <w:r>
        <w:rPr>
          <w:rFonts w:hint="eastAsia" w:ascii="宋体" w:hAnsi="宋体"/>
          <w:color w:val="auto"/>
          <w:highlight w:val="none"/>
        </w:rPr>
        <w:t>账户名称：广西科文招标有限公司桂林分公司</w:t>
      </w:r>
    </w:p>
    <w:p>
      <w:pPr>
        <w:spacing w:before="0" w:after="0" w:line="400" w:lineRule="exact"/>
        <w:ind w:firstLine="420"/>
        <w:rPr>
          <w:rFonts w:ascii="宋体" w:hAnsi="宋体"/>
          <w:color w:val="auto"/>
          <w:highlight w:val="none"/>
        </w:rPr>
      </w:pPr>
      <w:r>
        <w:rPr>
          <w:rFonts w:hint="eastAsia" w:ascii="宋体" w:hAnsi="宋体"/>
          <w:color w:val="auto"/>
          <w:highlight w:val="none"/>
        </w:rPr>
        <w:t>银行账号：210 3200 2093 0000 2088</w:t>
      </w:r>
    </w:p>
    <w:p>
      <w:pPr>
        <w:spacing w:before="0" w:after="0" w:line="400" w:lineRule="exact"/>
        <w:ind w:firstLine="420"/>
        <w:rPr>
          <w:rFonts w:ascii="宋体" w:hAnsi="宋体" w:cs="宋体"/>
          <w:color w:val="auto"/>
          <w:highlight w:val="none"/>
        </w:rPr>
      </w:pPr>
      <w:r>
        <w:rPr>
          <w:rFonts w:hint="eastAsia" w:ascii="宋体" w:hAnsi="宋体"/>
          <w:color w:val="auto"/>
          <w:highlight w:val="none"/>
        </w:rPr>
        <w:t>开户银行：桂林工行桂湖支行</w:t>
      </w:r>
    </w:p>
    <w:p>
      <w:pPr>
        <w:spacing w:before="0" w:after="0" w:line="400" w:lineRule="exact"/>
        <w:ind w:firstLine="422"/>
        <w:rPr>
          <w:rFonts w:ascii="宋体" w:hAnsi="宋体" w:cs="宋体"/>
          <w:color w:val="auto"/>
          <w:highlight w:val="none"/>
        </w:rPr>
      </w:pPr>
      <w:r>
        <w:rPr>
          <w:rFonts w:hint="eastAsia" w:ascii="宋体" w:hAnsi="宋体" w:cs="宋体"/>
          <w:b/>
          <w:color w:val="auto"/>
          <w:highlight w:val="none"/>
        </w:rPr>
        <w:t>32. 解释权：</w:t>
      </w:r>
      <w:r>
        <w:rPr>
          <w:rFonts w:hint="eastAsia" w:ascii="宋体" w:hAnsi="宋体" w:cs="宋体"/>
          <w:color w:val="auto"/>
          <w:highlight w:val="none"/>
        </w:rPr>
        <w:t>本竞争性磋商文件是根据《中华人民共和国政府采购法》、《中华人民共和国政府采购法实施条例》、《政府采购非招标采购方式管理办法》和政府采购管理有关规定编制，本竞争性磋商文件的解释权属于采购代理机构。</w:t>
      </w:r>
    </w:p>
    <w:p>
      <w:pPr>
        <w:spacing w:before="0" w:after="0" w:line="400" w:lineRule="exact"/>
        <w:ind w:firstLine="422"/>
        <w:rPr>
          <w:rFonts w:ascii="宋体" w:hAnsi="宋体" w:cs="宋体"/>
          <w:color w:val="auto"/>
          <w:highlight w:val="none"/>
        </w:rPr>
      </w:pPr>
      <w:r>
        <w:rPr>
          <w:rFonts w:hint="eastAsia" w:ascii="宋体" w:hAnsi="宋体" w:cs="宋体"/>
          <w:b/>
          <w:color w:val="auto"/>
          <w:highlight w:val="none"/>
        </w:rPr>
        <w:t>33. 监督管理机构：</w:t>
      </w:r>
      <w:r>
        <w:rPr>
          <w:rFonts w:hint="eastAsia" w:ascii="宋体" w:hAnsi="宋体" w:cs="宋体"/>
          <w:color w:val="auto"/>
          <w:highlight w:val="none"/>
          <w:lang w:eastAsia="zh-CN"/>
        </w:rPr>
        <w:t>灌阳县政府采购管理办公室</w:t>
      </w:r>
    </w:p>
    <w:p>
      <w:pPr>
        <w:tabs>
          <w:tab w:val="center" w:pos="4410"/>
          <w:tab w:val="left" w:pos="6735"/>
        </w:tabs>
        <w:spacing w:before="0" w:after="0" w:line="400" w:lineRule="exact"/>
        <w:ind w:firstLine="0" w:firstLineChars="0"/>
        <w:jc w:val="center"/>
        <w:rPr>
          <w:rFonts w:ascii="宋体" w:hAnsi="宋体" w:cs="宋体"/>
          <w:b/>
          <w:color w:val="auto"/>
          <w:sz w:val="32"/>
          <w:szCs w:val="32"/>
          <w:highlight w:val="none"/>
        </w:rPr>
      </w:pPr>
    </w:p>
    <w:p>
      <w:pPr>
        <w:tabs>
          <w:tab w:val="center" w:pos="4410"/>
          <w:tab w:val="left" w:pos="6735"/>
        </w:tabs>
        <w:spacing w:before="0" w:after="0" w:line="400" w:lineRule="exact"/>
        <w:ind w:firstLine="0" w:firstLineChars="0"/>
        <w:jc w:val="center"/>
        <w:rPr>
          <w:rFonts w:ascii="宋体" w:hAnsi="宋体" w:cs="宋体"/>
          <w:b/>
          <w:color w:val="auto"/>
          <w:sz w:val="32"/>
          <w:szCs w:val="32"/>
          <w:highlight w:val="none"/>
        </w:rPr>
      </w:pPr>
    </w:p>
    <w:p>
      <w:pPr>
        <w:tabs>
          <w:tab w:val="center" w:pos="4410"/>
          <w:tab w:val="left" w:pos="6735"/>
        </w:tabs>
        <w:spacing w:before="0" w:after="0" w:line="400" w:lineRule="exact"/>
        <w:ind w:firstLine="0" w:firstLineChars="0"/>
        <w:jc w:val="center"/>
        <w:rPr>
          <w:rFonts w:ascii="宋体" w:hAnsi="宋体" w:cs="宋体"/>
          <w:b/>
          <w:color w:val="auto"/>
          <w:sz w:val="32"/>
          <w:szCs w:val="32"/>
          <w:highlight w:val="none"/>
        </w:rPr>
      </w:pPr>
    </w:p>
    <w:p>
      <w:pPr>
        <w:tabs>
          <w:tab w:val="center" w:pos="4410"/>
          <w:tab w:val="left" w:pos="6735"/>
        </w:tabs>
        <w:spacing w:before="0" w:after="0" w:line="400" w:lineRule="exact"/>
        <w:ind w:firstLine="0" w:firstLineChars="0"/>
        <w:jc w:val="center"/>
        <w:rPr>
          <w:rFonts w:ascii="宋体" w:hAnsi="宋体" w:cs="宋体"/>
          <w:b/>
          <w:color w:val="auto"/>
          <w:sz w:val="32"/>
          <w:szCs w:val="32"/>
          <w:highlight w:val="none"/>
        </w:rPr>
      </w:pPr>
    </w:p>
    <w:p>
      <w:pPr>
        <w:tabs>
          <w:tab w:val="center" w:pos="4410"/>
          <w:tab w:val="left" w:pos="6735"/>
        </w:tabs>
        <w:spacing w:before="0" w:after="0" w:line="400" w:lineRule="exact"/>
        <w:ind w:firstLine="0" w:firstLineChars="0"/>
        <w:jc w:val="center"/>
        <w:rPr>
          <w:rFonts w:ascii="宋体" w:hAnsi="宋体" w:cs="宋体"/>
          <w:b/>
          <w:color w:val="auto"/>
          <w:sz w:val="32"/>
          <w:szCs w:val="32"/>
          <w:highlight w:val="none"/>
        </w:rPr>
      </w:pPr>
    </w:p>
    <w:p>
      <w:pPr>
        <w:tabs>
          <w:tab w:val="center" w:pos="4410"/>
          <w:tab w:val="left" w:pos="6735"/>
        </w:tabs>
        <w:spacing w:before="0" w:after="0" w:line="400" w:lineRule="exact"/>
        <w:ind w:firstLine="0" w:firstLineChars="0"/>
        <w:jc w:val="center"/>
        <w:rPr>
          <w:rFonts w:ascii="宋体" w:hAnsi="宋体" w:cs="宋体"/>
          <w:b/>
          <w:color w:val="auto"/>
          <w:sz w:val="32"/>
          <w:szCs w:val="32"/>
          <w:highlight w:val="none"/>
        </w:rPr>
      </w:pPr>
    </w:p>
    <w:p>
      <w:pPr>
        <w:tabs>
          <w:tab w:val="center" w:pos="4410"/>
          <w:tab w:val="left" w:pos="6735"/>
        </w:tabs>
        <w:spacing w:before="0" w:after="0" w:line="400" w:lineRule="exact"/>
        <w:ind w:firstLine="0" w:firstLineChars="0"/>
        <w:jc w:val="center"/>
        <w:rPr>
          <w:rFonts w:ascii="宋体" w:hAnsi="宋体" w:cs="宋体"/>
          <w:b/>
          <w:color w:val="auto"/>
          <w:sz w:val="32"/>
          <w:szCs w:val="32"/>
          <w:highlight w:val="none"/>
        </w:rPr>
      </w:pPr>
    </w:p>
    <w:p>
      <w:pPr>
        <w:tabs>
          <w:tab w:val="center" w:pos="4410"/>
          <w:tab w:val="left" w:pos="6735"/>
        </w:tabs>
        <w:spacing w:before="0" w:after="0" w:line="400" w:lineRule="exact"/>
        <w:ind w:firstLine="0" w:firstLineChars="0"/>
        <w:jc w:val="center"/>
        <w:rPr>
          <w:rFonts w:ascii="宋体" w:hAnsi="宋体" w:cs="宋体"/>
          <w:b/>
          <w:color w:val="auto"/>
          <w:sz w:val="32"/>
          <w:szCs w:val="32"/>
          <w:highlight w:val="none"/>
        </w:rPr>
      </w:pPr>
    </w:p>
    <w:p>
      <w:pPr>
        <w:tabs>
          <w:tab w:val="center" w:pos="4410"/>
          <w:tab w:val="left" w:pos="6735"/>
        </w:tabs>
        <w:spacing w:before="0" w:after="0" w:line="400" w:lineRule="exact"/>
        <w:ind w:firstLine="0" w:firstLineChars="0"/>
        <w:jc w:val="center"/>
        <w:rPr>
          <w:rFonts w:ascii="宋体" w:hAnsi="宋体" w:cs="宋体"/>
          <w:b/>
          <w:color w:val="auto"/>
          <w:sz w:val="32"/>
          <w:szCs w:val="32"/>
          <w:highlight w:val="none"/>
        </w:rPr>
      </w:pPr>
    </w:p>
    <w:p>
      <w:pPr>
        <w:tabs>
          <w:tab w:val="center" w:pos="4410"/>
          <w:tab w:val="left" w:pos="6735"/>
        </w:tabs>
        <w:spacing w:before="0" w:after="0" w:line="400" w:lineRule="exact"/>
        <w:ind w:firstLine="0" w:firstLineChars="0"/>
        <w:jc w:val="center"/>
        <w:rPr>
          <w:rFonts w:ascii="宋体" w:hAnsi="宋体" w:cs="宋体"/>
          <w:b/>
          <w:color w:val="auto"/>
          <w:sz w:val="32"/>
          <w:szCs w:val="32"/>
          <w:highlight w:val="none"/>
        </w:rPr>
      </w:pPr>
    </w:p>
    <w:p>
      <w:pPr>
        <w:tabs>
          <w:tab w:val="center" w:pos="4410"/>
          <w:tab w:val="left" w:pos="6735"/>
        </w:tabs>
        <w:spacing w:before="0" w:after="0" w:line="400" w:lineRule="exact"/>
        <w:ind w:firstLine="0" w:firstLineChars="0"/>
        <w:jc w:val="center"/>
        <w:rPr>
          <w:rFonts w:ascii="宋体" w:hAnsi="宋体" w:cs="宋体"/>
          <w:b/>
          <w:color w:val="auto"/>
          <w:sz w:val="32"/>
          <w:szCs w:val="32"/>
          <w:highlight w:val="none"/>
        </w:rPr>
      </w:pPr>
    </w:p>
    <w:p>
      <w:pPr>
        <w:tabs>
          <w:tab w:val="center" w:pos="4410"/>
          <w:tab w:val="left" w:pos="6735"/>
        </w:tabs>
        <w:spacing w:before="0" w:after="0" w:line="400" w:lineRule="exact"/>
        <w:ind w:firstLine="0" w:firstLineChars="0"/>
        <w:jc w:val="center"/>
        <w:rPr>
          <w:rFonts w:ascii="宋体" w:hAnsi="宋体" w:cs="宋体"/>
          <w:b/>
          <w:color w:val="auto"/>
          <w:sz w:val="32"/>
          <w:szCs w:val="32"/>
          <w:highlight w:val="none"/>
        </w:rPr>
      </w:pPr>
    </w:p>
    <w:p>
      <w:pPr>
        <w:pStyle w:val="10"/>
        <w:ind w:firstLine="643"/>
        <w:rPr>
          <w:rFonts w:ascii="宋体" w:hAnsi="宋体" w:cs="宋体"/>
          <w:b/>
          <w:color w:val="auto"/>
          <w:sz w:val="32"/>
          <w:szCs w:val="32"/>
          <w:highlight w:val="none"/>
        </w:rPr>
      </w:pPr>
    </w:p>
    <w:p>
      <w:pPr>
        <w:pStyle w:val="10"/>
        <w:ind w:firstLine="643"/>
        <w:rPr>
          <w:rFonts w:ascii="宋体" w:hAnsi="宋体" w:cs="宋体"/>
          <w:b/>
          <w:color w:val="auto"/>
          <w:sz w:val="32"/>
          <w:szCs w:val="32"/>
          <w:highlight w:val="none"/>
        </w:rPr>
      </w:pPr>
    </w:p>
    <w:p>
      <w:pPr>
        <w:pStyle w:val="10"/>
        <w:ind w:firstLine="643"/>
        <w:rPr>
          <w:rFonts w:ascii="宋体" w:hAnsi="宋体" w:cs="宋体"/>
          <w:b/>
          <w:color w:val="auto"/>
          <w:sz w:val="32"/>
          <w:szCs w:val="32"/>
          <w:highlight w:val="none"/>
        </w:rPr>
      </w:pPr>
    </w:p>
    <w:p>
      <w:pPr>
        <w:ind w:firstLine="0" w:firstLineChars="0"/>
        <w:jc w:val="center"/>
        <w:rPr>
          <w:rFonts w:ascii="宋体" w:hAnsi="宋体" w:cs="宋体"/>
          <w:b/>
          <w:color w:val="auto"/>
          <w:sz w:val="32"/>
          <w:szCs w:val="32"/>
          <w:highlight w:val="none"/>
        </w:rPr>
      </w:pPr>
      <w:r>
        <w:rPr>
          <w:rFonts w:hint="eastAsia" w:ascii="宋体" w:hAnsi="宋体" w:cs="宋体"/>
          <w:b/>
          <w:color w:val="auto"/>
          <w:sz w:val="32"/>
          <w:szCs w:val="32"/>
          <w:highlight w:val="none"/>
        </w:rPr>
        <w:t>第三章  服务采购需求</w:t>
      </w:r>
    </w:p>
    <w:tbl>
      <w:tblPr>
        <w:tblStyle w:val="46"/>
        <w:tblW w:w="10105" w:type="dxa"/>
        <w:tblInd w:w="0" w:type="dxa"/>
        <w:tblLayout w:type="fixed"/>
        <w:tblCellMar>
          <w:top w:w="0" w:type="dxa"/>
          <w:left w:w="0" w:type="dxa"/>
          <w:bottom w:w="0" w:type="dxa"/>
          <w:right w:w="0" w:type="dxa"/>
        </w:tblCellMar>
      </w:tblPr>
      <w:tblGrid>
        <w:gridCol w:w="598"/>
        <w:gridCol w:w="964"/>
        <w:gridCol w:w="6829"/>
        <w:gridCol w:w="657"/>
        <w:gridCol w:w="1057"/>
      </w:tblGrid>
      <w:tr>
        <w:tblPrEx>
          <w:tblCellMar>
            <w:top w:w="0" w:type="dxa"/>
            <w:left w:w="0" w:type="dxa"/>
            <w:bottom w:w="0" w:type="dxa"/>
            <w:right w:w="0" w:type="dxa"/>
          </w:tblCellMar>
        </w:tblPrEx>
        <w:trPr>
          <w:trHeight w:val="732" w:hRule="atLeast"/>
        </w:trPr>
        <w:tc>
          <w:tcPr>
            <w:tcW w:w="5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b/>
                <w:bCs/>
                <w:color w:val="auto"/>
                <w:szCs w:val="21"/>
              </w:rPr>
            </w:pPr>
            <w:r>
              <w:rPr>
                <w:rFonts w:hint="eastAsia" w:ascii="宋体" w:hAnsi="宋体" w:eastAsia="宋体" w:cs="宋体"/>
                <w:b/>
                <w:bCs/>
                <w:color w:val="auto"/>
                <w:szCs w:val="21"/>
              </w:rPr>
              <w:t>项号</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b/>
                <w:bCs/>
                <w:color w:val="auto"/>
                <w:szCs w:val="21"/>
              </w:rPr>
            </w:pPr>
            <w:r>
              <w:rPr>
                <w:rFonts w:hint="eastAsia" w:ascii="宋体" w:hAnsi="宋体" w:eastAsia="宋体" w:cs="宋体"/>
                <w:b/>
                <w:bCs/>
                <w:color w:val="auto"/>
                <w:szCs w:val="21"/>
              </w:rPr>
              <w:t>服务项目</w:t>
            </w:r>
          </w:p>
        </w:tc>
        <w:tc>
          <w:tcPr>
            <w:tcW w:w="6829"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b/>
                <w:bCs/>
                <w:color w:val="auto"/>
                <w:szCs w:val="21"/>
              </w:rPr>
            </w:pPr>
            <w:r>
              <w:rPr>
                <w:rFonts w:hint="eastAsia" w:ascii="宋体" w:hAnsi="宋体" w:eastAsia="宋体" w:cs="宋体"/>
                <w:b/>
                <w:bCs/>
                <w:color w:val="auto"/>
                <w:szCs w:val="21"/>
              </w:rPr>
              <w:t>服务需求</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b/>
                <w:bCs/>
                <w:color w:val="auto"/>
                <w:szCs w:val="21"/>
              </w:rPr>
            </w:pPr>
            <w:r>
              <w:rPr>
                <w:rFonts w:hint="eastAsia" w:ascii="宋体" w:hAnsi="宋体" w:eastAsia="宋体" w:cs="宋体"/>
                <w:b/>
                <w:bCs/>
                <w:color w:val="auto"/>
                <w:szCs w:val="21"/>
              </w:rPr>
              <w:t>数量及单位</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b/>
                <w:bCs/>
                <w:color w:val="auto"/>
                <w:szCs w:val="21"/>
                <w:lang w:eastAsia="zh-CN"/>
              </w:rPr>
            </w:pPr>
            <w:r>
              <w:rPr>
                <w:rFonts w:hint="eastAsia" w:ascii="宋体" w:hAnsi="宋体" w:cs="宋体"/>
                <w:b/>
                <w:bCs/>
                <w:color w:val="auto"/>
                <w:szCs w:val="21"/>
                <w:lang w:eastAsia="zh-CN"/>
              </w:rPr>
              <w:t>参考单价（元）</w:t>
            </w:r>
          </w:p>
        </w:tc>
      </w:tr>
      <w:tr>
        <w:tblPrEx>
          <w:tblCellMar>
            <w:top w:w="0" w:type="dxa"/>
            <w:left w:w="0" w:type="dxa"/>
            <w:bottom w:w="0" w:type="dxa"/>
            <w:right w:w="0" w:type="dxa"/>
          </w:tblCellMar>
        </w:tblPrEx>
        <w:trPr>
          <w:trHeight w:val="90" w:hRule="atLeast"/>
        </w:trPr>
        <w:tc>
          <w:tcPr>
            <w:tcW w:w="598"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color w:val="auto"/>
                <w:szCs w:val="21"/>
                <w:lang w:val="en-US" w:eastAsia="zh-CN"/>
              </w:rPr>
            </w:pPr>
            <w:r>
              <w:rPr>
                <w:rFonts w:hint="eastAsia" w:ascii="宋体" w:hAnsi="宋体" w:cs="宋体"/>
                <w:color w:val="auto"/>
                <w:szCs w:val="21"/>
                <w:lang w:val="en-US" w:eastAsia="zh-CN"/>
              </w:rPr>
              <w:t>服务器及</w:t>
            </w:r>
            <w:r>
              <w:rPr>
                <w:rFonts w:hint="eastAsia" w:ascii="宋体" w:hAnsi="宋体" w:eastAsia="宋体" w:cs="宋体"/>
                <w:color w:val="auto"/>
                <w:szCs w:val="21"/>
                <w:lang w:val="en-US" w:eastAsia="zh-CN"/>
              </w:rPr>
              <w:t>软件</w:t>
            </w:r>
          </w:p>
        </w:tc>
        <w:tc>
          <w:tcPr>
            <w:tcW w:w="6829"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400" w:lineRule="exact"/>
              <w:ind w:left="0" w:leftChars="0" w:firstLine="98" w:firstLineChars="47"/>
              <w:jc w:val="left"/>
              <w:rPr>
                <w:rFonts w:hint="eastAsia" w:ascii="宋体" w:hAnsi="宋体" w:eastAsia="宋体" w:cs="宋体"/>
                <w:lang w:val="en-US" w:eastAsia="zh-CN"/>
              </w:rPr>
            </w:pPr>
            <w:r>
              <w:rPr>
                <w:rFonts w:hint="eastAsia" w:ascii="宋体" w:hAnsi="宋体" w:cs="宋体"/>
                <w:lang w:val="en-US" w:eastAsia="zh-CN"/>
              </w:rPr>
              <w:t>一、</w:t>
            </w:r>
            <w:r>
              <w:rPr>
                <w:rFonts w:hint="eastAsia" w:ascii="宋体" w:hAnsi="宋体" w:eastAsia="宋体" w:cs="宋体"/>
                <w:lang w:val="en-US" w:eastAsia="zh-CN"/>
              </w:rPr>
              <w:t>主服务器（科室数量/终端数量：15/1000）</w:t>
            </w:r>
          </w:p>
          <w:p>
            <w:pPr>
              <w:spacing w:before="0" w:after="0" w:line="400" w:lineRule="exact"/>
              <w:ind w:left="0" w:leftChars="0" w:firstLine="98" w:firstLineChars="47"/>
              <w:jc w:val="left"/>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cs="宋体"/>
                <w:lang w:val="en-US" w:eastAsia="zh-CN"/>
              </w:rPr>
              <w:t>、</w:t>
            </w:r>
            <w:r>
              <w:rPr>
                <w:rFonts w:hint="eastAsia" w:ascii="宋体" w:hAnsi="宋体" w:eastAsia="宋体" w:cs="宋体"/>
                <w:lang w:val="en-US" w:eastAsia="zh-CN"/>
              </w:rPr>
              <w:t>CPU</w:t>
            </w:r>
            <w:r>
              <w:rPr>
                <w:rFonts w:hint="eastAsia" w:ascii="宋体" w:hAnsi="宋体" w:cs="宋体"/>
                <w:lang w:val="en-US" w:eastAsia="zh-CN"/>
              </w:rPr>
              <w:t>：</w:t>
            </w:r>
            <w:r>
              <w:rPr>
                <w:rFonts w:hint="eastAsia" w:ascii="宋体" w:hAnsi="宋体" w:eastAsia="宋体" w:cs="宋体"/>
                <w:lang w:val="en-US" w:eastAsia="zh-CN"/>
              </w:rPr>
              <w:t>主频1.7GHz 六核及其以上（Intel 至强 铜牌处理器）</w:t>
            </w:r>
            <w:r>
              <w:rPr>
                <w:rFonts w:hint="eastAsia" w:ascii="宋体" w:hAnsi="宋体" w:cs="宋体"/>
                <w:lang w:val="en-US" w:eastAsia="zh-CN"/>
              </w:rPr>
              <w:t>。</w:t>
            </w:r>
          </w:p>
          <w:p>
            <w:pPr>
              <w:spacing w:before="0" w:after="0" w:line="400" w:lineRule="exact"/>
              <w:ind w:left="0" w:leftChars="0" w:firstLine="98" w:firstLineChars="47"/>
              <w:jc w:val="left"/>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cs="宋体"/>
                <w:lang w:val="en-US" w:eastAsia="zh-CN"/>
              </w:rPr>
              <w:t>、</w:t>
            </w:r>
            <w:r>
              <w:rPr>
                <w:rFonts w:hint="eastAsia" w:ascii="宋体" w:hAnsi="宋体" w:eastAsia="宋体" w:cs="宋体"/>
                <w:lang w:val="en-US" w:eastAsia="zh-CN"/>
              </w:rPr>
              <w:t>内存</w:t>
            </w:r>
            <w:r>
              <w:rPr>
                <w:rFonts w:hint="eastAsia" w:ascii="宋体" w:hAnsi="宋体" w:cs="宋体"/>
                <w:lang w:val="en-US" w:eastAsia="zh-CN"/>
              </w:rPr>
              <w:t>：</w:t>
            </w:r>
            <w:r>
              <w:rPr>
                <w:rFonts w:hint="eastAsia" w:ascii="宋体" w:hAnsi="宋体" w:eastAsia="宋体" w:cs="宋体"/>
                <w:lang w:val="en-US" w:eastAsia="zh-CN"/>
              </w:rPr>
              <w:t>32G（DDR4-2666MHz）及其以上</w:t>
            </w:r>
            <w:r>
              <w:rPr>
                <w:rFonts w:hint="eastAsia" w:ascii="宋体" w:hAnsi="宋体" w:cs="宋体"/>
                <w:lang w:val="en-US" w:eastAsia="zh-CN"/>
              </w:rPr>
              <w:t>。</w:t>
            </w:r>
          </w:p>
          <w:p>
            <w:pPr>
              <w:spacing w:before="0" w:after="0" w:line="400" w:lineRule="exact"/>
              <w:ind w:left="0" w:leftChars="0" w:firstLine="98" w:firstLineChars="47"/>
              <w:jc w:val="left"/>
              <w:rPr>
                <w:rFonts w:hint="eastAsia" w:ascii="宋体" w:hAnsi="宋体" w:eastAsia="宋体" w:cs="宋体"/>
                <w:lang w:val="en-US" w:eastAsia="zh-CN"/>
              </w:rPr>
            </w:pPr>
            <w:r>
              <w:rPr>
                <w:rFonts w:hint="eastAsia" w:ascii="宋体" w:hAnsi="宋体" w:eastAsia="宋体" w:cs="宋体"/>
                <w:lang w:val="en-US" w:eastAsia="zh-CN"/>
              </w:rPr>
              <w:t>3</w:t>
            </w:r>
            <w:r>
              <w:rPr>
                <w:rFonts w:hint="eastAsia" w:ascii="宋体" w:hAnsi="宋体" w:cs="宋体"/>
                <w:lang w:val="en-US" w:eastAsia="zh-CN"/>
              </w:rPr>
              <w:t>、</w:t>
            </w:r>
            <w:r>
              <w:rPr>
                <w:rFonts w:hint="eastAsia" w:ascii="宋体" w:hAnsi="宋体" w:eastAsia="宋体" w:cs="宋体"/>
                <w:lang w:val="en-US" w:eastAsia="zh-CN"/>
              </w:rPr>
              <w:t>硬盘</w:t>
            </w:r>
            <w:r>
              <w:rPr>
                <w:rFonts w:hint="eastAsia" w:ascii="宋体" w:hAnsi="宋体" w:cs="宋体"/>
                <w:lang w:val="en-US" w:eastAsia="zh-CN"/>
              </w:rPr>
              <w:t>：</w:t>
            </w:r>
            <w:r>
              <w:rPr>
                <w:rFonts w:hint="eastAsia" w:ascii="宋体" w:hAnsi="宋体" w:eastAsia="宋体" w:cs="宋体"/>
                <w:lang w:val="en-US" w:eastAsia="zh-CN"/>
              </w:rPr>
              <w:t>2TB*2及以上</w:t>
            </w:r>
            <w:r>
              <w:rPr>
                <w:rFonts w:hint="eastAsia" w:ascii="宋体" w:hAnsi="宋体" w:cs="宋体"/>
                <w:lang w:val="en-US" w:eastAsia="zh-CN"/>
              </w:rPr>
              <w:t>。</w:t>
            </w:r>
          </w:p>
          <w:p>
            <w:pPr>
              <w:spacing w:before="0" w:after="0" w:line="400" w:lineRule="exact"/>
              <w:ind w:left="0" w:leftChars="0" w:firstLine="98" w:firstLineChars="47"/>
              <w:jc w:val="left"/>
              <w:rPr>
                <w:rFonts w:hint="eastAsia" w:ascii="宋体" w:hAnsi="宋体" w:eastAsia="宋体" w:cs="宋体"/>
                <w:lang w:val="en-US" w:eastAsia="zh-CN"/>
              </w:rPr>
            </w:pPr>
            <w:r>
              <w:rPr>
                <w:rFonts w:hint="eastAsia" w:ascii="宋体" w:hAnsi="宋体" w:eastAsia="宋体" w:cs="宋体"/>
                <w:lang w:val="en-US" w:eastAsia="zh-CN"/>
              </w:rPr>
              <w:t>4</w:t>
            </w:r>
            <w:r>
              <w:rPr>
                <w:rFonts w:hint="eastAsia" w:ascii="宋体" w:hAnsi="宋体" w:cs="宋体"/>
                <w:lang w:val="en-US" w:eastAsia="zh-CN"/>
              </w:rPr>
              <w:t>、</w:t>
            </w:r>
            <w:r>
              <w:rPr>
                <w:rFonts w:hint="eastAsia" w:ascii="宋体" w:hAnsi="宋体" w:eastAsia="宋体" w:cs="宋体"/>
                <w:lang w:val="en-US" w:eastAsia="zh-CN"/>
              </w:rPr>
              <w:t>操作系统</w:t>
            </w:r>
            <w:r>
              <w:rPr>
                <w:rFonts w:hint="eastAsia" w:ascii="宋体" w:hAnsi="宋体" w:cs="宋体"/>
                <w:lang w:val="en-US" w:eastAsia="zh-CN"/>
              </w:rPr>
              <w:t>：</w:t>
            </w:r>
            <w:r>
              <w:rPr>
                <w:rFonts w:hint="eastAsia" w:ascii="宋体" w:hAnsi="宋体" w:eastAsia="宋体" w:cs="宋体"/>
                <w:lang w:val="en-US" w:eastAsia="zh-CN"/>
              </w:rPr>
              <w:t>CentOS7操作系统</w:t>
            </w:r>
            <w:r>
              <w:rPr>
                <w:rFonts w:hint="eastAsia" w:ascii="宋体" w:hAnsi="宋体" w:cs="宋体"/>
                <w:lang w:val="en-US" w:eastAsia="zh-CN"/>
              </w:rPr>
              <w:t>。</w:t>
            </w:r>
          </w:p>
          <w:p>
            <w:pPr>
              <w:spacing w:before="0" w:after="0" w:line="400" w:lineRule="exact"/>
              <w:ind w:left="0" w:leftChars="0" w:firstLine="98" w:firstLineChars="47"/>
              <w:jc w:val="left"/>
              <w:rPr>
                <w:rFonts w:hint="eastAsia" w:ascii="宋体" w:hAnsi="宋体" w:cs="宋体"/>
                <w:lang w:val="en-US" w:eastAsia="zh-CN"/>
              </w:rPr>
            </w:pPr>
            <w:r>
              <w:rPr>
                <w:rFonts w:hint="eastAsia" w:ascii="宋体" w:hAnsi="宋体" w:eastAsia="宋体" w:cs="宋体"/>
                <w:lang w:val="en-US" w:eastAsia="zh-CN"/>
              </w:rPr>
              <w:t>5</w:t>
            </w:r>
            <w:r>
              <w:rPr>
                <w:rFonts w:hint="eastAsia" w:ascii="宋体" w:hAnsi="宋体" w:cs="宋体"/>
                <w:lang w:val="en-US" w:eastAsia="zh-CN"/>
              </w:rPr>
              <w:t>、</w:t>
            </w:r>
            <w:r>
              <w:rPr>
                <w:rFonts w:hint="eastAsia" w:ascii="宋体" w:hAnsi="宋体" w:eastAsia="宋体" w:cs="宋体"/>
                <w:lang w:val="en-US" w:eastAsia="zh-CN"/>
              </w:rPr>
              <w:t>运行平台</w:t>
            </w:r>
            <w:r>
              <w:rPr>
                <w:rFonts w:hint="eastAsia" w:ascii="宋体" w:hAnsi="宋体" w:eastAsia="宋体" w:cs="宋体"/>
                <w:lang w:val="en-US" w:eastAsia="zh-CN"/>
              </w:rPr>
              <w:tab/>
            </w:r>
            <w:r>
              <w:rPr>
                <w:rFonts w:hint="eastAsia" w:ascii="宋体" w:hAnsi="宋体" w:cs="宋体"/>
                <w:lang w:val="en-US" w:eastAsia="zh-CN"/>
              </w:rPr>
              <w:t>：</w:t>
            </w:r>
            <w:r>
              <w:rPr>
                <w:rFonts w:hint="eastAsia" w:ascii="宋体" w:hAnsi="宋体" w:eastAsia="宋体" w:cs="宋体"/>
                <w:lang w:val="en-US" w:eastAsia="zh-CN"/>
              </w:rPr>
              <w:t>MySql5.7</w:t>
            </w:r>
            <w:r>
              <w:rPr>
                <w:rFonts w:hint="eastAsia" w:ascii="宋体" w:hAnsi="宋体" w:cs="宋体"/>
                <w:lang w:val="en-US" w:eastAsia="zh-CN"/>
              </w:rPr>
              <w:t>，</w:t>
            </w:r>
            <w:r>
              <w:rPr>
                <w:rFonts w:hint="eastAsia" w:ascii="宋体" w:hAnsi="宋体" w:eastAsia="宋体" w:cs="宋体"/>
                <w:lang w:val="en-US" w:eastAsia="zh-CN"/>
              </w:rPr>
              <w:t>JDK1.8</w:t>
            </w:r>
            <w:r>
              <w:rPr>
                <w:rFonts w:hint="eastAsia" w:ascii="宋体" w:hAnsi="宋体" w:cs="宋体"/>
                <w:lang w:val="en-US" w:eastAsia="zh-CN"/>
              </w:rPr>
              <w:t>。</w:t>
            </w:r>
          </w:p>
          <w:p>
            <w:pPr>
              <w:spacing w:before="0" w:after="0" w:line="400" w:lineRule="exact"/>
              <w:ind w:left="0" w:leftChars="0" w:firstLine="98" w:firstLineChars="47"/>
              <w:jc w:val="left"/>
              <w:rPr>
                <w:rFonts w:hint="eastAsia" w:ascii="宋体" w:hAnsi="宋体" w:cs="宋体"/>
                <w:lang w:val="en-US" w:eastAsia="zh-CN"/>
              </w:rPr>
            </w:pPr>
          </w:p>
          <w:p>
            <w:pPr>
              <w:spacing w:before="0" w:after="0" w:line="400" w:lineRule="exact"/>
              <w:ind w:left="0" w:leftChars="0" w:firstLine="98" w:firstLineChars="47"/>
              <w:jc w:val="left"/>
              <w:rPr>
                <w:rFonts w:hint="eastAsia" w:ascii="宋体" w:hAnsi="宋体" w:cs="宋体"/>
                <w:lang w:val="en-US" w:eastAsia="zh-CN"/>
              </w:rPr>
            </w:pPr>
            <w:r>
              <w:rPr>
                <w:rFonts w:hint="eastAsia" w:ascii="宋体" w:hAnsi="宋体" w:cs="宋体"/>
                <w:lang w:val="en-US" w:eastAsia="zh-CN"/>
              </w:rPr>
              <w:t>二、HPTV服务器</w:t>
            </w:r>
          </w:p>
          <w:p>
            <w:pPr>
              <w:spacing w:before="0" w:after="0" w:line="400" w:lineRule="exact"/>
              <w:ind w:left="0" w:leftChars="0" w:firstLine="98" w:firstLineChars="47"/>
              <w:jc w:val="left"/>
              <w:rPr>
                <w:rFonts w:hint="eastAsia" w:ascii="宋体" w:hAnsi="宋体" w:cs="宋体"/>
                <w:lang w:val="en-US" w:eastAsia="zh-CN"/>
              </w:rPr>
            </w:pPr>
            <w:r>
              <w:rPr>
                <w:rFonts w:hint="eastAsia" w:ascii="宋体" w:hAnsi="宋体" w:cs="宋体"/>
                <w:lang w:val="en-US" w:eastAsia="zh-CN"/>
              </w:rPr>
              <w:t>1、硬件：CPU 主频2.0GHz 12核及其以上。</w:t>
            </w:r>
          </w:p>
          <w:p>
            <w:pPr>
              <w:spacing w:before="0" w:after="0" w:line="400" w:lineRule="exact"/>
              <w:ind w:left="0" w:leftChars="0" w:firstLine="98" w:firstLineChars="47"/>
              <w:jc w:val="left"/>
              <w:rPr>
                <w:rFonts w:hint="eastAsia" w:ascii="宋体" w:hAnsi="宋体" w:cs="宋体"/>
                <w:lang w:val="en-US" w:eastAsia="zh-CN"/>
              </w:rPr>
            </w:pPr>
            <w:r>
              <w:rPr>
                <w:rFonts w:hint="eastAsia" w:ascii="宋体" w:hAnsi="宋体" w:cs="宋体"/>
                <w:lang w:val="en-US" w:eastAsia="zh-CN"/>
              </w:rPr>
              <w:t>2、内存：64G（DDR4-2666MHz）及其以上。</w:t>
            </w:r>
          </w:p>
          <w:p>
            <w:pPr>
              <w:spacing w:before="0" w:after="0" w:line="400" w:lineRule="exact"/>
              <w:ind w:left="0" w:leftChars="0" w:firstLine="98" w:firstLineChars="47"/>
              <w:jc w:val="left"/>
              <w:rPr>
                <w:rFonts w:hint="eastAsia" w:ascii="宋体" w:hAnsi="宋体" w:cs="宋体"/>
                <w:lang w:val="en-US" w:eastAsia="zh-CN"/>
              </w:rPr>
            </w:pPr>
            <w:r>
              <w:rPr>
                <w:rFonts w:hint="eastAsia" w:ascii="宋体" w:hAnsi="宋体" w:cs="宋体"/>
                <w:lang w:val="en-US" w:eastAsia="zh-CN"/>
              </w:rPr>
              <w:t>3、硬盘：2TB*2及以上。</w:t>
            </w:r>
          </w:p>
          <w:p>
            <w:pPr>
              <w:spacing w:before="0" w:after="0" w:line="400" w:lineRule="exact"/>
              <w:ind w:left="0" w:leftChars="0" w:firstLine="98" w:firstLineChars="47"/>
              <w:jc w:val="left"/>
              <w:rPr>
                <w:rFonts w:hint="eastAsia" w:ascii="宋体" w:hAnsi="宋体" w:cs="宋体"/>
                <w:lang w:val="en-US" w:eastAsia="zh-CN"/>
              </w:rPr>
            </w:pPr>
            <w:r>
              <w:rPr>
                <w:rFonts w:hint="eastAsia" w:ascii="宋体" w:hAnsi="宋体" w:cs="宋体"/>
                <w:lang w:val="en-US" w:eastAsia="zh-CN"/>
              </w:rPr>
              <w:t>4、网口：4个千兆网口，2个万兆光口。</w:t>
            </w:r>
          </w:p>
          <w:p>
            <w:pPr>
              <w:spacing w:before="0" w:after="0" w:line="400" w:lineRule="exact"/>
              <w:ind w:left="0" w:leftChars="0" w:firstLine="98" w:firstLineChars="47"/>
              <w:jc w:val="left"/>
              <w:rPr>
                <w:rFonts w:hint="eastAsia" w:ascii="宋体" w:hAnsi="宋体" w:cs="宋体"/>
                <w:lang w:val="en-US" w:eastAsia="zh-CN"/>
              </w:rPr>
            </w:pPr>
            <w:r>
              <w:rPr>
                <w:rFonts w:hint="eastAsia" w:ascii="宋体" w:hAnsi="宋体" w:cs="宋体"/>
                <w:lang w:val="en-US" w:eastAsia="zh-CN"/>
              </w:rPr>
              <w:t>5、软件：操作系统 Linux。</w:t>
            </w:r>
          </w:p>
          <w:p>
            <w:pPr>
              <w:spacing w:before="0" w:after="0" w:line="400" w:lineRule="exact"/>
              <w:ind w:left="0" w:leftChars="0" w:firstLine="98" w:firstLineChars="47"/>
              <w:jc w:val="left"/>
              <w:rPr>
                <w:rFonts w:hint="eastAsia" w:ascii="宋体" w:hAnsi="宋体" w:cs="宋体"/>
                <w:lang w:val="en-US" w:eastAsia="zh-CN"/>
              </w:rPr>
            </w:pPr>
          </w:p>
          <w:p>
            <w:pPr>
              <w:spacing w:before="0" w:after="0" w:line="400" w:lineRule="exact"/>
              <w:ind w:left="0" w:leftChars="0" w:firstLine="98" w:firstLineChars="47"/>
              <w:jc w:val="left"/>
              <w:rPr>
                <w:rFonts w:hint="default" w:ascii="宋体" w:hAnsi="宋体" w:cs="宋体"/>
                <w:lang w:val="en-US" w:eastAsia="zh-CN"/>
              </w:rPr>
            </w:pPr>
            <w:r>
              <w:rPr>
                <w:rFonts w:hint="eastAsia" w:ascii="宋体" w:hAnsi="宋体" w:cs="宋体"/>
                <w:lang w:val="en-US" w:eastAsia="zh-CN"/>
              </w:rPr>
              <w:t>三、软件</w:t>
            </w:r>
          </w:p>
          <w:p>
            <w:pPr>
              <w:spacing w:before="0" w:after="0" w:line="400" w:lineRule="exact"/>
              <w:ind w:left="0" w:leftChars="0" w:firstLine="98" w:firstLineChars="47"/>
              <w:jc w:val="left"/>
              <w:rPr>
                <w:rFonts w:hint="eastAsia" w:ascii="宋体" w:hAnsi="宋体" w:cs="宋体"/>
                <w:lang w:val="en-US" w:eastAsia="zh-CN"/>
              </w:rPr>
            </w:pPr>
            <w:r>
              <w:rPr>
                <w:rFonts w:hint="eastAsia" w:ascii="宋体" w:hAnsi="宋体" w:cs="宋体"/>
                <w:lang w:val="en-US" w:eastAsia="zh-CN"/>
              </w:rPr>
              <w:t>1、医疗级Android系统</w:t>
            </w:r>
          </w:p>
          <w:p>
            <w:pPr>
              <w:spacing w:before="0" w:after="0" w:line="400" w:lineRule="exact"/>
              <w:ind w:left="0" w:leftChars="0" w:firstLine="98" w:firstLineChars="47"/>
              <w:jc w:val="left"/>
              <w:rPr>
                <w:rFonts w:hint="eastAsia" w:ascii="宋体" w:hAnsi="宋体" w:eastAsia="宋体" w:cs="宋体"/>
                <w:lang w:val="en-US" w:eastAsia="zh-CN"/>
              </w:rPr>
            </w:pPr>
            <w:r>
              <w:rPr>
                <w:rFonts w:hint="eastAsia" w:ascii="宋体" w:hAnsi="宋体" w:cs="宋体"/>
                <w:lang w:val="en-US" w:eastAsia="zh-CN"/>
              </w:rPr>
              <w:t>基于Android深度定制</w:t>
            </w:r>
            <w:r>
              <w:rPr>
                <w:rFonts w:hint="eastAsia" w:ascii="宋体" w:hAnsi="宋体" w:eastAsia="宋体" w:cs="宋体"/>
                <w:lang w:val="en-US" w:eastAsia="zh-CN"/>
              </w:rPr>
              <w:t>的医疗级操作系统，具备双核心设计，有效防止死机、采用多重备份以及数据校验恢复设计，防关键数据丢失。为智慧病房持续发展提供扩展性框架。</w:t>
            </w:r>
          </w:p>
          <w:p>
            <w:pPr>
              <w:spacing w:before="0" w:after="0" w:line="400" w:lineRule="exact"/>
              <w:ind w:left="0" w:leftChars="0" w:firstLine="98" w:firstLineChars="47"/>
              <w:jc w:val="left"/>
              <w:rPr>
                <w:rFonts w:hint="eastAsia" w:ascii="宋体" w:hAnsi="宋体" w:eastAsia="宋体" w:cs="宋体"/>
                <w:lang w:val="en-US" w:eastAsia="zh-CN"/>
              </w:rPr>
            </w:pPr>
            <w:r>
              <w:rPr>
                <w:rFonts w:hint="eastAsia" w:ascii="宋体" w:hAnsi="宋体" w:cs="宋体"/>
                <w:lang w:val="en-US" w:eastAsia="zh-CN"/>
              </w:rPr>
              <w:t>2、</w:t>
            </w:r>
            <w:r>
              <w:rPr>
                <w:rFonts w:hint="eastAsia" w:ascii="宋体" w:hAnsi="宋体" w:eastAsia="宋体" w:cs="宋体"/>
                <w:lang w:val="en-US" w:eastAsia="zh-CN"/>
              </w:rPr>
              <w:t>TCP/IP网络通讯协议</w:t>
            </w:r>
          </w:p>
          <w:p>
            <w:pPr>
              <w:spacing w:before="0" w:after="0" w:line="400" w:lineRule="exact"/>
              <w:ind w:left="0" w:leftChars="0" w:firstLine="98" w:firstLineChars="47"/>
              <w:jc w:val="left"/>
              <w:rPr>
                <w:rFonts w:hint="eastAsia" w:ascii="宋体" w:hAnsi="宋体" w:eastAsia="宋体" w:cs="宋体"/>
                <w:lang w:val="en-US" w:eastAsia="zh-CN"/>
              </w:rPr>
            </w:pPr>
            <w:r>
              <w:rPr>
                <w:rFonts w:hint="eastAsia" w:ascii="宋体" w:hAnsi="宋体" w:eastAsia="宋体" w:cs="宋体"/>
                <w:lang w:val="en-US" w:eastAsia="zh-CN"/>
              </w:rPr>
              <w:t>采用标准的TCP/IP网络通讯协议与组网布线方案，适配标准化运维管理与后续扩展。</w:t>
            </w:r>
          </w:p>
          <w:p>
            <w:pPr>
              <w:spacing w:before="0" w:after="0" w:line="400" w:lineRule="exact"/>
              <w:ind w:left="0" w:leftChars="0" w:firstLine="98" w:firstLineChars="47"/>
              <w:jc w:val="left"/>
              <w:rPr>
                <w:rFonts w:hint="eastAsia" w:ascii="宋体" w:hAnsi="宋体" w:eastAsia="宋体" w:cs="宋体"/>
                <w:lang w:val="en-US" w:eastAsia="zh-CN"/>
              </w:rPr>
            </w:pPr>
            <w:r>
              <w:rPr>
                <w:rFonts w:hint="eastAsia" w:ascii="宋体" w:hAnsi="宋体" w:cs="宋体"/>
                <w:lang w:val="en-US" w:eastAsia="zh-CN"/>
              </w:rPr>
              <w:t>3、</w:t>
            </w:r>
            <w:r>
              <w:rPr>
                <w:rFonts w:hint="eastAsia" w:ascii="宋体" w:hAnsi="宋体" w:eastAsia="宋体" w:cs="宋体"/>
                <w:lang w:val="en-US" w:eastAsia="zh-CN"/>
              </w:rPr>
              <w:t>系统应采用集中供电，方便所有终端整体管理。主机电源应具备多重安全防护措施，有效确保系统安全运行。同时内嵌POE供电模块，支持部分科室的特殊改造需求。</w:t>
            </w:r>
          </w:p>
          <w:p>
            <w:pPr>
              <w:spacing w:before="0" w:after="0" w:line="400" w:lineRule="exact"/>
              <w:ind w:left="0" w:leftChars="0" w:firstLine="98" w:firstLineChars="47"/>
              <w:jc w:val="left"/>
              <w:rPr>
                <w:rFonts w:hint="eastAsia" w:ascii="宋体" w:hAnsi="宋体" w:eastAsia="宋体" w:cs="宋体"/>
                <w:lang w:val="en-US" w:eastAsia="zh-CN"/>
              </w:rPr>
            </w:pPr>
            <w:r>
              <w:rPr>
                <w:rFonts w:hint="eastAsia" w:ascii="宋体" w:hAnsi="宋体" w:cs="宋体"/>
                <w:lang w:val="en-US" w:eastAsia="zh-CN"/>
              </w:rPr>
              <w:t>4、</w:t>
            </w:r>
            <w:r>
              <w:rPr>
                <w:rFonts w:hint="eastAsia" w:ascii="宋体" w:hAnsi="宋体" w:eastAsia="宋体" w:cs="宋体"/>
                <w:lang w:val="en-US" w:eastAsia="zh-CN"/>
              </w:rPr>
              <w:t>软件管理平台</w:t>
            </w:r>
          </w:p>
          <w:p>
            <w:pPr>
              <w:spacing w:before="0" w:after="0" w:line="400" w:lineRule="exact"/>
              <w:ind w:left="0" w:leftChars="0" w:firstLine="98" w:firstLineChars="47"/>
              <w:jc w:val="left"/>
              <w:rPr>
                <w:rFonts w:hint="eastAsia" w:ascii="宋体" w:hAnsi="宋体" w:eastAsia="宋体" w:cs="宋体"/>
                <w:lang w:val="en-US" w:eastAsia="zh-CN"/>
              </w:rPr>
            </w:pPr>
            <w:r>
              <w:rPr>
                <w:rFonts w:hint="eastAsia" w:ascii="宋体" w:hAnsi="宋体" w:eastAsia="宋体" w:cs="宋体"/>
                <w:lang w:val="en-US" w:eastAsia="zh-CN"/>
              </w:rPr>
              <w:t>采用B/S体系结构，方便产品部署、使用、定制，通过不同用户的管理权限，可对系统后台进行管理操作，各个功能模块可统一管理或独立运行。</w:t>
            </w:r>
          </w:p>
          <w:p>
            <w:pPr>
              <w:spacing w:before="0" w:after="0" w:line="400" w:lineRule="exact"/>
              <w:ind w:left="0" w:leftChars="0" w:firstLine="98" w:firstLineChars="47"/>
              <w:jc w:val="left"/>
              <w:rPr>
                <w:rFonts w:hint="eastAsia" w:ascii="宋体" w:hAnsi="宋体" w:eastAsia="宋体" w:cs="宋体"/>
                <w:lang w:val="en-US" w:eastAsia="zh-CN"/>
              </w:rPr>
            </w:pPr>
            <w:r>
              <w:rPr>
                <w:rFonts w:hint="eastAsia" w:ascii="宋体" w:hAnsi="宋体" w:cs="宋体"/>
                <w:lang w:val="en-US" w:eastAsia="zh-CN"/>
              </w:rPr>
              <w:t>5、</w:t>
            </w:r>
            <w:r>
              <w:rPr>
                <w:rFonts w:hint="eastAsia" w:ascii="宋体" w:hAnsi="宋体" w:eastAsia="宋体" w:cs="宋体"/>
                <w:lang w:val="en-US" w:eastAsia="zh-CN"/>
              </w:rPr>
              <w:t>信息交互与发布</w:t>
            </w:r>
          </w:p>
          <w:p>
            <w:pPr>
              <w:spacing w:before="0" w:after="0" w:line="400" w:lineRule="exact"/>
              <w:ind w:left="0" w:leftChars="0" w:firstLine="98" w:firstLineChars="47"/>
              <w:jc w:val="left"/>
              <w:rPr>
                <w:rFonts w:hint="eastAsia" w:ascii="宋体" w:hAnsi="宋体" w:eastAsia="宋体" w:cs="宋体"/>
                <w:lang w:val="en-US" w:eastAsia="zh-CN"/>
              </w:rPr>
            </w:pPr>
            <w:r>
              <w:rPr>
                <w:rFonts w:hint="eastAsia" w:ascii="宋体" w:hAnsi="宋体" w:eastAsia="宋体" w:cs="宋体"/>
                <w:lang w:val="en-US" w:eastAsia="zh-CN"/>
              </w:rPr>
              <w:t>能与HIS等医院现有信息系统联网，将患者的住院信息和护理信息自动发布到各个护理通讯终端，为患者诊疗、护理工作开展提供交互支持。</w:t>
            </w:r>
          </w:p>
          <w:p>
            <w:pPr>
              <w:spacing w:before="0" w:after="0" w:line="400" w:lineRule="exact"/>
              <w:ind w:left="0" w:leftChars="0" w:firstLine="98" w:firstLineChars="47"/>
              <w:jc w:val="left"/>
              <w:rPr>
                <w:rFonts w:hint="eastAsia" w:ascii="宋体" w:hAnsi="宋体" w:eastAsia="宋体" w:cs="宋体"/>
                <w:lang w:val="en-US" w:eastAsia="zh-CN"/>
              </w:rPr>
            </w:pPr>
            <w:r>
              <w:rPr>
                <w:rFonts w:hint="eastAsia" w:ascii="宋体" w:hAnsi="宋体" w:cs="宋体"/>
                <w:lang w:val="en-US" w:eastAsia="zh-CN"/>
              </w:rPr>
              <w:t>6、</w:t>
            </w:r>
            <w:r>
              <w:rPr>
                <w:rFonts w:hint="eastAsia" w:ascii="宋体" w:hAnsi="宋体" w:eastAsia="宋体" w:cs="宋体"/>
                <w:lang w:val="en-US" w:eastAsia="zh-CN"/>
              </w:rPr>
              <w:t>多元服务模块</w:t>
            </w:r>
          </w:p>
          <w:p>
            <w:pPr>
              <w:spacing w:before="0" w:after="0" w:line="400" w:lineRule="exact"/>
              <w:ind w:left="0" w:leftChars="0" w:firstLine="98" w:firstLineChars="47"/>
              <w:jc w:val="left"/>
              <w:rPr>
                <w:rFonts w:hint="eastAsia" w:ascii="宋体" w:hAnsi="宋体" w:eastAsia="宋体" w:cs="宋体"/>
                <w:lang w:val="en-US" w:eastAsia="zh-CN"/>
              </w:rPr>
            </w:pPr>
            <w:r>
              <w:rPr>
                <w:rFonts w:hint="eastAsia" w:ascii="宋体" w:hAnsi="宋体" w:eastAsia="宋体" w:cs="宋体"/>
                <w:lang w:val="en-US" w:eastAsia="zh-CN"/>
              </w:rPr>
              <w:t>系统应内置IPTV模块，实现视频点播、电视直播的功能，同时支持餐厅点餐、商超购物、护工聘请等服务，满足患者住院生活需求。</w:t>
            </w:r>
          </w:p>
          <w:p>
            <w:pPr>
              <w:spacing w:before="0" w:after="0" w:line="400" w:lineRule="exact"/>
              <w:ind w:left="0" w:leftChars="0" w:firstLine="98" w:firstLineChars="47"/>
              <w:jc w:val="left"/>
              <w:rPr>
                <w:rFonts w:hint="eastAsia" w:ascii="宋体" w:hAnsi="宋体" w:eastAsia="宋体" w:cs="宋体"/>
                <w:lang w:val="en-US" w:eastAsia="zh-CN"/>
              </w:rPr>
            </w:pPr>
            <w:r>
              <w:rPr>
                <w:rFonts w:hint="eastAsia" w:ascii="宋体" w:hAnsi="宋体" w:cs="宋体"/>
                <w:lang w:val="en-US" w:eastAsia="zh-CN"/>
              </w:rPr>
              <w:t>7、</w:t>
            </w:r>
            <w:r>
              <w:rPr>
                <w:rFonts w:hint="eastAsia" w:ascii="宋体" w:hAnsi="宋体" w:eastAsia="宋体" w:cs="宋体"/>
                <w:lang w:val="en-US" w:eastAsia="zh-CN"/>
              </w:rPr>
              <w:t>专业业务支持</w:t>
            </w:r>
          </w:p>
          <w:p>
            <w:pPr>
              <w:spacing w:before="0" w:after="0" w:line="400" w:lineRule="exact"/>
              <w:ind w:left="0" w:leftChars="0" w:firstLine="98" w:firstLineChars="47"/>
              <w:jc w:val="left"/>
              <w:rPr>
                <w:rFonts w:hint="eastAsia" w:ascii="宋体" w:hAnsi="宋体" w:eastAsia="宋体" w:cs="宋体"/>
                <w:lang w:val="en-US" w:eastAsia="zh-CN"/>
              </w:rPr>
            </w:pPr>
            <w:r>
              <w:rPr>
                <w:rFonts w:hint="eastAsia" w:ascii="宋体" w:hAnsi="宋体" w:eastAsia="宋体" w:cs="宋体"/>
                <w:lang w:val="en-US" w:eastAsia="zh-CN"/>
              </w:rPr>
              <w:t>系统应支持护理宣教、表单评估、体征管理、医生查房、医嘱查看等专业业务，为医护人员提供床旁交互支持。</w:t>
            </w:r>
          </w:p>
          <w:p>
            <w:pPr>
              <w:spacing w:before="0" w:after="0" w:line="400" w:lineRule="exact"/>
              <w:ind w:left="0" w:leftChars="0" w:firstLine="98" w:firstLineChars="47"/>
              <w:jc w:val="left"/>
              <w:rPr>
                <w:rFonts w:hint="eastAsia" w:ascii="宋体" w:hAnsi="宋体" w:eastAsia="宋体" w:cs="宋体"/>
                <w:lang w:val="en-US" w:eastAsia="zh-CN"/>
              </w:rPr>
            </w:pPr>
            <w:r>
              <w:rPr>
                <w:rFonts w:hint="eastAsia" w:ascii="宋体" w:hAnsi="宋体" w:cs="宋体"/>
                <w:lang w:val="en-US" w:eastAsia="zh-CN"/>
              </w:rPr>
              <w:t>8、</w:t>
            </w:r>
            <w:r>
              <w:rPr>
                <w:rFonts w:hint="eastAsia" w:ascii="宋体" w:hAnsi="宋体" w:eastAsia="宋体" w:cs="宋体"/>
                <w:lang w:val="en-US" w:eastAsia="zh-CN"/>
              </w:rPr>
              <w:t>无线方案扩展</w:t>
            </w:r>
          </w:p>
          <w:p>
            <w:pPr>
              <w:spacing w:before="0" w:after="0" w:line="400" w:lineRule="exact"/>
              <w:ind w:left="0" w:leftChars="0" w:firstLine="98" w:firstLineChars="47"/>
              <w:jc w:val="left"/>
              <w:rPr>
                <w:rFonts w:hint="eastAsia" w:ascii="宋体" w:hAnsi="宋体" w:eastAsia="宋体" w:cs="宋体"/>
                <w:lang w:val="en-US" w:eastAsia="zh-CN"/>
              </w:rPr>
            </w:pPr>
            <w:r>
              <w:rPr>
                <w:rFonts w:hint="eastAsia" w:ascii="宋体" w:hAnsi="宋体" w:eastAsia="宋体" w:cs="宋体"/>
                <w:lang w:val="en-US" w:eastAsia="zh-CN"/>
              </w:rPr>
              <w:t xml:space="preserve">可扩展输液报警、生命体征采集设备、数字移动通讯终端等，以无线方式通讯，并实现数据的实时同传共享。 </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pStyle w:val="4"/>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eastAsia="微软雅黑"/>
                <w:lang w:val="en-US" w:eastAsia="zh-CN"/>
              </w:rPr>
            </w:pPr>
            <w:r>
              <w:rPr>
                <w:rFonts w:hint="eastAsia" w:ascii="宋体" w:hAnsi="宋体" w:eastAsia="宋体" w:cs="宋体"/>
                <w:b w:val="0"/>
                <w:bCs w:val="0"/>
                <w:color w:val="auto"/>
                <w:kern w:val="2"/>
                <w:sz w:val="21"/>
                <w:szCs w:val="21"/>
                <w:lang w:val="en-US" w:eastAsia="zh-CN" w:bidi="ar-SA"/>
              </w:rPr>
              <w:t>1套</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pStyle w:val="4"/>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65000.00</w:t>
            </w:r>
          </w:p>
        </w:tc>
      </w:tr>
      <w:tr>
        <w:tblPrEx>
          <w:tblCellMar>
            <w:top w:w="0" w:type="dxa"/>
            <w:left w:w="0" w:type="dxa"/>
            <w:bottom w:w="0" w:type="dxa"/>
            <w:right w:w="0" w:type="dxa"/>
          </w:tblCellMar>
        </w:tblPrEx>
        <w:trPr>
          <w:trHeight w:val="90" w:hRule="atLeast"/>
        </w:trPr>
        <w:tc>
          <w:tcPr>
            <w:tcW w:w="598"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default" w:ascii="宋体" w:hAnsi="宋体" w:eastAsia="宋体" w:cs="宋体"/>
                <w:color w:val="auto"/>
                <w:szCs w:val="21"/>
                <w:lang w:val="en-US" w:eastAsia="zh-CN"/>
              </w:rPr>
            </w:pPr>
            <w:r>
              <w:rPr>
                <w:rFonts w:hint="eastAsia" w:ascii="宋体" w:hAnsi="宋体" w:cs="宋体"/>
                <w:color w:val="auto"/>
                <w:szCs w:val="21"/>
                <w:lang w:val="en-US" w:eastAsia="zh-CN"/>
              </w:rPr>
              <w:t>2</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 xml:space="preserve">医护主机  </w:t>
            </w:r>
          </w:p>
        </w:tc>
        <w:tc>
          <w:tcPr>
            <w:tcW w:w="6829"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一、硬件参数</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1．安卓操作系统，版本号不低于Android 7.1</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2．★显示屏尺寸不低于13.3寸</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 xml:space="preserve">3．★显示屏分辨率不低于1920×1080 </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 xml:space="preserve">4．电容屏触摸屏，支持多点触控 </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5．CPU不低于4核心，主频不低于1.8GHz</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6．★运行内存不低于4G</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7．★机身存储不低于32G</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8．★前置摄像头像素不低于1300万，最大手动调整角度不小于40°</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9．★具备刷卡模块，支持识别医护IC身份卡</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10．★2.4G/5G双频wifi，wifi协议支持2×2MIMO</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11．★双模蓝牙，支持蓝牙4.1</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12．具备HDMI 2.0、Micro USB2.0、RJ45、3.5mm耳机插孔等接口</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13.支持电源适配器供电、POE供电、电源箱集中供电三种方式</w:t>
            </w:r>
          </w:p>
          <w:p>
            <w:pPr>
              <w:spacing w:before="0" w:after="0" w:line="400" w:lineRule="exact"/>
              <w:ind w:left="0" w:leftChars="0" w:firstLine="119" w:firstLineChars="57"/>
              <w:jc w:val="left"/>
              <w:rPr>
                <w:rFonts w:hint="eastAsia" w:ascii="宋体" w:hAnsi="宋体" w:eastAsia="宋体" w:cs="宋体"/>
                <w:lang w:val="en-US" w:eastAsia="zh-CN"/>
              </w:rPr>
            </w:pP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二、软件功能</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1、呼叫管理</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（1）★呼叫处理：根据呼叫类型显示并播报呼叫信息，支持“接通”“挂断”“忽略”三种处理方式，护士可根据实际情况自行选择；</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（2）★双工对讲：支持音频通话与可视对讲，护士通过医护主机可以与患者、值班室的医护人员进行双工对讲；</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（3）★多路通话：支持一个病区多个主机，当一个主机正在通话中时，不影响其他主机等终端处理患者呼叫；</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（4）★患者监护：医护主机支持主动调起患者的床头/床旁分机的摄像头，查看患者的实时情况；</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（5）通话记录：详细展示本护理单元中的历史呼叫记录，包括发起方、被叫方、是否接通、呼叫发起时间、呼叫处理时间、处理方式、通话时长等；</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（6）支持一键清除当前护理单元所有未处理呼叫，节省逐条清除的时间精力。</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2、★床位一览：</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 xml:space="preserve">提供普通模式和极简模式两种展示模式供用户自行切换，普通模式下的床位信息卡详细展示床位号、患者姓名、性别、年龄、护理级别等信息，极简模式下的患者信息卡仅展示床位号与护理级别，同界面下显示更多床位。 </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3、★门禁控制：配合病区门禁分机，实现远程控制病区门禁，可视化处理病区门禁请求。</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4、病区广播：支持对整个病区进行实时或定时的音频宣教广播；支持实时对整个病区进行话筒对讲广播，支持对特定床位进行广播。</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5、护士定位：配合门口分机的护士进入功能，可直接在主机上查看已有护士所在具体房间。</w:t>
            </w:r>
          </w:p>
          <w:p>
            <w:pPr>
              <w:spacing w:before="0" w:after="0" w:line="400" w:lineRule="exact"/>
              <w:ind w:left="0" w:leftChars="0" w:firstLine="120" w:firstLineChars="57"/>
              <w:jc w:val="left"/>
              <w:rPr>
                <w:rFonts w:hint="eastAsia" w:ascii="宋体" w:hAnsi="宋体" w:eastAsia="宋体" w:cs="宋体"/>
                <w:b/>
                <w:bCs/>
                <w:lang w:val="en-US" w:eastAsia="zh-CN"/>
              </w:rPr>
            </w:pPr>
            <w:r>
              <w:rPr>
                <w:rFonts w:hint="eastAsia" w:ascii="宋体" w:hAnsi="宋体" w:eastAsia="宋体" w:cs="宋体"/>
                <w:b/>
                <w:bCs/>
                <w:lang w:val="en-US" w:eastAsia="zh-CN"/>
              </w:rPr>
              <w:t>6、响应文件中提供</w:t>
            </w:r>
            <w:r>
              <w:rPr>
                <w:rFonts w:hint="eastAsia" w:ascii="宋体" w:hAnsi="宋体" w:cs="宋体"/>
                <w:b/>
                <w:bCs/>
                <w:lang w:val="en-US" w:eastAsia="zh-CN"/>
              </w:rPr>
              <w:t>磋商产品</w:t>
            </w:r>
            <w:r>
              <w:rPr>
                <w:rFonts w:hint="eastAsia" w:ascii="宋体" w:hAnsi="宋体" w:eastAsia="宋体" w:cs="宋体"/>
                <w:b/>
                <w:bCs/>
                <w:lang w:val="en-US" w:eastAsia="zh-CN"/>
              </w:rPr>
              <w:t>软件著作权证书及CCC认证证书复印件并加盖磋商供应商公章。</w:t>
            </w:r>
          </w:p>
          <w:p>
            <w:pPr>
              <w:spacing w:before="0" w:after="0" w:line="400" w:lineRule="exact"/>
              <w:ind w:left="0" w:leftChars="0" w:firstLine="119" w:firstLineChars="57"/>
              <w:jc w:val="left"/>
              <w:rPr>
                <w:rFonts w:hint="eastAsia" w:ascii="宋体" w:hAnsi="宋体" w:eastAsia="宋体" w:cs="宋体"/>
                <w:lang w:val="en-US" w:eastAsia="zh-CN"/>
              </w:rPr>
            </w:pP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 xml:space="preserve">三、系统平台软件 </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eastAsia="宋体" w:cs="宋体"/>
                <w:lang w:val="en-US" w:eastAsia="zh-CN"/>
              </w:rPr>
              <w:t>1、账户与权限：管理系统中所有的用户账户信息，并通过护士、护士长、医生、管理员等系统角色的形式将功能权限分配给相关用户，登录后自动显示对应的功能模块</w:t>
            </w:r>
            <w:r>
              <w:rPr>
                <w:rFonts w:hint="eastAsia" w:ascii="宋体" w:hAnsi="宋体" w:cs="宋体"/>
                <w:lang w:val="en-US" w:eastAsia="zh-CN"/>
              </w:rPr>
              <w:t>。</w:t>
            </w:r>
          </w:p>
          <w:p>
            <w:pPr>
              <w:spacing w:before="0" w:after="0" w:line="400" w:lineRule="exact"/>
              <w:ind w:left="0" w:leftChars="0" w:firstLine="119" w:firstLineChars="57"/>
              <w:jc w:val="left"/>
              <w:rPr>
                <w:rFonts w:hint="eastAsia" w:ascii="宋体" w:hAnsi="宋体" w:cs="宋体"/>
                <w:lang w:val="en-US" w:eastAsia="zh-CN"/>
              </w:rPr>
            </w:pPr>
            <w:r>
              <w:rPr>
                <w:rFonts w:hint="eastAsia" w:ascii="宋体" w:hAnsi="宋体" w:eastAsia="宋体" w:cs="宋体"/>
                <w:lang w:val="en-US" w:eastAsia="zh-CN"/>
              </w:rPr>
              <w:t>2、终端管理：显示系统中各项终端的基本信息，可按照设备类型批量对</w:t>
            </w:r>
            <w:r>
              <w:rPr>
                <w:rFonts w:hint="eastAsia" w:ascii="宋体" w:hAnsi="宋体" w:cs="宋体"/>
                <w:lang w:val="en-US" w:eastAsia="zh-CN"/>
              </w:rPr>
              <w:t>各个终端进行升级操作。</w:t>
            </w:r>
          </w:p>
          <w:p>
            <w:pPr>
              <w:spacing w:before="0" w:after="0" w:line="400" w:lineRule="exact"/>
              <w:ind w:left="0" w:leftChars="0" w:firstLine="119" w:firstLineChars="57"/>
              <w:jc w:val="left"/>
              <w:rPr>
                <w:rFonts w:hint="eastAsia" w:ascii="宋体" w:hAnsi="宋体" w:cs="宋体"/>
                <w:lang w:val="en-US" w:eastAsia="zh-CN"/>
              </w:rPr>
            </w:pPr>
            <w:r>
              <w:rPr>
                <w:rFonts w:hint="eastAsia" w:ascii="宋体" w:hAnsi="宋体" w:cs="宋体"/>
                <w:lang w:val="en-US" w:eastAsia="zh-CN"/>
              </w:rPr>
              <w:t>3、调查问卷：统一管理病区、全院的调查问卷，展示答卷的各类统计信息，以及问卷的排序等相关操作。</w:t>
            </w:r>
          </w:p>
          <w:p>
            <w:pPr>
              <w:spacing w:before="0" w:after="0" w:line="400" w:lineRule="exact"/>
              <w:ind w:left="0" w:leftChars="0" w:firstLine="119" w:firstLineChars="57"/>
              <w:jc w:val="left"/>
              <w:rPr>
                <w:rFonts w:hint="eastAsia" w:ascii="宋体" w:hAnsi="宋体" w:cs="宋体"/>
                <w:lang w:val="en-US" w:eastAsia="zh-CN"/>
              </w:rPr>
            </w:pPr>
            <w:r>
              <w:rPr>
                <w:rFonts w:hint="eastAsia" w:ascii="宋体" w:hAnsi="宋体" w:cs="宋体"/>
                <w:lang w:val="en-US" w:eastAsia="zh-CN"/>
              </w:rPr>
              <w:t>4、护理级别管理：统一管理全院的护理级别名称、颜色等信息。</w:t>
            </w:r>
          </w:p>
          <w:p>
            <w:pPr>
              <w:spacing w:before="0" w:after="0" w:line="400" w:lineRule="exact"/>
              <w:ind w:left="0" w:leftChars="0" w:firstLine="119" w:firstLineChars="57"/>
              <w:jc w:val="left"/>
              <w:rPr>
                <w:rFonts w:hint="eastAsia" w:ascii="宋体" w:hAnsi="宋体" w:cs="宋体"/>
                <w:lang w:val="en-US" w:eastAsia="zh-CN"/>
              </w:rPr>
            </w:pPr>
            <w:r>
              <w:rPr>
                <w:rFonts w:hint="eastAsia" w:ascii="宋体" w:hAnsi="宋体" w:cs="宋体"/>
                <w:lang w:val="en-US" w:eastAsia="zh-CN"/>
              </w:rPr>
              <w:t>5、患者一览：通过患者信息卡的形式展示本护理单元患者的基本信息，点击后查看患者详情。</w:t>
            </w:r>
          </w:p>
          <w:p>
            <w:pPr>
              <w:spacing w:before="0" w:after="0" w:line="400" w:lineRule="exact"/>
              <w:ind w:left="0" w:leftChars="0" w:firstLine="119" w:firstLineChars="57"/>
              <w:jc w:val="left"/>
              <w:rPr>
                <w:rFonts w:hint="eastAsia" w:ascii="宋体" w:hAnsi="宋体" w:cs="宋体"/>
                <w:lang w:val="en-US" w:eastAsia="zh-CN"/>
              </w:rPr>
            </w:pPr>
            <w:r>
              <w:rPr>
                <w:rFonts w:hint="eastAsia" w:ascii="宋体" w:hAnsi="宋体" w:cs="宋体"/>
                <w:lang w:val="en-US" w:eastAsia="zh-CN"/>
              </w:rPr>
              <w:t>6、宣教管理：维护本病区和全院的宣教文章、分类及其各类属性设置。</w:t>
            </w:r>
          </w:p>
          <w:p>
            <w:pPr>
              <w:spacing w:before="0" w:after="0" w:line="400" w:lineRule="exact"/>
              <w:ind w:left="0" w:leftChars="0" w:firstLine="119" w:firstLineChars="57"/>
              <w:jc w:val="left"/>
              <w:rPr>
                <w:rFonts w:hint="eastAsia" w:ascii="宋体" w:hAnsi="宋体" w:cs="宋体"/>
                <w:lang w:val="en-US" w:eastAsia="zh-CN"/>
              </w:rPr>
            </w:pPr>
            <w:r>
              <w:rPr>
                <w:rFonts w:hint="eastAsia" w:ascii="宋体" w:hAnsi="宋体" w:cs="宋体"/>
                <w:lang w:val="en-US" w:eastAsia="zh-CN"/>
              </w:rPr>
              <w:t>7、床头卡显示配置：管理本病区包括防跌倒、防压疮在内的各类警示信息在床头卡的展示形式。</w:t>
            </w:r>
          </w:p>
          <w:p>
            <w:pPr>
              <w:spacing w:before="0" w:after="0" w:line="400" w:lineRule="exact"/>
              <w:ind w:left="0" w:leftChars="0" w:firstLine="119" w:firstLineChars="57"/>
              <w:jc w:val="left"/>
              <w:rPr>
                <w:rFonts w:hint="eastAsia" w:ascii="宋体" w:hAnsi="宋体" w:cs="宋体"/>
                <w:lang w:val="en-US" w:eastAsia="zh-CN"/>
              </w:rPr>
            </w:pPr>
            <w:r>
              <w:rPr>
                <w:rFonts w:hint="eastAsia" w:ascii="宋体" w:hAnsi="宋体" w:cs="宋体"/>
                <w:lang w:val="en-US" w:eastAsia="zh-CN"/>
              </w:rPr>
              <w:t>8、系统配置：管理员操作本病区的床头分机、床旁分机、医护主机、门口分机、值班室分机、门禁分机等终端的包括音量亮度在内的各类设置，定时自动修改各个分机的亮度与音量。</w:t>
            </w:r>
          </w:p>
          <w:p>
            <w:pPr>
              <w:spacing w:before="0" w:after="0" w:line="400" w:lineRule="exact"/>
              <w:ind w:left="0" w:leftChars="0" w:firstLine="119" w:firstLineChars="57"/>
              <w:jc w:val="left"/>
              <w:rPr>
                <w:rFonts w:hint="eastAsia" w:ascii="宋体" w:hAnsi="宋体" w:cs="宋体"/>
                <w:lang w:val="en-US" w:eastAsia="zh-CN"/>
              </w:rPr>
            </w:pPr>
            <w:r>
              <w:rPr>
                <w:rFonts w:hint="eastAsia" w:ascii="宋体" w:hAnsi="宋体" w:cs="宋体"/>
                <w:lang w:val="en-US" w:eastAsia="zh-CN"/>
              </w:rPr>
              <w:t>9、呼叫记录：详细展示本病区中的历史呼叫记录，包括发起方、被叫方、是否接通、呼叫发起时间、呼叫处理时间、处理方式、通话时长等。</w:t>
            </w:r>
          </w:p>
          <w:p>
            <w:pPr>
              <w:spacing w:before="0" w:after="0" w:line="400" w:lineRule="exact"/>
              <w:ind w:left="0" w:leftChars="0" w:firstLine="119" w:firstLineChars="57"/>
              <w:jc w:val="left"/>
              <w:rPr>
                <w:rFonts w:hint="eastAsia" w:ascii="宋体" w:hAnsi="宋体" w:cs="宋体"/>
                <w:lang w:val="en-US" w:eastAsia="zh-CN"/>
              </w:rPr>
            </w:pPr>
            <w:r>
              <w:rPr>
                <w:rFonts w:hint="eastAsia" w:ascii="宋体" w:hAnsi="宋体" w:cs="宋体"/>
                <w:lang w:val="en-US" w:eastAsia="zh-CN"/>
              </w:rPr>
              <w:t>10、医护巡视：医护人员在床旁分机上完成查房打卡之后，系统生成的医护巡视记录。</w:t>
            </w:r>
          </w:p>
          <w:p>
            <w:pPr>
              <w:spacing w:before="0" w:after="0" w:line="400" w:lineRule="exact"/>
              <w:ind w:left="0" w:leftChars="0" w:firstLine="119" w:firstLineChars="57"/>
              <w:jc w:val="left"/>
              <w:rPr>
                <w:rFonts w:hint="eastAsia" w:ascii="宋体" w:hAnsi="宋体" w:cs="宋体"/>
                <w:lang w:val="en-US" w:eastAsia="zh-CN"/>
              </w:rPr>
            </w:pPr>
            <w:r>
              <w:rPr>
                <w:rFonts w:hint="eastAsia" w:ascii="宋体" w:hAnsi="宋体" w:cs="宋体"/>
                <w:lang w:val="en-US" w:eastAsia="zh-CN"/>
              </w:rPr>
              <w:t>11、商家管理：管理员统一管理本院所有入驻商家，包括餐厅、超市以及护工中心三类，支持对商家的启用停用以及解锁等操作。</w:t>
            </w:r>
          </w:p>
          <w:p>
            <w:pPr>
              <w:spacing w:before="0" w:after="0" w:line="400" w:lineRule="exact"/>
              <w:ind w:left="0" w:leftChars="0" w:firstLine="119" w:firstLineChars="57"/>
              <w:jc w:val="left"/>
              <w:rPr>
                <w:rFonts w:hint="eastAsia" w:ascii="宋体" w:hAnsi="宋体" w:cs="宋体"/>
                <w:lang w:val="en-US" w:eastAsia="zh-CN"/>
              </w:rPr>
            </w:pPr>
            <w:r>
              <w:rPr>
                <w:rFonts w:hint="eastAsia" w:ascii="宋体" w:hAnsi="宋体" w:cs="宋体"/>
                <w:lang w:val="en-US" w:eastAsia="zh-CN"/>
              </w:rPr>
              <w:t>12、题库管理：管理员统一管理全院的调查问卷题库，方便在新建或编辑问卷的时候直接引用题库中的题目。</w:t>
            </w:r>
          </w:p>
          <w:p>
            <w:pPr>
              <w:spacing w:before="0" w:after="0" w:line="400" w:lineRule="exact"/>
              <w:ind w:left="0" w:leftChars="0" w:firstLine="119" w:firstLineChars="57"/>
              <w:jc w:val="left"/>
              <w:rPr>
                <w:rFonts w:hint="eastAsia" w:ascii="宋体" w:hAnsi="宋体" w:cs="宋体"/>
                <w:lang w:val="en-US" w:eastAsia="zh-CN"/>
              </w:rPr>
            </w:pPr>
            <w:r>
              <w:rPr>
                <w:rFonts w:hint="eastAsia" w:ascii="宋体" w:hAnsi="宋体" w:cs="宋体"/>
                <w:lang w:val="en-US" w:eastAsia="zh-CN"/>
              </w:rPr>
              <w:t>13、操作记录：系统自动记录用户web端的相关重要操作，展示在操作记录表中。</w:t>
            </w:r>
          </w:p>
          <w:p>
            <w:pPr>
              <w:spacing w:before="0" w:after="0" w:line="400" w:lineRule="exact"/>
              <w:ind w:left="0" w:leftChars="0" w:firstLine="119" w:firstLineChars="57"/>
              <w:jc w:val="left"/>
              <w:rPr>
                <w:rFonts w:hint="eastAsia" w:ascii="宋体" w:hAnsi="宋体" w:eastAsia="宋体" w:cs="宋体"/>
                <w:lang w:val="en-US" w:eastAsia="zh-CN"/>
              </w:rPr>
            </w:pPr>
            <w:r>
              <w:rPr>
                <w:rFonts w:hint="eastAsia" w:ascii="宋体" w:hAnsi="宋体" w:cs="宋体"/>
                <w:lang w:val="en-US" w:eastAsia="zh-CN"/>
              </w:rPr>
              <w:t>14、宣教统计：针对每个</w:t>
            </w:r>
            <w:r>
              <w:rPr>
                <w:rFonts w:hint="eastAsia" w:ascii="宋体" w:hAnsi="宋体" w:eastAsia="宋体" w:cs="宋体"/>
                <w:lang w:val="en-US" w:eastAsia="zh-CN"/>
              </w:rPr>
              <w:t>患者统计其宣教文章的观看状态、观看次数以及观看时长</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15</w:t>
            </w:r>
            <w:r>
              <w:rPr>
                <w:rFonts w:hint="eastAsia" w:ascii="宋体" w:hAnsi="宋体" w:cs="宋体"/>
                <w:lang w:val="en-US" w:eastAsia="zh-CN"/>
              </w:rPr>
              <w:t>、</w:t>
            </w:r>
            <w:r>
              <w:rPr>
                <w:rFonts w:hint="eastAsia" w:ascii="宋体" w:hAnsi="宋体" w:eastAsia="宋体" w:cs="宋体"/>
                <w:lang w:val="en-US" w:eastAsia="zh-CN"/>
              </w:rPr>
              <w:t>音频广播：管理主机上的音频广播播出单，设置播出单的播放规则与播放时间</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16</w:t>
            </w:r>
            <w:r>
              <w:rPr>
                <w:rFonts w:hint="eastAsia" w:ascii="宋体" w:hAnsi="宋体" w:cs="宋体"/>
                <w:lang w:val="en-US" w:eastAsia="zh-CN"/>
              </w:rPr>
              <w:t>、</w:t>
            </w:r>
            <w:r>
              <w:rPr>
                <w:rFonts w:hint="eastAsia" w:ascii="宋体" w:hAnsi="宋体" w:eastAsia="宋体" w:cs="宋体"/>
                <w:lang w:val="en-US" w:eastAsia="zh-CN"/>
              </w:rPr>
              <w:t>表单管理：管理系统中的各类护理表单，包括但不限于体温单、血糖单、出入量单、各类评估单等</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17</w:t>
            </w:r>
            <w:r>
              <w:rPr>
                <w:rFonts w:hint="eastAsia" w:ascii="宋体" w:hAnsi="宋体" w:cs="宋体"/>
                <w:lang w:val="en-US" w:eastAsia="zh-CN"/>
              </w:rPr>
              <w:t>、</w:t>
            </w:r>
            <w:r>
              <w:rPr>
                <w:rFonts w:hint="eastAsia" w:ascii="宋体" w:hAnsi="宋体" w:eastAsia="宋体" w:cs="宋体"/>
                <w:lang w:val="en-US" w:eastAsia="zh-CN"/>
              </w:rPr>
              <w:t>具备IPTV模块，与信源进行打通，支持视频点播与电视直播等功能。</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18</w:t>
            </w:r>
            <w:r>
              <w:rPr>
                <w:rFonts w:hint="eastAsia" w:ascii="宋体" w:hAnsi="宋体" w:cs="宋体"/>
                <w:lang w:val="en-US" w:eastAsia="zh-CN"/>
              </w:rPr>
              <w:t>、</w:t>
            </w:r>
            <w:r>
              <w:rPr>
                <w:rFonts w:hint="eastAsia" w:ascii="宋体" w:hAnsi="宋体" w:eastAsia="宋体" w:cs="宋体"/>
                <w:lang w:val="en-US" w:eastAsia="zh-CN"/>
              </w:rPr>
              <w:t>终端安全保障设计：采用RTA终端授权接入机制，有效保障在专有的机构由专有人员将专有探视终端接入专有视频云。</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19</w:t>
            </w:r>
            <w:r>
              <w:rPr>
                <w:rFonts w:hint="eastAsia" w:ascii="宋体" w:hAnsi="宋体" w:cs="宋体"/>
                <w:lang w:val="en-US" w:eastAsia="zh-CN"/>
              </w:rPr>
              <w:t>、</w:t>
            </w:r>
            <w:r>
              <w:rPr>
                <w:rFonts w:hint="eastAsia" w:ascii="宋体" w:hAnsi="宋体" w:eastAsia="宋体" w:cs="宋体"/>
                <w:lang w:val="en-US" w:eastAsia="zh-CN"/>
              </w:rPr>
              <w:t>提供多重防护策略，可防护DDoS、CC、SQL注入、XSS跨站等常见Web服务器漏洞攻击、核心文件非授权访问、路径穿越等，保障网络安全。</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20</w:t>
            </w:r>
            <w:r>
              <w:rPr>
                <w:rFonts w:hint="eastAsia" w:ascii="宋体" w:hAnsi="宋体" w:cs="宋体"/>
                <w:lang w:val="en-US" w:eastAsia="zh-CN"/>
              </w:rPr>
              <w:t>、</w:t>
            </w:r>
            <w:r>
              <w:rPr>
                <w:rFonts w:hint="eastAsia" w:ascii="宋体" w:hAnsi="宋体" w:eastAsia="宋体" w:cs="宋体"/>
                <w:lang w:val="en-US" w:eastAsia="zh-CN"/>
              </w:rPr>
              <w:t>安全传输：HTTPS、WSS、结合数字签名技术，防伪造，防篡改，有效保障数据安全传输。</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pStyle w:val="4"/>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1套</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pStyle w:val="4"/>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28000.00</w:t>
            </w:r>
          </w:p>
        </w:tc>
      </w:tr>
      <w:tr>
        <w:tblPrEx>
          <w:tblCellMar>
            <w:top w:w="0" w:type="dxa"/>
            <w:left w:w="0" w:type="dxa"/>
            <w:bottom w:w="0" w:type="dxa"/>
            <w:right w:w="0" w:type="dxa"/>
          </w:tblCellMar>
        </w:tblPrEx>
        <w:trPr>
          <w:trHeight w:val="90" w:hRule="atLeast"/>
        </w:trPr>
        <w:tc>
          <w:tcPr>
            <w:tcW w:w="598"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default" w:ascii="宋体" w:hAnsi="宋体" w:eastAsia="宋体" w:cs="宋体"/>
                <w:color w:val="auto"/>
                <w:szCs w:val="21"/>
                <w:lang w:val="en-US" w:eastAsia="zh-CN"/>
              </w:rPr>
            </w:pPr>
            <w:r>
              <w:rPr>
                <w:rFonts w:hint="eastAsia" w:ascii="宋体" w:hAnsi="宋体" w:cs="宋体"/>
                <w:color w:val="auto"/>
                <w:szCs w:val="21"/>
                <w:lang w:val="en-US" w:eastAsia="zh-CN"/>
              </w:rPr>
              <w:t>3</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床旁分机</w:t>
            </w:r>
          </w:p>
        </w:tc>
        <w:tc>
          <w:tcPr>
            <w:tcW w:w="6829"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一、硬件要求</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1．安卓操作系统，版本号不低于Android 7.1</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2．显示屏尺寸不低于10.1寸</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3．★显示屏分辨率不低于1920×1200</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4．★显示屏亮度不低于400cd/㎡</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 xml:space="preserve">5．电容屏触摸屏，支持多点触控 </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6．★CPU不低于4核心，主频不低于1.8GHz</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7．★运行内存不低于4G</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8．★机身存储不低于32G</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9．★具备前置摄像头，像素不低于1300万</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10．具备刷卡模块，支持识别医护IC身份卡</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11．★2.4G/5G双频wifi，wifi协议支持2×2MIMO</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12．★双模蓝牙，支持蓝牙4.1</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13．具备USB2.0（Type C）、3.5mm耳机插孔等接口，支持外接卫生间分机与呼叫手柄</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14.★支持电源适配器供电、POE供电、电源箱集中供电三种方式</w:t>
            </w:r>
          </w:p>
          <w:p>
            <w:pPr>
              <w:spacing w:before="0" w:after="0" w:line="400" w:lineRule="exact"/>
              <w:ind w:left="0" w:leftChars="0" w:firstLine="79" w:firstLineChars="38"/>
              <w:jc w:val="left"/>
              <w:rPr>
                <w:rFonts w:hint="eastAsia" w:ascii="宋体" w:hAnsi="宋体" w:eastAsia="宋体" w:cs="宋体"/>
                <w:lang w:val="en-US" w:eastAsia="zh-CN"/>
              </w:rPr>
            </w:pP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二、软件要求</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1、患者应用</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（1）★患者、护士、医生身份认证登录与注销，支持医护刷卡登录与人脸识别登录；</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（2）影音娱乐:支持患者进行电视直播、视频点播、音乐戏曲、电子书等娱乐活动；</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（3）★院内服务：</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提供餐厅点餐、商超购物与护工聘请等院内服务，向患者展示各院内店铺信息及其分类、名称、价格、图片、简介等商品信息，患者加入购物车后集中下单，扩展支持手机扫码支付；</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（4）★消息提醒：具备自动提醒与手动推送两种形式，自动提醒支持欠费提醒、服药提醒、信息变更提醒、手术提醒、检查检验提醒等，手动推送支持对阅读状态的统计；</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（5）费用查询：患者在床旁直接查询在住院期间产生的费用清单，实时了解每日费用信息；</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（6）★体征查询：患者可自行查询自己的相关体征数据与体征曲线图，可配置患者自行录入的体征项，如尿量等出入量；</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（7）★检查检验报告：患者端可清单式查询自己的检查检验报告结果，支持在线阅片；</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（8）调查问卷：利用床旁分机填写调查问卷，提交之后，系统自动记录提交人与提交时间，自动统计各个问题的答题结果，自动根据答题情况打分，并可打印单份的患者答卷；</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（9）充值缴费：对接院内支付结算平台后，患者可使用微信或者支付宝扫描床旁分机的支付二维码，进行住院账户的在线充值，不必再去缴费窗口，即可完成对住院账户的充值；</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（10）★可视通话：患者可以发起视频通话请求，护士站主机接通后，与护士站护士进行视频通话；</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（11）★呼叫转移：护士进入房间，触发门口分机的护士进入之后，床旁分机可处理其他房间发来的呼叫请求；</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2、护理管理应用</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（1）护理床头卡：显示患者的各项信息，如姓名、床号、性别、年龄、入院日期、过敏史、饮食类型等基本信息以及防跌倒、防压疮、非计划拔管等预警信息；</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（2）智能提醒：床旁分机护士端可自动提醒患者缴费、检查检验等信息，让护理人员及时知晓相关信息；</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（3）★智能宣教：系统根据患者诊断等信息，自动匹配展示与其相关宣教文章，内容全面支持文字、图片、音频、视频、word、ppt、PDF等形式，方便患者查看；文字部分支持自动朗读，方便患者接收；</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（4）宣教推送：支持手动推送宣教文章至床旁分机患者端，并统计显示宣教素材使用效果，方便护士有针对性的改进和查缺补漏，及时提醒；</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5）★体征管理：在护士端可视化呈现并管理患者的各项生命体征，支持显示与录入，根据录入数据自动生成相关体温单、血糖单、出入量单等。搭配物联网体征设备可实现体征采集自动上传，无需额外设备，通过床旁分机即可传输体征数据；</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6）★医嘱执行：护士在床旁执行输液、护理、治疗、皮试等各个分类的长期与临时医嘱，系统自动根据医嘱频次拆分长期医嘱，根据输液类医嘱的执行情况自动生成输液巡视单，皮试类医嘱在双签生成皮试结果记录；</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7）护理评估：护士在对患者进行风险评估时，可以使用床旁分机的风险评估模块，系统中预置风险评估表单，包括：跌倒风险评估单、压疮风向评估单、自理能力评估单等等，护士可以一边询问患者，一边填写评估单，完成之后即填写完成，系统自动生成风险级别以及得分，提高护士填写风险评估单的效率；</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（8）护理记录：护士完成护理任务后，使用床旁分机记录重点护理项，支持填写与模板快速填入，系统预置护理记录的各类填写模板，方便护士快速书写护理记录；</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（9）智能闹钟：吸氧、皮试及其他辅助器械使用时，可设置闹钟计时提醒。</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3、医生管理应用</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（1）病历病程：可在医生端调阅患者住院至今的所有病历病程记录并直接查看；</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（2）智慧查房：医护人员在查房模块经过身份验证后，系统自动记录查房人员、床号、查房时间等相关信息，生成表格供相关人员查阅；</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（3）医嘱情况：医生查房时可以调阅查看患者的医嘱情况与皮试情况，为下一步的诊疗计划提供依据；</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4）★临床报告：通过床旁分机的医生端，医生可以调阅患者住院至今的各类检查报告以及检验结果，使用医疗阅片器进行在线阅片，在查看检验结果详情表的同时，可以查看检验单项的历史趋势图，在查房时医生不必再携带纸质版的患者临床报告与报告阅片，减轻医生查房负担；</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（5）手术安排：医护人员可以通过床旁分机查询患者将要进行或已经完成的手术内容与详细信息。</w:t>
            </w:r>
          </w:p>
          <w:p>
            <w:pPr>
              <w:spacing w:before="0" w:after="0" w:line="400" w:lineRule="exact"/>
              <w:ind w:left="0" w:leftChars="0" w:firstLine="80" w:firstLineChars="38"/>
              <w:jc w:val="left"/>
              <w:rPr>
                <w:rFonts w:hint="eastAsia" w:ascii="宋体" w:hAnsi="宋体" w:eastAsia="宋体" w:cs="宋体"/>
                <w:lang w:val="en-US" w:eastAsia="zh-CN"/>
              </w:rPr>
            </w:pPr>
            <w:r>
              <w:rPr>
                <w:rFonts w:hint="eastAsia" w:ascii="宋体" w:hAnsi="宋体" w:eastAsia="宋体" w:cs="宋体"/>
                <w:b/>
                <w:bCs/>
                <w:lang w:val="en-US" w:eastAsia="zh-CN"/>
              </w:rPr>
              <w:t>4、响应文件中提供</w:t>
            </w:r>
            <w:r>
              <w:rPr>
                <w:rFonts w:hint="eastAsia" w:ascii="宋体" w:hAnsi="宋体" w:cs="宋体"/>
                <w:b/>
                <w:bCs/>
                <w:lang w:val="en-US" w:eastAsia="zh-CN"/>
              </w:rPr>
              <w:t>磋商</w:t>
            </w:r>
            <w:r>
              <w:rPr>
                <w:rFonts w:hint="eastAsia" w:ascii="宋体" w:hAnsi="宋体" w:eastAsia="宋体" w:cs="宋体"/>
                <w:b/>
                <w:bCs/>
                <w:lang w:val="en-US" w:eastAsia="zh-CN"/>
              </w:rPr>
              <w:t>产品软件著作权证书复印件并加盖磋商供应商公章。</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pStyle w:val="4"/>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16套</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pStyle w:val="4"/>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4812.50</w:t>
            </w:r>
          </w:p>
        </w:tc>
      </w:tr>
      <w:tr>
        <w:tblPrEx>
          <w:tblCellMar>
            <w:top w:w="0" w:type="dxa"/>
            <w:left w:w="0" w:type="dxa"/>
            <w:bottom w:w="0" w:type="dxa"/>
            <w:right w:w="0" w:type="dxa"/>
          </w:tblCellMar>
        </w:tblPrEx>
        <w:trPr>
          <w:trHeight w:val="90" w:hRule="atLeast"/>
        </w:trPr>
        <w:tc>
          <w:tcPr>
            <w:tcW w:w="598"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default" w:ascii="宋体" w:hAnsi="宋体" w:eastAsia="宋体" w:cs="宋体"/>
                <w:color w:val="auto"/>
                <w:szCs w:val="21"/>
                <w:lang w:val="en-US" w:eastAsia="zh-CN"/>
              </w:rPr>
            </w:pPr>
            <w:r>
              <w:rPr>
                <w:rFonts w:hint="eastAsia" w:ascii="宋体" w:hAnsi="宋体" w:cs="宋体"/>
                <w:color w:val="auto"/>
                <w:szCs w:val="21"/>
                <w:lang w:val="en-US" w:eastAsia="zh-CN"/>
              </w:rPr>
              <w:t>4</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落地支架</w:t>
            </w:r>
          </w:p>
        </w:tc>
        <w:tc>
          <w:tcPr>
            <w:tcW w:w="6829" w:type="dxa"/>
            <w:tcBorders>
              <w:top w:val="single" w:color="000000" w:sz="4" w:space="0"/>
              <w:left w:val="single" w:color="000000" w:sz="4" w:space="0"/>
              <w:bottom w:val="single" w:color="000000" w:sz="4" w:space="0"/>
              <w:right w:val="single" w:color="000000" w:sz="4" w:space="0"/>
            </w:tcBorders>
            <w:noWrap w:val="0"/>
            <w:vAlign w:val="center"/>
          </w:tcPr>
          <w:p>
            <w:pPr>
              <w:spacing w:before="0" w:after="0" w:line="400" w:lineRule="exact"/>
              <w:ind w:left="0" w:leftChars="0" w:firstLine="79" w:firstLineChars="38"/>
              <w:jc w:val="both"/>
              <w:rPr>
                <w:rFonts w:hint="eastAsia" w:ascii="宋体" w:hAnsi="宋体" w:eastAsia="宋体" w:cs="宋体"/>
                <w:lang w:val="en-US" w:eastAsia="zh-CN"/>
              </w:rPr>
            </w:pPr>
            <w:r>
              <w:rPr>
                <w:rFonts w:hint="eastAsia" w:ascii="宋体" w:hAnsi="宋体" w:eastAsia="宋体" w:cs="宋体"/>
                <w:color w:val="auto"/>
                <w:szCs w:val="21"/>
                <w:lang w:val="en-US" w:eastAsia="zh-CN"/>
              </w:rPr>
              <w:t>定制。</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pStyle w:val="4"/>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16套</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pStyle w:val="4"/>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1650.00</w:t>
            </w:r>
          </w:p>
        </w:tc>
      </w:tr>
      <w:tr>
        <w:tblPrEx>
          <w:tblCellMar>
            <w:top w:w="0" w:type="dxa"/>
            <w:left w:w="0" w:type="dxa"/>
            <w:bottom w:w="0" w:type="dxa"/>
            <w:right w:w="0" w:type="dxa"/>
          </w:tblCellMar>
        </w:tblPrEx>
        <w:trPr>
          <w:trHeight w:val="90" w:hRule="atLeast"/>
        </w:trPr>
        <w:tc>
          <w:tcPr>
            <w:tcW w:w="598"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default" w:ascii="宋体" w:hAnsi="宋体" w:eastAsia="宋体" w:cs="宋体"/>
                <w:color w:val="auto"/>
                <w:szCs w:val="21"/>
                <w:lang w:val="en-US" w:eastAsia="zh-CN"/>
              </w:rPr>
            </w:pPr>
            <w:r>
              <w:rPr>
                <w:rFonts w:hint="eastAsia" w:ascii="宋体" w:hAnsi="宋体" w:cs="宋体"/>
                <w:color w:val="auto"/>
                <w:szCs w:val="21"/>
                <w:lang w:val="en-US" w:eastAsia="zh-CN"/>
              </w:rPr>
              <w:t>5</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门口分机</w:t>
            </w:r>
          </w:p>
        </w:tc>
        <w:tc>
          <w:tcPr>
            <w:tcW w:w="6829"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cs="宋体"/>
                <w:lang w:val="en-US" w:eastAsia="zh-CN"/>
              </w:rPr>
              <w:t>一、</w:t>
            </w:r>
            <w:r>
              <w:rPr>
                <w:rFonts w:hint="eastAsia" w:ascii="宋体" w:hAnsi="宋体" w:eastAsia="宋体" w:cs="宋体"/>
                <w:lang w:val="en-US" w:eastAsia="zh-CN"/>
              </w:rPr>
              <w:t>硬件参数</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cs="宋体"/>
                <w:lang w:val="en-US" w:eastAsia="zh-CN"/>
              </w:rPr>
              <w:t>、</w:t>
            </w:r>
            <w:r>
              <w:rPr>
                <w:rFonts w:hint="eastAsia" w:ascii="宋体" w:hAnsi="宋体" w:eastAsia="宋体" w:cs="宋体"/>
                <w:lang w:val="en-US" w:eastAsia="zh-CN"/>
              </w:rPr>
              <w:t>安卓操作系统，版本号不低于Android 9.0</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cs="宋体"/>
                <w:lang w:val="en-US" w:eastAsia="zh-CN"/>
              </w:rPr>
              <w:t>、</w:t>
            </w:r>
            <w:r>
              <w:rPr>
                <w:rFonts w:hint="eastAsia" w:ascii="宋体" w:hAnsi="宋体" w:eastAsia="宋体" w:cs="宋体"/>
                <w:lang w:val="en-US" w:eastAsia="zh-CN"/>
              </w:rPr>
              <w:t>显示屏尺寸不低于13.3寸</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3</w:t>
            </w:r>
            <w:r>
              <w:rPr>
                <w:rFonts w:hint="eastAsia" w:ascii="宋体" w:hAnsi="宋体" w:cs="宋体"/>
                <w:lang w:val="en-US" w:eastAsia="zh-CN"/>
              </w:rPr>
              <w:t>、</w:t>
            </w:r>
            <w:r>
              <w:rPr>
                <w:rFonts w:hint="eastAsia" w:ascii="宋体" w:hAnsi="宋体" w:eastAsia="宋体" w:cs="宋体"/>
                <w:lang w:val="en-US" w:eastAsia="zh-CN"/>
              </w:rPr>
              <w:t>显示屏分辨率不低于1920×1080</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4</w:t>
            </w:r>
            <w:r>
              <w:rPr>
                <w:rFonts w:hint="eastAsia" w:ascii="宋体" w:hAnsi="宋体" w:cs="宋体"/>
                <w:lang w:val="en-US" w:eastAsia="zh-CN"/>
              </w:rPr>
              <w:t>、</w:t>
            </w:r>
            <w:r>
              <w:rPr>
                <w:rFonts w:hint="eastAsia" w:ascii="宋体" w:hAnsi="宋体" w:eastAsia="宋体" w:cs="宋体"/>
                <w:lang w:val="en-US" w:eastAsia="zh-CN"/>
              </w:rPr>
              <w:t>电容屏触摸屏，支持10点触控</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5</w:t>
            </w:r>
            <w:r>
              <w:rPr>
                <w:rFonts w:hint="eastAsia" w:ascii="宋体" w:hAnsi="宋体" w:cs="宋体"/>
                <w:lang w:val="en-US" w:eastAsia="zh-CN"/>
              </w:rPr>
              <w:t>、</w:t>
            </w:r>
            <w:r>
              <w:rPr>
                <w:rFonts w:hint="eastAsia" w:ascii="宋体" w:hAnsi="宋体" w:eastAsia="宋体" w:cs="宋体"/>
                <w:lang w:val="en-US" w:eastAsia="zh-CN"/>
              </w:rPr>
              <w:t>CPU不低于8核心，主频不低于1.5GHz</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6</w:t>
            </w:r>
            <w:r>
              <w:rPr>
                <w:rFonts w:hint="eastAsia" w:ascii="宋体" w:hAnsi="宋体" w:cs="宋体"/>
                <w:lang w:val="en-US" w:eastAsia="zh-CN"/>
              </w:rPr>
              <w:t>、</w:t>
            </w:r>
            <w:r>
              <w:rPr>
                <w:rFonts w:hint="eastAsia" w:ascii="宋体" w:hAnsi="宋体" w:eastAsia="宋体" w:cs="宋体"/>
                <w:lang w:val="en-US" w:eastAsia="zh-CN"/>
              </w:rPr>
              <w:t>运行内存不低于1G</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7</w:t>
            </w:r>
            <w:r>
              <w:rPr>
                <w:rFonts w:hint="eastAsia" w:ascii="宋体" w:hAnsi="宋体" w:cs="宋体"/>
                <w:lang w:val="en-US" w:eastAsia="zh-CN"/>
              </w:rPr>
              <w:t>、</w:t>
            </w:r>
            <w:r>
              <w:rPr>
                <w:rFonts w:hint="eastAsia" w:ascii="宋体" w:hAnsi="宋体" w:eastAsia="宋体" w:cs="宋体"/>
                <w:lang w:val="en-US" w:eastAsia="zh-CN"/>
              </w:rPr>
              <w:t>机身存储不低于8G</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8</w:t>
            </w:r>
            <w:r>
              <w:rPr>
                <w:rFonts w:hint="eastAsia" w:ascii="宋体" w:hAnsi="宋体" w:cs="宋体"/>
                <w:lang w:val="en-US" w:eastAsia="zh-CN"/>
              </w:rPr>
              <w:t>、</w:t>
            </w:r>
            <w:r>
              <w:rPr>
                <w:rFonts w:hint="eastAsia" w:ascii="宋体" w:hAnsi="宋体" w:eastAsia="宋体" w:cs="宋体"/>
                <w:lang w:val="en-US" w:eastAsia="zh-CN"/>
              </w:rPr>
              <w:t>具备刷卡模块，支持识别医护IC身份卡</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9</w:t>
            </w:r>
            <w:r>
              <w:rPr>
                <w:rFonts w:hint="eastAsia" w:ascii="宋体" w:hAnsi="宋体" w:cs="宋体"/>
                <w:lang w:val="en-US" w:eastAsia="zh-CN"/>
              </w:rPr>
              <w:t>、</w:t>
            </w:r>
            <w:r>
              <w:rPr>
                <w:rFonts w:hint="eastAsia" w:ascii="宋体" w:hAnsi="宋体" w:eastAsia="宋体" w:cs="宋体"/>
                <w:lang w:val="en-US" w:eastAsia="zh-CN"/>
              </w:rPr>
              <w:t>具备门灯，门灯颜色不小于7色</w:t>
            </w:r>
            <w:r>
              <w:rPr>
                <w:rFonts w:hint="eastAsia" w:ascii="宋体" w:hAnsi="宋体" w:cs="宋体"/>
                <w:lang w:val="en-US" w:eastAsia="zh-CN"/>
              </w:rPr>
              <w:t>，</w:t>
            </w:r>
            <w:r>
              <w:rPr>
                <w:rFonts w:hint="eastAsia" w:ascii="宋体" w:hAnsi="宋体" w:eastAsia="宋体" w:cs="宋体"/>
                <w:lang w:val="en-US" w:eastAsia="zh-CN"/>
              </w:rPr>
              <w:t>灯条长度占整机比例不低于40%，确保提示效果。</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10</w:t>
            </w:r>
            <w:r>
              <w:rPr>
                <w:rFonts w:hint="eastAsia" w:ascii="宋体" w:hAnsi="宋体" w:cs="宋体"/>
                <w:lang w:val="en-US" w:eastAsia="zh-CN"/>
              </w:rPr>
              <w:t>、</w:t>
            </w:r>
            <w:r>
              <w:rPr>
                <w:rFonts w:hint="eastAsia" w:ascii="宋体" w:hAnsi="宋体" w:eastAsia="宋体" w:cs="宋体"/>
                <w:lang w:val="en-US" w:eastAsia="zh-CN"/>
              </w:rPr>
              <w:t>支持电源适配器供电、POE供电、电源箱集中供电三种方式</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cs="宋体"/>
                <w:lang w:val="en-US" w:eastAsia="zh-CN"/>
              </w:rPr>
              <w:t>二、</w:t>
            </w:r>
            <w:r>
              <w:rPr>
                <w:rFonts w:hint="eastAsia" w:ascii="宋体" w:hAnsi="宋体" w:eastAsia="宋体" w:cs="宋体"/>
                <w:lang w:val="en-US" w:eastAsia="zh-CN"/>
              </w:rPr>
              <w:t>软件功能</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cs="宋体"/>
                <w:lang w:val="en-US" w:eastAsia="zh-CN"/>
              </w:rPr>
              <w:t>、</w:t>
            </w:r>
            <w:r>
              <w:rPr>
                <w:rFonts w:hint="eastAsia" w:ascii="宋体" w:hAnsi="宋体" w:eastAsia="宋体" w:cs="宋体"/>
                <w:lang w:val="en-US" w:eastAsia="zh-CN"/>
              </w:rPr>
              <w:t>电子门口牌：展示房间号、床位号、患者姓名（隐去中间字）、责任医护人员照片等房间基础信息并自动更新。</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cs="宋体"/>
                <w:lang w:val="en-US" w:eastAsia="zh-CN"/>
              </w:rPr>
              <w:t>、</w:t>
            </w:r>
            <w:r>
              <w:rPr>
                <w:rFonts w:hint="eastAsia" w:ascii="宋体" w:hAnsi="宋体" w:eastAsia="宋体" w:cs="宋体"/>
                <w:lang w:val="en-US" w:eastAsia="zh-CN"/>
              </w:rPr>
              <w:t>护士定位：护士在门口分机通过刷卡触发定位，可清楚当前房间患者的未处理呼叫，门灯同步闪烁，提示护士位置。</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3</w:t>
            </w:r>
            <w:r>
              <w:rPr>
                <w:rFonts w:hint="eastAsia" w:ascii="宋体" w:hAnsi="宋体" w:cs="宋体"/>
                <w:lang w:val="en-US" w:eastAsia="zh-CN"/>
              </w:rPr>
              <w:t>、</w:t>
            </w:r>
            <w:r>
              <w:rPr>
                <w:rFonts w:hint="eastAsia" w:ascii="宋体" w:hAnsi="宋体" w:eastAsia="宋体" w:cs="宋体"/>
                <w:lang w:val="en-US" w:eastAsia="zh-CN"/>
              </w:rPr>
              <w:t xml:space="preserve">宣教素材发布：支持播放图文、音频、视频等形式，实现走廊宣教等功能。 </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4</w:t>
            </w:r>
            <w:r>
              <w:rPr>
                <w:rFonts w:hint="eastAsia" w:ascii="宋体" w:hAnsi="宋体" w:cs="宋体"/>
                <w:lang w:val="en-US" w:eastAsia="zh-CN"/>
              </w:rPr>
              <w:t>、</w:t>
            </w:r>
            <w:r>
              <w:rPr>
                <w:rFonts w:hint="eastAsia" w:ascii="宋体" w:hAnsi="宋体" w:eastAsia="宋体" w:cs="宋体"/>
                <w:lang w:val="en-US" w:eastAsia="zh-CN"/>
              </w:rPr>
              <w:t>医护列表：展示本护理单元的医护信息；</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5</w:t>
            </w:r>
            <w:r>
              <w:rPr>
                <w:rFonts w:hint="eastAsia" w:ascii="宋体" w:hAnsi="宋体" w:cs="宋体"/>
                <w:lang w:val="en-US" w:eastAsia="zh-CN"/>
              </w:rPr>
              <w:t>、</w:t>
            </w:r>
            <w:r>
              <w:rPr>
                <w:rFonts w:hint="eastAsia" w:ascii="宋体" w:hAnsi="宋体" w:eastAsia="宋体" w:cs="宋体"/>
                <w:lang w:val="en-US" w:eastAsia="zh-CN"/>
              </w:rPr>
              <w:t>呼叫发起：支持呼叫医护主机或患者所在床位，在隔离场景下减少进入房间与护患接触的次数；</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6</w:t>
            </w:r>
            <w:r>
              <w:rPr>
                <w:rFonts w:hint="eastAsia" w:ascii="宋体" w:hAnsi="宋体" w:cs="宋体"/>
                <w:lang w:val="en-US" w:eastAsia="zh-CN"/>
              </w:rPr>
              <w:t>、</w:t>
            </w:r>
            <w:r>
              <w:rPr>
                <w:rFonts w:hint="eastAsia" w:ascii="宋体" w:hAnsi="宋体" w:eastAsia="宋体" w:cs="宋体"/>
                <w:lang w:val="en-US" w:eastAsia="zh-CN"/>
              </w:rPr>
              <w:t>呼叫联动：患者发起呼叫时，门口分机门灯根据患者呼叫类型、患者护理级别，进行不同颜色门灯的闪烁提醒；</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7</w:t>
            </w:r>
            <w:r>
              <w:rPr>
                <w:rFonts w:hint="eastAsia" w:ascii="宋体" w:hAnsi="宋体" w:cs="宋体"/>
                <w:lang w:val="en-US" w:eastAsia="zh-CN"/>
              </w:rPr>
              <w:t>、</w:t>
            </w:r>
            <w:r>
              <w:rPr>
                <w:rFonts w:hint="eastAsia" w:ascii="宋体" w:hAnsi="宋体" w:eastAsia="宋体" w:cs="宋体"/>
                <w:lang w:val="en-US" w:eastAsia="zh-CN"/>
              </w:rPr>
              <w:t>呼叫处理：患者发起呼叫后，门口分机可以处理相应呼叫，包括“接听”“挂断”“忽略”三种处理方式，接听后与患者进行双工对讲；</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8</w:t>
            </w:r>
            <w:r>
              <w:rPr>
                <w:rFonts w:hint="eastAsia" w:ascii="宋体" w:hAnsi="宋体" w:cs="宋体"/>
                <w:lang w:val="en-US" w:eastAsia="zh-CN"/>
              </w:rPr>
              <w:t>、</w:t>
            </w:r>
            <w:r>
              <w:rPr>
                <w:rFonts w:hint="eastAsia" w:ascii="宋体" w:hAnsi="宋体" w:eastAsia="宋体" w:cs="宋体"/>
                <w:lang w:val="en-US" w:eastAsia="zh-CN"/>
              </w:rPr>
              <w:t>模式切换：支持管床与管房两种模式之间的切换。</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pStyle w:val="4"/>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13套</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pStyle w:val="4"/>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2523.00</w:t>
            </w:r>
          </w:p>
        </w:tc>
      </w:tr>
      <w:tr>
        <w:tblPrEx>
          <w:tblCellMar>
            <w:top w:w="0" w:type="dxa"/>
            <w:left w:w="0" w:type="dxa"/>
            <w:bottom w:w="0" w:type="dxa"/>
            <w:right w:w="0" w:type="dxa"/>
          </w:tblCellMar>
        </w:tblPrEx>
        <w:trPr>
          <w:trHeight w:val="90" w:hRule="atLeast"/>
        </w:trPr>
        <w:tc>
          <w:tcPr>
            <w:tcW w:w="598"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default" w:ascii="宋体" w:hAnsi="宋体" w:eastAsia="宋体" w:cs="宋体"/>
                <w:color w:val="auto"/>
                <w:szCs w:val="21"/>
                <w:lang w:val="en-US" w:eastAsia="zh-CN"/>
              </w:rPr>
            </w:pPr>
            <w:r>
              <w:rPr>
                <w:rFonts w:hint="eastAsia" w:ascii="宋体" w:hAnsi="宋体" w:cs="宋体"/>
                <w:color w:val="auto"/>
                <w:szCs w:val="21"/>
                <w:lang w:val="en-US" w:eastAsia="zh-CN"/>
              </w:rPr>
              <w:t>6</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卫生间分机</w:t>
            </w:r>
          </w:p>
        </w:tc>
        <w:tc>
          <w:tcPr>
            <w:tcW w:w="6829"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400" w:lineRule="exact"/>
              <w:ind w:left="0" w:leftChars="0" w:firstLine="79" w:firstLineChars="38"/>
              <w:jc w:val="left"/>
              <w:rPr>
                <w:rFonts w:hint="default" w:ascii="宋体" w:hAnsi="宋体" w:eastAsia="宋体" w:cs="宋体"/>
                <w:lang w:val="en-US" w:eastAsia="zh-CN"/>
              </w:rPr>
            </w:pPr>
            <w:r>
              <w:rPr>
                <w:rFonts w:hint="default" w:ascii="宋体" w:hAnsi="宋体" w:eastAsia="宋体" w:cs="宋体"/>
                <w:lang w:val="en-US" w:eastAsia="zh-CN"/>
              </w:rPr>
              <w:t>1、★IP68防水等级。</w:t>
            </w:r>
          </w:p>
          <w:p>
            <w:pPr>
              <w:spacing w:before="0" w:after="0" w:line="400" w:lineRule="exact"/>
              <w:ind w:left="0" w:leftChars="0" w:firstLine="79" w:firstLineChars="38"/>
              <w:jc w:val="left"/>
              <w:rPr>
                <w:rFonts w:hint="default" w:ascii="宋体" w:hAnsi="宋体" w:eastAsia="宋体" w:cs="宋体"/>
                <w:lang w:val="en-US" w:eastAsia="zh-CN"/>
              </w:rPr>
            </w:pPr>
            <w:r>
              <w:rPr>
                <w:rFonts w:hint="default" w:ascii="宋体" w:hAnsi="宋体" w:eastAsia="宋体" w:cs="宋体"/>
                <w:lang w:val="en-US" w:eastAsia="zh-CN"/>
              </w:rPr>
              <w:t>2、使用双绞线标准86盒安装，不占用网线与IP网口。</w:t>
            </w:r>
          </w:p>
          <w:p>
            <w:pPr>
              <w:spacing w:before="0" w:after="0" w:line="400" w:lineRule="exact"/>
              <w:ind w:left="0" w:leftChars="0" w:firstLine="79" w:firstLineChars="38"/>
              <w:jc w:val="left"/>
              <w:rPr>
                <w:rFonts w:hint="default" w:ascii="宋体" w:hAnsi="宋体" w:eastAsia="宋体" w:cs="宋体"/>
                <w:lang w:val="en-US" w:eastAsia="zh-CN"/>
              </w:rPr>
            </w:pPr>
            <w:r>
              <w:rPr>
                <w:rFonts w:hint="default" w:ascii="宋体" w:hAnsi="宋体" w:eastAsia="宋体" w:cs="宋体"/>
                <w:lang w:val="en-US" w:eastAsia="zh-CN"/>
              </w:rPr>
              <w:t>3、支持大按键拍击触发，按键占比大于25%。</w:t>
            </w:r>
          </w:p>
          <w:p>
            <w:pPr>
              <w:spacing w:before="0" w:after="0" w:line="400" w:lineRule="exact"/>
              <w:ind w:left="0" w:leftChars="0" w:firstLine="79" w:firstLineChars="38"/>
              <w:jc w:val="left"/>
              <w:rPr>
                <w:rFonts w:hint="default" w:ascii="宋体" w:hAnsi="宋体" w:eastAsia="宋体" w:cs="宋体"/>
                <w:lang w:val="en-US" w:eastAsia="zh-CN"/>
              </w:rPr>
            </w:pPr>
            <w:r>
              <w:rPr>
                <w:rFonts w:hint="default" w:ascii="宋体" w:hAnsi="宋体" w:eastAsia="宋体" w:cs="宋体"/>
                <w:lang w:val="en-US" w:eastAsia="zh-CN"/>
              </w:rPr>
              <w:t>4、支持拉绳触发卫生间呼叫，配防水材质吊坠，防止拉绳贴附墙面。</w:t>
            </w:r>
          </w:p>
          <w:p>
            <w:pPr>
              <w:spacing w:before="0" w:after="0" w:line="400" w:lineRule="exact"/>
              <w:ind w:left="0" w:leftChars="0" w:firstLine="79" w:firstLineChars="38"/>
              <w:jc w:val="left"/>
              <w:rPr>
                <w:rFonts w:hint="default" w:ascii="宋体" w:hAnsi="宋体" w:eastAsia="宋体" w:cs="宋体"/>
                <w:lang w:val="en-US" w:eastAsia="zh-CN"/>
              </w:rPr>
            </w:pPr>
            <w:r>
              <w:rPr>
                <w:rFonts w:hint="default" w:ascii="宋体" w:hAnsi="宋体" w:eastAsia="宋体" w:cs="宋体"/>
                <w:lang w:val="en-US" w:eastAsia="zh-CN"/>
              </w:rPr>
              <w:t>5、触发卫生间呼叫时可声光报警。</w:t>
            </w:r>
          </w:p>
          <w:p>
            <w:pPr>
              <w:spacing w:before="0" w:after="0" w:line="400" w:lineRule="exact"/>
              <w:ind w:left="0" w:leftChars="0" w:firstLine="79" w:firstLineChars="38"/>
              <w:jc w:val="left"/>
              <w:rPr>
                <w:rFonts w:hint="default" w:ascii="宋体" w:hAnsi="宋体" w:eastAsia="宋体" w:cs="宋体"/>
                <w:lang w:val="en-US" w:eastAsia="zh-CN"/>
              </w:rPr>
            </w:pPr>
            <w:r>
              <w:rPr>
                <w:rFonts w:hint="default" w:ascii="宋体" w:hAnsi="宋体" w:eastAsia="宋体" w:cs="宋体"/>
                <w:lang w:val="en-US" w:eastAsia="zh-CN"/>
              </w:rPr>
              <w:t>6、★如患者不小心误触时，可点击专用取消按键，取消卫生间呼叫。</w:t>
            </w:r>
          </w:p>
          <w:p>
            <w:pPr>
              <w:spacing w:before="0" w:after="0" w:line="400" w:lineRule="exact"/>
              <w:ind w:left="0" w:leftChars="0" w:firstLine="80" w:firstLineChars="38"/>
              <w:jc w:val="left"/>
              <w:rPr>
                <w:rFonts w:hint="default" w:ascii="宋体" w:hAnsi="宋体" w:eastAsia="宋体" w:cs="宋体"/>
                <w:lang w:val="en-US" w:eastAsia="zh-CN"/>
              </w:rPr>
            </w:pPr>
            <w:r>
              <w:rPr>
                <w:rFonts w:hint="default" w:ascii="宋体" w:hAnsi="宋体" w:eastAsia="宋体" w:cs="宋体"/>
                <w:b/>
                <w:bCs/>
                <w:lang w:val="en-US" w:eastAsia="zh-CN"/>
              </w:rPr>
              <w:t>7、响应文件中提供</w:t>
            </w:r>
            <w:r>
              <w:rPr>
                <w:rFonts w:hint="eastAsia" w:ascii="宋体" w:hAnsi="宋体" w:cs="宋体"/>
                <w:b/>
                <w:bCs/>
                <w:lang w:val="en-US" w:eastAsia="zh-CN"/>
              </w:rPr>
              <w:t>磋商</w:t>
            </w:r>
            <w:r>
              <w:rPr>
                <w:rFonts w:hint="default" w:ascii="宋体" w:hAnsi="宋体" w:eastAsia="宋体" w:cs="宋体"/>
                <w:b/>
                <w:bCs/>
                <w:lang w:val="en-US" w:eastAsia="zh-CN"/>
              </w:rPr>
              <w:t>产品软件著作权证书复印件，提供卫生间防水防尘等级检测报告（测试报告需注明测试要求、判定依据、测试结果、结论）复印件。以上材料均需加盖磋商供应商公章。</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pStyle w:val="4"/>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13套</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pStyle w:val="4"/>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210.00</w:t>
            </w:r>
          </w:p>
        </w:tc>
      </w:tr>
      <w:tr>
        <w:tblPrEx>
          <w:tblCellMar>
            <w:top w:w="0" w:type="dxa"/>
            <w:left w:w="0" w:type="dxa"/>
            <w:bottom w:w="0" w:type="dxa"/>
            <w:right w:w="0" w:type="dxa"/>
          </w:tblCellMar>
        </w:tblPrEx>
        <w:trPr>
          <w:trHeight w:val="90" w:hRule="atLeast"/>
        </w:trPr>
        <w:tc>
          <w:tcPr>
            <w:tcW w:w="598"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default" w:ascii="宋体" w:hAnsi="宋体" w:cs="宋体"/>
                <w:color w:val="auto"/>
                <w:szCs w:val="21"/>
                <w:lang w:val="en-US" w:eastAsia="zh-CN"/>
              </w:rPr>
            </w:pPr>
            <w:r>
              <w:rPr>
                <w:rFonts w:hint="eastAsia" w:ascii="宋体" w:hAnsi="宋体" w:cs="宋体"/>
                <w:color w:val="auto"/>
                <w:szCs w:val="21"/>
                <w:lang w:val="en-US" w:eastAsia="zh-CN"/>
              </w:rPr>
              <w:t>7</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门禁分机</w:t>
            </w:r>
          </w:p>
        </w:tc>
        <w:tc>
          <w:tcPr>
            <w:tcW w:w="6829"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cs="宋体"/>
                <w:lang w:val="en-US" w:eastAsia="zh-CN"/>
              </w:rPr>
              <w:t>一、</w:t>
            </w:r>
            <w:r>
              <w:rPr>
                <w:rFonts w:hint="eastAsia" w:ascii="宋体" w:hAnsi="宋体" w:eastAsia="宋体" w:cs="宋体"/>
                <w:lang w:val="en-US" w:eastAsia="zh-CN"/>
              </w:rPr>
              <w:t>硬件参数</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cs="宋体"/>
                <w:lang w:val="en-US" w:eastAsia="zh-CN"/>
              </w:rPr>
              <w:t>、</w:t>
            </w:r>
            <w:r>
              <w:rPr>
                <w:rFonts w:hint="eastAsia" w:ascii="宋体" w:hAnsi="宋体" w:eastAsia="宋体" w:cs="宋体"/>
                <w:lang w:val="en-US" w:eastAsia="zh-CN"/>
              </w:rPr>
              <w:t>安卓操作系统，版本号不低于Android 9.0</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cs="宋体"/>
                <w:lang w:val="en-US" w:eastAsia="zh-CN"/>
              </w:rPr>
              <w:t>、</w:t>
            </w:r>
            <w:r>
              <w:rPr>
                <w:rFonts w:hint="eastAsia" w:ascii="宋体" w:hAnsi="宋体" w:eastAsia="宋体" w:cs="宋体"/>
                <w:lang w:val="en-US" w:eastAsia="zh-CN"/>
              </w:rPr>
              <w:t>显示屏尺寸不低于5寸</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3</w:t>
            </w:r>
            <w:r>
              <w:rPr>
                <w:rFonts w:hint="eastAsia" w:ascii="宋体" w:hAnsi="宋体" w:cs="宋体"/>
                <w:lang w:val="en-US" w:eastAsia="zh-CN"/>
              </w:rPr>
              <w:t>、</w:t>
            </w:r>
            <w:r>
              <w:rPr>
                <w:rFonts w:hint="eastAsia" w:ascii="宋体" w:hAnsi="宋体" w:eastAsia="宋体" w:cs="宋体"/>
                <w:lang w:val="en-US" w:eastAsia="zh-CN"/>
              </w:rPr>
              <w:t>显示屏分辨率不低于800×480</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4</w:t>
            </w:r>
            <w:r>
              <w:rPr>
                <w:rFonts w:hint="eastAsia" w:ascii="宋体" w:hAnsi="宋体" w:cs="宋体"/>
                <w:lang w:val="en-US" w:eastAsia="zh-CN"/>
              </w:rPr>
              <w:t>、</w:t>
            </w:r>
            <w:r>
              <w:rPr>
                <w:rFonts w:hint="eastAsia" w:ascii="宋体" w:hAnsi="宋体" w:eastAsia="宋体" w:cs="宋体"/>
                <w:lang w:val="en-US" w:eastAsia="zh-CN"/>
              </w:rPr>
              <w:t xml:space="preserve">电容屏触摸屏，支持5点触控 </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5</w:t>
            </w:r>
            <w:r>
              <w:rPr>
                <w:rFonts w:hint="eastAsia" w:ascii="宋体" w:hAnsi="宋体" w:cs="宋体"/>
                <w:lang w:val="en-US" w:eastAsia="zh-CN"/>
              </w:rPr>
              <w:t>、</w:t>
            </w:r>
            <w:r>
              <w:rPr>
                <w:rFonts w:hint="eastAsia" w:ascii="宋体" w:hAnsi="宋体" w:eastAsia="宋体" w:cs="宋体"/>
                <w:lang w:val="en-US" w:eastAsia="zh-CN"/>
              </w:rPr>
              <w:t>CPU不低于8核心，主频不低于1.5GHz</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6</w:t>
            </w:r>
            <w:r>
              <w:rPr>
                <w:rFonts w:hint="eastAsia" w:ascii="宋体" w:hAnsi="宋体" w:cs="宋体"/>
                <w:lang w:val="en-US" w:eastAsia="zh-CN"/>
              </w:rPr>
              <w:t>、</w:t>
            </w:r>
            <w:r>
              <w:rPr>
                <w:rFonts w:hint="eastAsia" w:ascii="宋体" w:hAnsi="宋体" w:eastAsia="宋体" w:cs="宋体"/>
                <w:lang w:val="en-US" w:eastAsia="zh-CN"/>
              </w:rPr>
              <w:t>运行内存不低于1G</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7</w:t>
            </w:r>
            <w:r>
              <w:rPr>
                <w:rFonts w:hint="eastAsia" w:ascii="宋体" w:hAnsi="宋体" w:cs="宋体"/>
                <w:lang w:val="en-US" w:eastAsia="zh-CN"/>
              </w:rPr>
              <w:t>、</w:t>
            </w:r>
            <w:r>
              <w:rPr>
                <w:rFonts w:hint="eastAsia" w:ascii="宋体" w:hAnsi="宋体" w:eastAsia="宋体" w:cs="宋体"/>
                <w:lang w:val="en-US" w:eastAsia="zh-CN"/>
              </w:rPr>
              <w:t>机身存储不低于8G</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8</w:t>
            </w:r>
            <w:r>
              <w:rPr>
                <w:rFonts w:hint="eastAsia" w:ascii="宋体" w:hAnsi="宋体" w:cs="宋体"/>
                <w:lang w:val="en-US" w:eastAsia="zh-CN"/>
              </w:rPr>
              <w:t>、</w:t>
            </w:r>
            <w:r>
              <w:rPr>
                <w:rFonts w:hint="eastAsia" w:ascii="宋体" w:hAnsi="宋体" w:eastAsia="宋体" w:cs="宋体"/>
                <w:lang w:val="en-US" w:eastAsia="zh-CN"/>
              </w:rPr>
              <w:t>前置摄像头像素不低于800万</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9</w:t>
            </w:r>
            <w:r>
              <w:rPr>
                <w:rFonts w:hint="eastAsia" w:ascii="宋体" w:hAnsi="宋体" w:cs="宋体"/>
                <w:lang w:val="en-US" w:eastAsia="zh-CN"/>
              </w:rPr>
              <w:t>、</w:t>
            </w:r>
            <w:r>
              <w:rPr>
                <w:rFonts w:hint="eastAsia" w:ascii="宋体" w:hAnsi="宋体" w:eastAsia="宋体" w:cs="宋体"/>
                <w:lang w:val="en-US" w:eastAsia="zh-CN"/>
              </w:rPr>
              <w:t>具备刷卡模块，支持识别医护IC身份卡</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10</w:t>
            </w:r>
            <w:r>
              <w:rPr>
                <w:rFonts w:hint="eastAsia" w:ascii="宋体" w:hAnsi="宋体" w:cs="宋体"/>
                <w:lang w:val="en-US" w:eastAsia="zh-CN"/>
              </w:rPr>
              <w:t>、</w:t>
            </w:r>
            <w:r>
              <w:rPr>
                <w:rFonts w:hint="eastAsia" w:ascii="宋体" w:hAnsi="宋体" w:eastAsia="宋体" w:cs="宋体"/>
                <w:lang w:val="en-US" w:eastAsia="zh-CN"/>
              </w:rPr>
              <w:t>支持直连门磁锁与门禁控制器两种对接方式</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cs="宋体"/>
                <w:lang w:val="en-US" w:eastAsia="zh-CN"/>
              </w:rPr>
              <w:t>二、</w:t>
            </w:r>
            <w:r>
              <w:rPr>
                <w:rFonts w:hint="eastAsia" w:ascii="宋体" w:hAnsi="宋体" w:eastAsia="宋体" w:cs="宋体"/>
                <w:lang w:val="en-US" w:eastAsia="zh-CN"/>
              </w:rPr>
              <w:t>软件功能</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cs="宋体"/>
                <w:lang w:val="en-US" w:eastAsia="zh-CN"/>
              </w:rPr>
              <w:t>、</w:t>
            </w:r>
            <w:r>
              <w:rPr>
                <w:rFonts w:hint="eastAsia" w:ascii="宋体" w:hAnsi="宋体" w:eastAsia="宋体" w:cs="宋体"/>
                <w:lang w:val="en-US" w:eastAsia="zh-CN"/>
              </w:rPr>
              <w:t xml:space="preserve">同时支持视频、密码、刷卡、刷脸多种开门方式，方便不同病区不同场景操作； </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cs="宋体"/>
                <w:lang w:val="en-US" w:eastAsia="zh-CN"/>
              </w:rPr>
              <w:t>、</w:t>
            </w:r>
            <w:r>
              <w:rPr>
                <w:rFonts w:hint="eastAsia" w:ascii="宋体" w:hAnsi="宋体" w:eastAsia="宋体" w:cs="宋体"/>
                <w:lang w:val="en-US" w:eastAsia="zh-CN"/>
              </w:rPr>
              <w:t>视频请求：来访者向医护主机发起单向视频通话，医护主机显示门禁分机摄像头画面，门禁分机屏幕显示本地摄像头画面，护士自主决定是否打开门禁；</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3</w:t>
            </w:r>
            <w:r>
              <w:rPr>
                <w:rFonts w:hint="eastAsia" w:ascii="宋体" w:hAnsi="宋体" w:cs="宋体"/>
                <w:lang w:val="en-US" w:eastAsia="zh-CN"/>
              </w:rPr>
              <w:t>、</w:t>
            </w:r>
            <w:r>
              <w:rPr>
                <w:rFonts w:hint="eastAsia" w:ascii="宋体" w:hAnsi="宋体" w:eastAsia="宋体" w:cs="宋体"/>
                <w:lang w:val="en-US" w:eastAsia="zh-CN"/>
              </w:rPr>
              <w:t>密码开门：输入正确的门禁密码后打开门禁；</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4</w:t>
            </w:r>
            <w:r>
              <w:rPr>
                <w:rFonts w:hint="eastAsia" w:ascii="宋体" w:hAnsi="宋体" w:cs="宋体"/>
                <w:lang w:val="en-US" w:eastAsia="zh-CN"/>
              </w:rPr>
              <w:t>、</w:t>
            </w:r>
            <w:r>
              <w:rPr>
                <w:rFonts w:hint="eastAsia" w:ascii="宋体" w:hAnsi="宋体" w:eastAsia="宋体" w:cs="宋体"/>
                <w:lang w:val="en-US" w:eastAsia="zh-CN"/>
              </w:rPr>
              <w:t>刷卡开门：医护人员可刷卡打开所具备权限的门禁。</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5</w:t>
            </w:r>
            <w:r>
              <w:rPr>
                <w:rFonts w:hint="eastAsia" w:ascii="宋体" w:hAnsi="宋体" w:cs="宋体"/>
                <w:lang w:val="en-US" w:eastAsia="zh-CN"/>
              </w:rPr>
              <w:t>、</w:t>
            </w:r>
            <w:r>
              <w:rPr>
                <w:rFonts w:hint="eastAsia" w:ascii="宋体" w:hAnsi="宋体" w:eastAsia="宋体" w:cs="宋体"/>
                <w:lang w:val="en-US" w:eastAsia="zh-CN"/>
              </w:rPr>
              <w:t>刷脸开门：医护人员通过人脸识别打开所具备权限的门禁。</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pStyle w:val="4"/>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1套</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pStyle w:val="4"/>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4800.00</w:t>
            </w:r>
          </w:p>
        </w:tc>
      </w:tr>
      <w:tr>
        <w:tblPrEx>
          <w:tblCellMar>
            <w:top w:w="0" w:type="dxa"/>
            <w:left w:w="0" w:type="dxa"/>
            <w:bottom w:w="0" w:type="dxa"/>
            <w:right w:w="0" w:type="dxa"/>
          </w:tblCellMar>
        </w:tblPrEx>
        <w:trPr>
          <w:trHeight w:val="90" w:hRule="atLeast"/>
        </w:trPr>
        <w:tc>
          <w:tcPr>
            <w:tcW w:w="598"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default" w:ascii="宋体" w:hAnsi="宋体" w:cs="宋体"/>
                <w:color w:val="auto"/>
                <w:szCs w:val="21"/>
                <w:lang w:val="en-US" w:eastAsia="zh-CN"/>
              </w:rPr>
            </w:pPr>
            <w:r>
              <w:rPr>
                <w:rFonts w:hint="eastAsia" w:ascii="宋体" w:hAnsi="宋体" w:cs="宋体"/>
                <w:color w:val="auto"/>
                <w:szCs w:val="21"/>
                <w:lang w:val="en-US" w:eastAsia="zh-CN"/>
              </w:rPr>
              <w:t>8</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走廊点阵屏</w:t>
            </w:r>
          </w:p>
        </w:tc>
        <w:tc>
          <w:tcPr>
            <w:tcW w:w="6829"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cs="宋体"/>
                <w:lang w:val="en-US" w:eastAsia="zh-CN"/>
              </w:rPr>
              <w:t>、</w:t>
            </w:r>
            <w:r>
              <w:rPr>
                <w:rFonts w:hint="eastAsia" w:ascii="宋体" w:hAnsi="宋体" w:eastAsia="宋体" w:cs="宋体"/>
                <w:lang w:val="en-US" w:eastAsia="zh-CN"/>
              </w:rPr>
              <w:t>双面Φ3.75单红色点阵，可显示2行*8个汉字</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cs="宋体"/>
                <w:lang w:val="en-US" w:eastAsia="zh-CN"/>
              </w:rPr>
              <w:t>、</w:t>
            </w:r>
            <w:r>
              <w:rPr>
                <w:rFonts w:hint="eastAsia" w:ascii="宋体" w:hAnsi="宋体" w:eastAsia="宋体" w:cs="宋体"/>
                <w:lang w:val="en-US" w:eastAsia="zh-CN"/>
              </w:rPr>
              <w:t>呼叫时循环显示护理级别、房间号和床位号</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3</w:t>
            </w:r>
            <w:r>
              <w:rPr>
                <w:rFonts w:hint="eastAsia" w:ascii="宋体" w:hAnsi="宋体" w:cs="宋体"/>
                <w:lang w:val="en-US" w:eastAsia="zh-CN"/>
              </w:rPr>
              <w:t>、</w:t>
            </w:r>
            <w:r>
              <w:rPr>
                <w:rFonts w:hint="eastAsia" w:ascii="宋体" w:hAnsi="宋体" w:eastAsia="宋体" w:cs="宋体"/>
                <w:lang w:val="en-US" w:eastAsia="zh-CN"/>
              </w:rPr>
              <w:t>待机时滚动显示日期、时间、护士位置、温馨提示等内容</w:t>
            </w:r>
            <w:r>
              <w:rPr>
                <w:rFonts w:hint="eastAsia" w:ascii="宋体" w:hAnsi="宋体" w:cs="宋体"/>
                <w:lang w:val="en-US" w:eastAsia="zh-CN"/>
              </w:rPr>
              <w:t>。</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pStyle w:val="4"/>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1套</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pStyle w:val="4"/>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55770.00</w:t>
            </w:r>
          </w:p>
        </w:tc>
      </w:tr>
      <w:tr>
        <w:tblPrEx>
          <w:tblCellMar>
            <w:top w:w="0" w:type="dxa"/>
            <w:left w:w="0" w:type="dxa"/>
            <w:bottom w:w="0" w:type="dxa"/>
            <w:right w:w="0" w:type="dxa"/>
          </w:tblCellMar>
        </w:tblPrEx>
        <w:trPr>
          <w:trHeight w:val="90" w:hRule="atLeast"/>
        </w:trPr>
        <w:tc>
          <w:tcPr>
            <w:tcW w:w="598"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default" w:ascii="宋体" w:hAnsi="宋体" w:cs="宋体"/>
                <w:color w:val="auto"/>
                <w:szCs w:val="21"/>
                <w:lang w:val="en-US" w:eastAsia="zh-CN"/>
              </w:rPr>
            </w:pPr>
            <w:r>
              <w:rPr>
                <w:rFonts w:hint="eastAsia" w:ascii="宋体" w:hAnsi="宋体" w:cs="宋体"/>
                <w:color w:val="auto"/>
                <w:szCs w:val="21"/>
                <w:lang w:val="en-US" w:eastAsia="zh-CN"/>
              </w:rPr>
              <w:t>9</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多媒体控制器</w:t>
            </w:r>
          </w:p>
        </w:tc>
        <w:tc>
          <w:tcPr>
            <w:tcW w:w="6829"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cs="宋体"/>
                <w:lang w:val="en-US" w:eastAsia="zh-CN"/>
              </w:rPr>
              <w:t>、</w:t>
            </w:r>
            <w:r>
              <w:rPr>
                <w:rFonts w:hint="eastAsia" w:ascii="宋体" w:hAnsi="宋体" w:eastAsia="宋体" w:cs="宋体"/>
                <w:lang w:val="en-US" w:eastAsia="zh-CN"/>
              </w:rPr>
              <w:t>支持TCP、UDP、HTTP、FTP等通讯协议</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cs="宋体"/>
                <w:lang w:val="en-US" w:eastAsia="zh-CN"/>
              </w:rPr>
              <w:t>、</w:t>
            </w:r>
            <w:r>
              <w:rPr>
                <w:rFonts w:hint="eastAsia" w:ascii="宋体" w:hAnsi="宋体" w:eastAsia="宋体" w:cs="宋体"/>
                <w:lang w:val="en-US" w:eastAsia="zh-CN"/>
              </w:rPr>
              <w:t>CPU不低于4核心，主频不低于1.8GHz</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3</w:t>
            </w:r>
            <w:r>
              <w:rPr>
                <w:rFonts w:hint="eastAsia" w:ascii="宋体" w:hAnsi="宋体" w:cs="宋体"/>
                <w:lang w:val="en-US" w:eastAsia="zh-CN"/>
              </w:rPr>
              <w:t>、</w:t>
            </w:r>
            <w:r>
              <w:rPr>
                <w:rFonts w:hint="eastAsia" w:ascii="宋体" w:hAnsi="宋体" w:eastAsia="宋体" w:cs="宋体"/>
                <w:lang w:val="en-US" w:eastAsia="zh-CN"/>
              </w:rPr>
              <w:t>运行内存不低于2G</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4</w:t>
            </w:r>
            <w:r>
              <w:rPr>
                <w:rFonts w:hint="eastAsia" w:ascii="宋体" w:hAnsi="宋体" w:cs="宋体"/>
                <w:lang w:val="en-US" w:eastAsia="zh-CN"/>
              </w:rPr>
              <w:t>、</w:t>
            </w:r>
            <w:r>
              <w:rPr>
                <w:rFonts w:hint="eastAsia" w:ascii="宋体" w:hAnsi="宋体" w:eastAsia="宋体" w:cs="宋体"/>
                <w:lang w:val="en-US" w:eastAsia="zh-CN"/>
              </w:rPr>
              <w:t>机身存储不低于16G</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5</w:t>
            </w:r>
            <w:r>
              <w:rPr>
                <w:rFonts w:hint="eastAsia" w:ascii="宋体" w:hAnsi="宋体" w:cs="宋体"/>
                <w:lang w:val="en-US" w:eastAsia="zh-CN"/>
              </w:rPr>
              <w:t>、</w:t>
            </w:r>
            <w:r>
              <w:rPr>
                <w:rFonts w:hint="eastAsia" w:ascii="宋体" w:hAnsi="宋体" w:eastAsia="宋体" w:cs="宋体"/>
                <w:lang w:val="en-US" w:eastAsia="zh-CN"/>
              </w:rPr>
              <w:t>网络接口 RJ45，支持100/1000M自适应</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6</w:t>
            </w:r>
            <w:r>
              <w:rPr>
                <w:rFonts w:hint="eastAsia" w:ascii="宋体" w:hAnsi="宋体" w:cs="宋体"/>
                <w:lang w:val="en-US" w:eastAsia="zh-CN"/>
              </w:rPr>
              <w:t>、</w:t>
            </w:r>
            <w:r>
              <w:rPr>
                <w:rFonts w:hint="eastAsia" w:ascii="宋体" w:hAnsi="宋体" w:eastAsia="宋体" w:cs="宋体"/>
                <w:lang w:val="en-US" w:eastAsia="zh-CN"/>
              </w:rPr>
              <w:t>具备红外接收模块</w:t>
            </w:r>
            <w:r>
              <w:rPr>
                <w:rFonts w:hint="eastAsia" w:ascii="宋体" w:hAnsi="宋体" w:cs="宋体"/>
                <w:lang w:val="en-US" w:eastAsia="zh-CN"/>
              </w:rPr>
              <w:t>。</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7</w:t>
            </w:r>
            <w:r>
              <w:rPr>
                <w:rFonts w:hint="eastAsia" w:ascii="宋体" w:hAnsi="宋体" w:cs="宋体"/>
                <w:lang w:val="en-US" w:eastAsia="zh-CN"/>
              </w:rPr>
              <w:t>、</w:t>
            </w:r>
            <w:r>
              <w:rPr>
                <w:rFonts w:hint="eastAsia" w:ascii="宋体" w:hAnsi="宋体" w:eastAsia="宋体" w:cs="宋体"/>
                <w:lang w:val="en-US" w:eastAsia="zh-CN"/>
              </w:rPr>
              <w:t>与液晶电视组合使用，可显示病区统计信息、病区概况、调床信息、呼叫信息、护理信息、高危风险管理、常用联系方式、公告栏能信息。呼叫信息可对接病房呼叫信息，实现呼叫信息的联动显示。统计信息、病区概况、护理信息等展示项目可灵活配置。</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8</w:t>
            </w:r>
            <w:r>
              <w:rPr>
                <w:rFonts w:hint="eastAsia" w:ascii="宋体" w:hAnsi="宋体" w:cs="宋体"/>
                <w:lang w:val="en-US" w:eastAsia="zh-CN"/>
              </w:rPr>
              <w:t>、</w:t>
            </w:r>
            <w:r>
              <w:rPr>
                <w:rFonts w:hint="eastAsia" w:ascii="宋体" w:hAnsi="宋体" w:eastAsia="宋体" w:cs="宋体"/>
                <w:lang w:val="en-US" w:eastAsia="zh-CN"/>
              </w:rPr>
              <w:t>患者床位一览表：展示患者的关键信息，包含床号、姓名、护理等级、年龄、护理标识等信息。设置：可设置切换时间，可对调床信息、常用联系方式等内容进行手动维护。</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pStyle w:val="4"/>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1套</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pStyle w:val="4"/>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76000.00</w:t>
            </w:r>
          </w:p>
        </w:tc>
      </w:tr>
      <w:tr>
        <w:tblPrEx>
          <w:tblCellMar>
            <w:top w:w="0" w:type="dxa"/>
            <w:left w:w="0" w:type="dxa"/>
            <w:bottom w:w="0" w:type="dxa"/>
            <w:right w:w="0" w:type="dxa"/>
          </w:tblCellMar>
        </w:tblPrEx>
        <w:trPr>
          <w:trHeight w:val="90" w:hRule="atLeast"/>
        </w:trPr>
        <w:tc>
          <w:tcPr>
            <w:tcW w:w="598"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default" w:ascii="宋体" w:hAnsi="宋体" w:cs="宋体"/>
                <w:color w:val="auto"/>
                <w:szCs w:val="21"/>
                <w:lang w:val="en-US" w:eastAsia="zh-CN"/>
              </w:rPr>
            </w:pPr>
            <w:r>
              <w:rPr>
                <w:rFonts w:hint="eastAsia" w:ascii="宋体" w:hAnsi="宋体" w:cs="宋体"/>
                <w:color w:val="auto"/>
                <w:szCs w:val="21"/>
                <w:lang w:val="en-US" w:eastAsia="zh-CN"/>
              </w:rPr>
              <w:t>10</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外置电源</w:t>
            </w:r>
          </w:p>
        </w:tc>
        <w:tc>
          <w:tcPr>
            <w:tcW w:w="6829"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cs="宋体"/>
                <w:lang w:val="en-US" w:eastAsia="zh-CN"/>
              </w:rPr>
              <w:t>、</w:t>
            </w:r>
            <w:r>
              <w:rPr>
                <w:rFonts w:hint="eastAsia" w:ascii="宋体" w:hAnsi="宋体" w:eastAsia="宋体" w:cs="宋体"/>
                <w:lang w:val="en-US" w:eastAsia="zh-CN"/>
              </w:rPr>
              <w:t>单个系统外置电源能为4路*8个终端不间断供电。为设备集中供电。</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宋体" w:hAnsi="宋体" w:cs="宋体"/>
                <w:lang w:val="en-US" w:eastAsia="zh-CN"/>
              </w:rPr>
              <w:t>、</w:t>
            </w:r>
            <w:r>
              <w:rPr>
                <w:rFonts w:hint="eastAsia" w:ascii="宋体" w:hAnsi="宋体" w:eastAsia="宋体" w:cs="宋体"/>
                <w:lang w:val="en-US" w:eastAsia="zh-CN"/>
              </w:rPr>
              <w:t>专用指示灯指示上电后供电正常功能。</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3</w:t>
            </w:r>
            <w:r>
              <w:rPr>
                <w:rFonts w:hint="eastAsia" w:ascii="宋体" w:hAnsi="宋体" w:cs="宋体"/>
                <w:lang w:val="en-US" w:eastAsia="zh-CN"/>
              </w:rPr>
              <w:t>、</w:t>
            </w:r>
            <w:r>
              <w:rPr>
                <w:rFonts w:hint="eastAsia" w:ascii="宋体" w:hAnsi="宋体" w:eastAsia="宋体" w:cs="宋体"/>
                <w:lang w:val="en-US" w:eastAsia="zh-CN"/>
              </w:rPr>
              <w:t>具有电流检测功能，当负载超出额定电流时，或者是系统中出现某种异常导致供电线路短路时，外置电源会进行总线过流和短路保护功能，即自动关闭总线供电输出，且外置电源箱声光报警，异常指示灯闪烁提示。</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4</w:t>
            </w:r>
            <w:r>
              <w:rPr>
                <w:rFonts w:hint="eastAsia" w:ascii="宋体" w:hAnsi="宋体" w:cs="宋体"/>
                <w:lang w:val="en-US" w:eastAsia="zh-CN"/>
              </w:rPr>
              <w:t>、</w:t>
            </w:r>
            <w:r>
              <w:rPr>
                <w:rFonts w:hint="eastAsia" w:ascii="宋体" w:hAnsi="宋体" w:eastAsia="宋体" w:cs="宋体"/>
                <w:lang w:val="en-US" w:eastAsia="zh-CN"/>
              </w:rPr>
              <w:t>具有过压保护功能，当外部总线电压超出额定输出电压要求时，外置电源检测异常并声光报警，且关闭总线供电输出。</w:t>
            </w:r>
          </w:p>
          <w:p>
            <w:pPr>
              <w:spacing w:before="0" w:after="0" w:line="400" w:lineRule="exact"/>
              <w:ind w:left="0" w:leftChars="0" w:firstLine="79" w:firstLineChars="38"/>
              <w:jc w:val="left"/>
              <w:rPr>
                <w:rFonts w:hint="eastAsia" w:ascii="宋体" w:hAnsi="宋体" w:eastAsia="宋体" w:cs="宋体"/>
                <w:lang w:val="en-US" w:eastAsia="zh-CN"/>
              </w:rPr>
            </w:pPr>
            <w:r>
              <w:rPr>
                <w:rFonts w:hint="eastAsia" w:ascii="宋体" w:hAnsi="宋体" w:eastAsia="宋体" w:cs="宋体"/>
                <w:lang w:val="en-US" w:eastAsia="zh-CN"/>
              </w:rPr>
              <w:t>5</w:t>
            </w:r>
            <w:r>
              <w:rPr>
                <w:rFonts w:hint="eastAsia" w:ascii="宋体" w:hAnsi="宋体" w:cs="宋体"/>
                <w:lang w:val="en-US" w:eastAsia="zh-CN"/>
              </w:rPr>
              <w:t>、</w:t>
            </w:r>
            <w:r>
              <w:rPr>
                <w:rFonts w:hint="eastAsia" w:ascii="宋体" w:hAnsi="宋体" w:eastAsia="宋体" w:cs="宋体"/>
                <w:lang w:val="en-US" w:eastAsia="zh-CN"/>
              </w:rPr>
              <w:t>当供电线路异常解除后，外置电源具有自恢复功能，恢复对总线的供电输出。</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pStyle w:val="4"/>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1套</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pStyle w:val="4"/>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6500.00</w:t>
            </w:r>
          </w:p>
        </w:tc>
      </w:tr>
      <w:tr>
        <w:tblPrEx>
          <w:tblCellMar>
            <w:top w:w="0" w:type="dxa"/>
            <w:left w:w="0" w:type="dxa"/>
            <w:bottom w:w="0" w:type="dxa"/>
            <w:right w:w="0" w:type="dxa"/>
          </w:tblCellMar>
        </w:tblPrEx>
        <w:trPr>
          <w:trHeight w:val="90" w:hRule="atLeast"/>
        </w:trPr>
        <w:tc>
          <w:tcPr>
            <w:tcW w:w="598"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default" w:ascii="宋体" w:hAnsi="宋体" w:cs="宋体"/>
                <w:color w:val="auto"/>
                <w:szCs w:val="21"/>
                <w:lang w:val="en-US" w:eastAsia="zh-CN"/>
              </w:rPr>
            </w:pPr>
            <w:r>
              <w:rPr>
                <w:rFonts w:hint="eastAsia" w:ascii="宋体" w:hAnsi="宋体" w:cs="宋体"/>
                <w:color w:val="auto"/>
                <w:szCs w:val="21"/>
                <w:lang w:val="en-US" w:eastAsia="zh-CN"/>
              </w:rPr>
              <w:t>11</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center"/>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设备带</w:t>
            </w:r>
          </w:p>
        </w:tc>
        <w:tc>
          <w:tcPr>
            <w:tcW w:w="682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wordWrap/>
              <w:overflowPunct/>
              <w:topLinePunct w:val="0"/>
              <w:autoSpaceDE/>
              <w:autoSpaceDN/>
              <w:bidi w:val="0"/>
              <w:adjustRightInd/>
              <w:snapToGrid/>
              <w:spacing w:before="0" w:after="0" w:line="360" w:lineRule="exact"/>
              <w:ind w:firstLine="0" w:firstLineChars="0"/>
              <w:jc w:val="both"/>
              <w:textAlignment w:val="auto"/>
              <w:rPr>
                <w:rFonts w:hint="eastAsia" w:ascii="宋体" w:hAnsi="宋体" w:eastAsia="宋体" w:cs="宋体"/>
                <w:lang w:val="en-US" w:eastAsia="zh-CN"/>
              </w:rPr>
            </w:pPr>
            <w:r>
              <w:rPr>
                <w:rFonts w:hint="eastAsia" w:ascii="宋体" w:hAnsi="宋体" w:cs="宋体"/>
                <w:lang w:val="en-US" w:eastAsia="zh-CN"/>
              </w:rPr>
              <w:t>制定。</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pStyle w:val="4"/>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22套</w:t>
            </w:r>
          </w:p>
        </w:tc>
        <w:tc>
          <w:tcPr>
            <w:tcW w:w="1057" w:type="dxa"/>
            <w:tcBorders>
              <w:top w:val="single" w:color="000000" w:sz="4" w:space="0"/>
              <w:left w:val="single" w:color="000000" w:sz="4" w:space="0"/>
              <w:bottom w:val="single" w:color="000000" w:sz="4" w:space="0"/>
              <w:right w:val="single" w:color="000000" w:sz="4" w:space="0"/>
            </w:tcBorders>
            <w:noWrap w:val="0"/>
            <w:vAlign w:val="center"/>
          </w:tcPr>
          <w:p>
            <w:pPr>
              <w:pStyle w:val="4"/>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4227.00</w:t>
            </w:r>
          </w:p>
        </w:tc>
      </w:tr>
      <w:tr>
        <w:tblPrEx>
          <w:tblCellMar>
            <w:top w:w="0" w:type="dxa"/>
            <w:left w:w="0" w:type="dxa"/>
            <w:bottom w:w="0" w:type="dxa"/>
            <w:right w:w="0" w:type="dxa"/>
          </w:tblCellMar>
        </w:tblPrEx>
        <w:trPr>
          <w:trHeight w:val="768" w:hRule="atLeast"/>
        </w:trPr>
        <w:tc>
          <w:tcPr>
            <w:tcW w:w="10105"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4"/>
              <w:keepNext/>
              <w:keepLines/>
              <w:pageBreakBefore w:val="0"/>
              <w:widowControl w:val="0"/>
              <w:numPr>
                <w:ilvl w:val="0"/>
                <w:numId w:val="0"/>
              </w:numPr>
              <w:kinsoku/>
              <w:wordWrap/>
              <w:overflowPunct/>
              <w:topLinePunct w:val="0"/>
              <w:autoSpaceDE/>
              <w:autoSpaceDN/>
              <w:bidi w:val="0"/>
              <w:adjustRightInd/>
              <w:snapToGrid/>
              <w:spacing w:line="360" w:lineRule="exact"/>
              <w:ind w:firstLine="210" w:firstLineChars="100"/>
              <w:jc w:val="left"/>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商务要求：</w:t>
            </w:r>
          </w:p>
        </w:tc>
      </w:tr>
      <w:tr>
        <w:tblPrEx>
          <w:tblCellMar>
            <w:top w:w="0" w:type="dxa"/>
            <w:left w:w="0" w:type="dxa"/>
            <w:bottom w:w="0" w:type="dxa"/>
            <w:right w:w="0" w:type="dxa"/>
          </w:tblCellMar>
        </w:tblPrEx>
        <w:trPr>
          <w:trHeight w:val="768" w:hRule="atLeast"/>
        </w:trPr>
        <w:tc>
          <w:tcPr>
            <w:tcW w:w="1562"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400" w:lineRule="exact"/>
              <w:ind w:left="0" w:leftChars="0" w:firstLine="0" w:firstLineChars="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Cs w:val="21"/>
              </w:rPr>
              <w:t>免费保修期及售后服务</w:t>
            </w:r>
          </w:p>
        </w:tc>
        <w:tc>
          <w:tcPr>
            <w:tcW w:w="8543" w:type="dxa"/>
            <w:gridSpan w:val="3"/>
            <w:tcBorders>
              <w:top w:val="single" w:color="000000" w:sz="4" w:space="0"/>
              <w:left w:val="single" w:color="000000" w:sz="4" w:space="0"/>
              <w:bottom w:val="single" w:color="000000" w:sz="4" w:space="0"/>
              <w:right w:val="single" w:color="000000" w:sz="4" w:space="0"/>
            </w:tcBorders>
            <w:noWrap w:val="0"/>
            <w:vAlign w:val="top"/>
          </w:tcPr>
          <w:p>
            <w:pPr>
              <w:adjustRightInd w:val="0"/>
              <w:spacing w:line="400" w:lineRule="exact"/>
              <w:ind w:left="0" w:leftChars="0" w:firstLine="58" w:firstLineChars="28"/>
              <w:jc w:val="left"/>
              <w:rPr>
                <w:rFonts w:hint="eastAsia" w:ascii="宋体" w:hAnsi="宋体" w:eastAsia="宋体" w:cs="宋体"/>
                <w:color w:val="auto"/>
                <w:szCs w:val="21"/>
              </w:rPr>
            </w:pPr>
            <w:r>
              <w:rPr>
                <w:rFonts w:hint="eastAsia" w:ascii="宋体" w:hAnsi="宋体" w:eastAsia="宋体" w:cs="宋体"/>
                <w:color w:val="auto"/>
                <w:szCs w:val="21"/>
              </w:rPr>
              <w:t>1、免费保修期：按国家有关产品“三包”规定执行“三包”，</w:t>
            </w:r>
            <w:r>
              <w:rPr>
                <w:rFonts w:hint="eastAsia" w:ascii="宋体" w:hAnsi="宋体" w:eastAsia="宋体" w:cs="宋体"/>
                <w:color w:val="auto"/>
                <w:szCs w:val="21"/>
                <w:lang w:eastAsia="zh-CN"/>
              </w:rPr>
              <w:t>整机</w:t>
            </w:r>
            <w:r>
              <w:rPr>
                <w:rFonts w:hint="eastAsia" w:ascii="宋体" w:hAnsi="宋体" w:eastAsia="宋体" w:cs="宋体"/>
                <w:color w:val="auto"/>
                <w:szCs w:val="21"/>
              </w:rPr>
              <w:t>免费保修期不少于</w:t>
            </w:r>
            <w:r>
              <w:rPr>
                <w:rFonts w:hint="eastAsia" w:ascii="宋体" w:hAnsi="宋体" w:eastAsia="宋体" w:cs="宋体"/>
                <w:color w:val="auto"/>
                <w:szCs w:val="21"/>
                <w:lang w:val="en-US" w:eastAsia="zh-CN"/>
              </w:rPr>
              <w:t>1</w:t>
            </w:r>
            <w:r>
              <w:rPr>
                <w:rFonts w:hint="eastAsia" w:ascii="宋体" w:hAnsi="宋体" w:eastAsia="宋体" w:cs="宋体"/>
                <w:color w:val="auto"/>
                <w:szCs w:val="21"/>
              </w:rPr>
              <w:t>年(“货物采购需求”中有特殊要求的，按其要求执行）。</w:t>
            </w:r>
          </w:p>
          <w:p>
            <w:pPr>
              <w:adjustRightInd w:val="0"/>
              <w:spacing w:line="400" w:lineRule="exact"/>
              <w:ind w:left="0" w:leftChars="0" w:firstLine="58" w:firstLineChars="28"/>
              <w:jc w:val="left"/>
              <w:rPr>
                <w:rFonts w:hint="eastAsia" w:ascii="宋体" w:hAnsi="宋体" w:eastAsia="宋体" w:cs="宋体"/>
                <w:color w:val="auto"/>
                <w:szCs w:val="21"/>
                <w:lang w:val="en-US" w:eastAsia="zh-CN"/>
              </w:rPr>
            </w:pPr>
            <w:r>
              <w:rPr>
                <w:rFonts w:hint="eastAsia" w:ascii="宋体" w:hAnsi="宋体" w:eastAsia="宋体" w:cs="宋体"/>
                <w:color w:val="auto"/>
                <w:szCs w:val="21"/>
              </w:rPr>
              <w:t>2、免费送货上门安装并调试完毕，验收合格。</w:t>
            </w:r>
          </w:p>
        </w:tc>
      </w:tr>
      <w:tr>
        <w:tblPrEx>
          <w:tblCellMar>
            <w:top w:w="0" w:type="dxa"/>
            <w:left w:w="0" w:type="dxa"/>
            <w:bottom w:w="0" w:type="dxa"/>
            <w:right w:w="0" w:type="dxa"/>
          </w:tblCellMar>
        </w:tblPrEx>
        <w:trPr>
          <w:trHeight w:val="90" w:hRule="atLeast"/>
        </w:trPr>
        <w:tc>
          <w:tcPr>
            <w:tcW w:w="1562"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400" w:lineRule="exact"/>
              <w:ind w:left="0" w:leftChars="0" w:firstLine="0" w:firstLineChars="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Cs w:val="21"/>
              </w:rPr>
              <w:t>交付使用时间及地点</w:t>
            </w:r>
          </w:p>
        </w:tc>
        <w:tc>
          <w:tcPr>
            <w:tcW w:w="8543" w:type="dxa"/>
            <w:gridSpan w:val="3"/>
            <w:tcBorders>
              <w:top w:val="single" w:color="000000" w:sz="4" w:space="0"/>
              <w:left w:val="single" w:color="000000" w:sz="4" w:space="0"/>
              <w:bottom w:val="single" w:color="000000" w:sz="4" w:space="0"/>
              <w:right w:val="single" w:color="000000" w:sz="4" w:space="0"/>
            </w:tcBorders>
            <w:noWrap w:val="0"/>
            <w:vAlign w:val="top"/>
          </w:tcPr>
          <w:p>
            <w:pPr>
              <w:adjustRightInd w:val="0"/>
              <w:spacing w:line="400" w:lineRule="exact"/>
              <w:ind w:left="0" w:leftChars="0" w:firstLine="58" w:firstLineChars="28"/>
              <w:jc w:val="left"/>
              <w:rPr>
                <w:rFonts w:hint="eastAsia" w:ascii="宋体" w:hAnsi="宋体" w:eastAsia="宋体" w:cs="宋体"/>
                <w:color w:val="auto"/>
                <w:szCs w:val="21"/>
              </w:rPr>
            </w:pPr>
            <w:r>
              <w:rPr>
                <w:rFonts w:hint="eastAsia" w:ascii="宋体" w:hAnsi="宋体" w:eastAsia="宋体" w:cs="宋体"/>
                <w:color w:val="auto"/>
                <w:szCs w:val="21"/>
              </w:rPr>
              <w:t>1、交付使用时间：自合同签订后</w:t>
            </w:r>
            <w:r>
              <w:rPr>
                <w:rFonts w:hint="eastAsia" w:ascii="宋体" w:hAnsi="宋体" w:eastAsia="宋体" w:cs="宋体"/>
                <w:color w:val="auto"/>
                <w:szCs w:val="21"/>
                <w:lang w:val="en-US" w:eastAsia="zh-CN"/>
              </w:rPr>
              <w:t>7</w:t>
            </w:r>
            <w:r>
              <w:rPr>
                <w:rFonts w:hint="eastAsia" w:ascii="宋体" w:hAnsi="宋体" w:eastAsia="宋体" w:cs="宋体"/>
                <w:color w:val="auto"/>
                <w:szCs w:val="21"/>
              </w:rPr>
              <w:t>个工作日内交货并按采购人要求安装调试完毕交付使用。</w:t>
            </w:r>
          </w:p>
          <w:p>
            <w:pPr>
              <w:adjustRightInd w:val="0"/>
              <w:spacing w:line="400" w:lineRule="exact"/>
              <w:ind w:left="0" w:leftChars="0" w:firstLine="58" w:firstLineChars="28"/>
              <w:jc w:val="left"/>
              <w:rPr>
                <w:rFonts w:hint="eastAsia" w:ascii="宋体" w:hAnsi="宋体" w:eastAsia="宋体" w:cs="宋体"/>
                <w:color w:val="auto"/>
                <w:szCs w:val="21"/>
                <w:lang w:val="en-US" w:eastAsia="zh-CN"/>
              </w:rPr>
            </w:pPr>
            <w:r>
              <w:rPr>
                <w:rFonts w:hint="eastAsia" w:ascii="宋体" w:hAnsi="宋体" w:eastAsia="宋体" w:cs="宋体"/>
                <w:color w:val="auto"/>
                <w:szCs w:val="21"/>
              </w:rPr>
              <w:t>2、交付地点：采购单位指定地点。</w:t>
            </w:r>
          </w:p>
        </w:tc>
      </w:tr>
      <w:tr>
        <w:tblPrEx>
          <w:tblCellMar>
            <w:top w:w="0" w:type="dxa"/>
            <w:left w:w="0" w:type="dxa"/>
            <w:bottom w:w="0" w:type="dxa"/>
            <w:right w:w="0" w:type="dxa"/>
          </w:tblCellMar>
        </w:tblPrEx>
        <w:trPr>
          <w:trHeight w:val="444" w:hRule="atLeast"/>
        </w:trPr>
        <w:tc>
          <w:tcPr>
            <w:tcW w:w="1562"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400" w:lineRule="exact"/>
              <w:ind w:left="0" w:leftChars="0" w:firstLine="0" w:firstLineChars="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Cs w:val="21"/>
              </w:rPr>
              <w:t>付款方式</w:t>
            </w:r>
          </w:p>
        </w:tc>
        <w:tc>
          <w:tcPr>
            <w:tcW w:w="8543" w:type="dxa"/>
            <w:gridSpan w:val="3"/>
            <w:tcBorders>
              <w:top w:val="single" w:color="000000" w:sz="4" w:space="0"/>
              <w:left w:val="single" w:color="000000" w:sz="4" w:space="0"/>
              <w:bottom w:val="single" w:color="000000" w:sz="4" w:space="0"/>
              <w:right w:val="single" w:color="000000" w:sz="4" w:space="0"/>
            </w:tcBorders>
            <w:noWrap w:val="0"/>
            <w:vAlign w:val="top"/>
          </w:tcPr>
          <w:p>
            <w:pPr>
              <w:adjustRightInd w:val="0"/>
              <w:spacing w:line="400" w:lineRule="exact"/>
              <w:ind w:left="0" w:leftChars="0" w:firstLine="58" w:firstLineChars="28"/>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双方签订合同后甲方即付合同金额的30%，余款70%验收合格后一次性付清，履约保证金转为产品质保金，质保期满后质保金退回</w:t>
            </w:r>
          </w:p>
        </w:tc>
      </w:tr>
      <w:tr>
        <w:tblPrEx>
          <w:tblCellMar>
            <w:top w:w="0" w:type="dxa"/>
            <w:left w:w="0" w:type="dxa"/>
            <w:bottom w:w="0" w:type="dxa"/>
            <w:right w:w="0" w:type="dxa"/>
          </w:tblCellMar>
        </w:tblPrEx>
        <w:trPr>
          <w:trHeight w:val="1671" w:hRule="atLeast"/>
        </w:trPr>
        <w:tc>
          <w:tcPr>
            <w:tcW w:w="156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left="0" w:leftChars="0" w:firstLine="0" w:firstLineChars="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Cs w:val="21"/>
              </w:rPr>
              <w:t>验收标准</w:t>
            </w:r>
          </w:p>
        </w:tc>
        <w:tc>
          <w:tcPr>
            <w:tcW w:w="8543"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pacing w:line="400" w:lineRule="exact"/>
              <w:ind w:left="0" w:leftChars="0" w:firstLine="58" w:firstLineChars="28"/>
              <w:jc w:val="left"/>
              <w:rPr>
                <w:rFonts w:hint="eastAsia" w:ascii="宋体" w:hAnsi="宋体" w:eastAsia="宋体" w:cs="宋体"/>
                <w:color w:val="auto"/>
                <w:szCs w:val="21"/>
              </w:rPr>
            </w:pPr>
            <w:r>
              <w:rPr>
                <w:rFonts w:hint="eastAsia" w:ascii="宋体" w:hAnsi="宋体" w:eastAsia="宋体" w:cs="宋体"/>
                <w:color w:val="auto"/>
                <w:szCs w:val="21"/>
              </w:rPr>
              <w:t>1、现场验收。</w:t>
            </w:r>
          </w:p>
          <w:p>
            <w:pPr>
              <w:adjustRightInd w:val="0"/>
              <w:spacing w:line="400" w:lineRule="exact"/>
              <w:ind w:left="0" w:leftChars="0" w:firstLine="58" w:firstLineChars="28"/>
              <w:jc w:val="left"/>
              <w:rPr>
                <w:rFonts w:hint="eastAsia" w:ascii="宋体" w:hAnsi="宋体" w:eastAsia="宋体" w:cs="宋体"/>
                <w:color w:val="auto"/>
                <w:szCs w:val="21"/>
              </w:rPr>
            </w:pPr>
            <w:r>
              <w:rPr>
                <w:rFonts w:hint="eastAsia" w:ascii="宋体" w:hAnsi="宋体" w:eastAsia="宋体" w:cs="宋体"/>
                <w:color w:val="auto"/>
                <w:szCs w:val="21"/>
              </w:rPr>
              <w:t>2、验收依据：按照竞争性磋商文件要求及成交人的响应文件。</w:t>
            </w:r>
          </w:p>
          <w:p>
            <w:pPr>
              <w:adjustRightInd w:val="0"/>
              <w:spacing w:line="400" w:lineRule="exact"/>
              <w:ind w:left="0" w:leftChars="0" w:firstLine="58" w:firstLineChars="28"/>
              <w:jc w:val="left"/>
              <w:rPr>
                <w:rFonts w:hint="eastAsia" w:ascii="宋体" w:hAnsi="宋体" w:eastAsia="宋体" w:cs="宋体"/>
                <w:color w:val="auto"/>
                <w:szCs w:val="21"/>
              </w:rPr>
            </w:pPr>
            <w:r>
              <w:rPr>
                <w:rFonts w:hint="eastAsia" w:ascii="宋体" w:hAnsi="宋体" w:eastAsia="宋体" w:cs="宋体"/>
                <w:color w:val="auto"/>
                <w:szCs w:val="21"/>
              </w:rPr>
              <w:t>3、验收时，成交人须提供由国家行政主管部门核准的产品出厂检验报告、合格证书、装箱单、完整的技术资料原件一套（技术说明书及中文操作使用说明书）；采购人依此标准对成交产品按采购需求逐条核验，如无以上原件材料或响应文件技术规格偏离表中承诺的参数与该文件不一致，采购人不予验收，由此造成的损失由成交人负责。</w:t>
            </w:r>
          </w:p>
          <w:p>
            <w:pPr>
              <w:adjustRightInd w:val="0"/>
              <w:spacing w:line="400" w:lineRule="exact"/>
              <w:ind w:left="0" w:leftChars="0" w:firstLine="58" w:firstLineChars="28"/>
              <w:jc w:val="left"/>
              <w:rPr>
                <w:rFonts w:hint="eastAsia" w:ascii="宋体" w:hAnsi="宋体" w:eastAsia="宋体" w:cs="宋体"/>
                <w:color w:val="auto"/>
                <w:szCs w:val="21"/>
                <w:lang w:val="en-US" w:eastAsia="zh-CN"/>
              </w:rPr>
            </w:pPr>
            <w:r>
              <w:rPr>
                <w:rFonts w:hint="eastAsia" w:ascii="宋体" w:hAnsi="宋体" w:eastAsia="宋体" w:cs="宋体"/>
                <w:color w:val="auto"/>
                <w:szCs w:val="21"/>
              </w:rPr>
              <w:t>4、采购人对成交人提供的货物进行验收，检验是否满足竞争性</w:t>
            </w:r>
            <w:r>
              <w:rPr>
                <w:rFonts w:hint="eastAsia" w:ascii="宋体" w:hAnsi="宋体" w:cs="宋体"/>
                <w:bCs/>
                <w:color w:val="auto"/>
                <w:szCs w:val="21"/>
                <w:highlight w:val="none"/>
                <w:lang w:eastAsia="zh-CN"/>
              </w:rPr>
              <w:t>磋商</w:t>
            </w:r>
            <w:r>
              <w:rPr>
                <w:rFonts w:hint="eastAsia" w:ascii="宋体" w:hAnsi="宋体" w:eastAsia="宋体" w:cs="宋体"/>
                <w:color w:val="auto"/>
                <w:szCs w:val="21"/>
              </w:rPr>
              <w:t>文件要求及响应文件承诺；若有技术参数不满足竞争性</w:t>
            </w:r>
            <w:r>
              <w:rPr>
                <w:rFonts w:hint="eastAsia" w:ascii="宋体" w:hAnsi="宋体" w:cs="宋体"/>
                <w:bCs/>
                <w:color w:val="auto"/>
                <w:szCs w:val="21"/>
                <w:highlight w:val="none"/>
                <w:lang w:eastAsia="zh-CN"/>
              </w:rPr>
              <w:t>磋商</w:t>
            </w:r>
            <w:r>
              <w:rPr>
                <w:rFonts w:hint="eastAsia" w:ascii="宋体" w:hAnsi="宋体" w:eastAsia="宋体" w:cs="宋体"/>
                <w:color w:val="auto"/>
                <w:szCs w:val="21"/>
              </w:rPr>
              <w:t>文件要求的，不予收货，按违约责任处理，采购人有权单方面解除政府采购合同，并上报政府采购监督管理部门，由此造成的一切后果由成交人承担。</w:t>
            </w:r>
          </w:p>
        </w:tc>
      </w:tr>
      <w:tr>
        <w:tblPrEx>
          <w:tblCellMar>
            <w:top w:w="0" w:type="dxa"/>
            <w:left w:w="0" w:type="dxa"/>
            <w:bottom w:w="0" w:type="dxa"/>
            <w:right w:w="0" w:type="dxa"/>
          </w:tblCellMar>
        </w:tblPrEx>
        <w:trPr>
          <w:trHeight w:val="562" w:hRule="atLeast"/>
        </w:trPr>
        <w:tc>
          <w:tcPr>
            <w:tcW w:w="1562"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ind w:left="0" w:leftChars="0" w:firstLine="0" w:firstLineChars="0"/>
              <w:jc w:val="center"/>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color w:val="auto"/>
                <w:szCs w:val="21"/>
              </w:rPr>
              <w:t>其他要求</w:t>
            </w:r>
          </w:p>
        </w:tc>
        <w:tc>
          <w:tcPr>
            <w:tcW w:w="8543"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14"/>
              <w:tabs>
                <w:tab w:val="left" w:pos="633"/>
              </w:tabs>
              <w:spacing w:before="33" w:line="400" w:lineRule="exact"/>
              <w:ind w:left="0" w:leftChars="0" w:right="-15" w:firstLine="98" w:firstLineChars="47"/>
              <w:rPr>
                <w:rFonts w:hint="eastAsia" w:ascii="宋体" w:hAnsi="宋体" w:eastAsia="宋体" w:cs="宋体"/>
                <w:color w:val="auto"/>
                <w:szCs w:val="21"/>
                <w:lang w:bidi="ar"/>
              </w:rPr>
            </w:pPr>
            <w:r>
              <w:rPr>
                <w:rFonts w:hint="eastAsia" w:ascii="宋体" w:hAnsi="宋体" w:eastAsia="宋体" w:cs="宋体"/>
                <w:color w:val="auto"/>
                <w:szCs w:val="21"/>
                <w:lang w:val="en-US" w:eastAsia="zh-CN" w:bidi="ar"/>
              </w:rPr>
              <w:t>1、</w:t>
            </w:r>
            <w:r>
              <w:rPr>
                <w:rFonts w:hint="eastAsia" w:ascii="宋体" w:hAnsi="宋体" w:eastAsia="宋体" w:cs="宋体"/>
                <w:color w:val="auto"/>
                <w:szCs w:val="21"/>
                <w:lang w:bidi="ar"/>
              </w:rPr>
              <w:t>成交人必须提供原装正品的、全新的、符合国家及采购方提出的有关质量标准的产品。否则，采购人有权终止采购合同并全部退货，由此造成采购人的经济损失由成交人全部承担赔偿；</w:t>
            </w:r>
          </w:p>
          <w:p>
            <w:pPr>
              <w:pStyle w:val="114"/>
              <w:tabs>
                <w:tab w:val="left" w:pos="633"/>
              </w:tabs>
              <w:spacing w:before="33" w:line="400" w:lineRule="exact"/>
              <w:ind w:left="0" w:leftChars="0" w:right="-15" w:firstLine="98" w:firstLineChars="47"/>
              <w:rPr>
                <w:rFonts w:hint="eastAsia" w:ascii="宋体" w:hAnsi="宋体" w:eastAsia="宋体" w:cs="宋体"/>
                <w:color w:val="auto"/>
                <w:szCs w:val="21"/>
                <w:lang w:bidi="ar"/>
              </w:rPr>
            </w:pPr>
            <w:r>
              <w:rPr>
                <w:rFonts w:hint="eastAsia" w:ascii="宋体" w:hAnsi="宋体" w:eastAsia="宋体" w:cs="宋体"/>
                <w:color w:val="auto"/>
                <w:szCs w:val="21"/>
                <w:lang w:val="en-US" w:eastAsia="zh-CN" w:bidi="ar"/>
              </w:rPr>
              <w:t>2、</w:t>
            </w:r>
            <w:r>
              <w:rPr>
                <w:rFonts w:hint="eastAsia" w:ascii="宋体" w:hAnsi="宋体" w:eastAsia="宋体" w:cs="宋体"/>
                <w:color w:val="auto"/>
                <w:szCs w:val="21"/>
                <w:lang w:bidi="ar"/>
              </w:rPr>
              <w:t>供货时，成交人必须提供所成交设备生产厂家对此项目的售后服务承诺书原件，否则不予收货。</w:t>
            </w:r>
          </w:p>
          <w:p>
            <w:pPr>
              <w:pStyle w:val="114"/>
              <w:tabs>
                <w:tab w:val="left" w:pos="633"/>
              </w:tabs>
              <w:spacing w:before="33" w:line="400" w:lineRule="exact"/>
              <w:ind w:left="0" w:leftChars="0" w:right="-15" w:firstLine="98" w:firstLineChars="47"/>
              <w:rPr>
                <w:rFonts w:hint="eastAsia" w:ascii="宋体" w:hAnsi="宋体" w:eastAsia="宋体" w:cs="宋体"/>
                <w:color w:val="auto"/>
                <w:szCs w:val="21"/>
                <w:lang w:bidi="ar"/>
              </w:rPr>
            </w:pPr>
            <w:r>
              <w:rPr>
                <w:rFonts w:hint="eastAsia" w:ascii="宋体" w:hAnsi="宋体" w:eastAsia="宋体" w:cs="宋体"/>
                <w:color w:val="auto"/>
                <w:szCs w:val="21"/>
                <w:lang w:val="en-US" w:eastAsia="zh-CN" w:bidi="ar"/>
              </w:rPr>
              <w:t>3、</w:t>
            </w:r>
            <w:r>
              <w:rPr>
                <w:rFonts w:hint="eastAsia" w:ascii="宋体" w:hAnsi="宋体" w:cs="宋体"/>
                <w:bCs/>
                <w:color w:val="auto"/>
                <w:szCs w:val="21"/>
                <w:highlight w:val="none"/>
                <w:lang w:eastAsia="zh-CN"/>
              </w:rPr>
              <w:t>磋商</w:t>
            </w:r>
            <w:r>
              <w:rPr>
                <w:rFonts w:hint="eastAsia" w:ascii="宋体" w:hAnsi="宋体" w:eastAsia="宋体" w:cs="宋体"/>
                <w:color w:val="auto"/>
                <w:szCs w:val="21"/>
                <w:lang w:bidi="ar"/>
              </w:rPr>
              <w:t>报价包括货物价款、备品备件、专用工具、旧设备拆除费、包装、运输、装卸、保险、税金以及货物到位、安装、安装所需辅材、调试、检验、售后服务、培训、保修和配套配件等全部费用。供应商综合考虑在报价中。</w:t>
            </w:r>
          </w:p>
          <w:p>
            <w:pPr>
              <w:pStyle w:val="114"/>
              <w:tabs>
                <w:tab w:val="left" w:pos="633"/>
              </w:tabs>
              <w:spacing w:before="33" w:line="400" w:lineRule="exact"/>
              <w:ind w:left="0" w:leftChars="0" w:right="-15" w:firstLine="98" w:firstLineChars="47"/>
              <w:rPr>
                <w:rFonts w:hint="eastAsia" w:ascii="宋体" w:hAnsi="宋体" w:eastAsia="宋体" w:cs="宋体"/>
                <w:color w:val="auto"/>
                <w:szCs w:val="21"/>
                <w:lang w:bidi="ar"/>
              </w:rPr>
            </w:pPr>
            <w:r>
              <w:rPr>
                <w:rFonts w:hint="eastAsia" w:ascii="宋体" w:hAnsi="宋体" w:eastAsia="宋体" w:cs="宋体"/>
                <w:color w:val="auto"/>
                <w:szCs w:val="21"/>
                <w:lang w:val="en-US" w:eastAsia="zh-CN" w:bidi="ar"/>
              </w:rPr>
              <w:t>4、</w:t>
            </w:r>
            <w:r>
              <w:rPr>
                <w:rFonts w:hint="eastAsia" w:ascii="宋体" w:hAnsi="宋体" w:eastAsia="宋体" w:cs="宋体"/>
                <w:color w:val="auto"/>
                <w:szCs w:val="21"/>
                <w:lang w:bidi="ar"/>
              </w:rPr>
              <w:t>本</w:t>
            </w:r>
            <w:r>
              <w:rPr>
                <w:rFonts w:hint="eastAsia" w:ascii="宋体" w:hAnsi="宋体" w:eastAsia="宋体" w:cs="宋体"/>
                <w:color w:val="auto"/>
                <w:szCs w:val="21"/>
                <w:lang w:eastAsia="zh-CN" w:bidi="ar"/>
              </w:rPr>
              <w:t>项目</w:t>
            </w:r>
            <w:r>
              <w:rPr>
                <w:rFonts w:hint="eastAsia" w:ascii="宋体" w:hAnsi="宋体" w:cs="宋体"/>
                <w:color w:val="auto"/>
                <w:szCs w:val="21"/>
                <w:lang w:eastAsia="zh-CN" w:bidi="ar"/>
              </w:rPr>
              <w:t>产品</w:t>
            </w:r>
            <w:r>
              <w:rPr>
                <w:rFonts w:hint="eastAsia" w:ascii="宋体" w:hAnsi="宋体" w:eastAsia="宋体" w:cs="宋体"/>
                <w:color w:val="auto"/>
                <w:szCs w:val="21"/>
                <w:lang w:bidi="ar"/>
              </w:rPr>
              <w:t>不接受进口产品（即通过中国海关报关验放进入中国境内且产自关境外的产品）参与</w:t>
            </w:r>
            <w:r>
              <w:rPr>
                <w:rFonts w:hint="eastAsia" w:ascii="宋体" w:hAnsi="宋体" w:cs="宋体"/>
                <w:color w:val="auto"/>
                <w:szCs w:val="21"/>
                <w:lang w:eastAsia="zh-CN" w:bidi="ar"/>
              </w:rPr>
              <w:t>磋商</w:t>
            </w:r>
            <w:r>
              <w:rPr>
                <w:rFonts w:hint="eastAsia" w:ascii="宋体" w:hAnsi="宋体" w:eastAsia="宋体" w:cs="宋体"/>
                <w:color w:val="auto"/>
                <w:szCs w:val="21"/>
                <w:lang w:bidi="ar"/>
              </w:rPr>
              <w:t>，如有此类产品参与</w:t>
            </w:r>
            <w:r>
              <w:rPr>
                <w:rFonts w:hint="eastAsia" w:ascii="宋体" w:hAnsi="宋体" w:cs="宋体"/>
                <w:color w:val="auto"/>
                <w:szCs w:val="21"/>
                <w:lang w:eastAsia="zh-CN" w:bidi="ar"/>
              </w:rPr>
              <w:t>磋商</w:t>
            </w:r>
            <w:r>
              <w:rPr>
                <w:rFonts w:hint="eastAsia" w:ascii="宋体" w:hAnsi="宋体" w:eastAsia="宋体" w:cs="宋体"/>
                <w:color w:val="auto"/>
                <w:szCs w:val="21"/>
                <w:lang w:bidi="ar"/>
              </w:rPr>
              <w:t>的，作无效</w:t>
            </w:r>
            <w:r>
              <w:rPr>
                <w:rFonts w:hint="eastAsia" w:ascii="宋体" w:hAnsi="宋体" w:cs="宋体"/>
                <w:color w:val="auto"/>
                <w:szCs w:val="21"/>
                <w:lang w:eastAsia="zh-CN" w:bidi="ar"/>
              </w:rPr>
              <w:t>磋商</w:t>
            </w:r>
            <w:r>
              <w:rPr>
                <w:rFonts w:hint="eastAsia" w:ascii="宋体" w:hAnsi="宋体" w:eastAsia="宋体" w:cs="宋体"/>
                <w:color w:val="auto"/>
                <w:szCs w:val="21"/>
                <w:lang w:bidi="ar"/>
              </w:rPr>
              <w:t>处理。</w:t>
            </w:r>
          </w:p>
          <w:p>
            <w:pPr>
              <w:pStyle w:val="114"/>
              <w:tabs>
                <w:tab w:val="left" w:pos="633"/>
              </w:tabs>
              <w:spacing w:before="33" w:line="400" w:lineRule="exact"/>
              <w:ind w:left="0" w:leftChars="0" w:right="-15" w:firstLine="98" w:firstLineChars="47"/>
              <w:rPr>
                <w:rFonts w:hint="eastAsia" w:hAnsi="宋体" w:cs="Times New Roman"/>
                <w:b w:val="0"/>
                <w:bCs w:val="0"/>
                <w:color w:val="auto"/>
                <w:kern w:val="2"/>
                <w:sz w:val="21"/>
                <w:szCs w:val="21"/>
                <w:lang w:val="en-US" w:eastAsia="zh-CN" w:bidi="ar-SA"/>
              </w:rPr>
            </w:pPr>
            <w:r>
              <w:rPr>
                <w:rFonts w:hint="eastAsia" w:ascii="宋体" w:hAnsi="宋体" w:eastAsia="宋体" w:cs="宋体"/>
                <w:color w:val="auto"/>
                <w:szCs w:val="21"/>
                <w:lang w:val="en-US" w:eastAsia="zh-CN" w:bidi="ar"/>
              </w:rPr>
              <w:t>5</w:t>
            </w:r>
            <w:r>
              <w:rPr>
                <w:rFonts w:hint="eastAsia" w:ascii="宋体" w:hAnsi="宋体" w:eastAsia="宋体" w:cs="宋体"/>
                <w:color w:val="auto"/>
                <w:szCs w:val="21"/>
                <w:lang w:bidi="ar"/>
              </w:rPr>
              <w:t>、本</w:t>
            </w:r>
            <w:r>
              <w:rPr>
                <w:rFonts w:hint="eastAsia" w:ascii="宋体" w:hAnsi="宋体" w:eastAsia="宋体" w:cs="宋体"/>
                <w:color w:val="auto"/>
                <w:szCs w:val="21"/>
                <w:lang w:eastAsia="zh-CN" w:bidi="ar"/>
              </w:rPr>
              <w:t>项目</w:t>
            </w:r>
            <w:r>
              <w:rPr>
                <w:rFonts w:hint="eastAsia" w:ascii="宋体" w:hAnsi="宋体" w:eastAsia="宋体" w:cs="宋体"/>
                <w:color w:val="auto"/>
                <w:szCs w:val="21"/>
                <w:lang w:bidi="ar"/>
              </w:rPr>
              <w:t>采购预算金额为人民币</w:t>
            </w:r>
            <w:r>
              <w:rPr>
                <w:rFonts w:hint="eastAsia" w:ascii="宋体" w:hAnsi="宋体" w:cs="宋体"/>
                <w:color w:val="auto"/>
                <w:szCs w:val="21"/>
                <w:lang w:val="en-US" w:eastAsia="zh-CN" w:bidi="ar"/>
              </w:rPr>
              <w:t>46.80</w:t>
            </w:r>
            <w:r>
              <w:rPr>
                <w:rFonts w:hint="eastAsia" w:ascii="宋体" w:hAnsi="宋体" w:eastAsia="宋体" w:cs="宋体"/>
                <w:color w:val="auto"/>
                <w:szCs w:val="21"/>
                <w:lang w:val="en-US" w:eastAsia="zh-CN" w:bidi="ar"/>
              </w:rPr>
              <w:t>万元</w:t>
            </w:r>
            <w:r>
              <w:rPr>
                <w:rFonts w:hint="eastAsia" w:ascii="宋体" w:hAnsi="宋体" w:eastAsia="宋体" w:cs="宋体"/>
                <w:color w:val="auto"/>
                <w:szCs w:val="21"/>
                <w:lang w:bidi="ar"/>
              </w:rPr>
              <w:t>，超过政府采购预算的</w:t>
            </w:r>
            <w:r>
              <w:rPr>
                <w:rFonts w:hint="eastAsia" w:ascii="宋体" w:hAnsi="宋体" w:cs="宋体"/>
                <w:color w:val="auto"/>
                <w:szCs w:val="21"/>
                <w:lang w:eastAsia="zh-CN" w:bidi="ar"/>
              </w:rPr>
              <w:t>磋商</w:t>
            </w:r>
            <w:r>
              <w:rPr>
                <w:rFonts w:hint="eastAsia" w:ascii="宋体" w:hAnsi="宋体" w:eastAsia="宋体" w:cs="宋体"/>
                <w:color w:val="auto"/>
                <w:szCs w:val="21"/>
                <w:lang w:bidi="ar"/>
              </w:rPr>
              <w:t>报价无效。</w:t>
            </w:r>
          </w:p>
        </w:tc>
      </w:tr>
    </w:tbl>
    <w:p>
      <w:pPr>
        <w:pStyle w:val="10"/>
        <w:rPr>
          <w:color w:val="auto"/>
          <w:highlight w:val="none"/>
        </w:rPr>
      </w:pPr>
    </w:p>
    <w:p>
      <w:pPr>
        <w:pStyle w:val="10"/>
        <w:rPr>
          <w:color w:val="auto"/>
          <w:highlight w:val="none"/>
        </w:rPr>
        <w:sectPr>
          <w:headerReference r:id="rId10" w:type="first"/>
          <w:footerReference r:id="rId13" w:type="first"/>
          <w:headerReference r:id="rId8" w:type="default"/>
          <w:footerReference r:id="rId11" w:type="default"/>
          <w:headerReference r:id="rId9" w:type="even"/>
          <w:footerReference r:id="rId12" w:type="even"/>
          <w:pgSz w:w="11906" w:h="16838"/>
          <w:pgMar w:top="1134" w:right="851" w:bottom="1134" w:left="1134" w:header="720" w:footer="720" w:gutter="0"/>
          <w:pgNumType w:fmt="decimal" w:start="1"/>
          <w:cols w:space="720" w:num="1"/>
          <w:titlePg/>
          <w:docGrid w:type="lines" w:linePitch="331" w:charSpace="0"/>
        </w:sectPr>
      </w:pPr>
    </w:p>
    <w:p>
      <w:pPr>
        <w:pStyle w:val="23"/>
        <w:spacing w:line="360" w:lineRule="exact"/>
        <w:ind w:firstLine="0" w:firstLineChars="0"/>
        <w:jc w:val="center"/>
        <w:rPr>
          <w:rFonts w:hAnsi="宋体"/>
          <w:b/>
          <w:bCs/>
          <w:color w:val="auto"/>
          <w:kern w:val="44"/>
          <w:sz w:val="32"/>
          <w:szCs w:val="32"/>
          <w:highlight w:val="none"/>
        </w:rPr>
      </w:pPr>
      <w:r>
        <w:rPr>
          <w:rFonts w:hint="eastAsia" w:hAnsi="宋体"/>
          <w:b/>
          <w:bCs/>
          <w:color w:val="auto"/>
          <w:kern w:val="44"/>
          <w:sz w:val="32"/>
          <w:szCs w:val="32"/>
          <w:highlight w:val="none"/>
        </w:rPr>
        <w:t>第四章   评审办法</w:t>
      </w:r>
    </w:p>
    <w:p>
      <w:pPr>
        <w:spacing w:before="0" w:after="0" w:line="440" w:lineRule="exact"/>
        <w:ind w:firstLine="0" w:firstLineChars="0"/>
        <w:rPr>
          <w:rFonts w:ascii="宋体" w:hAnsi="宋体"/>
          <w:b/>
          <w:bCs/>
          <w:color w:val="auto"/>
          <w:szCs w:val="20"/>
          <w:highlight w:val="none"/>
        </w:rPr>
      </w:pPr>
      <w:r>
        <w:rPr>
          <w:rFonts w:hint="eastAsia" w:ascii="宋体" w:hAnsi="宋体"/>
          <w:b/>
          <w:bCs/>
          <w:color w:val="auto"/>
          <w:szCs w:val="20"/>
          <w:highlight w:val="none"/>
        </w:rPr>
        <w:t>一、评审依据及方式</w:t>
      </w:r>
    </w:p>
    <w:p>
      <w:pPr>
        <w:spacing w:before="0" w:after="0" w:line="440" w:lineRule="exact"/>
        <w:ind w:firstLine="420"/>
        <w:rPr>
          <w:rFonts w:ascii="宋体" w:hAnsi="宋体"/>
          <w:color w:val="auto"/>
          <w:szCs w:val="20"/>
          <w:highlight w:val="none"/>
        </w:rPr>
      </w:pPr>
      <w:r>
        <w:rPr>
          <w:rFonts w:hint="eastAsia" w:ascii="宋体" w:hAnsi="宋体"/>
          <w:color w:val="auto"/>
          <w:szCs w:val="20"/>
          <w:highlight w:val="none"/>
        </w:rPr>
        <w:t>1. 评审依据：磋商小组以磋商文件和响应文件为评</w:t>
      </w:r>
      <w:r>
        <w:rPr>
          <w:rFonts w:hint="eastAsia" w:ascii="宋体" w:hAnsi="宋体"/>
          <w:color w:val="auto"/>
          <w:szCs w:val="20"/>
          <w:highlight w:val="none"/>
          <w:lang w:eastAsia="zh-CN"/>
        </w:rPr>
        <w:t>审</w:t>
      </w:r>
      <w:r>
        <w:rPr>
          <w:rFonts w:hint="eastAsia" w:ascii="宋体" w:hAnsi="宋体"/>
          <w:color w:val="auto"/>
          <w:szCs w:val="20"/>
          <w:highlight w:val="none"/>
        </w:rPr>
        <w:t>依据，对磋商供应商的磋商报价、技术、企业资质、售后服务</w:t>
      </w:r>
      <w:r>
        <w:rPr>
          <w:rFonts w:hint="eastAsia" w:ascii="宋体" w:hAnsi="宋体"/>
          <w:color w:val="auto"/>
          <w:szCs w:val="20"/>
          <w:highlight w:val="none"/>
          <w:lang w:eastAsia="zh-CN"/>
        </w:rPr>
        <w:t>、综合实力</w:t>
      </w:r>
      <w:r>
        <w:rPr>
          <w:rFonts w:hint="eastAsia" w:ascii="宋体" w:hAnsi="宋体"/>
          <w:color w:val="auto"/>
          <w:szCs w:val="20"/>
          <w:highlight w:val="none"/>
        </w:rPr>
        <w:t>等方面内容按百分制打分。</w:t>
      </w:r>
    </w:p>
    <w:p>
      <w:pPr>
        <w:spacing w:before="0" w:after="0" w:line="440" w:lineRule="exact"/>
        <w:ind w:left="210" w:leftChars="100" w:firstLine="210" w:firstLineChars="100"/>
        <w:rPr>
          <w:rFonts w:ascii="宋体" w:hAnsi="宋体"/>
          <w:color w:val="auto"/>
          <w:szCs w:val="20"/>
          <w:highlight w:val="none"/>
        </w:rPr>
      </w:pPr>
      <w:r>
        <w:rPr>
          <w:rFonts w:hint="eastAsia" w:ascii="宋体" w:hAnsi="宋体"/>
          <w:color w:val="auto"/>
          <w:szCs w:val="20"/>
          <w:highlight w:val="none"/>
        </w:rPr>
        <w:t>2. 评审方式：以封闭方式进行评</w:t>
      </w:r>
      <w:r>
        <w:rPr>
          <w:rFonts w:hint="eastAsia" w:ascii="宋体" w:hAnsi="宋体"/>
          <w:color w:val="auto"/>
          <w:szCs w:val="20"/>
          <w:highlight w:val="none"/>
          <w:lang w:eastAsia="zh-CN"/>
        </w:rPr>
        <w:t>审</w:t>
      </w:r>
      <w:r>
        <w:rPr>
          <w:rFonts w:hint="eastAsia" w:ascii="宋体" w:hAnsi="宋体"/>
          <w:color w:val="auto"/>
          <w:szCs w:val="20"/>
          <w:highlight w:val="none"/>
        </w:rPr>
        <w:t>。</w:t>
      </w:r>
    </w:p>
    <w:p>
      <w:pPr>
        <w:spacing w:before="0" w:after="0" w:line="440" w:lineRule="exact"/>
        <w:ind w:left="210" w:leftChars="100" w:firstLine="210" w:firstLineChars="100"/>
        <w:rPr>
          <w:color w:val="auto"/>
          <w:highlight w:val="none"/>
        </w:rPr>
      </w:pPr>
      <w:r>
        <w:rPr>
          <w:rFonts w:hint="eastAsia" w:ascii="宋体" w:hAnsi="宋体"/>
          <w:color w:val="auto"/>
          <w:szCs w:val="20"/>
          <w:highlight w:val="none"/>
        </w:rPr>
        <w:t>3. 根据财库〔2012〕69号文规定，采购人和采购代理机构、磋商小级成员要严格遵守政府采购相关法律制度，依法履行各自职责，公正、客观、审慎地组织和参与评审工作。</w:t>
      </w:r>
    </w:p>
    <w:p>
      <w:pPr>
        <w:spacing w:before="0" w:after="0" w:line="440" w:lineRule="exact"/>
        <w:ind w:firstLine="0" w:firstLineChars="0"/>
        <w:rPr>
          <w:rFonts w:ascii="宋体" w:hAnsi="宋体"/>
          <w:b/>
          <w:bCs/>
          <w:color w:val="auto"/>
          <w:szCs w:val="20"/>
          <w:highlight w:val="none"/>
        </w:rPr>
      </w:pPr>
      <w:r>
        <w:rPr>
          <w:rFonts w:hint="eastAsia" w:ascii="宋体" w:hAnsi="宋体"/>
          <w:b/>
          <w:bCs/>
          <w:color w:val="auto"/>
          <w:szCs w:val="20"/>
          <w:highlight w:val="none"/>
        </w:rPr>
        <w:t>二、评审办法</w:t>
      </w:r>
    </w:p>
    <w:p>
      <w:pPr>
        <w:spacing w:before="0" w:after="0" w:line="440" w:lineRule="exact"/>
        <w:ind w:firstLine="420"/>
        <w:rPr>
          <w:rFonts w:ascii="宋体" w:hAnsi="宋体"/>
          <w:bCs/>
          <w:color w:val="auto"/>
          <w:szCs w:val="20"/>
          <w:highlight w:val="none"/>
        </w:rPr>
      </w:pPr>
      <w:r>
        <w:rPr>
          <w:rFonts w:hint="eastAsia" w:ascii="宋体" w:hAnsi="宋体"/>
          <w:bCs/>
          <w:color w:val="auto"/>
          <w:szCs w:val="20"/>
          <w:highlight w:val="none"/>
        </w:rPr>
        <w:t>（一）对进入详评的，采用综合评分法。</w:t>
      </w:r>
    </w:p>
    <w:p>
      <w:pPr>
        <w:spacing w:before="0" w:after="0" w:line="440" w:lineRule="exact"/>
        <w:ind w:firstLine="420"/>
        <w:rPr>
          <w:rFonts w:ascii="宋体" w:hAnsi="宋体"/>
          <w:bCs/>
          <w:color w:val="auto"/>
          <w:szCs w:val="20"/>
          <w:highlight w:val="none"/>
        </w:rPr>
      </w:pPr>
      <w:r>
        <w:rPr>
          <w:rFonts w:hint="eastAsia" w:ascii="宋体" w:hAnsi="宋体"/>
          <w:bCs/>
          <w:color w:val="auto"/>
          <w:szCs w:val="20"/>
          <w:highlight w:val="none"/>
        </w:rPr>
        <w:t>（二）计分办法（按四舍五入取至小数点后二位）</w:t>
      </w:r>
    </w:p>
    <w:p>
      <w:pPr>
        <w:spacing w:before="0" w:after="0" w:line="440" w:lineRule="exact"/>
        <w:ind w:firstLine="420" w:firstLineChars="0"/>
        <w:rPr>
          <w:rFonts w:ascii="宋体" w:hAnsi="宋体"/>
          <w:b/>
          <w:color w:val="auto"/>
          <w:szCs w:val="20"/>
          <w:highlight w:val="none"/>
        </w:rPr>
      </w:pPr>
      <w:r>
        <w:rPr>
          <w:rFonts w:ascii="宋体" w:hAnsi="宋体"/>
          <w:b/>
          <w:color w:val="auto"/>
          <w:szCs w:val="20"/>
          <w:highlight w:val="none"/>
        </w:rPr>
        <w:t>1</w:t>
      </w:r>
      <w:r>
        <w:rPr>
          <w:rFonts w:hint="eastAsia" w:ascii="宋体" w:hAnsi="宋体"/>
          <w:b/>
          <w:color w:val="auto"/>
          <w:szCs w:val="20"/>
          <w:highlight w:val="none"/>
        </w:rPr>
        <w:t>. 价格分………………………………………………………………………………………………30分</w:t>
      </w:r>
    </w:p>
    <w:p>
      <w:pPr>
        <w:spacing w:before="0" w:after="0" w:line="440" w:lineRule="exact"/>
        <w:ind w:firstLine="420"/>
        <w:rPr>
          <w:rFonts w:ascii="宋体" w:hAnsi="宋体"/>
          <w:bCs/>
          <w:color w:val="auto"/>
          <w:szCs w:val="20"/>
          <w:highlight w:val="none"/>
        </w:rPr>
      </w:pPr>
      <w:r>
        <w:rPr>
          <w:rFonts w:hint="eastAsia" w:ascii="宋体" w:hAnsi="宋体"/>
          <w:bCs/>
          <w:color w:val="auto"/>
          <w:szCs w:val="20"/>
          <w:highlight w:val="none"/>
        </w:rPr>
        <w:t>（1）</w:t>
      </w:r>
      <w:r>
        <w:rPr>
          <w:rFonts w:hint="eastAsia" w:ascii="宋体" w:hAnsi="宋体"/>
          <w:color w:val="auto"/>
          <w:szCs w:val="20"/>
          <w:highlight w:val="none"/>
        </w:rPr>
        <w:t>按照</w:t>
      </w:r>
      <w:r>
        <w:rPr>
          <w:rFonts w:hint="eastAsia" w:ascii="宋体" w:hAnsi="Courier New"/>
          <w:color w:val="auto"/>
          <w:szCs w:val="20"/>
          <w:highlight w:val="none"/>
        </w:rPr>
        <w:t>《政府采购促进中小企业发展暂行办法》（财库[2011]181号）规定：</w:t>
      </w:r>
    </w:p>
    <w:p>
      <w:pPr>
        <w:spacing w:before="0" w:after="0" w:line="440" w:lineRule="exact"/>
        <w:ind w:firstLine="420"/>
        <w:rPr>
          <w:rFonts w:ascii="宋体" w:hAnsi="宋体"/>
          <w:color w:val="auto"/>
          <w:szCs w:val="20"/>
          <w:highlight w:val="none"/>
        </w:rPr>
      </w:pPr>
      <w:r>
        <w:rPr>
          <w:rFonts w:hint="eastAsia" w:ascii="宋体" w:hAnsi="宋体"/>
          <w:bCs/>
          <w:color w:val="auto"/>
          <w:szCs w:val="20"/>
          <w:highlight w:val="none"/>
        </w:rPr>
        <w:t xml:space="preserve"> ①</w:t>
      </w:r>
      <w:r>
        <w:rPr>
          <w:rFonts w:hint="eastAsia" w:ascii="宋体" w:hAnsi="宋体"/>
          <w:color w:val="auto"/>
          <w:szCs w:val="20"/>
          <w:highlight w:val="none"/>
        </w:rPr>
        <w:t>对提供服务的磋商供应商认定为小型和微型企业的（以响应文件提供的符合规定的有关证明材料为准），磋商价给予</w:t>
      </w:r>
      <w:r>
        <w:rPr>
          <w:rFonts w:hint="eastAsia" w:ascii="宋体" w:hAnsi="宋体"/>
          <w:color w:val="auto"/>
          <w:szCs w:val="20"/>
          <w:highlight w:val="none"/>
          <w:lang w:val="en-US" w:eastAsia="zh-CN"/>
        </w:rPr>
        <w:t>10</w:t>
      </w:r>
      <w:r>
        <w:rPr>
          <w:rFonts w:hint="eastAsia" w:ascii="宋体" w:hAnsi="宋体"/>
          <w:color w:val="auto"/>
          <w:szCs w:val="20"/>
          <w:highlight w:val="none"/>
        </w:rPr>
        <w:t>%的扣除，扣除后的价格为磋商报价，即评审报价=磋商报价×（1-</w:t>
      </w:r>
      <w:r>
        <w:rPr>
          <w:rFonts w:hint="eastAsia" w:ascii="宋体" w:hAnsi="宋体"/>
          <w:color w:val="auto"/>
          <w:szCs w:val="20"/>
          <w:highlight w:val="none"/>
          <w:lang w:val="en-US" w:eastAsia="zh-CN"/>
        </w:rPr>
        <w:t>10</w:t>
      </w:r>
      <w:r>
        <w:rPr>
          <w:rFonts w:hint="eastAsia" w:ascii="宋体" w:hAnsi="宋体"/>
          <w:color w:val="auto"/>
          <w:szCs w:val="20"/>
          <w:highlight w:val="none"/>
        </w:rPr>
        <w:t>%）；</w:t>
      </w:r>
    </w:p>
    <w:p>
      <w:pPr>
        <w:spacing w:before="0" w:after="0" w:line="440" w:lineRule="exact"/>
        <w:ind w:firstLine="420"/>
        <w:rPr>
          <w:rFonts w:ascii="宋体" w:hAnsi="宋体" w:cs="Arial"/>
          <w:color w:val="auto"/>
          <w:kern w:val="0"/>
          <w:szCs w:val="21"/>
          <w:highlight w:val="none"/>
        </w:rPr>
      </w:pPr>
      <w:r>
        <w:rPr>
          <w:rFonts w:hint="eastAsia" w:ascii="宋体" w:hAnsi="宋体"/>
          <w:color w:val="auto"/>
          <w:szCs w:val="20"/>
          <w:highlight w:val="none"/>
        </w:rPr>
        <w:t xml:space="preserve"> ②除上述情况外，评审报价=磋商报价。</w:t>
      </w:r>
    </w:p>
    <w:p>
      <w:pPr>
        <w:spacing w:before="0" w:after="0" w:line="440" w:lineRule="exact"/>
        <w:ind w:firstLine="420" w:firstLineChars="0"/>
        <w:rPr>
          <w:rFonts w:ascii="宋体" w:hAnsi="宋体"/>
          <w:color w:val="auto"/>
          <w:szCs w:val="20"/>
          <w:highlight w:val="none"/>
        </w:rPr>
      </w:pPr>
      <w:r>
        <w:rPr>
          <w:rFonts w:hint="eastAsia" w:ascii="宋体" w:hAnsi="宋体"/>
          <w:b/>
          <w:color w:val="auto"/>
          <w:szCs w:val="20"/>
          <w:highlight w:val="none"/>
        </w:rPr>
        <w:t>注：小型、微型企业提供中型企业制造的货物的，视同为中型企业。</w:t>
      </w:r>
    </w:p>
    <w:p>
      <w:pPr>
        <w:spacing w:before="0" w:after="0" w:line="440" w:lineRule="exact"/>
        <w:ind w:firstLine="420" w:firstLineChars="0"/>
        <w:rPr>
          <w:rFonts w:ascii="宋体" w:hAnsi="宋体" w:cs="Arial"/>
          <w:color w:val="auto"/>
          <w:kern w:val="0"/>
          <w:szCs w:val="21"/>
          <w:highlight w:val="none"/>
        </w:rPr>
      </w:pPr>
      <w:r>
        <w:rPr>
          <w:rFonts w:hint="eastAsia" w:ascii="宋体" w:hAnsi="宋体"/>
          <w:color w:val="auto"/>
          <w:szCs w:val="20"/>
          <w:highlight w:val="none"/>
        </w:rPr>
        <w:t>（2）</w:t>
      </w:r>
      <w:r>
        <w:rPr>
          <w:rFonts w:hint="eastAsia" w:ascii="宋体" w:hAnsi="宋体"/>
          <w:bCs/>
          <w:color w:val="auto"/>
          <w:szCs w:val="20"/>
          <w:highlight w:val="none"/>
        </w:rPr>
        <w:t>根据《关于政府采购支持监狱企业发展有关问题的通知》（财库[2014]68号）和《关于促进残疾人就业政府采购政策的通知》（财库[2017]141号），监狱企业和符合条件的残疾人企业视同小型、微型企业，享受小型、微型企业评审中价格扣除的政府采购政策。</w:t>
      </w:r>
    </w:p>
    <w:p>
      <w:pPr>
        <w:spacing w:before="0" w:after="0" w:line="440" w:lineRule="exact"/>
        <w:ind w:firstLine="420" w:firstLineChars="0"/>
        <w:rPr>
          <w:rFonts w:ascii="宋体" w:hAnsi="宋体"/>
          <w:bCs/>
          <w:color w:val="auto"/>
          <w:szCs w:val="20"/>
          <w:highlight w:val="none"/>
        </w:rPr>
      </w:pPr>
      <w:r>
        <w:rPr>
          <w:rFonts w:hint="eastAsia" w:ascii="宋体" w:hAnsi="Courier New"/>
          <w:color w:val="auto"/>
          <w:szCs w:val="20"/>
          <w:highlight w:val="none"/>
        </w:rPr>
        <w:t>（3）以进入磋商的最低的</w:t>
      </w:r>
      <w:r>
        <w:rPr>
          <w:rFonts w:hint="eastAsia" w:ascii="宋体" w:hAnsi="Courier New"/>
          <w:color w:val="auto"/>
          <w:szCs w:val="20"/>
          <w:highlight w:val="none"/>
          <w:lang w:eastAsia="zh-CN"/>
        </w:rPr>
        <w:t>评审报价</w:t>
      </w:r>
      <w:r>
        <w:rPr>
          <w:rFonts w:hint="eastAsia" w:ascii="宋体" w:hAnsi="Courier New"/>
          <w:color w:val="auto"/>
          <w:szCs w:val="20"/>
          <w:highlight w:val="none"/>
        </w:rPr>
        <w:t>为30分。</w:t>
      </w:r>
    </w:p>
    <w:p>
      <w:pPr>
        <w:spacing w:before="0" w:after="0" w:line="440" w:lineRule="exact"/>
        <w:ind w:firstLine="3822" w:firstLineChars="1820"/>
        <w:rPr>
          <w:rFonts w:ascii="宋体" w:hAnsi="宋体"/>
          <w:bCs/>
          <w:color w:val="auto"/>
          <w:szCs w:val="20"/>
          <w:highlight w:val="none"/>
        </w:rPr>
      </w:pPr>
      <w:r>
        <w:rPr>
          <w:rFonts w:hint="eastAsia" w:ascii="宋体" w:hAnsi="宋体"/>
          <w:bCs/>
          <w:color w:val="auto"/>
          <w:szCs w:val="20"/>
          <w:highlight w:val="none"/>
        </w:rPr>
        <w:t>磋商供应商最低磋商</w:t>
      </w:r>
      <w:r>
        <w:rPr>
          <w:rFonts w:hint="eastAsia" w:ascii="宋体" w:hAnsi="宋体"/>
          <w:color w:val="auto"/>
          <w:szCs w:val="20"/>
          <w:highlight w:val="none"/>
        </w:rPr>
        <w:t>报价</w:t>
      </w:r>
      <w:r>
        <w:rPr>
          <w:rFonts w:hint="eastAsia" w:ascii="宋体" w:hAnsi="宋体"/>
          <w:bCs/>
          <w:color w:val="auto"/>
          <w:szCs w:val="20"/>
          <w:highlight w:val="none"/>
        </w:rPr>
        <w:t xml:space="preserve">金额          </w:t>
      </w:r>
    </w:p>
    <w:p>
      <w:pPr>
        <w:spacing w:before="0" w:after="0" w:line="440" w:lineRule="exact"/>
        <w:ind w:firstLine="420" w:firstLineChars="0"/>
        <w:rPr>
          <w:rFonts w:ascii="宋体" w:hAnsi="宋体"/>
          <w:bCs/>
          <w:color w:val="auto"/>
          <w:szCs w:val="20"/>
          <w:highlight w:val="none"/>
        </w:rPr>
      </w:pPr>
      <w:r>
        <w:rPr>
          <w:rFonts w:ascii="宋体" w:hAnsi="宋体"/>
          <w:bCs/>
          <w:color w:val="auto"/>
          <w:szCs w:val="20"/>
          <w:highlight w:val="none"/>
        </w:rPr>
        <mc:AlternateContent>
          <mc:Choice Requires="wps">
            <w:drawing>
              <wp:anchor distT="0" distB="0" distL="0" distR="0" simplePos="0" relativeHeight="1024" behindDoc="0" locked="0" layoutInCell="1" allowOverlap="1">
                <wp:simplePos x="0" y="0"/>
                <wp:positionH relativeFrom="column">
                  <wp:posOffset>2221230</wp:posOffset>
                </wp:positionH>
                <wp:positionV relativeFrom="paragraph">
                  <wp:posOffset>129540</wp:posOffset>
                </wp:positionV>
                <wp:extent cx="2200275" cy="0"/>
                <wp:effectExtent l="0" t="0" r="0" b="0"/>
                <wp:wrapNone/>
                <wp:docPr id="1030" name="直接连接符 2"/>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接连接符 2" o:spid="_x0000_s1026" o:spt="20" style="position:absolute;left:0pt;margin-left:174.9pt;margin-top:10.2pt;height:0pt;width:173.25pt;z-index:1024;mso-width-relative:page;mso-height-relative:page;" filled="f" stroked="t" coordsize="21600,21600" o:gfxdata="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g57n1wAAAAkBAAAPAAAAAAAAAAEAIAAAACIAAABkcnMvZG93bnJldi54bWxQSwECFAAU&#10;AAAACACHTuJAGeCBIPIBAADlAwAADgAAAAAAAAABACAAAAAmAQAAZHJzL2Uyb0RvYy54bWxQSwUG&#10;AAAAAAYABgBZAQAAigUAAAAA&#10;">
                <v:fill on="f" focussize="0,0"/>
                <v:stroke color="#000000" joinstyle="round"/>
                <v:imagedata o:title=""/>
                <o:lock v:ext="edit" aspectratio="f"/>
              </v:line>
            </w:pict>
          </mc:Fallback>
        </mc:AlternateContent>
      </w:r>
      <w:r>
        <w:rPr>
          <w:rFonts w:hint="eastAsia" w:ascii="宋体" w:hAnsi="宋体"/>
          <w:bCs/>
          <w:color w:val="auto"/>
          <w:szCs w:val="20"/>
          <w:highlight w:val="none"/>
        </w:rPr>
        <w:t xml:space="preserve">（4）磋商供应商价格分 =                              </w:t>
      </w:r>
      <w:r>
        <w:rPr>
          <w:rFonts w:ascii="宋体" w:hAnsi="宋体"/>
          <w:bCs/>
          <w:color w:val="auto"/>
          <w:szCs w:val="20"/>
          <w:highlight w:val="none"/>
        </w:rPr>
        <w:t xml:space="preserve">  </w:t>
      </w:r>
      <w:r>
        <w:rPr>
          <w:rFonts w:hint="eastAsia" w:ascii="宋体" w:hAnsi="宋体"/>
          <w:bCs/>
          <w:color w:val="auto"/>
          <w:szCs w:val="20"/>
          <w:highlight w:val="none"/>
        </w:rPr>
        <w:t xml:space="preserve">    　　   ×30分</w:t>
      </w:r>
    </w:p>
    <w:p>
      <w:pPr>
        <w:spacing w:before="0" w:after="0" w:line="440" w:lineRule="exact"/>
        <w:ind w:firstLine="420"/>
        <w:rPr>
          <w:rFonts w:ascii="宋体" w:hAnsi="宋体"/>
          <w:bCs/>
          <w:color w:val="auto"/>
          <w:szCs w:val="20"/>
          <w:highlight w:val="none"/>
        </w:rPr>
      </w:pPr>
      <w:r>
        <w:rPr>
          <w:rFonts w:hint="eastAsia" w:ascii="宋体" w:hAnsi="宋体"/>
          <w:bCs/>
          <w:color w:val="auto"/>
          <w:szCs w:val="20"/>
          <w:highlight w:val="none"/>
        </w:rPr>
        <w:t xml:space="preserve">                                  磋商供应商磋商</w:t>
      </w:r>
      <w:r>
        <w:rPr>
          <w:rFonts w:hint="eastAsia" w:ascii="宋体" w:hAnsi="宋体"/>
          <w:color w:val="auto"/>
          <w:szCs w:val="20"/>
          <w:highlight w:val="none"/>
        </w:rPr>
        <w:t>报价</w:t>
      </w:r>
      <w:r>
        <w:rPr>
          <w:rFonts w:hint="eastAsia" w:ascii="宋体" w:hAnsi="宋体"/>
          <w:bCs/>
          <w:color w:val="auto"/>
          <w:szCs w:val="20"/>
          <w:highlight w:val="none"/>
        </w:rPr>
        <w:t xml:space="preserve">金额  </w:t>
      </w:r>
    </w:p>
    <w:p>
      <w:pPr>
        <w:spacing w:line="420" w:lineRule="exact"/>
        <w:rPr>
          <w:rFonts w:ascii="宋体" w:hAnsi="宋体" w:cs="宋体"/>
          <w:b/>
          <w:szCs w:val="21"/>
        </w:rPr>
      </w:pPr>
      <w:r>
        <w:rPr>
          <w:rFonts w:ascii="宋体" w:hAnsi="宋体" w:cs="宋体"/>
          <w:b/>
          <w:szCs w:val="21"/>
        </w:rPr>
        <w:t>2</w:t>
      </w:r>
      <w:r>
        <w:rPr>
          <w:rFonts w:hint="eastAsia" w:ascii="宋体" w:hAnsi="宋体" w:cs="宋体"/>
          <w:b/>
          <w:szCs w:val="21"/>
        </w:rPr>
        <w:t>、技术分…………………………………………………………………………………………</w:t>
      </w:r>
      <w:r>
        <w:rPr>
          <w:rFonts w:hint="eastAsia" w:ascii="宋体" w:hAnsi="宋体" w:cs="宋体"/>
          <w:b/>
          <w:szCs w:val="21"/>
          <w:lang w:val="en-US" w:eastAsia="zh-CN"/>
        </w:rPr>
        <w:t>41</w:t>
      </w:r>
      <w:r>
        <w:rPr>
          <w:rFonts w:hint="eastAsia" w:ascii="宋体" w:hAnsi="宋体" w:cs="宋体"/>
          <w:b/>
          <w:szCs w:val="21"/>
        </w:rPr>
        <w:t>分</w:t>
      </w:r>
    </w:p>
    <w:p>
      <w:pPr>
        <w:spacing w:line="420" w:lineRule="exact"/>
        <w:ind w:left="-28" w:firstLine="420"/>
        <w:rPr>
          <w:rFonts w:hint="eastAsia" w:ascii="宋体" w:hAnsi="宋体" w:cs="宋体"/>
          <w:b/>
          <w:bCs/>
          <w:szCs w:val="21"/>
        </w:rPr>
      </w:pPr>
      <w:r>
        <w:rPr>
          <w:rFonts w:hint="eastAsia" w:ascii="宋体" w:hAnsi="宋体" w:cs="宋体"/>
          <w:b/>
          <w:bCs/>
          <w:szCs w:val="21"/>
        </w:rPr>
        <w:t>（1）产品</w:t>
      </w:r>
      <w:r>
        <w:rPr>
          <w:rFonts w:ascii="宋体" w:hAnsi="宋体" w:cs="宋体"/>
          <w:b/>
          <w:bCs/>
          <w:szCs w:val="21"/>
        </w:rPr>
        <w:t>性能分</w:t>
      </w:r>
      <w:r>
        <w:rPr>
          <w:rFonts w:hint="eastAsia" w:ascii="宋体" w:hAnsi="宋体" w:cs="宋体"/>
          <w:b/>
          <w:bCs/>
          <w:szCs w:val="21"/>
        </w:rPr>
        <w:t>（满分</w:t>
      </w:r>
      <w:r>
        <w:rPr>
          <w:rFonts w:hint="eastAsia" w:ascii="宋体" w:hAnsi="宋体" w:cs="宋体"/>
          <w:b/>
          <w:bCs/>
          <w:szCs w:val="21"/>
          <w:lang w:val="en-US" w:eastAsia="zh-CN"/>
        </w:rPr>
        <w:t>26</w:t>
      </w:r>
      <w:r>
        <w:rPr>
          <w:rFonts w:hint="eastAsia" w:ascii="宋体" w:hAnsi="宋体" w:cs="宋体"/>
          <w:b/>
          <w:bCs/>
          <w:szCs w:val="21"/>
        </w:rPr>
        <w:t>分）</w:t>
      </w:r>
    </w:p>
    <w:p>
      <w:pPr>
        <w:spacing w:line="420" w:lineRule="exact"/>
        <w:ind w:left="-28" w:firstLine="420"/>
        <w:rPr>
          <w:rFonts w:hint="eastAsia" w:ascii="宋体" w:hAnsi="宋体" w:eastAsia="宋体" w:cs="宋体"/>
          <w:bCs/>
          <w:szCs w:val="21"/>
        </w:rPr>
      </w:pPr>
      <w:r>
        <w:rPr>
          <w:rFonts w:hint="eastAsia" w:ascii="宋体" w:hAnsi="宋体" w:eastAsia="宋体" w:cs="宋体"/>
          <w:bCs/>
          <w:szCs w:val="21"/>
        </w:rPr>
        <w:t>①完全满足竞争性磋商采购文件要求的得1</w:t>
      </w:r>
      <w:r>
        <w:rPr>
          <w:rFonts w:hint="eastAsia" w:ascii="宋体" w:hAnsi="宋体" w:cs="宋体"/>
          <w:bCs/>
          <w:szCs w:val="21"/>
          <w:lang w:val="en-US" w:eastAsia="zh-CN"/>
        </w:rPr>
        <w:t>6</w:t>
      </w:r>
      <w:r>
        <w:rPr>
          <w:rFonts w:hint="eastAsia" w:ascii="宋体" w:hAnsi="宋体" w:eastAsia="宋体" w:cs="宋体"/>
          <w:bCs/>
          <w:szCs w:val="21"/>
        </w:rPr>
        <w:t>分。磋商供应商响应的</w:t>
      </w:r>
      <w:r>
        <w:rPr>
          <w:rFonts w:hint="eastAsia" w:ascii="宋体" w:hAnsi="宋体" w:eastAsia="宋体" w:cs="宋体"/>
          <w:bCs/>
          <w:szCs w:val="21"/>
          <w:lang w:eastAsia="zh-CN"/>
        </w:rPr>
        <w:t>不带“</w:t>
      </w:r>
      <w:r>
        <w:rPr>
          <w:rFonts w:hint="eastAsia" w:ascii="宋体" w:hAnsi="宋体" w:eastAsia="宋体" w:cs="宋体"/>
          <w:bCs/>
          <w:szCs w:val="21"/>
        </w:rPr>
        <w:t>★</w:t>
      </w:r>
      <w:r>
        <w:rPr>
          <w:rFonts w:hint="eastAsia" w:ascii="宋体" w:hAnsi="宋体" w:eastAsia="宋体" w:cs="宋体"/>
          <w:bCs/>
          <w:szCs w:val="21"/>
          <w:lang w:eastAsia="zh-CN"/>
        </w:rPr>
        <w:t>”</w:t>
      </w:r>
      <w:r>
        <w:rPr>
          <w:rFonts w:hint="eastAsia" w:ascii="宋体" w:hAnsi="宋体" w:eastAsia="宋体" w:cs="宋体"/>
          <w:bCs/>
          <w:szCs w:val="21"/>
        </w:rPr>
        <w:t>技术指标经磋商小组认定有正偏离的，在1</w:t>
      </w:r>
      <w:r>
        <w:rPr>
          <w:rFonts w:hint="eastAsia" w:ascii="宋体" w:hAnsi="宋体" w:cs="宋体"/>
          <w:bCs/>
          <w:szCs w:val="21"/>
          <w:lang w:val="en-US" w:eastAsia="zh-CN"/>
        </w:rPr>
        <w:t>6</w:t>
      </w:r>
      <w:r>
        <w:rPr>
          <w:rFonts w:hint="eastAsia" w:ascii="宋体" w:hAnsi="宋体" w:eastAsia="宋体" w:cs="宋体"/>
          <w:bCs/>
          <w:szCs w:val="21"/>
        </w:rPr>
        <w:t>分基础上每有一项加</w:t>
      </w:r>
      <w:r>
        <w:rPr>
          <w:rFonts w:hint="eastAsia" w:ascii="宋体" w:hAnsi="宋体" w:eastAsia="宋体" w:cs="宋体"/>
          <w:bCs/>
          <w:szCs w:val="21"/>
          <w:lang w:val="en-US" w:eastAsia="zh-CN"/>
        </w:rPr>
        <w:t>2</w:t>
      </w:r>
      <w:r>
        <w:rPr>
          <w:rFonts w:hint="eastAsia" w:ascii="宋体" w:hAnsi="宋体" w:eastAsia="宋体" w:cs="宋体"/>
          <w:bCs/>
          <w:szCs w:val="21"/>
        </w:rPr>
        <w:t>分，最多加</w:t>
      </w:r>
      <w:r>
        <w:rPr>
          <w:rFonts w:hint="eastAsia" w:ascii="宋体" w:hAnsi="宋体" w:eastAsia="宋体" w:cs="宋体"/>
          <w:bCs/>
          <w:szCs w:val="21"/>
          <w:lang w:val="en-US" w:eastAsia="zh-CN"/>
        </w:rPr>
        <w:t>10</w:t>
      </w:r>
      <w:r>
        <w:rPr>
          <w:rFonts w:hint="eastAsia" w:ascii="宋体" w:hAnsi="宋体" w:eastAsia="宋体" w:cs="宋体"/>
          <w:bCs/>
          <w:szCs w:val="21"/>
        </w:rPr>
        <w:t>分。磋商供应商响应的技术指标经磋商小组认定有负偏离的，在1</w:t>
      </w:r>
      <w:r>
        <w:rPr>
          <w:rFonts w:hint="eastAsia" w:ascii="宋体" w:hAnsi="宋体" w:cs="宋体"/>
          <w:bCs/>
          <w:szCs w:val="21"/>
          <w:lang w:val="en-US" w:eastAsia="zh-CN"/>
        </w:rPr>
        <w:t>6</w:t>
      </w:r>
      <w:r>
        <w:rPr>
          <w:rFonts w:hint="eastAsia" w:ascii="宋体" w:hAnsi="宋体" w:eastAsia="宋体" w:cs="宋体"/>
          <w:bCs/>
          <w:szCs w:val="21"/>
        </w:rPr>
        <w:t>分基础上每有一项扣2分，扣至0分为止。</w:t>
      </w:r>
    </w:p>
    <w:p>
      <w:pPr>
        <w:spacing w:line="420" w:lineRule="exact"/>
        <w:ind w:left="-28" w:firstLine="420"/>
        <w:rPr>
          <w:rFonts w:hint="eastAsia" w:ascii="宋体" w:hAnsi="宋体" w:eastAsia="宋体" w:cs="宋体"/>
          <w:bCs/>
          <w:szCs w:val="21"/>
        </w:rPr>
      </w:pPr>
      <w:r>
        <w:rPr>
          <w:rFonts w:hint="eastAsia" w:ascii="宋体" w:hAnsi="宋体" w:eastAsia="宋体" w:cs="宋体"/>
          <w:bCs/>
          <w:szCs w:val="21"/>
        </w:rPr>
        <w:t>②</w:t>
      </w:r>
      <w:r>
        <w:rPr>
          <w:rFonts w:hint="eastAsia" w:ascii="宋体" w:hAnsi="宋体" w:cs="宋体"/>
          <w:bCs/>
          <w:szCs w:val="21"/>
          <w:lang w:eastAsia="zh-CN"/>
        </w:rPr>
        <w:t>“服务采购需求”中第</w:t>
      </w:r>
      <w:r>
        <w:rPr>
          <w:rFonts w:hint="eastAsia" w:ascii="宋体" w:hAnsi="宋体" w:cs="宋体"/>
          <w:bCs/>
          <w:szCs w:val="21"/>
          <w:lang w:val="en-US" w:eastAsia="zh-CN"/>
        </w:rPr>
        <w:t>2项“</w:t>
      </w:r>
      <w:r>
        <w:rPr>
          <w:rFonts w:hint="eastAsia" w:ascii="宋体" w:hAnsi="宋体" w:eastAsia="宋体" w:cs="宋体"/>
          <w:color w:val="auto"/>
          <w:szCs w:val="21"/>
          <w:lang w:val="en-US" w:eastAsia="zh-CN"/>
        </w:rPr>
        <w:t>医护主机</w:t>
      </w:r>
      <w:r>
        <w:rPr>
          <w:rFonts w:hint="eastAsia" w:ascii="宋体" w:hAnsi="宋体" w:cs="宋体"/>
          <w:color w:val="auto"/>
          <w:szCs w:val="21"/>
          <w:lang w:val="en-US" w:eastAsia="zh-CN"/>
        </w:rPr>
        <w:t>”、第3项“</w:t>
      </w:r>
      <w:r>
        <w:rPr>
          <w:rFonts w:hint="eastAsia" w:ascii="宋体" w:hAnsi="宋体" w:eastAsia="宋体" w:cs="宋体"/>
          <w:color w:val="auto"/>
          <w:szCs w:val="21"/>
          <w:lang w:val="en-US" w:eastAsia="zh-CN"/>
        </w:rPr>
        <w:t>床旁分机</w:t>
      </w:r>
      <w:r>
        <w:rPr>
          <w:rFonts w:hint="eastAsia" w:ascii="宋体" w:hAnsi="宋体" w:eastAsia="宋体" w:cs="宋体"/>
          <w:bCs/>
          <w:szCs w:val="21"/>
          <w:lang w:eastAsia="zh-CN"/>
        </w:rPr>
        <w:t>带</w:t>
      </w:r>
      <w:r>
        <w:rPr>
          <w:rFonts w:hint="eastAsia" w:ascii="宋体" w:hAnsi="宋体" w:cs="宋体"/>
          <w:color w:val="auto"/>
          <w:szCs w:val="21"/>
          <w:lang w:val="en-US" w:eastAsia="zh-CN"/>
        </w:rPr>
        <w:t>”、第6项“</w:t>
      </w:r>
      <w:r>
        <w:rPr>
          <w:rFonts w:hint="eastAsia" w:ascii="宋体" w:hAnsi="宋体" w:eastAsia="宋体" w:cs="宋体"/>
          <w:color w:val="auto"/>
          <w:szCs w:val="21"/>
          <w:lang w:val="en-US" w:eastAsia="zh-CN"/>
        </w:rPr>
        <w:t>卫生间分机</w:t>
      </w:r>
      <w:r>
        <w:rPr>
          <w:rFonts w:hint="eastAsia" w:ascii="宋体" w:hAnsi="宋体" w:cs="宋体"/>
          <w:color w:val="auto"/>
          <w:szCs w:val="21"/>
          <w:lang w:val="en-US" w:eastAsia="zh-CN"/>
        </w:rPr>
        <w:t>”中带</w:t>
      </w:r>
      <w:r>
        <w:rPr>
          <w:rFonts w:hint="eastAsia" w:ascii="宋体" w:hAnsi="宋体" w:eastAsia="宋体" w:cs="宋体"/>
          <w:bCs/>
          <w:szCs w:val="21"/>
          <w:lang w:eastAsia="zh-CN"/>
        </w:rPr>
        <w:t>“</w:t>
      </w:r>
      <w:r>
        <w:rPr>
          <w:rFonts w:hint="eastAsia" w:ascii="宋体" w:hAnsi="宋体" w:eastAsia="宋体" w:cs="宋体"/>
          <w:bCs/>
          <w:szCs w:val="21"/>
        </w:rPr>
        <w:t>★</w:t>
      </w:r>
      <w:r>
        <w:rPr>
          <w:rFonts w:hint="eastAsia" w:ascii="宋体" w:hAnsi="宋体" w:eastAsia="宋体" w:cs="宋体"/>
          <w:bCs/>
          <w:szCs w:val="21"/>
          <w:lang w:eastAsia="zh-CN"/>
        </w:rPr>
        <w:t>”</w:t>
      </w:r>
      <w:r>
        <w:rPr>
          <w:rFonts w:hint="eastAsia" w:ascii="宋体" w:hAnsi="宋体" w:cs="宋体"/>
          <w:bCs/>
          <w:szCs w:val="21"/>
          <w:lang w:eastAsia="zh-CN"/>
        </w:rPr>
        <w:t>的</w:t>
      </w:r>
      <w:r>
        <w:rPr>
          <w:rFonts w:hint="eastAsia" w:ascii="宋体" w:hAnsi="宋体" w:eastAsia="宋体" w:cs="宋体"/>
          <w:bCs/>
          <w:szCs w:val="21"/>
        </w:rPr>
        <w:t>技术参数</w:t>
      </w:r>
      <w:r>
        <w:rPr>
          <w:rFonts w:hint="eastAsia" w:ascii="宋体" w:hAnsi="宋体" w:cs="宋体"/>
          <w:bCs/>
          <w:szCs w:val="21"/>
          <w:lang w:eastAsia="zh-CN"/>
        </w:rPr>
        <w:t>均能提供</w:t>
      </w:r>
      <w:r>
        <w:rPr>
          <w:rFonts w:hint="eastAsia" w:ascii="宋体" w:hAnsi="宋体" w:eastAsia="宋体" w:cs="宋体"/>
          <w:bCs/>
          <w:szCs w:val="21"/>
        </w:rPr>
        <w:t>国家认证的第三方机构出具的投标产品的测试报告证明</w:t>
      </w:r>
      <w:r>
        <w:rPr>
          <w:rFonts w:hint="eastAsia" w:ascii="宋体" w:hAnsi="宋体" w:cs="宋体"/>
          <w:bCs/>
          <w:szCs w:val="21"/>
          <w:lang w:eastAsia="zh-CN"/>
        </w:rPr>
        <w:t>的，每完整的提供一项得</w:t>
      </w:r>
      <w:r>
        <w:rPr>
          <w:rFonts w:hint="eastAsia" w:ascii="宋体" w:hAnsi="宋体" w:cs="宋体"/>
          <w:bCs/>
          <w:szCs w:val="21"/>
          <w:lang w:val="en-US" w:eastAsia="zh-CN"/>
        </w:rPr>
        <w:t>2分</w:t>
      </w:r>
      <w:r>
        <w:rPr>
          <w:rFonts w:hint="eastAsia" w:ascii="宋体" w:hAnsi="宋体" w:eastAsia="宋体" w:cs="宋体"/>
          <w:bCs/>
          <w:szCs w:val="21"/>
        </w:rPr>
        <w:t>，最高</w:t>
      </w:r>
      <w:r>
        <w:rPr>
          <w:rFonts w:hint="eastAsia" w:ascii="宋体" w:hAnsi="宋体" w:cs="宋体"/>
          <w:bCs/>
          <w:szCs w:val="21"/>
          <w:lang w:val="en-US" w:eastAsia="zh-CN"/>
        </w:rPr>
        <w:t>6</w:t>
      </w:r>
      <w:r>
        <w:rPr>
          <w:rFonts w:hint="eastAsia" w:ascii="宋体" w:hAnsi="宋体" w:eastAsia="宋体" w:cs="宋体"/>
          <w:bCs/>
          <w:szCs w:val="21"/>
        </w:rPr>
        <w:t>分。</w:t>
      </w:r>
    </w:p>
    <w:p>
      <w:pPr>
        <w:spacing w:line="420" w:lineRule="exact"/>
        <w:ind w:firstLine="420" w:firstLineChars="200"/>
        <w:rPr>
          <w:rFonts w:ascii="宋体" w:hAnsi="宋体"/>
          <w:b/>
          <w:bCs/>
          <w:szCs w:val="21"/>
        </w:rPr>
      </w:pPr>
      <w:r>
        <w:rPr>
          <w:rFonts w:hint="eastAsia" w:ascii="宋体" w:hAnsi="宋体"/>
          <w:b/>
          <w:bCs/>
          <w:szCs w:val="21"/>
        </w:rPr>
        <w:t>（</w:t>
      </w:r>
      <w:r>
        <w:rPr>
          <w:rFonts w:ascii="宋体" w:hAnsi="宋体"/>
          <w:b/>
          <w:bCs/>
          <w:szCs w:val="21"/>
        </w:rPr>
        <w:t>2</w:t>
      </w:r>
      <w:r>
        <w:rPr>
          <w:rFonts w:hint="eastAsia" w:ascii="宋体" w:hAnsi="宋体"/>
          <w:b/>
          <w:bCs/>
          <w:szCs w:val="21"/>
        </w:rPr>
        <w:t>）技术方案分（满分</w:t>
      </w:r>
      <w:r>
        <w:rPr>
          <w:rFonts w:hint="eastAsia" w:ascii="宋体" w:hAnsi="宋体"/>
          <w:b/>
          <w:bCs/>
          <w:szCs w:val="21"/>
          <w:lang w:val="en-US" w:eastAsia="zh-CN"/>
        </w:rPr>
        <w:t>15</w:t>
      </w:r>
      <w:r>
        <w:rPr>
          <w:rFonts w:hint="eastAsia" w:ascii="宋体" w:hAnsi="宋体"/>
          <w:b/>
          <w:bCs/>
          <w:szCs w:val="21"/>
        </w:rPr>
        <w:t>分）</w:t>
      </w:r>
    </w:p>
    <w:p>
      <w:pPr>
        <w:pStyle w:val="10"/>
        <w:spacing w:line="420" w:lineRule="exact"/>
        <w:rPr>
          <w:rFonts w:hint="eastAsia" w:ascii="宋体" w:hAnsi="宋体"/>
          <w:szCs w:val="21"/>
        </w:rPr>
      </w:pPr>
      <w:r>
        <w:rPr>
          <w:rFonts w:hint="eastAsia" w:ascii="宋体" w:hAnsi="宋体"/>
          <w:szCs w:val="21"/>
        </w:rPr>
        <w:t>由磋商小组各成员在打分前根据磋商采购文件中技术要求，</w:t>
      </w:r>
      <w:r>
        <w:rPr>
          <w:rFonts w:hint="eastAsia" w:ascii="宋体" w:hAnsi="宋体"/>
          <w:szCs w:val="21"/>
          <w:lang w:eastAsia="zh-CN"/>
        </w:rPr>
        <w:t>根据</w:t>
      </w:r>
      <w:r>
        <w:rPr>
          <w:rFonts w:hint="eastAsia" w:ascii="宋体" w:hAnsi="宋体"/>
          <w:szCs w:val="21"/>
        </w:rPr>
        <w:t>各磋商供应商响应文件的技术方案</w:t>
      </w:r>
      <w:r>
        <w:rPr>
          <w:rFonts w:hint="eastAsia" w:ascii="宋体" w:hAnsi="宋体"/>
          <w:szCs w:val="21"/>
          <w:lang w:eastAsia="zh-CN"/>
        </w:rPr>
        <w:t>（含</w:t>
      </w:r>
      <w:r>
        <w:rPr>
          <w:rFonts w:hint="eastAsia" w:ascii="宋体" w:hAnsi="宋体" w:eastAsia="宋体" w:cs="宋体"/>
        </w:rPr>
        <w:t>技术方案</w:t>
      </w:r>
      <w:r>
        <w:rPr>
          <w:rFonts w:hint="eastAsia" w:ascii="宋体" w:hAnsi="宋体" w:eastAsia="宋体" w:cs="宋体"/>
          <w:lang w:eastAsia="zh-CN"/>
        </w:rPr>
        <w:t>、</w:t>
      </w:r>
      <w:r>
        <w:rPr>
          <w:rFonts w:hint="eastAsia" w:ascii="宋体" w:hAnsi="宋体" w:eastAsia="宋体" w:cs="宋体"/>
        </w:rPr>
        <w:t>保障服务方案</w:t>
      </w:r>
      <w:r>
        <w:rPr>
          <w:rFonts w:hint="eastAsia" w:ascii="宋体" w:hAnsi="宋体" w:eastAsia="宋体" w:cs="宋体"/>
          <w:lang w:eastAsia="zh-CN"/>
        </w:rPr>
        <w:t>、</w:t>
      </w:r>
      <w:r>
        <w:rPr>
          <w:rFonts w:hint="eastAsia" w:ascii="宋体" w:hAnsi="宋体" w:eastAsia="宋体" w:cs="宋体"/>
        </w:rPr>
        <w:t>施工方案</w:t>
      </w:r>
      <w:r>
        <w:rPr>
          <w:rFonts w:hint="eastAsia" w:ascii="宋体" w:hAnsi="宋体" w:eastAsia="宋体" w:cs="宋体"/>
          <w:lang w:eastAsia="zh-CN"/>
        </w:rPr>
        <w:t>等</w:t>
      </w:r>
      <w:r>
        <w:rPr>
          <w:rFonts w:hint="eastAsia" w:ascii="宋体" w:hAnsi="宋体"/>
          <w:szCs w:val="21"/>
          <w:lang w:eastAsia="zh-CN"/>
        </w:rPr>
        <w:t>）</w:t>
      </w:r>
      <w:r>
        <w:rPr>
          <w:rFonts w:hint="eastAsia" w:ascii="宋体" w:hAnsi="宋体"/>
          <w:szCs w:val="21"/>
        </w:rPr>
        <w:t>，确定各磋商供应商“一档、二档、三档、四档、五档”各所属档次，</w:t>
      </w:r>
      <w:bookmarkStart w:id="18" w:name="_GoBack"/>
      <w:bookmarkEnd w:id="18"/>
      <w:r>
        <w:rPr>
          <w:rFonts w:hint="eastAsia" w:ascii="宋体" w:hAnsi="宋体"/>
          <w:szCs w:val="21"/>
        </w:rPr>
        <w:t>并在各档次内独立进行打分。定档标准如下：</w:t>
      </w:r>
    </w:p>
    <w:p>
      <w:pPr>
        <w:pStyle w:val="10"/>
        <w:spacing w:line="420" w:lineRule="exact"/>
        <w:rPr>
          <w:rFonts w:hint="eastAsia" w:ascii="宋体" w:hAnsi="宋体"/>
          <w:color w:val="auto"/>
          <w:szCs w:val="21"/>
        </w:rPr>
      </w:pPr>
      <w:r>
        <w:rPr>
          <w:rFonts w:hint="eastAsia" w:ascii="宋体" w:hAnsi="宋体"/>
          <w:color w:val="auto"/>
          <w:szCs w:val="21"/>
        </w:rPr>
        <w:t>一档（0分）评定范围：未提供技术方案。</w:t>
      </w:r>
    </w:p>
    <w:p>
      <w:pPr>
        <w:pStyle w:val="10"/>
        <w:spacing w:line="420" w:lineRule="exact"/>
        <w:rPr>
          <w:rFonts w:hint="eastAsia" w:ascii="宋体" w:hAnsi="宋体"/>
          <w:color w:val="auto"/>
          <w:szCs w:val="21"/>
        </w:rPr>
      </w:pPr>
      <w:r>
        <w:rPr>
          <w:rFonts w:hint="eastAsia" w:ascii="宋体" w:hAnsi="宋体"/>
          <w:color w:val="auto"/>
          <w:szCs w:val="21"/>
        </w:rPr>
        <w:t>二档（</w:t>
      </w:r>
      <w:r>
        <w:rPr>
          <w:rFonts w:hint="eastAsia" w:ascii="宋体" w:hAnsi="宋体"/>
          <w:color w:val="auto"/>
          <w:szCs w:val="21"/>
          <w:lang w:val="en-US" w:eastAsia="zh-CN"/>
        </w:rPr>
        <w:t>4</w:t>
      </w:r>
      <w:r>
        <w:rPr>
          <w:rFonts w:hint="eastAsia" w:ascii="宋体" w:hAnsi="宋体"/>
          <w:color w:val="auto"/>
          <w:szCs w:val="21"/>
        </w:rPr>
        <w:t>分）评定范围：提供了针对本项目的需求分析，但描述简单、部分内容缺失，列入一档。</w:t>
      </w:r>
    </w:p>
    <w:p>
      <w:pPr>
        <w:pStyle w:val="10"/>
        <w:spacing w:line="420" w:lineRule="exact"/>
        <w:rPr>
          <w:rFonts w:hint="eastAsia" w:ascii="宋体" w:hAnsi="宋体"/>
          <w:color w:val="auto"/>
          <w:szCs w:val="21"/>
        </w:rPr>
      </w:pPr>
      <w:r>
        <w:rPr>
          <w:rFonts w:hint="eastAsia" w:ascii="宋体" w:hAnsi="宋体"/>
          <w:color w:val="auto"/>
          <w:szCs w:val="21"/>
        </w:rPr>
        <w:t>三档（</w:t>
      </w:r>
      <w:r>
        <w:rPr>
          <w:rFonts w:hint="eastAsia" w:ascii="宋体" w:hAnsi="宋体"/>
          <w:color w:val="auto"/>
          <w:szCs w:val="21"/>
          <w:lang w:val="en-US" w:eastAsia="zh-CN"/>
        </w:rPr>
        <w:t>8</w:t>
      </w:r>
      <w:r>
        <w:rPr>
          <w:rFonts w:hint="eastAsia" w:ascii="宋体" w:hAnsi="宋体"/>
          <w:color w:val="auto"/>
          <w:szCs w:val="21"/>
        </w:rPr>
        <w:t>分）评定范围：能够完整提供针对本项目的需求分析，整体方案技术架构图，思路正确、结构完整，描述了实现的技术方案，</w:t>
      </w:r>
      <w:r>
        <w:rPr>
          <w:rFonts w:hint="eastAsia" w:ascii="宋体" w:hAnsi="宋体"/>
          <w:color w:val="auto"/>
          <w:szCs w:val="21"/>
          <w:lang w:eastAsia="zh-CN"/>
        </w:rPr>
        <w:t>且</w:t>
      </w:r>
      <w:r>
        <w:rPr>
          <w:rFonts w:hint="eastAsia" w:ascii="宋体" w:hAnsi="宋体"/>
          <w:color w:val="auto"/>
          <w:szCs w:val="21"/>
        </w:rPr>
        <w:t>描述相对具体，基本符合项目的需要，没有明显错误，列入三档。</w:t>
      </w:r>
    </w:p>
    <w:p>
      <w:pPr>
        <w:pStyle w:val="10"/>
        <w:spacing w:line="420" w:lineRule="exact"/>
        <w:rPr>
          <w:rFonts w:hint="eastAsia" w:ascii="宋体" w:hAnsi="宋体"/>
          <w:color w:val="auto"/>
          <w:szCs w:val="21"/>
        </w:rPr>
      </w:pPr>
      <w:r>
        <w:rPr>
          <w:rFonts w:hint="eastAsia" w:ascii="宋体" w:hAnsi="宋体"/>
          <w:color w:val="auto"/>
          <w:szCs w:val="21"/>
        </w:rPr>
        <w:t>四档（</w:t>
      </w:r>
      <w:r>
        <w:rPr>
          <w:rFonts w:hint="eastAsia" w:ascii="宋体" w:hAnsi="宋体"/>
          <w:color w:val="auto"/>
          <w:szCs w:val="21"/>
          <w:lang w:val="en-US" w:eastAsia="zh-CN"/>
        </w:rPr>
        <w:t>12</w:t>
      </w:r>
      <w:r>
        <w:rPr>
          <w:rFonts w:hint="eastAsia" w:ascii="宋体" w:hAnsi="宋体"/>
          <w:color w:val="auto"/>
          <w:szCs w:val="21"/>
        </w:rPr>
        <w:t>分）评定范围：在满足三档的基础上，</w:t>
      </w:r>
      <w:r>
        <w:rPr>
          <w:rFonts w:hint="eastAsia" w:ascii="宋体" w:hAnsi="宋体"/>
          <w:color w:val="auto"/>
          <w:szCs w:val="21"/>
          <w:lang w:eastAsia="zh-CN"/>
        </w:rPr>
        <w:t>各方案描述相对详细，施工有明确的时间节点安排</w:t>
      </w:r>
      <w:r>
        <w:rPr>
          <w:rFonts w:hint="eastAsia" w:ascii="宋体" w:hAnsi="宋体"/>
          <w:color w:val="auto"/>
          <w:szCs w:val="21"/>
        </w:rPr>
        <w:t>，列入第四档。</w:t>
      </w:r>
    </w:p>
    <w:p>
      <w:pPr>
        <w:numPr>
          <w:ilvl w:val="0"/>
          <w:numId w:val="0"/>
        </w:numPr>
        <w:spacing w:line="420" w:lineRule="exact"/>
        <w:ind w:firstLine="420" w:firstLineChars="200"/>
        <w:rPr>
          <w:rFonts w:hint="eastAsia" w:ascii="宋体" w:hAnsi="宋体"/>
          <w:b/>
          <w:color w:val="auto"/>
          <w:szCs w:val="21"/>
          <w:shd w:val="clear" w:color="auto" w:fill="FFFFFF"/>
        </w:rPr>
      </w:pPr>
      <w:r>
        <w:rPr>
          <w:rFonts w:hint="eastAsia" w:ascii="宋体" w:hAnsi="宋体"/>
          <w:color w:val="auto"/>
          <w:szCs w:val="21"/>
        </w:rPr>
        <w:t>五档（</w:t>
      </w:r>
      <w:r>
        <w:rPr>
          <w:rFonts w:hint="eastAsia" w:ascii="宋体" w:hAnsi="宋体"/>
          <w:color w:val="auto"/>
          <w:szCs w:val="21"/>
          <w:lang w:val="en-US" w:eastAsia="zh-CN"/>
        </w:rPr>
        <w:t>15</w:t>
      </w:r>
      <w:r>
        <w:rPr>
          <w:rFonts w:hint="eastAsia" w:ascii="宋体" w:hAnsi="宋体"/>
          <w:color w:val="auto"/>
          <w:szCs w:val="21"/>
        </w:rPr>
        <w:t>分）评定范围：在满足四档的基础上，</w:t>
      </w:r>
      <w:r>
        <w:rPr>
          <w:rFonts w:hint="eastAsia" w:ascii="宋体" w:hAnsi="宋体"/>
          <w:color w:val="auto"/>
          <w:szCs w:val="21"/>
          <w:lang w:eastAsia="zh-CN"/>
        </w:rPr>
        <w:t>整体</w:t>
      </w:r>
      <w:r>
        <w:rPr>
          <w:rFonts w:hint="eastAsia" w:ascii="宋体" w:hAnsi="宋体"/>
          <w:color w:val="auto"/>
          <w:szCs w:val="21"/>
        </w:rPr>
        <w:t>方案整体科学合理，方案阐述非常详细，能够完全满足项目的需求，列入第五档。</w:t>
      </w:r>
    </w:p>
    <w:p>
      <w:pPr>
        <w:numPr>
          <w:ilvl w:val="0"/>
          <w:numId w:val="6"/>
        </w:numPr>
        <w:spacing w:line="420" w:lineRule="exact"/>
        <w:rPr>
          <w:rFonts w:hint="eastAsia" w:ascii="宋体" w:hAnsi="宋体"/>
          <w:b/>
          <w:szCs w:val="21"/>
          <w:shd w:val="clear" w:color="auto" w:fill="FFFFFF"/>
        </w:rPr>
      </w:pPr>
      <w:r>
        <w:rPr>
          <w:rFonts w:hint="eastAsia" w:ascii="宋体" w:hAnsi="宋体"/>
          <w:b/>
          <w:szCs w:val="21"/>
        </w:rPr>
        <w:t>售后服务分……………………………………………………………………………………</w:t>
      </w:r>
      <w:r>
        <w:rPr>
          <w:rFonts w:hint="eastAsia" w:ascii="宋体" w:hAnsi="宋体"/>
          <w:b/>
          <w:szCs w:val="21"/>
          <w:shd w:val="clear" w:color="auto" w:fill="FFFFFF"/>
          <w:lang w:val="en-US" w:eastAsia="zh-CN"/>
        </w:rPr>
        <w:t>10</w:t>
      </w:r>
      <w:r>
        <w:rPr>
          <w:rFonts w:hint="eastAsia" w:ascii="宋体" w:hAnsi="宋体"/>
          <w:b/>
          <w:szCs w:val="21"/>
          <w:shd w:val="clear" w:color="auto" w:fill="FFFFFF"/>
        </w:rPr>
        <w:t>分</w:t>
      </w:r>
    </w:p>
    <w:p>
      <w:pPr>
        <w:pStyle w:val="10"/>
        <w:spacing w:line="420" w:lineRule="exact"/>
        <w:rPr>
          <w:rFonts w:hint="eastAsia" w:ascii="宋体" w:hAnsi="宋体"/>
          <w:szCs w:val="21"/>
        </w:rPr>
      </w:pPr>
      <w:r>
        <w:rPr>
          <w:rFonts w:hint="eastAsia" w:ascii="宋体" w:hAnsi="宋体"/>
          <w:szCs w:val="21"/>
        </w:rPr>
        <w:t>由磋商小组各成员在打分前根据磋商采购文件中</w:t>
      </w:r>
      <w:r>
        <w:rPr>
          <w:rFonts w:hint="eastAsia" w:ascii="宋体" w:hAnsi="宋体"/>
          <w:szCs w:val="21"/>
          <w:lang w:eastAsia="zh-CN"/>
        </w:rPr>
        <w:t>售后服务</w:t>
      </w:r>
      <w:r>
        <w:rPr>
          <w:rFonts w:hint="eastAsia" w:ascii="宋体" w:hAnsi="宋体"/>
          <w:szCs w:val="21"/>
        </w:rPr>
        <w:t>要求，</w:t>
      </w:r>
      <w:r>
        <w:rPr>
          <w:rFonts w:hint="eastAsia" w:ascii="宋体" w:hAnsi="宋体"/>
          <w:szCs w:val="21"/>
          <w:lang w:eastAsia="zh-CN"/>
        </w:rPr>
        <w:t>根据</w:t>
      </w:r>
      <w:r>
        <w:rPr>
          <w:rFonts w:hint="eastAsia" w:ascii="宋体" w:hAnsi="宋体"/>
          <w:szCs w:val="21"/>
        </w:rPr>
        <w:t>各磋商供应商响应文件的</w:t>
      </w:r>
      <w:r>
        <w:rPr>
          <w:rFonts w:hint="eastAsia" w:ascii="宋体" w:hAnsi="宋体"/>
          <w:szCs w:val="21"/>
          <w:lang w:eastAsia="zh-CN"/>
        </w:rPr>
        <w:t>售后服务</w:t>
      </w:r>
      <w:r>
        <w:rPr>
          <w:rFonts w:hint="eastAsia" w:ascii="宋体" w:hAnsi="宋体"/>
          <w:szCs w:val="21"/>
        </w:rPr>
        <w:t>方案，确定各磋商供应商“一档、二档、三档”各所属档次，并在各档次内独立进行打分。定档标准如下：</w:t>
      </w:r>
    </w:p>
    <w:p>
      <w:pPr>
        <w:pStyle w:val="10"/>
        <w:spacing w:line="420" w:lineRule="exact"/>
        <w:rPr>
          <w:rFonts w:hint="eastAsia" w:ascii="宋体" w:hAnsi="宋体"/>
          <w:szCs w:val="21"/>
        </w:rPr>
      </w:pPr>
      <w:r>
        <w:rPr>
          <w:rFonts w:hint="eastAsia" w:ascii="宋体" w:hAnsi="宋体"/>
          <w:szCs w:val="21"/>
        </w:rPr>
        <w:t>一档（</w:t>
      </w:r>
      <w:r>
        <w:rPr>
          <w:rFonts w:hint="eastAsia" w:ascii="宋体" w:hAnsi="宋体"/>
          <w:szCs w:val="21"/>
          <w:lang w:val="en-US" w:eastAsia="zh-CN"/>
        </w:rPr>
        <w:t>2</w:t>
      </w:r>
      <w:r>
        <w:rPr>
          <w:rFonts w:hint="eastAsia" w:ascii="宋体" w:hAnsi="宋体"/>
          <w:szCs w:val="21"/>
        </w:rPr>
        <w:t>分）：有简单服务措施、培训方案，基本满足项目需求。</w:t>
      </w:r>
    </w:p>
    <w:p>
      <w:pPr>
        <w:pStyle w:val="10"/>
        <w:spacing w:line="420" w:lineRule="exact"/>
        <w:rPr>
          <w:rFonts w:hint="eastAsia" w:ascii="宋体" w:hAnsi="宋体"/>
          <w:szCs w:val="21"/>
        </w:rPr>
      </w:pPr>
      <w:r>
        <w:rPr>
          <w:rFonts w:hint="eastAsia" w:ascii="宋体" w:hAnsi="宋体"/>
          <w:szCs w:val="21"/>
        </w:rPr>
        <w:t>二档（</w:t>
      </w:r>
      <w:r>
        <w:rPr>
          <w:rFonts w:hint="eastAsia" w:ascii="宋体" w:hAnsi="宋体"/>
          <w:szCs w:val="21"/>
          <w:lang w:val="en-US" w:eastAsia="zh-CN"/>
        </w:rPr>
        <w:t>5</w:t>
      </w:r>
      <w:r>
        <w:rPr>
          <w:rFonts w:hint="eastAsia" w:ascii="宋体" w:hAnsi="宋体"/>
          <w:szCs w:val="21"/>
        </w:rPr>
        <w:t>分）：有较好服务措施、培训方案，提供完整的售后服务方案。</w:t>
      </w:r>
    </w:p>
    <w:p>
      <w:pPr>
        <w:pStyle w:val="10"/>
        <w:spacing w:line="420" w:lineRule="exact"/>
        <w:rPr>
          <w:rFonts w:hint="eastAsia" w:ascii="宋体" w:hAnsi="宋体"/>
          <w:szCs w:val="21"/>
        </w:rPr>
      </w:pPr>
      <w:r>
        <w:rPr>
          <w:rFonts w:hint="eastAsia" w:ascii="宋体" w:hAnsi="宋体"/>
          <w:szCs w:val="21"/>
        </w:rPr>
        <w:t>三档（1</w:t>
      </w:r>
      <w:r>
        <w:rPr>
          <w:rFonts w:hint="eastAsia" w:ascii="宋体" w:hAnsi="宋体"/>
          <w:szCs w:val="21"/>
          <w:lang w:val="en-US" w:eastAsia="zh-CN"/>
        </w:rPr>
        <w:t>0</w:t>
      </w:r>
      <w:r>
        <w:rPr>
          <w:rFonts w:hint="eastAsia" w:ascii="宋体" w:hAnsi="宋体"/>
          <w:szCs w:val="21"/>
        </w:rPr>
        <w:t>分）：有完备的服务措施、培训方案，能提供完整、详细的后续服务方案。</w:t>
      </w:r>
    </w:p>
    <w:p>
      <w:pPr>
        <w:spacing w:line="420" w:lineRule="exact"/>
        <w:rPr>
          <w:rFonts w:ascii="宋体" w:hAnsi="宋体" w:cs="宋体"/>
          <w:b/>
          <w:szCs w:val="21"/>
        </w:rPr>
      </w:pPr>
      <w:r>
        <w:rPr>
          <w:rFonts w:ascii="宋体" w:hAnsi="宋体" w:cs="宋体"/>
          <w:b/>
          <w:szCs w:val="21"/>
        </w:rPr>
        <w:t>4</w:t>
      </w:r>
      <w:r>
        <w:rPr>
          <w:rFonts w:hint="eastAsia" w:ascii="宋体" w:hAnsi="宋体" w:cs="宋体"/>
          <w:b/>
          <w:szCs w:val="21"/>
        </w:rPr>
        <w:t>、综合实力分 ……………………………………………………………………………………</w:t>
      </w:r>
      <w:r>
        <w:rPr>
          <w:rFonts w:hint="eastAsia" w:ascii="宋体" w:hAnsi="宋体" w:cs="宋体"/>
          <w:b/>
          <w:szCs w:val="21"/>
          <w:lang w:val="en-US" w:eastAsia="zh-CN"/>
        </w:rPr>
        <w:t>19</w:t>
      </w:r>
      <w:r>
        <w:rPr>
          <w:rFonts w:hint="eastAsia" w:ascii="宋体" w:hAnsi="宋体" w:cs="宋体"/>
          <w:b/>
          <w:szCs w:val="21"/>
        </w:rPr>
        <w:t>分</w:t>
      </w:r>
    </w:p>
    <w:p>
      <w:pPr>
        <w:numPr>
          <w:ilvl w:val="0"/>
          <w:numId w:val="7"/>
        </w:numPr>
        <w:spacing w:line="420" w:lineRule="exact"/>
        <w:ind w:firstLine="420" w:firstLineChars="200"/>
        <w:textAlignment w:val="top"/>
        <w:rPr>
          <w:rFonts w:hint="eastAsia" w:ascii="宋体" w:hAnsi="宋体" w:cs="Courier New"/>
          <w:bCs/>
          <w:szCs w:val="21"/>
        </w:rPr>
      </w:pPr>
      <w:r>
        <w:rPr>
          <w:rFonts w:hint="eastAsia" w:ascii="宋体" w:hAnsi="宋体" w:cs="Courier New"/>
          <w:bCs/>
          <w:szCs w:val="21"/>
        </w:rPr>
        <w:t>磋商供应商</w:t>
      </w:r>
      <w:r>
        <w:rPr>
          <w:rFonts w:hint="eastAsia" w:ascii="宋体" w:hAnsi="宋体" w:cs="Courier New"/>
          <w:bCs/>
          <w:szCs w:val="21"/>
          <w:lang w:eastAsia="zh-CN"/>
        </w:rPr>
        <w:t>或磋商</w:t>
      </w:r>
      <w:r>
        <w:rPr>
          <w:rFonts w:hint="eastAsia" w:ascii="宋体" w:hAnsi="宋体" w:cs="Courier New"/>
          <w:bCs/>
          <w:szCs w:val="21"/>
        </w:rPr>
        <w:t>产品生产厂</w:t>
      </w:r>
      <w:r>
        <w:rPr>
          <w:rFonts w:hint="eastAsia" w:ascii="宋体" w:hAnsi="宋体" w:cs="Courier New"/>
          <w:bCs/>
          <w:szCs w:val="21"/>
          <w:lang w:eastAsia="zh-CN"/>
        </w:rPr>
        <w:t>家</w:t>
      </w:r>
      <w:r>
        <w:rPr>
          <w:rFonts w:hint="eastAsia" w:ascii="宋体" w:hAnsi="宋体" w:cs="Courier New"/>
          <w:bCs/>
          <w:szCs w:val="21"/>
        </w:rPr>
        <w:t>具有ISO质量管理体系认证证书、环境管理体系认证证书、信息安全管理体系认证证书、信息技术服务管理体系认证证书、知识产权管理体系认证证书、商品售后服务认证证书且在有效期内的</w:t>
      </w:r>
      <w:r>
        <w:rPr>
          <w:rFonts w:hint="eastAsia" w:ascii="宋体" w:hAnsi="宋体" w:cs="Courier New"/>
          <w:bCs/>
          <w:szCs w:val="21"/>
          <w:lang w:eastAsia="zh-CN"/>
        </w:rPr>
        <w:t>，每有一项</w:t>
      </w:r>
      <w:r>
        <w:rPr>
          <w:rFonts w:hint="eastAsia" w:ascii="宋体" w:hAnsi="宋体" w:cs="Courier New"/>
          <w:bCs/>
          <w:szCs w:val="21"/>
        </w:rPr>
        <w:t>得</w:t>
      </w:r>
      <w:r>
        <w:rPr>
          <w:rFonts w:hint="eastAsia" w:ascii="宋体" w:hAnsi="宋体" w:cs="Courier New"/>
          <w:bCs/>
          <w:szCs w:val="21"/>
          <w:lang w:val="en-US" w:eastAsia="zh-CN"/>
        </w:rPr>
        <w:t>1</w:t>
      </w:r>
      <w:r>
        <w:rPr>
          <w:rFonts w:hint="eastAsia" w:ascii="宋体" w:hAnsi="宋体" w:cs="Courier New"/>
          <w:bCs/>
          <w:szCs w:val="21"/>
        </w:rPr>
        <w:t>分（提供证书复印件加盖</w:t>
      </w:r>
      <w:r>
        <w:rPr>
          <w:rFonts w:hint="eastAsia" w:ascii="宋体" w:hAnsi="宋体" w:cs="Courier New"/>
          <w:bCs/>
          <w:szCs w:val="21"/>
          <w:lang w:eastAsia="zh-CN"/>
        </w:rPr>
        <w:t>磋商供应商</w:t>
      </w:r>
      <w:r>
        <w:rPr>
          <w:rFonts w:hint="eastAsia" w:ascii="宋体" w:hAnsi="宋体" w:cs="Courier New"/>
          <w:bCs/>
          <w:szCs w:val="21"/>
        </w:rPr>
        <w:t>公章）</w:t>
      </w:r>
      <w:r>
        <w:rPr>
          <w:rFonts w:hint="eastAsia" w:ascii="宋体" w:hAnsi="宋体" w:cs="Courier New"/>
          <w:bCs/>
          <w:szCs w:val="21"/>
          <w:lang w:eastAsia="zh-CN"/>
        </w:rPr>
        <w:t>，满分</w:t>
      </w:r>
      <w:r>
        <w:rPr>
          <w:rFonts w:hint="eastAsia" w:ascii="宋体" w:hAnsi="宋体" w:cs="Courier New"/>
          <w:bCs/>
          <w:szCs w:val="21"/>
          <w:lang w:val="en-US" w:eastAsia="zh-CN"/>
        </w:rPr>
        <w:t>6分。</w:t>
      </w:r>
    </w:p>
    <w:p>
      <w:pPr>
        <w:numPr>
          <w:ilvl w:val="0"/>
          <w:numId w:val="7"/>
        </w:numPr>
        <w:spacing w:line="420" w:lineRule="exact"/>
        <w:ind w:firstLine="420" w:firstLineChars="200"/>
        <w:textAlignment w:val="top"/>
        <w:rPr>
          <w:rFonts w:hint="eastAsia" w:ascii="宋体" w:hAnsi="宋体" w:cs="Courier New"/>
          <w:bCs/>
          <w:szCs w:val="21"/>
        </w:rPr>
      </w:pPr>
      <w:r>
        <w:rPr>
          <w:rFonts w:hint="eastAsia" w:ascii="宋体" w:hAnsi="宋体" w:cs="Courier New"/>
          <w:bCs/>
          <w:szCs w:val="21"/>
        </w:rPr>
        <w:t>磋商供应商</w:t>
      </w:r>
      <w:r>
        <w:rPr>
          <w:rFonts w:hint="eastAsia" w:ascii="宋体" w:hAnsi="宋体" w:cs="Courier New"/>
          <w:bCs/>
          <w:szCs w:val="21"/>
          <w:lang w:eastAsia="zh-CN"/>
        </w:rPr>
        <w:t>或磋商</w:t>
      </w:r>
      <w:r>
        <w:rPr>
          <w:rFonts w:hint="eastAsia" w:ascii="宋体" w:hAnsi="宋体" w:cs="Courier New"/>
          <w:bCs/>
          <w:szCs w:val="21"/>
        </w:rPr>
        <w:t>产品生产厂</w:t>
      </w:r>
      <w:r>
        <w:rPr>
          <w:rFonts w:hint="eastAsia" w:ascii="宋体" w:hAnsi="宋体" w:cs="Courier New"/>
          <w:bCs/>
          <w:szCs w:val="21"/>
          <w:lang w:eastAsia="zh-CN"/>
        </w:rPr>
        <w:t>家具有</w:t>
      </w:r>
      <w:r>
        <w:rPr>
          <w:rFonts w:hint="eastAsia" w:ascii="宋体" w:hAnsi="宋体" w:cs="Courier New"/>
          <w:bCs/>
          <w:szCs w:val="21"/>
        </w:rPr>
        <w:t>符合国际标准的CE认证、具有软件能力成熟度集成模型认证（CMMI）3级及以上认证、安全生产标准化证书、安全生产许可证、软件企业认证</w:t>
      </w:r>
      <w:r>
        <w:rPr>
          <w:rFonts w:hint="eastAsia" w:ascii="宋体" w:hAnsi="宋体" w:cs="Courier New"/>
          <w:bCs/>
          <w:szCs w:val="21"/>
          <w:lang w:eastAsia="zh-CN"/>
        </w:rPr>
        <w:t>的，每有一项得</w:t>
      </w:r>
      <w:r>
        <w:rPr>
          <w:rFonts w:hint="eastAsia" w:ascii="宋体" w:hAnsi="宋体" w:cs="Courier New"/>
          <w:bCs/>
          <w:szCs w:val="21"/>
          <w:lang w:val="en-US" w:eastAsia="zh-CN"/>
        </w:rPr>
        <w:t>1分</w:t>
      </w:r>
      <w:r>
        <w:rPr>
          <w:rFonts w:hint="eastAsia" w:ascii="宋体" w:hAnsi="宋体" w:cs="Courier New"/>
          <w:bCs/>
          <w:szCs w:val="21"/>
        </w:rPr>
        <w:t>（提供证书复印件加盖</w:t>
      </w:r>
      <w:r>
        <w:rPr>
          <w:rFonts w:hint="eastAsia" w:ascii="宋体" w:hAnsi="宋体" w:cs="Courier New"/>
          <w:bCs/>
          <w:szCs w:val="21"/>
          <w:lang w:eastAsia="zh-CN"/>
        </w:rPr>
        <w:t>磋商供应商</w:t>
      </w:r>
      <w:r>
        <w:rPr>
          <w:rFonts w:hint="eastAsia" w:ascii="宋体" w:hAnsi="宋体" w:cs="Courier New"/>
          <w:bCs/>
          <w:szCs w:val="21"/>
        </w:rPr>
        <w:t>公章）</w:t>
      </w:r>
      <w:r>
        <w:rPr>
          <w:rFonts w:hint="eastAsia" w:ascii="宋体" w:hAnsi="宋体" w:cs="Courier New"/>
          <w:bCs/>
          <w:szCs w:val="21"/>
          <w:lang w:eastAsia="zh-CN"/>
        </w:rPr>
        <w:t>，满分</w:t>
      </w:r>
      <w:r>
        <w:rPr>
          <w:rFonts w:hint="eastAsia" w:ascii="宋体" w:hAnsi="宋体" w:cs="Courier New"/>
          <w:bCs/>
          <w:szCs w:val="21"/>
          <w:lang w:val="en-US" w:eastAsia="zh-CN"/>
        </w:rPr>
        <w:t>5分。</w:t>
      </w:r>
    </w:p>
    <w:p>
      <w:pPr>
        <w:numPr>
          <w:ilvl w:val="0"/>
          <w:numId w:val="7"/>
        </w:numPr>
        <w:spacing w:line="420" w:lineRule="exact"/>
        <w:ind w:firstLine="420" w:firstLineChars="200"/>
        <w:textAlignment w:val="top"/>
        <w:rPr>
          <w:rFonts w:hint="eastAsia" w:ascii="宋体" w:hAnsi="宋体" w:cs="Courier New"/>
          <w:bCs/>
          <w:szCs w:val="21"/>
        </w:rPr>
      </w:pPr>
      <w:r>
        <w:rPr>
          <w:rFonts w:hint="eastAsia" w:ascii="宋体" w:hAnsi="宋体" w:cs="Courier New"/>
          <w:bCs/>
          <w:szCs w:val="21"/>
        </w:rPr>
        <w:t>磋商供应商</w:t>
      </w:r>
      <w:r>
        <w:rPr>
          <w:rFonts w:hint="eastAsia" w:ascii="宋体" w:hAnsi="宋体" w:cs="Courier New"/>
          <w:bCs/>
          <w:szCs w:val="21"/>
          <w:lang w:eastAsia="zh-CN"/>
        </w:rPr>
        <w:t>或磋商</w:t>
      </w:r>
      <w:r>
        <w:rPr>
          <w:rFonts w:hint="eastAsia" w:ascii="宋体" w:hAnsi="宋体" w:cs="Courier New"/>
          <w:bCs/>
          <w:szCs w:val="21"/>
        </w:rPr>
        <w:t>产品生产厂</w:t>
      </w:r>
      <w:r>
        <w:rPr>
          <w:rFonts w:hint="eastAsia" w:ascii="宋体" w:hAnsi="宋体" w:cs="Courier New"/>
          <w:bCs/>
          <w:szCs w:val="21"/>
          <w:lang w:eastAsia="zh-CN"/>
        </w:rPr>
        <w:t>家</w:t>
      </w:r>
      <w:r>
        <w:rPr>
          <w:rFonts w:hint="eastAsia" w:ascii="宋体" w:hAnsi="宋体" w:cs="Courier New"/>
          <w:bCs/>
          <w:szCs w:val="21"/>
        </w:rPr>
        <w:t>具</w:t>
      </w:r>
      <w:r>
        <w:rPr>
          <w:rFonts w:hint="eastAsia" w:ascii="宋体" w:hAnsi="宋体" w:cs="Courier New"/>
          <w:bCs/>
          <w:szCs w:val="21"/>
          <w:lang w:eastAsia="zh-CN"/>
        </w:rPr>
        <w:t>有类似</w:t>
      </w:r>
      <w:r>
        <w:rPr>
          <w:rFonts w:hint="eastAsia" w:ascii="宋体" w:hAnsi="宋体" w:cs="Courier New"/>
          <w:bCs/>
          <w:szCs w:val="21"/>
        </w:rPr>
        <w:t>系统业绩，提供2018年01月以来与医院直接签订的（以签订合同时间为准）中标通知书与合同复印件</w:t>
      </w:r>
      <w:r>
        <w:rPr>
          <w:rFonts w:hint="eastAsia" w:ascii="宋体" w:hAnsi="宋体" w:cs="Courier New"/>
          <w:bCs/>
          <w:szCs w:val="21"/>
          <w:lang w:eastAsia="zh-CN"/>
        </w:rPr>
        <w:t>为准，每有一个得</w:t>
      </w:r>
      <w:r>
        <w:rPr>
          <w:rFonts w:hint="eastAsia" w:ascii="宋体" w:hAnsi="宋体" w:cs="Courier New"/>
          <w:bCs/>
          <w:szCs w:val="21"/>
          <w:lang w:val="en-US" w:eastAsia="zh-CN"/>
        </w:rPr>
        <w:t>1分</w:t>
      </w:r>
      <w:r>
        <w:rPr>
          <w:rFonts w:hint="eastAsia" w:ascii="宋体" w:hAnsi="宋体" w:cs="Courier New"/>
          <w:bCs/>
          <w:szCs w:val="21"/>
          <w:lang w:eastAsia="zh-CN"/>
        </w:rPr>
        <w:t>，满分</w:t>
      </w:r>
      <w:r>
        <w:rPr>
          <w:rFonts w:hint="eastAsia" w:ascii="宋体" w:hAnsi="宋体" w:cs="Courier New"/>
          <w:bCs/>
          <w:szCs w:val="21"/>
          <w:lang w:val="en-US" w:eastAsia="zh-CN"/>
        </w:rPr>
        <w:t>8分</w:t>
      </w:r>
      <w:r>
        <w:rPr>
          <w:rFonts w:hint="eastAsia" w:ascii="宋体" w:hAnsi="宋体" w:cs="Courier New"/>
          <w:bCs/>
          <w:szCs w:val="21"/>
        </w:rPr>
        <w:t>。</w:t>
      </w:r>
    </w:p>
    <w:p>
      <w:pPr>
        <w:numPr>
          <w:ilvl w:val="0"/>
          <w:numId w:val="0"/>
        </w:numPr>
        <w:spacing w:line="420" w:lineRule="exact"/>
        <w:textAlignment w:val="top"/>
        <w:rPr>
          <w:rFonts w:ascii="宋体" w:hAnsi="宋体" w:cs="Courier New"/>
          <w:bCs/>
          <w:szCs w:val="21"/>
        </w:rPr>
      </w:pPr>
      <w:r>
        <w:rPr>
          <w:rFonts w:hint="eastAsia" w:ascii="宋体" w:hAnsi="宋体" w:cs="Courier New"/>
          <w:bCs/>
          <w:szCs w:val="21"/>
        </w:rPr>
        <w:t>注：含在医用气体或智能化工程总造价中的呼叫系统业绩，需将病房呼叫系统拆出单列，否则不认可。</w:t>
      </w:r>
    </w:p>
    <w:p>
      <w:pPr>
        <w:spacing w:before="0" w:after="0" w:line="400" w:lineRule="exact"/>
        <w:ind w:firstLine="422"/>
        <w:rPr>
          <w:rFonts w:ascii="宋体" w:hAnsi="宋体"/>
          <w:bCs/>
          <w:color w:val="auto"/>
          <w:szCs w:val="20"/>
          <w:highlight w:val="none"/>
        </w:rPr>
      </w:pPr>
      <w:r>
        <w:rPr>
          <w:rFonts w:ascii="宋体" w:hAnsi="宋体"/>
          <w:b/>
          <w:color w:val="auto"/>
          <w:szCs w:val="20"/>
          <w:highlight w:val="none"/>
        </w:rPr>
        <w:t>5</w:t>
      </w:r>
      <w:r>
        <w:rPr>
          <w:rFonts w:hint="eastAsia" w:ascii="宋体" w:hAnsi="宋体"/>
          <w:b/>
          <w:color w:val="auto"/>
          <w:szCs w:val="20"/>
          <w:highlight w:val="none"/>
        </w:rPr>
        <w:t>. 综合得分＝</w:t>
      </w:r>
      <w:r>
        <w:rPr>
          <w:rFonts w:hint="eastAsia" w:ascii="宋体" w:hAnsi="宋体"/>
          <w:b/>
          <w:color w:val="auto"/>
          <w:w w:val="150"/>
          <w:szCs w:val="20"/>
          <w:highlight w:val="none"/>
        </w:rPr>
        <w:t>1+2+3+</w:t>
      </w:r>
      <w:r>
        <w:rPr>
          <w:rFonts w:ascii="宋体" w:hAnsi="宋体"/>
          <w:b/>
          <w:color w:val="auto"/>
          <w:w w:val="150"/>
          <w:szCs w:val="20"/>
          <w:highlight w:val="none"/>
        </w:rPr>
        <w:t>4</w:t>
      </w:r>
    </w:p>
    <w:p>
      <w:pPr>
        <w:pStyle w:val="23"/>
        <w:tabs>
          <w:tab w:val="left" w:pos="4214"/>
        </w:tabs>
        <w:spacing w:line="440" w:lineRule="exact"/>
        <w:ind w:firstLine="422"/>
        <w:rPr>
          <w:rFonts w:hAnsi="宋体"/>
          <w:b/>
          <w:color w:val="auto"/>
          <w:highlight w:val="none"/>
        </w:rPr>
      </w:pPr>
      <w:r>
        <w:rPr>
          <w:rFonts w:hint="eastAsia" w:hAnsi="宋体"/>
          <w:b/>
          <w:color w:val="auto"/>
          <w:highlight w:val="none"/>
        </w:rPr>
        <w:t>三、推荐</w:t>
      </w:r>
      <w:r>
        <w:rPr>
          <w:rFonts w:hint="eastAsia" w:hAnsi="宋体"/>
          <w:b/>
          <w:color w:val="auto"/>
          <w:highlight w:val="none"/>
          <w:lang w:eastAsia="zh-CN"/>
        </w:rPr>
        <w:t>成交</w:t>
      </w:r>
      <w:r>
        <w:rPr>
          <w:rFonts w:hint="eastAsia" w:hAnsi="宋体"/>
          <w:b/>
          <w:color w:val="auto"/>
          <w:highlight w:val="none"/>
        </w:rPr>
        <w:t>候选供应商原则</w:t>
      </w:r>
    </w:p>
    <w:p>
      <w:pPr>
        <w:pStyle w:val="23"/>
        <w:tabs>
          <w:tab w:val="left" w:pos="4214"/>
        </w:tabs>
        <w:spacing w:line="440" w:lineRule="exact"/>
        <w:ind w:firstLine="420" w:firstLineChars="200"/>
        <w:rPr>
          <w:rFonts w:hint="eastAsia" w:hAnsi="宋体" w:eastAsia="宋体" w:cs="宋体"/>
          <w:color w:val="auto"/>
          <w:szCs w:val="21"/>
        </w:rPr>
      </w:pPr>
      <w:r>
        <w:rPr>
          <w:rFonts w:hint="eastAsia" w:hAnsi="宋体" w:eastAsia="宋体" w:cs="宋体"/>
          <w:color w:val="auto"/>
          <w:szCs w:val="21"/>
        </w:rPr>
        <w:t>（1）</w:t>
      </w:r>
      <w:r>
        <w:rPr>
          <w:rFonts w:hint="eastAsia" w:hAnsi="宋体" w:eastAsia="宋体" w:cs="宋体"/>
          <w:color w:val="auto"/>
          <w:szCs w:val="21"/>
          <w:lang w:eastAsia="zh-CN"/>
        </w:rPr>
        <w:t>磋商小组</w:t>
      </w:r>
      <w:r>
        <w:rPr>
          <w:rFonts w:hint="eastAsia" w:hAnsi="宋体" w:eastAsia="宋体" w:cs="宋体"/>
          <w:color w:val="auto"/>
          <w:szCs w:val="21"/>
        </w:rPr>
        <w:t>根据综合得分由高到低排列次序，若得分相同时，以评</w:t>
      </w:r>
      <w:r>
        <w:rPr>
          <w:rFonts w:hint="eastAsia" w:hAnsi="宋体" w:cs="宋体"/>
          <w:color w:val="auto"/>
          <w:szCs w:val="21"/>
          <w:lang w:eastAsia="zh-CN"/>
        </w:rPr>
        <w:t>审</w:t>
      </w:r>
      <w:r>
        <w:rPr>
          <w:rFonts w:hint="eastAsia" w:hAnsi="宋体" w:eastAsia="宋体" w:cs="宋体"/>
          <w:color w:val="auto"/>
          <w:szCs w:val="21"/>
        </w:rPr>
        <w:t>报价由低到高顺序排列；若得分相同且评</w:t>
      </w:r>
      <w:r>
        <w:rPr>
          <w:rFonts w:hint="eastAsia" w:hAnsi="宋体" w:cs="宋体"/>
          <w:color w:val="auto"/>
          <w:szCs w:val="21"/>
          <w:lang w:eastAsia="zh-CN"/>
        </w:rPr>
        <w:t>审</w:t>
      </w:r>
      <w:r>
        <w:rPr>
          <w:rFonts w:hint="eastAsia" w:hAnsi="宋体" w:eastAsia="宋体" w:cs="宋体"/>
          <w:color w:val="auto"/>
          <w:szCs w:val="21"/>
        </w:rPr>
        <w:t>报价相同的，以</w:t>
      </w:r>
      <w:r>
        <w:rPr>
          <w:rFonts w:hint="eastAsia" w:hAnsi="宋体" w:eastAsia="宋体" w:cs="宋体"/>
          <w:color w:val="auto"/>
          <w:szCs w:val="21"/>
          <w:lang w:eastAsia="zh-CN"/>
        </w:rPr>
        <w:t>磋商报价</w:t>
      </w:r>
      <w:r>
        <w:rPr>
          <w:rFonts w:hint="eastAsia" w:hAnsi="宋体" w:eastAsia="宋体" w:cs="宋体"/>
          <w:color w:val="auto"/>
          <w:szCs w:val="21"/>
        </w:rPr>
        <w:t>由低到高顺序排列；若仍相同的，按</w:t>
      </w:r>
      <w:r>
        <w:rPr>
          <w:rFonts w:hint="eastAsia" w:hAnsi="宋体" w:eastAsia="宋体" w:cs="宋体"/>
          <w:color w:val="auto"/>
          <w:szCs w:val="21"/>
          <w:lang w:eastAsia="zh-CN"/>
        </w:rPr>
        <w:t>技术</w:t>
      </w:r>
      <w:r>
        <w:rPr>
          <w:rFonts w:hint="eastAsia" w:hAnsi="宋体" w:eastAsia="宋体" w:cs="宋体"/>
          <w:color w:val="auto"/>
          <w:szCs w:val="21"/>
        </w:rPr>
        <w:t>分由高到低顺序排列，若</w:t>
      </w:r>
      <w:r>
        <w:rPr>
          <w:rFonts w:hint="eastAsia" w:hAnsi="宋体" w:eastAsia="宋体" w:cs="宋体"/>
          <w:color w:val="auto"/>
          <w:szCs w:val="21"/>
          <w:lang w:eastAsia="zh-CN"/>
        </w:rPr>
        <w:t>技术</w:t>
      </w:r>
      <w:r>
        <w:rPr>
          <w:rFonts w:hint="eastAsia" w:hAnsi="宋体" w:eastAsia="宋体" w:cs="宋体"/>
          <w:color w:val="auto"/>
          <w:szCs w:val="21"/>
        </w:rPr>
        <w:t>分仍相同的，按售后服务分由高到低顺序排列并推荐</w:t>
      </w:r>
      <w:r>
        <w:rPr>
          <w:rFonts w:hint="eastAsia" w:hAnsi="宋体" w:eastAsia="宋体" w:cs="宋体"/>
          <w:color w:val="auto"/>
          <w:szCs w:val="21"/>
          <w:lang w:eastAsia="zh-CN"/>
        </w:rPr>
        <w:t>成交候选供应商</w:t>
      </w:r>
      <w:r>
        <w:rPr>
          <w:rFonts w:hint="eastAsia" w:hAnsi="宋体" w:eastAsia="宋体" w:cs="宋体"/>
          <w:color w:val="auto"/>
          <w:szCs w:val="21"/>
        </w:rPr>
        <w:t>。</w:t>
      </w:r>
    </w:p>
    <w:p>
      <w:pPr>
        <w:pStyle w:val="23"/>
        <w:tabs>
          <w:tab w:val="left" w:pos="4214"/>
        </w:tabs>
        <w:spacing w:line="440" w:lineRule="exact"/>
        <w:ind w:firstLine="420" w:firstLineChars="200"/>
        <w:rPr>
          <w:rFonts w:hint="eastAsia" w:hAnsi="宋体" w:eastAsia="宋体" w:cs="宋体"/>
          <w:color w:val="auto"/>
          <w:szCs w:val="21"/>
        </w:rPr>
      </w:pPr>
      <w:r>
        <w:rPr>
          <w:rFonts w:hint="eastAsia" w:hAnsi="宋体" w:eastAsia="宋体" w:cs="宋体"/>
          <w:color w:val="auto"/>
          <w:szCs w:val="21"/>
        </w:rPr>
        <w:t>（2）</w:t>
      </w:r>
      <w:r>
        <w:rPr>
          <w:rFonts w:hint="eastAsia" w:hAnsi="宋体" w:eastAsia="宋体" w:cs="宋体"/>
          <w:color w:val="auto"/>
          <w:szCs w:val="21"/>
          <w:lang w:eastAsia="zh-CN"/>
        </w:rPr>
        <w:t>磋商小组</w:t>
      </w:r>
      <w:r>
        <w:rPr>
          <w:rFonts w:hint="eastAsia" w:hAnsi="宋体" w:eastAsia="宋体" w:cs="宋体"/>
          <w:color w:val="auto"/>
          <w:szCs w:val="21"/>
        </w:rPr>
        <w:t>可推荐前三名为</w:t>
      </w:r>
      <w:r>
        <w:rPr>
          <w:rFonts w:hint="eastAsia" w:hAnsi="宋体" w:eastAsia="宋体" w:cs="宋体"/>
          <w:color w:val="auto"/>
          <w:szCs w:val="21"/>
          <w:lang w:eastAsia="zh-CN"/>
        </w:rPr>
        <w:t>成交候选供应商</w:t>
      </w:r>
      <w:r>
        <w:rPr>
          <w:rFonts w:hint="eastAsia" w:hAnsi="宋体" w:eastAsia="宋体" w:cs="宋体"/>
          <w:color w:val="auto"/>
          <w:szCs w:val="21"/>
        </w:rPr>
        <w:t>。</w:t>
      </w:r>
      <w:r>
        <w:rPr>
          <w:rFonts w:hint="eastAsia" w:hAnsi="宋体" w:eastAsia="宋体" w:cs="宋体"/>
          <w:color w:val="auto"/>
          <w:szCs w:val="21"/>
          <w:lang w:eastAsia="zh-CN"/>
        </w:rPr>
        <w:t>采购单位</w:t>
      </w:r>
      <w:r>
        <w:rPr>
          <w:rFonts w:hint="eastAsia" w:hAnsi="宋体" w:eastAsia="宋体" w:cs="宋体"/>
          <w:color w:val="auto"/>
          <w:szCs w:val="21"/>
        </w:rPr>
        <w:t>应当确定</w:t>
      </w:r>
      <w:r>
        <w:rPr>
          <w:rFonts w:hint="eastAsia" w:hAnsi="宋体" w:eastAsia="宋体" w:cs="宋体"/>
          <w:color w:val="auto"/>
          <w:szCs w:val="21"/>
          <w:lang w:eastAsia="zh-CN"/>
        </w:rPr>
        <w:t>磋商小组</w:t>
      </w:r>
      <w:r>
        <w:rPr>
          <w:rFonts w:hint="eastAsia" w:hAnsi="宋体" w:eastAsia="宋体" w:cs="宋体"/>
          <w:color w:val="auto"/>
          <w:szCs w:val="21"/>
        </w:rPr>
        <w:t>推荐排名第一的</w:t>
      </w:r>
      <w:r>
        <w:rPr>
          <w:rFonts w:hint="eastAsia" w:hAnsi="宋体" w:eastAsia="宋体" w:cs="宋体"/>
          <w:color w:val="auto"/>
          <w:szCs w:val="21"/>
          <w:lang w:eastAsia="zh-CN"/>
        </w:rPr>
        <w:t>成交候选供应商</w:t>
      </w:r>
      <w:r>
        <w:rPr>
          <w:rFonts w:hint="eastAsia" w:hAnsi="宋体" w:eastAsia="宋体" w:cs="宋体"/>
          <w:color w:val="auto"/>
          <w:szCs w:val="21"/>
        </w:rPr>
        <w:t>为</w:t>
      </w:r>
      <w:r>
        <w:rPr>
          <w:rFonts w:hint="eastAsia" w:hAnsi="宋体" w:eastAsia="宋体" w:cs="宋体"/>
          <w:color w:val="auto"/>
          <w:szCs w:val="21"/>
          <w:lang w:eastAsia="zh-CN"/>
        </w:rPr>
        <w:t>成交供应商</w:t>
      </w:r>
      <w:r>
        <w:rPr>
          <w:rFonts w:hint="eastAsia" w:hAnsi="宋体" w:eastAsia="宋体" w:cs="宋体"/>
          <w:color w:val="auto"/>
          <w:szCs w:val="21"/>
        </w:rPr>
        <w:t>。</w:t>
      </w:r>
    </w:p>
    <w:p>
      <w:pPr>
        <w:pStyle w:val="23"/>
        <w:spacing w:line="440" w:lineRule="exact"/>
        <w:ind w:firstLine="447" w:firstLineChars="213"/>
        <w:rPr>
          <w:rFonts w:hint="eastAsia" w:hAnsi="宋体" w:eastAsia="宋体" w:cs="宋体"/>
          <w:color w:val="auto"/>
          <w:szCs w:val="21"/>
        </w:rPr>
      </w:pPr>
      <w:r>
        <w:rPr>
          <w:rFonts w:hint="eastAsia" w:hAnsi="宋体" w:eastAsia="宋体" w:cs="宋体"/>
          <w:color w:val="auto"/>
          <w:szCs w:val="21"/>
        </w:rPr>
        <w:t>（3）排名第一的</w:t>
      </w:r>
      <w:r>
        <w:rPr>
          <w:rFonts w:hint="eastAsia" w:hAnsi="宋体" w:eastAsia="宋体" w:cs="宋体"/>
          <w:color w:val="auto"/>
          <w:szCs w:val="21"/>
          <w:lang w:eastAsia="zh-CN"/>
        </w:rPr>
        <w:t>成交候选供应商</w:t>
      </w:r>
      <w:r>
        <w:rPr>
          <w:rFonts w:hint="eastAsia" w:hAnsi="宋体" w:eastAsia="宋体" w:cs="宋体"/>
          <w:color w:val="auto"/>
          <w:szCs w:val="21"/>
        </w:rPr>
        <w:t>放弃</w:t>
      </w:r>
      <w:r>
        <w:rPr>
          <w:rFonts w:hint="eastAsia" w:hAnsi="宋体" w:eastAsia="宋体" w:cs="宋体"/>
          <w:color w:val="auto"/>
          <w:szCs w:val="21"/>
          <w:lang w:eastAsia="zh-CN"/>
        </w:rPr>
        <w:t>成交</w:t>
      </w:r>
      <w:r>
        <w:rPr>
          <w:rFonts w:hint="eastAsia" w:hAnsi="宋体" w:eastAsia="宋体" w:cs="宋体"/>
          <w:color w:val="auto"/>
          <w:szCs w:val="21"/>
        </w:rPr>
        <w:t>、因不可抗力提出不能履行合同，或者</w:t>
      </w:r>
      <w:r>
        <w:rPr>
          <w:rFonts w:hint="eastAsia" w:hAnsi="宋体" w:eastAsia="宋体" w:cs="宋体"/>
          <w:color w:val="auto"/>
          <w:szCs w:val="21"/>
          <w:lang w:eastAsia="zh-CN"/>
        </w:rPr>
        <w:t>采购文件</w:t>
      </w:r>
      <w:r>
        <w:rPr>
          <w:rFonts w:hint="eastAsia" w:hAnsi="宋体" w:eastAsia="宋体" w:cs="宋体"/>
          <w:color w:val="auto"/>
          <w:szCs w:val="21"/>
        </w:rPr>
        <w:t>规定应当提交履约保证金而在规定的期限内未能提交的，</w:t>
      </w:r>
      <w:r>
        <w:rPr>
          <w:rFonts w:hint="eastAsia" w:hAnsi="宋体" w:eastAsia="宋体" w:cs="宋体"/>
          <w:color w:val="auto"/>
          <w:szCs w:val="21"/>
          <w:lang w:eastAsia="zh-CN"/>
        </w:rPr>
        <w:t>采购单位</w:t>
      </w:r>
      <w:r>
        <w:rPr>
          <w:rFonts w:hint="eastAsia" w:hAnsi="宋体" w:eastAsia="宋体" w:cs="宋体"/>
          <w:color w:val="auto"/>
          <w:szCs w:val="21"/>
        </w:rPr>
        <w:t>可以确定排名第二的</w:t>
      </w:r>
      <w:r>
        <w:rPr>
          <w:rFonts w:hint="eastAsia" w:hAnsi="宋体" w:eastAsia="宋体" w:cs="宋体"/>
          <w:color w:val="auto"/>
          <w:szCs w:val="21"/>
          <w:lang w:eastAsia="zh-CN"/>
        </w:rPr>
        <w:t>成交候选供应商</w:t>
      </w:r>
      <w:r>
        <w:rPr>
          <w:rFonts w:hint="eastAsia" w:hAnsi="宋体" w:eastAsia="宋体" w:cs="宋体"/>
          <w:color w:val="auto"/>
          <w:szCs w:val="21"/>
        </w:rPr>
        <w:t>为</w:t>
      </w:r>
      <w:r>
        <w:rPr>
          <w:rFonts w:hint="eastAsia" w:hAnsi="宋体" w:eastAsia="宋体" w:cs="宋体"/>
          <w:color w:val="auto"/>
          <w:szCs w:val="21"/>
          <w:lang w:eastAsia="zh-CN"/>
        </w:rPr>
        <w:t>成交供应商</w:t>
      </w:r>
      <w:r>
        <w:rPr>
          <w:rFonts w:hint="eastAsia" w:hAnsi="宋体" w:eastAsia="宋体" w:cs="宋体"/>
          <w:color w:val="auto"/>
          <w:szCs w:val="21"/>
        </w:rPr>
        <w:t>。</w:t>
      </w:r>
    </w:p>
    <w:p>
      <w:pPr>
        <w:pStyle w:val="23"/>
        <w:spacing w:line="440" w:lineRule="exact"/>
        <w:ind w:firstLine="420" w:firstLineChars="200"/>
        <w:rPr>
          <w:rFonts w:hint="eastAsia" w:hAnsi="宋体" w:eastAsia="宋体" w:cs="宋体"/>
          <w:color w:val="auto"/>
          <w:szCs w:val="21"/>
        </w:rPr>
      </w:pPr>
      <w:r>
        <w:rPr>
          <w:rFonts w:hint="eastAsia" w:hAnsi="宋体" w:eastAsia="宋体" w:cs="宋体"/>
          <w:color w:val="auto"/>
          <w:szCs w:val="21"/>
        </w:rPr>
        <w:t>（4）排名第二的</w:t>
      </w:r>
      <w:r>
        <w:rPr>
          <w:rFonts w:hint="eastAsia" w:hAnsi="宋体" w:eastAsia="宋体" w:cs="宋体"/>
          <w:color w:val="auto"/>
          <w:szCs w:val="21"/>
          <w:lang w:eastAsia="zh-CN"/>
        </w:rPr>
        <w:t>成交候选供应商</w:t>
      </w:r>
      <w:r>
        <w:rPr>
          <w:rFonts w:hint="eastAsia" w:hAnsi="宋体" w:eastAsia="宋体" w:cs="宋体"/>
          <w:color w:val="auto"/>
          <w:szCs w:val="21"/>
        </w:rPr>
        <w:t>因前款规定的同样原因不能签订合同的，</w:t>
      </w:r>
      <w:r>
        <w:rPr>
          <w:rFonts w:hint="eastAsia" w:hAnsi="宋体" w:eastAsia="宋体" w:cs="宋体"/>
          <w:color w:val="auto"/>
          <w:szCs w:val="21"/>
          <w:lang w:eastAsia="zh-CN"/>
        </w:rPr>
        <w:t>采购单位</w:t>
      </w:r>
      <w:r>
        <w:rPr>
          <w:rFonts w:hint="eastAsia" w:hAnsi="宋体" w:eastAsia="宋体" w:cs="宋体"/>
          <w:color w:val="auto"/>
          <w:szCs w:val="21"/>
        </w:rPr>
        <w:t>可以确定排名第三的</w:t>
      </w:r>
      <w:r>
        <w:rPr>
          <w:rFonts w:hint="eastAsia" w:hAnsi="宋体" w:eastAsia="宋体" w:cs="宋体"/>
          <w:color w:val="auto"/>
          <w:szCs w:val="21"/>
          <w:lang w:eastAsia="zh-CN"/>
        </w:rPr>
        <w:t>成交候选供应商</w:t>
      </w:r>
      <w:r>
        <w:rPr>
          <w:rFonts w:hint="eastAsia" w:hAnsi="宋体" w:eastAsia="宋体" w:cs="宋体"/>
          <w:color w:val="auto"/>
          <w:szCs w:val="21"/>
        </w:rPr>
        <w:t>为</w:t>
      </w:r>
      <w:r>
        <w:rPr>
          <w:rFonts w:hint="eastAsia" w:hAnsi="宋体" w:eastAsia="宋体" w:cs="宋体"/>
          <w:color w:val="auto"/>
          <w:szCs w:val="21"/>
          <w:lang w:eastAsia="zh-CN"/>
        </w:rPr>
        <w:t>成交供应商</w:t>
      </w:r>
      <w:r>
        <w:rPr>
          <w:rFonts w:hint="eastAsia" w:hAnsi="宋体" w:eastAsia="宋体" w:cs="宋体"/>
          <w:color w:val="auto"/>
          <w:szCs w:val="21"/>
        </w:rPr>
        <w:t>。</w:t>
      </w:r>
    </w:p>
    <w:p>
      <w:pPr>
        <w:pStyle w:val="23"/>
        <w:spacing w:line="440" w:lineRule="exact"/>
        <w:ind w:firstLine="420"/>
        <w:rPr>
          <w:color w:val="auto"/>
          <w:highlight w:val="none"/>
        </w:rPr>
      </w:pPr>
    </w:p>
    <w:p>
      <w:pPr>
        <w:ind w:firstLine="420"/>
        <w:rPr>
          <w:color w:val="auto"/>
          <w:highlight w:val="none"/>
        </w:rPr>
      </w:pPr>
    </w:p>
    <w:p>
      <w:pPr>
        <w:pStyle w:val="54"/>
        <w:ind w:left="420" w:firstLine="640"/>
        <w:rPr>
          <w:color w:val="auto"/>
          <w:highlight w:val="none"/>
        </w:rPr>
      </w:pPr>
    </w:p>
    <w:p>
      <w:pPr>
        <w:pStyle w:val="54"/>
        <w:ind w:left="0" w:leftChars="0" w:firstLine="0" w:firstLineChars="0"/>
        <w:rPr>
          <w:color w:val="auto"/>
          <w:highlight w:val="none"/>
        </w:rPr>
      </w:pPr>
    </w:p>
    <w:p>
      <w:pPr>
        <w:pStyle w:val="54"/>
        <w:ind w:left="0" w:leftChars="0" w:firstLine="0" w:firstLineChars="0"/>
        <w:rPr>
          <w:color w:val="auto"/>
          <w:highlight w:val="none"/>
        </w:rPr>
      </w:pPr>
    </w:p>
    <w:p>
      <w:pPr>
        <w:pStyle w:val="54"/>
        <w:ind w:left="0" w:leftChars="0" w:firstLine="0" w:firstLineChars="0"/>
        <w:rPr>
          <w:color w:val="auto"/>
          <w:highlight w:val="none"/>
        </w:rPr>
      </w:pPr>
    </w:p>
    <w:p>
      <w:pPr>
        <w:pStyle w:val="54"/>
        <w:ind w:left="0" w:leftChars="0" w:firstLine="0" w:firstLineChars="0"/>
        <w:rPr>
          <w:color w:val="auto"/>
          <w:highlight w:val="none"/>
        </w:rPr>
      </w:pPr>
    </w:p>
    <w:p>
      <w:pPr>
        <w:pStyle w:val="54"/>
        <w:ind w:left="0" w:leftChars="0" w:firstLine="0" w:firstLineChars="0"/>
        <w:rPr>
          <w:color w:val="auto"/>
          <w:highlight w:val="none"/>
        </w:rPr>
      </w:pPr>
    </w:p>
    <w:p>
      <w:pPr>
        <w:pStyle w:val="54"/>
        <w:ind w:left="0" w:leftChars="0" w:firstLine="0" w:firstLineChars="0"/>
        <w:rPr>
          <w:color w:val="auto"/>
          <w:highlight w:val="none"/>
        </w:rPr>
      </w:pPr>
    </w:p>
    <w:p>
      <w:pPr>
        <w:pStyle w:val="54"/>
        <w:ind w:left="0" w:leftChars="0" w:firstLine="0" w:firstLineChars="0"/>
        <w:rPr>
          <w:color w:val="auto"/>
          <w:highlight w:val="none"/>
        </w:rPr>
      </w:pPr>
    </w:p>
    <w:p>
      <w:pPr>
        <w:pStyle w:val="54"/>
        <w:ind w:left="0" w:leftChars="0" w:firstLine="0" w:firstLineChars="0"/>
        <w:rPr>
          <w:color w:val="auto"/>
          <w:highlight w:val="none"/>
        </w:rPr>
      </w:pPr>
    </w:p>
    <w:p>
      <w:pPr>
        <w:pStyle w:val="54"/>
        <w:ind w:left="0" w:leftChars="0" w:firstLine="0" w:firstLineChars="0"/>
        <w:rPr>
          <w:color w:val="auto"/>
          <w:highlight w:val="none"/>
        </w:rPr>
      </w:pPr>
    </w:p>
    <w:p>
      <w:pPr>
        <w:pStyle w:val="54"/>
        <w:ind w:left="0" w:leftChars="0" w:firstLine="0" w:firstLineChars="0"/>
        <w:rPr>
          <w:color w:val="auto"/>
          <w:highlight w:val="none"/>
        </w:rPr>
      </w:pPr>
    </w:p>
    <w:p>
      <w:pPr>
        <w:ind w:firstLine="643"/>
        <w:jc w:val="center"/>
        <w:rPr>
          <w:rFonts w:ascii="宋体" w:hAnsi="宋体"/>
          <w:b/>
          <w:color w:val="auto"/>
          <w:sz w:val="32"/>
          <w:szCs w:val="32"/>
          <w:highlight w:val="none"/>
        </w:rPr>
      </w:pPr>
      <w:r>
        <w:rPr>
          <w:rFonts w:hint="eastAsia" w:ascii="宋体" w:hAnsi="宋体" w:cs="宋体"/>
          <w:b/>
          <w:color w:val="auto"/>
          <w:sz w:val="32"/>
          <w:szCs w:val="32"/>
          <w:highlight w:val="none"/>
        </w:rPr>
        <w:t>第五章</w:t>
      </w:r>
      <w:r>
        <w:rPr>
          <w:rFonts w:hint="eastAsia" w:ascii="宋体" w:hAnsi="宋体"/>
          <w:b/>
          <w:bCs/>
          <w:color w:val="auto"/>
          <w:kern w:val="44"/>
          <w:sz w:val="36"/>
          <w:szCs w:val="44"/>
          <w:highlight w:val="none"/>
        </w:rPr>
        <w:t xml:space="preserve">  </w:t>
      </w:r>
      <w:r>
        <w:rPr>
          <w:rFonts w:hint="eastAsia" w:ascii="宋体" w:hAnsi="宋体" w:cs="宋体"/>
          <w:b/>
          <w:color w:val="auto"/>
          <w:sz w:val="32"/>
          <w:szCs w:val="32"/>
          <w:highlight w:val="none"/>
        </w:rPr>
        <w:t>采购合同（合同主要条款及格式）</w:t>
      </w:r>
    </w:p>
    <w:p>
      <w:pPr>
        <w:spacing w:before="0" w:after="0" w:line="400" w:lineRule="exact"/>
        <w:ind w:firstLine="0" w:firstLineChars="0"/>
        <w:rPr>
          <w:rFonts w:ascii="宋体" w:hAnsi="宋体" w:cs="宋体"/>
          <w:color w:val="auto"/>
          <w:highlight w:val="none"/>
        </w:rPr>
      </w:pPr>
      <w:r>
        <w:rPr>
          <w:rFonts w:hint="eastAsia" w:ascii="宋体" w:hAnsi="宋体" w:cs="宋体"/>
          <w:color w:val="auto"/>
          <w:highlight w:val="none"/>
        </w:rPr>
        <w:t>项目名称：</w:t>
      </w:r>
    </w:p>
    <w:p>
      <w:pPr>
        <w:spacing w:before="0" w:after="0" w:line="400" w:lineRule="exact"/>
        <w:ind w:firstLine="0" w:firstLineChars="0"/>
        <w:rPr>
          <w:rFonts w:ascii="宋体" w:hAnsi="宋体" w:cs="宋体"/>
          <w:color w:val="auto"/>
          <w:highlight w:val="none"/>
        </w:rPr>
      </w:pPr>
      <w:r>
        <w:rPr>
          <w:rFonts w:hint="eastAsia" w:ascii="宋体" w:hAnsi="宋体" w:cs="宋体"/>
          <w:color w:val="auto"/>
          <w:highlight w:val="none"/>
        </w:rPr>
        <w:t>项目编号：</w:t>
      </w:r>
    </w:p>
    <w:p>
      <w:pPr>
        <w:spacing w:before="0" w:after="0" w:line="400" w:lineRule="exact"/>
        <w:ind w:firstLine="0" w:firstLineChars="0"/>
        <w:rPr>
          <w:rFonts w:ascii="宋体" w:hAnsi="宋体" w:cs="宋体"/>
          <w:color w:val="auto"/>
          <w:highlight w:val="none"/>
        </w:rPr>
      </w:pPr>
      <w:r>
        <w:rPr>
          <w:rFonts w:hint="eastAsia" w:ascii="宋体" w:hAnsi="宋体" w:cs="宋体"/>
          <w:color w:val="auto"/>
          <w:highlight w:val="none"/>
        </w:rPr>
        <w:t>甲方：</w:t>
      </w:r>
      <w:r>
        <w:rPr>
          <w:rFonts w:hint="eastAsia" w:ascii="宋体" w:hAnsi="宋体" w:cs="宋体"/>
          <w:color w:val="auto"/>
          <w:highlight w:val="none"/>
          <w:u w:val="single"/>
        </w:rPr>
        <w:t xml:space="preserve">                                                      </w:t>
      </w:r>
      <w:r>
        <w:rPr>
          <w:rFonts w:hint="eastAsia" w:ascii="宋体" w:hAnsi="宋体" w:cs="宋体"/>
          <w:color w:val="auto"/>
          <w:highlight w:val="none"/>
        </w:rPr>
        <w:t>（采购人）</w:t>
      </w:r>
    </w:p>
    <w:p>
      <w:pPr>
        <w:spacing w:before="0" w:after="0" w:line="400" w:lineRule="exact"/>
        <w:ind w:firstLine="0" w:firstLineChars="0"/>
        <w:rPr>
          <w:rFonts w:ascii="宋体" w:hAnsi="宋体" w:cs="宋体"/>
          <w:color w:val="auto"/>
          <w:highlight w:val="none"/>
        </w:rPr>
      </w:pPr>
      <w:r>
        <w:rPr>
          <w:rFonts w:hint="eastAsia" w:ascii="宋体" w:hAnsi="宋体" w:cs="宋体"/>
          <w:color w:val="auto"/>
          <w:highlight w:val="none"/>
        </w:rPr>
        <w:t>乙方：</w:t>
      </w:r>
      <w:r>
        <w:rPr>
          <w:rFonts w:hint="eastAsia" w:ascii="宋体" w:hAnsi="宋体" w:cs="宋体"/>
          <w:color w:val="auto"/>
          <w:highlight w:val="none"/>
          <w:u w:val="single"/>
        </w:rPr>
        <w:t xml:space="preserve">                                                      </w:t>
      </w:r>
      <w:r>
        <w:rPr>
          <w:rFonts w:hint="eastAsia" w:ascii="宋体" w:hAnsi="宋体" w:cs="宋体"/>
          <w:color w:val="auto"/>
          <w:highlight w:val="none"/>
        </w:rPr>
        <w:t>（成交供应商）</w:t>
      </w:r>
    </w:p>
    <w:p>
      <w:pPr>
        <w:spacing w:before="0" w:after="0" w:line="400" w:lineRule="exact"/>
        <w:ind w:firstLine="0" w:firstLineChars="0"/>
        <w:rPr>
          <w:rFonts w:ascii="宋体" w:hAnsi="宋体" w:cs="宋体"/>
          <w:color w:val="auto"/>
          <w:highlight w:val="none"/>
        </w:rPr>
      </w:pPr>
    </w:p>
    <w:p>
      <w:pPr>
        <w:spacing w:before="0" w:after="0" w:line="400" w:lineRule="exact"/>
        <w:ind w:firstLine="420"/>
        <w:rPr>
          <w:rFonts w:ascii="宋体" w:hAnsi="宋体" w:cs="宋体"/>
          <w:color w:val="auto"/>
          <w:highlight w:val="none"/>
        </w:rPr>
      </w:pPr>
      <w:r>
        <w:rPr>
          <w:rFonts w:hint="eastAsia" w:ascii="宋体" w:hAnsi="宋体" w:cs="宋体"/>
          <w:color w:val="auto"/>
          <w:highlight w:val="none"/>
        </w:rPr>
        <w:t>根据《中华人民共和国政府采购法》、《中华人民共和国政府采购法实施条例》、《中华人民共和国合同法》等法律、法规规定，按照竞争性磋商文件（以下简称磋商文件）、响应文件规定条款和成交供应商的承诺、甲乙双方签订本采购合同。</w:t>
      </w:r>
    </w:p>
    <w:p>
      <w:pPr>
        <w:numPr>
          <w:ilvl w:val="0"/>
          <w:numId w:val="8"/>
        </w:numPr>
        <w:spacing w:before="0" w:after="0" w:line="400" w:lineRule="exact"/>
        <w:ind w:firstLineChars="0"/>
        <w:rPr>
          <w:rFonts w:ascii="宋体" w:hAnsi="宋体" w:cs="宋体"/>
          <w:b/>
          <w:color w:val="auto"/>
          <w:szCs w:val="21"/>
          <w:highlight w:val="none"/>
        </w:rPr>
      </w:pPr>
      <w:r>
        <w:rPr>
          <w:rFonts w:hint="eastAsia" w:ascii="宋体" w:hAnsi="宋体" w:cs="宋体"/>
          <w:b/>
          <w:color w:val="auto"/>
          <w:szCs w:val="21"/>
          <w:highlight w:val="none"/>
        </w:rPr>
        <w:t>合同标的及合同金额</w:t>
      </w:r>
    </w:p>
    <w:tbl>
      <w:tblPr>
        <w:tblStyle w:val="4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2"/>
        <w:gridCol w:w="1445"/>
        <w:gridCol w:w="1483"/>
        <w:gridCol w:w="1073"/>
        <w:gridCol w:w="714"/>
        <w:gridCol w:w="1545"/>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709" w:type="dxa"/>
            <w:noWrap w:val="0"/>
            <w:vAlign w:val="center"/>
          </w:tcPr>
          <w:p>
            <w:pPr>
              <w:snapToGrid w:val="0"/>
              <w:spacing w:before="0" w:after="0" w:line="280" w:lineRule="exact"/>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项号</w:t>
            </w:r>
          </w:p>
        </w:tc>
        <w:tc>
          <w:tcPr>
            <w:tcW w:w="1232" w:type="dxa"/>
            <w:noWrap w:val="0"/>
            <w:vAlign w:val="center"/>
          </w:tcPr>
          <w:p>
            <w:pPr>
              <w:snapToGrid w:val="0"/>
              <w:spacing w:before="0" w:after="0" w:line="280" w:lineRule="exact"/>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货物名称</w:t>
            </w:r>
          </w:p>
        </w:tc>
        <w:tc>
          <w:tcPr>
            <w:tcW w:w="1445" w:type="dxa"/>
            <w:noWrap w:val="0"/>
            <w:vAlign w:val="center"/>
          </w:tcPr>
          <w:p>
            <w:pPr>
              <w:snapToGrid w:val="0"/>
              <w:spacing w:before="0" w:after="0" w:line="280" w:lineRule="exact"/>
              <w:ind w:firstLine="0" w:firstLineChars="0"/>
              <w:jc w:val="center"/>
              <w:rPr>
                <w:rFonts w:hint="eastAsia" w:ascii="宋体" w:hAnsi="宋体" w:eastAsia="宋体" w:cs="宋体"/>
                <w:color w:val="auto"/>
                <w:szCs w:val="21"/>
              </w:rPr>
            </w:pPr>
            <w:r>
              <w:rPr>
                <w:rFonts w:hint="eastAsia" w:ascii="宋体" w:hAnsi="宋体" w:eastAsia="宋体" w:cs="宋体"/>
                <w:color w:val="auto"/>
                <w:szCs w:val="30"/>
              </w:rPr>
              <w:t>厂家、品牌、规格型号</w:t>
            </w:r>
          </w:p>
        </w:tc>
        <w:tc>
          <w:tcPr>
            <w:tcW w:w="1483" w:type="dxa"/>
            <w:noWrap w:val="0"/>
            <w:vAlign w:val="center"/>
          </w:tcPr>
          <w:p>
            <w:pPr>
              <w:snapToGrid w:val="0"/>
              <w:spacing w:before="0" w:after="0" w:line="280" w:lineRule="exact"/>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技术参数、性能、配置</w:t>
            </w:r>
          </w:p>
        </w:tc>
        <w:tc>
          <w:tcPr>
            <w:tcW w:w="1073" w:type="dxa"/>
            <w:noWrap w:val="0"/>
            <w:vAlign w:val="center"/>
          </w:tcPr>
          <w:p>
            <w:pPr>
              <w:snapToGrid w:val="0"/>
              <w:spacing w:before="0" w:after="0" w:line="280" w:lineRule="exact"/>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数量</w:t>
            </w:r>
          </w:p>
          <w:p>
            <w:pPr>
              <w:snapToGrid w:val="0"/>
              <w:spacing w:before="0" w:after="0" w:line="280" w:lineRule="exact"/>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①</w:t>
            </w:r>
          </w:p>
        </w:tc>
        <w:tc>
          <w:tcPr>
            <w:tcW w:w="714" w:type="dxa"/>
            <w:noWrap w:val="0"/>
            <w:vAlign w:val="center"/>
          </w:tcPr>
          <w:p>
            <w:pPr>
              <w:snapToGrid w:val="0"/>
              <w:spacing w:before="0" w:after="0" w:line="280" w:lineRule="exact"/>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单位</w:t>
            </w:r>
          </w:p>
        </w:tc>
        <w:tc>
          <w:tcPr>
            <w:tcW w:w="1545" w:type="dxa"/>
            <w:noWrap w:val="0"/>
            <w:vAlign w:val="center"/>
          </w:tcPr>
          <w:p>
            <w:pPr>
              <w:snapToGrid w:val="0"/>
              <w:spacing w:before="0" w:after="0" w:line="280" w:lineRule="exact"/>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单价（元）</w:t>
            </w:r>
          </w:p>
          <w:p>
            <w:pPr>
              <w:snapToGrid w:val="0"/>
              <w:spacing w:before="0" w:after="0" w:line="280" w:lineRule="exact"/>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②</w:t>
            </w:r>
          </w:p>
        </w:tc>
        <w:tc>
          <w:tcPr>
            <w:tcW w:w="1741" w:type="dxa"/>
            <w:noWrap w:val="0"/>
            <w:vAlign w:val="center"/>
          </w:tcPr>
          <w:p>
            <w:pPr>
              <w:snapToGrid w:val="0"/>
              <w:spacing w:before="0" w:after="0" w:line="280" w:lineRule="exact"/>
              <w:ind w:firstLine="0" w:firstLineChars="0"/>
              <w:jc w:val="center"/>
              <w:rPr>
                <w:rFonts w:hint="eastAsia" w:ascii="宋体" w:hAnsi="宋体" w:eastAsia="宋体" w:cs="宋体"/>
                <w:color w:val="auto"/>
                <w:szCs w:val="21"/>
              </w:rPr>
            </w:pPr>
            <w:r>
              <w:rPr>
                <w:rFonts w:hint="eastAsia" w:ascii="宋体" w:hAnsi="宋体" w:eastAsia="宋体" w:cs="宋体"/>
                <w:b/>
                <w:color w:val="auto"/>
                <w:szCs w:val="21"/>
              </w:rPr>
              <w:t>单项合计金额</w:t>
            </w:r>
            <w:r>
              <w:rPr>
                <w:rFonts w:hint="eastAsia" w:ascii="宋体" w:hAnsi="宋体" w:eastAsia="宋体" w:cs="宋体"/>
                <w:color w:val="auto"/>
                <w:szCs w:val="21"/>
              </w:rPr>
              <w:t>（元）</w:t>
            </w:r>
          </w:p>
          <w:p>
            <w:pPr>
              <w:snapToGrid w:val="0"/>
              <w:spacing w:before="0" w:after="0" w:line="280" w:lineRule="exact"/>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0"/>
            <w:vAlign w:val="center"/>
          </w:tcPr>
          <w:p>
            <w:pPr>
              <w:spacing w:before="0" w:after="0" w:line="240" w:lineRule="auto"/>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1232" w:type="dxa"/>
            <w:noWrap w:val="0"/>
            <w:vAlign w:val="center"/>
          </w:tcPr>
          <w:p>
            <w:pPr>
              <w:spacing w:before="0" w:after="0" w:line="240" w:lineRule="auto"/>
              <w:ind w:firstLine="0" w:firstLineChars="0"/>
              <w:jc w:val="center"/>
              <w:rPr>
                <w:rFonts w:hint="eastAsia" w:ascii="宋体" w:hAnsi="宋体" w:eastAsia="宋体" w:cs="宋体"/>
                <w:color w:val="auto"/>
                <w:szCs w:val="21"/>
              </w:rPr>
            </w:pPr>
          </w:p>
        </w:tc>
        <w:tc>
          <w:tcPr>
            <w:tcW w:w="1445" w:type="dxa"/>
            <w:noWrap w:val="0"/>
            <w:vAlign w:val="center"/>
          </w:tcPr>
          <w:p>
            <w:pPr>
              <w:snapToGrid w:val="0"/>
              <w:spacing w:before="0" w:after="0" w:line="360" w:lineRule="auto"/>
              <w:ind w:firstLine="0" w:firstLineChars="0"/>
              <w:rPr>
                <w:rFonts w:hint="eastAsia" w:ascii="宋体" w:hAnsi="宋体" w:eastAsia="宋体" w:cs="宋体"/>
                <w:color w:val="auto"/>
                <w:szCs w:val="21"/>
              </w:rPr>
            </w:pPr>
          </w:p>
        </w:tc>
        <w:tc>
          <w:tcPr>
            <w:tcW w:w="1483" w:type="dxa"/>
            <w:noWrap w:val="0"/>
            <w:vAlign w:val="center"/>
          </w:tcPr>
          <w:p>
            <w:pPr>
              <w:snapToGrid w:val="0"/>
              <w:spacing w:before="0" w:after="0" w:line="360" w:lineRule="auto"/>
              <w:ind w:firstLine="0" w:firstLineChars="0"/>
              <w:rPr>
                <w:rFonts w:hint="eastAsia" w:ascii="宋体" w:hAnsi="宋体" w:eastAsia="宋体" w:cs="宋体"/>
                <w:color w:val="auto"/>
                <w:szCs w:val="21"/>
              </w:rPr>
            </w:pPr>
          </w:p>
        </w:tc>
        <w:tc>
          <w:tcPr>
            <w:tcW w:w="1073" w:type="dxa"/>
            <w:noWrap w:val="0"/>
            <w:vAlign w:val="center"/>
          </w:tcPr>
          <w:p>
            <w:pPr>
              <w:spacing w:before="0" w:after="0" w:line="240" w:lineRule="auto"/>
              <w:ind w:firstLine="0" w:firstLineChars="0"/>
              <w:jc w:val="center"/>
              <w:rPr>
                <w:rFonts w:hint="eastAsia" w:ascii="宋体" w:hAnsi="宋体" w:eastAsia="宋体" w:cs="宋体"/>
                <w:color w:val="auto"/>
                <w:szCs w:val="21"/>
              </w:rPr>
            </w:pPr>
          </w:p>
        </w:tc>
        <w:tc>
          <w:tcPr>
            <w:tcW w:w="714" w:type="dxa"/>
            <w:noWrap w:val="0"/>
            <w:vAlign w:val="center"/>
          </w:tcPr>
          <w:p>
            <w:pPr>
              <w:spacing w:before="0" w:after="0" w:line="240" w:lineRule="auto"/>
              <w:ind w:firstLine="0" w:firstLineChars="0"/>
              <w:jc w:val="center"/>
              <w:rPr>
                <w:rFonts w:hint="eastAsia" w:ascii="宋体" w:hAnsi="宋体" w:eastAsia="宋体" w:cs="宋体"/>
                <w:color w:val="auto"/>
                <w:szCs w:val="21"/>
              </w:rPr>
            </w:pPr>
          </w:p>
        </w:tc>
        <w:tc>
          <w:tcPr>
            <w:tcW w:w="1545" w:type="dxa"/>
            <w:noWrap w:val="0"/>
            <w:vAlign w:val="center"/>
          </w:tcPr>
          <w:p>
            <w:pPr>
              <w:snapToGrid w:val="0"/>
              <w:spacing w:before="0" w:after="0" w:line="360" w:lineRule="auto"/>
              <w:ind w:firstLine="0" w:firstLineChars="0"/>
              <w:rPr>
                <w:rFonts w:hint="eastAsia" w:ascii="宋体" w:hAnsi="宋体" w:eastAsia="宋体" w:cs="宋体"/>
                <w:color w:val="auto"/>
                <w:szCs w:val="21"/>
              </w:rPr>
            </w:pPr>
          </w:p>
        </w:tc>
        <w:tc>
          <w:tcPr>
            <w:tcW w:w="1741" w:type="dxa"/>
            <w:noWrap w:val="0"/>
            <w:vAlign w:val="center"/>
          </w:tcPr>
          <w:p>
            <w:pPr>
              <w:snapToGrid w:val="0"/>
              <w:spacing w:before="0" w:after="0" w:line="360" w:lineRule="auto"/>
              <w:ind w:firstLine="0" w:firstLineChars="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9" w:type="dxa"/>
            <w:noWrap w:val="0"/>
            <w:vAlign w:val="center"/>
          </w:tcPr>
          <w:p>
            <w:pPr>
              <w:spacing w:before="0" w:after="0" w:line="240" w:lineRule="auto"/>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1232" w:type="dxa"/>
            <w:noWrap w:val="0"/>
            <w:vAlign w:val="center"/>
          </w:tcPr>
          <w:p>
            <w:pPr>
              <w:spacing w:before="0" w:after="0" w:line="240" w:lineRule="auto"/>
              <w:ind w:firstLine="0" w:firstLineChars="0"/>
              <w:jc w:val="center"/>
              <w:rPr>
                <w:rFonts w:hint="eastAsia" w:ascii="宋体" w:hAnsi="宋体" w:eastAsia="宋体" w:cs="宋体"/>
                <w:color w:val="auto"/>
                <w:szCs w:val="21"/>
              </w:rPr>
            </w:pPr>
          </w:p>
        </w:tc>
        <w:tc>
          <w:tcPr>
            <w:tcW w:w="1445" w:type="dxa"/>
            <w:noWrap w:val="0"/>
            <w:vAlign w:val="center"/>
          </w:tcPr>
          <w:p>
            <w:pPr>
              <w:snapToGrid w:val="0"/>
              <w:spacing w:before="0" w:after="0" w:line="360" w:lineRule="auto"/>
              <w:ind w:firstLine="0" w:firstLineChars="0"/>
              <w:rPr>
                <w:rFonts w:hint="eastAsia" w:ascii="宋体" w:hAnsi="宋体" w:eastAsia="宋体" w:cs="宋体"/>
                <w:color w:val="auto"/>
                <w:szCs w:val="21"/>
              </w:rPr>
            </w:pPr>
          </w:p>
        </w:tc>
        <w:tc>
          <w:tcPr>
            <w:tcW w:w="1483" w:type="dxa"/>
            <w:noWrap w:val="0"/>
            <w:vAlign w:val="center"/>
          </w:tcPr>
          <w:p>
            <w:pPr>
              <w:snapToGrid w:val="0"/>
              <w:spacing w:before="0" w:after="0" w:line="360" w:lineRule="auto"/>
              <w:ind w:firstLine="0" w:firstLineChars="0"/>
              <w:rPr>
                <w:rFonts w:hint="eastAsia" w:ascii="宋体" w:hAnsi="宋体" w:eastAsia="宋体" w:cs="宋体"/>
                <w:color w:val="auto"/>
                <w:szCs w:val="21"/>
              </w:rPr>
            </w:pPr>
          </w:p>
        </w:tc>
        <w:tc>
          <w:tcPr>
            <w:tcW w:w="1073" w:type="dxa"/>
            <w:noWrap w:val="0"/>
            <w:vAlign w:val="center"/>
          </w:tcPr>
          <w:p>
            <w:pPr>
              <w:spacing w:before="0" w:after="0" w:line="240" w:lineRule="auto"/>
              <w:ind w:firstLine="0" w:firstLineChars="0"/>
              <w:jc w:val="center"/>
              <w:rPr>
                <w:rFonts w:hint="eastAsia" w:ascii="宋体" w:hAnsi="宋体" w:eastAsia="宋体" w:cs="宋体"/>
                <w:color w:val="auto"/>
                <w:szCs w:val="21"/>
              </w:rPr>
            </w:pPr>
          </w:p>
        </w:tc>
        <w:tc>
          <w:tcPr>
            <w:tcW w:w="714" w:type="dxa"/>
            <w:noWrap w:val="0"/>
            <w:vAlign w:val="center"/>
          </w:tcPr>
          <w:p>
            <w:pPr>
              <w:spacing w:before="0" w:after="0" w:line="240" w:lineRule="auto"/>
              <w:ind w:firstLine="0" w:firstLineChars="0"/>
              <w:jc w:val="center"/>
              <w:rPr>
                <w:rFonts w:hint="eastAsia" w:ascii="宋体" w:hAnsi="宋体" w:eastAsia="宋体" w:cs="宋体"/>
                <w:color w:val="auto"/>
                <w:szCs w:val="21"/>
              </w:rPr>
            </w:pPr>
          </w:p>
        </w:tc>
        <w:tc>
          <w:tcPr>
            <w:tcW w:w="1545" w:type="dxa"/>
            <w:noWrap w:val="0"/>
            <w:vAlign w:val="center"/>
          </w:tcPr>
          <w:p>
            <w:pPr>
              <w:snapToGrid w:val="0"/>
              <w:spacing w:before="0" w:after="0" w:line="360" w:lineRule="auto"/>
              <w:ind w:firstLine="0" w:firstLineChars="0"/>
              <w:rPr>
                <w:rFonts w:hint="eastAsia" w:ascii="宋体" w:hAnsi="宋体" w:eastAsia="宋体" w:cs="宋体"/>
                <w:color w:val="auto"/>
                <w:szCs w:val="21"/>
              </w:rPr>
            </w:pPr>
          </w:p>
        </w:tc>
        <w:tc>
          <w:tcPr>
            <w:tcW w:w="1741" w:type="dxa"/>
            <w:noWrap w:val="0"/>
            <w:vAlign w:val="center"/>
          </w:tcPr>
          <w:p>
            <w:pPr>
              <w:snapToGrid w:val="0"/>
              <w:spacing w:before="0" w:after="0" w:line="360" w:lineRule="auto"/>
              <w:ind w:firstLine="0" w:firstLineChars="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0"/>
            <w:vAlign w:val="center"/>
          </w:tcPr>
          <w:p>
            <w:pPr>
              <w:spacing w:before="0" w:after="0" w:line="240" w:lineRule="auto"/>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1232" w:type="dxa"/>
            <w:noWrap w:val="0"/>
            <w:vAlign w:val="center"/>
          </w:tcPr>
          <w:p>
            <w:pPr>
              <w:spacing w:before="0" w:after="0" w:line="240" w:lineRule="auto"/>
              <w:ind w:firstLine="0" w:firstLineChars="0"/>
              <w:jc w:val="center"/>
              <w:rPr>
                <w:rFonts w:hint="eastAsia" w:ascii="宋体" w:hAnsi="宋体" w:eastAsia="宋体" w:cs="宋体"/>
                <w:color w:val="auto"/>
                <w:szCs w:val="21"/>
              </w:rPr>
            </w:pPr>
          </w:p>
        </w:tc>
        <w:tc>
          <w:tcPr>
            <w:tcW w:w="1445" w:type="dxa"/>
            <w:noWrap w:val="0"/>
            <w:vAlign w:val="center"/>
          </w:tcPr>
          <w:p>
            <w:pPr>
              <w:snapToGrid w:val="0"/>
              <w:spacing w:before="0" w:after="0" w:line="360" w:lineRule="auto"/>
              <w:ind w:firstLine="0" w:firstLineChars="0"/>
              <w:rPr>
                <w:rFonts w:hint="eastAsia" w:ascii="宋体" w:hAnsi="宋体" w:eastAsia="宋体" w:cs="宋体"/>
                <w:color w:val="auto"/>
                <w:szCs w:val="21"/>
              </w:rPr>
            </w:pPr>
          </w:p>
        </w:tc>
        <w:tc>
          <w:tcPr>
            <w:tcW w:w="1483" w:type="dxa"/>
            <w:noWrap w:val="0"/>
            <w:vAlign w:val="center"/>
          </w:tcPr>
          <w:p>
            <w:pPr>
              <w:snapToGrid w:val="0"/>
              <w:spacing w:before="0" w:after="0" w:line="360" w:lineRule="auto"/>
              <w:ind w:firstLine="0" w:firstLineChars="0"/>
              <w:rPr>
                <w:rFonts w:hint="eastAsia" w:ascii="宋体" w:hAnsi="宋体" w:eastAsia="宋体" w:cs="宋体"/>
                <w:color w:val="auto"/>
                <w:szCs w:val="21"/>
              </w:rPr>
            </w:pPr>
          </w:p>
        </w:tc>
        <w:tc>
          <w:tcPr>
            <w:tcW w:w="1073" w:type="dxa"/>
            <w:noWrap w:val="0"/>
            <w:vAlign w:val="center"/>
          </w:tcPr>
          <w:p>
            <w:pPr>
              <w:spacing w:before="0" w:after="0" w:line="240" w:lineRule="auto"/>
              <w:ind w:firstLine="0" w:firstLineChars="0"/>
              <w:jc w:val="center"/>
              <w:rPr>
                <w:rFonts w:hint="eastAsia" w:ascii="宋体" w:hAnsi="宋体" w:eastAsia="宋体" w:cs="宋体"/>
                <w:color w:val="auto"/>
                <w:szCs w:val="21"/>
              </w:rPr>
            </w:pPr>
          </w:p>
        </w:tc>
        <w:tc>
          <w:tcPr>
            <w:tcW w:w="714" w:type="dxa"/>
            <w:noWrap w:val="0"/>
            <w:vAlign w:val="center"/>
          </w:tcPr>
          <w:p>
            <w:pPr>
              <w:spacing w:before="0" w:after="0" w:line="240" w:lineRule="auto"/>
              <w:ind w:firstLine="0" w:firstLineChars="0"/>
              <w:jc w:val="center"/>
              <w:rPr>
                <w:rFonts w:hint="eastAsia" w:ascii="宋体" w:hAnsi="宋体" w:eastAsia="宋体" w:cs="宋体"/>
                <w:color w:val="auto"/>
                <w:szCs w:val="21"/>
              </w:rPr>
            </w:pPr>
          </w:p>
        </w:tc>
        <w:tc>
          <w:tcPr>
            <w:tcW w:w="1545" w:type="dxa"/>
            <w:noWrap w:val="0"/>
            <w:vAlign w:val="center"/>
          </w:tcPr>
          <w:p>
            <w:pPr>
              <w:snapToGrid w:val="0"/>
              <w:spacing w:before="0" w:after="0" w:line="360" w:lineRule="auto"/>
              <w:ind w:firstLine="0" w:firstLineChars="0"/>
              <w:rPr>
                <w:rFonts w:hint="eastAsia" w:ascii="宋体" w:hAnsi="宋体" w:eastAsia="宋体" w:cs="宋体"/>
                <w:color w:val="auto"/>
                <w:szCs w:val="21"/>
              </w:rPr>
            </w:pPr>
          </w:p>
        </w:tc>
        <w:tc>
          <w:tcPr>
            <w:tcW w:w="1741" w:type="dxa"/>
            <w:noWrap w:val="0"/>
            <w:vAlign w:val="center"/>
          </w:tcPr>
          <w:p>
            <w:pPr>
              <w:snapToGrid w:val="0"/>
              <w:spacing w:before="0" w:after="0" w:line="360" w:lineRule="auto"/>
              <w:ind w:firstLine="0" w:firstLineChars="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0"/>
            <w:vAlign w:val="center"/>
          </w:tcPr>
          <w:p>
            <w:pPr>
              <w:spacing w:before="0" w:after="0" w:line="240" w:lineRule="auto"/>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N</w:t>
            </w:r>
          </w:p>
        </w:tc>
        <w:tc>
          <w:tcPr>
            <w:tcW w:w="1232" w:type="dxa"/>
            <w:noWrap w:val="0"/>
            <w:vAlign w:val="center"/>
          </w:tcPr>
          <w:p>
            <w:pPr>
              <w:spacing w:before="0" w:after="0" w:line="240" w:lineRule="auto"/>
              <w:ind w:firstLine="0" w:firstLineChars="0"/>
              <w:jc w:val="center"/>
              <w:rPr>
                <w:rFonts w:hint="eastAsia" w:ascii="宋体" w:hAnsi="宋体" w:eastAsia="宋体" w:cs="宋体"/>
                <w:color w:val="auto"/>
                <w:szCs w:val="21"/>
              </w:rPr>
            </w:pPr>
          </w:p>
        </w:tc>
        <w:tc>
          <w:tcPr>
            <w:tcW w:w="1445" w:type="dxa"/>
            <w:noWrap w:val="0"/>
            <w:vAlign w:val="center"/>
          </w:tcPr>
          <w:p>
            <w:pPr>
              <w:snapToGrid w:val="0"/>
              <w:spacing w:before="0" w:after="0" w:line="360" w:lineRule="auto"/>
              <w:ind w:firstLine="0" w:firstLineChars="0"/>
              <w:rPr>
                <w:rFonts w:hint="eastAsia" w:ascii="宋体" w:hAnsi="宋体" w:eastAsia="宋体" w:cs="宋体"/>
                <w:color w:val="auto"/>
                <w:szCs w:val="21"/>
              </w:rPr>
            </w:pPr>
          </w:p>
        </w:tc>
        <w:tc>
          <w:tcPr>
            <w:tcW w:w="1483" w:type="dxa"/>
            <w:noWrap w:val="0"/>
            <w:vAlign w:val="center"/>
          </w:tcPr>
          <w:p>
            <w:pPr>
              <w:snapToGrid w:val="0"/>
              <w:spacing w:before="0" w:after="0" w:line="360" w:lineRule="auto"/>
              <w:ind w:firstLine="0" w:firstLineChars="0"/>
              <w:rPr>
                <w:rFonts w:hint="eastAsia" w:ascii="宋体" w:hAnsi="宋体" w:eastAsia="宋体" w:cs="宋体"/>
                <w:color w:val="auto"/>
                <w:szCs w:val="21"/>
              </w:rPr>
            </w:pPr>
          </w:p>
        </w:tc>
        <w:tc>
          <w:tcPr>
            <w:tcW w:w="1073" w:type="dxa"/>
            <w:noWrap w:val="0"/>
            <w:vAlign w:val="center"/>
          </w:tcPr>
          <w:p>
            <w:pPr>
              <w:spacing w:before="0" w:after="0" w:line="240" w:lineRule="auto"/>
              <w:ind w:firstLine="0" w:firstLineChars="0"/>
              <w:jc w:val="center"/>
              <w:rPr>
                <w:rFonts w:hint="eastAsia" w:ascii="宋体" w:hAnsi="宋体" w:eastAsia="宋体" w:cs="宋体"/>
                <w:color w:val="auto"/>
                <w:szCs w:val="21"/>
              </w:rPr>
            </w:pPr>
          </w:p>
        </w:tc>
        <w:tc>
          <w:tcPr>
            <w:tcW w:w="714" w:type="dxa"/>
            <w:noWrap w:val="0"/>
            <w:vAlign w:val="center"/>
          </w:tcPr>
          <w:p>
            <w:pPr>
              <w:spacing w:before="0" w:after="0" w:line="240" w:lineRule="auto"/>
              <w:ind w:firstLine="0" w:firstLineChars="0"/>
              <w:jc w:val="center"/>
              <w:rPr>
                <w:rFonts w:hint="eastAsia" w:ascii="宋体" w:hAnsi="宋体" w:eastAsia="宋体" w:cs="宋体"/>
                <w:color w:val="auto"/>
                <w:szCs w:val="21"/>
              </w:rPr>
            </w:pPr>
          </w:p>
        </w:tc>
        <w:tc>
          <w:tcPr>
            <w:tcW w:w="1545" w:type="dxa"/>
            <w:noWrap w:val="0"/>
            <w:vAlign w:val="center"/>
          </w:tcPr>
          <w:p>
            <w:pPr>
              <w:snapToGrid w:val="0"/>
              <w:spacing w:before="0" w:after="0" w:line="360" w:lineRule="auto"/>
              <w:ind w:firstLine="0" w:firstLineChars="0"/>
              <w:rPr>
                <w:rFonts w:hint="eastAsia" w:ascii="宋体" w:hAnsi="宋体" w:eastAsia="宋体" w:cs="宋体"/>
                <w:color w:val="auto"/>
                <w:szCs w:val="21"/>
              </w:rPr>
            </w:pPr>
          </w:p>
        </w:tc>
        <w:tc>
          <w:tcPr>
            <w:tcW w:w="1741" w:type="dxa"/>
            <w:noWrap w:val="0"/>
            <w:vAlign w:val="center"/>
          </w:tcPr>
          <w:p>
            <w:pPr>
              <w:snapToGrid w:val="0"/>
              <w:spacing w:before="0" w:after="0" w:line="360" w:lineRule="auto"/>
              <w:ind w:firstLine="0" w:firstLineChars="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0"/>
            <w:vAlign w:val="center"/>
          </w:tcPr>
          <w:p>
            <w:pPr>
              <w:spacing w:before="0" w:after="0" w:line="240" w:lineRule="auto"/>
              <w:ind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50</w:t>
            </w:r>
          </w:p>
        </w:tc>
        <w:tc>
          <w:tcPr>
            <w:tcW w:w="1232" w:type="dxa"/>
            <w:noWrap w:val="0"/>
            <w:vAlign w:val="center"/>
          </w:tcPr>
          <w:p>
            <w:pPr>
              <w:spacing w:before="0" w:after="0" w:line="240" w:lineRule="auto"/>
              <w:ind w:firstLine="0" w:firstLineChars="0"/>
              <w:jc w:val="center"/>
              <w:rPr>
                <w:rFonts w:hint="eastAsia" w:ascii="宋体" w:hAnsi="宋体" w:eastAsia="宋体" w:cs="宋体"/>
                <w:color w:val="auto"/>
                <w:szCs w:val="21"/>
              </w:rPr>
            </w:pPr>
          </w:p>
        </w:tc>
        <w:tc>
          <w:tcPr>
            <w:tcW w:w="1445" w:type="dxa"/>
            <w:noWrap w:val="0"/>
            <w:vAlign w:val="center"/>
          </w:tcPr>
          <w:p>
            <w:pPr>
              <w:snapToGrid w:val="0"/>
              <w:spacing w:before="0" w:after="0" w:line="360" w:lineRule="auto"/>
              <w:ind w:firstLine="0" w:firstLineChars="0"/>
              <w:rPr>
                <w:rFonts w:hint="eastAsia" w:ascii="宋体" w:hAnsi="宋体" w:eastAsia="宋体" w:cs="宋体"/>
                <w:color w:val="auto"/>
                <w:szCs w:val="21"/>
              </w:rPr>
            </w:pPr>
          </w:p>
        </w:tc>
        <w:tc>
          <w:tcPr>
            <w:tcW w:w="1483" w:type="dxa"/>
            <w:noWrap w:val="0"/>
            <w:vAlign w:val="center"/>
          </w:tcPr>
          <w:p>
            <w:pPr>
              <w:snapToGrid w:val="0"/>
              <w:spacing w:before="0" w:after="0" w:line="360" w:lineRule="auto"/>
              <w:ind w:firstLine="0" w:firstLineChars="0"/>
              <w:rPr>
                <w:rFonts w:hint="eastAsia" w:ascii="宋体" w:hAnsi="宋体" w:eastAsia="宋体" w:cs="宋体"/>
                <w:color w:val="auto"/>
                <w:szCs w:val="21"/>
              </w:rPr>
            </w:pPr>
          </w:p>
        </w:tc>
        <w:tc>
          <w:tcPr>
            <w:tcW w:w="1073" w:type="dxa"/>
            <w:noWrap w:val="0"/>
            <w:vAlign w:val="center"/>
          </w:tcPr>
          <w:p>
            <w:pPr>
              <w:spacing w:before="0" w:after="0" w:line="240" w:lineRule="auto"/>
              <w:ind w:firstLine="0" w:firstLineChars="0"/>
              <w:jc w:val="center"/>
              <w:rPr>
                <w:rFonts w:hint="eastAsia" w:ascii="宋体" w:hAnsi="宋体" w:eastAsia="宋体" w:cs="宋体"/>
                <w:color w:val="auto"/>
                <w:szCs w:val="21"/>
              </w:rPr>
            </w:pPr>
          </w:p>
        </w:tc>
        <w:tc>
          <w:tcPr>
            <w:tcW w:w="714" w:type="dxa"/>
            <w:noWrap w:val="0"/>
            <w:vAlign w:val="center"/>
          </w:tcPr>
          <w:p>
            <w:pPr>
              <w:spacing w:before="0" w:after="0" w:line="240" w:lineRule="auto"/>
              <w:ind w:firstLine="0" w:firstLineChars="0"/>
              <w:jc w:val="center"/>
              <w:rPr>
                <w:rFonts w:hint="eastAsia" w:ascii="宋体" w:hAnsi="宋体" w:eastAsia="宋体" w:cs="宋体"/>
                <w:color w:val="auto"/>
                <w:szCs w:val="21"/>
              </w:rPr>
            </w:pPr>
          </w:p>
        </w:tc>
        <w:tc>
          <w:tcPr>
            <w:tcW w:w="1545" w:type="dxa"/>
            <w:noWrap w:val="0"/>
            <w:vAlign w:val="center"/>
          </w:tcPr>
          <w:p>
            <w:pPr>
              <w:snapToGrid w:val="0"/>
              <w:spacing w:before="0" w:after="0" w:line="360" w:lineRule="auto"/>
              <w:ind w:firstLine="0" w:firstLineChars="0"/>
              <w:rPr>
                <w:rFonts w:hint="eastAsia" w:ascii="宋体" w:hAnsi="宋体" w:eastAsia="宋体" w:cs="宋体"/>
                <w:color w:val="auto"/>
                <w:szCs w:val="21"/>
              </w:rPr>
            </w:pPr>
          </w:p>
        </w:tc>
        <w:tc>
          <w:tcPr>
            <w:tcW w:w="1741" w:type="dxa"/>
            <w:noWrap w:val="0"/>
            <w:vAlign w:val="center"/>
          </w:tcPr>
          <w:p>
            <w:pPr>
              <w:snapToGrid w:val="0"/>
              <w:spacing w:before="0" w:after="0" w:line="360" w:lineRule="auto"/>
              <w:ind w:firstLine="0" w:firstLineChars="0"/>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201" w:type="dxa"/>
            <w:gridSpan w:val="7"/>
            <w:noWrap w:val="0"/>
            <w:vAlign w:val="center"/>
          </w:tcPr>
          <w:p>
            <w:pPr>
              <w:snapToGrid w:val="0"/>
              <w:spacing w:before="0" w:after="0" w:line="360" w:lineRule="auto"/>
              <w:ind w:firstLine="0" w:firstLineChars="0"/>
              <w:rPr>
                <w:rFonts w:hint="eastAsia" w:ascii="宋体" w:hAnsi="宋体" w:eastAsia="宋体" w:cs="宋体"/>
                <w:color w:val="auto"/>
                <w:szCs w:val="21"/>
              </w:rPr>
            </w:pPr>
            <w:r>
              <w:rPr>
                <w:rFonts w:hint="eastAsia" w:ascii="宋体" w:hAnsi="宋体" w:eastAsia="宋体" w:cs="宋体"/>
                <w:color w:val="auto"/>
                <w:szCs w:val="21"/>
              </w:rPr>
              <w:t xml:space="preserve">                                                         合   计</w:t>
            </w:r>
          </w:p>
        </w:tc>
        <w:tc>
          <w:tcPr>
            <w:tcW w:w="1741" w:type="dxa"/>
            <w:noWrap w:val="0"/>
            <w:vAlign w:val="center"/>
          </w:tcPr>
          <w:p>
            <w:pPr>
              <w:snapToGrid w:val="0"/>
              <w:spacing w:before="0" w:after="0" w:line="360" w:lineRule="auto"/>
              <w:ind w:firstLine="0" w:firstLineChars="0"/>
              <w:rPr>
                <w:rFonts w:hint="eastAsia" w:ascii="宋体" w:hAnsi="宋体" w:eastAsia="宋体" w:cs="宋体"/>
                <w:color w:val="auto"/>
                <w:szCs w:val="21"/>
              </w:rPr>
            </w:pPr>
          </w:p>
        </w:tc>
      </w:tr>
    </w:tbl>
    <w:p>
      <w:pPr>
        <w:keepNext w:val="0"/>
        <w:keepLines w:val="0"/>
        <w:pageBreakBefore w:val="0"/>
        <w:widowControl w:val="0"/>
        <w:kinsoku/>
        <w:wordWrap/>
        <w:overflowPunct/>
        <w:topLinePunct w:val="0"/>
        <w:autoSpaceDE/>
        <w:autoSpaceDN/>
        <w:bidi w:val="0"/>
        <w:adjustRightInd/>
        <w:snapToGrid/>
        <w:spacing w:before="0" w:after="0" w:line="400" w:lineRule="exact"/>
        <w:ind w:firstLine="411" w:firstLineChars="196"/>
        <w:textAlignment w:val="auto"/>
        <w:rPr>
          <w:rFonts w:hint="eastAsia" w:ascii="宋体" w:hAnsi="宋体" w:cs="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before="0" w:after="0" w:line="400" w:lineRule="exact"/>
        <w:ind w:firstLine="411" w:firstLineChars="196"/>
        <w:textAlignment w:val="auto"/>
        <w:rPr>
          <w:rFonts w:ascii="宋体" w:hAnsi="宋体" w:cs="宋体"/>
          <w:color w:val="auto"/>
          <w:szCs w:val="21"/>
          <w:highlight w:val="none"/>
        </w:rPr>
      </w:pPr>
      <w:r>
        <w:rPr>
          <w:rFonts w:hint="eastAsia" w:ascii="宋体" w:hAnsi="宋体" w:cs="宋体"/>
          <w:color w:val="auto"/>
          <w:szCs w:val="21"/>
          <w:highlight w:val="none"/>
        </w:rPr>
        <w:t>根据《成交通知书》的成交内容，合同的总金额为：（大写）</w:t>
      </w:r>
      <w:r>
        <w:rPr>
          <w:rFonts w:hint="eastAsia" w:ascii="宋体" w:hAnsi="宋体" w:cs="宋体"/>
          <w:color w:val="auto"/>
          <w:szCs w:val="21"/>
          <w:highlight w:val="none"/>
          <w:u w:val="single"/>
        </w:rPr>
        <w:t>　　　　　　　　　　　　　　　　　</w:t>
      </w:r>
      <w:r>
        <w:rPr>
          <w:rFonts w:hint="eastAsia" w:ascii="宋体" w:hAnsi="宋体" w:cs="宋体"/>
          <w:color w:val="auto"/>
          <w:szCs w:val="21"/>
          <w:highlight w:val="none"/>
        </w:rPr>
        <w:t>人民币（￥</w:t>
      </w:r>
      <w:r>
        <w:rPr>
          <w:rFonts w:hint="eastAsia" w:ascii="宋体" w:hAnsi="宋体" w:cs="宋体"/>
          <w:color w:val="auto"/>
          <w:szCs w:val="21"/>
          <w:highlight w:val="none"/>
          <w:u w:val="single"/>
        </w:rPr>
        <w:t>　　　　　　　　　　　　　　　</w:t>
      </w:r>
      <w:r>
        <w:rPr>
          <w:rFonts w:hint="eastAsia" w:ascii="宋体" w:hAnsi="宋体" w:cs="宋体"/>
          <w:color w:val="auto"/>
          <w:szCs w:val="21"/>
          <w:highlight w:val="none"/>
        </w:rPr>
        <w:t>元）</w:t>
      </w:r>
    </w:p>
    <w:p>
      <w:pPr>
        <w:spacing w:line="400" w:lineRule="exact"/>
        <w:ind w:firstLine="411" w:firstLineChars="196"/>
        <w:rPr>
          <w:rFonts w:hint="eastAsia" w:ascii="宋体" w:hAnsi="宋体" w:eastAsia="宋体" w:cs="宋体"/>
          <w:b/>
          <w:color w:val="auto"/>
          <w:szCs w:val="21"/>
        </w:rPr>
      </w:pPr>
      <w:r>
        <w:rPr>
          <w:rFonts w:hint="eastAsia" w:ascii="宋体" w:hAnsi="宋体" w:eastAsia="宋体" w:cs="宋体"/>
          <w:b/>
          <w:color w:val="auto"/>
          <w:szCs w:val="21"/>
        </w:rPr>
        <w:t>第二条  质量保证</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1. 乙方应按响应文件承诺的货物型号、技术规格、技术参数、性能、配置、质量标准向甲方提供未经使用的全新原装产品，且在正常安装、使用和保养条件下，其使用寿命期内各项指标均达到质量标准。乙方提供的节能和环境标志产品必须是列入现行政府采购清单目录内的产品。</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2. 乙方提供货物的质量保证期为自交货物验收合格之日起至十二个月内止（厂家规定质保期超过一年的，按厂家规定，“货物采购需求”有规定的，按规定执行）。在质保期内因货物本身的质量问题发生故障，乙方应负责免费修理和更换零部件。对达不到技术要求者，根据实际情况，经双方协商，可按以下办法处理：</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（1）更换：由乙方承担所有发生的全部费用。</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（2）贬值处理：由甲乙双方合议定价。</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（3）退货处理：乙方应退还甲方支付的合同款，同时应承担该货物的直接费用（运输、保险、检验、贷款利息及银行手续费等）。</w:t>
      </w:r>
    </w:p>
    <w:p>
      <w:pPr>
        <w:spacing w:line="400" w:lineRule="exact"/>
        <w:ind w:firstLine="411" w:firstLineChars="196"/>
        <w:rPr>
          <w:rFonts w:hint="eastAsia" w:ascii="宋体" w:hAnsi="宋体" w:eastAsia="宋体" w:cs="宋体"/>
          <w:b/>
          <w:color w:val="auto"/>
          <w:szCs w:val="21"/>
        </w:rPr>
      </w:pPr>
      <w:r>
        <w:rPr>
          <w:rFonts w:hint="eastAsia" w:ascii="宋体" w:hAnsi="宋体" w:eastAsia="宋体" w:cs="宋体"/>
          <w:b/>
          <w:color w:val="auto"/>
          <w:szCs w:val="21"/>
        </w:rPr>
        <w:t>第三条  权力保证</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1. 乙方应保证所提供货物在使用时不会侵犯任何第三方的专利权、商标权、工业设计权或其他权利。</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2. 乙方应按</w:t>
      </w:r>
      <w:r>
        <w:rPr>
          <w:rFonts w:hint="eastAsia" w:ascii="宋体" w:hAnsi="宋体" w:cs="宋体"/>
          <w:color w:val="auto"/>
          <w:highlight w:val="none"/>
          <w:lang w:eastAsia="zh-CN"/>
        </w:rPr>
        <w:t>磋商</w:t>
      </w:r>
      <w:r>
        <w:rPr>
          <w:rFonts w:hint="eastAsia" w:ascii="宋体" w:hAnsi="宋体" w:cs="宋体"/>
          <w:color w:val="auto"/>
          <w:highlight w:val="none"/>
        </w:rPr>
        <w:t>文件规定的时间向甲方提供使用货物的有关技术资料。</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3. 乙方保证所交付的货物的所有权完全属于乙方且无任何抵押、质押、查封等产权瑕疵。</w:t>
      </w:r>
    </w:p>
    <w:p>
      <w:pPr>
        <w:spacing w:line="400" w:lineRule="exact"/>
        <w:ind w:firstLine="420" w:firstLineChars="200"/>
        <w:rPr>
          <w:rFonts w:hint="eastAsia" w:ascii="宋体" w:hAnsi="宋体" w:eastAsia="宋体" w:cs="宋体"/>
          <w:b/>
          <w:color w:val="auto"/>
          <w:szCs w:val="21"/>
        </w:rPr>
      </w:pPr>
      <w:r>
        <w:rPr>
          <w:rFonts w:hint="eastAsia" w:ascii="宋体" w:hAnsi="宋体" w:eastAsia="宋体" w:cs="宋体"/>
          <w:b/>
          <w:color w:val="auto"/>
          <w:szCs w:val="21"/>
        </w:rPr>
        <w:t>第四条  货物包装、运输</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1. 乙方应在货物发运前对其进行满足运输距离、防潮、防震、防锈和防破损装卸等要求包装，以保证货物安全运达甲方指定地点。</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2. 使用说明书（货物属于进口产品的，供货时应同时附上中文使用说明书）、质量检验证明书、随配附</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件和工具以及清单一并附于货物内。</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3. 乙方在货物发运手续办理完毕后二十四小时内或货到甲方四十八小时前通知甲方，以准备接货。</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4. 货物在交付甲方前发生的风险均由乙方负责。</w:t>
      </w:r>
    </w:p>
    <w:p>
      <w:pPr>
        <w:spacing w:line="400" w:lineRule="exact"/>
        <w:ind w:firstLine="411" w:firstLineChars="196"/>
        <w:rPr>
          <w:rFonts w:hint="eastAsia" w:ascii="宋体" w:hAnsi="宋体" w:eastAsia="宋体" w:cs="宋体"/>
          <w:b/>
          <w:color w:val="auto"/>
          <w:szCs w:val="21"/>
        </w:rPr>
      </w:pPr>
      <w:r>
        <w:rPr>
          <w:rFonts w:hint="eastAsia" w:ascii="宋体" w:hAnsi="宋体" w:eastAsia="宋体" w:cs="宋体"/>
          <w:b/>
          <w:color w:val="auto"/>
          <w:szCs w:val="21"/>
        </w:rPr>
        <w:t>第五条  交付</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1. 交付时间：</w:t>
      </w:r>
      <w:r>
        <w:rPr>
          <w:rFonts w:hint="eastAsia" w:ascii="宋体" w:hAnsi="宋体" w:cs="宋体"/>
          <w:color w:val="auto"/>
          <w:highlight w:val="none"/>
          <w:u w:val="single"/>
        </w:rPr>
        <w:t xml:space="preserve">                 </w:t>
      </w:r>
      <w:r>
        <w:rPr>
          <w:rFonts w:hint="eastAsia" w:ascii="宋体" w:hAnsi="宋体" w:cs="宋体"/>
          <w:color w:val="auto"/>
          <w:highlight w:val="none"/>
        </w:rPr>
        <w:t>；交付地点：</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2. 乙方提供不符合</w:t>
      </w:r>
      <w:r>
        <w:rPr>
          <w:rFonts w:hint="eastAsia" w:ascii="宋体" w:hAnsi="宋体" w:cs="宋体"/>
          <w:color w:val="auto"/>
          <w:highlight w:val="none"/>
          <w:lang w:eastAsia="zh-CN"/>
        </w:rPr>
        <w:t>磋商</w:t>
      </w:r>
      <w:r>
        <w:rPr>
          <w:rFonts w:hint="eastAsia" w:ascii="宋体" w:hAnsi="宋体" w:cs="宋体"/>
          <w:color w:val="auto"/>
          <w:highlight w:val="none"/>
        </w:rPr>
        <w:t>文件、响应文件和本合同规定的货物，甲方有权拒绝接受。</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3. 乙方应将所有提供货物的装箱清单、用户手册、原厂保修卡、随机资料、工具和备用、备件等交付给甲方，货物属于进口产品的，供货时应同时附上中文使用说明书，如有缺失应及时补齐，否则视为逾期交货。</w:t>
      </w:r>
    </w:p>
    <w:p>
      <w:pPr>
        <w:spacing w:line="400" w:lineRule="exact"/>
        <w:ind w:left="413"/>
        <w:rPr>
          <w:rFonts w:hint="eastAsia" w:ascii="宋体" w:hAnsi="宋体" w:eastAsia="宋体" w:cs="宋体"/>
          <w:b/>
          <w:color w:val="auto"/>
          <w:szCs w:val="21"/>
        </w:rPr>
      </w:pPr>
      <w:r>
        <w:rPr>
          <w:rFonts w:hint="eastAsia" w:ascii="宋体" w:hAnsi="宋体" w:eastAsia="宋体" w:cs="宋体"/>
          <w:b/>
          <w:color w:val="auto"/>
          <w:szCs w:val="21"/>
        </w:rPr>
        <w:t>第六条  调试和验收</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1. 乙方交货前应对产品做出全面的检查和对验收文件进行整理，并列出清单，作为甲方验收和使用的技术条件依据，验收的结果应随货物交甲方。</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2. 货物安装调试完成后，甲方应在七个工作日内依据</w:t>
      </w:r>
      <w:r>
        <w:rPr>
          <w:rFonts w:hint="eastAsia" w:ascii="宋体" w:hAnsi="宋体" w:cs="宋体"/>
          <w:color w:val="auto"/>
          <w:highlight w:val="none"/>
          <w:lang w:eastAsia="zh-CN"/>
        </w:rPr>
        <w:t>磋商</w:t>
      </w:r>
      <w:r>
        <w:rPr>
          <w:rFonts w:hint="eastAsia" w:ascii="宋体" w:hAnsi="宋体" w:cs="宋体"/>
          <w:color w:val="auto"/>
          <w:highlight w:val="none"/>
        </w:rPr>
        <w:t>文件、响应文件的技术规格要求及承诺和国家有关质量标准对货物进行现场验收，验收合格后由甲乙双方签署货物验收单并加盖公章，甲乙双方各执一份。</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3. 甲方对乙方提供的货物在使用前进行调试时，乙方需负责安装并培训甲方的使用操作人员，并协助甲方一起调试，直到符合技术要求，甲方才做最终验收。</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4.对技术复杂的货物，甲方应请国家认可的专业检测机构参与初步验收及最终验收，并由其出具质量检测报告。</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5. 验收时乙方必须在现场，验收完毕后作出验收结果报告，验收费用由乙方负责。</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6. 甲方对验收有异议的，在验收后五个工作日内以书面形式向乙方提出，乙方应自收到甲方书面异议后　　　日内及时予以解决。</w:t>
      </w:r>
    </w:p>
    <w:p>
      <w:pPr>
        <w:spacing w:line="400" w:lineRule="exact"/>
        <w:ind w:firstLine="411" w:firstLineChars="196"/>
        <w:rPr>
          <w:rFonts w:hint="eastAsia" w:ascii="宋体" w:hAnsi="宋体" w:eastAsia="宋体" w:cs="宋体"/>
          <w:b/>
          <w:color w:val="auto"/>
          <w:szCs w:val="21"/>
        </w:rPr>
      </w:pPr>
      <w:r>
        <w:rPr>
          <w:rFonts w:hint="eastAsia" w:ascii="宋体" w:hAnsi="宋体" w:eastAsia="宋体" w:cs="宋体"/>
          <w:b/>
          <w:color w:val="auto"/>
          <w:szCs w:val="21"/>
        </w:rPr>
        <w:t>第七条  安装和培训</w:t>
      </w:r>
    </w:p>
    <w:p>
      <w:pPr>
        <w:spacing w:before="0" w:after="0" w:line="400" w:lineRule="exact"/>
        <w:ind w:firstLine="420"/>
        <w:rPr>
          <w:rFonts w:hint="eastAsia" w:ascii="宋体" w:hAnsi="宋体" w:cs="宋体"/>
          <w:color w:val="auto"/>
          <w:highlight w:val="none"/>
        </w:rPr>
      </w:pPr>
      <w:r>
        <w:rPr>
          <w:rFonts w:hint="eastAsia" w:ascii="宋体" w:hAnsi="宋体" w:eastAsia="宋体" w:cs="宋体"/>
          <w:color w:val="auto"/>
          <w:szCs w:val="21"/>
        </w:rPr>
        <w:t xml:space="preserve"> </w:t>
      </w:r>
      <w:r>
        <w:rPr>
          <w:rFonts w:hint="eastAsia" w:ascii="宋体" w:hAnsi="宋体" w:cs="宋体"/>
          <w:color w:val="auto"/>
          <w:highlight w:val="none"/>
        </w:rPr>
        <w:t>1. 甲方应提供必要安装条件（如场地、电源、水源等）。</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 xml:space="preserve"> 2. 乙方负责甲方有关人员的培训。培训时间、地点：</w:t>
      </w:r>
      <w:r>
        <w:rPr>
          <w:rFonts w:hint="eastAsia" w:ascii="宋体" w:hAnsi="宋体" w:cs="宋体"/>
          <w:color w:val="auto"/>
          <w:highlight w:val="none"/>
          <w:u w:val="single"/>
        </w:rPr>
        <w:t>采购人指定时间地点</w:t>
      </w:r>
      <w:r>
        <w:rPr>
          <w:rFonts w:hint="eastAsia" w:ascii="宋体" w:hAnsi="宋体" w:cs="宋体"/>
          <w:color w:val="auto"/>
          <w:highlight w:val="none"/>
        </w:rPr>
        <w:t>。</w:t>
      </w:r>
    </w:p>
    <w:p>
      <w:pPr>
        <w:spacing w:line="400" w:lineRule="exact"/>
        <w:ind w:firstLine="411" w:firstLineChars="196"/>
        <w:rPr>
          <w:rFonts w:hint="eastAsia" w:ascii="宋体" w:hAnsi="宋体" w:eastAsia="宋体" w:cs="宋体"/>
          <w:b/>
          <w:color w:val="auto"/>
          <w:szCs w:val="21"/>
        </w:rPr>
      </w:pPr>
      <w:r>
        <w:rPr>
          <w:rFonts w:hint="eastAsia" w:ascii="宋体" w:hAnsi="宋体" w:eastAsia="宋体" w:cs="宋体"/>
          <w:b/>
          <w:color w:val="auto"/>
          <w:szCs w:val="21"/>
        </w:rPr>
        <w:t>第八条  售后服务</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1. 乙方应按照国家有关法律规定和“三包”规定以及响应文件和本合同所附的《服务承诺》，为甲方提供售后服务。</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2. 如在使用过程中发生质量问题，乙方在接到甲方通知后在响应文件承诺的时间内到达甲方现场处理。</w:t>
      </w:r>
    </w:p>
    <w:p>
      <w:pPr>
        <w:spacing w:before="0" w:after="0" w:line="400" w:lineRule="exact"/>
        <w:ind w:firstLine="420"/>
        <w:rPr>
          <w:rFonts w:hint="eastAsia" w:ascii="宋体" w:hAnsi="宋体" w:eastAsia="宋体" w:cs="宋体"/>
          <w:color w:val="auto"/>
          <w:szCs w:val="21"/>
        </w:rPr>
      </w:pPr>
      <w:r>
        <w:rPr>
          <w:rFonts w:hint="eastAsia" w:ascii="宋体" w:hAnsi="宋体" w:cs="宋体"/>
          <w:color w:val="auto"/>
          <w:highlight w:val="none"/>
        </w:rPr>
        <w:t>3. 在质保期内，乙方应对货物出现的质量及安全问题负责处理解决并承担一切费用。</w:t>
      </w:r>
    </w:p>
    <w:p>
      <w:pPr>
        <w:spacing w:line="400" w:lineRule="exact"/>
        <w:ind w:firstLine="411" w:firstLineChars="196"/>
        <w:rPr>
          <w:rFonts w:hint="eastAsia" w:ascii="宋体" w:hAnsi="宋体" w:eastAsia="宋体" w:cs="宋体"/>
          <w:b/>
          <w:color w:val="auto"/>
          <w:szCs w:val="21"/>
        </w:rPr>
      </w:pPr>
      <w:r>
        <w:rPr>
          <w:rFonts w:hint="eastAsia" w:ascii="宋体" w:hAnsi="宋体" w:eastAsia="宋体" w:cs="宋体"/>
          <w:b/>
          <w:color w:val="auto"/>
          <w:szCs w:val="21"/>
        </w:rPr>
        <w:t>第九条  税费</w:t>
      </w:r>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本合同执行中相关的一切税费均由乙方负担。</w:t>
      </w:r>
    </w:p>
    <w:p>
      <w:pPr>
        <w:spacing w:line="400" w:lineRule="exact"/>
        <w:ind w:firstLine="411" w:firstLineChars="196"/>
        <w:rPr>
          <w:rFonts w:hint="eastAsia" w:ascii="宋体" w:hAnsi="宋体" w:eastAsia="宋体" w:cs="宋体"/>
          <w:b/>
          <w:color w:val="auto"/>
          <w:szCs w:val="21"/>
        </w:rPr>
      </w:pPr>
      <w:r>
        <w:rPr>
          <w:rFonts w:hint="eastAsia" w:ascii="宋体" w:hAnsi="宋体" w:eastAsia="宋体" w:cs="宋体"/>
          <w:b/>
          <w:color w:val="auto"/>
          <w:szCs w:val="21"/>
        </w:rPr>
        <w:t>第十条  付款方式</w:t>
      </w:r>
    </w:p>
    <w:p>
      <w:pPr>
        <w:spacing w:line="400" w:lineRule="exact"/>
        <w:ind w:firstLine="411" w:firstLineChars="196"/>
        <w:rPr>
          <w:rFonts w:hint="eastAsia" w:ascii="宋体" w:hAnsi="宋体" w:cs="宋体"/>
          <w:kern w:val="0"/>
          <w:szCs w:val="21"/>
        </w:rPr>
      </w:pPr>
      <w:r>
        <w:rPr>
          <w:rFonts w:hint="eastAsia" w:ascii="宋体" w:hAnsi="宋体" w:cs="宋体"/>
          <w:kern w:val="0"/>
          <w:szCs w:val="21"/>
          <w:lang w:eastAsia="zh-CN"/>
        </w:rPr>
        <w:t>甲乙双方签订合同后甲方即付合同金额的</w:t>
      </w:r>
      <w:r>
        <w:rPr>
          <w:rFonts w:hint="eastAsia" w:ascii="宋体" w:hAnsi="宋体" w:cs="宋体"/>
          <w:kern w:val="0"/>
          <w:szCs w:val="21"/>
          <w:lang w:val="en-US" w:eastAsia="zh-CN"/>
        </w:rPr>
        <w:t>30%，余款70%验收合格后一次性付清，履约保证金转为产品质保金，质保期满后质保金退回（无息）</w:t>
      </w:r>
      <w:r>
        <w:rPr>
          <w:rFonts w:hint="eastAsia" w:ascii="宋体" w:hAnsi="宋体" w:cs="宋体"/>
          <w:kern w:val="0"/>
          <w:szCs w:val="21"/>
        </w:rPr>
        <w:t>。</w:t>
      </w:r>
    </w:p>
    <w:p>
      <w:pPr>
        <w:spacing w:line="400" w:lineRule="exact"/>
        <w:ind w:firstLine="411" w:firstLineChars="196"/>
        <w:rPr>
          <w:rFonts w:hint="eastAsia" w:ascii="宋体" w:hAnsi="宋体" w:eastAsia="宋体" w:cs="宋体"/>
          <w:b/>
          <w:color w:val="auto"/>
          <w:szCs w:val="21"/>
        </w:rPr>
      </w:pPr>
      <w:r>
        <w:rPr>
          <w:rFonts w:hint="eastAsia" w:ascii="宋体" w:hAnsi="宋体" w:eastAsia="宋体" w:cs="宋体"/>
          <w:b/>
          <w:color w:val="auto"/>
          <w:szCs w:val="21"/>
        </w:rPr>
        <w:t>第十一条  违约责任</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1. 乙方所提供的货物规格、技术标准、材料等质量不合格的，应及时更换，更换不及时的按逾期交货处罚，乙方应向甲方支付合同金额</w:t>
      </w:r>
      <w:r>
        <w:rPr>
          <w:rFonts w:hint="eastAsia" w:ascii="宋体" w:hAnsi="宋体" w:cs="宋体"/>
          <w:color w:val="auto"/>
          <w:highlight w:val="none"/>
          <w:u w:val="single"/>
        </w:rPr>
        <w:t>　5　</w:t>
      </w:r>
      <w:r>
        <w:rPr>
          <w:rFonts w:hint="eastAsia" w:ascii="宋体" w:hAnsi="宋体" w:cs="宋体"/>
          <w:color w:val="auto"/>
          <w:highlight w:val="none"/>
        </w:rPr>
        <w:t>%违约金并赔偿甲方经济损失。</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2. 乙方提供的货物如果侵犯了第三方合法权益而引发的任何纠纷或诉讼，均由乙方负责交涉并承担全部责任。</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3. 因包装、运输引起的货物损坏，按质量不合格处理。</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lang w:val="en-US" w:eastAsia="zh-CN"/>
        </w:rPr>
        <w:t>4</w:t>
      </w:r>
      <w:r>
        <w:rPr>
          <w:rFonts w:hint="eastAsia" w:ascii="宋体" w:hAnsi="宋体" w:cs="宋体"/>
          <w:color w:val="auto"/>
          <w:highlight w:val="none"/>
        </w:rPr>
        <w:t>. 乙方未按本合同和响应文件中规定的服务承诺提供售后服务的，乙方应按本合同合同金额　5　%向甲方支付违约金。</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lang w:val="en-US" w:eastAsia="zh-CN"/>
        </w:rPr>
        <w:t>5</w:t>
      </w:r>
      <w:r>
        <w:rPr>
          <w:rFonts w:hint="eastAsia" w:ascii="宋体" w:hAnsi="宋体" w:cs="宋体"/>
          <w:color w:val="auto"/>
          <w:highlight w:val="none"/>
        </w:rPr>
        <w:t>. 乙方提供的货物在质保期内，因设计、工艺或材料的缺陷和其他质量原因造成的问题，由乙方负责，费用从质量保证金中扣除，不足另补。</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lang w:val="en-US" w:eastAsia="zh-CN"/>
        </w:rPr>
        <w:t>6</w:t>
      </w:r>
      <w:r>
        <w:rPr>
          <w:rFonts w:hint="eastAsia" w:ascii="宋体" w:hAnsi="宋体" w:cs="宋体"/>
          <w:color w:val="auto"/>
          <w:highlight w:val="none"/>
        </w:rPr>
        <w:t>. 其他违约行为按违约货款额</w:t>
      </w:r>
      <w:r>
        <w:rPr>
          <w:rFonts w:hint="eastAsia" w:ascii="宋体" w:hAnsi="宋体" w:cs="宋体"/>
          <w:color w:val="auto"/>
          <w:highlight w:val="none"/>
          <w:u w:val="single"/>
        </w:rPr>
        <w:t>　5　</w:t>
      </w:r>
      <w:r>
        <w:rPr>
          <w:rFonts w:hint="eastAsia" w:ascii="宋体" w:hAnsi="宋体" w:cs="宋体"/>
          <w:color w:val="auto"/>
          <w:highlight w:val="none"/>
        </w:rPr>
        <w:t>%收取违约金并赔偿经济损失。</w:t>
      </w:r>
    </w:p>
    <w:p>
      <w:pPr>
        <w:spacing w:line="400" w:lineRule="exact"/>
        <w:ind w:firstLine="411" w:firstLineChars="196"/>
        <w:rPr>
          <w:rFonts w:hint="eastAsia" w:ascii="宋体" w:hAnsi="宋体" w:eastAsia="宋体" w:cs="宋体"/>
          <w:b/>
          <w:color w:val="auto"/>
          <w:szCs w:val="21"/>
        </w:rPr>
      </w:pPr>
      <w:r>
        <w:rPr>
          <w:rFonts w:hint="eastAsia" w:ascii="宋体" w:hAnsi="宋体" w:eastAsia="宋体" w:cs="宋体"/>
          <w:b/>
          <w:color w:val="auto"/>
          <w:szCs w:val="21"/>
        </w:rPr>
        <w:t>第十二条  不可抗力事件处理</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1. 在合同有效期内，乙方因不可抗力事件导致不能履行合同，则合同履行期可延长，其延长期与不可抗力影响期相同。</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2. 不可抗力事件发生后，应立即通知对方，并寄送有关权威机构出具的证明。</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3. 不可抗力事件延续一百二十天以上，双方应通过友好协商，确定是否继续履行合同。</w:t>
      </w:r>
    </w:p>
    <w:p>
      <w:pPr>
        <w:spacing w:line="400" w:lineRule="exact"/>
        <w:ind w:firstLine="411" w:firstLineChars="196"/>
        <w:rPr>
          <w:rFonts w:hint="eastAsia" w:ascii="宋体" w:hAnsi="宋体" w:eastAsia="宋体" w:cs="宋体"/>
          <w:b/>
          <w:color w:val="auto"/>
          <w:szCs w:val="21"/>
        </w:rPr>
      </w:pPr>
      <w:r>
        <w:rPr>
          <w:rFonts w:hint="eastAsia" w:ascii="宋体" w:hAnsi="宋体" w:eastAsia="宋体" w:cs="宋体"/>
          <w:b/>
          <w:color w:val="auto"/>
          <w:szCs w:val="21"/>
        </w:rPr>
        <w:t>第十三条  合同争议解决</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1. 因货物质量问题发生争议的，应邀请国家认可的质量检测机构对货物质量进行鉴定。货物符合标准的，鉴定费由甲方承担；货物不符合标准的，鉴定费由乙方承担。</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2. 因履行本合同引起的或与本合同有关的争议，甲乙双方应首先通过友好协商解决，如果协商不能解决，可向项目所在地辖区人民法院提起诉讼。</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3. 诉讼期间，本合同继续履行。</w:t>
      </w:r>
    </w:p>
    <w:p>
      <w:pPr>
        <w:spacing w:line="400" w:lineRule="exact"/>
        <w:ind w:firstLine="411" w:firstLineChars="196"/>
        <w:rPr>
          <w:rFonts w:hint="eastAsia" w:ascii="宋体" w:hAnsi="宋体" w:eastAsia="宋体" w:cs="宋体"/>
          <w:b/>
          <w:color w:val="auto"/>
          <w:szCs w:val="21"/>
        </w:rPr>
      </w:pPr>
      <w:r>
        <w:rPr>
          <w:rFonts w:hint="eastAsia" w:ascii="宋体" w:hAnsi="宋体" w:eastAsia="宋体" w:cs="宋体"/>
          <w:b/>
          <w:color w:val="auto"/>
          <w:szCs w:val="21"/>
        </w:rPr>
        <w:t>第十四条  合同生效及其它</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1. 合同经甲乙双方法定代表人、负责人、自然人或相应的授权代表签字并加盖单位公章后生效。</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2. 合同执行中涉及采购资金和采购内容修改或补充的，需经</w:t>
      </w:r>
      <w:r>
        <w:rPr>
          <w:rFonts w:hint="eastAsia" w:ascii="宋体" w:hAnsi="宋体" w:cs="宋体"/>
          <w:color w:val="auto"/>
          <w:highlight w:val="none"/>
          <w:lang w:eastAsia="zh-CN"/>
        </w:rPr>
        <w:t>灌阳县</w:t>
      </w:r>
      <w:r>
        <w:rPr>
          <w:rFonts w:hint="eastAsia" w:ascii="宋体" w:hAnsi="宋体" w:cs="宋体"/>
          <w:color w:val="auto"/>
          <w:highlight w:val="none"/>
        </w:rPr>
        <w:t>财政部门审批，并签订书面补充协议</w:t>
      </w:r>
      <w:r>
        <w:rPr>
          <w:rFonts w:hint="eastAsia" w:ascii="宋体" w:hAnsi="宋体" w:cs="宋体"/>
          <w:color w:val="auto"/>
          <w:highlight w:val="none"/>
          <w:lang w:eastAsia="zh-CN"/>
        </w:rPr>
        <w:t>报灌阳</w:t>
      </w:r>
      <w:r>
        <w:rPr>
          <w:rFonts w:hint="eastAsia" w:ascii="宋体" w:hAnsi="宋体" w:cs="宋体"/>
          <w:color w:val="auto"/>
          <w:highlight w:val="none"/>
        </w:rPr>
        <w:t>人民政府采购管理办公室备案，方可作为主合同不可分割的一部分。</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3. 本合同未尽事宜，遵照《合同法》有关条文执行。</w:t>
      </w:r>
    </w:p>
    <w:p>
      <w:pPr>
        <w:spacing w:line="400" w:lineRule="exact"/>
        <w:ind w:firstLine="411" w:firstLineChars="196"/>
        <w:rPr>
          <w:rFonts w:hint="eastAsia" w:ascii="宋体" w:hAnsi="宋体" w:eastAsia="宋体" w:cs="宋体"/>
          <w:b/>
          <w:color w:val="auto"/>
          <w:szCs w:val="21"/>
        </w:rPr>
      </w:pPr>
      <w:r>
        <w:rPr>
          <w:rFonts w:hint="eastAsia" w:ascii="宋体" w:hAnsi="宋体" w:eastAsia="宋体" w:cs="宋体"/>
          <w:b/>
          <w:color w:val="auto"/>
          <w:szCs w:val="21"/>
        </w:rPr>
        <w:t>第十五条  合同的变更、终止与转让</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1. 除《中华人民共和国政府采购法》第五十条规定的情形外，本合同一经签订，甲乙双方不得擅自变更，中止或终止。</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2. 乙方不得擅自转让其应履行的合同义务。</w:t>
      </w:r>
    </w:p>
    <w:p>
      <w:pPr>
        <w:spacing w:line="400" w:lineRule="exact"/>
        <w:ind w:firstLine="420" w:firstLineChars="200"/>
        <w:rPr>
          <w:rFonts w:hint="eastAsia" w:ascii="宋体" w:hAnsi="宋体" w:eastAsia="宋体" w:cs="宋体"/>
          <w:b/>
          <w:color w:val="auto"/>
          <w:szCs w:val="21"/>
        </w:rPr>
      </w:pPr>
      <w:r>
        <w:rPr>
          <w:rFonts w:hint="eastAsia" w:ascii="宋体" w:hAnsi="宋体" w:eastAsia="宋体" w:cs="宋体"/>
          <w:b/>
          <w:color w:val="auto"/>
          <w:szCs w:val="21"/>
        </w:rPr>
        <w:t>第十六条  签订本合同依据：</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1. 竞争性</w:t>
      </w:r>
      <w:r>
        <w:rPr>
          <w:rFonts w:hint="eastAsia" w:ascii="宋体" w:hAnsi="宋体" w:cs="宋体"/>
          <w:color w:val="auto"/>
          <w:highlight w:val="none"/>
          <w:lang w:eastAsia="zh-CN"/>
        </w:rPr>
        <w:t>磋商采购</w:t>
      </w:r>
      <w:r>
        <w:rPr>
          <w:rFonts w:hint="eastAsia" w:ascii="宋体" w:hAnsi="宋体" w:cs="宋体"/>
          <w:color w:val="auto"/>
          <w:highlight w:val="none"/>
        </w:rPr>
        <w:t>文件；</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2. 乙方提供的响应（或应答）文件；</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3. 售后服务承诺书；</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 xml:space="preserve">4. </w:t>
      </w:r>
      <w:r>
        <w:rPr>
          <w:rFonts w:hint="eastAsia" w:ascii="宋体" w:hAnsi="宋体" w:cs="宋体"/>
          <w:color w:val="auto"/>
          <w:highlight w:val="none"/>
          <w:lang w:eastAsia="zh-CN"/>
        </w:rPr>
        <w:t>磋商</w:t>
      </w:r>
      <w:r>
        <w:rPr>
          <w:rFonts w:hint="eastAsia" w:ascii="宋体" w:hAnsi="宋体" w:cs="宋体"/>
          <w:color w:val="auto"/>
          <w:highlight w:val="none"/>
        </w:rPr>
        <w:t>中的</w:t>
      </w:r>
      <w:r>
        <w:rPr>
          <w:rFonts w:hint="eastAsia" w:ascii="宋体" w:hAnsi="宋体" w:cs="宋体"/>
          <w:color w:val="auto"/>
          <w:highlight w:val="none"/>
          <w:lang w:eastAsia="zh-CN"/>
        </w:rPr>
        <w:t>磋商</w:t>
      </w:r>
      <w:r>
        <w:rPr>
          <w:rFonts w:hint="eastAsia" w:ascii="宋体" w:hAnsi="宋体" w:cs="宋体"/>
          <w:color w:val="auto"/>
          <w:highlight w:val="none"/>
        </w:rPr>
        <w:t>记录；</w:t>
      </w:r>
    </w:p>
    <w:p>
      <w:pPr>
        <w:spacing w:before="0" w:after="0" w:line="400" w:lineRule="exact"/>
        <w:ind w:firstLine="420"/>
        <w:rPr>
          <w:rFonts w:hint="eastAsia" w:ascii="宋体" w:hAnsi="宋体" w:cs="宋体"/>
          <w:color w:val="auto"/>
          <w:highlight w:val="none"/>
        </w:rPr>
      </w:pPr>
      <w:r>
        <w:rPr>
          <w:rFonts w:hint="eastAsia" w:ascii="宋体" w:hAnsi="宋体" w:cs="宋体"/>
          <w:color w:val="auto"/>
          <w:highlight w:val="none"/>
        </w:rPr>
        <w:t>5. 成交通知书。</w:t>
      </w:r>
    </w:p>
    <w:p>
      <w:pPr>
        <w:spacing w:line="400" w:lineRule="exact"/>
        <w:ind w:firstLine="420" w:firstLineChars="200"/>
        <w:rPr>
          <w:rFonts w:hint="eastAsia" w:ascii="宋体" w:hAnsi="宋体" w:eastAsia="宋体" w:cs="宋体"/>
          <w:color w:val="auto"/>
          <w:szCs w:val="21"/>
        </w:rPr>
      </w:pPr>
    </w:p>
    <w:p>
      <w:pPr>
        <w:spacing w:before="0" w:after="0" w:line="400" w:lineRule="exact"/>
        <w:ind w:firstLine="420"/>
        <w:rPr>
          <w:rFonts w:ascii="宋体" w:hAnsi="宋体" w:cs="宋体"/>
          <w:color w:val="auto"/>
          <w:szCs w:val="21"/>
          <w:highlight w:val="none"/>
        </w:rPr>
      </w:pPr>
      <w:r>
        <w:rPr>
          <w:rFonts w:hint="eastAsia" w:ascii="宋体" w:hAnsi="宋体" w:eastAsia="宋体" w:cs="宋体"/>
          <w:color w:val="auto"/>
          <w:szCs w:val="21"/>
        </w:rPr>
        <w:t>本合同甲乙双方签字盖章后生效，一式四份，具有同等法律效力，甲、乙双方各一份。</w:t>
      </w:r>
      <w:r>
        <w:rPr>
          <w:rFonts w:hint="eastAsia" w:ascii="宋体" w:hAnsi="宋体" w:eastAsia="宋体" w:cs="宋体"/>
          <w:color w:val="auto"/>
        </w:rPr>
        <w:t>政府采购合同双方自签订之日起1个工作日内将合同原件两份交采购代理机构。采购代理机构将政府采购合同在省级以上人民政府财政部门指定媒体上公告并于合同签订之日起7个工作日内将一份合同原件送采购代理机构存档。</w:t>
      </w:r>
      <w:r>
        <w:rPr>
          <w:rFonts w:hint="eastAsia" w:ascii="宋体" w:hAnsi="宋体" w:cs="宋体"/>
          <w:color w:val="auto"/>
          <w:szCs w:val="21"/>
          <w:highlight w:val="none"/>
        </w:rPr>
        <w:t xml:space="preserve"> </w:t>
      </w:r>
    </w:p>
    <w:p>
      <w:pPr>
        <w:tabs>
          <w:tab w:val="left" w:pos="4320"/>
          <w:tab w:val="left" w:pos="4500"/>
        </w:tabs>
        <w:spacing w:before="0" w:after="0" w:line="400" w:lineRule="exact"/>
        <w:ind w:firstLine="0" w:firstLineChars="0"/>
        <w:rPr>
          <w:rFonts w:ascii="宋体" w:hAnsi="宋体" w:cs="宋体"/>
          <w:color w:val="auto"/>
          <w:szCs w:val="21"/>
          <w:highlight w:val="none"/>
          <w:u w:val="single"/>
        </w:rPr>
      </w:pPr>
      <w:r>
        <w:rPr>
          <w:rFonts w:hint="eastAsia" w:ascii="宋体" w:hAnsi="宋体" w:cs="宋体"/>
          <w:color w:val="auto"/>
          <w:szCs w:val="21"/>
          <w:highlight w:val="none"/>
        </w:rPr>
        <w:t>甲方名称（公章）：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乙方（公章，自然人除外）：</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 xml:space="preserve">      </w:t>
      </w:r>
    </w:p>
    <w:p>
      <w:pPr>
        <w:spacing w:before="0" w:after="0" w:line="400" w:lineRule="exact"/>
        <w:ind w:left="4620" w:hanging="4620" w:hangingChars="2200"/>
        <w:rPr>
          <w:rFonts w:ascii="宋体" w:hAnsi="宋体" w:cs="宋体"/>
          <w:color w:val="auto"/>
          <w:highlight w:val="none"/>
        </w:rPr>
      </w:pPr>
      <w:r>
        <w:rPr>
          <w:rFonts w:hint="eastAsia" w:ascii="宋体" w:hAnsi="宋体" w:cs="宋体"/>
          <w:color w:val="auto"/>
          <w:szCs w:val="21"/>
          <w:highlight w:val="none"/>
        </w:rPr>
        <w:t>法定代表人：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highlight w:val="none"/>
        </w:rPr>
        <w:t>法定代表人（负责人、自然人）签字</w:t>
      </w:r>
    </w:p>
    <w:p>
      <w:pPr>
        <w:spacing w:before="0" w:after="0" w:line="400" w:lineRule="exact"/>
        <w:ind w:left="4620" w:leftChars="2200" w:firstLine="105" w:firstLineChars="50"/>
        <w:rPr>
          <w:rFonts w:ascii="宋体" w:hAnsi="宋体" w:cs="宋体"/>
          <w:color w:val="auto"/>
          <w:szCs w:val="21"/>
          <w:highlight w:val="none"/>
          <w:u w:val="single"/>
        </w:rPr>
      </w:pPr>
      <w:r>
        <w:rPr>
          <w:rFonts w:hint="eastAsia" w:ascii="宋体" w:hAnsi="宋体" w:cs="宋体"/>
          <w:color w:val="auto"/>
          <w:highlight w:val="none"/>
        </w:rPr>
        <w:t>（属自然人的应在签名处加盖食指指印）</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p>
    <w:p>
      <w:pPr>
        <w:tabs>
          <w:tab w:val="left" w:pos="4680"/>
        </w:tabs>
        <w:spacing w:before="0" w:after="0" w:line="400" w:lineRule="exact"/>
        <w:ind w:firstLine="0" w:firstLineChars="0"/>
        <w:rPr>
          <w:rFonts w:ascii="宋体" w:hAnsi="宋体" w:cs="宋体"/>
          <w:color w:val="auto"/>
          <w:szCs w:val="21"/>
          <w:highlight w:val="none"/>
          <w:u w:val="single"/>
        </w:rPr>
      </w:pPr>
      <w:r>
        <w:rPr>
          <w:rFonts w:hint="eastAsia" w:ascii="宋体" w:hAnsi="宋体" w:cs="宋体"/>
          <w:color w:val="auto"/>
          <w:szCs w:val="21"/>
          <w:highlight w:val="none"/>
        </w:rPr>
        <w:t>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委托代理人：</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p>
    <w:p>
      <w:pPr>
        <w:tabs>
          <w:tab w:val="left" w:pos="5040"/>
        </w:tabs>
        <w:spacing w:before="0" w:after="0" w:line="400" w:lineRule="exact"/>
        <w:ind w:firstLine="0" w:firstLineChars="0"/>
        <w:rPr>
          <w:rFonts w:ascii="宋体" w:hAnsi="宋体" w:cs="宋体"/>
          <w:color w:val="auto"/>
          <w:szCs w:val="21"/>
          <w:highlight w:val="none"/>
          <w:u w:val="single"/>
        </w:rPr>
      </w:pPr>
      <w:r>
        <w:rPr>
          <w:rFonts w:hint="eastAsia" w:ascii="宋体" w:hAnsi="宋体" w:cs="宋体"/>
          <w:color w:val="auto"/>
          <w:szCs w:val="21"/>
          <w:highlight w:val="none"/>
        </w:rPr>
        <w:t>电  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电   话：</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p>
    <w:p>
      <w:pPr>
        <w:tabs>
          <w:tab w:val="left" w:pos="5040"/>
        </w:tabs>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开户名称：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开户名称：</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p>
    <w:p>
      <w:pPr>
        <w:tabs>
          <w:tab w:val="left" w:pos="5040"/>
        </w:tabs>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开户银行：</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开户银行：</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p>
    <w:p>
      <w:pPr>
        <w:tabs>
          <w:tab w:val="left" w:pos="5040"/>
        </w:tabs>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银行账号：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银行账号：</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p>
    <w:p>
      <w:pPr>
        <w:tabs>
          <w:tab w:val="left" w:pos="5040"/>
        </w:tabs>
        <w:spacing w:before="0" w:after="0" w:line="400" w:lineRule="exact"/>
        <w:ind w:firstLine="0" w:firstLineChars="0"/>
        <w:rPr>
          <w:rFonts w:ascii="宋体" w:hAnsi="宋体" w:cs="宋体"/>
          <w:color w:val="auto"/>
          <w:szCs w:val="21"/>
          <w:highlight w:val="none"/>
        </w:rPr>
      </w:pPr>
      <w:r>
        <w:rPr>
          <w:rFonts w:hint="eastAsia" w:ascii="宋体" w:hAnsi="宋体" w:cs="宋体"/>
          <w:color w:val="auto"/>
          <w:szCs w:val="21"/>
          <w:highlight w:val="none"/>
        </w:rPr>
        <w:t>日    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日    期：</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p>
    <w:p>
      <w:pPr>
        <w:spacing w:line="360" w:lineRule="exact"/>
        <w:ind w:firstLine="237" w:firstLineChars="66"/>
        <w:jc w:val="center"/>
        <w:rPr>
          <w:rFonts w:ascii="宋体" w:hAnsi="宋体"/>
          <w:b/>
          <w:bCs/>
          <w:color w:val="auto"/>
          <w:kern w:val="44"/>
          <w:sz w:val="36"/>
          <w:szCs w:val="44"/>
          <w:highlight w:val="none"/>
        </w:rPr>
      </w:pPr>
    </w:p>
    <w:p>
      <w:pPr>
        <w:spacing w:line="360" w:lineRule="exact"/>
        <w:ind w:firstLine="237" w:firstLineChars="66"/>
        <w:jc w:val="center"/>
        <w:rPr>
          <w:rFonts w:ascii="宋体" w:hAnsi="宋体"/>
          <w:b/>
          <w:bCs/>
          <w:color w:val="auto"/>
          <w:kern w:val="44"/>
          <w:sz w:val="36"/>
          <w:szCs w:val="44"/>
          <w:highlight w:val="none"/>
        </w:rPr>
      </w:pPr>
    </w:p>
    <w:p>
      <w:pPr>
        <w:pStyle w:val="10"/>
        <w:rPr>
          <w:color w:val="auto"/>
          <w:highlight w:val="none"/>
        </w:rPr>
      </w:pPr>
    </w:p>
    <w:p>
      <w:pPr>
        <w:pStyle w:val="10"/>
        <w:rPr>
          <w:color w:val="auto"/>
          <w:highlight w:val="none"/>
        </w:rPr>
      </w:pPr>
    </w:p>
    <w:p>
      <w:pPr>
        <w:pStyle w:val="10"/>
        <w:rPr>
          <w:color w:val="auto"/>
          <w:highlight w:val="none"/>
        </w:rPr>
      </w:pPr>
    </w:p>
    <w:p>
      <w:pPr>
        <w:ind w:firstLine="0" w:firstLineChars="0"/>
        <w:jc w:val="center"/>
        <w:rPr>
          <w:rFonts w:ascii="宋体" w:hAnsi="宋体"/>
          <w:b/>
          <w:bCs/>
          <w:color w:val="auto"/>
          <w:kern w:val="44"/>
          <w:sz w:val="32"/>
          <w:szCs w:val="32"/>
          <w:highlight w:val="none"/>
        </w:rPr>
      </w:pPr>
      <w:r>
        <w:rPr>
          <w:rFonts w:hint="eastAsia" w:ascii="宋体" w:hAnsi="宋体"/>
          <w:b/>
          <w:bCs/>
          <w:color w:val="auto"/>
          <w:kern w:val="44"/>
          <w:sz w:val="32"/>
          <w:szCs w:val="32"/>
          <w:highlight w:val="none"/>
        </w:rPr>
        <w:t>第六章  响应文件格式</w:t>
      </w:r>
    </w:p>
    <w:p>
      <w:pPr>
        <w:spacing w:before="0" w:after="0" w:line="440" w:lineRule="atLeast"/>
        <w:ind w:firstLine="0" w:firstLineChars="0"/>
        <w:rPr>
          <w:rFonts w:ascii="宋体" w:hAnsi="宋体" w:cs="宋体"/>
          <w:b/>
          <w:color w:val="auto"/>
          <w:sz w:val="28"/>
          <w:szCs w:val="28"/>
          <w:highlight w:val="none"/>
        </w:rPr>
      </w:pPr>
      <w:r>
        <w:rPr>
          <w:rFonts w:hint="eastAsia" w:ascii="宋体" w:hAnsi="宋体" w:cs="宋体"/>
          <w:b/>
          <w:color w:val="auto"/>
          <w:sz w:val="28"/>
          <w:szCs w:val="28"/>
          <w:highlight w:val="none"/>
        </w:rPr>
        <w:t>1. 响应函（格式见附件）（必须提供）；</w:t>
      </w:r>
    </w:p>
    <w:p>
      <w:pPr>
        <w:spacing w:before="0" w:after="0" w:line="440" w:lineRule="atLeast"/>
        <w:ind w:firstLine="0" w:firstLineChars="0"/>
        <w:rPr>
          <w:rFonts w:ascii="宋体" w:hAnsi="宋体" w:cs="宋体"/>
          <w:b/>
          <w:color w:val="auto"/>
          <w:sz w:val="24"/>
          <w:highlight w:val="none"/>
        </w:rPr>
      </w:pPr>
      <w:r>
        <w:rPr>
          <w:rFonts w:hint="eastAsia" w:ascii="宋体" w:hAnsi="宋体" w:cs="宋体"/>
          <w:b/>
          <w:color w:val="auto"/>
          <w:sz w:val="24"/>
          <w:highlight w:val="none"/>
        </w:rPr>
        <w:t>附件：</w:t>
      </w:r>
    </w:p>
    <w:p>
      <w:pPr>
        <w:spacing w:before="0" w:after="0" w:line="240" w:lineRule="auto"/>
        <w:ind w:firstLine="800" w:firstLineChars="250"/>
        <w:jc w:val="center"/>
        <w:rPr>
          <w:rFonts w:ascii="宋体" w:hAnsi="宋体" w:cs="宋体"/>
          <w:b/>
          <w:color w:val="auto"/>
          <w:sz w:val="32"/>
          <w:szCs w:val="20"/>
          <w:highlight w:val="none"/>
        </w:rPr>
      </w:pPr>
      <w:r>
        <w:rPr>
          <w:rFonts w:hint="eastAsia" w:ascii="宋体" w:hAnsi="宋体" w:cs="宋体"/>
          <w:b/>
          <w:color w:val="auto"/>
          <w:sz w:val="32"/>
          <w:szCs w:val="20"/>
          <w:highlight w:val="none"/>
        </w:rPr>
        <w:t>响 应 函 （格 式）</w:t>
      </w:r>
    </w:p>
    <w:p>
      <w:pPr>
        <w:spacing w:before="0" w:after="0" w:line="240" w:lineRule="exact"/>
        <w:ind w:firstLine="0" w:firstLineChars="0"/>
        <w:jc w:val="center"/>
        <w:rPr>
          <w:rFonts w:ascii="宋体" w:hAnsi="宋体" w:cs="宋体"/>
          <w:color w:val="auto"/>
          <w:sz w:val="32"/>
          <w:highlight w:val="none"/>
        </w:rPr>
      </w:pPr>
    </w:p>
    <w:p>
      <w:pPr>
        <w:spacing w:before="0" w:after="0" w:line="400" w:lineRule="exact"/>
        <w:ind w:firstLine="0" w:firstLineChars="0"/>
        <w:rPr>
          <w:rFonts w:ascii="宋体" w:hAnsi="宋体" w:cs="宋体"/>
          <w:color w:val="auto"/>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：广西科文招标有限公司   </w:t>
      </w:r>
    </w:p>
    <w:p>
      <w:pPr>
        <w:spacing w:before="0" w:after="0" w:line="360" w:lineRule="exact"/>
        <w:ind w:firstLine="420" w:firstLineChars="0"/>
        <w:rPr>
          <w:rFonts w:ascii="宋体" w:hAnsi="宋体" w:cs="宋体"/>
          <w:color w:val="auto"/>
          <w:szCs w:val="20"/>
          <w:highlight w:val="none"/>
        </w:rPr>
      </w:pPr>
      <w:r>
        <w:rPr>
          <w:rFonts w:hint="eastAsia" w:ascii="宋体" w:hAnsi="宋体" w:cs="宋体"/>
          <w:color w:val="auto"/>
          <w:szCs w:val="20"/>
          <w:highlight w:val="none"/>
        </w:rPr>
        <w:t>根据贵方</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 xml:space="preserve">项目磋商文件，项目编号 </w:t>
      </w:r>
      <w:r>
        <w:rPr>
          <w:rFonts w:hint="eastAsia" w:ascii="宋体" w:hAnsi="宋体" w:cs="宋体"/>
          <w:color w:val="auto"/>
          <w:szCs w:val="20"/>
          <w:highlight w:val="none"/>
          <w:u w:val="single"/>
        </w:rPr>
        <w:t xml:space="preserve">               </w:t>
      </w:r>
      <w:r>
        <w:rPr>
          <w:rFonts w:hint="eastAsia" w:ascii="宋体" w:hAnsi="宋体" w:cs="宋体"/>
          <w:color w:val="auto"/>
          <w:szCs w:val="21"/>
          <w:highlight w:val="none"/>
        </w:rPr>
        <w:t>，签字代表</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 xml:space="preserve">（姓名）经正式授权并代表供应商 </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供应商单位名称），提交响应文件正本一份，副本四份。</w:t>
      </w:r>
    </w:p>
    <w:p>
      <w:pPr>
        <w:spacing w:before="0" w:after="0" w:line="360" w:lineRule="exact"/>
        <w:ind w:firstLine="420" w:firstLineChars="0"/>
        <w:rPr>
          <w:rFonts w:ascii="宋体" w:hAnsi="宋体" w:cs="宋体"/>
          <w:color w:val="auto"/>
          <w:szCs w:val="20"/>
          <w:highlight w:val="none"/>
        </w:rPr>
      </w:pPr>
      <w:r>
        <w:rPr>
          <w:rFonts w:hint="eastAsia" w:ascii="宋体" w:hAnsi="宋体" w:cs="宋体"/>
          <w:color w:val="auto"/>
          <w:szCs w:val="20"/>
          <w:highlight w:val="none"/>
        </w:rPr>
        <w:t>据此函，签字代表宣布同意如下：</w:t>
      </w:r>
    </w:p>
    <w:p>
      <w:pPr>
        <w:numPr>
          <w:ilvl w:val="0"/>
          <w:numId w:val="9"/>
        </w:numPr>
        <w:spacing w:before="0" w:after="0" w:line="360" w:lineRule="exact"/>
        <w:ind w:firstLine="0" w:firstLineChars="0"/>
        <w:rPr>
          <w:rFonts w:ascii="宋体" w:hAnsi="宋体" w:cs="宋体"/>
          <w:color w:val="auto"/>
          <w:szCs w:val="20"/>
          <w:highlight w:val="none"/>
        </w:rPr>
      </w:pPr>
      <w:r>
        <w:rPr>
          <w:rFonts w:hint="eastAsia" w:ascii="宋体" w:hAnsi="宋体" w:cs="宋体"/>
          <w:color w:val="auto"/>
          <w:szCs w:val="20"/>
          <w:highlight w:val="none"/>
        </w:rPr>
        <w:t>按磋商文件服务采购需求和磋商报价表：</w:t>
      </w:r>
    </w:p>
    <w:p>
      <w:pPr>
        <w:spacing w:before="0" w:after="0" w:line="360" w:lineRule="exact"/>
        <w:ind w:firstLine="420" w:firstLineChars="0"/>
        <w:rPr>
          <w:rFonts w:ascii="宋体" w:hAnsi="宋体" w:cs="宋体"/>
          <w:color w:val="auto"/>
          <w:szCs w:val="20"/>
          <w:highlight w:val="none"/>
        </w:rPr>
      </w:pPr>
      <w:r>
        <w:rPr>
          <w:rFonts w:hint="eastAsia" w:ascii="宋体" w:hAnsi="宋体" w:cs="宋体"/>
          <w:color w:val="auto"/>
          <w:szCs w:val="20"/>
          <w:highlight w:val="none"/>
        </w:rPr>
        <w:t>磋商总报价（大写）</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人民币(￥</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w:t>
      </w:r>
    </w:p>
    <w:p>
      <w:pPr>
        <w:spacing w:before="0" w:after="0" w:line="360" w:lineRule="exact"/>
        <w:ind w:firstLine="420" w:firstLineChars="0"/>
        <w:rPr>
          <w:rFonts w:ascii="宋体" w:hAnsi="宋体" w:cs="宋体"/>
          <w:color w:val="auto"/>
          <w:szCs w:val="20"/>
          <w:highlight w:val="none"/>
        </w:rPr>
      </w:pPr>
      <w:r>
        <w:rPr>
          <w:rFonts w:hint="eastAsia" w:ascii="宋体" w:hAnsi="宋体" w:cs="宋体"/>
          <w:color w:val="auto"/>
          <w:szCs w:val="20"/>
          <w:highlight w:val="none"/>
        </w:rPr>
        <w:t>2.我方承诺已具备磋商文件规定的供应商资格条件。</w:t>
      </w:r>
    </w:p>
    <w:p>
      <w:pPr>
        <w:spacing w:before="0" w:after="0" w:line="360" w:lineRule="exact"/>
        <w:ind w:firstLine="420" w:firstLineChars="0"/>
        <w:rPr>
          <w:rFonts w:ascii="宋体" w:hAnsi="宋体" w:cs="宋体"/>
          <w:color w:val="auto"/>
          <w:szCs w:val="20"/>
          <w:highlight w:val="none"/>
        </w:rPr>
      </w:pPr>
      <w:r>
        <w:rPr>
          <w:rFonts w:hint="eastAsia" w:ascii="宋体" w:hAnsi="宋体" w:cs="宋体"/>
          <w:color w:val="auto"/>
          <w:szCs w:val="20"/>
          <w:highlight w:val="none"/>
        </w:rPr>
        <w:t>3.我方已详细审核磋商文件，包括修改文件（如有的话）和有关附件，将自行承担因对全部磋商文件理解不正确或误解而产生的相应后果。</w:t>
      </w:r>
    </w:p>
    <w:p>
      <w:pPr>
        <w:spacing w:before="0" w:after="0" w:line="360" w:lineRule="exact"/>
        <w:ind w:firstLine="420" w:firstLineChars="0"/>
        <w:rPr>
          <w:rFonts w:ascii="宋体" w:hAnsi="宋体" w:cs="宋体"/>
          <w:color w:val="auto"/>
          <w:szCs w:val="20"/>
          <w:highlight w:val="none"/>
        </w:rPr>
      </w:pPr>
      <w:r>
        <w:rPr>
          <w:rFonts w:hint="eastAsia" w:ascii="宋体" w:hAnsi="宋体" w:cs="宋体"/>
          <w:color w:val="auto"/>
          <w:szCs w:val="20"/>
          <w:highlight w:val="none"/>
        </w:rPr>
        <w:t>4. 响应文件有效期为</w:t>
      </w:r>
      <w:r>
        <w:rPr>
          <w:rFonts w:hint="eastAsia" w:ascii="宋体" w:hAnsi="宋体" w:cs="宋体"/>
          <w:color w:val="auto"/>
          <w:szCs w:val="21"/>
          <w:highlight w:val="none"/>
        </w:rPr>
        <w:t>响应文件递交截止时间之日起90天。</w:t>
      </w:r>
    </w:p>
    <w:p>
      <w:pPr>
        <w:spacing w:before="0" w:after="0" w:line="360" w:lineRule="exact"/>
        <w:ind w:firstLine="420" w:firstLineChars="0"/>
        <w:rPr>
          <w:rFonts w:ascii="宋体" w:hAnsi="宋体" w:cs="宋体"/>
          <w:color w:val="auto"/>
          <w:szCs w:val="20"/>
          <w:highlight w:val="none"/>
        </w:rPr>
      </w:pPr>
      <w:r>
        <w:rPr>
          <w:rFonts w:hint="eastAsia" w:ascii="宋体" w:hAnsi="宋体" w:cs="宋体"/>
          <w:color w:val="auto"/>
          <w:szCs w:val="20"/>
          <w:highlight w:val="none"/>
        </w:rPr>
        <w:t>5. 如我方成交：</w:t>
      </w:r>
    </w:p>
    <w:p>
      <w:pPr>
        <w:spacing w:before="0" w:after="0" w:line="360" w:lineRule="exact"/>
        <w:ind w:firstLine="420" w:firstLineChars="0"/>
        <w:rPr>
          <w:rFonts w:ascii="宋体" w:hAnsi="宋体" w:cs="宋体"/>
          <w:color w:val="auto"/>
          <w:szCs w:val="20"/>
          <w:highlight w:val="none"/>
        </w:rPr>
      </w:pPr>
      <w:r>
        <w:rPr>
          <w:rFonts w:hint="eastAsia" w:ascii="宋体" w:hAnsi="宋体" w:cs="宋体"/>
          <w:color w:val="auto"/>
          <w:szCs w:val="20"/>
          <w:highlight w:val="none"/>
        </w:rPr>
        <w:t>（1）我方承诺在收到成交通知书后，在成交通知书规定的期限内与采购人签订合同。</w:t>
      </w:r>
    </w:p>
    <w:p>
      <w:pPr>
        <w:spacing w:before="0" w:after="0" w:line="360" w:lineRule="exact"/>
        <w:ind w:firstLine="420" w:firstLineChars="0"/>
        <w:rPr>
          <w:rFonts w:ascii="宋体" w:hAnsi="宋体" w:cs="宋体"/>
          <w:color w:val="auto"/>
          <w:szCs w:val="20"/>
          <w:highlight w:val="none"/>
        </w:rPr>
      </w:pPr>
      <w:r>
        <w:rPr>
          <w:rFonts w:hint="eastAsia" w:ascii="宋体" w:hAnsi="宋体" w:cs="宋体"/>
          <w:color w:val="auto"/>
          <w:szCs w:val="20"/>
          <w:highlight w:val="none"/>
        </w:rPr>
        <w:t>（2）我方承诺本响应文件至本项目合同履行完毕止均保持有效，按磋商文件及政府采购法律、法规的规定履行合同责任和义务。</w:t>
      </w:r>
    </w:p>
    <w:p>
      <w:pPr>
        <w:spacing w:before="0" w:after="0" w:line="360" w:lineRule="exact"/>
        <w:ind w:firstLine="420" w:firstLineChars="0"/>
        <w:rPr>
          <w:rFonts w:ascii="宋体" w:hAnsi="宋体" w:cs="宋体"/>
          <w:color w:val="auto"/>
          <w:szCs w:val="20"/>
          <w:highlight w:val="none"/>
        </w:rPr>
      </w:pPr>
      <w:r>
        <w:rPr>
          <w:rFonts w:hint="eastAsia" w:ascii="宋体" w:hAnsi="宋体" w:cs="宋体"/>
          <w:color w:val="auto"/>
          <w:szCs w:val="20"/>
          <w:highlight w:val="none"/>
        </w:rPr>
        <w:t>与本项目有关的正式通讯地址为：</w:t>
      </w:r>
    </w:p>
    <w:p>
      <w:pPr>
        <w:spacing w:before="0" w:after="0" w:line="400" w:lineRule="exact"/>
        <w:ind w:firstLine="420" w:firstLineChars="0"/>
        <w:rPr>
          <w:rFonts w:ascii="宋体" w:hAnsi="宋体" w:cs="宋体"/>
          <w:color w:val="auto"/>
          <w:szCs w:val="20"/>
          <w:highlight w:val="none"/>
        </w:rPr>
      </w:pPr>
    </w:p>
    <w:p>
      <w:pPr>
        <w:spacing w:before="0" w:after="0" w:line="400" w:lineRule="exact"/>
        <w:ind w:firstLine="420" w:firstLineChars="0"/>
        <w:rPr>
          <w:rFonts w:ascii="宋体" w:hAnsi="宋体" w:cs="宋体"/>
          <w:color w:val="auto"/>
          <w:szCs w:val="20"/>
          <w:highlight w:val="none"/>
          <w:u w:val="single"/>
        </w:rPr>
      </w:pPr>
      <w:r>
        <w:rPr>
          <w:rFonts w:hint="eastAsia" w:ascii="宋体" w:hAnsi="宋体" w:cs="宋体"/>
          <w:color w:val="auto"/>
          <w:szCs w:val="20"/>
          <w:highlight w:val="none"/>
        </w:rPr>
        <w:t>地址：</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 xml:space="preserve"> 邮编：</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 xml:space="preserve">  电话、传真：</w:t>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p>
    <w:p>
      <w:pPr>
        <w:spacing w:before="0" w:after="0" w:line="400" w:lineRule="exact"/>
        <w:ind w:firstLine="420" w:firstLineChars="0"/>
        <w:rPr>
          <w:rFonts w:ascii="宋体" w:hAnsi="宋体" w:cs="宋体"/>
          <w:color w:val="auto"/>
          <w:szCs w:val="20"/>
          <w:highlight w:val="none"/>
          <w:u w:val="single"/>
        </w:rPr>
      </w:pPr>
      <w:r>
        <w:rPr>
          <w:rFonts w:hint="eastAsia" w:ascii="宋体" w:hAnsi="宋体" w:cs="宋体"/>
          <w:color w:val="auto"/>
          <w:szCs w:val="20"/>
          <w:highlight w:val="none"/>
        </w:rPr>
        <w:t>开户名称：</w:t>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 xml:space="preserve"> </w:t>
      </w:r>
    </w:p>
    <w:p>
      <w:pPr>
        <w:spacing w:before="0" w:after="0" w:line="400" w:lineRule="exact"/>
        <w:ind w:firstLine="420" w:firstLineChars="0"/>
        <w:rPr>
          <w:rFonts w:ascii="宋体" w:hAnsi="宋体" w:cs="宋体"/>
          <w:color w:val="auto"/>
          <w:szCs w:val="20"/>
          <w:highlight w:val="none"/>
          <w:u w:val="single"/>
        </w:rPr>
      </w:pPr>
      <w:r>
        <w:rPr>
          <w:rFonts w:hint="eastAsia" w:ascii="宋体" w:hAnsi="宋体" w:cs="宋体"/>
          <w:color w:val="auto"/>
          <w:szCs w:val="20"/>
          <w:highlight w:val="none"/>
        </w:rPr>
        <w:t>开户银行：</w:t>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p>
    <w:p>
      <w:pPr>
        <w:spacing w:before="0" w:after="0" w:line="400" w:lineRule="exact"/>
        <w:ind w:firstLine="420" w:firstLineChars="0"/>
        <w:rPr>
          <w:rFonts w:ascii="宋体" w:hAnsi="宋体" w:cs="宋体"/>
          <w:color w:val="auto"/>
          <w:szCs w:val="20"/>
          <w:highlight w:val="none"/>
        </w:rPr>
      </w:pPr>
      <w:r>
        <w:rPr>
          <w:rFonts w:hint="eastAsia" w:ascii="宋体" w:hAnsi="宋体" w:cs="宋体"/>
          <w:color w:val="auto"/>
          <w:szCs w:val="20"/>
          <w:highlight w:val="none"/>
        </w:rPr>
        <w:t>账号：</w:t>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p>
    <w:p>
      <w:pPr>
        <w:spacing w:before="0" w:after="0" w:line="360" w:lineRule="exact"/>
        <w:ind w:firstLine="420" w:firstLineChars="0"/>
        <w:rPr>
          <w:rFonts w:ascii="宋体" w:hAnsi="宋体" w:cs="宋体"/>
          <w:color w:val="auto"/>
          <w:szCs w:val="20"/>
          <w:highlight w:val="none"/>
        </w:rPr>
      </w:pPr>
      <w:r>
        <w:rPr>
          <w:rFonts w:hint="eastAsia" w:ascii="宋体" w:hAnsi="宋体" w:cs="宋体"/>
          <w:color w:val="auto"/>
          <w:szCs w:val="20"/>
          <w:highlight w:val="none"/>
        </w:rPr>
        <w:t>供应商（公章，自然人除外）：</w:t>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p>
    <w:p>
      <w:pPr>
        <w:spacing w:before="0" w:after="0" w:line="400" w:lineRule="exact"/>
        <w:ind w:firstLine="420" w:firstLineChars="0"/>
        <w:rPr>
          <w:rFonts w:ascii="宋体" w:hAnsi="宋体" w:cs="宋体"/>
          <w:color w:val="auto"/>
          <w:szCs w:val="20"/>
          <w:highlight w:val="none"/>
          <w:u w:val="single"/>
        </w:rPr>
      </w:pPr>
      <w:r>
        <w:rPr>
          <w:rFonts w:hint="eastAsia" w:ascii="宋体" w:hAnsi="宋体" w:cs="宋体"/>
          <w:color w:val="auto"/>
          <w:szCs w:val="20"/>
          <w:highlight w:val="none"/>
        </w:rPr>
        <w:t>法定代表人、负责人、自然人或相应的委托代理人签字或盖章（属自然人的应在签名处加盖食指指印）：</w:t>
      </w:r>
      <w:r>
        <w:rPr>
          <w:rFonts w:hint="eastAsia" w:ascii="宋体" w:hAnsi="宋体" w:cs="宋体"/>
          <w:color w:val="auto"/>
          <w:szCs w:val="20"/>
          <w:highlight w:val="none"/>
          <w:u w:val="single"/>
        </w:rPr>
        <w:t xml:space="preserve">       </w:t>
      </w:r>
    </w:p>
    <w:p>
      <w:pPr>
        <w:spacing w:before="0" w:after="0" w:line="400" w:lineRule="exact"/>
        <w:ind w:firstLine="420" w:firstLineChars="0"/>
        <w:rPr>
          <w:rFonts w:ascii="宋体" w:hAnsi="宋体" w:cs="宋体"/>
          <w:color w:val="auto"/>
          <w:szCs w:val="20"/>
          <w:highlight w:val="none"/>
          <w:u w:val="single"/>
        </w:rPr>
      </w:pPr>
      <w:r>
        <w:rPr>
          <w:rFonts w:hint="eastAsia" w:ascii="宋体" w:hAnsi="宋体" w:cs="宋体"/>
          <w:bCs/>
          <w:color w:val="auto"/>
          <w:szCs w:val="20"/>
          <w:highlight w:val="none"/>
        </w:rPr>
        <w:t>响应</w:t>
      </w:r>
      <w:r>
        <w:rPr>
          <w:rFonts w:hint="eastAsia" w:ascii="宋体" w:hAnsi="宋体" w:cs="宋体"/>
          <w:color w:val="auto"/>
          <w:szCs w:val="20"/>
          <w:highlight w:val="none"/>
        </w:rPr>
        <w:t>日期：</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r>
        <w:rPr>
          <w:rFonts w:hint="eastAsia" w:ascii="宋体" w:hAnsi="宋体" w:cs="宋体"/>
          <w:color w:val="auto"/>
          <w:szCs w:val="20"/>
          <w:highlight w:val="none"/>
          <w:u w:val="single"/>
        </w:rPr>
        <w:tab/>
      </w:r>
    </w:p>
    <w:p>
      <w:pPr>
        <w:spacing w:before="0" w:after="0" w:line="400" w:lineRule="exact"/>
        <w:ind w:firstLine="420"/>
        <w:rPr>
          <w:rFonts w:ascii="宋体" w:hAnsi="宋体" w:cs="宋体"/>
          <w:bCs/>
          <w:color w:val="auto"/>
          <w:szCs w:val="20"/>
          <w:highlight w:val="none"/>
        </w:rPr>
      </w:pPr>
      <w:r>
        <w:rPr>
          <w:rFonts w:hint="eastAsia" w:ascii="宋体" w:hAnsi="宋体" w:cs="宋体"/>
          <w:bCs/>
          <w:color w:val="auto"/>
          <w:szCs w:val="20"/>
          <w:highlight w:val="none"/>
        </w:rPr>
        <w:t>注：</w:t>
      </w:r>
    </w:p>
    <w:p>
      <w:pPr>
        <w:spacing w:before="0" w:after="0" w:line="400" w:lineRule="exact"/>
        <w:ind w:firstLine="420"/>
        <w:rPr>
          <w:rFonts w:ascii="宋体" w:hAnsi="宋体" w:cs="宋体"/>
          <w:bCs/>
          <w:color w:val="auto"/>
          <w:szCs w:val="21"/>
          <w:highlight w:val="none"/>
        </w:rPr>
      </w:pPr>
      <w:r>
        <w:rPr>
          <w:rFonts w:hint="eastAsia" w:ascii="宋体" w:hAnsi="宋体" w:cs="宋体"/>
          <w:bCs/>
          <w:color w:val="auto"/>
          <w:szCs w:val="20"/>
          <w:highlight w:val="none"/>
        </w:rPr>
        <w:t>响应函</w:t>
      </w:r>
      <w:r>
        <w:rPr>
          <w:rFonts w:hint="eastAsia" w:ascii="宋体" w:hAnsi="宋体" w:cs="宋体"/>
          <w:bCs/>
          <w:color w:val="auto"/>
          <w:szCs w:val="21"/>
          <w:highlight w:val="none"/>
        </w:rPr>
        <w:t>须</w:t>
      </w:r>
      <w:r>
        <w:rPr>
          <w:rFonts w:hint="eastAsia" w:ascii="宋体" w:hAnsi="宋体" w:cs="宋体"/>
          <w:bCs/>
          <w:color w:val="auto"/>
          <w:szCs w:val="20"/>
          <w:highlight w:val="none"/>
        </w:rPr>
        <w:t>由</w:t>
      </w:r>
      <w:r>
        <w:rPr>
          <w:rFonts w:hint="eastAsia" w:ascii="宋体" w:hAnsi="宋体" w:cs="宋体"/>
          <w:bCs/>
          <w:color w:val="auto"/>
          <w:szCs w:val="21"/>
          <w:highlight w:val="none"/>
        </w:rPr>
        <w:t>法定代表人（负责人/自然人）或委托代理人签字或盖章（</w:t>
      </w:r>
      <w:r>
        <w:rPr>
          <w:rFonts w:hint="eastAsia" w:ascii="宋体" w:hAnsi="宋体" w:cs="宋体"/>
          <w:color w:val="auto"/>
          <w:szCs w:val="20"/>
          <w:highlight w:val="none"/>
        </w:rPr>
        <w:t>属自然人的应在签名处加盖食指指印</w:t>
      </w:r>
      <w:r>
        <w:rPr>
          <w:rFonts w:hint="eastAsia" w:ascii="宋体" w:hAnsi="宋体" w:cs="宋体"/>
          <w:bCs/>
          <w:color w:val="auto"/>
          <w:szCs w:val="21"/>
          <w:highlight w:val="none"/>
        </w:rPr>
        <w:t>）并加盖供应商公章（自然人除外）。</w:t>
      </w:r>
    </w:p>
    <w:p>
      <w:pPr>
        <w:tabs>
          <w:tab w:val="left" w:pos="1305"/>
        </w:tabs>
        <w:spacing w:before="0" w:after="0" w:line="380" w:lineRule="exact"/>
        <w:ind w:firstLine="562"/>
        <w:rPr>
          <w:rFonts w:ascii="宋体" w:hAnsi="宋体" w:cs="宋体"/>
          <w:b/>
          <w:color w:val="auto"/>
          <w:sz w:val="28"/>
          <w:szCs w:val="28"/>
          <w:highlight w:val="none"/>
        </w:rPr>
      </w:pPr>
    </w:p>
    <w:p>
      <w:pPr>
        <w:pStyle w:val="10"/>
        <w:rPr>
          <w:color w:val="auto"/>
          <w:highlight w:val="none"/>
        </w:rPr>
      </w:pPr>
    </w:p>
    <w:p>
      <w:pPr>
        <w:tabs>
          <w:tab w:val="left" w:pos="1305"/>
        </w:tabs>
        <w:spacing w:before="0" w:after="0" w:line="380" w:lineRule="exact"/>
        <w:ind w:firstLine="562"/>
        <w:rPr>
          <w:rFonts w:ascii="宋体" w:hAnsi="宋体" w:cs="宋体"/>
          <w:color w:val="auto"/>
          <w:szCs w:val="21"/>
          <w:highlight w:val="none"/>
        </w:rPr>
      </w:pPr>
      <w:r>
        <w:rPr>
          <w:rFonts w:hint="eastAsia" w:ascii="宋体" w:hAnsi="宋体" w:cs="宋体"/>
          <w:b/>
          <w:color w:val="auto"/>
          <w:sz w:val="28"/>
          <w:szCs w:val="28"/>
          <w:highlight w:val="none"/>
        </w:rPr>
        <w:t>2.供应商相应的法定代表人、负责人、自然人身份证正反两面复印件（必须提供）</w:t>
      </w:r>
    </w:p>
    <w:p>
      <w:pPr>
        <w:spacing w:before="0" w:after="0" w:line="240" w:lineRule="auto"/>
        <w:ind w:firstLine="0" w:firstLineChars="0"/>
        <w:rPr>
          <w:rFonts w:ascii="宋体" w:hAnsi="宋体" w:cs="宋体"/>
          <w:b/>
          <w:color w:val="auto"/>
          <w:sz w:val="32"/>
          <w:szCs w:val="20"/>
          <w:highlight w:val="none"/>
        </w:rPr>
      </w:pPr>
    </w:p>
    <w:p>
      <w:pPr>
        <w:spacing w:before="0" w:after="0" w:line="240" w:lineRule="auto"/>
        <w:ind w:firstLine="548" w:firstLineChars="196"/>
        <w:rPr>
          <w:rFonts w:ascii="宋体" w:hAnsi="宋体" w:cs="宋体"/>
          <w:b/>
          <w:color w:val="auto"/>
          <w:sz w:val="28"/>
          <w:szCs w:val="28"/>
          <w:highlight w:val="none"/>
        </w:rPr>
      </w:pPr>
    </w:p>
    <w:p>
      <w:pPr>
        <w:spacing w:before="0" w:after="0" w:line="400" w:lineRule="exact"/>
        <w:ind w:firstLine="548" w:firstLineChars="196"/>
        <w:rPr>
          <w:rFonts w:ascii="宋体" w:hAnsi="宋体" w:cs="宋体"/>
          <w:b/>
          <w:color w:val="auto"/>
          <w:sz w:val="28"/>
          <w:szCs w:val="28"/>
          <w:highlight w:val="none"/>
        </w:rPr>
      </w:pPr>
      <w:r>
        <w:rPr>
          <w:rFonts w:hint="eastAsia" w:ascii="宋体" w:hAnsi="宋体" w:cs="宋体"/>
          <w:b/>
          <w:color w:val="auto"/>
          <w:sz w:val="28"/>
          <w:szCs w:val="28"/>
          <w:highlight w:val="none"/>
        </w:rPr>
        <w:t>3.供应商的授权委托书原件、委托代理人身份证正反面复印件以及由县级以上（含县级）社会养老保险经办机构出具的供应商为委托代理人交纳的开标截止时间前半年内任意三个月社保证明复印件【属自然人的应提供由县级以上（含县级）社会养老保险经办机构出具的自然人本人及委托代理人所交纳的社保证明复印件】（委托代理时必须提供）；</w:t>
      </w:r>
    </w:p>
    <w:p>
      <w:pPr>
        <w:spacing w:before="0" w:after="0" w:line="240" w:lineRule="auto"/>
        <w:ind w:firstLine="627" w:firstLineChars="196"/>
        <w:rPr>
          <w:rFonts w:ascii="宋体" w:hAnsi="宋体" w:cs="宋体"/>
          <w:b/>
          <w:color w:val="auto"/>
          <w:sz w:val="32"/>
          <w:szCs w:val="20"/>
          <w:highlight w:val="none"/>
        </w:rPr>
      </w:pPr>
      <w:r>
        <w:rPr>
          <w:rFonts w:hint="eastAsia" w:ascii="宋体" w:hAnsi="宋体" w:cs="宋体"/>
          <w:b/>
          <w:color w:val="auto"/>
          <w:sz w:val="32"/>
          <w:szCs w:val="20"/>
          <w:highlight w:val="none"/>
        </w:rPr>
        <w:t xml:space="preserve">附件：            </w:t>
      </w:r>
    </w:p>
    <w:p>
      <w:pPr>
        <w:spacing w:before="0" w:after="0" w:line="240" w:lineRule="auto"/>
        <w:ind w:firstLine="627" w:firstLineChars="196"/>
        <w:jc w:val="center"/>
        <w:rPr>
          <w:rFonts w:ascii="宋体" w:hAnsi="宋体" w:cs="宋体"/>
          <w:b/>
          <w:color w:val="auto"/>
          <w:sz w:val="32"/>
          <w:szCs w:val="20"/>
          <w:highlight w:val="none"/>
        </w:rPr>
      </w:pPr>
      <w:r>
        <w:rPr>
          <w:rFonts w:hint="eastAsia" w:ascii="宋体" w:hAnsi="宋体" w:cs="宋体"/>
          <w:b/>
          <w:color w:val="auto"/>
          <w:sz w:val="32"/>
          <w:szCs w:val="20"/>
          <w:highlight w:val="none"/>
        </w:rPr>
        <w:t>授权委托书（格式一）</w:t>
      </w:r>
    </w:p>
    <w:p>
      <w:pPr>
        <w:spacing w:before="0" w:after="0" w:line="240" w:lineRule="auto"/>
        <w:ind w:firstLine="0" w:firstLineChars="0"/>
        <w:rPr>
          <w:rFonts w:ascii="宋体" w:hAnsi="宋体" w:cs="宋体"/>
          <w:color w:val="auto"/>
          <w:szCs w:val="20"/>
          <w:highlight w:val="none"/>
        </w:rPr>
      </w:pPr>
    </w:p>
    <w:p>
      <w:pPr>
        <w:spacing w:before="0" w:after="0" w:line="400" w:lineRule="exact"/>
        <w:ind w:firstLine="0" w:firstLineChars="0"/>
        <w:rPr>
          <w:rFonts w:ascii="宋体" w:hAnsi="宋体" w:cs="宋体"/>
          <w:color w:val="auto"/>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 广西科文招标有限公司</w:t>
      </w:r>
    </w:p>
    <w:p>
      <w:pPr>
        <w:spacing w:before="0" w:after="0" w:line="400" w:lineRule="exact"/>
        <w:ind w:firstLine="0" w:firstLineChars="0"/>
        <w:rPr>
          <w:rFonts w:ascii="宋体" w:hAnsi="宋体" w:cs="宋体"/>
          <w:color w:val="auto"/>
          <w:szCs w:val="21"/>
          <w:highlight w:val="none"/>
        </w:rPr>
      </w:pPr>
    </w:p>
    <w:p>
      <w:pPr>
        <w:spacing w:before="0" w:after="0" w:line="400" w:lineRule="exact"/>
        <w:ind w:firstLine="420"/>
        <w:rPr>
          <w:rFonts w:ascii="宋体" w:hAnsi="宋体" w:cs="宋体"/>
          <w:color w:val="auto"/>
          <w:szCs w:val="20"/>
          <w:highlight w:val="none"/>
        </w:rPr>
      </w:pPr>
      <w:r>
        <w:rPr>
          <w:rFonts w:hint="eastAsia" w:ascii="宋体" w:hAnsi="宋体" w:cs="宋体"/>
          <w:color w:val="auto"/>
          <w:kern w:val="0"/>
          <w:szCs w:val="20"/>
          <w:highlight w:val="none"/>
        </w:rPr>
        <w:t>我</w:t>
      </w:r>
      <w:r>
        <w:rPr>
          <w:rFonts w:hint="eastAsia" w:ascii="宋体" w:hAnsi="宋体" w:cs="宋体"/>
          <w:color w:val="auto"/>
          <w:kern w:val="0"/>
          <w:szCs w:val="20"/>
          <w:highlight w:val="none"/>
          <w:u w:val="single"/>
        </w:rPr>
        <w:t xml:space="preserve">              </w:t>
      </w:r>
      <w:r>
        <w:rPr>
          <w:rFonts w:hint="eastAsia" w:ascii="宋体" w:hAnsi="宋体" w:cs="宋体"/>
          <w:color w:val="auto"/>
          <w:kern w:val="0"/>
          <w:szCs w:val="20"/>
          <w:highlight w:val="none"/>
        </w:rPr>
        <w:t>（姓名）系</w:t>
      </w:r>
      <w:r>
        <w:rPr>
          <w:rFonts w:hint="eastAsia" w:ascii="宋体" w:hAnsi="宋体" w:cs="宋体"/>
          <w:color w:val="auto"/>
          <w:kern w:val="0"/>
          <w:szCs w:val="20"/>
          <w:highlight w:val="none"/>
          <w:u w:val="single"/>
        </w:rPr>
        <w:t xml:space="preserve">                              </w:t>
      </w:r>
      <w:r>
        <w:rPr>
          <w:rFonts w:hint="eastAsia" w:ascii="宋体" w:hAnsi="宋体" w:cs="宋体"/>
          <w:color w:val="auto"/>
          <w:kern w:val="0"/>
          <w:szCs w:val="20"/>
          <w:highlight w:val="none"/>
        </w:rPr>
        <w:t>（供应商名称）的法定代表人（负责人），现授权委托本单位在职职工</w:t>
      </w:r>
      <w:r>
        <w:rPr>
          <w:rFonts w:hint="eastAsia" w:ascii="宋体" w:hAnsi="宋体" w:cs="宋体"/>
          <w:color w:val="auto"/>
          <w:kern w:val="0"/>
          <w:szCs w:val="20"/>
          <w:highlight w:val="none"/>
          <w:u w:val="single"/>
        </w:rPr>
        <w:t xml:space="preserve">            </w:t>
      </w:r>
      <w:r>
        <w:rPr>
          <w:rFonts w:hint="eastAsia" w:ascii="宋体" w:hAnsi="宋体" w:cs="宋体"/>
          <w:color w:val="auto"/>
          <w:kern w:val="0"/>
          <w:szCs w:val="20"/>
          <w:highlight w:val="none"/>
        </w:rPr>
        <w:t>（姓 名）以我公司名义参加</w:t>
      </w:r>
      <w:r>
        <w:rPr>
          <w:rFonts w:hint="eastAsia" w:ascii="宋体" w:hAnsi="宋体" w:cs="宋体"/>
          <w:color w:val="auto"/>
          <w:kern w:val="0"/>
          <w:szCs w:val="20"/>
          <w:highlight w:val="none"/>
          <w:u w:val="single"/>
        </w:rPr>
        <w:t xml:space="preserve">      </w:t>
      </w:r>
      <w:r>
        <w:rPr>
          <w:rFonts w:hint="eastAsia" w:ascii="宋体" w:hAnsi="宋体" w:cs="宋体"/>
          <w:color w:val="auto"/>
          <w:szCs w:val="20"/>
          <w:highlight w:val="none"/>
          <w:u w:val="single"/>
        </w:rPr>
        <w:t xml:space="preserve">（项目名称及项目编号）        </w:t>
      </w:r>
      <w:r>
        <w:rPr>
          <w:rFonts w:hint="eastAsia" w:ascii="宋体" w:hAnsi="宋体" w:cs="宋体"/>
          <w:color w:val="auto"/>
          <w:szCs w:val="20"/>
          <w:highlight w:val="none"/>
        </w:rPr>
        <w:t>项目的</w:t>
      </w:r>
      <w:r>
        <w:rPr>
          <w:rFonts w:hint="eastAsia" w:ascii="宋体" w:hAnsi="宋体" w:cs="宋体"/>
          <w:color w:val="auto"/>
          <w:szCs w:val="21"/>
          <w:highlight w:val="none"/>
        </w:rPr>
        <w:t>磋商</w:t>
      </w:r>
      <w:r>
        <w:rPr>
          <w:rFonts w:hint="eastAsia" w:ascii="宋体" w:hAnsi="宋体" w:cs="宋体"/>
          <w:color w:val="auto"/>
          <w:szCs w:val="20"/>
          <w:highlight w:val="none"/>
        </w:rPr>
        <w:t>活动，并代表我方全权办理针对上述项目的</w:t>
      </w:r>
      <w:r>
        <w:rPr>
          <w:rFonts w:hint="eastAsia" w:ascii="宋体" w:hAnsi="宋体" w:cs="宋体"/>
          <w:color w:val="auto"/>
          <w:szCs w:val="21"/>
          <w:highlight w:val="none"/>
        </w:rPr>
        <w:t>磋商</w:t>
      </w:r>
      <w:r>
        <w:rPr>
          <w:rFonts w:hint="eastAsia" w:ascii="宋体" w:hAnsi="宋体" w:cs="宋体"/>
          <w:color w:val="auto"/>
          <w:szCs w:val="20"/>
          <w:highlight w:val="none"/>
        </w:rPr>
        <w:t>、签约等具体事务和签署相关文件。</w:t>
      </w:r>
    </w:p>
    <w:p>
      <w:pPr>
        <w:spacing w:before="0" w:after="0" w:line="400" w:lineRule="exact"/>
        <w:ind w:firstLine="420"/>
        <w:rPr>
          <w:rFonts w:ascii="宋体" w:hAnsi="宋体" w:cs="宋体"/>
          <w:color w:val="auto"/>
          <w:szCs w:val="20"/>
          <w:highlight w:val="none"/>
        </w:rPr>
      </w:pPr>
      <w:r>
        <w:rPr>
          <w:rFonts w:hint="eastAsia" w:ascii="宋体" w:hAnsi="宋体" w:cs="宋体"/>
          <w:color w:val="auto"/>
          <w:szCs w:val="20"/>
          <w:highlight w:val="none"/>
        </w:rPr>
        <w:t>我方对被授权人的签字事项负全部责任。</w:t>
      </w:r>
    </w:p>
    <w:p>
      <w:pPr>
        <w:spacing w:before="0" w:after="0" w:line="400" w:lineRule="exact"/>
        <w:ind w:firstLine="420"/>
        <w:rPr>
          <w:rFonts w:ascii="宋体" w:hAnsi="宋体" w:cs="宋体"/>
          <w:color w:val="auto"/>
          <w:szCs w:val="20"/>
          <w:highlight w:val="none"/>
          <w:u w:val="single"/>
        </w:rPr>
      </w:pPr>
      <w:r>
        <w:rPr>
          <w:rFonts w:hint="eastAsia" w:ascii="宋体" w:hAnsi="宋体" w:cs="宋体"/>
          <w:color w:val="auto"/>
          <w:szCs w:val="20"/>
          <w:highlight w:val="none"/>
        </w:rPr>
        <w:t>授权委托代理期限：从</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年</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 xml:space="preserve">月 </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 xml:space="preserve"> 日起至</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年</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 xml:space="preserve">月 </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日止。</w:t>
      </w:r>
    </w:p>
    <w:p>
      <w:pPr>
        <w:spacing w:before="0" w:after="0" w:line="400" w:lineRule="exact"/>
        <w:ind w:firstLine="0" w:firstLineChars="0"/>
        <w:rPr>
          <w:rFonts w:ascii="宋体" w:hAnsi="宋体" w:cs="宋体"/>
          <w:color w:val="auto"/>
          <w:szCs w:val="20"/>
          <w:highlight w:val="none"/>
          <w:u w:val="single"/>
        </w:rPr>
      </w:pPr>
      <w:r>
        <w:rPr>
          <w:rFonts w:hint="eastAsia" w:ascii="宋体" w:hAnsi="宋体" w:cs="宋体"/>
          <w:color w:val="auto"/>
          <w:szCs w:val="20"/>
          <w:highlight w:val="none"/>
        </w:rPr>
        <w:t xml:space="preserve">                                                                                             </w:t>
      </w:r>
    </w:p>
    <w:p>
      <w:pPr>
        <w:spacing w:before="0" w:after="0" w:line="400" w:lineRule="exact"/>
        <w:ind w:firstLine="420"/>
        <w:rPr>
          <w:rFonts w:ascii="宋体" w:hAnsi="宋体" w:cs="宋体"/>
          <w:color w:val="auto"/>
          <w:kern w:val="0"/>
          <w:highlight w:val="none"/>
        </w:rPr>
      </w:pPr>
      <w:r>
        <w:rPr>
          <w:rFonts w:hint="eastAsia" w:ascii="宋体" w:hAnsi="宋体" w:cs="宋体"/>
          <w:color w:val="auto"/>
          <w:kern w:val="0"/>
          <w:highlight w:val="none"/>
        </w:rPr>
        <w:t xml:space="preserve">代理人无转委托权,特此委托。 </w:t>
      </w:r>
    </w:p>
    <w:p>
      <w:pPr>
        <w:snapToGrid w:val="0"/>
        <w:spacing w:before="0" w:after="0" w:line="400" w:lineRule="exact"/>
        <w:ind w:firstLine="525" w:firstLineChars="0"/>
        <w:outlineLvl w:val="4"/>
        <w:rPr>
          <w:rFonts w:ascii="宋体" w:hAnsi="宋体" w:cs="宋体"/>
          <w:color w:val="auto"/>
          <w:szCs w:val="21"/>
          <w:highlight w:val="none"/>
        </w:rPr>
      </w:pPr>
    </w:p>
    <w:p>
      <w:pPr>
        <w:snapToGrid w:val="0"/>
        <w:spacing w:before="0" w:after="0" w:line="400" w:lineRule="exact"/>
        <w:ind w:firstLine="420" w:firstLineChars="0"/>
        <w:outlineLvl w:val="4"/>
        <w:rPr>
          <w:rFonts w:ascii="宋体" w:hAnsi="宋体" w:cs="宋体"/>
          <w:color w:val="auto"/>
          <w:szCs w:val="21"/>
          <w:highlight w:val="none"/>
        </w:rPr>
      </w:pPr>
      <w:r>
        <w:rPr>
          <w:rFonts w:hint="eastAsia" w:ascii="宋体" w:hAnsi="宋体" w:cs="宋体"/>
          <w:color w:val="auto"/>
          <w:szCs w:val="21"/>
          <w:highlight w:val="none"/>
        </w:rPr>
        <w:t>我已在下面签字，以资证明。</w:t>
      </w:r>
    </w:p>
    <w:p>
      <w:pPr>
        <w:snapToGrid w:val="0"/>
        <w:spacing w:before="0" w:after="0" w:line="400" w:lineRule="exact"/>
        <w:ind w:firstLine="420" w:firstLineChars="0"/>
        <w:outlineLvl w:val="4"/>
        <w:rPr>
          <w:rFonts w:ascii="宋体" w:hAnsi="宋体" w:cs="宋体"/>
          <w:color w:val="auto"/>
          <w:szCs w:val="21"/>
          <w:highlight w:val="none"/>
        </w:rPr>
      </w:pPr>
    </w:p>
    <w:p>
      <w:pPr>
        <w:snapToGrid w:val="0"/>
        <w:spacing w:before="0" w:after="0" w:line="400" w:lineRule="exact"/>
        <w:ind w:firstLine="420" w:firstLineChars="0"/>
        <w:outlineLvl w:val="4"/>
        <w:rPr>
          <w:rFonts w:ascii="宋体" w:hAnsi="宋体" w:cs="宋体"/>
          <w:color w:val="auto"/>
          <w:szCs w:val="21"/>
          <w:highlight w:val="none"/>
        </w:rPr>
      </w:pPr>
    </w:p>
    <w:p>
      <w:pPr>
        <w:snapToGrid w:val="0"/>
        <w:spacing w:before="0" w:after="0" w:line="400" w:lineRule="exact"/>
        <w:ind w:firstLine="420" w:firstLineChars="0"/>
        <w:outlineLvl w:val="4"/>
        <w:rPr>
          <w:rFonts w:ascii="宋体" w:hAnsi="宋体" w:cs="宋体"/>
          <w:color w:val="auto"/>
          <w:szCs w:val="21"/>
          <w:highlight w:val="none"/>
          <w:u w:val="single"/>
        </w:rPr>
      </w:pPr>
      <w:r>
        <w:rPr>
          <w:rFonts w:hint="eastAsia" w:ascii="宋体" w:hAnsi="宋体" w:cs="宋体"/>
          <w:color w:val="auto"/>
          <w:szCs w:val="21"/>
          <w:highlight w:val="none"/>
        </w:rPr>
        <w:t>供应商（公章）：</w:t>
      </w:r>
      <w:r>
        <w:rPr>
          <w:rFonts w:hint="eastAsia" w:ascii="宋体" w:hAnsi="宋体" w:cs="宋体"/>
          <w:b/>
          <w:color w:val="auto"/>
          <w:szCs w:val="21"/>
          <w:highlight w:val="none"/>
          <w:u w:val="single"/>
        </w:rPr>
        <w:t xml:space="preserve">                                      </w:t>
      </w:r>
    </w:p>
    <w:p>
      <w:pPr>
        <w:snapToGrid w:val="0"/>
        <w:spacing w:before="0" w:after="0" w:line="400" w:lineRule="exact"/>
        <w:ind w:firstLine="420" w:firstLineChars="0"/>
        <w:outlineLvl w:val="4"/>
        <w:rPr>
          <w:rFonts w:ascii="宋体" w:hAnsi="宋体" w:cs="宋体"/>
          <w:color w:val="auto"/>
          <w:szCs w:val="21"/>
          <w:highlight w:val="none"/>
        </w:rPr>
      </w:pPr>
    </w:p>
    <w:p>
      <w:pPr>
        <w:snapToGrid w:val="0"/>
        <w:spacing w:before="0" w:after="0" w:line="400" w:lineRule="exact"/>
        <w:ind w:firstLine="420" w:firstLineChars="0"/>
        <w:outlineLvl w:val="4"/>
        <w:rPr>
          <w:rFonts w:ascii="宋体" w:hAnsi="宋体" w:cs="宋体"/>
          <w:color w:val="auto"/>
          <w:szCs w:val="21"/>
          <w:highlight w:val="none"/>
        </w:rPr>
      </w:pPr>
      <w:r>
        <w:rPr>
          <w:rFonts w:hint="eastAsia" w:ascii="宋体" w:hAnsi="宋体" w:cs="宋体"/>
          <w:color w:val="auto"/>
          <w:szCs w:val="21"/>
          <w:highlight w:val="none"/>
        </w:rPr>
        <w:t>法定代表人（负责人）签字或盖章：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napToGrid w:val="0"/>
        <w:spacing w:before="0" w:after="0" w:line="400" w:lineRule="exact"/>
        <w:ind w:firstLine="420" w:firstLineChars="0"/>
        <w:outlineLvl w:val="4"/>
        <w:rPr>
          <w:rFonts w:ascii="宋体" w:hAnsi="宋体" w:cs="宋体"/>
          <w:color w:val="auto"/>
          <w:szCs w:val="21"/>
          <w:highlight w:val="none"/>
        </w:rPr>
      </w:pPr>
    </w:p>
    <w:p>
      <w:pPr>
        <w:snapToGrid w:val="0"/>
        <w:spacing w:before="0" w:after="0" w:line="400" w:lineRule="exact"/>
        <w:ind w:firstLine="0" w:firstLineChars="0"/>
        <w:outlineLvl w:val="4"/>
        <w:rPr>
          <w:rFonts w:ascii="宋体" w:hAnsi="宋体" w:cs="宋体"/>
          <w:color w:val="auto"/>
          <w:sz w:val="28"/>
          <w:szCs w:val="28"/>
          <w:highlight w:val="none"/>
        </w:rPr>
      </w:pPr>
      <w:r>
        <w:rPr>
          <w:rFonts w:hint="eastAsia" w:ascii="宋体" w:hAnsi="宋体" w:cs="宋体"/>
          <w:b/>
          <w:color w:val="auto"/>
          <w:szCs w:val="21"/>
          <w:highlight w:val="none"/>
        </w:rPr>
        <w:t>附：委托代理人有效的身份证正反两面复印件以及由县级以上（含县级）社会养老保险经办机构出具的供应商为委托代理人交纳的开标截止时间前半年内任意三个月社保证明复印件；</w:t>
      </w:r>
    </w:p>
    <w:p>
      <w:pPr>
        <w:spacing w:before="0" w:after="0" w:line="240" w:lineRule="auto"/>
        <w:ind w:firstLine="0" w:firstLineChars="0"/>
        <w:rPr>
          <w:rFonts w:ascii="宋体" w:hAnsi="宋体" w:cs="宋体"/>
          <w:b/>
          <w:color w:val="auto"/>
          <w:sz w:val="32"/>
          <w:szCs w:val="20"/>
          <w:highlight w:val="none"/>
        </w:rPr>
      </w:pPr>
    </w:p>
    <w:p>
      <w:pPr>
        <w:spacing w:before="0" w:after="0" w:line="240" w:lineRule="auto"/>
        <w:ind w:firstLine="0" w:firstLineChars="0"/>
        <w:jc w:val="center"/>
        <w:rPr>
          <w:rFonts w:ascii="宋体" w:hAnsi="宋体" w:cs="宋体"/>
          <w:b/>
          <w:color w:val="auto"/>
          <w:sz w:val="32"/>
          <w:szCs w:val="20"/>
          <w:highlight w:val="none"/>
        </w:rPr>
      </w:pPr>
      <w:r>
        <w:rPr>
          <w:rFonts w:hint="eastAsia" w:ascii="宋体" w:hAnsi="宋体" w:cs="宋体"/>
          <w:b/>
          <w:color w:val="auto"/>
          <w:sz w:val="32"/>
          <w:szCs w:val="20"/>
          <w:highlight w:val="none"/>
        </w:rPr>
        <w:t>授权委托书（格式二）</w:t>
      </w:r>
    </w:p>
    <w:p>
      <w:pPr>
        <w:snapToGrid w:val="0"/>
        <w:spacing w:before="0" w:after="0" w:line="400" w:lineRule="exact"/>
        <w:ind w:firstLine="0" w:firstLineChars="0"/>
        <w:outlineLvl w:val="4"/>
        <w:rPr>
          <w:rFonts w:ascii="宋体" w:hAnsi="宋体" w:cs="宋体"/>
          <w:color w:val="auto"/>
          <w:highlight w:val="none"/>
        </w:rPr>
      </w:pPr>
      <w:r>
        <w:rPr>
          <w:rFonts w:hint="eastAsia" w:ascii="宋体" w:hAnsi="宋体" w:cs="宋体"/>
          <w:b/>
          <w:color w:val="auto"/>
          <w:szCs w:val="21"/>
          <w:highlight w:val="none"/>
        </w:rPr>
        <w:t>致</w:t>
      </w:r>
      <w:r>
        <w:rPr>
          <w:rFonts w:hint="eastAsia" w:ascii="宋体" w:hAnsi="宋体" w:cs="宋体"/>
          <w:color w:val="auto"/>
          <w:szCs w:val="21"/>
          <w:highlight w:val="none"/>
        </w:rPr>
        <w:t>：</w:t>
      </w:r>
      <w:r>
        <w:rPr>
          <w:rFonts w:hint="eastAsia" w:ascii="宋体" w:hAnsi="宋体" w:cs="宋体"/>
          <w:color w:val="auto"/>
          <w:highlight w:val="none"/>
          <w:u w:val="single"/>
        </w:rPr>
        <w:t>广西科文招标有限公司</w:t>
      </w:r>
    </w:p>
    <w:p>
      <w:pPr>
        <w:snapToGrid w:val="0"/>
        <w:spacing w:before="0" w:after="0" w:line="400" w:lineRule="exact"/>
        <w:ind w:firstLine="0" w:firstLineChars="0"/>
        <w:outlineLvl w:val="4"/>
        <w:rPr>
          <w:rFonts w:ascii="宋体" w:hAnsi="宋体" w:cs="宋体"/>
          <w:color w:val="auto"/>
          <w:szCs w:val="21"/>
          <w:highlight w:val="none"/>
          <w:u w:val="single"/>
        </w:rPr>
      </w:pPr>
    </w:p>
    <w:p>
      <w:pPr>
        <w:spacing w:before="0" w:after="0" w:line="340" w:lineRule="exact"/>
        <w:ind w:firstLine="420"/>
        <w:rPr>
          <w:rFonts w:ascii="宋体" w:hAnsi="宋体" w:cs="宋体"/>
          <w:color w:val="auto"/>
          <w:szCs w:val="20"/>
          <w:highlight w:val="none"/>
        </w:rPr>
      </w:pPr>
      <w:r>
        <w:rPr>
          <w:rFonts w:hint="eastAsia" w:ascii="宋体" w:hAnsi="宋体" w:cs="宋体"/>
          <w:color w:val="auto"/>
          <w:kern w:val="0"/>
          <w:szCs w:val="20"/>
          <w:highlight w:val="none"/>
        </w:rPr>
        <w:t>我</w:t>
      </w:r>
      <w:r>
        <w:rPr>
          <w:rFonts w:hint="eastAsia" w:ascii="宋体" w:hAnsi="宋体" w:cs="宋体"/>
          <w:color w:val="auto"/>
          <w:kern w:val="0"/>
          <w:szCs w:val="20"/>
          <w:highlight w:val="none"/>
          <w:u w:val="single"/>
        </w:rPr>
        <w:t xml:space="preserve">              </w:t>
      </w:r>
      <w:r>
        <w:rPr>
          <w:rFonts w:hint="eastAsia" w:ascii="宋体" w:hAnsi="宋体" w:cs="宋体"/>
          <w:color w:val="auto"/>
          <w:kern w:val="0"/>
          <w:szCs w:val="20"/>
          <w:highlight w:val="none"/>
        </w:rPr>
        <w:t>（姓名）系自然人，现授权委托</w:t>
      </w:r>
      <w:r>
        <w:rPr>
          <w:rFonts w:hint="eastAsia" w:ascii="宋体" w:hAnsi="宋体" w:cs="宋体"/>
          <w:color w:val="auto"/>
          <w:kern w:val="0"/>
          <w:szCs w:val="20"/>
          <w:highlight w:val="none"/>
          <w:u w:val="single"/>
        </w:rPr>
        <w:t xml:space="preserve">            </w:t>
      </w:r>
      <w:r>
        <w:rPr>
          <w:rFonts w:hint="eastAsia" w:ascii="宋体" w:hAnsi="宋体" w:cs="宋体"/>
          <w:color w:val="auto"/>
          <w:kern w:val="0"/>
          <w:szCs w:val="20"/>
          <w:highlight w:val="none"/>
        </w:rPr>
        <w:t>（姓 名）以本人名义参加</w:t>
      </w:r>
      <w:r>
        <w:rPr>
          <w:rFonts w:hint="eastAsia" w:ascii="宋体" w:hAnsi="宋体" w:cs="宋体"/>
          <w:color w:val="auto"/>
          <w:kern w:val="0"/>
          <w:szCs w:val="20"/>
          <w:highlight w:val="none"/>
          <w:u w:val="single"/>
        </w:rPr>
        <w:t xml:space="preserve">      </w:t>
      </w:r>
      <w:r>
        <w:rPr>
          <w:rFonts w:hint="eastAsia" w:ascii="宋体" w:hAnsi="宋体" w:cs="宋体"/>
          <w:color w:val="auto"/>
          <w:szCs w:val="20"/>
          <w:highlight w:val="none"/>
          <w:u w:val="single"/>
        </w:rPr>
        <w:t xml:space="preserve">（项目名称及项目编号）        </w:t>
      </w:r>
      <w:r>
        <w:rPr>
          <w:rFonts w:hint="eastAsia" w:ascii="宋体" w:hAnsi="宋体" w:cs="宋体"/>
          <w:color w:val="auto"/>
          <w:szCs w:val="20"/>
          <w:highlight w:val="none"/>
        </w:rPr>
        <w:t>项目的</w:t>
      </w:r>
      <w:r>
        <w:rPr>
          <w:rFonts w:hint="eastAsia" w:ascii="宋体" w:hAnsi="宋体" w:cs="宋体"/>
          <w:color w:val="auto"/>
          <w:szCs w:val="21"/>
          <w:highlight w:val="none"/>
        </w:rPr>
        <w:t>磋商</w:t>
      </w:r>
      <w:r>
        <w:rPr>
          <w:rFonts w:hint="eastAsia" w:ascii="宋体" w:hAnsi="宋体" w:cs="宋体"/>
          <w:color w:val="auto"/>
          <w:szCs w:val="20"/>
          <w:highlight w:val="none"/>
        </w:rPr>
        <w:t>活动，并代表本人全权办理针对上述项目的</w:t>
      </w:r>
      <w:r>
        <w:rPr>
          <w:rFonts w:hint="eastAsia" w:ascii="宋体" w:hAnsi="宋体" w:cs="宋体"/>
          <w:color w:val="auto"/>
          <w:szCs w:val="21"/>
          <w:highlight w:val="none"/>
        </w:rPr>
        <w:t>磋商</w:t>
      </w:r>
      <w:r>
        <w:rPr>
          <w:rFonts w:hint="eastAsia" w:ascii="宋体" w:hAnsi="宋体" w:cs="宋体"/>
          <w:color w:val="auto"/>
          <w:szCs w:val="20"/>
          <w:highlight w:val="none"/>
        </w:rPr>
        <w:t>、签约等具体事务和签署相关文件。</w:t>
      </w:r>
    </w:p>
    <w:p>
      <w:pPr>
        <w:spacing w:before="0" w:after="0" w:line="340" w:lineRule="exact"/>
        <w:ind w:firstLine="420"/>
        <w:rPr>
          <w:rFonts w:ascii="宋体" w:hAnsi="宋体" w:cs="宋体"/>
          <w:color w:val="auto"/>
          <w:szCs w:val="20"/>
          <w:highlight w:val="none"/>
        </w:rPr>
      </w:pPr>
      <w:r>
        <w:rPr>
          <w:rFonts w:hint="eastAsia" w:ascii="宋体" w:hAnsi="宋体" w:cs="宋体"/>
          <w:color w:val="auto"/>
          <w:szCs w:val="20"/>
          <w:highlight w:val="none"/>
        </w:rPr>
        <w:t>本人对被授权人的签字事项负全部责任。</w:t>
      </w:r>
    </w:p>
    <w:p>
      <w:pPr>
        <w:spacing w:before="0" w:after="0" w:line="340" w:lineRule="exact"/>
        <w:ind w:firstLine="420"/>
        <w:rPr>
          <w:rFonts w:ascii="宋体" w:hAnsi="宋体" w:cs="宋体"/>
          <w:color w:val="auto"/>
          <w:szCs w:val="20"/>
          <w:highlight w:val="none"/>
          <w:u w:val="single"/>
        </w:rPr>
      </w:pPr>
      <w:r>
        <w:rPr>
          <w:rFonts w:hint="eastAsia" w:ascii="宋体" w:hAnsi="宋体" w:cs="宋体"/>
          <w:color w:val="auto"/>
          <w:szCs w:val="20"/>
          <w:highlight w:val="none"/>
        </w:rPr>
        <w:t>授权委托代理期限：从</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年</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 xml:space="preserve">月 </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 xml:space="preserve"> 日起至</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年</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 xml:space="preserve">月 </w:t>
      </w:r>
      <w:r>
        <w:rPr>
          <w:rFonts w:hint="eastAsia" w:ascii="宋体" w:hAnsi="宋体" w:cs="宋体"/>
          <w:color w:val="auto"/>
          <w:szCs w:val="20"/>
          <w:highlight w:val="none"/>
          <w:u w:val="single"/>
        </w:rPr>
        <w:t xml:space="preserve">     </w:t>
      </w:r>
      <w:r>
        <w:rPr>
          <w:rFonts w:hint="eastAsia" w:ascii="宋体" w:hAnsi="宋体" w:cs="宋体"/>
          <w:color w:val="auto"/>
          <w:szCs w:val="20"/>
          <w:highlight w:val="none"/>
        </w:rPr>
        <w:t>日止。</w:t>
      </w:r>
    </w:p>
    <w:p>
      <w:pPr>
        <w:spacing w:before="0" w:after="0" w:line="340" w:lineRule="exact"/>
        <w:ind w:firstLine="0" w:firstLineChars="0"/>
        <w:rPr>
          <w:rFonts w:ascii="宋体" w:hAnsi="宋体" w:cs="宋体"/>
          <w:color w:val="auto"/>
          <w:szCs w:val="20"/>
          <w:highlight w:val="none"/>
          <w:u w:val="single"/>
        </w:rPr>
      </w:pPr>
      <w:r>
        <w:rPr>
          <w:rFonts w:hint="eastAsia" w:ascii="宋体" w:hAnsi="宋体" w:cs="宋体"/>
          <w:color w:val="auto"/>
          <w:szCs w:val="20"/>
          <w:highlight w:val="none"/>
        </w:rPr>
        <w:t xml:space="preserve">                                                                                             </w:t>
      </w:r>
    </w:p>
    <w:p>
      <w:pPr>
        <w:spacing w:before="0" w:after="0" w:line="340" w:lineRule="exact"/>
        <w:ind w:firstLine="420"/>
        <w:rPr>
          <w:rFonts w:ascii="宋体" w:hAnsi="宋体" w:cs="宋体"/>
          <w:color w:val="auto"/>
          <w:kern w:val="0"/>
          <w:highlight w:val="none"/>
        </w:rPr>
      </w:pPr>
      <w:r>
        <w:rPr>
          <w:rFonts w:hint="eastAsia" w:ascii="宋体" w:hAnsi="宋体" w:cs="宋体"/>
          <w:color w:val="auto"/>
          <w:kern w:val="0"/>
          <w:highlight w:val="none"/>
        </w:rPr>
        <w:t xml:space="preserve">代理人无转委托权,特此委托。 </w:t>
      </w:r>
    </w:p>
    <w:p>
      <w:pPr>
        <w:snapToGrid w:val="0"/>
        <w:spacing w:before="0" w:after="0" w:line="340" w:lineRule="exact"/>
        <w:ind w:firstLine="525" w:firstLineChars="0"/>
        <w:outlineLvl w:val="4"/>
        <w:rPr>
          <w:rFonts w:ascii="宋体" w:hAnsi="宋体" w:cs="宋体"/>
          <w:color w:val="auto"/>
          <w:szCs w:val="21"/>
          <w:highlight w:val="none"/>
        </w:rPr>
      </w:pPr>
    </w:p>
    <w:p>
      <w:pPr>
        <w:snapToGrid w:val="0"/>
        <w:spacing w:before="0" w:after="0" w:line="340" w:lineRule="exact"/>
        <w:ind w:firstLine="420" w:firstLineChars="0"/>
        <w:outlineLvl w:val="4"/>
        <w:rPr>
          <w:rFonts w:ascii="宋体" w:hAnsi="宋体" w:cs="宋体"/>
          <w:color w:val="auto"/>
          <w:szCs w:val="21"/>
          <w:highlight w:val="none"/>
        </w:rPr>
      </w:pPr>
      <w:r>
        <w:rPr>
          <w:rFonts w:hint="eastAsia" w:ascii="宋体" w:hAnsi="宋体" w:cs="宋体"/>
          <w:color w:val="auto"/>
          <w:szCs w:val="21"/>
          <w:highlight w:val="none"/>
        </w:rPr>
        <w:t>我已在下面签字，以资证明。</w:t>
      </w:r>
    </w:p>
    <w:p>
      <w:pPr>
        <w:snapToGrid w:val="0"/>
        <w:spacing w:before="0" w:after="0" w:line="340" w:lineRule="exact"/>
        <w:ind w:firstLine="420" w:firstLineChars="0"/>
        <w:outlineLvl w:val="4"/>
        <w:rPr>
          <w:rFonts w:ascii="宋体" w:hAnsi="宋体" w:cs="宋体"/>
          <w:color w:val="auto"/>
          <w:szCs w:val="21"/>
          <w:highlight w:val="none"/>
        </w:rPr>
      </w:pPr>
    </w:p>
    <w:p>
      <w:pPr>
        <w:snapToGrid w:val="0"/>
        <w:spacing w:before="0" w:after="0" w:line="340" w:lineRule="exact"/>
        <w:ind w:firstLine="420" w:firstLineChars="0"/>
        <w:outlineLvl w:val="4"/>
        <w:rPr>
          <w:rFonts w:ascii="宋体" w:hAnsi="宋体" w:cs="宋体"/>
          <w:color w:val="auto"/>
          <w:szCs w:val="21"/>
          <w:highlight w:val="none"/>
        </w:rPr>
      </w:pPr>
      <w:r>
        <w:rPr>
          <w:rFonts w:hint="eastAsia" w:ascii="宋体" w:hAnsi="宋体" w:cs="宋体"/>
          <w:color w:val="auto"/>
          <w:szCs w:val="21"/>
          <w:highlight w:val="none"/>
        </w:rPr>
        <w:t>自然人签字并在签名处加盖食指指印：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before="0" w:after="0" w:line="400" w:lineRule="exact"/>
        <w:ind w:left="420" w:leftChars="200" w:firstLine="0" w:firstLineChars="0"/>
        <w:rPr>
          <w:rFonts w:ascii="宋体" w:hAnsi="宋体" w:cs="宋体"/>
          <w:color w:val="auto"/>
          <w:szCs w:val="21"/>
          <w:highlight w:val="none"/>
        </w:rPr>
      </w:pPr>
    </w:p>
    <w:p>
      <w:pPr>
        <w:spacing w:before="0" w:after="0" w:line="400" w:lineRule="exact"/>
        <w:ind w:left="420" w:leftChars="200" w:firstLine="0" w:firstLineChars="0"/>
        <w:rPr>
          <w:rFonts w:ascii="宋体" w:hAnsi="宋体" w:cs="宋体"/>
          <w:b/>
          <w:color w:val="auto"/>
          <w:sz w:val="24"/>
          <w:highlight w:val="none"/>
        </w:rPr>
      </w:pPr>
      <w:r>
        <w:rPr>
          <w:rFonts w:hint="eastAsia" w:ascii="宋体" w:hAnsi="宋体" w:cs="宋体"/>
          <w:b/>
          <w:color w:val="auto"/>
          <w:sz w:val="24"/>
          <w:highlight w:val="none"/>
        </w:rPr>
        <w:t>附：委托代理人身份证正反面复印件以及由县级以上（含县级）社会养老保险经办机构出</w:t>
      </w:r>
    </w:p>
    <w:p>
      <w:pPr>
        <w:spacing w:before="0" w:after="0" w:line="400" w:lineRule="exact"/>
        <w:ind w:firstLine="0" w:firstLineChars="0"/>
        <w:rPr>
          <w:rFonts w:ascii="宋体" w:hAnsi="宋体" w:cs="宋体"/>
          <w:b/>
          <w:color w:val="auto"/>
          <w:sz w:val="24"/>
          <w:highlight w:val="none"/>
        </w:rPr>
      </w:pPr>
      <w:r>
        <w:rPr>
          <w:rFonts w:hint="eastAsia" w:ascii="宋体" w:hAnsi="宋体" w:cs="宋体"/>
          <w:b/>
          <w:color w:val="auto"/>
          <w:sz w:val="24"/>
          <w:highlight w:val="none"/>
        </w:rPr>
        <w:t>具的自然人本人及委托代理人所交纳的社保证明复印件（委托代理时必须提供）。</w:t>
      </w:r>
    </w:p>
    <w:p>
      <w:pPr>
        <w:spacing w:before="0" w:after="0" w:line="400" w:lineRule="exact"/>
        <w:ind w:firstLine="0" w:firstLineChars="0"/>
        <w:rPr>
          <w:rFonts w:ascii="宋体" w:hAnsi="宋体" w:cs="宋体"/>
          <w:b/>
          <w:color w:val="auto"/>
          <w:sz w:val="24"/>
          <w:highlight w:val="none"/>
        </w:rPr>
      </w:pPr>
    </w:p>
    <w:p>
      <w:pPr>
        <w:spacing w:before="0" w:after="0" w:line="400" w:lineRule="exact"/>
        <w:ind w:firstLine="0" w:firstLineChars="0"/>
        <w:rPr>
          <w:rFonts w:ascii="宋体" w:hAnsi="宋体" w:cs="宋体"/>
          <w:b/>
          <w:color w:val="auto"/>
          <w:sz w:val="24"/>
          <w:highlight w:val="none"/>
        </w:rPr>
      </w:pPr>
    </w:p>
    <w:p>
      <w:pPr>
        <w:spacing w:before="0" w:after="0" w:line="400" w:lineRule="exact"/>
        <w:ind w:firstLine="0" w:firstLineChars="0"/>
        <w:rPr>
          <w:rFonts w:ascii="宋体" w:hAnsi="宋体" w:cs="宋体"/>
          <w:b/>
          <w:color w:val="auto"/>
          <w:sz w:val="32"/>
          <w:szCs w:val="32"/>
          <w:highlight w:val="none"/>
        </w:rPr>
      </w:pPr>
      <w:r>
        <w:rPr>
          <w:rFonts w:hint="eastAsia" w:ascii="宋体" w:hAnsi="宋体" w:cs="宋体"/>
          <w:b/>
          <w:color w:val="auto"/>
          <w:sz w:val="32"/>
          <w:szCs w:val="32"/>
          <w:highlight w:val="none"/>
        </w:rPr>
        <w:t>4. 供应商参加政府采购活动前3年内在经营活动中没有重大违法记录的书面声明（必须提供）</w:t>
      </w:r>
    </w:p>
    <w:p>
      <w:pPr>
        <w:spacing w:before="0" w:after="0" w:line="400" w:lineRule="exact"/>
        <w:ind w:left="420" w:leftChars="200" w:firstLine="156" w:firstLineChars="49"/>
        <w:rPr>
          <w:rFonts w:ascii="宋体" w:hAnsi="宋体" w:cs="宋体"/>
          <w:b/>
          <w:color w:val="auto"/>
          <w:sz w:val="32"/>
          <w:szCs w:val="32"/>
          <w:highlight w:val="none"/>
        </w:rPr>
      </w:pPr>
      <w:r>
        <w:rPr>
          <w:rFonts w:hint="eastAsia" w:ascii="宋体" w:hAnsi="宋体" w:cs="宋体"/>
          <w:b/>
          <w:color w:val="auto"/>
          <w:sz w:val="32"/>
          <w:szCs w:val="32"/>
          <w:highlight w:val="none"/>
        </w:rPr>
        <w:t xml:space="preserve">                       </w:t>
      </w:r>
    </w:p>
    <w:p>
      <w:pPr>
        <w:spacing w:before="0" w:after="0" w:line="400" w:lineRule="exact"/>
        <w:ind w:left="420" w:leftChars="200" w:firstLine="156" w:firstLineChars="49"/>
        <w:rPr>
          <w:rFonts w:ascii="宋体" w:hAnsi="宋体" w:cs="宋体"/>
          <w:b/>
          <w:color w:val="auto"/>
          <w:sz w:val="32"/>
          <w:szCs w:val="32"/>
          <w:highlight w:val="none"/>
        </w:rPr>
      </w:pPr>
      <w:r>
        <w:rPr>
          <w:rFonts w:hint="eastAsia" w:ascii="宋体" w:hAnsi="宋体" w:cs="宋体"/>
          <w:b/>
          <w:color w:val="auto"/>
          <w:sz w:val="32"/>
          <w:szCs w:val="32"/>
          <w:highlight w:val="none"/>
        </w:rPr>
        <w:t>附件：</w:t>
      </w:r>
    </w:p>
    <w:p>
      <w:pPr>
        <w:spacing w:before="0" w:after="0" w:line="400" w:lineRule="exact"/>
        <w:ind w:firstLine="0" w:firstLineChars="0"/>
        <w:jc w:val="center"/>
        <w:rPr>
          <w:rFonts w:ascii="宋体" w:hAnsi="宋体" w:cs="宋体"/>
          <w:b/>
          <w:color w:val="auto"/>
          <w:sz w:val="32"/>
          <w:szCs w:val="32"/>
          <w:highlight w:val="none"/>
        </w:rPr>
      </w:pPr>
      <w:r>
        <w:rPr>
          <w:rFonts w:hint="eastAsia" w:ascii="宋体" w:hAnsi="宋体" w:cs="宋体"/>
          <w:b/>
          <w:color w:val="auto"/>
          <w:sz w:val="32"/>
          <w:szCs w:val="32"/>
          <w:highlight w:val="none"/>
        </w:rPr>
        <w:t>声   明</w:t>
      </w:r>
    </w:p>
    <w:p>
      <w:pPr>
        <w:snapToGrid w:val="0"/>
        <w:spacing w:before="0" w:after="0" w:line="400" w:lineRule="exact"/>
        <w:ind w:firstLine="0" w:firstLineChars="0"/>
        <w:outlineLvl w:val="4"/>
        <w:rPr>
          <w:rFonts w:ascii="宋体" w:hAnsi="宋体" w:cs="宋体"/>
          <w:color w:val="auto"/>
          <w:highlight w:val="none"/>
        </w:rPr>
      </w:pPr>
      <w:r>
        <w:rPr>
          <w:rFonts w:hint="eastAsia" w:ascii="宋体" w:hAnsi="宋体" w:cs="宋体"/>
          <w:b/>
          <w:color w:val="auto"/>
          <w:szCs w:val="21"/>
          <w:highlight w:val="none"/>
        </w:rPr>
        <w:t>致</w:t>
      </w:r>
      <w:r>
        <w:rPr>
          <w:rFonts w:hint="eastAsia" w:ascii="宋体" w:hAnsi="宋体" w:cs="宋体"/>
          <w:color w:val="auto"/>
          <w:szCs w:val="21"/>
          <w:highlight w:val="none"/>
        </w:rPr>
        <w:t>：</w:t>
      </w:r>
      <w:r>
        <w:rPr>
          <w:rFonts w:hint="eastAsia" w:ascii="宋体" w:hAnsi="宋体" w:cs="宋体"/>
          <w:color w:val="auto"/>
          <w:highlight w:val="none"/>
          <w:u w:val="single"/>
        </w:rPr>
        <w:t>广西科文招标有限公司</w:t>
      </w:r>
    </w:p>
    <w:p>
      <w:pPr>
        <w:snapToGrid w:val="0"/>
        <w:spacing w:before="0" w:after="0" w:line="400" w:lineRule="exact"/>
        <w:ind w:firstLine="0" w:firstLineChars="0"/>
        <w:outlineLvl w:val="4"/>
        <w:rPr>
          <w:rFonts w:ascii="宋体" w:hAnsi="宋体" w:cs="宋体"/>
          <w:color w:val="auto"/>
          <w:szCs w:val="21"/>
          <w:highlight w:val="none"/>
          <w:u w:val="single"/>
        </w:rPr>
      </w:pPr>
    </w:p>
    <w:p>
      <w:pPr>
        <w:snapToGrid w:val="0"/>
        <w:spacing w:before="0" w:after="0" w:line="400" w:lineRule="exact"/>
        <w:ind w:firstLine="420" w:firstLineChars="0"/>
        <w:outlineLvl w:val="4"/>
        <w:rPr>
          <w:rFonts w:ascii="宋体" w:hAnsi="宋体" w:cs="宋体"/>
          <w:color w:val="auto"/>
          <w:szCs w:val="21"/>
          <w:highlight w:val="none"/>
        </w:rPr>
      </w:pPr>
      <w:r>
        <w:rPr>
          <w:rFonts w:hint="eastAsia" w:ascii="宋体" w:hAnsi="宋体" w:cs="宋体"/>
          <w:color w:val="auto"/>
          <w:szCs w:val="20"/>
          <w:highlight w:val="none"/>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before="0" w:after="0" w:line="400" w:lineRule="exact"/>
        <w:ind w:firstLine="420" w:firstLineChars="0"/>
        <w:outlineLvl w:val="4"/>
        <w:rPr>
          <w:rFonts w:ascii="宋体" w:hAnsi="宋体" w:cs="宋体"/>
          <w:color w:val="auto"/>
          <w:szCs w:val="21"/>
          <w:highlight w:val="none"/>
        </w:rPr>
      </w:pPr>
    </w:p>
    <w:p>
      <w:pPr>
        <w:snapToGrid w:val="0"/>
        <w:spacing w:before="0" w:after="0" w:line="400" w:lineRule="exact"/>
        <w:ind w:firstLine="4935" w:firstLineChars="2350"/>
        <w:outlineLvl w:val="4"/>
        <w:rPr>
          <w:rFonts w:ascii="宋体" w:hAnsi="宋体" w:cs="宋体"/>
          <w:color w:val="auto"/>
          <w:szCs w:val="21"/>
          <w:highlight w:val="none"/>
          <w:u w:val="single"/>
        </w:rPr>
      </w:pPr>
      <w:r>
        <w:rPr>
          <w:rFonts w:hint="eastAsia" w:ascii="宋体" w:hAnsi="宋体" w:cs="宋体"/>
          <w:color w:val="auto"/>
          <w:szCs w:val="21"/>
          <w:highlight w:val="none"/>
        </w:rPr>
        <w:t>供应商（公章，自然人除外）：</w:t>
      </w:r>
      <w:r>
        <w:rPr>
          <w:rFonts w:hint="eastAsia" w:ascii="宋体" w:hAnsi="宋体" w:cs="宋体"/>
          <w:color w:val="auto"/>
          <w:szCs w:val="21"/>
          <w:highlight w:val="none"/>
          <w:u w:val="single"/>
        </w:rPr>
        <w:t xml:space="preserve">                                         </w:t>
      </w:r>
    </w:p>
    <w:p>
      <w:pPr>
        <w:snapToGrid w:val="0"/>
        <w:spacing w:before="0" w:after="0" w:line="400" w:lineRule="exact"/>
        <w:ind w:firstLine="420" w:firstLineChars="0"/>
        <w:outlineLvl w:val="4"/>
        <w:rPr>
          <w:rFonts w:ascii="宋体" w:hAnsi="宋体" w:cs="宋体"/>
          <w:color w:val="auto"/>
          <w:szCs w:val="21"/>
          <w:highlight w:val="none"/>
        </w:rPr>
      </w:pPr>
    </w:p>
    <w:p>
      <w:pPr>
        <w:spacing w:before="0" w:after="0" w:line="340" w:lineRule="exact"/>
        <w:ind w:left="4935" w:leftChars="2350" w:firstLine="0" w:firstLineChars="0"/>
        <w:rPr>
          <w:rFonts w:ascii="宋体" w:hAnsi="宋体" w:cs="宋体"/>
          <w:color w:val="auto"/>
          <w:szCs w:val="21"/>
          <w:highlight w:val="none"/>
          <w:u w:val="single"/>
        </w:rPr>
      </w:pPr>
      <w:r>
        <w:rPr>
          <w:rFonts w:hint="eastAsia" w:ascii="宋体" w:hAnsi="宋体" w:cs="宋体"/>
          <w:color w:val="auto"/>
          <w:highlight w:val="none"/>
        </w:rPr>
        <w:t>法定代表人、负责人、自然人或相应的委托代理人签字或盖章（属自然人的应在签名处加盖食指指印）：</w:t>
      </w:r>
      <w:r>
        <w:rPr>
          <w:rFonts w:hint="eastAsia" w:ascii="宋体" w:hAnsi="宋体" w:cs="宋体"/>
          <w:color w:val="auto"/>
          <w:szCs w:val="21"/>
          <w:highlight w:val="none"/>
          <w:u w:val="single"/>
        </w:rPr>
        <w:t xml:space="preserve">                        </w:t>
      </w:r>
    </w:p>
    <w:p>
      <w:pPr>
        <w:spacing w:before="0" w:after="0" w:line="240" w:lineRule="auto"/>
        <w:ind w:firstLine="5040" w:firstLineChars="2400"/>
        <w:rPr>
          <w:rFonts w:ascii="宋体" w:hAnsi="宋体" w:cs="宋体"/>
          <w:color w:val="auto"/>
          <w:szCs w:val="20"/>
          <w:highlight w:val="none"/>
        </w:rPr>
      </w:pPr>
    </w:p>
    <w:p>
      <w:pPr>
        <w:spacing w:before="0" w:after="0" w:line="240" w:lineRule="auto"/>
        <w:ind w:firstLine="5040" w:firstLineChars="2400"/>
        <w:rPr>
          <w:rFonts w:ascii="宋体" w:hAnsi="宋体" w:cs="宋体"/>
          <w:b/>
          <w:color w:val="auto"/>
          <w:sz w:val="32"/>
          <w:szCs w:val="20"/>
          <w:highlight w:val="none"/>
        </w:rPr>
      </w:pPr>
      <w:r>
        <w:rPr>
          <w:rFonts w:hint="eastAsia" w:ascii="宋体" w:hAnsi="宋体" w:cs="宋体"/>
          <w:color w:val="auto"/>
          <w:szCs w:val="20"/>
          <w:highlight w:val="none"/>
        </w:rPr>
        <w:t>日          期：</w:t>
      </w:r>
      <w:r>
        <w:rPr>
          <w:rFonts w:hint="eastAsia" w:ascii="宋体" w:hAnsi="宋体" w:cs="宋体"/>
          <w:color w:val="auto"/>
          <w:szCs w:val="20"/>
          <w:highlight w:val="none"/>
          <w:u w:val="single"/>
        </w:rPr>
        <w:t xml:space="preserve">                         </w:t>
      </w:r>
    </w:p>
    <w:p>
      <w:pPr>
        <w:spacing w:before="0" w:after="0" w:line="340" w:lineRule="exact"/>
        <w:ind w:firstLine="0" w:firstLineChars="0"/>
        <w:rPr>
          <w:rFonts w:ascii="宋体" w:hAnsi="宋体" w:cs="宋体"/>
          <w:b/>
          <w:color w:val="auto"/>
          <w:sz w:val="32"/>
          <w:szCs w:val="20"/>
          <w:highlight w:val="none"/>
        </w:rPr>
      </w:pPr>
      <w:r>
        <w:rPr>
          <w:rFonts w:hint="eastAsia" w:ascii="宋体" w:hAnsi="宋体" w:cs="宋体"/>
          <w:b/>
          <w:color w:val="auto"/>
          <w:sz w:val="32"/>
          <w:szCs w:val="20"/>
          <w:highlight w:val="none"/>
        </w:rPr>
        <w:t>5.供应商的法人或者其他组织三证合一营业执照等证明文件（必须提供，自然人除外）；</w:t>
      </w:r>
    </w:p>
    <w:p>
      <w:pPr>
        <w:tabs>
          <w:tab w:val="left" w:pos="1305"/>
        </w:tabs>
        <w:spacing w:before="0" w:after="0" w:line="340" w:lineRule="exact"/>
        <w:ind w:firstLine="0" w:firstLineChars="0"/>
        <w:rPr>
          <w:rFonts w:ascii="宋体" w:hAnsi="宋体" w:cs="宋体"/>
          <w:b/>
          <w:color w:val="auto"/>
          <w:szCs w:val="21"/>
          <w:highlight w:val="none"/>
        </w:rPr>
      </w:pPr>
    </w:p>
    <w:p>
      <w:pPr>
        <w:tabs>
          <w:tab w:val="left" w:pos="1305"/>
        </w:tabs>
        <w:spacing w:before="0" w:after="0" w:line="400" w:lineRule="exact"/>
        <w:ind w:firstLine="0" w:firstLineChars="0"/>
        <w:rPr>
          <w:rFonts w:ascii="宋体" w:hAnsi="宋体" w:cs="宋体"/>
          <w:b/>
          <w:color w:val="auto"/>
          <w:szCs w:val="21"/>
          <w:highlight w:val="none"/>
        </w:rPr>
      </w:pPr>
      <w:r>
        <w:rPr>
          <w:rFonts w:hint="eastAsia" w:ascii="宋体" w:hAnsi="宋体" w:cs="宋体"/>
          <w:b/>
          <w:color w:val="auto"/>
          <w:szCs w:val="21"/>
          <w:highlight w:val="none"/>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before="0" w:after="0" w:line="320" w:lineRule="exact"/>
        <w:ind w:firstLine="0" w:firstLineChars="0"/>
        <w:rPr>
          <w:rFonts w:ascii="宋体" w:hAnsi="宋体" w:cs="宋体"/>
          <w:b/>
          <w:color w:val="auto"/>
          <w:sz w:val="28"/>
          <w:szCs w:val="28"/>
          <w:highlight w:val="none"/>
        </w:rPr>
      </w:pPr>
    </w:p>
    <w:p>
      <w:pPr>
        <w:spacing w:before="0" w:after="0" w:line="320" w:lineRule="exact"/>
        <w:ind w:firstLine="0" w:firstLineChars="0"/>
        <w:rPr>
          <w:rFonts w:ascii="宋体" w:hAnsi="宋体" w:cs="宋体"/>
          <w:b/>
          <w:color w:val="auto"/>
          <w:sz w:val="28"/>
          <w:szCs w:val="28"/>
          <w:highlight w:val="none"/>
        </w:rPr>
      </w:pPr>
    </w:p>
    <w:p>
      <w:pPr>
        <w:spacing w:before="0" w:after="0" w:line="320" w:lineRule="exact"/>
        <w:ind w:firstLine="0" w:firstLineChars="0"/>
        <w:rPr>
          <w:rFonts w:ascii="宋体" w:hAnsi="宋体" w:cs="宋体"/>
          <w:b/>
          <w:color w:val="auto"/>
          <w:sz w:val="28"/>
          <w:szCs w:val="28"/>
          <w:highlight w:val="none"/>
        </w:rPr>
      </w:pPr>
    </w:p>
    <w:p>
      <w:pPr>
        <w:spacing w:before="0" w:after="0" w:line="320" w:lineRule="exact"/>
        <w:ind w:firstLine="0" w:firstLineChars="0"/>
        <w:rPr>
          <w:rFonts w:ascii="宋体" w:hAnsi="宋体" w:cs="宋体"/>
          <w:b/>
          <w:color w:val="auto"/>
          <w:sz w:val="28"/>
          <w:szCs w:val="28"/>
          <w:highlight w:val="none"/>
        </w:rPr>
      </w:pPr>
    </w:p>
    <w:p>
      <w:pPr>
        <w:spacing w:before="0" w:after="0" w:line="320" w:lineRule="exact"/>
        <w:ind w:firstLine="0" w:firstLineChars="0"/>
        <w:rPr>
          <w:rFonts w:ascii="宋体" w:hAnsi="宋体" w:cs="宋体"/>
          <w:b/>
          <w:color w:val="auto"/>
          <w:sz w:val="28"/>
          <w:szCs w:val="28"/>
          <w:highlight w:val="none"/>
        </w:rPr>
      </w:pPr>
    </w:p>
    <w:p>
      <w:pPr>
        <w:spacing w:before="0" w:after="0" w:line="320" w:lineRule="exact"/>
        <w:ind w:firstLine="0" w:firstLineChars="0"/>
        <w:rPr>
          <w:rFonts w:ascii="宋体" w:hAnsi="宋体" w:cs="宋体"/>
          <w:b/>
          <w:color w:val="auto"/>
          <w:sz w:val="28"/>
          <w:szCs w:val="28"/>
          <w:highlight w:val="none"/>
        </w:rPr>
      </w:pPr>
    </w:p>
    <w:p>
      <w:pPr>
        <w:spacing w:before="0" w:after="0" w:line="320" w:lineRule="exact"/>
        <w:ind w:firstLine="0" w:firstLineChars="0"/>
        <w:rPr>
          <w:rFonts w:ascii="宋体" w:hAnsi="宋体" w:cs="宋体"/>
          <w:b/>
          <w:color w:val="auto"/>
          <w:sz w:val="28"/>
          <w:szCs w:val="28"/>
          <w:highlight w:val="none"/>
        </w:rPr>
      </w:pPr>
    </w:p>
    <w:p>
      <w:pPr>
        <w:spacing w:before="0" w:after="0" w:line="320" w:lineRule="exact"/>
        <w:ind w:firstLine="0" w:firstLineChars="0"/>
        <w:rPr>
          <w:rFonts w:ascii="宋体" w:hAnsi="宋体" w:cs="宋体"/>
          <w:b/>
          <w:color w:val="auto"/>
          <w:sz w:val="28"/>
          <w:szCs w:val="28"/>
          <w:highlight w:val="none"/>
        </w:rPr>
      </w:pPr>
    </w:p>
    <w:p>
      <w:pPr>
        <w:spacing w:before="0" w:after="0" w:line="320" w:lineRule="exact"/>
        <w:ind w:firstLine="0" w:firstLineChars="0"/>
        <w:rPr>
          <w:rFonts w:ascii="宋体" w:hAnsi="宋体" w:cs="宋体"/>
          <w:b/>
          <w:color w:val="auto"/>
          <w:sz w:val="28"/>
          <w:szCs w:val="28"/>
          <w:highlight w:val="none"/>
        </w:rPr>
      </w:pPr>
      <w:r>
        <w:rPr>
          <w:rFonts w:hint="eastAsia" w:ascii="宋体" w:hAnsi="宋体" w:cs="宋体"/>
          <w:b/>
          <w:color w:val="auto"/>
          <w:sz w:val="28"/>
          <w:szCs w:val="28"/>
          <w:highlight w:val="none"/>
        </w:rPr>
        <w:t xml:space="preserve">6. </w:t>
      </w:r>
      <w:r>
        <w:rPr>
          <w:rFonts w:hint="eastAsia" w:ascii="宋体" w:hAnsi="宋体" w:cs="宋体"/>
          <w:b/>
          <w:color w:val="auto"/>
          <w:sz w:val="32"/>
          <w:szCs w:val="20"/>
          <w:highlight w:val="none"/>
        </w:rPr>
        <w:t>磋商报价</w:t>
      </w:r>
      <w:r>
        <w:rPr>
          <w:rFonts w:hint="eastAsia" w:ascii="宋体" w:hAnsi="宋体" w:cs="宋体"/>
          <w:b/>
          <w:color w:val="auto"/>
          <w:sz w:val="28"/>
          <w:szCs w:val="28"/>
          <w:highlight w:val="none"/>
        </w:rPr>
        <w:t>表（格式见附件）（必须提供）；</w:t>
      </w:r>
    </w:p>
    <w:p>
      <w:pPr>
        <w:spacing w:before="0" w:after="0" w:line="300" w:lineRule="exact"/>
        <w:ind w:left="420" w:firstLine="0" w:firstLineChars="0"/>
        <w:jc w:val="left"/>
        <w:rPr>
          <w:rFonts w:ascii="宋体" w:hAnsi="宋体" w:cs="宋体"/>
          <w:b/>
          <w:color w:val="auto"/>
          <w:sz w:val="24"/>
          <w:highlight w:val="none"/>
        </w:rPr>
      </w:pPr>
    </w:p>
    <w:p>
      <w:pPr>
        <w:spacing w:before="0" w:after="0" w:line="300" w:lineRule="exact"/>
        <w:ind w:left="420" w:firstLine="0" w:firstLineChars="0"/>
        <w:jc w:val="left"/>
        <w:rPr>
          <w:rFonts w:ascii="宋体" w:hAnsi="宋体" w:cs="宋体"/>
          <w:b/>
          <w:color w:val="auto"/>
          <w:sz w:val="24"/>
          <w:highlight w:val="none"/>
        </w:rPr>
      </w:pPr>
      <w:r>
        <w:rPr>
          <w:rFonts w:hint="eastAsia" w:ascii="宋体" w:hAnsi="宋体" w:cs="宋体"/>
          <w:b/>
          <w:color w:val="auto"/>
          <w:sz w:val="24"/>
          <w:highlight w:val="none"/>
        </w:rPr>
        <w:t xml:space="preserve">附件：                                     </w:t>
      </w:r>
    </w:p>
    <w:p>
      <w:pPr>
        <w:spacing w:before="0" w:after="0" w:line="300" w:lineRule="exact"/>
        <w:ind w:left="420" w:firstLine="0" w:firstLineChars="0"/>
        <w:jc w:val="center"/>
        <w:rPr>
          <w:rFonts w:ascii="宋体" w:hAnsi="宋体" w:cs="宋体"/>
          <w:b/>
          <w:color w:val="auto"/>
          <w:sz w:val="32"/>
          <w:szCs w:val="20"/>
          <w:highlight w:val="none"/>
        </w:rPr>
      </w:pPr>
      <w:r>
        <w:rPr>
          <w:rFonts w:hint="eastAsia" w:ascii="宋体" w:hAnsi="宋体" w:cs="宋体"/>
          <w:b/>
          <w:color w:val="auto"/>
          <w:sz w:val="32"/>
          <w:szCs w:val="20"/>
          <w:highlight w:val="none"/>
        </w:rPr>
        <w:t>磋商报价表（格式）</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856"/>
        <w:gridCol w:w="1712"/>
        <w:gridCol w:w="1813"/>
        <w:gridCol w:w="5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83" w:hRule="atLeast"/>
          <w:jc w:val="center"/>
        </w:trPr>
        <w:tc>
          <w:tcPr>
            <w:tcW w:w="856" w:type="dxa"/>
            <w:vAlign w:val="center"/>
          </w:tcPr>
          <w:p>
            <w:pPr>
              <w:spacing w:before="0" w:after="0" w:line="240" w:lineRule="auto"/>
              <w:ind w:firstLine="0" w:firstLineChars="0"/>
              <w:jc w:val="center"/>
              <w:rPr>
                <w:rFonts w:ascii="宋体" w:hAnsi="宋体"/>
                <w:color w:val="auto"/>
                <w:spacing w:val="-20"/>
                <w:szCs w:val="21"/>
                <w:highlight w:val="none"/>
              </w:rPr>
            </w:pPr>
            <w:r>
              <w:rPr>
                <w:rFonts w:hint="eastAsia" w:ascii="宋体" w:hAnsi="宋体"/>
                <w:color w:val="auto"/>
                <w:spacing w:val="-20"/>
                <w:szCs w:val="21"/>
                <w:highlight w:val="none"/>
              </w:rPr>
              <w:t>项号</w:t>
            </w:r>
          </w:p>
        </w:tc>
        <w:tc>
          <w:tcPr>
            <w:tcW w:w="1712" w:type="dxa"/>
            <w:vAlign w:val="center"/>
          </w:tcPr>
          <w:p>
            <w:pPr>
              <w:spacing w:before="0" w:after="0" w:line="240" w:lineRule="auto"/>
              <w:ind w:firstLine="0" w:firstLineChars="0"/>
              <w:jc w:val="center"/>
              <w:rPr>
                <w:rFonts w:ascii="宋体" w:hAnsi="宋体"/>
                <w:color w:val="auto"/>
                <w:spacing w:val="-20"/>
                <w:szCs w:val="21"/>
                <w:highlight w:val="none"/>
              </w:rPr>
            </w:pPr>
            <w:r>
              <w:rPr>
                <w:rFonts w:hint="eastAsia" w:ascii="宋体" w:hAnsi="宋体"/>
                <w:color w:val="auto"/>
                <w:spacing w:val="-20"/>
                <w:szCs w:val="21"/>
                <w:highlight w:val="none"/>
              </w:rPr>
              <w:t>项目名称</w:t>
            </w:r>
          </w:p>
        </w:tc>
        <w:tc>
          <w:tcPr>
            <w:tcW w:w="1813" w:type="dxa"/>
            <w:vAlign w:val="center"/>
          </w:tcPr>
          <w:p>
            <w:pPr>
              <w:spacing w:before="0" w:after="0" w:line="240" w:lineRule="auto"/>
              <w:ind w:firstLine="0" w:firstLineChars="0"/>
              <w:jc w:val="center"/>
              <w:rPr>
                <w:rFonts w:ascii="宋体" w:hAnsi="宋体"/>
                <w:color w:val="auto"/>
                <w:szCs w:val="21"/>
                <w:highlight w:val="none"/>
              </w:rPr>
            </w:pPr>
            <w:r>
              <w:rPr>
                <w:rFonts w:hint="eastAsia" w:ascii="宋体" w:hAnsi="宋体" w:cs="宋体"/>
                <w:color w:val="auto"/>
                <w:kern w:val="0"/>
                <w:szCs w:val="21"/>
                <w:highlight w:val="none"/>
              </w:rPr>
              <w:t>磋商</w:t>
            </w:r>
            <w:r>
              <w:rPr>
                <w:rFonts w:hint="eastAsia" w:ascii="宋体" w:hAnsi="宋体"/>
                <w:color w:val="auto"/>
                <w:szCs w:val="21"/>
                <w:highlight w:val="none"/>
              </w:rPr>
              <w:t>报价编制依据</w:t>
            </w:r>
          </w:p>
        </w:tc>
        <w:tc>
          <w:tcPr>
            <w:tcW w:w="5140" w:type="dxa"/>
            <w:vAlign w:val="center"/>
          </w:tcPr>
          <w:p>
            <w:pPr>
              <w:spacing w:before="0" w:after="0" w:line="240" w:lineRule="auto"/>
              <w:ind w:firstLine="420" w:firstLineChars="0"/>
              <w:jc w:val="center"/>
              <w:rPr>
                <w:rFonts w:ascii="宋体" w:hAnsi="宋体"/>
                <w:color w:val="auto"/>
                <w:szCs w:val="21"/>
                <w:highlight w:val="none"/>
              </w:rPr>
            </w:pPr>
            <w:r>
              <w:rPr>
                <w:rFonts w:hint="eastAsia" w:ascii="宋体" w:hAnsi="宋体"/>
                <w:color w:val="auto"/>
                <w:szCs w:val="21"/>
                <w:highlight w:val="none"/>
              </w:rPr>
              <w:t>磋商报价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209" w:hRule="atLeast"/>
          <w:jc w:val="center"/>
        </w:trPr>
        <w:tc>
          <w:tcPr>
            <w:tcW w:w="856" w:type="dxa"/>
            <w:vAlign w:val="center"/>
          </w:tcPr>
          <w:p>
            <w:pPr>
              <w:spacing w:before="0" w:after="0" w:line="240" w:lineRule="auto"/>
              <w:ind w:firstLineChars="0"/>
              <w:jc w:val="center"/>
              <w:rPr>
                <w:rFonts w:hAnsi="宋体"/>
                <w:color w:val="auto"/>
                <w:spacing w:val="-20"/>
                <w:szCs w:val="21"/>
                <w:highlight w:val="none"/>
              </w:rPr>
            </w:pPr>
            <w:r>
              <w:rPr>
                <w:rFonts w:hint="eastAsia" w:ascii="宋体" w:hAnsi="宋体"/>
                <w:color w:val="auto"/>
                <w:szCs w:val="21"/>
                <w:highlight w:val="none"/>
              </w:rPr>
              <w:t>1</w:t>
            </w:r>
          </w:p>
        </w:tc>
        <w:tc>
          <w:tcPr>
            <w:tcW w:w="1712" w:type="dxa"/>
            <w:vAlign w:val="center"/>
          </w:tcPr>
          <w:p>
            <w:pPr>
              <w:spacing w:before="0" w:after="0" w:line="400" w:lineRule="exact"/>
              <w:ind w:firstLine="0" w:firstLineChars="0"/>
              <w:jc w:val="center"/>
              <w:rPr>
                <w:rFonts w:hint="eastAsia" w:hAnsi="宋体" w:eastAsia="宋体"/>
                <w:color w:val="auto"/>
                <w:spacing w:val="-20"/>
                <w:szCs w:val="21"/>
                <w:highlight w:val="none"/>
                <w:lang w:eastAsia="zh-CN"/>
              </w:rPr>
            </w:pPr>
            <w:r>
              <w:rPr>
                <w:rFonts w:hint="eastAsia" w:ascii="宋体" w:hAnsi="宋体" w:cs="宋体"/>
                <w:color w:val="auto"/>
                <w:szCs w:val="21"/>
                <w:highlight w:val="none"/>
                <w:lang w:eastAsia="zh-CN"/>
              </w:rPr>
              <w:t>病房服务交互系统采购</w:t>
            </w:r>
          </w:p>
        </w:tc>
        <w:tc>
          <w:tcPr>
            <w:tcW w:w="1813" w:type="dxa"/>
            <w:vAlign w:val="center"/>
          </w:tcPr>
          <w:p>
            <w:pPr>
              <w:spacing w:before="0" w:after="0" w:line="400" w:lineRule="exact"/>
              <w:ind w:firstLine="0" w:firstLineChars="0"/>
              <w:jc w:val="center"/>
              <w:rPr>
                <w:rFonts w:ascii="宋体" w:hAnsi="宋体"/>
                <w:color w:val="auto"/>
                <w:szCs w:val="21"/>
                <w:highlight w:val="none"/>
              </w:rPr>
            </w:pPr>
            <w:r>
              <w:rPr>
                <w:rFonts w:hint="eastAsia" w:ascii="宋体" w:hAnsi="宋体"/>
                <w:bCs/>
                <w:color w:val="auto"/>
                <w:szCs w:val="21"/>
                <w:highlight w:val="none"/>
              </w:rPr>
              <w:t>《服务采购需求》中要求完成的所有内容</w:t>
            </w:r>
          </w:p>
        </w:tc>
        <w:tc>
          <w:tcPr>
            <w:tcW w:w="5140" w:type="dxa"/>
            <w:vAlign w:val="center"/>
          </w:tcPr>
          <w:p>
            <w:pPr>
              <w:spacing w:before="0" w:after="0"/>
              <w:ind w:firstLine="420" w:firstLineChars="0"/>
              <w:rPr>
                <w:rFonts w:ascii="宋体" w:hAnsi="宋体" w:cs="宋体"/>
                <w:color w:val="auto"/>
                <w:szCs w:val="20"/>
                <w:highlight w:val="none"/>
                <w:u w:val="single"/>
              </w:rPr>
            </w:pPr>
            <w:r>
              <w:rPr>
                <w:rFonts w:hint="eastAsia" w:ascii="宋体" w:hAnsi="宋体" w:cs="宋体"/>
                <w:color w:val="auto"/>
                <w:szCs w:val="20"/>
                <w:highlight w:val="none"/>
              </w:rPr>
              <w:t xml:space="preserve">磋商报价（大写） </w:t>
            </w:r>
            <w:r>
              <w:rPr>
                <w:rFonts w:ascii="宋体" w:hAnsi="宋体" w:cs="宋体"/>
                <w:color w:val="auto"/>
                <w:szCs w:val="20"/>
                <w:highlight w:val="none"/>
              </w:rPr>
              <w:t xml:space="preserve"> </w:t>
            </w:r>
            <w:r>
              <w:rPr>
                <w:rFonts w:hint="eastAsia" w:ascii="宋体" w:hAnsi="宋体" w:cs="宋体"/>
                <w:color w:val="auto"/>
                <w:szCs w:val="20"/>
                <w:highlight w:val="none"/>
              </w:rPr>
              <w:t xml:space="preserve"> </w:t>
            </w:r>
            <w:r>
              <w:rPr>
                <w:rFonts w:hint="eastAsia" w:ascii="宋体" w:hAnsi="宋体" w:cs="宋体"/>
                <w:color w:val="auto"/>
                <w:szCs w:val="20"/>
                <w:highlight w:val="none"/>
                <w:u w:val="single"/>
              </w:rPr>
              <w:t xml:space="preserve">                  </w:t>
            </w:r>
          </w:p>
          <w:p>
            <w:pPr>
              <w:spacing w:before="0" w:after="0"/>
              <w:ind w:firstLine="420" w:firstLineChars="0"/>
              <w:rPr>
                <w:rFonts w:ascii="宋体" w:hAnsi="宋体"/>
                <w:color w:val="auto"/>
                <w:szCs w:val="21"/>
                <w:highlight w:val="none"/>
              </w:rPr>
            </w:pPr>
            <w:r>
              <w:rPr>
                <w:rFonts w:hint="eastAsia" w:ascii="宋体" w:hAnsi="宋体" w:cs="宋体"/>
                <w:color w:val="auto"/>
                <w:szCs w:val="20"/>
                <w:highlight w:val="none"/>
              </w:rPr>
              <w:t>人民币(￥</w:t>
            </w:r>
            <w:r>
              <w:rPr>
                <w:rFonts w:hint="eastAsia" w:ascii="宋体" w:hAnsi="宋体" w:cs="宋体"/>
                <w:color w:val="auto"/>
                <w:szCs w:val="20"/>
                <w:highlight w:val="none"/>
                <w:u w:val="single"/>
              </w:rPr>
              <w:t xml:space="preserve">                     元</w:t>
            </w:r>
            <w:r>
              <w:rPr>
                <w:rFonts w:hint="eastAsia" w:ascii="宋体" w:hAnsi="宋体" w:cs="宋体"/>
                <w:color w:val="auto"/>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59" w:hRule="atLeast"/>
          <w:jc w:val="center"/>
        </w:trPr>
        <w:tc>
          <w:tcPr>
            <w:tcW w:w="9521" w:type="dxa"/>
            <w:gridSpan w:val="4"/>
            <w:vAlign w:val="center"/>
          </w:tcPr>
          <w:p>
            <w:pPr>
              <w:spacing w:before="0" w:after="0" w:line="240" w:lineRule="auto"/>
              <w:ind w:firstLine="420" w:firstLineChars="0"/>
              <w:rPr>
                <w:rFonts w:ascii="宋体" w:hAnsi="宋体"/>
                <w:color w:val="auto"/>
                <w:spacing w:val="-6"/>
                <w:szCs w:val="21"/>
                <w:highlight w:val="none"/>
              </w:rPr>
            </w:pPr>
            <w:r>
              <w:rPr>
                <w:rFonts w:hint="eastAsia" w:ascii="宋体" w:hAnsi="宋体" w:cs="宋体"/>
                <w:color w:val="auto"/>
                <w:kern w:val="0"/>
                <w:szCs w:val="21"/>
                <w:highlight w:val="none"/>
              </w:rPr>
              <w:t>服务时间：</w:t>
            </w:r>
            <w:r>
              <w:rPr>
                <w:rFonts w:hint="eastAsia" w:ascii="宋体" w:hAnsi="宋体" w:cs="宋体"/>
                <w:color w:val="auto"/>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59" w:hRule="atLeast"/>
          <w:jc w:val="center"/>
        </w:trPr>
        <w:tc>
          <w:tcPr>
            <w:tcW w:w="9521" w:type="dxa"/>
            <w:gridSpan w:val="4"/>
            <w:vAlign w:val="center"/>
          </w:tcPr>
          <w:p>
            <w:pPr>
              <w:spacing w:before="0" w:after="0" w:line="240" w:lineRule="auto"/>
              <w:ind w:firstLine="420" w:firstLineChars="0"/>
              <w:rPr>
                <w:rFonts w:ascii="宋体" w:hAnsi="宋体" w:cs="宋体"/>
                <w:color w:val="auto"/>
                <w:kern w:val="0"/>
                <w:szCs w:val="21"/>
                <w:highlight w:val="none"/>
              </w:rPr>
            </w:pPr>
            <w:r>
              <w:rPr>
                <w:rFonts w:hint="eastAsia" w:ascii="宋体" w:hAnsi="宋体" w:cs="宋体"/>
                <w:color w:val="auto"/>
                <w:kern w:val="0"/>
                <w:szCs w:val="21"/>
                <w:highlight w:val="none"/>
              </w:rPr>
              <w:t>说明：磋商报价应包括本次采购服务价款以及因提供服务所产生的人工、保险、税金、售后服务、培训、保修及其他所有成本费用的总和；供应商综合考虑在报价中。</w:t>
            </w:r>
          </w:p>
        </w:tc>
      </w:tr>
    </w:tbl>
    <w:p>
      <w:pPr>
        <w:spacing w:before="0" w:after="0" w:line="340" w:lineRule="exact"/>
        <w:ind w:firstLine="0" w:firstLineChars="0"/>
        <w:rPr>
          <w:rFonts w:ascii="宋体" w:hAnsi="宋体" w:cs="宋体"/>
          <w:color w:val="auto"/>
          <w:szCs w:val="21"/>
          <w:highlight w:val="none"/>
        </w:rPr>
      </w:pPr>
    </w:p>
    <w:p>
      <w:pPr>
        <w:spacing w:before="0" w:after="0" w:line="340" w:lineRule="exact"/>
        <w:ind w:firstLine="0" w:firstLineChars="0"/>
        <w:rPr>
          <w:rFonts w:ascii="宋体" w:hAnsi="宋体" w:cs="宋体"/>
          <w:color w:val="auto"/>
          <w:szCs w:val="21"/>
          <w:highlight w:val="none"/>
          <w:u w:val="single"/>
        </w:rPr>
      </w:pPr>
      <w:r>
        <w:rPr>
          <w:rFonts w:hint="eastAsia" w:ascii="宋体" w:hAnsi="宋体" w:cs="宋体"/>
          <w:color w:val="auto"/>
          <w:szCs w:val="21"/>
          <w:highlight w:val="none"/>
        </w:rPr>
        <w:t>供应商（公章，自然人除外）：</w:t>
      </w:r>
      <w:r>
        <w:rPr>
          <w:rFonts w:hint="eastAsia" w:ascii="宋体" w:hAnsi="宋体" w:cs="宋体"/>
          <w:color w:val="auto"/>
          <w:szCs w:val="21"/>
          <w:highlight w:val="none"/>
          <w:u w:val="single"/>
        </w:rPr>
        <w:t xml:space="preserve">                                        </w:t>
      </w:r>
    </w:p>
    <w:p>
      <w:pPr>
        <w:spacing w:before="0" w:after="0" w:line="340" w:lineRule="exact"/>
        <w:ind w:firstLine="0" w:firstLineChars="0"/>
        <w:rPr>
          <w:rFonts w:ascii="宋体" w:hAnsi="宋体" w:cs="宋体"/>
          <w:color w:val="auto"/>
          <w:szCs w:val="21"/>
          <w:highlight w:val="none"/>
          <w:u w:val="single"/>
        </w:rPr>
      </w:pPr>
      <w:r>
        <w:rPr>
          <w:rFonts w:hint="eastAsia" w:ascii="宋体" w:hAnsi="宋体" w:cs="宋体"/>
          <w:color w:val="auto"/>
          <w:highlight w:val="none"/>
        </w:rPr>
        <w:t>法定代表人、负责人、自然人或相应的委托代理人签字或盖章（属自然人的应在签名处加盖食指指印）：</w:t>
      </w:r>
      <w:r>
        <w:rPr>
          <w:rFonts w:hint="eastAsia" w:ascii="宋体" w:hAnsi="宋体" w:cs="宋体"/>
          <w:color w:val="auto"/>
          <w:szCs w:val="21"/>
          <w:highlight w:val="none"/>
          <w:u w:val="single"/>
        </w:rPr>
        <w:t xml:space="preserve">                        </w:t>
      </w:r>
    </w:p>
    <w:p>
      <w:pPr>
        <w:spacing w:before="0" w:after="0" w:line="400" w:lineRule="exact"/>
        <w:ind w:firstLine="0" w:firstLineChars="0"/>
        <w:rPr>
          <w:rFonts w:ascii="宋体" w:hAnsi="宋体" w:cs="宋体"/>
          <w:color w:val="auto"/>
          <w:szCs w:val="20"/>
          <w:highlight w:val="none"/>
          <w:u w:val="single"/>
        </w:rPr>
      </w:pPr>
      <w:r>
        <w:rPr>
          <w:rFonts w:hint="eastAsia" w:ascii="宋体" w:hAnsi="宋体" w:cs="宋体"/>
          <w:color w:val="auto"/>
          <w:szCs w:val="20"/>
          <w:highlight w:val="none"/>
        </w:rPr>
        <w:t>日期：</w:t>
      </w:r>
      <w:r>
        <w:rPr>
          <w:rFonts w:hint="eastAsia" w:ascii="宋体" w:hAnsi="宋体" w:cs="宋体"/>
          <w:color w:val="auto"/>
          <w:szCs w:val="20"/>
          <w:highlight w:val="none"/>
          <w:u w:val="single"/>
        </w:rPr>
        <w:t xml:space="preserve">                               </w:t>
      </w:r>
    </w:p>
    <w:p>
      <w:pPr>
        <w:tabs>
          <w:tab w:val="left" w:pos="1305"/>
        </w:tabs>
        <w:spacing w:before="0" w:after="0" w:line="340" w:lineRule="exact"/>
        <w:ind w:firstLine="205" w:firstLineChars="98"/>
        <w:rPr>
          <w:rFonts w:ascii="宋体" w:hAnsi="宋体" w:cs="宋体"/>
          <w:bCs/>
          <w:color w:val="auto"/>
          <w:szCs w:val="21"/>
          <w:highlight w:val="none"/>
        </w:rPr>
      </w:pPr>
      <w:r>
        <w:rPr>
          <w:rFonts w:hint="eastAsia" w:ascii="宋体" w:hAnsi="宋体" w:cs="宋体"/>
          <w:bCs/>
          <w:color w:val="auto"/>
          <w:szCs w:val="21"/>
          <w:highlight w:val="none"/>
        </w:rPr>
        <w:t>注</w:t>
      </w:r>
      <w:r>
        <w:rPr>
          <w:rFonts w:hint="eastAsia" w:ascii="宋体" w:hAnsi="宋体" w:cs="宋体"/>
          <w:b/>
          <w:bCs/>
          <w:color w:val="auto"/>
          <w:szCs w:val="21"/>
          <w:highlight w:val="none"/>
        </w:rPr>
        <w:t>：</w:t>
      </w:r>
      <w:r>
        <w:rPr>
          <w:rFonts w:hint="eastAsia" w:ascii="宋体" w:hAnsi="宋体" w:cs="宋体"/>
          <w:bCs/>
          <w:color w:val="auto"/>
          <w:szCs w:val="21"/>
          <w:highlight w:val="none"/>
        </w:rPr>
        <w:t>1.各供应商</w:t>
      </w:r>
      <w:r>
        <w:rPr>
          <w:rFonts w:hint="eastAsia" w:ascii="宋体" w:hAnsi="宋体" w:cs="宋体"/>
          <w:color w:val="auto"/>
          <w:szCs w:val="21"/>
          <w:highlight w:val="none"/>
        </w:rPr>
        <w:t>必须就“服务采购需求”中的所有内容作完整唯一报价，否则，其响应文件无效。</w:t>
      </w:r>
    </w:p>
    <w:p>
      <w:pPr>
        <w:spacing w:before="0" w:after="0" w:line="360" w:lineRule="exact"/>
        <w:ind w:firstLine="630" w:firstLineChars="300"/>
        <w:rPr>
          <w:rFonts w:ascii="宋体" w:hAnsi="宋体" w:cs="宋体"/>
          <w:color w:val="auto"/>
          <w:szCs w:val="20"/>
          <w:highlight w:val="none"/>
        </w:rPr>
      </w:pPr>
      <w:r>
        <w:rPr>
          <w:rFonts w:hint="eastAsia" w:ascii="宋体" w:hAnsi="宋体" w:cs="宋体"/>
          <w:color w:val="auto"/>
          <w:szCs w:val="20"/>
          <w:highlight w:val="none"/>
        </w:rPr>
        <w:t>2.</w:t>
      </w:r>
      <w:r>
        <w:rPr>
          <w:rFonts w:hint="eastAsia" w:ascii="宋体" w:hAnsi="宋体" w:cs="宋体"/>
          <w:color w:val="auto"/>
          <w:szCs w:val="21"/>
          <w:highlight w:val="none"/>
        </w:rPr>
        <w:t>供应商</w:t>
      </w:r>
      <w:r>
        <w:rPr>
          <w:rFonts w:hint="eastAsia" w:ascii="宋体" w:hAnsi="宋体" w:cs="宋体"/>
          <w:color w:val="auto"/>
          <w:szCs w:val="20"/>
          <w:highlight w:val="none"/>
        </w:rPr>
        <w:t>应根据所提供的服务如实填写</w:t>
      </w:r>
      <w:r>
        <w:rPr>
          <w:rFonts w:hint="eastAsia" w:ascii="宋体" w:hAnsi="宋体" w:cs="宋体"/>
          <w:color w:val="auto"/>
          <w:szCs w:val="21"/>
          <w:highlight w:val="none"/>
        </w:rPr>
        <w:t>磋商报价</w:t>
      </w:r>
      <w:r>
        <w:rPr>
          <w:rFonts w:hint="eastAsia" w:ascii="宋体" w:hAnsi="宋体" w:cs="宋体"/>
          <w:color w:val="auto"/>
          <w:szCs w:val="20"/>
          <w:highlight w:val="none"/>
        </w:rPr>
        <w:t>表</w:t>
      </w:r>
      <w:r>
        <w:rPr>
          <w:rFonts w:hint="eastAsia" w:ascii="宋体" w:hAnsi="宋体" w:cs="宋体"/>
          <w:bCs/>
          <w:color w:val="auto"/>
          <w:szCs w:val="21"/>
          <w:highlight w:val="none"/>
        </w:rPr>
        <w:t>的各项内容。</w:t>
      </w:r>
    </w:p>
    <w:p>
      <w:pPr>
        <w:spacing w:before="0" w:after="0" w:line="340" w:lineRule="exact"/>
        <w:ind w:firstLine="630" w:firstLineChars="300"/>
        <w:rPr>
          <w:rFonts w:ascii="宋体" w:hAnsi="宋体" w:cs="宋体"/>
          <w:bCs/>
          <w:color w:val="auto"/>
          <w:szCs w:val="21"/>
          <w:highlight w:val="none"/>
        </w:rPr>
      </w:pPr>
      <w:r>
        <w:rPr>
          <w:rFonts w:hint="eastAsia" w:ascii="宋体" w:hAnsi="宋体" w:cs="宋体"/>
          <w:bCs/>
          <w:color w:val="auto"/>
          <w:szCs w:val="21"/>
          <w:highlight w:val="none"/>
        </w:rPr>
        <w:t>3.</w:t>
      </w:r>
      <w:r>
        <w:rPr>
          <w:rFonts w:hint="eastAsia" w:ascii="宋体" w:hAnsi="宋体" w:cs="宋体"/>
          <w:color w:val="auto"/>
          <w:szCs w:val="21"/>
          <w:highlight w:val="none"/>
        </w:rPr>
        <w:t>磋商报价</w:t>
      </w:r>
      <w:r>
        <w:rPr>
          <w:rFonts w:hint="eastAsia" w:ascii="宋体" w:hAnsi="宋体" w:cs="宋体"/>
          <w:bCs/>
          <w:color w:val="auto"/>
          <w:szCs w:val="21"/>
          <w:highlight w:val="none"/>
        </w:rPr>
        <w:t>表须由法</w:t>
      </w:r>
      <w:r>
        <w:rPr>
          <w:rFonts w:hint="eastAsia" w:ascii="宋体" w:hAnsi="宋体" w:cs="宋体"/>
          <w:color w:val="auto"/>
          <w:highlight w:val="none"/>
        </w:rPr>
        <w:t>定代表人、负责人、自然人或相应的委托代理人签字或盖章（属自然人的应在签名处加盖食指指印）并加盖供应商公章（自然人除外）。当本表由多页构成时，需逐页加盖供应商公章（属自然人的须逐页签字）。</w:t>
      </w:r>
    </w:p>
    <w:p>
      <w:pPr>
        <w:spacing w:before="0" w:after="0" w:line="400" w:lineRule="exact"/>
        <w:ind w:left="420" w:firstLine="0" w:firstLineChars="0"/>
        <w:rPr>
          <w:rFonts w:ascii="宋体" w:hAnsi="宋体" w:cs="宋体"/>
          <w:b/>
          <w:color w:val="auto"/>
          <w:sz w:val="32"/>
          <w:szCs w:val="32"/>
          <w:highlight w:val="none"/>
        </w:rPr>
      </w:pPr>
    </w:p>
    <w:p>
      <w:pPr>
        <w:spacing w:before="0" w:after="0" w:line="400" w:lineRule="exact"/>
        <w:ind w:left="420" w:firstLine="0" w:firstLineChars="0"/>
        <w:rPr>
          <w:rFonts w:ascii="宋体" w:hAnsi="宋体" w:cs="宋体"/>
          <w:b/>
          <w:color w:val="auto"/>
          <w:sz w:val="32"/>
          <w:szCs w:val="32"/>
          <w:highlight w:val="none"/>
        </w:rPr>
      </w:pPr>
    </w:p>
    <w:p>
      <w:pPr>
        <w:spacing w:before="0" w:after="0" w:line="400" w:lineRule="exact"/>
        <w:ind w:left="420" w:firstLine="0" w:firstLineChars="0"/>
        <w:rPr>
          <w:rFonts w:ascii="宋体" w:hAnsi="宋体" w:cs="宋体"/>
          <w:b/>
          <w:color w:val="auto"/>
          <w:sz w:val="32"/>
          <w:szCs w:val="32"/>
          <w:highlight w:val="none"/>
        </w:rPr>
      </w:pPr>
    </w:p>
    <w:p>
      <w:pPr>
        <w:spacing w:before="0" w:after="0" w:line="400" w:lineRule="exact"/>
        <w:ind w:firstLine="0" w:firstLineChars="0"/>
        <w:rPr>
          <w:rFonts w:ascii="宋体" w:hAnsi="宋体" w:cs="宋体"/>
          <w:b/>
          <w:color w:val="auto"/>
          <w:sz w:val="32"/>
          <w:szCs w:val="32"/>
          <w:highlight w:val="none"/>
        </w:rPr>
      </w:pPr>
      <w:r>
        <w:rPr>
          <w:rFonts w:hint="eastAsia" w:ascii="宋体" w:hAnsi="宋体" w:cs="宋体"/>
          <w:b/>
          <w:color w:val="auto"/>
          <w:sz w:val="32"/>
          <w:szCs w:val="32"/>
          <w:highlight w:val="none"/>
        </w:rPr>
        <w:t>7.项目实施方案（必须提供）</w:t>
      </w:r>
    </w:p>
    <w:p>
      <w:pPr>
        <w:spacing w:before="0" w:after="0" w:line="240" w:lineRule="auto"/>
        <w:ind w:firstLine="352" w:firstLineChars="147"/>
        <w:rPr>
          <w:rFonts w:ascii="宋体" w:hAnsi="宋体" w:cs="宋体"/>
          <w:b/>
          <w:color w:val="auto"/>
          <w:sz w:val="24"/>
          <w:highlight w:val="none"/>
        </w:rPr>
      </w:pPr>
      <w:r>
        <w:rPr>
          <w:rFonts w:hint="eastAsia" w:ascii="宋体" w:hAnsi="宋体" w:cs="宋体"/>
          <w:b/>
          <w:color w:val="auto"/>
          <w:sz w:val="24"/>
          <w:highlight w:val="none"/>
        </w:rPr>
        <w:t xml:space="preserve">          </w:t>
      </w:r>
    </w:p>
    <w:p>
      <w:pPr>
        <w:spacing w:before="0" w:after="0" w:line="240" w:lineRule="auto"/>
        <w:ind w:firstLine="470" w:firstLineChars="147"/>
        <w:jc w:val="center"/>
        <w:rPr>
          <w:rFonts w:ascii="宋体" w:hAnsi="宋体" w:cs="宋体"/>
          <w:b/>
          <w:bCs/>
          <w:color w:val="auto"/>
          <w:sz w:val="32"/>
          <w:szCs w:val="20"/>
          <w:highlight w:val="none"/>
        </w:rPr>
      </w:pPr>
      <w:r>
        <w:rPr>
          <w:rFonts w:hint="eastAsia" w:ascii="宋体" w:hAnsi="宋体" w:cs="宋体"/>
          <w:b/>
          <w:color w:val="auto"/>
          <w:sz w:val="32"/>
          <w:szCs w:val="32"/>
          <w:highlight w:val="none"/>
        </w:rPr>
        <w:t>项目实施方案</w:t>
      </w:r>
      <w:r>
        <w:rPr>
          <w:rFonts w:hint="eastAsia" w:ascii="宋体" w:hAnsi="宋体" w:cs="宋体"/>
          <w:b/>
          <w:bCs/>
          <w:color w:val="auto"/>
          <w:sz w:val="32"/>
          <w:szCs w:val="20"/>
          <w:highlight w:val="none"/>
        </w:rPr>
        <w:t>（格式）</w:t>
      </w:r>
    </w:p>
    <w:p>
      <w:pPr>
        <w:spacing w:before="0" w:after="0" w:line="240" w:lineRule="auto"/>
        <w:ind w:firstLine="0" w:firstLineChars="0"/>
        <w:rPr>
          <w:rFonts w:ascii="宋体" w:hAnsi="宋体" w:cs="宋体"/>
          <w:b/>
          <w:color w:val="auto"/>
          <w:sz w:val="24"/>
          <w:highlight w:val="none"/>
        </w:rPr>
      </w:pPr>
    </w:p>
    <w:p>
      <w:pPr>
        <w:spacing w:before="0" w:after="0" w:line="240" w:lineRule="auto"/>
        <w:ind w:firstLine="0" w:firstLineChars="0"/>
        <w:rPr>
          <w:rFonts w:ascii="宋体" w:hAnsi="宋体" w:cs="宋体"/>
          <w:color w:val="auto"/>
          <w:szCs w:val="20"/>
          <w:highlight w:val="none"/>
          <w:u w:val="single"/>
        </w:rPr>
      </w:pPr>
    </w:p>
    <w:p>
      <w:pPr>
        <w:snapToGrid w:val="0"/>
        <w:spacing w:before="0" w:after="0" w:line="400" w:lineRule="exact"/>
        <w:ind w:firstLine="4200" w:firstLineChars="2000"/>
        <w:outlineLvl w:val="4"/>
        <w:rPr>
          <w:rFonts w:ascii="宋体" w:hAnsi="宋体" w:cs="宋体"/>
          <w:color w:val="auto"/>
          <w:szCs w:val="21"/>
          <w:highlight w:val="none"/>
          <w:u w:val="single"/>
        </w:rPr>
      </w:pPr>
      <w:r>
        <w:rPr>
          <w:rFonts w:hint="eastAsia" w:ascii="宋体" w:hAnsi="宋体" w:cs="宋体"/>
          <w:color w:val="auto"/>
          <w:szCs w:val="21"/>
          <w:highlight w:val="none"/>
        </w:rPr>
        <w:t>供应商（公章，自然人除外）：</w:t>
      </w:r>
      <w:r>
        <w:rPr>
          <w:rFonts w:hint="eastAsia" w:ascii="宋体" w:hAnsi="宋体" w:cs="宋体"/>
          <w:color w:val="auto"/>
          <w:szCs w:val="21"/>
          <w:highlight w:val="none"/>
          <w:u w:val="single"/>
        </w:rPr>
        <w:t xml:space="preserve">                                         </w:t>
      </w:r>
    </w:p>
    <w:p>
      <w:pPr>
        <w:snapToGrid w:val="0"/>
        <w:spacing w:before="0" w:after="0" w:line="400" w:lineRule="exact"/>
        <w:ind w:firstLine="420" w:firstLineChars="0"/>
        <w:outlineLvl w:val="4"/>
        <w:rPr>
          <w:rFonts w:ascii="宋体" w:hAnsi="宋体" w:cs="宋体"/>
          <w:color w:val="auto"/>
          <w:szCs w:val="21"/>
          <w:highlight w:val="none"/>
        </w:rPr>
      </w:pPr>
    </w:p>
    <w:p>
      <w:pPr>
        <w:spacing w:before="0" w:after="0" w:line="240" w:lineRule="auto"/>
        <w:ind w:firstLine="4200" w:firstLineChars="2000"/>
        <w:rPr>
          <w:rFonts w:ascii="宋体" w:hAnsi="宋体" w:cs="宋体"/>
          <w:color w:val="auto"/>
          <w:szCs w:val="20"/>
          <w:highlight w:val="none"/>
        </w:rPr>
      </w:pPr>
      <w:r>
        <w:rPr>
          <w:rFonts w:hint="eastAsia" w:ascii="宋体" w:hAnsi="宋体" w:cs="宋体"/>
          <w:color w:val="auto"/>
          <w:szCs w:val="20"/>
          <w:highlight w:val="none"/>
        </w:rPr>
        <w:t>法定代表人、负责人、自然人或相应的委托代理人签字</w:t>
      </w:r>
    </w:p>
    <w:p>
      <w:pPr>
        <w:spacing w:before="0" w:after="0" w:line="240" w:lineRule="auto"/>
        <w:ind w:firstLine="4200" w:firstLineChars="2000"/>
        <w:rPr>
          <w:rFonts w:ascii="宋体" w:hAnsi="宋体" w:cs="宋体"/>
          <w:color w:val="auto"/>
          <w:szCs w:val="20"/>
          <w:highlight w:val="none"/>
          <w:u w:val="single"/>
        </w:rPr>
      </w:pPr>
      <w:r>
        <w:rPr>
          <w:rFonts w:hint="eastAsia" w:ascii="宋体" w:hAnsi="宋体" w:cs="宋体"/>
          <w:color w:val="auto"/>
          <w:szCs w:val="20"/>
          <w:highlight w:val="none"/>
        </w:rPr>
        <w:t>或盖章（属自然人的应在签名处加盖食指指印）：</w:t>
      </w:r>
      <w:r>
        <w:rPr>
          <w:rFonts w:hint="eastAsia" w:ascii="宋体" w:hAnsi="宋体" w:cs="宋体"/>
          <w:color w:val="auto"/>
          <w:szCs w:val="21"/>
          <w:highlight w:val="none"/>
          <w:u w:val="single"/>
        </w:rPr>
        <w:t xml:space="preserve">               </w:t>
      </w:r>
    </w:p>
    <w:p>
      <w:pPr>
        <w:spacing w:before="0" w:after="0" w:line="360" w:lineRule="exact"/>
        <w:ind w:firstLine="0" w:firstLineChars="0"/>
        <w:rPr>
          <w:rFonts w:ascii="宋体" w:hAnsi="宋体" w:cs="宋体"/>
          <w:bCs/>
          <w:color w:val="auto"/>
          <w:szCs w:val="21"/>
          <w:highlight w:val="none"/>
        </w:rPr>
      </w:pPr>
    </w:p>
    <w:p>
      <w:pPr>
        <w:spacing w:before="0" w:after="0" w:line="360" w:lineRule="exact"/>
        <w:ind w:firstLine="0" w:firstLineChars="0"/>
        <w:rPr>
          <w:rFonts w:ascii="宋体" w:hAnsi="宋体" w:cs="宋体"/>
          <w:bCs/>
          <w:color w:val="auto"/>
          <w:szCs w:val="21"/>
          <w:highlight w:val="none"/>
        </w:rPr>
      </w:pPr>
    </w:p>
    <w:p>
      <w:pPr>
        <w:spacing w:before="0" w:after="0" w:line="240" w:lineRule="auto"/>
        <w:ind w:firstLine="0" w:firstLineChars="0"/>
        <w:rPr>
          <w:rFonts w:ascii="宋体" w:hAnsi="宋体" w:cs="宋体"/>
          <w:b/>
          <w:bCs/>
          <w:color w:val="auto"/>
          <w:sz w:val="32"/>
          <w:szCs w:val="32"/>
          <w:highlight w:val="none"/>
        </w:rPr>
      </w:pPr>
      <w:r>
        <w:rPr>
          <w:rFonts w:hint="eastAsia" w:ascii="宋体" w:hAnsi="宋体" w:cs="宋体"/>
          <w:b/>
          <w:bCs/>
          <w:color w:val="auto"/>
          <w:sz w:val="32"/>
          <w:szCs w:val="32"/>
          <w:highlight w:val="none"/>
        </w:rPr>
        <w:t>8. 供应商的售后服务承诺书（含服务期、技术服务、技术培训、售后服务的内容和措施等）（必须提供）；</w:t>
      </w:r>
    </w:p>
    <w:p>
      <w:pPr>
        <w:spacing w:before="0" w:after="0" w:line="240" w:lineRule="auto"/>
        <w:ind w:firstLine="0" w:firstLineChars="0"/>
        <w:rPr>
          <w:rFonts w:ascii="宋体" w:hAnsi="宋体" w:cs="宋体"/>
          <w:b/>
          <w:bCs/>
          <w:color w:val="auto"/>
          <w:sz w:val="32"/>
          <w:szCs w:val="32"/>
          <w:highlight w:val="none"/>
        </w:rPr>
      </w:pPr>
      <w:r>
        <w:rPr>
          <w:rFonts w:hint="eastAsia" w:ascii="宋体" w:hAnsi="宋体" w:cs="宋体"/>
          <w:b/>
          <w:bCs/>
          <w:color w:val="auto"/>
          <w:sz w:val="32"/>
          <w:szCs w:val="32"/>
          <w:highlight w:val="none"/>
        </w:rPr>
        <w:t>附件：</w:t>
      </w:r>
    </w:p>
    <w:p>
      <w:pPr>
        <w:spacing w:before="0" w:after="0" w:line="240" w:lineRule="auto"/>
        <w:ind w:firstLine="2720" w:firstLineChars="850"/>
        <w:rPr>
          <w:rFonts w:ascii="宋体" w:hAnsi="宋体" w:cs="宋体"/>
          <w:b/>
          <w:bCs/>
          <w:color w:val="auto"/>
          <w:sz w:val="32"/>
          <w:szCs w:val="32"/>
          <w:highlight w:val="none"/>
        </w:rPr>
      </w:pPr>
      <w:r>
        <w:rPr>
          <w:rFonts w:hint="eastAsia" w:ascii="宋体" w:hAnsi="宋体" w:cs="宋体"/>
          <w:b/>
          <w:bCs/>
          <w:color w:val="auto"/>
          <w:sz w:val="32"/>
          <w:szCs w:val="32"/>
          <w:highlight w:val="none"/>
        </w:rPr>
        <w:t>售后服务承诺书（格式）</w:t>
      </w:r>
    </w:p>
    <w:p>
      <w:pPr>
        <w:spacing w:before="0" w:after="0" w:line="240" w:lineRule="auto"/>
        <w:ind w:firstLine="2720" w:firstLineChars="850"/>
        <w:rPr>
          <w:rFonts w:ascii="宋体" w:hAnsi="宋体" w:cs="宋体"/>
          <w:b/>
          <w:bCs/>
          <w:color w:val="auto"/>
          <w:sz w:val="32"/>
          <w:szCs w:val="32"/>
          <w:highlight w:val="none"/>
        </w:rPr>
      </w:pPr>
    </w:p>
    <w:p>
      <w:pPr>
        <w:spacing w:before="0" w:after="0" w:line="240" w:lineRule="auto"/>
        <w:ind w:firstLine="2720" w:firstLineChars="850"/>
        <w:rPr>
          <w:rFonts w:ascii="宋体" w:hAnsi="宋体" w:cs="宋体"/>
          <w:b/>
          <w:bCs/>
          <w:color w:val="auto"/>
          <w:sz w:val="32"/>
          <w:szCs w:val="32"/>
          <w:highlight w:val="none"/>
        </w:rPr>
      </w:pPr>
    </w:p>
    <w:p>
      <w:pPr>
        <w:snapToGrid w:val="0"/>
        <w:spacing w:before="0" w:after="0" w:line="400" w:lineRule="exact"/>
        <w:ind w:firstLine="3570" w:firstLineChars="1700"/>
        <w:outlineLvl w:val="4"/>
        <w:rPr>
          <w:rFonts w:ascii="宋体" w:hAnsi="宋体" w:cs="宋体"/>
          <w:color w:val="auto"/>
          <w:szCs w:val="21"/>
          <w:highlight w:val="none"/>
          <w:u w:val="single"/>
        </w:rPr>
      </w:pPr>
      <w:r>
        <w:rPr>
          <w:rFonts w:hint="eastAsia" w:ascii="宋体" w:hAnsi="宋体" w:cs="宋体"/>
          <w:color w:val="auto"/>
          <w:szCs w:val="21"/>
          <w:highlight w:val="none"/>
        </w:rPr>
        <w:t>供应商（公章，自然人除外）：</w:t>
      </w:r>
      <w:r>
        <w:rPr>
          <w:rFonts w:hint="eastAsia" w:ascii="宋体" w:hAnsi="宋体" w:cs="宋体"/>
          <w:color w:val="auto"/>
          <w:szCs w:val="21"/>
          <w:highlight w:val="none"/>
          <w:u w:val="single"/>
        </w:rPr>
        <w:t xml:space="preserve">                                         </w:t>
      </w:r>
    </w:p>
    <w:p>
      <w:pPr>
        <w:snapToGrid w:val="0"/>
        <w:spacing w:before="0" w:after="0" w:line="400" w:lineRule="exact"/>
        <w:ind w:firstLine="420" w:firstLineChars="0"/>
        <w:outlineLvl w:val="4"/>
        <w:rPr>
          <w:rFonts w:ascii="宋体" w:hAnsi="宋体" w:cs="宋体"/>
          <w:color w:val="auto"/>
          <w:szCs w:val="21"/>
          <w:highlight w:val="none"/>
        </w:rPr>
      </w:pPr>
    </w:p>
    <w:p>
      <w:pPr>
        <w:spacing w:before="0" w:after="0" w:line="400" w:lineRule="exact"/>
        <w:ind w:left="2940" w:leftChars="1400" w:firstLine="525" w:firstLineChars="250"/>
        <w:rPr>
          <w:rFonts w:ascii="宋体" w:hAnsi="宋体" w:cs="宋体"/>
          <w:color w:val="auto"/>
          <w:szCs w:val="20"/>
          <w:highlight w:val="none"/>
        </w:rPr>
      </w:pPr>
      <w:r>
        <w:rPr>
          <w:rFonts w:hint="eastAsia" w:ascii="宋体" w:hAnsi="宋体" w:cs="宋体"/>
          <w:color w:val="auto"/>
          <w:szCs w:val="20"/>
          <w:highlight w:val="none"/>
        </w:rPr>
        <w:t>法定代表人、负责人、自然人或相应的委托代理人签字或盖章</w:t>
      </w:r>
    </w:p>
    <w:p>
      <w:pPr>
        <w:spacing w:before="0" w:after="0" w:line="400" w:lineRule="exact"/>
        <w:ind w:left="2940" w:leftChars="1400" w:firstLine="525" w:firstLineChars="250"/>
        <w:rPr>
          <w:rFonts w:ascii="宋体" w:hAnsi="宋体" w:cs="宋体"/>
          <w:color w:val="auto"/>
          <w:szCs w:val="20"/>
          <w:highlight w:val="none"/>
          <w:u w:val="single"/>
        </w:rPr>
      </w:pPr>
      <w:r>
        <w:rPr>
          <w:rFonts w:hint="eastAsia" w:ascii="宋体" w:hAnsi="宋体" w:cs="宋体"/>
          <w:color w:val="auto"/>
          <w:szCs w:val="20"/>
          <w:highlight w:val="none"/>
        </w:rPr>
        <w:t>（属自然人的应在签名处加盖食指指印）：</w:t>
      </w:r>
      <w:r>
        <w:rPr>
          <w:rFonts w:hint="eastAsia" w:ascii="宋体" w:hAnsi="宋体" w:cs="宋体"/>
          <w:color w:val="auto"/>
          <w:szCs w:val="21"/>
          <w:highlight w:val="none"/>
          <w:u w:val="single"/>
        </w:rPr>
        <w:t xml:space="preserve">                </w:t>
      </w:r>
    </w:p>
    <w:p>
      <w:pPr>
        <w:spacing w:before="0" w:after="0" w:line="240" w:lineRule="auto"/>
        <w:ind w:firstLine="0" w:firstLineChars="0"/>
        <w:rPr>
          <w:rFonts w:ascii="宋体" w:hAnsi="宋体" w:cs="宋体"/>
          <w:b/>
          <w:bCs/>
          <w:color w:val="auto"/>
          <w:sz w:val="32"/>
          <w:szCs w:val="32"/>
          <w:highlight w:val="none"/>
        </w:rPr>
      </w:pPr>
    </w:p>
    <w:p>
      <w:pPr>
        <w:spacing w:before="0" w:after="0" w:line="240" w:lineRule="auto"/>
        <w:ind w:firstLine="0" w:firstLineChars="0"/>
        <w:rPr>
          <w:rFonts w:ascii="宋体" w:hAnsi="宋体" w:cs="宋体"/>
          <w:b/>
          <w:bCs/>
          <w:color w:val="auto"/>
          <w:sz w:val="32"/>
          <w:szCs w:val="32"/>
          <w:highlight w:val="none"/>
        </w:rPr>
      </w:pPr>
    </w:p>
    <w:p>
      <w:pPr>
        <w:spacing w:before="0" w:after="0" w:line="240" w:lineRule="auto"/>
        <w:ind w:firstLine="0" w:firstLineChars="0"/>
        <w:rPr>
          <w:rFonts w:ascii="宋体" w:hAnsi="宋体" w:cs="宋体"/>
          <w:b/>
          <w:bCs/>
          <w:color w:val="auto"/>
          <w:sz w:val="32"/>
          <w:szCs w:val="32"/>
          <w:highlight w:val="none"/>
        </w:rPr>
      </w:pPr>
      <w:r>
        <w:rPr>
          <w:rFonts w:hint="eastAsia" w:ascii="宋体" w:hAnsi="宋体" w:cs="宋体"/>
          <w:b/>
          <w:bCs/>
          <w:color w:val="auto"/>
          <w:sz w:val="32"/>
          <w:szCs w:val="32"/>
          <w:highlight w:val="none"/>
        </w:rPr>
        <w:t>9. 项目实施人员一览表 【必须提供，请提供，并一起提供由县级以上（含县级）社会养老保险经办机构出具的供应商为项目实施人员交纳的开标截止时间前半年内任意三个月社保证明复印件】；</w:t>
      </w:r>
    </w:p>
    <w:p>
      <w:pPr>
        <w:spacing w:before="0" w:after="0" w:line="240" w:lineRule="auto"/>
        <w:ind w:firstLine="0" w:firstLineChars="0"/>
        <w:rPr>
          <w:rFonts w:ascii="宋体" w:hAnsi="宋体" w:cs="宋体"/>
          <w:b/>
          <w:bCs/>
          <w:color w:val="auto"/>
          <w:sz w:val="32"/>
          <w:szCs w:val="32"/>
          <w:highlight w:val="none"/>
        </w:rPr>
      </w:pPr>
    </w:p>
    <w:p>
      <w:pPr>
        <w:spacing w:before="0" w:after="0" w:line="400" w:lineRule="exact"/>
        <w:ind w:firstLine="0" w:firstLineChars="0"/>
        <w:jc w:val="center"/>
        <w:rPr>
          <w:rFonts w:ascii="宋体" w:hAnsi="宋体" w:cs="宋体"/>
          <w:bCs/>
          <w:color w:val="auto"/>
          <w:szCs w:val="20"/>
          <w:highlight w:val="none"/>
        </w:rPr>
      </w:pPr>
    </w:p>
    <w:p>
      <w:pPr>
        <w:spacing w:before="0" w:after="0" w:line="240" w:lineRule="auto"/>
        <w:ind w:firstLine="0" w:firstLineChars="0"/>
        <w:rPr>
          <w:rFonts w:ascii="宋体" w:hAnsi="宋体" w:cs="宋体"/>
          <w:b/>
          <w:bCs/>
          <w:color w:val="auto"/>
          <w:sz w:val="32"/>
          <w:szCs w:val="32"/>
          <w:highlight w:val="none"/>
        </w:rPr>
      </w:pPr>
      <w:r>
        <w:rPr>
          <w:rFonts w:hint="eastAsia" w:ascii="宋体" w:hAnsi="宋体" w:cs="宋体"/>
          <w:b/>
          <w:bCs/>
          <w:color w:val="auto"/>
          <w:sz w:val="32"/>
          <w:szCs w:val="32"/>
          <w:highlight w:val="none"/>
        </w:rPr>
        <w:t>10. 供应商2019年度通过中介审计的有效财务审计报告复印件（如有，请提供）</w:t>
      </w:r>
    </w:p>
    <w:p>
      <w:pPr>
        <w:spacing w:before="0" w:after="0" w:line="240" w:lineRule="auto"/>
        <w:ind w:firstLine="0" w:firstLineChars="0"/>
        <w:rPr>
          <w:rFonts w:ascii="宋体" w:hAnsi="宋体" w:cs="宋体"/>
          <w:b/>
          <w:bCs/>
          <w:color w:val="auto"/>
          <w:sz w:val="32"/>
          <w:szCs w:val="32"/>
          <w:highlight w:val="none"/>
        </w:rPr>
      </w:pPr>
    </w:p>
    <w:p>
      <w:pPr>
        <w:spacing w:before="0" w:after="0" w:line="240" w:lineRule="auto"/>
        <w:ind w:firstLine="0" w:firstLineChars="0"/>
        <w:rPr>
          <w:rFonts w:ascii="宋体" w:hAnsi="宋体" w:cs="宋体"/>
          <w:b/>
          <w:bCs/>
          <w:color w:val="auto"/>
          <w:sz w:val="32"/>
          <w:szCs w:val="32"/>
          <w:highlight w:val="none"/>
        </w:rPr>
      </w:pPr>
    </w:p>
    <w:p>
      <w:pPr>
        <w:spacing w:before="0" w:after="0" w:line="240" w:lineRule="auto"/>
        <w:ind w:firstLine="0" w:firstLineChars="0"/>
        <w:rPr>
          <w:rFonts w:ascii="宋体" w:hAnsi="宋体" w:cs="宋体"/>
          <w:b/>
          <w:bCs/>
          <w:color w:val="auto"/>
          <w:sz w:val="32"/>
          <w:szCs w:val="32"/>
          <w:highlight w:val="none"/>
        </w:rPr>
      </w:pPr>
      <w:r>
        <w:rPr>
          <w:rFonts w:hint="eastAsia" w:ascii="宋体" w:hAnsi="宋体" w:cs="宋体"/>
          <w:b/>
          <w:bCs/>
          <w:color w:val="auto"/>
          <w:sz w:val="32"/>
          <w:szCs w:val="32"/>
          <w:highlight w:val="none"/>
        </w:rPr>
        <w:t>11. 供应商</w:t>
      </w:r>
      <w:r>
        <w:rPr>
          <w:rFonts w:hint="eastAsia" w:ascii="宋体" w:hAnsi="宋体" w:cs="宋体"/>
          <w:b/>
          <w:bCs/>
          <w:color w:val="auto"/>
          <w:sz w:val="32"/>
          <w:szCs w:val="32"/>
          <w:highlight w:val="none"/>
          <w:lang w:eastAsia="zh-CN"/>
        </w:rPr>
        <w:t>2015年以来具有的同类项目</w:t>
      </w:r>
      <w:r>
        <w:rPr>
          <w:rFonts w:hint="eastAsia" w:ascii="宋体" w:hAnsi="宋体" w:cs="宋体"/>
          <w:b/>
          <w:bCs/>
          <w:color w:val="auto"/>
          <w:sz w:val="32"/>
          <w:szCs w:val="32"/>
          <w:highlight w:val="none"/>
        </w:rPr>
        <w:t>业绩的相关证明材料（无不良记录，以中标、成交通知书或签订的销售合同为准，并能清晰反映所销售的货物名称、种类、金额）（如有，请提供）；</w:t>
      </w:r>
    </w:p>
    <w:p>
      <w:pPr>
        <w:spacing w:before="0" w:after="0" w:line="240" w:lineRule="auto"/>
        <w:ind w:firstLine="0" w:firstLineChars="0"/>
        <w:rPr>
          <w:rFonts w:ascii="宋体" w:hAnsi="宋体" w:cs="宋体"/>
          <w:b/>
          <w:bCs/>
          <w:color w:val="auto"/>
          <w:sz w:val="32"/>
          <w:szCs w:val="32"/>
          <w:highlight w:val="none"/>
        </w:rPr>
      </w:pPr>
    </w:p>
    <w:p>
      <w:pPr>
        <w:spacing w:before="0" w:after="0" w:line="240" w:lineRule="auto"/>
        <w:ind w:firstLine="0" w:firstLineChars="0"/>
        <w:rPr>
          <w:rFonts w:ascii="宋体" w:hAnsi="宋体" w:cs="宋体"/>
          <w:b/>
          <w:bCs/>
          <w:color w:val="auto"/>
          <w:sz w:val="32"/>
          <w:szCs w:val="32"/>
          <w:highlight w:val="none"/>
        </w:rPr>
      </w:pPr>
    </w:p>
    <w:p>
      <w:pPr>
        <w:spacing w:before="0" w:after="0" w:line="240" w:lineRule="auto"/>
        <w:ind w:firstLine="0" w:firstLineChars="0"/>
        <w:rPr>
          <w:rFonts w:ascii="宋体" w:hAnsi="宋体" w:cs="宋体"/>
          <w:b/>
          <w:bCs/>
          <w:color w:val="auto"/>
          <w:sz w:val="32"/>
          <w:szCs w:val="32"/>
          <w:highlight w:val="none"/>
        </w:rPr>
      </w:pPr>
      <w:r>
        <w:rPr>
          <w:rFonts w:hint="eastAsia" w:ascii="宋体" w:hAnsi="宋体" w:cs="宋体"/>
          <w:b/>
          <w:bCs/>
          <w:color w:val="auto"/>
          <w:sz w:val="32"/>
          <w:szCs w:val="32"/>
          <w:highlight w:val="none"/>
        </w:rPr>
        <w:t>12.“服务采购需求”需提供的有效证明文件；</w:t>
      </w:r>
    </w:p>
    <w:p>
      <w:pPr>
        <w:spacing w:before="0" w:after="0" w:line="240" w:lineRule="auto"/>
        <w:ind w:firstLine="0" w:firstLineChars="0"/>
        <w:rPr>
          <w:rFonts w:ascii="宋体" w:hAnsi="宋体" w:cs="宋体"/>
          <w:b/>
          <w:bCs/>
          <w:color w:val="auto"/>
          <w:sz w:val="32"/>
          <w:szCs w:val="32"/>
          <w:highlight w:val="none"/>
        </w:rPr>
      </w:pPr>
    </w:p>
    <w:p>
      <w:pPr>
        <w:spacing w:before="0" w:after="0" w:line="240" w:lineRule="auto"/>
        <w:ind w:firstLine="0" w:firstLineChars="0"/>
        <w:rPr>
          <w:rFonts w:ascii="宋体" w:hAnsi="宋体" w:cs="宋体"/>
          <w:b/>
          <w:bCs/>
          <w:color w:val="auto"/>
          <w:sz w:val="32"/>
          <w:szCs w:val="32"/>
          <w:highlight w:val="none"/>
        </w:rPr>
      </w:pPr>
    </w:p>
    <w:p>
      <w:pPr>
        <w:spacing w:before="0" w:after="0" w:line="240" w:lineRule="auto"/>
        <w:ind w:firstLine="0" w:firstLineChars="0"/>
        <w:rPr>
          <w:rFonts w:ascii="宋体" w:hAnsi="宋体" w:cs="宋体"/>
          <w:b/>
          <w:color w:val="auto"/>
          <w:sz w:val="32"/>
          <w:szCs w:val="32"/>
          <w:highlight w:val="none"/>
        </w:rPr>
      </w:pPr>
      <w:r>
        <w:rPr>
          <w:rFonts w:hint="eastAsia" w:ascii="宋体" w:hAnsi="宋体" w:cs="宋体"/>
          <w:b/>
          <w:bCs/>
          <w:color w:val="auto"/>
          <w:sz w:val="32"/>
          <w:szCs w:val="32"/>
          <w:highlight w:val="none"/>
        </w:rPr>
        <w:t xml:space="preserve">13. </w:t>
      </w:r>
      <w:r>
        <w:rPr>
          <w:rFonts w:hint="eastAsia" w:ascii="宋体" w:hAnsi="宋体" w:cs="宋体"/>
          <w:b/>
          <w:color w:val="auto"/>
          <w:sz w:val="32"/>
          <w:szCs w:val="32"/>
          <w:highlight w:val="none"/>
        </w:rPr>
        <w:t>其他有效证明文件的复印件（如提供服务的供应商属于小型、微型企业、监狱企业的，以提供工商注册地的工业和信息化部门等其他行政部门出具的相关证明材料为准）。</w:t>
      </w:r>
    </w:p>
    <w:p>
      <w:pPr>
        <w:spacing w:before="0" w:after="0" w:line="240" w:lineRule="auto"/>
        <w:ind w:firstLine="0" w:firstLineChars="0"/>
        <w:rPr>
          <w:rFonts w:ascii="宋体" w:hAnsi="宋体" w:cs="宋体"/>
          <w:b/>
          <w:color w:val="auto"/>
          <w:sz w:val="32"/>
          <w:szCs w:val="32"/>
          <w:highlight w:val="none"/>
        </w:rPr>
      </w:pPr>
    </w:p>
    <w:p>
      <w:pPr>
        <w:spacing w:before="0" w:after="0" w:line="240" w:lineRule="auto"/>
        <w:ind w:firstLine="0" w:firstLineChars="0"/>
        <w:rPr>
          <w:rFonts w:ascii="宋体" w:hAnsi="宋体" w:cs="宋体"/>
          <w:b/>
          <w:color w:val="auto"/>
          <w:sz w:val="32"/>
          <w:szCs w:val="32"/>
          <w:highlight w:val="none"/>
        </w:rPr>
      </w:pPr>
    </w:p>
    <w:p>
      <w:pPr>
        <w:spacing w:before="0" w:after="0" w:line="240" w:lineRule="auto"/>
        <w:ind w:firstLine="0" w:firstLineChars="0"/>
        <w:rPr>
          <w:rFonts w:ascii="宋体" w:hAnsi="宋体"/>
          <w:color w:val="auto"/>
          <w:highlight w:val="none"/>
        </w:rPr>
      </w:pPr>
      <w:r>
        <w:rPr>
          <w:rFonts w:hint="eastAsia" w:ascii="宋体" w:hAnsi="宋体" w:cs="宋体"/>
          <w:b/>
          <w:color w:val="auto"/>
          <w:sz w:val="32"/>
          <w:szCs w:val="32"/>
          <w:highlight w:val="none"/>
        </w:rPr>
        <w:t>14.</w:t>
      </w:r>
      <w:r>
        <w:rPr>
          <w:rFonts w:hint="eastAsia"/>
          <w:color w:val="auto"/>
          <w:highlight w:val="none"/>
        </w:rPr>
        <w:t xml:space="preserve"> </w:t>
      </w:r>
      <w:r>
        <w:rPr>
          <w:rFonts w:hint="eastAsia" w:ascii="宋体" w:hAnsi="宋体" w:cs="宋体"/>
          <w:b/>
          <w:color w:val="auto"/>
          <w:sz w:val="32"/>
          <w:szCs w:val="32"/>
          <w:highlight w:val="none"/>
        </w:rPr>
        <w:t>供应商可结合本项目自身情况自行提交其它相关证明材料。</w:t>
      </w:r>
    </w:p>
    <w:sectPr>
      <w:footerReference r:id="rId14" w:type="default"/>
      <w:pgSz w:w="11906" w:h="16838"/>
      <w:pgMar w:top="1134" w:right="849" w:bottom="1134" w:left="1134" w:header="720" w:footer="720" w:gutter="0"/>
      <w:pgNumType w:fmt="decimal"/>
      <w:cols w:space="720" w:num="1"/>
      <w:titlePg/>
      <w:docGrid w:type="linesAndChar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ind w:firstLine="360"/>
      <w:rPr>
        <w:rStyle w:val="50"/>
      </w:rPr>
    </w:pPr>
    <w:r>
      <w:fldChar w:fldCharType="begin"/>
    </w:r>
    <w:r>
      <w:rPr>
        <w:rStyle w:val="50"/>
      </w:rPr>
      <w:instrText xml:space="preserve">PAGE  </w:instrText>
    </w:r>
    <w:r>
      <w:fldChar w:fldCharType="separate"/>
    </w:r>
    <w:r>
      <w:rPr>
        <w:rStyle w:val="50"/>
      </w:rPr>
      <w:t>1</w:t>
    </w:r>
    <w:r>
      <w:fldChar w:fldCharType="end"/>
    </w:r>
  </w:p>
  <w:p>
    <w:pPr>
      <w:pStyle w:val="2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A3F2B2"/>
    <w:multiLevelType w:val="singleLevel"/>
    <w:tmpl w:val="86A3F2B2"/>
    <w:lvl w:ilvl="0" w:tentative="0">
      <w:start w:val="3"/>
      <w:numFmt w:val="decimal"/>
      <w:suff w:val="nothing"/>
      <w:lvlText w:val="%1、"/>
      <w:lvlJc w:val="left"/>
    </w:lvl>
  </w:abstractNum>
  <w:abstractNum w:abstractNumId="1">
    <w:nsid w:val="00000002"/>
    <w:multiLevelType w:val="multilevel"/>
    <w:tmpl w:val="00000002"/>
    <w:lvl w:ilvl="0" w:tentative="0">
      <w:start w:val="1"/>
      <w:numFmt w:val="japaneseCounting"/>
      <w:lvlText w:val="第%1条"/>
      <w:lvlJc w:val="left"/>
      <w:pPr>
        <w:tabs>
          <w:tab w:val="left" w:pos="1253"/>
        </w:tabs>
        <w:ind w:left="1253" w:hanging="840"/>
      </w:pPr>
      <w:rPr>
        <w:rFonts w:hint="default"/>
      </w:rPr>
    </w:lvl>
    <w:lvl w:ilvl="1" w:tentative="0">
      <w:start w:val="1"/>
      <w:numFmt w:val="lowerLetter"/>
      <w:lvlText w:val="%2)"/>
      <w:lvlJc w:val="left"/>
      <w:pPr>
        <w:tabs>
          <w:tab w:val="left" w:pos="1253"/>
        </w:tabs>
        <w:ind w:left="1253" w:hanging="420"/>
      </w:pPr>
    </w:lvl>
    <w:lvl w:ilvl="2" w:tentative="0">
      <w:start w:val="1"/>
      <w:numFmt w:val="lowerRoman"/>
      <w:lvlText w:val="%3."/>
      <w:lvlJc w:val="right"/>
      <w:pPr>
        <w:tabs>
          <w:tab w:val="left" w:pos="1673"/>
        </w:tabs>
        <w:ind w:left="1673" w:hanging="420"/>
      </w:pPr>
    </w:lvl>
    <w:lvl w:ilvl="3" w:tentative="0">
      <w:start w:val="1"/>
      <w:numFmt w:val="decimal"/>
      <w:lvlText w:val="%4."/>
      <w:lvlJc w:val="left"/>
      <w:pPr>
        <w:tabs>
          <w:tab w:val="left" w:pos="2093"/>
        </w:tabs>
        <w:ind w:left="2093" w:hanging="420"/>
      </w:pPr>
    </w:lvl>
    <w:lvl w:ilvl="4" w:tentative="0">
      <w:start w:val="1"/>
      <w:numFmt w:val="lowerLetter"/>
      <w:lvlText w:val="%5)"/>
      <w:lvlJc w:val="left"/>
      <w:pPr>
        <w:tabs>
          <w:tab w:val="left" w:pos="2513"/>
        </w:tabs>
        <w:ind w:left="2513" w:hanging="420"/>
      </w:pPr>
    </w:lvl>
    <w:lvl w:ilvl="5" w:tentative="0">
      <w:start w:val="1"/>
      <w:numFmt w:val="lowerRoman"/>
      <w:lvlText w:val="%6."/>
      <w:lvlJc w:val="right"/>
      <w:pPr>
        <w:tabs>
          <w:tab w:val="left" w:pos="2933"/>
        </w:tabs>
        <w:ind w:left="2933" w:hanging="420"/>
      </w:pPr>
    </w:lvl>
    <w:lvl w:ilvl="6" w:tentative="0">
      <w:start w:val="1"/>
      <w:numFmt w:val="decimal"/>
      <w:lvlText w:val="%7."/>
      <w:lvlJc w:val="left"/>
      <w:pPr>
        <w:tabs>
          <w:tab w:val="left" w:pos="3353"/>
        </w:tabs>
        <w:ind w:left="3353" w:hanging="420"/>
      </w:pPr>
    </w:lvl>
    <w:lvl w:ilvl="7" w:tentative="0">
      <w:start w:val="1"/>
      <w:numFmt w:val="lowerLetter"/>
      <w:lvlText w:val="%8)"/>
      <w:lvlJc w:val="left"/>
      <w:pPr>
        <w:tabs>
          <w:tab w:val="left" w:pos="3773"/>
        </w:tabs>
        <w:ind w:left="3773" w:hanging="420"/>
      </w:pPr>
    </w:lvl>
    <w:lvl w:ilvl="8" w:tentative="0">
      <w:start w:val="1"/>
      <w:numFmt w:val="lowerRoman"/>
      <w:lvlText w:val="%9."/>
      <w:lvlJc w:val="right"/>
      <w:pPr>
        <w:tabs>
          <w:tab w:val="left" w:pos="4193"/>
        </w:tabs>
        <w:ind w:left="4193" w:hanging="420"/>
      </w:pPr>
    </w:lvl>
  </w:abstractNum>
  <w:abstractNum w:abstractNumId="2">
    <w:nsid w:val="00000003"/>
    <w:multiLevelType w:val="multilevel"/>
    <w:tmpl w:val="00000003"/>
    <w:lvl w:ilvl="0" w:tentative="0">
      <w:start w:val="1"/>
      <w:numFmt w:val="japaneseCounting"/>
      <w:pStyle w:val="56"/>
      <w:lvlText w:val="第%1章"/>
      <w:lvlJc w:val="left"/>
      <w:pPr>
        <w:ind w:left="2160" w:hanging="1080"/>
      </w:pPr>
      <w:rPr>
        <w:rFonts w:hint="default"/>
      </w:rPr>
    </w:lvl>
    <w:lvl w:ilvl="1" w:tentative="0">
      <w:start w:val="1"/>
      <w:numFmt w:val="lowerLetter"/>
      <w:pStyle w:val="71"/>
      <w:lvlText w:val="%2)"/>
      <w:lvlJc w:val="left"/>
      <w:pPr>
        <w:ind w:left="1920" w:hanging="420"/>
      </w:pPr>
    </w:lvl>
    <w:lvl w:ilvl="2" w:tentative="0">
      <w:start w:val="1"/>
      <w:numFmt w:val="lowerRoman"/>
      <w:lvlText w:val="%3."/>
      <w:lvlJc w:val="right"/>
      <w:pPr>
        <w:ind w:left="2340" w:hanging="420"/>
      </w:pPr>
    </w:lvl>
    <w:lvl w:ilvl="3" w:tentative="0">
      <w:start w:val="1"/>
      <w:numFmt w:val="decimal"/>
      <w:lvlText w:val="%4."/>
      <w:lvlJc w:val="left"/>
      <w:pPr>
        <w:ind w:left="2760" w:hanging="420"/>
      </w:pPr>
    </w:lvl>
    <w:lvl w:ilvl="4" w:tentative="0">
      <w:start w:val="1"/>
      <w:numFmt w:val="lowerLetter"/>
      <w:lvlText w:val="%5)"/>
      <w:lvlJc w:val="left"/>
      <w:pPr>
        <w:ind w:left="3180" w:hanging="420"/>
      </w:pPr>
    </w:lvl>
    <w:lvl w:ilvl="5" w:tentative="0">
      <w:start w:val="1"/>
      <w:numFmt w:val="lowerRoman"/>
      <w:lvlText w:val="%6."/>
      <w:lvlJc w:val="right"/>
      <w:pPr>
        <w:ind w:left="3600" w:hanging="420"/>
      </w:pPr>
    </w:lvl>
    <w:lvl w:ilvl="6" w:tentative="0">
      <w:start w:val="1"/>
      <w:numFmt w:val="decimal"/>
      <w:lvlText w:val="%7."/>
      <w:lvlJc w:val="left"/>
      <w:pPr>
        <w:ind w:left="4020" w:hanging="420"/>
      </w:pPr>
    </w:lvl>
    <w:lvl w:ilvl="7" w:tentative="0">
      <w:start w:val="1"/>
      <w:numFmt w:val="lowerLetter"/>
      <w:lvlText w:val="%8)"/>
      <w:lvlJc w:val="left"/>
      <w:pPr>
        <w:ind w:left="4440" w:hanging="420"/>
      </w:pPr>
    </w:lvl>
    <w:lvl w:ilvl="8" w:tentative="0">
      <w:start w:val="1"/>
      <w:numFmt w:val="lowerRoman"/>
      <w:lvlText w:val="%9."/>
      <w:lvlJc w:val="right"/>
      <w:pPr>
        <w:ind w:left="4860" w:hanging="420"/>
      </w:pPr>
    </w:lvl>
  </w:abstractNum>
  <w:abstractNum w:abstractNumId="3">
    <w:nsid w:val="00000004"/>
    <w:multiLevelType w:val="singleLevel"/>
    <w:tmpl w:val="00000004"/>
    <w:lvl w:ilvl="0" w:tentative="0">
      <w:start w:val="5"/>
      <w:numFmt w:val="decimal"/>
      <w:suff w:val="space"/>
      <w:lvlText w:val="%1."/>
      <w:lvlJc w:val="left"/>
    </w:lvl>
  </w:abstractNum>
  <w:abstractNum w:abstractNumId="4">
    <w:nsid w:val="00000005"/>
    <w:multiLevelType w:val="singleLevel"/>
    <w:tmpl w:val="00000005"/>
    <w:lvl w:ilvl="0" w:tentative="0">
      <w:start w:val="1"/>
      <w:numFmt w:val="decimal"/>
      <w:suff w:val="space"/>
      <w:lvlText w:val="%1."/>
      <w:lvlJc w:val="left"/>
    </w:lvl>
  </w:abstractNum>
  <w:abstractNum w:abstractNumId="5">
    <w:nsid w:val="00000006"/>
    <w:multiLevelType w:val="multilevel"/>
    <w:tmpl w:val="00000006"/>
    <w:lvl w:ilvl="0" w:tentative="0">
      <w:start w:val="7"/>
      <w:numFmt w:val="japaneseCounting"/>
      <w:pStyle w:val="59"/>
      <w:lvlText w:val="第%1条"/>
      <w:lvlJc w:val="left"/>
      <w:pPr>
        <w:tabs>
          <w:tab w:val="left" w:pos="1253"/>
        </w:tabs>
        <w:ind w:left="1253" w:hanging="840"/>
      </w:pPr>
      <w:rPr>
        <w:rFonts w:hint="default"/>
      </w:rPr>
    </w:lvl>
    <w:lvl w:ilvl="1" w:tentative="0">
      <w:start w:val="1"/>
      <w:numFmt w:val="lowerLetter"/>
      <w:lvlText w:val="%2)"/>
      <w:lvlJc w:val="left"/>
      <w:pPr>
        <w:tabs>
          <w:tab w:val="left" w:pos="1253"/>
        </w:tabs>
        <w:ind w:left="1253" w:hanging="420"/>
      </w:pPr>
    </w:lvl>
    <w:lvl w:ilvl="2" w:tentative="0">
      <w:start w:val="1"/>
      <w:numFmt w:val="lowerRoman"/>
      <w:lvlText w:val="%3."/>
      <w:lvlJc w:val="right"/>
      <w:pPr>
        <w:tabs>
          <w:tab w:val="left" w:pos="1673"/>
        </w:tabs>
        <w:ind w:left="1673" w:hanging="420"/>
      </w:pPr>
    </w:lvl>
    <w:lvl w:ilvl="3" w:tentative="0">
      <w:start w:val="1"/>
      <w:numFmt w:val="decimal"/>
      <w:lvlText w:val="%4."/>
      <w:lvlJc w:val="left"/>
      <w:pPr>
        <w:tabs>
          <w:tab w:val="left" w:pos="2093"/>
        </w:tabs>
        <w:ind w:left="2093" w:hanging="420"/>
      </w:pPr>
    </w:lvl>
    <w:lvl w:ilvl="4" w:tentative="0">
      <w:start w:val="1"/>
      <w:numFmt w:val="lowerLetter"/>
      <w:lvlText w:val="%5)"/>
      <w:lvlJc w:val="left"/>
      <w:pPr>
        <w:tabs>
          <w:tab w:val="left" w:pos="2513"/>
        </w:tabs>
        <w:ind w:left="2513" w:hanging="420"/>
      </w:pPr>
    </w:lvl>
    <w:lvl w:ilvl="5" w:tentative="0">
      <w:start w:val="1"/>
      <w:numFmt w:val="lowerRoman"/>
      <w:lvlText w:val="%6."/>
      <w:lvlJc w:val="right"/>
      <w:pPr>
        <w:tabs>
          <w:tab w:val="left" w:pos="2933"/>
        </w:tabs>
        <w:ind w:left="2933" w:hanging="420"/>
      </w:pPr>
    </w:lvl>
    <w:lvl w:ilvl="6" w:tentative="0">
      <w:start w:val="1"/>
      <w:numFmt w:val="decimal"/>
      <w:lvlText w:val="%7."/>
      <w:lvlJc w:val="left"/>
      <w:pPr>
        <w:tabs>
          <w:tab w:val="left" w:pos="3353"/>
        </w:tabs>
        <w:ind w:left="3353" w:hanging="420"/>
      </w:pPr>
    </w:lvl>
    <w:lvl w:ilvl="7" w:tentative="0">
      <w:start w:val="1"/>
      <w:numFmt w:val="lowerLetter"/>
      <w:lvlText w:val="%8)"/>
      <w:lvlJc w:val="left"/>
      <w:pPr>
        <w:tabs>
          <w:tab w:val="left" w:pos="3773"/>
        </w:tabs>
        <w:ind w:left="3773" w:hanging="420"/>
      </w:pPr>
    </w:lvl>
    <w:lvl w:ilvl="8" w:tentative="0">
      <w:start w:val="1"/>
      <w:numFmt w:val="lowerRoman"/>
      <w:lvlText w:val="%9."/>
      <w:lvlJc w:val="right"/>
      <w:pPr>
        <w:tabs>
          <w:tab w:val="left" w:pos="4193"/>
        </w:tabs>
        <w:ind w:left="4193" w:hanging="420"/>
      </w:pPr>
    </w:lvl>
  </w:abstractNum>
  <w:abstractNum w:abstractNumId="6">
    <w:nsid w:val="00000007"/>
    <w:multiLevelType w:val="multilevel"/>
    <w:tmpl w:val="00000007"/>
    <w:lvl w:ilvl="0" w:tentative="0">
      <w:start w:val="1"/>
      <w:numFmt w:val="chineseCountingThousand"/>
      <w:pStyle w:val="64"/>
      <w:suff w:val="space"/>
      <w:lvlText w:val="第%1章"/>
      <w:lvlJc w:val="left"/>
      <w:pPr>
        <w:ind w:left="3119" w:hanging="425"/>
      </w:pPr>
      <w:rPr>
        <w:rFonts w:hint="eastAsia"/>
      </w:rPr>
    </w:lvl>
    <w:lvl w:ilvl="1" w:tentative="0">
      <w:start w:val="1"/>
      <w:numFmt w:val="decimal"/>
      <w:pStyle w:val="4"/>
      <w:isLgl/>
      <w:suff w:val="space"/>
      <w:lvlText w:val="%1.%2"/>
      <w:lvlJc w:val="left"/>
      <w:pPr>
        <w:ind w:left="425" w:hanging="425"/>
      </w:pPr>
      <w:rPr>
        <w:rFonts w:hint="eastAsia" w:ascii="微软雅黑" w:hAnsi="微软雅黑" w:eastAsia="微软雅黑"/>
      </w:rPr>
    </w:lvl>
    <w:lvl w:ilvl="2" w:tentative="0">
      <w:start w:val="1"/>
      <w:numFmt w:val="decimal"/>
      <w:isLgl/>
      <w:suff w:val="space"/>
      <w:lvlText w:val="%1.%2.%3"/>
      <w:lvlJc w:val="left"/>
      <w:pPr>
        <w:ind w:left="3119" w:hanging="425"/>
      </w:pPr>
      <w:rPr>
        <w:rFonts w:hint="eastAsia" w:ascii="仿宋_GB2312" w:eastAsia="仿宋_GB2312"/>
      </w:rPr>
    </w:lvl>
    <w:lvl w:ilvl="3" w:tentative="0">
      <w:start w:val="1"/>
      <w:numFmt w:val="decimal"/>
      <w:pStyle w:val="6"/>
      <w:isLgl/>
      <w:suff w:val="space"/>
      <w:lvlText w:val="%1.%2.%3.%4"/>
      <w:lvlJc w:val="left"/>
      <w:pPr>
        <w:ind w:left="3119" w:hanging="425"/>
      </w:pPr>
      <w:rPr>
        <w:rFonts w:hint="eastAsia" w:ascii="仿宋_GB2312" w:hAnsi="宋体" w:eastAsia="仿宋_GB2312"/>
        <w:sz w:val="28"/>
        <w:szCs w:val="28"/>
      </w:rPr>
    </w:lvl>
    <w:lvl w:ilvl="4" w:tentative="0">
      <w:start w:val="1"/>
      <w:numFmt w:val="decimal"/>
      <w:lvlText w:val="%1.%2.%3.%4.%5"/>
      <w:lvlJc w:val="left"/>
      <w:pPr>
        <w:ind w:left="3119" w:hanging="425"/>
      </w:pPr>
      <w:rPr>
        <w:rFonts w:hint="eastAsia"/>
      </w:rPr>
    </w:lvl>
    <w:lvl w:ilvl="5" w:tentative="0">
      <w:start w:val="1"/>
      <w:numFmt w:val="decimal"/>
      <w:lvlText w:val="%1.%2.%3.%4.%5.%6"/>
      <w:lvlJc w:val="left"/>
      <w:pPr>
        <w:ind w:left="3119" w:hanging="425"/>
      </w:pPr>
      <w:rPr>
        <w:rFonts w:hint="eastAsia"/>
      </w:rPr>
    </w:lvl>
    <w:lvl w:ilvl="6" w:tentative="0">
      <w:start w:val="1"/>
      <w:numFmt w:val="decimal"/>
      <w:lvlText w:val="%1.%2.%3.%4.%5.%6.%7"/>
      <w:lvlJc w:val="left"/>
      <w:pPr>
        <w:ind w:left="3119" w:hanging="425"/>
      </w:pPr>
      <w:rPr>
        <w:rFonts w:hint="eastAsia"/>
      </w:rPr>
    </w:lvl>
    <w:lvl w:ilvl="7" w:tentative="0">
      <w:start w:val="1"/>
      <w:numFmt w:val="decimal"/>
      <w:lvlText w:val="%1.%2.%3.%4.%5.%6.%7.%8"/>
      <w:lvlJc w:val="left"/>
      <w:pPr>
        <w:ind w:left="3119" w:hanging="425"/>
      </w:pPr>
      <w:rPr>
        <w:rFonts w:hint="eastAsia"/>
      </w:rPr>
    </w:lvl>
    <w:lvl w:ilvl="8" w:tentative="0">
      <w:start w:val="1"/>
      <w:numFmt w:val="decimal"/>
      <w:lvlText w:val="%1.%2.%3.%4.%5.%6.%7.%8.%9"/>
      <w:lvlJc w:val="left"/>
      <w:pPr>
        <w:ind w:left="3119" w:hanging="425"/>
      </w:pPr>
      <w:rPr>
        <w:rFonts w:hint="eastAsia"/>
      </w:rPr>
    </w:lvl>
  </w:abstractNum>
  <w:abstractNum w:abstractNumId="7">
    <w:nsid w:val="381D6141"/>
    <w:multiLevelType w:val="singleLevel"/>
    <w:tmpl w:val="381D6141"/>
    <w:lvl w:ilvl="0" w:tentative="0">
      <w:start w:val="1"/>
      <w:numFmt w:val="decimal"/>
      <w:suff w:val="nothing"/>
      <w:lvlText w:val="（%1）"/>
      <w:lvlJc w:val="left"/>
      <w:rPr>
        <w:rFonts w:ascii="宋体" w:hAnsi="宋体" w:eastAsia="宋体"/>
      </w:rPr>
    </w:lvl>
  </w:abstractNum>
  <w:abstractNum w:abstractNumId="8">
    <w:nsid w:val="7D725EE6"/>
    <w:multiLevelType w:val="singleLevel"/>
    <w:tmpl w:val="7D725EE6"/>
    <w:lvl w:ilvl="0" w:tentative="0">
      <w:start w:val="1"/>
      <w:numFmt w:val="chineseCounting"/>
      <w:suff w:val="nothing"/>
      <w:lvlText w:val="%1、"/>
      <w:lvlJc w:val="left"/>
      <w:rPr>
        <w:rFonts w:hint="eastAsia"/>
      </w:rPr>
    </w:lvl>
  </w:abstractNum>
  <w:num w:numId="1">
    <w:abstractNumId w:val="6"/>
  </w:num>
  <w:num w:numId="2">
    <w:abstractNumId w:val="2"/>
  </w:num>
  <w:num w:numId="3">
    <w:abstractNumId w:val="5"/>
  </w:num>
  <w:num w:numId="4">
    <w:abstractNumId w:val="8"/>
  </w:num>
  <w:num w:numId="5">
    <w:abstractNumId w:val="3"/>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331"/>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C9"/>
    <w:rsid w:val="00175957"/>
    <w:rsid w:val="002C4794"/>
    <w:rsid w:val="00376B91"/>
    <w:rsid w:val="004F455D"/>
    <w:rsid w:val="005972E9"/>
    <w:rsid w:val="00686456"/>
    <w:rsid w:val="007207C7"/>
    <w:rsid w:val="00755EBA"/>
    <w:rsid w:val="00826628"/>
    <w:rsid w:val="009A4973"/>
    <w:rsid w:val="00A845E9"/>
    <w:rsid w:val="00C07306"/>
    <w:rsid w:val="00CA4B08"/>
    <w:rsid w:val="00D40C16"/>
    <w:rsid w:val="00DE58AD"/>
    <w:rsid w:val="00ED173B"/>
    <w:rsid w:val="00EE7CC9"/>
    <w:rsid w:val="00EF54C1"/>
    <w:rsid w:val="02123198"/>
    <w:rsid w:val="04BD00E7"/>
    <w:rsid w:val="04F616E5"/>
    <w:rsid w:val="05180339"/>
    <w:rsid w:val="08052B07"/>
    <w:rsid w:val="087F68F6"/>
    <w:rsid w:val="0A317876"/>
    <w:rsid w:val="0D9C6BBA"/>
    <w:rsid w:val="113B6999"/>
    <w:rsid w:val="119C27CB"/>
    <w:rsid w:val="132A082C"/>
    <w:rsid w:val="132D4FA5"/>
    <w:rsid w:val="13D921D4"/>
    <w:rsid w:val="143736B9"/>
    <w:rsid w:val="143E14B0"/>
    <w:rsid w:val="145A0944"/>
    <w:rsid w:val="14E5728C"/>
    <w:rsid w:val="165A69E6"/>
    <w:rsid w:val="18F1248D"/>
    <w:rsid w:val="1B044735"/>
    <w:rsid w:val="1F9460D4"/>
    <w:rsid w:val="22027558"/>
    <w:rsid w:val="237C4EE4"/>
    <w:rsid w:val="266229D8"/>
    <w:rsid w:val="2A38171C"/>
    <w:rsid w:val="2B4458C2"/>
    <w:rsid w:val="2BB57B3B"/>
    <w:rsid w:val="2BD93EF1"/>
    <w:rsid w:val="2D5E6D53"/>
    <w:rsid w:val="2D6A0E7F"/>
    <w:rsid w:val="2EA82536"/>
    <w:rsid w:val="2F3535BC"/>
    <w:rsid w:val="31391E53"/>
    <w:rsid w:val="32C84788"/>
    <w:rsid w:val="32E7053F"/>
    <w:rsid w:val="33685055"/>
    <w:rsid w:val="33EF7028"/>
    <w:rsid w:val="37965442"/>
    <w:rsid w:val="37B64DE5"/>
    <w:rsid w:val="398A6D43"/>
    <w:rsid w:val="3A82762D"/>
    <w:rsid w:val="3D492EE3"/>
    <w:rsid w:val="3FA146AB"/>
    <w:rsid w:val="3FCF37A5"/>
    <w:rsid w:val="40191B25"/>
    <w:rsid w:val="41C4295B"/>
    <w:rsid w:val="44847983"/>
    <w:rsid w:val="449230A6"/>
    <w:rsid w:val="468C55BC"/>
    <w:rsid w:val="46E56803"/>
    <w:rsid w:val="47861B85"/>
    <w:rsid w:val="47BF290A"/>
    <w:rsid w:val="49724B76"/>
    <w:rsid w:val="4C7F0732"/>
    <w:rsid w:val="4E2F2879"/>
    <w:rsid w:val="5C416B60"/>
    <w:rsid w:val="62FF63F3"/>
    <w:rsid w:val="64D80560"/>
    <w:rsid w:val="66392952"/>
    <w:rsid w:val="68C211ED"/>
    <w:rsid w:val="6AC73FE4"/>
    <w:rsid w:val="6CE47AEE"/>
    <w:rsid w:val="6EC25B89"/>
    <w:rsid w:val="6FD14F8F"/>
    <w:rsid w:val="6FD42FFA"/>
    <w:rsid w:val="70A447EC"/>
    <w:rsid w:val="73147BA3"/>
    <w:rsid w:val="73FE4566"/>
    <w:rsid w:val="74813BAE"/>
    <w:rsid w:val="75E853D4"/>
    <w:rsid w:val="78CE0863"/>
    <w:rsid w:val="79A77510"/>
    <w:rsid w:val="7B877845"/>
    <w:rsid w:val="7C940471"/>
    <w:rsid w:val="7D304625"/>
    <w:rsid w:val="7D8F4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20" w:after="120"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pageBreakBefore/>
      <w:shd w:val="clear" w:color="auto" w:fill="EAF1DD"/>
      <w:spacing w:before="240" w:after="240"/>
      <w:ind w:firstLine="0" w:firstLineChars="0"/>
      <w:jc w:val="center"/>
      <w:outlineLvl w:val="0"/>
    </w:pPr>
    <w:rPr>
      <w:b/>
      <w:bCs/>
      <w:kern w:val="44"/>
      <w:sz w:val="36"/>
      <w:szCs w:val="44"/>
    </w:rPr>
  </w:style>
  <w:style w:type="paragraph" w:styleId="4">
    <w:name w:val="heading 2"/>
    <w:basedOn w:val="1"/>
    <w:next w:val="1"/>
    <w:qFormat/>
    <w:uiPriority w:val="0"/>
    <w:pPr>
      <w:keepNext/>
      <w:keepLines/>
      <w:numPr>
        <w:ilvl w:val="1"/>
        <w:numId w:val="1"/>
      </w:numPr>
      <w:spacing w:before="240" w:after="240"/>
      <w:outlineLvl w:val="1"/>
    </w:pPr>
    <w:rPr>
      <w:rFonts w:ascii="Cambria" w:hAnsi="Cambria" w:eastAsia="微软雅黑"/>
      <w:b/>
      <w:bCs/>
      <w:kern w:val="0"/>
      <w:sz w:val="32"/>
      <w:szCs w:val="32"/>
    </w:rPr>
  </w:style>
  <w:style w:type="paragraph" w:styleId="5">
    <w:name w:val="heading 3"/>
    <w:basedOn w:val="1"/>
    <w:next w:val="1"/>
    <w:link w:val="10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numPr>
        <w:ilvl w:val="3"/>
        <w:numId w:val="1"/>
      </w:numPr>
      <w:spacing w:before="240" w:after="240"/>
      <w:outlineLvl w:val="3"/>
    </w:pPr>
    <w:rPr>
      <w:rFonts w:ascii="Cambria" w:hAnsi="Cambria" w:eastAsia="仿宋_GB2312"/>
      <w:b/>
      <w:bCs/>
      <w:kern w:val="0"/>
      <w:sz w:val="28"/>
      <w:szCs w:val="28"/>
    </w:rPr>
  </w:style>
  <w:style w:type="paragraph" w:styleId="7">
    <w:name w:val="heading 5"/>
    <w:basedOn w:val="1"/>
    <w:next w:val="1"/>
    <w:qFormat/>
    <w:uiPriority w:val="0"/>
    <w:pPr>
      <w:keepNext/>
      <w:keepLines/>
      <w:spacing w:before="280" w:after="290" w:line="372" w:lineRule="auto"/>
      <w:outlineLvl w:val="4"/>
    </w:pPr>
    <w:rPr>
      <w:b/>
      <w:sz w:val="28"/>
      <w:szCs w:val="20"/>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adjustRightInd w:val="0"/>
      <w:ind w:left="420" w:right="33"/>
      <w:jc w:val="left"/>
      <w:textAlignment w:val="baseline"/>
    </w:pPr>
    <w:rPr>
      <w:kern w:val="0"/>
      <w:sz w:val="24"/>
      <w:szCs w:val="20"/>
    </w:rPr>
  </w:style>
  <w:style w:type="paragraph" w:styleId="8">
    <w:name w:val="toc 7"/>
    <w:basedOn w:val="1"/>
    <w:next w:val="1"/>
    <w:qFormat/>
    <w:uiPriority w:val="0"/>
    <w:pPr>
      <w:ind w:left="2520" w:leftChars="1200"/>
    </w:pPr>
    <w:rPr>
      <w:szCs w:val="20"/>
    </w:rPr>
  </w:style>
  <w:style w:type="paragraph" w:styleId="9">
    <w:name w:val="index 8"/>
    <w:basedOn w:val="1"/>
    <w:next w:val="1"/>
    <w:qFormat/>
    <w:uiPriority w:val="0"/>
    <w:pPr>
      <w:ind w:left="1400" w:leftChars="1400" w:firstLine="0"/>
    </w:pPr>
  </w:style>
  <w:style w:type="paragraph" w:styleId="10">
    <w:name w:val="Normal Indent"/>
    <w:basedOn w:val="1"/>
    <w:link w:val="104"/>
    <w:qFormat/>
    <w:uiPriority w:val="99"/>
    <w:pPr>
      <w:ind w:firstLine="420"/>
    </w:pPr>
    <w:rPr>
      <w:szCs w:val="20"/>
    </w:rPr>
  </w:style>
  <w:style w:type="paragraph" w:styleId="11">
    <w:name w:val="caption"/>
    <w:basedOn w:val="1"/>
    <w:next w:val="1"/>
    <w:qFormat/>
    <w:uiPriority w:val="0"/>
    <w:pPr>
      <w:spacing w:before="152" w:after="160"/>
    </w:pPr>
    <w:rPr>
      <w:rFonts w:ascii="Arial" w:hAnsi="Arial" w:eastAsia="黑体"/>
      <w:sz w:val="28"/>
      <w:szCs w:val="20"/>
    </w:rPr>
  </w:style>
  <w:style w:type="paragraph" w:styleId="12">
    <w:name w:val="index 5"/>
    <w:basedOn w:val="1"/>
    <w:next w:val="1"/>
    <w:qFormat/>
    <w:uiPriority w:val="0"/>
    <w:pPr>
      <w:ind w:left="800" w:leftChars="800" w:firstLine="0"/>
    </w:pPr>
  </w:style>
  <w:style w:type="paragraph" w:styleId="13">
    <w:name w:val="Document Map"/>
    <w:basedOn w:val="1"/>
    <w:qFormat/>
    <w:uiPriority w:val="0"/>
    <w:pPr>
      <w:shd w:val="clear" w:color="auto" w:fill="000080"/>
    </w:pPr>
  </w:style>
  <w:style w:type="paragraph" w:styleId="14">
    <w:name w:val="toa heading"/>
    <w:basedOn w:val="1"/>
    <w:next w:val="1"/>
    <w:qFormat/>
    <w:uiPriority w:val="0"/>
    <w:rPr>
      <w:rFonts w:ascii="Arial" w:hAnsi="Arial" w:cs="Arial"/>
      <w:sz w:val="24"/>
    </w:rPr>
  </w:style>
  <w:style w:type="paragraph" w:styleId="15">
    <w:name w:val="annotation text"/>
    <w:basedOn w:val="1"/>
    <w:link w:val="105"/>
    <w:qFormat/>
    <w:uiPriority w:val="0"/>
    <w:pPr>
      <w:jc w:val="left"/>
    </w:pPr>
  </w:style>
  <w:style w:type="paragraph" w:styleId="16">
    <w:name w:val="index 6"/>
    <w:basedOn w:val="1"/>
    <w:next w:val="1"/>
    <w:qFormat/>
    <w:uiPriority w:val="0"/>
    <w:pPr>
      <w:ind w:left="1000" w:leftChars="1000" w:firstLine="0"/>
    </w:pPr>
  </w:style>
  <w:style w:type="paragraph" w:styleId="17">
    <w:name w:val="Body Text 3"/>
    <w:basedOn w:val="1"/>
    <w:qFormat/>
    <w:uiPriority w:val="0"/>
    <w:pPr>
      <w:spacing w:line="240" w:lineRule="exact"/>
    </w:pPr>
    <w:rPr>
      <w:rFonts w:ascii="宋体" w:hAnsi="宋体"/>
      <w:color w:val="000000"/>
      <w:szCs w:val="21"/>
    </w:rPr>
  </w:style>
  <w:style w:type="paragraph" w:styleId="18">
    <w:name w:val="Body Text"/>
    <w:basedOn w:val="1"/>
    <w:next w:val="1"/>
    <w:qFormat/>
    <w:uiPriority w:val="0"/>
    <w:pPr>
      <w:spacing w:line="720" w:lineRule="auto"/>
      <w:jc w:val="center"/>
    </w:pPr>
    <w:rPr>
      <w:b/>
      <w:sz w:val="52"/>
      <w:szCs w:val="20"/>
    </w:rPr>
  </w:style>
  <w:style w:type="paragraph" w:styleId="19">
    <w:name w:val="Body Text Indent"/>
    <w:basedOn w:val="1"/>
    <w:qFormat/>
    <w:uiPriority w:val="0"/>
    <w:pPr>
      <w:ind w:left="420" w:leftChars="200"/>
    </w:pPr>
  </w:style>
  <w:style w:type="paragraph" w:styleId="20">
    <w:name w:val="index 4"/>
    <w:basedOn w:val="1"/>
    <w:next w:val="1"/>
    <w:qFormat/>
    <w:uiPriority w:val="0"/>
    <w:pPr>
      <w:ind w:left="600" w:leftChars="600" w:firstLine="0"/>
    </w:pPr>
  </w:style>
  <w:style w:type="paragraph" w:styleId="21">
    <w:name w:val="toc 5"/>
    <w:basedOn w:val="1"/>
    <w:next w:val="1"/>
    <w:qFormat/>
    <w:uiPriority w:val="0"/>
    <w:pPr>
      <w:ind w:left="1680" w:leftChars="800"/>
    </w:pPr>
    <w:rPr>
      <w:szCs w:val="20"/>
    </w:rPr>
  </w:style>
  <w:style w:type="paragraph" w:styleId="22">
    <w:name w:val="toc 3"/>
    <w:basedOn w:val="1"/>
    <w:next w:val="1"/>
    <w:qFormat/>
    <w:uiPriority w:val="0"/>
    <w:pPr>
      <w:ind w:left="840" w:leftChars="400"/>
    </w:pPr>
    <w:rPr>
      <w:szCs w:val="20"/>
    </w:rPr>
  </w:style>
  <w:style w:type="paragraph" w:styleId="23">
    <w:name w:val="Plain Text"/>
    <w:basedOn w:val="1"/>
    <w:link w:val="112"/>
    <w:qFormat/>
    <w:uiPriority w:val="0"/>
    <w:rPr>
      <w:rFonts w:ascii="宋体" w:hAnsi="Courier New"/>
      <w:szCs w:val="20"/>
    </w:rPr>
  </w:style>
  <w:style w:type="paragraph" w:styleId="24">
    <w:name w:val="toc 8"/>
    <w:basedOn w:val="1"/>
    <w:next w:val="1"/>
    <w:qFormat/>
    <w:uiPriority w:val="0"/>
    <w:pPr>
      <w:ind w:left="2940" w:leftChars="1400"/>
    </w:pPr>
    <w:rPr>
      <w:szCs w:val="20"/>
    </w:rPr>
  </w:style>
  <w:style w:type="paragraph" w:styleId="25">
    <w:name w:val="index 3"/>
    <w:basedOn w:val="1"/>
    <w:next w:val="1"/>
    <w:qFormat/>
    <w:uiPriority w:val="0"/>
    <w:pPr>
      <w:ind w:left="400" w:leftChars="400" w:firstLine="0"/>
    </w:pPr>
  </w:style>
  <w:style w:type="paragraph" w:styleId="26">
    <w:name w:val="Date"/>
    <w:basedOn w:val="1"/>
    <w:next w:val="1"/>
    <w:qFormat/>
    <w:uiPriority w:val="0"/>
    <w:rPr>
      <w:sz w:val="28"/>
      <w:szCs w:val="20"/>
    </w:rPr>
  </w:style>
  <w:style w:type="paragraph" w:styleId="27">
    <w:name w:val="Body Text Indent 2"/>
    <w:basedOn w:val="1"/>
    <w:qFormat/>
    <w:uiPriority w:val="0"/>
    <w:pPr>
      <w:spacing w:line="480" w:lineRule="auto"/>
      <w:ind w:left="420" w:leftChars="200"/>
    </w:pPr>
    <w:rPr>
      <w:rFonts w:ascii="Verdana" w:hAnsi="Verdana"/>
      <w:kern w:val="0"/>
      <w:sz w:val="20"/>
    </w:rPr>
  </w:style>
  <w:style w:type="paragraph" w:styleId="28">
    <w:name w:val="Balloon Text"/>
    <w:basedOn w:val="1"/>
    <w:qFormat/>
    <w:uiPriority w:val="0"/>
    <w:rPr>
      <w:sz w:val="18"/>
      <w:szCs w:val="18"/>
    </w:rPr>
  </w:style>
  <w:style w:type="paragraph" w:styleId="29">
    <w:name w:val="footer"/>
    <w:basedOn w:val="1"/>
    <w:link w:val="94"/>
    <w:qFormat/>
    <w:uiPriority w:val="99"/>
    <w:pPr>
      <w:tabs>
        <w:tab w:val="center" w:pos="4153"/>
        <w:tab w:val="right" w:pos="8306"/>
      </w:tabs>
      <w:snapToGrid w:val="0"/>
      <w:jc w:val="left"/>
    </w:pPr>
    <w:rPr>
      <w:sz w:val="18"/>
      <w:szCs w:val="18"/>
    </w:rPr>
  </w:style>
  <w:style w:type="paragraph" w:styleId="30">
    <w:name w:val="header"/>
    <w:basedOn w:val="1"/>
    <w:link w:val="108"/>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tabs>
        <w:tab w:val="right" w:leader="dot" w:pos="9555"/>
      </w:tabs>
      <w:ind w:left="1576" w:leftChars="150" w:right="385" w:rightChars="385" w:hanging="1261" w:hangingChars="394"/>
    </w:pPr>
    <w:rPr>
      <w:szCs w:val="20"/>
    </w:rPr>
  </w:style>
  <w:style w:type="paragraph" w:styleId="32">
    <w:name w:val="toc 4"/>
    <w:basedOn w:val="1"/>
    <w:next w:val="1"/>
    <w:qFormat/>
    <w:uiPriority w:val="0"/>
    <w:pPr>
      <w:ind w:left="1260" w:leftChars="600"/>
    </w:pPr>
    <w:rPr>
      <w:szCs w:val="20"/>
    </w:rPr>
  </w:style>
  <w:style w:type="paragraph" w:styleId="33">
    <w:name w:val="index heading"/>
    <w:basedOn w:val="1"/>
    <w:next w:val="34"/>
    <w:qFormat/>
    <w:uiPriority w:val="0"/>
  </w:style>
  <w:style w:type="paragraph" w:styleId="34">
    <w:name w:val="index 1"/>
    <w:basedOn w:val="1"/>
    <w:next w:val="1"/>
    <w:qFormat/>
    <w:uiPriority w:val="0"/>
    <w:rPr>
      <w:rFonts w:ascii="宋体" w:hAnsi="Courier New"/>
      <w:szCs w:val="20"/>
    </w:rPr>
  </w:style>
  <w:style w:type="paragraph" w:styleId="35">
    <w:name w:val="toc 6"/>
    <w:basedOn w:val="1"/>
    <w:next w:val="1"/>
    <w:qFormat/>
    <w:uiPriority w:val="0"/>
    <w:pPr>
      <w:ind w:left="2100" w:leftChars="1000"/>
    </w:pPr>
    <w:rPr>
      <w:szCs w:val="20"/>
    </w:rPr>
  </w:style>
  <w:style w:type="paragraph" w:styleId="36">
    <w:name w:val="Body Text Indent 3"/>
    <w:basedOn w:val="1"/>
    <w:qFormat/>
    <w:uiPriority w:val="0"/>
    <w:pPr>
      <w:autoSpaceDE w:val="0"/>
      <w:autoSpaceDN w:val="0"/>
      <w:adjustRightInd w:val="0"/>
      <w:spacing w:line="380" w:lineRule="exact"/>
      <w:ind w:firstLine="480"/>
      <w:jc w:val="left"/>
    </w:pPr>
    <w:rPr>
      <w:rFonts w:ascii="楷体_GB2312" w:eastAsia="楷体_GB2312"/>
      <w:color w:val="000000"/>
      <w:sz w:val="24"/>
    </w:rPr>
  </w:style>
  <w:style w:type="paragraph" w:styleId="37">
    <w:name w:val="index 7"/>
    <w:basedOn w:val="1"/>
    <w:next w:val="1"/>
    <w:qFormat/>
    <w:uiPriority w:val="0"/>
    <w:pPr>
      <w:ind w:left="1200" w:leftChars="1200" w:firstLine="0"/>
    </w:pPr>
  </w:style>
  <w:style w:type="paragraph" w:styleId="38">
    <w:name w:val="index 9"/>
    <w:basedOn w:val="1"/>
    <w:next w:val="1"/>
    <w:qFormat/>
    <w:uiPriority w:val="0"/>
    <w:pPr>
      <w:ind w:left="1600" w:leftChars="1600" w:firstLine="0"/>
    </w:pPr>
  </w:style>
  <w:style w:type="paragraph" w:styleId="39">
    <w:name w:val="toc 2"/>
    <w:basedOn w:val="1"/>
    <w:next w:val="1"/>
    <w:qFormat/>
    <w:uiPriority w:val="0"/>
    <w:pPr>
      <w:ind w:left="420" w:leftChars="200"/>
    </w:pPr>
    <w:rPr>
      <w:szCs w:val="20"/>
    </w:rPr>
  </w:style>
  <w:style w:type="paragraph" w:styleId="40">
    <w:name w:val="toc 9"/>
    <w:basedOn w:val="1"/>
    <w:next w:val="1"/>
    <w:qFormat/>
    <w:uiPriority w:val="0"/>
    <w:pPr>
      <w:ind w:left="3360" w:leftChars="1600"/>
    </w:pPr>
    <w:rPr>
      <w:szCs w:val="20"/>
    </w:rPr>
  </w:style>
  <w:style w:type="paragraph" w:styleId="41">
    <w:name w:val="Normal (Web)"/>
    <w:basedOn w:val="1"/>
    <w:qFormat/>
    <w:uiPriority w:val="99"/>
    <w:rPr>
      <w:rFonts w:eastAsia="仿宋_GB2312"/>
      <w:sz w:val="24"/>
    </w:rPr>
  </w:style>
  <w:style w:type="paragraph" w:styleId="42">
    <w:name w:val="index 2"/>
    <w:basedOn w:val="1"/>
    <w:next w:val="1"/>
    <w:qFormat/>
    <w:uiPriority w:val="0"/>
    <w:pPr>
      <w:ind w:left="200" w:leftChars="200" w:firstLine="0"/>
    </w:pPr>
  </w:style>
  <w:style w:type="paragraph" w:styleId="43">
    <w:name w:val="Title"/>
    <w:basedOn w:val="1"/>
    <w:next w:val="1"/>
    <w:qFormat/>
    <w:uiPriority w:val="0"/>
    <w:pPr>
      <w:spacing w:line="300" w:lineRule="auto"/>
      <w:jc w:val="center"/>
    </w:pPr>
    <w:rPr>
      <w:b/>
      <w:kern w:val="0"/>
      <w:sz w:val="36"/>
      <w:szCs w:val="20"/>
    </w:rPr>
  </w:style>
  <w:style w:type="paragraph" w:styleId="44">
    <w:name w:val="annotation subject"/>
    <w:basedOn w:val="15"/>
    <w:next w:val="15"/>
    <w:qFormat/>
    <w:uiPriority w:val="0"/>
    <w:rPr>
      <w:b/>
      <w:bCs/>
    </w:rPr>
  </w:style>
  <w:style w:type="paragraph" w:styleId="45">
    <w:name w:val="Body Text First Indent 2"/>
    <w:basedOn w:val="19"/>
    <w:unhideWhenUsed/>
    <w:qFormat/>
    <w:uiPriority w:val="99"/>
    <w:pPr>
      <w:ind w:firstLine="420" w:firstLineChars="200"/>
    </w:pPr>
  </w:style>
  <w:style w:type="table" w:styleId="47">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49">
    <w:name w:val="Strong"/>
    <w:qFormat/>
    <w:uiPriority w:val="0"/>
    <w:rPr>
      <w:rFonts w:ascii="Arial" w:hAnsi="Arial" w:cs="Arial"/>
      <w:b/>
      <w:sz w:val="18"/>
      <w:szCs w:val="18"/>
    </w:rPr>
  </w:style>
  <w:style w:type="character" w:styleId="50">
    <w:name w:val="page number"/>
    <w:basedOn w:val="48"/>
    <w:qFormat/>
    <w:uiPriority w:val="0"/>
  </w:style>
  <w:style w:type="character" w:styleId="51">
    <w:name w:val="FollowedHyperlink"/>
    <w:qFormat/>
    <w:uiPriority w:val="0"/>
    <w:rPr>
      <w:rFonts w:hint="default" w:ascii="Arial" w:hAnsi="Arial" w:cs="Arial"/>
      <w:color w:val="003399"/>
      <w:sz w:val="18"/>
      <w:szCs w:val="18"/>
      <w:u w:val="none"/>
    </w:rPr>
  </w:style>
  <w:style w:type="character" w:styleId="52">
    <w:name w:val="Hyperlink"/>
    <w:qFormat/>
    <w:uiPriority w:val="99"/>
    <w:rPr>
      <w:rFonts w:hint="default" w:ascii="Arial" w:hAnsi="Arial" w:cs="Arial"/>
      <w:color w:val="003399"/>
      <w:sz w:val="18"/>
      <w:szCs w:val="18"/>
      <w:u w:val="none"/>
    </w:rPr>
  </w:style>
  <w:style w:type="character" w:styleId="53">
    <w:name w:val="annotation reference"/>
    <w:qFormat/>
    <w:uiPriority w:val="0"/>
    <w:rPr>
      <w:sz w:val="21"/>
      <w:szCs w:val="21"/>
    </w:rPr>
  </w:style>
  <w:style w:type="paragraph" w:customStyle="1" w:styleId="54">
    <w:name w:val="Body Text First Indent 21"/>
    <w:basedOn w:val="1"/>
    <w:qFormat/>
    <w:uiPriority w:val="0"/>
    <w:pPr>
      <w:ind w:left="200" w:leftChars="200" w:firstLine="420"/>
    </w:pPr>
    <w:rPr>
      <w:rFonts w:ascii="仿宋_GB2312" w:eastAsia="仿宋_GB2312" w:cs="仿宋_GB2312"/>
      <w:sz w:val="32"/>
      <w:szCs w:val="32"/>
    </w:rPr>
  </w:style>
  <w:style w:type="paragraph" w:customStyle="1" w:styleId="55">
    <w:name w:val="a 正文"/>
    <w:basedOn w:val="56"/>
    <w:qFormat/>
    <w:uiPriority w:val="0"/>
    <w:pPr>
      <w:numPr>
        <w:ilvl w:val="2"/>
        <w:numId w:val="0"/>
      </w:numPr>
      <w:tabs>
        <w:tab w:val="left" w:pos="360"/>
      </w:tabs>
      <w:ind w:left="681" w:hanging="227"/>
    </w:pPr>
  </w:style>
  <w:style w:type="paragraph" w:customStyle="1" w:styleId="56">
    <w:name w:val="A.正文"/>
    <w:basedOn w:val="1"/>
    <w:qFormat/>
    <w:uiPriority w:val="0"/>
    <w:pPr>
      <w:widowControl/>
      <w:numPr>
        <w:ilvl w:val="0"/>
        <w:numId w:val="2"/>
      </w:numPr>
      <w:tabs>
        <w:tab w:val="left" w:pos="360"/>
      </w:tabs>
      <w:spacing w:before="40" w:after="40" w:line="300" w:lineRule="exact"/>
      <w:ind w:firstLine="510"/>
    </w:pPr>
    <w:rPr>
      <w:szCs w:val="20"/>
    </w:rPr>
  </w:style>
  <w:style w:type="paragraph" w:customStyle="1" w:styleId="57">
    <w:name w:val="pa-25"/>
    <w:basedOn w:val="1"/>
    <w:qFormat/>
    <w:uiPriority w:val="0"/>
    <w:pPr>
      <w:widowControl/>
      <w:spacing w:line="240" w:lineRule="atLeast"/>
      <w:jc w:val="center"/>
    </w:pPr>
    <w:rPr>
      <w:rFonts w:ascii="宋体" w:hAnsi="宋体" w:cs="宋体"/>
      <w:kern w:val="0"/>
      <w:sz w:val="24"/>
    </w:rPr>
  </w:style>
  <w:style w:type="paragraph" w:customStyle="1" w:styleId="58">
    <w:name w:val="p0"/>
    <w:basedOn w:val="1"/>
    <w:qFormat/>
    <w:uiPriority w:val="0"/>
    <w:pPr>
      <w:widowControl/>
    </w:pPr>
    <w:rPr>
      <w:kern w:val="0"/>
      <w:szCs w:val="21"/>
    </w:rPr>
  </w:style>
  <w:style w:type="paragraph" w:customStyle="1" w:styleId="59">
    <w:name w:val="样式1"/>
    <w:basedOn w:val="1"/>
    <w:qFormat/>
    <w:uiPriority w:val="0"/>
    <w:pPr>
      <w:numPr>
        <w:ilvl w:val="0"/>
        <w:numId w:val="3"/>
      </w:numPr>
      <w:tabs>
        <w:tab w:val="clear" w:pos="1253"/>
      </w:tabs>
    </w:pPr>
    <w:rPr>
      <w:sz w:val="28"/>
      <w:szCs w:val="20"/>
    </w:rPr>
  </w:style>
  <w:style w:type="paragraph" w:customStyle="1" w:styleId="60">
    <w:name w:val="中文段落正文"/>
    <w:basedOn w:val="1"/>
    <w:qFormat/>
    <w:uiPriority w:val="0"/>
    <w:pPr>
      <w:ind w:firstLine="480"/>
    </w:pPr>
    <w:rPr>
      <w:kern w:val="21"/>
    </w:rPr>
  </w:style>
  <w:style w:type="paragraph" w:customStyle="1" w:styleId="61">
    <w:name w:val="2ji"/>
    <w:basedOn w:val="4"/>
    <w:qFormat/>
    <w:uiPriority w:val="0"/>
    <w:pPr>
      <w:numPr>
        <w:ilvl w:val="0"/>
        <w:numId w:val="0"/>
      </w:numPr>
      <w:spacing w:before="0" w:after="0"/>
    </w:pPr>
    <w:rPr>
      <w:rFonts w:ascii="宋体" w:hAnsi="宋体" w:eastAsia="宋体"/>
      <w:bCs w:val="0"/>
      <w:kern w:val="2"/>
      <w:sz w:val="21"/>
      <w:szCs w:val="21"/>
    </w:rPr>
  </w:style>
  <w:style w:type="paragraph" w:customStyle="1" w:styleId="62">
    <w:name w:val="Char Char Char Char"/>
    <w:basedOn w:val="1"/>
    <w:qFormat/>
    <w:uiPriority w:val="0"/>
    <w:rPr>
      <w:rFonts w:ascii="Tahoma" w:hAnsi="Tahoma"/>
      <w:sz w:val="24"/>
      <w:szCs w:val="20"/>
    </w:rPr>
  </w:style>
  <w:style w:type="paragraph" w:customStyle="1" w:styleId="63">
    <w:name w:val="Char1 Char Char Char Char Char Char"/>
    <w:basedOn w:val="1"/>
    <w:qFormat/>
    <w:uiPriority w:val="0"/>
  </w:style>
  <w:style w:type="paragraph" w:customStyle="1" w:styleId="64">
    <w:name w:val="样式2"/>
    <w:basedOn w:val="1"/>
    <w:qFormat/>
    <w:uiPriority w:val="0"/>
    <w:pPr>
      <w:numPr>
        <w:ilvl w:val="0"/>
        <w:numId w:val="1"/>
      </w:numPr>
      <w:tabs>
        <w:tab w:val="left" w:pos="780"/>
      </w:tabs>
    </w:pPr>
    <w:rPr>
      <w:sz w:val="28"/>
      <w:szCs w:val="20"/>
    </w:rPr>
  </w:style>
  <w:style w:type="paragraph" w:customStyle="1" w:styleId="65">
    <w:name w:val="正文缩进1"/>
    <w:basedOn w:val="1"/>
    <w:qFormat/>
    <w:uiPriority w:val="0"/>
    <w:pPr>
      <w:tabs>
        <w:tab w:val="left" w:pos="0"/>
      </w:tabs>
      <w:snapToGrid w:val="0"/>
      <w:ind w:firstLine="502"/>
    </w:pPr>
    <w:rPr>
      <w:rFonts w:ascii="宋体" w:hAnsi="宋体"/>
      <w:szCs w:val="21"/>
    </w:rPr>
  </w:style>
  <w:style w:type="paragraph" w:customStyle="1" w:styleId="66">
    <w:name w:val="Char Char4 Char Char"/>
    <w:basedOn w:val="1"/>
    <w:qFormat/>
    <w:uiPriority w:val="0"/>
    <w:pPr>
      <w:widowControl/>
      <w:spacing w:before="0" w:after="160" w:line="240" w:lineRule="exact"/>
      <w:ind w:firstLine="0" w:firstLineChars="0"/>
      <w:jc w:val="left"/>
    </w:pPr>
  </w:style>
  <w:style w:type="paragraph" w:customStyle="1" w:styleId="67">
    <w:name w:val="纯文本1"/>
    <w:basedOn w:val="1"/>
    <w:qFormat/>
    <w:uiPriority w:val="0"/>
    <w:rPr>
      <w:rFonts w:ascii="宋体" w:hAnsi="Courier New"/>
      <w:szCs w:val="20"/>
    </w:rPr>
  </w:style>
  <w:style w:type="paragraph" w:customStyle="1" w:styleId="68">
    <w:name w:val="中等深浅列表 2 - 强调文字颜色 21"/>
    <w:qFormat/>
    <w:uiPriority w:val="0"/>
    <w:rPr>
      <w:rFonts w:ascii="Times New Roman" w:hAnsi="Times New Roman" w:eastAsia="宋体" w:cs="Times New Roman"/>
      <w:kern w:val="2"/>
      <w:sz w:val="21"/>
      <w:szCs w:val="24"/>
      <w:lang w:val="en-US" w:eastAsia="zh-CN" w:bidi="ar-SA"/>
    </w:rPr>
  </w:style>
  <w:style w:type="paragraph" w:customStyle="1" w:styleId="6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0">
    <w:name w:val="1"/>
    <w:basedOn w:val="1"/>
    <w:next w:val="23"/>
    <w:qFormat/>
    <w:uiPriority w:val="0"/>
    <w:pPr>
      <w:spacing w:before="0" w:after="0" w:line="240" w:lineRule="auto"/>
      <w:ind w:firstLine="0" w:firstLineChars="0"/>
    </w:pPr>
    <w:rPr>
      <w:rFonts w:ascii="宋体" w:hAnsi="Courier New"/>
      <w:szCs w:val="20"/>
    </w:rPr>
  </w:style>
  <w:style w:type="paragraph" w:customStyle="1" w:styleId="71">
    <w:name w:val="1.正文"/>
    <w:basedOn w:val="1"/>
    <w:qFormat/>
    <w:uiPriority w:val="0"/>
    <w:pPr>
      <w:widowControl/>
      <w:numPr>
        <w:ilvl w:val="1"/>
        <w:numId w:val="2"/>
      </w:numPr>
      <w:tabs>
        <w:tab w:val="left" w:pos="360"/>
      </w:tabs>
      <w:spacing w:before="40" w:after="40" w:line="300" w:lineRule="exact"/>
    </w:pPr>
    <w:rPr>
      <w:szCs w:val="20"/>
    </w:rPr>
  </w:style>
  <w:style w:type="paragraph" w:customStyle="1" w:styleId="72">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73">
    <w:name w:val="pa-134"/>
    <w:basedOn w:val="1"/>
    <w:qFormat/>
    <w:uiPriority w:val="0"/>
    <w:pPr>
      <w:widowControl/>
      <w:spacing w:line="360" w:lineRule="atLeast"/>
      <w:jc w:val="left"/>
    </w:pPr>
    <w:rPr>
      <w:rFonts w:ascii="宋体" w:hAnsi="宋体" w:cs="宋体"/>
      <w:kern w:val="0"/>
      <w:sz w:val="24"/>
    </w:rPr>
  </w:style>
  <w:style w:type="paragraph" w:customStyle="1" w:styleId="74">
    <w:name w:val="正文呀2"/>
    <w:basedOn w:val="1"/>
    <w:link w:val="111"/>
    <w:qFormat/>
    <w:uiPriority w:val="0"/>
    <w:pPr>
      <w:spacing w:line="420" w:lineRule="exact"/>
      <w:ind w:firstLine="0" w:firstLineChars="0"/>
    </w:pPr>
    <w:rPr>
      <w:sz w:val="18"/>
      <w:szCs w:val="21"/>
    </w:rPr>
  </w:style>
  <w:style w:type="paragraph" w:customStyle="1" w:styleId="75">
    <w:name w:val="C503-正文格式"/>
    <w:basedOn w:val="1"/>
    <w:qFormat/>
    <w:uiPriority w:val="0"/>
    <w:pPr>
      <w:ind w:firstLine="480"/>
    </w:pPr>
    <w:rPr>
      <w:sz w:val="24"/>
      <w:szCs w:val="20"/>
    </w:rPr>
  </w:style>
  <w:style w:type="paragraph" w:customStyle="1" w:styleId="76">
    <w:name w:val="大标题"/>
    <w:basedOn w:val="1"/>
    <w:qFormat/>
    <w:uiPriority w:val="0"/>
    <w:pPr>
      <w:spacing w:line="480" w:lineRule="auto"/>
      <w:jc w:val="center"/>
    </w:pPr>
    <w:rPr>
      <w:rFonts w:ascii="宋体" w:hAnsi="宋体"/>
      <w:sz w:val="32"/>
      <w:szCs w:val="20"/>
    </w:rPr>
  </w:style>
  <w:style w:type="paragraph" w:customStyle="1" w:styleId="77">
    <w:name w:val="pa-144"/>
    <w:basedOn w:val="1"/>
    <w:qFormat/>
    <w:uiPriority w:val="0"/>
    <w:pPr>
      <w:widowControl/>
      <w:spacing w:line="300" w:lineRule="atLeast"/>
      <w:jc w:val="center"/>
    </w:pPr>
    <w:rPr>
      <w:rFonts w:ascii="宋体" w:hAnsi="宋体" w:cs="宋体"/>
      <w:kern w:val="0"/>
      <w:sz w:val="24"/>
    </w:rPr>
  </w:style>
  <w:style w:type="paragraph" w:customStyle="1" w:styleId="78">
    <w:name w:val="Char Char Char Char1"/>
    <w:basedOn w:val="1"/>
    <w:qFormat/>
    <w:uiPriority w:val="0"/>
    <w:rPr>
      <w:rFonts w:ascii="Tahoma" w:hAnsi="Tahoma"/>
      <w:sz w:val="24"/>
      <w:szCs w:val="20"/>
    </w:rPr>
  </w:style>
  <w:style w:type="paragraph" w:customStyle="1" w:styleId="79">
    <w:name w:val="Char"/>
    <w:basedOn w:val="1"/>
    <w:qFormat/>
    <w:uiPriority w:val="0"/>
  </w:style>
  <w:style w:type="paragraph" w:customStyle="1" w:styleId="80">
    <w:name w:val="2"/>
    <w:basedOn w:val="1"/>
    <w:next w:val="23"/>
    <w:qFormat/>
    <w:uiPriority w:val="0"/>
    <w:rPr>
      <w:rFonts w:ascii="宋体" w:hAnsi="Courier New"/>
      <w:szCs w:val="20"/>
    </w:rPr>
  </w:style>
  <w:style w:type="paragraph" w:customStyle="1" w:styleId="81">
    <w:name w:val="_Style 76"/>
    <w:basedOn w:val="3"/>
    <w:next w:val="1"/>
    <w:qFormat/>
    <w:uiPriority w:val="39"/>
    <w:pPr>
      <w:pageBreakBefore w:val="0"/>
      <w:widowControl/>
      <w:shd w:val="clear" w:color="auto" w:fill="auto"/>
      <w:spacing w:before="480" w:after="0" w:line="276" w:lineRule="auto"/>
      <w:jc w:val="left"/>
      <w:outlineLvl w:val="9"/>
    </w:pPr>
    <w:rPr>
      <w:rFonts w:ascii="Cambria" w:hAnsi="Cambria"/>
      <w:color w:val="365F91"/>
      <w:kern w:val="0"/>
      <w:sz w:val="28"/>
      <w:szCs w:val="28"/>
    </w:rPr>
  </w:style>
  <w:style w:type="paragraph" w:customStyle="1" w:styleId="82">
    <w:name w:val="pa-23"/>
    <w:basedOn w:val="1"/>
    <w:qFormat/>
    <w:uiPriority w:val="0"/>
    <w:pPr>
      <w:widowControl/>
      <w:spacing w:line="240" w:lineRule="atLeast"/>
    </w:pPr>
    <w:rPr>
      <w:rFonts w:ascii="宋体" w:hAnsi="宋体" w:cs="宋体"/>
      <w:kern w:val="0"/>
      <w:sz w:val="24"/>
    </w:rPr>
  </w:style>
  <w:style w:type="paragraph" w:customStyle="1" w:styleId="83">
    <w:name w:val="样式 标题 2 + Times New Roman 四号 非加粗 段前: 5 磅 段后: 0 磅 行距: 固定值 20..."/>
    <w:basedOn w:val="4"/>
    <w:qFormat/>
    <w:uiPriority w:val="0"/>
    <w:pPr>
      <w:numPr>
        <w:ilvl w:val="0"/>
        <w:numId w:val="0"/>
      </w:numPr>
      <w:spacing w:before="100" w:after="0" w:line="400" w:lineRule="exact"/>
    </w:pPr>
    <w:rPr>
      <w:rFonts w:ascii="Times New Roman" w:hAnsi="Times New Roman" w:eastAsia="黑体" w:cs="宋体"/>
      <w:b w:val="0"/>
      <w:bCs w:val="0"/>
      <w:kern w:val="2"/>
      <w:sz w:val="28"/>
      <w:szCs w:val="20"/>
    </w:rPr>
  </w:style>
  <w:style w:type="paragraph" w:customStyle="1" w:styleId="84">
    <w:name w:val="中等深浅网格 1 - 强调文字颜色 21"/>
    <w:basedOn w:val="1"/>
    <w:qFormat/>
    <w:uiPriority w:val="34"/>
    <w:pPr>
      <w:ind w:firstLine="420"/>
    </w:pPr>
  </w:style>
  <w:style w:type="paragraph" w:customStyle="1" w:styleId="85">
    <w:name w:val="彩色列表 - 强调文字颜色 11"/>
    <w:basedOn w:val="1"/>
    <w:qFormat/>
    <w:uiPriority w:val="34"/>
    <w:pPr>
      <w:ind w:firstLine="420"/>
    </w:pPr>
  </w:style>
  <w:style w:type="paragraph" w:customStyle="1" w:styleId="86">
    <w:name w:val="正文 New"/>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87">
    <w:name w:val="List Paragraph"/>
    <w:basedOn w:val="1"/>
    <w:qFormat/>
    <w:uiPriority w:val="34"/>
    <w:pPr>
      <w:widowControl/>
      <w:spacing w:before="100" w:beforeAutospacing="1" w:after="100" w:afterAutospacing="1" w:line="240" w:lineRule="auto"/>
      <w:ind w:firstLine="0" w:firstLineChars="0"/>
      <w:jc w:val="left"/>
    </w:pPr>
    <w:rPr>
      <w:rFonts w:ascii="宋体" w:hAnsi="宋体" w:cs="宋体"/>
      <w:kern w:val="0"/>
      <w:sz w:val="24"/>
    </w:rPr>
  </w:style>
  <w:style w:type="paragraph" w:customStyle="1" w:styleId="88">
    <w:name w:val="中等深浅底纹 1 - 强调文字颜色 1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9">
    <w:name w:val="tabseltxt"/>
    <w:qFormat/>
    <w:uiPriority w:val="0"/>
    <w:rPr>
      <w:b/>
      <w:color w:val="333333"/>
      <w:u w:val="none"/>
    </w:rPr>
  </w:style>
  <w:style w:type="character" w:customStyle="1" w:styleId="90">
    <w:name w:val="mstlbl"/>
    <w:qFormat/>
    <w:uiPriority w:val="0"/>
    <w:rPr>
      <w:color w:val="EEF0F2"/>
    </w:rPr>
  </w:style>
  <w:style w:type="character" w:customStyle="1" w:styleId="91">
    <w:name w:val="批注文字 Char Char"/>
    <w:qFormat/>
    <w:uiPriority w:val="0"/>
    <w:rPr>
      <w:kern w:val="2"/>
      <w:sz w:val="24"/>
      <w:szCs w:val="24"/>
    </w:rPr>
  </w:style>
  <w:style w:type="character" w:customStyle="1" w:styleId="92">
    <w:name w:val="apple-converted-space"/>
    <w:qFormat/>
    <w:uiPriority w:val="0"/>
  </w:style>
  <w:style w:type="character" w:customStyle="1" w:styleId="93">
    <w:name w:val="页脚 Char"/>
    <w:qFormat/>
    <w:uiPriority w:val="99"/>
    <w:rPr>
      <w:lang w:eastAsia="zh-CN"/>
    </w:rPr>
  </w:style>
  <w:style w:type="character" w:customStyle="1" w:styleId="94">
    <w:name w:val="页脚 Char1"/>
    <w:link w:val="29"/>
    <w:qFormat/>
    <w:uiPriority w:val="99"/>
    <w:rPr>
      <w:rFonts w:eastAsia="宋体"/>
      <w:kern w:val="2"/>
      <w:sz w:val="18"/>
      <w:szCs w:val="18"/>
      <w:lang w:val="en-US" w:eastAsia="zh-CN" w:bidi="ar-SA"/>
    </w:rPr>
  </w:style>
  <w:style w:type="character" w:customStyle="1" w:styleId="95">
    <w:name w:val="mstusrrole"/>
    <w:qFormat/>
    <w:uiPriority w:val="0"/>
    <w:rPr>
      <w:color w:val="EEF0F2"/>
    </w:rPr>
  </w:style>
  <w:style w:type="character" w:customStyle="1" w:styleId="96">
    <w:name w:val="msttxt"/>
    <w:qFormat/>
    <w:uiPriority w:val="0"/>
    <w:rPr>
      <w:color w:val="EEF0F2"/>
    </w:rPr>
  </w:style>
  <w:style w:type="character" w:customStyle="1" w:styleId="97">
    <w:name w:val="HTML Markup"/>
    <w:qFormat/>
    <w:uiPriority w:val="0"/>
    <w:rPr>
      <w:vanish/>
      <w:color w:val="FF0000"/>
    </w:rPr>
  </w:style>
  <w:style w:type="character" w:customStyle="1" w:styleId="98">
    <w:name w:val="tab1seltxt"/>
    <w:qFormat/>
    <w:uiPriority w:val="0"/>
    <w:rPr>
      <w:b/>
      <w:color w:val="333333"/>
      <w:u w:val="none"/>
    </w:rPr>
  </w:style>
  <w:style w:type="character" w:customStyle="1" w:styleId="99">
    <w:name w:val="Char Char1"/>
    <w:qFormat/>
    <w:uiPriority w:val="0"/>
    <w:rPr>
      <w:rFonts w:ascii="宋体" w:hAnsi="Courier New" w:eastAsia="宋体"/>
      <w:kern w:val="2"/>
      <w:sz w:val="21"/>
      <w:lang w:val="en-US" w:eastAsia="zh-CN" w:bidi="ar-SA"/>
    </w:rPr>
  </w:style>
  <w:style w:type="character" w:customStyle="1" w:styleId="100">
    <w:name w:val="纯文本 Char1"/>
    <w:qFormat/>
    <w:uiPriority w:val="0"/>
    <w:rPr>
      <w:rFonts w:ascii="宋体" w:hAnsi="Courier New" w:eastAsia="宋体" w:cs="Times New Roman"/>
      <w:szCs w:val="20"/>
    </w:rPr>
  </w:style>
  <w:style w:type="character" w:customStyle="1" w:styleId="101">
    <w:name w:val="标题 3 Char"/>
    <w:link w:val="5"/>
    <w:qFormat/>
    <w:uiPriority w:val="0"/>
    <w:rPr>
      <w:rFonts w:eastAsia="宋体"/>
      <w:b/>
      <w:bCs/>
      <w:kern w:val="2"/>
      <w:sz w:val="32"/>
      <w:szCs w:val="32"/>
      <w:lang w:val="en-US" w:eastAsia="zh-CN" w:bidi="ar-SA"/>
    </w:rPr>
  </w:style>
  <w:style w:type="character" w:customStyle="1" w:styleId="102">
    <w:name w:val="mstalmdwntxt"/>
    <w:qFormat/>
    <w:uiPriority w:val="0"/>
    <w:rPr>
      <w:color w:val="EEF0F2"/>
    </w:rPr>
  </w:style>
  <w:style w:type="character" w:customStyle="1" w:styleId="103">
    <w:name w:val="ca-131"/>
    <w:qFormat/>
    <w:uiPriority w:val="0"/>
    <w:rPr>
      <w:rFonts w:hint="eastAsia" w:ascii="宋体" w:hAnsi="宋体" w:eastAsia="宋体"/>
      <w:sz w:val="21"/>
      <w:szCs w:val="21"/>
    </w:rPr>
  </w:style>
  <w:style w:type="character" w:customStyle="1" w:styleId="104">
    <w:name w:val="正文缩进 Char"/>
    <w:link w:val="10"/>
    <w:qFormat/>
    <w:uiPriority w:val="99"/>
    <w:rPr>
      <w:rFonts w:eastAsia="宋体"/>
      <w:kern w:val="2"/>
      <w:sz w:val="21"/>
      <w:lang w:val="en-US" w:eastAsia="zh-CN" w:bidi="ar-SA"/>
    </w:rPr>
  </w:style>
  <w:style w:type="character" w:customStyle="1" w:styleId="105">
    <w:name w:val="批注文字 Char"/>
    <w:link w:val="15"/>
    <w:qFormat/>
    <w:uiPriority w:val="0"/>
    <w:rPr>
      <w:rFonts w:eastAsia="宋体"/>
      <w:kern w:val="2"/>
      <w:sz w:val="21"/>
      <w:szCs w:val="24"/>
      <w:lang w:val="en-US" w:eastAsia="zh-CN" w:bidi="ar-SA"/>
    </w:rPr>
  </w:style>
  <w:style w:type="character" w:customStyle="1" w:styleId="106">
    <w:name w:val="mstalmmintxt"/>
    <w:qFormat/>
    <w:uiPriority w:val="0"/>
    <w:rPr>
      <w:color w:val="EEF0F2"/>
    </w:rPr>
  </w:style>
  <w:style w:type="character" w:customStyle="1" w:styleId="107">
    <w:name w:val="mstalmmajtxt"/>
    <w:qFormat/>
    <w:uiPriority w:val="0"/>
    <w:rPr>
      <w:color w:val="EEF0F2"/>
    </w:rPr>
  </w:style>
  <w:style w:type="character" w:customStyle="1" w:styleId="108">
    <w:name w:val="页眉 Char"/>
    <w:link w:val="30"/>
    <w:qFormat/>
    <w:uiPriority w:val="0"/>
    <w:rPr>
      <w:rFonts w:eastAsia="宋体"/>
      <w:kern w:val="2"/>
      <w:sz w:val="18"/>
      <w:szCs w:val="18"/>
      <w:lang w:val="en-US" w:eastAsia="zh-CN" w:bidi="ar-SA"/>
    </w:rPr>
  </w:style>
  <w:style w:type="character" w:customStyle="1" w:styleId="109">
    <w:name w:val="mstalmcrttxt"/>
    <w:qFormat/>
    <w:uiPriority w:val="0"/>
    <w:rPr>
      <w:color w:val="EEF0F2"/>
    </w:rPr>
  </w:style>
  <w:style w:type="character" w:customStyle="1" w:styleId="110">
    <w:name w:val="ttltxt"/>
    <w:qFormat/>
    <w:uiPriority w:val="0"/>
    <w:rPr>
      <w:b/>
      <w:color w:val="000000"/>
      <w:sz w:val="24"/>
      <w:szCs w:val="24"/>
    </w:rPr>
  </w:style>
  <w:style w:type="character" w:customStyle="1" w:styleId="111">
    <w:name w:val="正文呀2 Char"/>
    <w:link w:val="74"/>
    <w:qFormat/>
    <w:uiPriority w:val="0"/>
    <w:rPr>
      <w:kern w:val="2"/>
      <w:sz w:val="18"/>
      <w:szCs w:val="21"/>
    </w:rPr>
  </w:style>
  <w:style w:type="character" w:customStyle="1" w:styleId="112">
    <w:name w:val="纯文本 Char"/>
    <w:link w:val="23"/>
    <w:qFormat/>
    <w:uiPriority w:val="0"/>
    <w:rPr>
      <w:rFonts w:ascii="宋体" w:hAnsi="Courier New" w:eastAsia="宋体"/>
      <w:kern w:val="2"/>
      <w:sz w:val="21"/>
      <w:lang w:val="en-US" w:eastAsia="zh-CN" w:bidi="ar-SA"/>
    </w:rPr>
  </w:style>
  <w:style w:type="paragraph" w:customStyle="1" w:styleId="113">
    <w:name w:val="正文_1"/>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114">
    <w:name w:val="Table Paragraph"/>
    <w:basedOn w:val="1"/>
    <w:qFormat/>
    <w:uiPriority w:val="1"/>
  </w:style>
  <w:style w:type="paragraph" w:customStyle="1" w:styleId="115">
    <w:name w:val="表格"/>
    <w:basedOn w:val="1"/>
    <w:qFormat/>
    <w:uiPriority w:val="0"/>
    <w:pPr>
      <w:spacing w:line="400" w:lineRule="exact"/>
    </w:pPr>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4354</Words>
  <Characters>24819</Characters>
  <Lines>1</Lines>
  <Paragraphs>1</Paragraphs>
  <TotalTime>1</TotalTime>
  <ScaleCrop>false</ScaleCrop>
  <LinksUpToDate>false</LinksUpToDate>
  <CharactersWithSpaces>29115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2018-06-07T09:39:00Z</dcterms:created>
  <dc:creator>微软用户;潘虹</dc:creator>
  <cp:lastModifiedBy>  小妮子  </cp:lastModifiedBy>
  <cp:lastPrinted>2020-12-11T08:36:00Z</cp:lastPrinted>
  <dcterms:modified xsi:type="dcterms:W3CDTF">2020-12-11T09:35:28Z</dcterms:modified>
  <dc:title>慰问品采购</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