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olor w:val="auto"/>
          <w:highlight w:val="none"/>
        </w:rPr>
      </w:pPr>
      <w:r>
        <w:rPr>
          <w:rFonts w:ascii="宋体" w:hAnsi="宋体"/>
          <w:color w:val="auto"/>
          <w:highlight w:val="none"/>
        </w:rPr>
        <w:drawing>
          <wp:inline distT="0" distB="0" distL="0" distR="0">
            <wp:extent cx="893445" cy="932815"/>
            <wp:effectExtent l="0" t="0" r="0" b="0"/>
            <wp:docPr id="1026" name="Picture 1" descr="科文名片"/>
            <wp:cNvGraphicFramePr/>
            <a:graphic xmlns:a="http://schemas.openxmlformats.org/drawingml/2006/main">
              <a:graphicData uri="http://schemas.openxmlformats.org/drawingml/2006/picture">
                <pic:pic xmlns:pic="http://schemas.openxmlformats.org/drawingml/2006/picture">
                  <pic:nvPicPr>
                    <pic:cNvPr id="1026" name="Picture 1" descr="科文名片"/>
                    <pic:cNvPicPr/>
                  </pic:nvPicPr>
                  <pic:blipFill>
                    <a:blip r:embed="rId16" cstate="print"/>
                    <a:srcRect/>
                    <a:stretch>
                      <a:fillRect/>
                    </a:stretch>
                  </pic:blipFill>
                  <pic:spPr>
                    <a:xfrm>
                      <a:off x="0" y="0"/>
                      <a:ext cx="893445" cy="932815"/>
                    </a:xfrm>
                    <a:prstGeom prst="rect">
                      <a:avLst/>
                    </a:prstGeom>
                    <a:ln>
                      <a:noFill/>
                    </a:ln>
                  </pic:spPr>
                </pic:pic>
              </a:graphicData>
            </a:graphic>
          </wp:inline>
        </w:drawing>
      </w:r>
    </w:p>
    <w:p>
      <w:pPr>
        <w:spacing w:line="600" w:lineRule="exact"/>
        <w:ind w:firstLine="400"/>
        <w:jc w:val="center"/>
        <w:rPr>
          <w:rFonts w:ascii="黑体" w:hAnsi="黑体" w:eastAsia="黑体"/>
          <w:color w:val="auto"/>
          <w:sz w:val="52"/>
          <w:szCs w:val="52"/>
          <w:highlight w:val="none"/>
        </w:rPr>
      </w:pPr>
      <w:r>
        <w:rPr>
          <w:rFonts w:ascii="宋体" w:hAnsi="宋体"/>
          <w:color w:val="auto"/>
          <w:spacing w:val="94"/>
          <w:sz w:val="20"/>
          <w:highlight w:val="none"/>
        </w:rPr>
        <mc:AlternateContent>
          <mc:Choice Requires="wps">
            <w:drawing>
              <wp:anchor distT="0" distB="0" distL="0" distR="0" simplePos="0" relativeHeight="1024" behindDoc="0" locked="0" layoutInCell="1" allowOverlap="1">
                <wp:simplePos x="0" y="0"/>
                <wp:positionH relativeFrom="column">
                  <wp:posOffset>727710</wp:posOffset>
                </wp:positionH>
                <wp:positionV relativeFrom="paragraph">
                  <wp:posOffset>405765</wp:posOffset>
                </wp:positionV>
                <wp:extent cx="5143500" cy="0"/>
                <wp:effectExtent l="0" t="0" r="0" b="0"/>
                <wp:wrapNone/>
                <wp:docPr id="1027" name="Line 101"/>
                <wp:cNvGraphicFramePr/>
                <a:graphic xmlns:a="http://schemas.openxmlformats.org/drawingml/2006/main">
                  <a:graphicData uri="http://schemas.microsoft.com/office/word/2010/wordprocessingShape">
                    <wps:wsp>
                      <wps:cNvCnPr/>
                      <wps:spPr>
                        <a:xfrm>
                          <a:off x="0" y="0"/>
                          <a:ext cx="5143500"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Line 101" o:spid="_x0000_s1026" o:spt="20" style="position:absolute;left:0pt;margin-left:57.3pt;margin-top:31.95pt;height:0pt;width:405pt;z-index:1024;mso-width-relative:page;mso-height-relative:page;" filled="f" stroked="t" coordsize="21600,21600" o:gfxdata="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MAPL1wAAAAkBAAAPAAAAAAAA&#10;AAEAIAAAACIAAABkcnMvZG93bnJldi54bWxQSwECFAAUAAAACACHTuJAGao649oBAADdAwAADgAA&#10;AAAAAAABACAAAAAmAQAAZHJzL2Uyb0RvYy54bWxQSwUGAAAAAAYABgBZAQAAcgUAAAAA&#10;">
                <v:fill on="f" focussize="0,0"/>
                <v:stroke weight="1pt" color="#000000" joinstyle="round"/>
                <v:imagedata o:title=""/>
                <o:lock v:ext="edit" aspectratio="f"/>
              </v:line>
            </w:pict>
          </mc:Fallback>
        </mc:AlternateContent>
      </w:r>
      <w:r>
        <w:rPr>
          <w:rFonts w:hint="eastAsia" w:ascii="宋体" w:hAnsi="宋体"/>
          <w:color w:val="auto"/>
          <w:sz w:val="52"/>
          <w:highlight w:val="none"/>
        </w:rPr>
        <w:t xml:space="preserve">  </w:t>
      </w:r>
      <w:r>
        <w:rPr>
          <w:rFonts w:hint="eastAsia" w:ascii="黑体" w:hAnsi="黑体" w:eastAsia="黑体"/>
          <w:color w:val="auto"/>
          <w:sz w:val="52"/>
          <w:highlight w:val="none"/>
        </w:rPr>
        <w:t>广 西 科 文 招 标 有 限 公 司</w:t>
      </w:r>
      <w:r>
        <w:rPr>
          <w:rFonts w:hint="eastAsia" w:ascii="黑体" w:hAnsi="黑体" w:eastAsia="黑体"/>
          <w:color w:val="auto"/>
          <w:sz w:val="52"/>
          <w:highlight w:val="none"/>
        </w:rPr>
        <w:cr/>
      </w:r>
    </w:p>
    <w:p>
      <w:pPr>
        <w:spacing w:line="720" w:lineRule="exact"/>
        <w:ind w:firstLine="1040"/>
        <w:jc w:val="center"/>
        <w:rPr>
          <w:rFonts w:ascii="宋体" w:hAnsi="宋体"/>
          <w:color w:val="auto"/>
          <w:sz w:val="52"/>
          <w:highlight w:val="none"/>
        </w:rPr>
      </w:pPr>
    </w:p>
    <w:p>
      <w:pPr>
        <w:spacing w:line="1000" w:lineRule="exact"/>
        <w:ind w:firstLine="0" w:firstLineChars="0"/>
        <w:jc w:val="center"/>
        <w:rPr>
          <w:rFonts w:ascii="宋体" w:hAnsi="宋体"/>
          <w:b/>
          <w:color w:val="auto"/>
          <w:sz w:val="84"/>
          <w:szCs w:val="84"/>
          <w:highlight w:val="none"/>
        </w:rPr>
      </w:pPr>
      <w:r>
        <w:rPr>
          <w:rFonts w:hint="eastAsia" w:ascii="宋体" w:hAnsi="宋体"/>
          <w:b/>
          <w:color w:val="auto"/>
          <w:sz w:val="84"/>
          <w:szCs w:val="84"/>
          <w:highlight w:val="none"/>
        </w:rPr>
        <w:t>竞争性磋商文件</w:t>
      </w:r>
      <w:r>
        <w:rPr>
          <w:rFonts w:hint="eastAsia" w:ascii="宋体" w:hAnsi="宋体"/>
          <w:b/>
          <w:color w:val="auto"/>
          <w:sz w:val="84"/>
          <w:szCs w:val="84"/>
          <w:highlight w:val="none"/>
        </w:rPr>
        <w:cr/>
      </w:r>
      <w:r>
        <w:rPr>
          <w:rFonts w:hint="eastAsia" w:ascii="宋体" w:hAnsi="宋体"/>
          <w:b/>
          <w:color w:val="auto"/>
          <w:sz w:val="84"/>
          <w:szCs w:val="84"/>
          <w:highlight w:val="none"/>
        </w:rPr>
        <w:cr/>
      </w:r>
    </w:p>
    <w:p>
      <w:pPr>
        <w:tabs>
          <w:tab w:val="left" w:pos="2940"/>
        </w:tabs>
        <w:spacing w:line="480" w:lineRule="auto"/>
        <w:ind w:left="4082" w:leftChars="1150" w:right="1085" w:rightChars="517" w:hanging="1667" w:hangingChars="521"/>
        <w:rPr>
          <w:rFonts w:hint="eastAsia" w:ascii="宋体" w:hAnsi="宋体" w:eastAsia="宋体"/>
          <w:b/>
          <w:bCs/>
          <w:color w:val="auto"/>
          <w:sz w:val="32"/>
          <w:highlight w:val="none"/>
          <w:lang w:eastAsia="zh-CN"/>
        </w:rPr>
      </w:pPr>
      <w:r>
        <w:rPr>
          <w:rFonts w:hint="eastAsia" w:ascii="宋体" w:hAnsi="宋体"/>
          <w:b/>
          <w:bCs/>
          <w:color w:val="auto"/>
          <w:sz w:val="32"/>
          <w:highlight w:val="none"/>
        </w:rPr>
        <w:t>项目名称：</w:t>
      </w:r>
      <w:r>
        <w:rPr>
          <w:rFonts w:hint="eastAsia" w:ascii="宋体" w:hAnsi="宋体"/>
          <w:b/>
          <w:bCs/>
          <w:color w:val="auto"/>
          <w:sz w:val="32"/>
          <w:highlight w:val="none"/>
          <w:lang w:eastAsia="zh-CN"/>
        </w:rPr>
        <w:t>病房服务交互系统采购</w:t>
      </w:r>
    </w:p>
    <w:p>
      <w:pPr>
        <w:spacing w:line="480" w:lineRule="auto"/>
        <w:ind w:firstLine="2384" w:firstLineChars="745"/>
        <w:rPr>
          <w:rFonts w:hint="eastAsia" w:ascii="宋体" w:hAnsi="宋体" w:eastAsia="宋体"/>
          <w:b/>
          <w:bCs/>
          <w:color w:val="auto"/>
          <w:sz w:val="32"/>
          <w:highlight w:val="none"/>
          <w:lang w:eastAsia="zh-CN"/>
        </w:rPr>
      </w:pPr>
      <w:r>
        <w:rPr>
          <w:rFonts w:hint="eastAsia" w:ascii="宋体" w:hAnsi="宋体"/>
          <w:b/>
          <w:bCs/>
          <w:color w:val="auto"/>
          <w:sz w:val="32"/>
          <w:highlight w:val="none"/>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GLZC2020-C3-270044-KWZB</w:t>
      </w:r>
    </w:p>
    <w:p>
      <w:pPr>
        <w:ind w:firstLine="1050" w:firstLineChars="500"/>
        <w:jc w:val="center"/>
        <w:rPr>
          <w:rFonts w:ascii="宋体" w:hAnsi="宋体"/>
          <w:color w:val="auto"/>
          <w:highlight w:val="none"/>
        </w:rPr>
      </w:pPr>
    </w:p>
    <w:p>
      <w:pPr>
        <w:ind w:firstLine="420"/>
        <w:jc w:val="center"/>
        <w:rPr>
          <w:rFonts w:ascii="宋体" w:hAnsi="宋体"/>
          <w:color w:val="auto"/>
          <w:highlight w:val="none"/>
        </w:rPr>
      </w:pPr>
    </w:p>
    <w:p>
      <w:pPr>
        <w:ind w:firstLine="420"/>
        <w:jc w:val="center"/>
        <w:rPr>
          <w:rFonts w:ascii="宋体" w:hAnsi="宋体"/>
          <w:color w:val="auto"/>
          <w:highlight w:val="none"/>
        </w:rPr>
      </w:pPr>
    </w:p>
    <w:p>
      <w:pPr>
        <w:ind w:firstLine="0" w:firstLineChars="0"/>
        <w:jc w:val="center"/>
        <w:rPr>
          <w:rFonts w:ascii="宋体" w:hAnsi="宋体"/>
          <w:b/>
          <w:bCs/>
          <w:color w:val="auto"/>
          <w:sz w:val="32"/>
          <w:highlight w:val="none"/>
        </w:rPr>
      </w:pPr>
    </w:p>
    <w:p>
      <w:pPr>
        <w:ind w:firstLine="0" w:firstLineChars="0"/>
        <w:jc w:val="center"/>
        <w:rPr>
          <w:rFonts w:ascii="宋体" w:hAnsi="宋体"/>
          <w:b/>
          <w:bCs/>
          <w:color w:val="auto"/>
          <w:sz w:val="32"/>
          <w:highlight w:val="none"/>
        </w:rPr>
      </w:pPr>
    </w:p>
    <w:p>
      <w:pPr>
        <w:ind w:firstLine="0" w:firstLineChars="0"/>
        <w:jc w:val="center"/>
        <w:rPr>
          <w:rFonts w:ascii="宋体" w:hAnsi="宋体"/>
          <w:color w:val="auto"/>
          <w:sz w:val="32"/>
          <w:highlight w:val="none"/>
        </w:rPr>
      </w:pPr>
      <w:r>
        <w:rPr>
          <w:rFonts w:hint="eastAsia" w:ascii="宋体" w:hAnsi="宋体"/>
          <w:b/>
          <w:bCs/>
          <w:color w:val="auto"/>
          <w:sz w:val="32"/>
          <w:highlight w:val="none"/>
        </w:rPr>
        <w:t>采购代理机构：广西科文招标有限公司</w:t>
      </w:r>
      <w:r>
        <w:rPr>
          <w:rFonts w:hint="eastAsia" w:ascii="宋体" w:hAnsi="宋体"/>
          <w:b/>
          <w:bCs/>
          <w:color w:val="auto"/>
          <w:sz w:val="32"/>
          <w:highlight w:val="none"/>
        </w:rPr>
        <w:cr/>
      </w:r>
      <w:r>
        <w:rPr>
          <w:rFonts w:hint="eastAsia" w:ascii="宋体" w:hAnsi="宋体"/>
          <w:b/>
          <w:bCs/>
          <w:color w:val="auto"/>
          <w:sz w:val="32"/>
          <w:highlight w:val="none"/>
        </w:rPr>
        <w:t>2020年</w:t>
      </w:r>
      <w:r>
        <w:rPr>
          <w:rFonts w:hint="eastAsia" w:ascii="宋体" w:hAnsi="宋体"/>
          <w:b/>
          <w:bCs/>
          <w:color w:val="auto"/>
          <w:sz w:val="32"/>
          <w:highlight w:val="none"/>
          <w:lang w:val="en-US" w:eastAsia="zh-CN"/>
        </w:rPr>
        <w:t>12</w:t>
      </w:r>
      <w:r>
        <w:rPr>
          <w:rFonts w:hint="eastAsia" w:ascii="宋体" w:hAnsi="宋体"/>
          <w:b/>
          <w:bCs/>
          <w:color w:val="auto"/>
          <w:sz w:val="32"/>
          <w:highlight w:val="none"/>
        </w:rPr>
        <w:t>月</w:t>
      </w:r>
    </w:p>
    <w:p>
      <w:pPr>
        <w:pStyle w:val="23"/>
        <w:spacing w:line="420" w:lineRule="exact"/>
        <w:ind w:firstLine="880"/>
        <w:jc w:val="center"/>
        <w:rPr>
          <w:rFonts w:hAnsi="宋体"/>
          <w:color w:val="auto"/>
          <w:sz w:val="44"/>
          <w:highlight w:val="none"/>
        </w:rPr>
      </w:pPr>
    </w:p>
    <w:p>
      <w:pPr>
        <w:pStyle w:val="23"/>
        <w:spacing w:line="420" w:lineRule="exact"/>
        <w:ind w:firstLine="198" w:firstLineChars="45"/>
        <w:jc w:val="center"/>
        <w:rPr>
          <w:rFonts w:hAnsi="宋体"/>
          <w:b/>
          <w:bCs/>
          <w:color w:val="auto"/>
          <w:sz w:val="44"/>
          <w:highlight w:val="none"/>
        </w:rPr>
      </w:pPr>
      <w:r>
        <w:rPr>
          <w:rFonts w:hint="eastAsia" w:hAnsi="宋体"/>
          <w:b/>
          <w:bCs/>
          <w:color w:val="auto"/>
          <w:sz w:val="44"/>
          <w:highlight w:val="none"/>
        </w:rPr>
        <w:t>目     录</w:t>
      </w:r>
    </w:p>
    <w:p>
      <w:pPr>
        <w:pStyle w:val="23"/>
        <w:tabs>
          <w:tab w:val="left" w:pos="8860"/>
          <w:tab w:val="left" w:pos="9140"/>
        </w:tabs>
        <w:ind w:firstLine="560"/>
        <w:rPr>
          <w:rFonts w:hAnsi="宋体"/>
          <w:color w:val="auto"/>
          <w:sz w:val="28"/>
          <w:szCs w:val="28"/>
          <w:highlight w:val="none"/>
        </w:rPr>
      </w:pPr>
    </w:p>
    <w:p>
      <w:pPr>
        <w:pStyle w:val="31"/>
        <w:ind w:left="1418" w:right="808" w:hanging="1103"/>
        <w:rPr>
          <w:rFonts w:hint="eastAsia" w:ascii="宋体" w:hAnsi="宋体" w:eastAsia="宋体"/>
          <w:color w:val="auto"/>
          <w:sz w:val="28"/>
          <w:szCs w:val="28"/>
          <w:highlight w:val="none"/>
          <w:lang w:eastAsia="zh-CN"/>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第一章 竞争性磋商公告</w:t>
      </w:r>
      <w:r>
        <w:rPr>
          <w:rFonts w:ascii="宋体" w:hAnsi="宋体"/>
          <w:color w:val="auto"/>
          <w:sz w:val="28"/>
          <w:szCs w:val="28"/>
          <w:highlight w:val="none"/>
        </w:rPr>
        <w:tab/>
      </w:r>
      <w:r>
        <w:rPr>
          <w:rFonts w:hint="eastAsia" w:ascii="宋体" w:hAnsi="宋体"/>
          <w:color w:val="auto"/>
          <w:sz w:val="28"/>
          <w:szCs w:val="28"/>
          <w:highlight w:val="none"/>
          <w:lang w:val="en-US" w:eastAsia="zh-CN"/>
        </w:rPr>
        <w:t>1</w:t>
      </w:r>
    </w:p>
    <w:p>
      <w:pPr>
        <w:pStyle w:val="31"/>
        <w:ind w:left="1418" w:right="808" w:hanging="1103"/>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第二章 磋商供应商须知及前附表</w:t>
      </w:r>
      <w:r>
        <w:rPr>
          <w:rFonts w:ascii="宋体" w:hAnsi="宋体"/>
          <w:color w:val="auto"/>
          <w:sz w:val="28"/>
          <w:szCs w:val="28"/>
          <w:highlight w:val="none"/>
        </w:rPr>
        <w:tab/>
      </w:r>
      <w:r>
        <w:rPr>
          <w:rFonts w:hint="eastAsia" w:ascii="宋体" w:hAnsi="宋体"/>
          <w:color w:val="auto"/>
          <w:sz w:val="28"/>
          <w:szCs w:val="28"/>
          <w:highlight w:val="none"/>
          <w:lang w:val="en-US" w:eastAsia="zh-CN"/>
        </w:rPr>
        <w:t>4</w:t>
      </w:r>
    </w:p>
    <w:p>
      <w:pPr>
        <w:pStyle w:val="31"/>
        <w:ind w:left="1418" w:right="808" w:hanging="1103"/>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第三章 服务采购需求</w:t>
      </w:r>
      <w:r>
        <w:rPr>
          <w:rFonts w:ascii="宋体" w:hAnsi="宋体"/>
          <w:color w:val="auto"/>
          <w:sz w:val="28"/>
          <w:szCs w:val="28"/>
          <w:highlight w:val="none"/>
        </w:rPr>
        <w:tab/>
      </w: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7</w:t>
      </w:r>
    </w:p>
    <w:p>
      <w:pPr>
        <w:pStyle w:val="31"/>
        <w:ind w:left="1418" w:right="808" w:hanging="1103"/>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第四章 评审办法</w:t>
      </w:r>
      <w:r>
        <w:rPr>
          <w:rFonts w:ascii="宋体" w:hAnsi="宋体"/>
          <w:color w:val="auto"/>
          <w:sz w:val="28"/>
          <w:szCs w:val="28"/>
          <w:highlight w:val="none"/>
        </w:rPr>
        <w:tab/>
      </w:r>
      <w:r>
        <w:rPr>
          <w:rFonts w:hint="eastAsia" w:ascii="宋体" w:hAnsi="宋体"/>
          <w:color w:val="auto"/>
          <w:sz w:val="28"/>
          <w:szCs w:val="28"/>
          <w:highlight w:val="none"/>
          <w:lang w:val="en-US" w:eastAsia="zh-CN"/>
        </w:rPr>
        <w:t>27</w:t>
      </w:r>
    </w:p>
    <w:p>
      <w:pPr>
        <w:pStyle w:val="31"/>
        <w:ind w:left="1418" w:right="808" w:hanging="1103"/>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第五章 合同条款及格式</w:t>
      </w:r>
      <w:r>
        <w:rPr>
          <w:rFonts w:ascii="宋体" w:hAnsi="宋体"/>
          <w:color w:val="auto"/>
          <w:sz w:val="28"/>
          <w:szCs w:val="28"/>
          <w:highlight w:val="none"/>
        </w:rPr>
        <w:tab/>
      </w:r>
      <w:r>
        <w:rPr>
          <w:rFonts w:hint="eastAsia" w:ascii="宋体" w:hAnsi="宋体"/>
          <w:color w:val="auto"/>
          <w:sz w:val="28"/>
          <w:szCs w:val="28"/>
          <w:highlight w:val="none"/>
          <w:lang w:val="en-US" w:eastAsia="zh-CN"/>
        </w:rPr>
        <w:t>30</w:t>
      </w:r>
    </w:p>
    <w:p>
      <w:pPr>
        <w:pStyle w:val="31"/>
        <w:ind w:left="1418" w:right="808" w:hanging="1103"/>
        <w:jc w:val="center"/>
        <w:rPr>
          <w:rFonts w:hint="default" w:ascii="宋体" w:hAnsi="宋体" w:eastAsia="宋体"/>
          <w:color w:val="auto"/>
          <w:sz w:val="28"/>
          <w:szCs w:val="28"/>
          <w:highlight w:val="none"/>
          <w:lang w:val="en-US" w:eastAsia="zh-CN"/>
        </w:rPr>
        <w:sectPr>
          <w:footerReference r:id="rId7" w:type="first"/>
          <w:headerReference r:id="rId3" w:type="default"/>
          <w:footerReference r:id="rId5" w:type="default"/>
          <w:headerReference r:id="rId4" w:type="even"/>
          <w:footerReference r:id="rId6" w:type="even"/>
          <w:pgSz w:w="11906" w:h="16838"/>
          <w:pgMar w:top="1134" w:right="849" w:bottom="1134" w:left="1134" w:header="720" w:footer="720" w:gutter="0"/>
          <w:pgNumType w:fmt="decimal" w:start="0"/>
          <w:cols w:space="720" w:num="1"/>
          <w:titlePg/>
          <w:docGrid w:type="linesAndChars" w:linePitch="331" w:charSpace="0"/>
        </w:sectPr>
      </w:pPr>
      <w:r>
        <w:rPr>
          <w:rFonts w:hint="eastAsia" w:ascii="宋体" w:hAnsi="宋体"/>
          <w:color w:val="auto"/>
          <w:sz w:val="28"/>
          <w:szCs w:val="28"/>
          <w:highlight w:val="none"/>
        </w:rPr>
        <w:t>第六章 响应文件格式</w:t>
      </w:r>
      <w:r>
        <w:rPr>
          <w:rFonts w:ascii="宋体" w:hAnsi="宋体"/>
          <w:color w:val="auto"/>
          <w:sz w:val="28"/>
          <w:szCs w:val="28"/>
          <w:highlight w:val="none"/>
        </w:rPr>
        <w:tab/>
      </w:r>
      <w:r>
        <w:rPr>
          <w:rFonts w:hint="eastAsia" w:ascii="宋体" w:hAnsi="宋体"/>
          <w:color w:val="auto"/>
          <w:sz w:val="28"/>
          <w:szCs w:val="28"/>
          <w:highlight w:val="none"/>
          <w:lang w:val="en-US" w:eastAsia="zh-CN"/>
        </w:rPr>
        <w:t>34</w:t>
      </w:r>
    </w:p>
    <w:p>
      <w:pPr>
        <w:pStyle w:val="31"/>
        <w:ind w:left="1418" w:right="808" w:hanging="1103"/>
        <w:jc w:val="center"/>
        <w:rPr>
          <w:rFonts w:hint="eastAsia" w:ascii="宋体" w:hAnsi="宋体" w:cs="宋体"/>
          <w:b/>
          <w:color w:val="auto"/>
          <w:sz w:val="32"/>
          <w:szCs w:val="32"/>
          <w:highlight w:val="none"/>
        </w:rPr>
      </w:pPr>
      <w:r>
        <w:rPr>
          <w:rFonts w:hAnsi="宋体"/>
          <w:color w:val="auto"/>
          <w:sz w:val="28"/>
          <w:szCs w:val="28"/>
          <w:highlight w:val="none"/>
        </w:rPr>
        <w:fldChar w:fldCharType="end"/>
      </w:r>
      <w:r>
        <w:rPr>
          <w:rFonts w:hint="eastAsia" w:ascii="宋体" w:hAnsi="宋体" w:cs="宋体"/>
          <w:b/>
          <w:color w:val="auto"/>
          <w:sz w:val="32"/>
          <w:szCs w:val="32"/>
          <w:highlight w:val="none"/>
        </w:rPr>
        <w:t>第一章   竞争性磋商公告</w:t>
      </w:r>
    </w:p>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480" w:type="dxa"/>
          </w:tcPr>
          <w:p>
            <w:pPr>
              <w:spacing w:line="40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项目概况：</w:t>
            </w:r>
          </w:p>
          <w:p>
            <w:pPr>
              <w:spacing w:line="400" w:lineRule="exact"/>
              <w:ind w:firstLine="420"/>
              <w:rPr>
                <w:rFonts w:ascii="宋体" w:hAnsi="宋体" w:cs="宋体"/>
                <w:b/>
                <w:bCs/>
                <w:color w:val="auto"/>
                <w:szCs w:val="21"/>
                <w:highlight w:val="none"/>
              </w:rPr>
            </w:pPr>
            <w:r>
              <w:rPr>
                <w:rFonts w:hint="eastAsia" w:ascii="宋体" w:hAnsi="宋体" w:cs="宋体"/>
                <w:color w:val="auto"/>
                <w:szCs w:val="21"/>
                <w:highlight w:val="none"/>
                <w:lang w:eastAsia="zh-CN"/>
              </w:rPr>
              <w:t>病房服务交互系统采购</w:t>
            </w:r>
            <w:r>
              <w:rPr>
                <w:rFonts w:hint="eastAsia" w:ascii="宋体" w:hAnsi="宋体" w:cs="宋体"/>
                <w:bCs/>
                <w:color w:val="auto"/>
                <w:szCs w:val="21"/>
                <w:highlight w:val="none"/>
              </w:rPr>
              <w:t>项目的潜在供应商应在桂林市公共资源交易中心（http://glggzy.org.cn/gxglzbw/）或桂林市政府采购网（http://zfcg.czj.guilin.gov.cn/）获取采购文件，并于2020年</w:t>
            </w:r>
            <w:r>
              <w:rPr>
                <w:rFonts w:hint="eastAsia" w:ascii="宋体" w:hAnsi="宋体" w:cs="宋体"/>
                <w:bCs/>
                <w:color w:val="auto"/>
                <w:szCs w:val="21"/>
                <w:highlight w:val="none"/>
                <w:lang w:val="en-US" w:eastAsia="zh-CN"/>
              </w:rPr>
              <w:t>12月24日10时30分</w:t>
            </w:r>
            <w:r>
              <w:rPr>
                <w:rFonts w:hint="eastAsia" w:ascii="宋体" w:hAnsi="宋体" w:cs="宋体"/>
                <w:bCs/>
                <w:color w:val="auto"/>
                <w:szCs w:val="21"/>
                <w:highlight w:val="none"/>
              </w:rPr>
              <w:t>（北京时间）前提交响应文件。</w:t>
            </w:r>
          </w:p>
        </w:tc>
      </w:tr>
    </w:tbl>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420" w:leftChars="200" w:firstLine="422"/>
        <w:textAlignment w:val="auto"/>
        <w:rPr>
          <w:rFonts w:ascii="宋体" w:hAnsi="宋体" w:cs="宋体"/>
          <w:b/>
          <w:color w:val="auto"/>
          <w:szCs w:val="21"/>
          <w:highlight w:val="none"/>
        </w:rPr>
      </w:pPr>
      <w:r>
        <w:rPr>
          <w:rFonts w:hint="eastAsia" w:ascii="宋体" w:hAnsi="宋体" w:cs="宋体"/>
          <w:b/>
          <w:color w:val="auto"/>
          <w:szCs w:val="21"/>
          <w:highlight w:val="none"/>
        </w:rPr>
        <w:t>项目基本情况</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1.项目编号：</w:t>
      </w:r>
      <w:r>
        <w:rPr>
          <w:rFonts w:hint="eastAsia" w:ascii="宋体" w:hAnsi="宋体" w:cs="宋体"/>
          <w:bCs/>
          <w:color w:val="auto"/>
          <w:szCs w:val="21"/>
          <w:highlight w:val="none"/>
          <w:lang w:eastAsia="zh-CN"/>
        </w:rPr>
        <w:t>GLZC2020-C3-270044-KWZB</w:t>
      </w:r>
      <w:r>
        <w:rPr>
          <w:rFonts w:hint="eastAsia" w:ascii="宋体" w:hAnsi="宋体" w:cs="宋体"/>
          <w:bCs/>
          <w:szCs w:val="21"/>
        </w:rPr>
        <w:t>，政府采购计划编号：GYZC2020-C3-00992</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2.项目名称：</w:t>
      </w:r>
      <w:r>
        <w:rPr>
          <w:rFonts w:hint="eastAsia" w:ascii="宋体" w:hAnsi="宋体" w:cs="宋体"/>
          <w:color w:val="auto"/>
          <w:szCs w:val="21"/>
          <w:highlight w:val="none"/>
          <w:lang w:eastAsia="zh-CN"/>
        </w:rPr>
        <w:t>病房服务交互系统采购</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3.采购方式：□竞争性谈判 </w:t>
      </w:r>
      <w:r>
        <w:rPr>
          <w:rFonts w:hint="eastAsia" w:ascii="宋体" w:hAnsi="宋体" w:cs="宋体"/>
          <w:bCs/>
          <w:color w:val="auto"/>
          <w:szCs w:val="21"/>
          <w:highlight w:val="none"/>
        </w:rPr>
        <w:sym w:font="Wingdings 2" w:char="0052"/>
      </w:r>
      <w:r>
        <w:rPr>
          <w:rFonts w:hint="eastAsia" w:ascii="宋体" w:hAnsi="宋体" w:cs="宋体"/>
          <w:bCs/>
          <w:color w:val="auto"/>
          <w:szCs w:val="21"/>
          <w:highlight w:val="none"/>
        </w:rPr>
        <w:t>竞争性磋商 □询价</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4.预算金额：</w:t>
      </w:r>
      <w:r>
        <w:rPr>
          <w:rFonts w:hint="eastAsia" w:ascii="宋体" w:hAnsi="宋体" w:cs="宋体"/>
          <w:bCs/>
          <w:color w:val="auto"/>
          <w:szCs w:val="21"/>
          <w:highlight w:val="none"/>
          <w:lang w:eastAsia="zh-CN"/>
        </w:rPr>
        <w:t>46.80</w:t>
      </w:r>
      <w:r>
        <w:rPr>
          <w:rFonts w:hint="eastAsia" w:ascii="宋体" w:hAnsi="宋体" w:cs="宋体"/>
          <w:bCs/>
          <w:color w:val="auto"/>
          <w:szCs w:val="21"/>
          <w:highlight w:val="none"/>
        </w:rPr>
        <w:t>万元</w:t>
      </w:r>
    </w:p>
    <w:p>
      <w:pPr>
        <w:pStyle w:val="45"/>
        <w:rPr>
          <w:rFonts w:hint="eastAsia" w:eastAsia="宋体"/>
          <w:lang w:eastAsia="zh-CN"/>
        </w:rPr>
      </w:pPr>
      <w:r>
        <w:rPr>
          <w:rFonts w:hint="eastAsia" w:ascii="宋体" w:hAnsi="宋体" w:cs="宋体"/>
          <w:color w:val="auto"/>
          <w:highlight w:val="none"/>
        </w:rPr>
        <w:t>5.采购需求：标的名称、数量、简要技术需求或服务要求</w:t>
      </w:r>
      <w:r>
        <w:rPr>
          <w:rFonts w:hint="eastAsia" w:ascii="宋体" w:hAnsi="宋体" w:cs="宋体"/>
          <w:color w:val="auto"/>
          <w:highlight w:val="none"/>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1"/>
        <w:gridCol w:w="3896"/>
        <w:gridCol w:w="830"/>
        <w:gridCol w:w="990"/>
        <w:gridCol w:w="2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before="0" w:after="0" w:line="340" w:lineRule="exact"/>
              <w:ind w:firstLine="0" w:firstLineChars="0"/>
              <w:jc w:val="center"/>
              <w:rPr>
                <w:rFonts w:ascii="宋体" w:hAnsi="宋体"/>
                <w:b/>
                <w:bCs/>
                <w:color w:val="auto"/>
                <w:highlight w:val="none"/>
              </w:rPr>
            </w:pPr>
            <w:r>
              <w:rPr>
                <w:rFonts w:hint="eastAsia" w:ascii="宋体" w:hAnsi="宋体"/>
                <w:b/>
                <w:bCs/>
                <w:color w:val="auto"/>
                <w:highlight w:val="none"/>
              </w:rPr>
              <w:t>项号</w:t>
            </w:r>
          </w:p>
        </w:tc>
        <w:tc>
          <w:tcPr>
            <w:tcW w:w="3896"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ind w:firstLine="0" w:firstLineChars="0"/>
              <w:jc w:val="center"/>
              <w:rPr>
                <w:rFonts w:ascii="宋体" w:hAnsi="宋体"/>
                <w:b/>
                <w:bCs/>
                <w:color w:val="auto"/>
                <w:highlight w:val="none"/>
              </w:rPr>
            </w:pPr>
            <w:r>
              <w:rPr>
                <w:rFonts w:hint="eastAsia" w:ascii="宋体" w:hAnsi="宋体"/>
                <w:b/>
                <w:bCs/>
                <w:color w:val="auto"/>
                <w:highlight w:val="none"/>
              </w:rPr>
              <w:t>服务名称</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ind w:firstLine="0" w:firstLineChars="0"/>
              <w:jc w:val="center"/>
              <w:rPr>
                <w:rFonts w:ascii="宋体" w:hAnsi="宋体"/>
                <w:b/>
                <w:bCs/>
                <w:color w:val="auto"/>
                <w:highlight w:val="none"/>
              </w:rPr>
            </w:pPr>
            <w:r>
              <w:rPr>
                <w:rFonts w:hint="eastAsia" w:ascii="宋体" w:hAnsi="宋体" w:cs="宋体"/>
                <w:b/>
                <w:bCs/>
                <w:color w:val="auto"/>
                <w:kern w:val="0"/>
                <w:szCs w:val="21"/>
                <w:highlight w:val="none"/>
              </w:rPr>
              <w:t>数量</w:t>
            </w:r>
          </w:p>
        </w:tc>
        <w:tc>
          <w:tcPr>
            <w:tcW w:w="990"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ind w:firstLine="0" w:firstLineChars="0"/>
              <w:jc w:val="center"/>
              <w:rPr>
                <w:rFonts w:ascii="宋体" w:hAnsi="宋体"/>
                <w:b/>
                <w:bCs/>
                <w:color w:val="auto"/>
                <w:highlight w:val="none"/>
              </w:rPr>
            </w:pPr>
            <w:r>
              <w:rPr>
                <w:rFonts w:hint="eastAsia" w:ascii="宋体" w:hAnsi="宋体"/>
                <w:b/>
                <w:bCs/>
                <w:color w:val="auto"/>
                <w:highlight w:val="none"/>
              </w:rPr>
              <w:t>单位</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b/>
                <w:bCs/>
                <w:color w:val="auto"/>
                <w:highlight w:val="none"/>
              </w:rPr>
            </w:pPr>
            <w:r>
              <w:rPr>
                <w:rFonts w:hint="eastAsia" w:ascii="宋体" w:hAnsi="宋体"/>
                <w:b/>
                <w:color w:val="auto"/>
                <w:szCs w:val="21"/>
                <w:highlight w:val="none"/>
              </w:rPr>
              <w:t>简要规格描述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3896" w:type="dxa"/>
            <w:tcBorders>
              <w:top w:val="single" w:color="auto" w:sz="4" w:space="0"/>
              <w:left w:val="single" w:color="auto" w:sz="4" w:space="0"/>
              <w:bottom w:val="single" w:color="auto" w:sz="4" w:space="0"/>
              <w:right w:val="single" w:color="auto" w:sz="4" w:space="0"/>
            </w:tcBorders>
            <w:vAlign w:val="center"/>
          </w:tcPr>
          <w:p>
            <w:pPr>
              <w:spacing w:before="0" w:after="0" w:line="420" w:lineRule="exact"/>
              <w:ind w:firstLine="0" w:firstLineChars="0"/>
              <w:jc w:val="center"/>
              <w:rPr>
                <w:rFonts w:ascii="宋体" w:hAnsi="宋体" w:cs="宋体"/>
                <w:color w:val="auto"/>
                <w:szCs w:val="21"/>
                <w:highlight w:val="none"/>
              </w:rPr>
            </w:pPr>
            <w:r>
              <w:rPr>
                <w:rFonts w:hint="eastAsia" w:ascii="宋体" w:hAnsi="宋体" w:cs="宋体"/>
                <w:color w:val="auto"/>
                <w:szCs w:val="21"/>
                <w:lang w:val="en-US" w:eastAsia="zh-CN"/>
              </w:rPr>
              <w:t>服务器及</w:t>
            </w:r>
            <w:r>
              <w:rPr>
                <w:rFonts w:hint="eastAsia" w:ascii="宋体" w:hAnsi="宋体" w:eastAsia="宋体" w:cs="宋体"/>
                <w:color w:val="auto"/>
                <w:szCs w:val="21"/>
                <w:lang w:val="en-US" w:eastAsia="zh-CN"/>
              </w:rPr>
              <w:t>软件</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套</w:t>
            </w:r>
          </w:p>
        </w:tc>
        <w:tc>
          <w:tcPr>
            <w:tcW w:w="2021" w:type="dxa"/>
            <w:vMerge w:val="restart"/>
            <w:tcBorders>
              <w:top w:val="single" w:color="auto" w:sz="4" w:space="0"/>
              <w:left w:val="single" w:color="auto" w:sz="4" w:space="0"/>
              <w:right w:val="single" w:color="auto" w:sz="4" w:space="0"/>
            </w:tcBorders>
            <w:vAlign w:val="center"/>
          </w:tcPr>
          <w:p>
            <w:pPr>
              <w:spacing w:before="0" w:after="0" w:line="420" w:lineRule="exact"/>
              <w:ind w:left="0" w:leftChars="0" w:firstLine="0" w:firstLineChars="0"/>
              <w:jc w:val="center"/>
              <w:rPr>
                <w:rFonts w:ascii="宋体" w:hAnsi="宋体"/>
                <w:bCs/>
                <w:color w:val="auto"/>
                <w:szCs w:val="21"/>
                <w:highlight w:val="none"/>
              </w:rPr>
            </w:pPr>
            <w:r>
              <w:rPr>
                <w:rFonts w:hint="eastAsia" w:ascii="宋体" w:hAnsi="宋体"/>
                <w:bCs/>
                <w:color w:val="auto"/>
                <w:szCs w:val="21"/>
                <w:highlight w:val="none"/>
              </w:rPr>
              <w:t>如需进一步了解详细内容，详见竞争性磋商文件。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2</w:t>
            </w:r>
          </w:p>
        </w:tc>
        <w:tc>
          <w:tcPr>
            <w:tcW w:w="3896" w:type="dxa"/>
            <w:tcBorders>
              <w:top w:val="single" w:color="auto" w:sz="4" w:space="0"/>
              <w:left w:val="single" w:color="auto" w:sz="4" w:space="0"/>
              <w:bottom w:val="single" w:color="auto" w:sz="4" w:space="0"/>
              <w:right w:val="single" w:color="auto" w:sz="4" w:space="0"/>
            </w:tcBorders>
            <w:vAlign w:val="center"/>
          </w:tcPr>
          <w:p>
            <w:pPr>
              <w:spacing w:before="0" w:after="0" w:line="420" w:lineRule="exact"/>
              <w:ind w:firstLine="0" w:firstLineChars="0"/>
              <w:jc w:val="center"/>
              <w:rPr>
                <w:rFonts w:hint="eastAsia" w:ascii="宋体" w:hAnsi="宋体" w:cs="宋体"/>
                <w:color w:val="auto"/>
                <w:szCs w:val="21"/>
                <w:highlight w:val="none"/>
                <w:lang w:eastAsia="zh-CN"/>
              </w:rPr>
            </w:pPr>
            <w:r>
              <w:rPr>
                <w:rFonts w:hint="eastAsia" w:ascii="宋体" w:hAnsi="宋体" w:eastAsia="宋体" w:cs="宋体"/>
                <w:color w:val="auto"/>
                <w:szCs w:val="21"/>
                <w:lang w:val="en-US" w:eastAsia="zh-CN"/>
              </w:rPr>
              <w:t>医护主机</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w:t>
            </w:r>
          </w:p>
        </w:tc>
        <w:tc>
          <w:tcPr>
            <w:tcW w:w="3896" w:type="dxa"/>
            <w:tcBorders>
              <w:top w:val="single" w:color="auto" w:sz="4" w:space="0"/>
              <w:left w:val="single" w:color="auto" w:sz="4" w:space="0"/>
              <w:bottom w:val="single" w:color="auto" w:sz="4" w:space="0"/>
              <w:right w:val="single" w:color="auto" w:sz="4" w:space="0"/>
            </w:tcBorders>
            <w:vAlign w:val="center"/>
          </w:tcPr>
          <w:p>
            <w:pPr>
              <w:spacing w:before="0" w:after="0" w:line="420" w:lineRule="exact"/>
              <w:ind w:firstLine="0" w:firstLineChars="0"/>
              <w:jc w:val="center"/>
              <w:rPr>
                <w:rFonts w:hint="eastAsia" w:ascii="宋体" w:hAnsi="宋体" w:cs="宋体"/>
                <w:color w:val="auto"/>
                <w:szCs w:val="21"/>
                <w:highlight w:val="none"/>
                <w:lang w:eastAsia="zh-CN"/>
              </w:rPr>
            </w:pPr>
            <w:r>
              <w:rPr>
                <w:rFonts w:hint="eastAsia" w:ascii="宋体" w:hAnsi="宋体" w:eastAsia="宋体" w:cs="宋体"/>
                <w:color w:val="auto"/>
                <w:szCs w:val="21"/>
                <w:lang w:val="en-US" w:eastAsia="zh-CN"/>
              </w:rPr>
              <w:t>床旁分机</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16</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Arial"/>
                <w:color w:val="auto"/>
                <w:kern w:val="0"/>
                <w:szCs w:val="21"/>
                <w:highlight w:val="none"/>
                <w:lang w:val="en-US" w:eastAsia="zh-CN"/>
              </w:rPr>
            </w:pPr>
            <w:r>
              <w:rPr>
                <w:rFonts w:hint="eastAsia" w:ascii="宋体" w:hAnsi="宋体" w:cs="宋体"/>
                <w:color w:val="auto"/>
                <w:szCs w:val="21"/>
                <w:lang w:val="en-US" w:eastAsia="zh-CN"/>
              </w:rPr>
              <w:t>4</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zCs w:val="21"/>
                <w:lang w:val="en-US" w:eastAsia="zh-CN"/>
              </w:rPr>
              <w:t>落地支架</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16</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Arial"/>
                <w:color w:val="auto"/>
                <w:kern w:val="0"/>
                <w:szCs w:val="21"/>
                <w:highlight w:val="none"/>
                <w:lang w:val="en-US" w:eastAsia="zh-CN"/>
              </w:rPr>
            </w:pPr>
            <w:r>
              <w:rPr>
                <w:rFonts w:hint="eastAsia" w:ascii="宋体" w:hAnsi="宋体" w:cs="宋体"/>
                <w:color w:val="auto"/>
                <w:szCs w:val="21"/>
                <w:lang w:val="en-US" w:eastAsia="zh-CN"/>
              </w:rPr>
              <w:t>5</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zCs w:val="21"/>
                <w:lang w:val="en-US" w:eastAsia="zh-CN"/>
              </w:rPr>
              <w:t>门口分机</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13</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6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6</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卫生间分机</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13</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6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7</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门禁分机</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6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8</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走廊点阵屏</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6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Arial"/>
                <w:color w:val="auto"/>
                <w:kern w:val="0"/>
                <w:szCs w:val="21"/>
                <w:highlight w:val="none"/>
                <w:lang w:val="en-US" w:eastAsia="zh-CN"/>
              </w:rPr>
            </w:pPr>
            <w:r>
              <w:rPr>
                <w:rFonts w:hint="eastAsia" w:ascii="宋体" w:hAnsi="宋体" w:cs="宋体"/>
                <w:color w:val="auto"/>
                <w:szCs w:val="21"/>
                <w:lang w:val="en-US" w:eastAsia="zh-CN"/>
              </w:rPr>
              <w:t>9</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zCs w:val="21"/>
                <w:lang w:val="en-US" w:eastAsia="zh-CN"/>
              </w:rPr>
              <w:t>多媒体控制器</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rPr>
            </w:pPr>
            <w:r>
              <w:rPr>
                <w:rFonts w:hint="eastAsia" w:ascii="宋体" w:hAnsi="宋体" w:cs="Arial"/>
                <w:color w:val="auto"/>
                <w:kern w:val="0"/>
                <w:szCs w:val="21"/>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6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10</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外置电源</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6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11</w:t>
            </w:r>
          </w:p>
        </w:tc>
        <w:tc>
          <w:tcPr>
            <w:tcW w:w="389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设备带</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22</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before="0" w:after="0" w:line="340" w:lineRule="exact"/>
              <w:ind w:firstLine="0" w:firstLineChars="0"/>
              <w:jc w:val="center"/>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套</w:t>
            </w:r>
          </w:p>
        </w:tc>
        <w:tc>
          <w:tcPr>
            <w:tcW w:w="2021" w:type="dxa"/>
            <w:vMerge w:val="continue"/>
            <w:tcBorders>
              <w:left w:val="single" w:color="auto" w:sz="4" w:space="0"/>
              <w:right w:val="single" w:color="auto" w:sz="4" w:space="0"/>
            </w:tcBorders>
            <w:vAlign w:val="center"/>
          </w:tcPr>
          <w:p>
            <w:pPr>
              <w:spacing w:before="0" w:after="0" w:line="420" w:lineRule="exact"/>
              <w:ind w:left="0" w:leftChars="0" w:firstLine="0" w:firstLineChars="0"/>
              <w:jc w:val="center"/>
              <w:rPr>
                <w:rFonts w:hint="eastAsia" w:ascii="宋体" w:hAnsi="宋体"/>
                <w:bCs/>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6.合同履行期限：</w:t>
      </w:r>
      <w:r>
        <w:rPr>
          <w:rFonts w:hint="eastAsia" w:ascii="宋体" w:hAnsi="宋体" w:eastAsia="宋体" w:cs="宋体"/>
          <w:color w:val="auto"/>
          <w:szCs w:val="21"/>
        </w:rPr>
        <w:t>自合同签订后</w:t>
      </w:r>
      <w:r>
        <w:rPr>
          <w:rFonts w:hint="eastAsia" w:ascii="宋体" w:hAnsi="宋体" w:eastAsia="宋体" w:cs="宋体"/>
          <w:color w:val="auto"/>
          <w:szCs w:val="21"/>
          <w:lang w:val="en-US" w:eastAsia="zh-CN"/>
        </w:rPr>
        <w:t>7</w:t>
      </w:r>
      <w:r>
        <w:rPr>
          <w:rFonts w:hint="eastAsia" w:ascii="宋体" w:hAnsi="宋体" w:eastAsia="宋体" w:cs="宋体"/>
          <w:color w:val="auto"/>
          <w:szCs w:val="21"/>
        </w:rPr>
        <w:t>个工作日内交货并按采购人要求安装调试完毕交付使用。</w:t>
      </w:r>
      <w:r>
        <w:rPr>
          <w:rFonts w:hint="eastAsia" w:ascii="宋体" w:hAnsi="宋体" w:cs="宋体"/>
          <w:color w:val="auto"/>
          <w:szCs w:val="21"/>
          <w:highlight w:val="none"/>
        </w:rPr>
        <w:t>具体详见采购文件。</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7.本项目不接受联合体。</w:t>
      </w:r>
    </w:p>
    <w:p>
      <w:pPr>
        <w:keepNext w:val="0"/>
        <w:keepLines w:val="0"/>
        <w:pageBreakBefore w:val="0"/>
        <w:widowControl w:val="0"/>
        <w:kinsoku/>
        <w:wordWrap/>
        <w:overflowPunct/>
        <w:topLinePunct w:val="0"/>
        <w:autoSpaceDE/>
        <w:autoSpaceDN/>
        <w:bidi w:val="0"/>
        <w:adjustRightInd/>
        <w:snapToGrid/>
        <w:spacing w:line="380" w:lineRule="exact"/>
        <w:ind w:left="840" w:leftChars="400" w:firstLine="0" w:firstLineChars="0"/>
        <w:textAlignment w:val="auto"/>
        <w:rPr>
          <w:rFonts w:ascii="宋体" w:hAnsi="宋体" w:cs="宋体"/>
          <w:b/>
          <w:color w:val="auto"/>
          <w:szCs w:val="21"/>
          <w:highlight w:val="none"/>
        </w:rPr>
      </w:pPr>
      <w:bookmarkStart w:id="0" w:name="_Toc28359013"/>
      <w:bookmarkStart w:id="1" w:name="_Toc28359090"/>
      <w:bookmarkStart w:id="2" w:name="_Toc35393630"/>
      <w:bookmarkStart w:id="3" w:name="_Toc35393799"/>
      <w:r>
        <w:rPr>
          <w:rFonts w:hint="eastAsia" w:ascii="宋体" w:hAnsi="宋体" w:cs="宋体"/>
          <w:b/>
          <w:color w:val="auto"/>
          <w:szCs w:val="21"/>
          <w:highlight w:val="none"/>
        </w:rPr>
        <w:t>二、申请人的资格要求：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bookmarkStart w:id="4" w:name="_Toc35393800"/>
      <w:bookmarkStart w:id="5" w:name="_Toc35393631"/>
      <w:r>
        <w:rPr>
          <w:rFonts w:hint="eastAsia" w:ascii="宋体" w:hAnsi="宋体" w:cs="宋体"/>
          <w:bCs/>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3.本项目的特定资格要求：无</w:t>
      </w:r>
    </w:p>
    <w:p>
      <w:pPr>
        <w:keepNext w:val="0"/>
        <w:keepLines w:val="0"/>
        <w:pageBreakBefore w:val="0"/>
        <w:widowControl w:val="0"/>
        <w:kinsoku/>
        <w:wordWrap/>
        <w:overflowPunct/>
        <w:topLinePunct w:val="0"/>
        <w:autoSpaceDE/>
        <w:autoSpaceDN/>
        <w:bidi w:val="0"/>
        <w:adjustRightInd/>
        <w:snapToGrid/>
        <w:spacing w:line="380" w:lineRule="exact"/>
        <w:ind w:left="840" w:leftChars="400" w:firstLine="0" w:firstLineChars="0"/>
        <w:textAlignment w:val="auto"/>
        <w:rPr>
          <w:rFonts w:ascii="宋体" w:hAnsi="宋体" w:cs="宋体"/>
          <w:b/>
          <w:color w:val="auto"/>
          <w:szCs w:val="21"/>
          <w:highlight w:val="none"/>
        </w:rPr>
      </w:pPr>
      <w:r>
        <w:rPr>
          <w:rFonts w:hint="eastAsia" w:ascii="宋体" w:hAnsi="宋体" w:cs="宋体"/>
          <w:b/>
          <w:color w:val="auto"/>
          <w:szCs w:val="21"/>
          <w:highlight w:val="none"/>
        </w:rPr>
        <w:t>三、获取采购文件</w:t>
      </w:r>
      <w:bookmarkEnd w:id="4"/>
      <w:bookmarkEnd w:id="5"/>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潜在供应商登陆桂林市政府采购网（http://zfcg.</w:t>
      </w:r>
      <w:r>
        <w:rPr>
          <w:rFonts w:hint="eastAsia" w:ascii="宋体" w:hAnsi="宋体" w:cs="宋体"/>
          <w:bCs/>
          <w:color w:val="auto"/>
          <w:szCs w:val="21"/>
          <w:highlight w:val="none"/>
          <w:lang w:val="en-US" w:eastAsia="zh-CN"/>
        </w:rPr>
        <w:t>czj.guilin.</w:t>
      </w:r>
      <w:r>
        <w:rPr>
          <w:rFonts w:hint="eastAsia" w:ascii="宋体" w:hAnsi="宋体" w:cs="宋体"/>
          <w:bCs/>
          <w:color w:val="auto"/>
          <w:szCs w:val="21"/>
          <w:highlight w:val="none"/>
        </w:rPr>
        <w:t>gov.cn/）、桂林市公共资源交易中心（http://glggzy.org.cn/gxglzbw/）网上下载竞争性</w:t>
      </w:r>
      <w:r>
        <w:rPr>
          <w:rFonts w:hint="eastAsia" w:ascii="宋体" w:hAnsi="宋体" w:cs="宋体"/>
          <w:bCs/>
          <w:color w:val="auto"/>
          <w:szCs w:val="21"/>
          <w:highlight w:val="none"/>
          <w:lang w:eastAsia="zh-CN"/>
        </w:rPr>
        <w:t>磋商</w:t>
      </w:r>
      <w:r>
        <w:rPr>
          <w:rFonts w:hint="eastAsia" w:ascii="宋体" w:hAnsi="宋体" w:cs="宋体"/>
          <w:bCs/>
          <w:color w:val="auto"/>
          <w:szCs w:val="21"/>
          <w:highlight w:val="none"/>
        </w:rPr>
        <w:t xml:space="preserve">文件电子版。   </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已获取采购文件的供应商不等于符合本项目的</w:t>
      </w:r>
      <w:r>
        <w:rPr>
          <w:rFonts w:hint="eastAsia" w:ascii="宋体" w:hAnsi="宋体" w:cs="宋体"/>
          <w:bCs/>
          <w:color w:val="auto"/>
          <w:szCs w:val="21"/>
          <w:highlight w:val="none"/>
          <w:lang w:eastAsia="zh-CN"/>
        </w:rPr>
        <w:t>磋商</w:t>
      </w:r>
      <w:r>
        <w:rPr>
          <w:rFonts w:hint="eastAsia" w:ascii="宋体" w:hAnsi="宋体" w:cs="宋体"/>
          <w:bCs/>
          <w:color w:val="auto"/>
          <w:szCs w:val="21"/>
          <w:highlight w:val="none"/>
        </w:rPr>
        <w:t>供应商资格。</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为配合采购人进行政府采购项目执行和备案，未在政采云注册的供应商可在获取</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文件后须登录政采云进行注册，如在操作过程中遇到问题或者需要技术支持，请致电政采云客服热线：400-881-7190。</w:t>
      </w:r>
    </w:p>
    <w:p>
      <w:pPr>
        <w:keepNext w:val="0"/>
        <w:keepLines w:val="0"/>
        <w:pageBreakBefore w:val="0"/>
        <w:widowControl w:val="0"/>
        <w:kinsoku/>
        <w:wordWrap/>
        <w:overflowPunct/>
        <w:topLinePunct w:val="0"/>
        <w:autoSpaceDE/>
        <w:autoSpaceDN/>
        <w:bidi w:val="0"/>
        <w:adjustRightInd/>
        <w:snapToGrid/>
        <w:spacing w:line="380" w:lineRule="exact"/>
        <w:ind w:left="840" w:leftChars="400" w:firstLine="0" w:firstLineChars="0"/>
        <w:textAlignment w:val="auto"/>
        <w:rPr>
          <w:rFonts w:ascii="宋体" w:hAnsi="宋体" w:cs="宋体"/>
          <w:b/>
          <w:color w:val="auto"/>
          <w:szCs w:val="21"/>
          <w:highlight w:val="none"/>
        </w:rPr>
      </w:pPr>
      <w:r>
        <w:rPr>
          <w:rFonts w:hint="eastAsia" w:ascii="宋体" w:hAnsi="宋体" w:cs="宋体"/>
          <w:b/>
          <w:color w:val="auto"/>
          <w:szCs w:val="21"/>
          <w:highlight w:val="none"/>
        </w:rPr>
        <w:t>四、响应文件提交</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bookmarkStart w:id="6" w:name="_Toc35393802"/>
      <w:bookmarkStart w:id="7" w:name="_Toc28359093"/>
      <w:bookmarkStart w:id="8" w:name="_Toc28359016"/>
      <w:bookmarkStart w:id="9" w:name="_Toc35393633"/>
      <w:r>
        <w:rPr>
          <w:rFonts w:hint="eastAsia" w:ascii="宋体" w:hAnsi="宋体" w:cs="宋体"/>
          <w:bCs/>
          <w:color w:val="auto"/>
          <w:szCs w:val="21"/>
          <w:highlight w:val="none"/>
        </w:rPr>
        <w:t>1.响应文件递交起止时间：2020年</w:t>
      </w:r>
      <w:r>
        <w:rPr>
          <w:rFonts w:hint="eastAsia" w:ascii="宋体" w:hAnsi="宋体" w:cs="宋体"/>
          <w:bCs/>
          <w:color w:val="auto"/>
          <w:szCs w:val="21"/>
          <w:highlight w:val="none"/>
          <w:lang w:eastAsia="zh-CN"/>
        </w:rPr>
        <w:t>12月24日</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时起至</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分止</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2.响应文件递交截止时间：</w:t>
      </w:r>
      <w:r>
        <w:rPr>
          <w:rFonts w:hint="eastAsia" w:ascii="宋体" w:hAnsi="宋体" w:cs="宋体"/>
          <w:bCs/>
          <w:color w:val="auto"/>
          <w:szCs w:val="21"/>
          <w:highlight w:val="none"/>
          <w:lang w:eastAsia="zh-CN"/>
        </w:rPr>
        <w:t>2020年12月24日10时30分</w:t>
      </w:r>
      <w:r>
        <w:rPr>
          <w:rFonts w:hint="eastAsia" w:ascii="宋体" w:hAnsi="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3.响应文件递交地点：桂林市公共资源交易中心</w:t>
      </w:r>
      <w:r>
        <w:rPr>
          <w:rFonts w:hint="eastAsia" w:ascii="宋体" w:hAnsi="宋体" w:cs="宋体"/>
          <w:bCs/>
          <w:color w:val="auto"/>
          <w:szCs w:val="21"/>
          <w:highlight w:val="none"/>
          <w:lang w:val="en-US" w:eastAsia="zh-CN"/>
        </w:rPr>
        <w:t>1号开标室</w:t>
      </w:r>
      <w:r>
        <w:rPr>
          <w:rFonts w:hint="eastAsia" w:ascii="宋体" w:hAnsi="宋体" w:cs="宋体"/>
          <w:bCs/>
          <w:color w:val="auto"/>
          <w:szCs w:val="21"/>
          <w:highlight w:val="none"/>
        </w:rPr>
        <w:t>（广西桂林市临桂区西城中路69号创业大厦西辅楼4楼北区）</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bCs/>
          <w:color w:val="auto"/>
          <w:szCs w:val="21"/>
          <w:highlight w:val="none"/>
          <w:lang w:eastAsia="zh-CN"/>
        </w:rPr>
        <w:t>磋商</w:t>
      </w:r>
      <w:r>
        <w:rPr>
          <w:rFonts w:hint="eastAsia" w:ascii="宋体" w:hAnsi="宋体" w:cs="宋体"/>
          <w:bCs/>
          <w:color w:val="auto"/>
          <w:szCs w:val="21"/>
          <w:highlight w:val="none"/>
        </w:rPr>
        <w:t>供应商应在响应文件提交起止时间内，将响应文件密封送达指定地点，未在规定时间内送达或未按照采购文件要求密封的响应文件，将予以拒收。</w:t>
      </w:r>
    </w:p>
    <w:p>
      <w:pPr>
        <w:keepNext w:val="0"/>
        <w:keepLines w:val="0"/>
        <w:pageBreakBefore w:val="0"/>
        <w:widowControl w:val="0"/>
        <w:kinsoku/>
        <w:wordWrap/>
        <w:overflowPunct/>
        <w:topLinePunct w:val="0"/>
        <w:autoSpaceDE/>
        <w:autoSpaceDN/>
        <w:bidi w:val="0"/>
        <w:adjustRightInd/>
        <w:snapToGrid/>
        <w:spacing w:line="380" w:lineRule="exact"/>
        <w:ind w:left="840" w:leftChars="400" w:firstLine="0" w:firstLineChars="0"/>
        <w:textAlignment w:val="auto"/>
        <w:rPr>
          <w:rFonts w:ascii="宋体" w:hAnsi="宋体" w:cs="宋体"/>
          <w:b/>
          <w:color w:val="auto"/>
          <w:szCs w:val="21"/>
          <w:highlight w:val="none"/>
        </w:rPr>
      </w:pPr>
      <w:r>
        <w:rPr>
          <w:rFonts w:hint="eastAsia" w:ascii="宋体" w:hAnsi="宋体" w:cs="宋体"/>
          <w:b/>
          <w:color w:val="auto"/>
          <w:szCs w:val="21"/>
          <w:highlight w:val="none"/>
        </w:rPr>
        <w:t>五、开启</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lang w:eastAsia="zh-CN"/>
        </w:rPr>
        <w:t>2020年12月24日10时30分</w:t>
      </w:r>
      <w:r>
        <w:rPr>
          <w:rFonts w:hint="eastAsia" w:ascii="宋体" w:hAnsi="宋体" w:cs="宋体"/>
          <w:bCs/>
          <w:color w:val="auto"/>
          <w:szCs w:val="21"/>
          <w:highlight w:val="none"/>
        </w:rPr>
        <w:t>后</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地点：桂林市公共资源交易中心评标室</w:t>
      </w:r>
    </w:p>
    <w:p>
      <w:pPr>
        <w:keepNext w:val="0"/>
        <w:keepLines w:val="0"/>
        <w:pageBreakBefore w:val="0"/>
        <w:widowControl w:val="0"/>
        <w:kinsoku/>
        <w:wordWrap/>
        <w:overflowPunct/>
        <w:topLinePunct w:val="0"/>
        <w:autoSpaceDE/>
        <w:autoSpaceDN/>
        <w:bidi w:val="0"/>
        <w:adjustRightInd/>
        <w:snapToGrid/>
        <w:spacing w:line="380" w:lineRule="exact"/>
        <w:ind w:left="840" w:leftChars="400" w:firstLine="0" w:firstLineChars="0"/>
        <w:textAlignment w:val="auto"/>
        <w:rPr>
          <w:rFonts w:ascii="宋体" w:hAnsi="宋体" w:cs="宋体"/>
          <w:b/>
          <w:color w:val="auto"/>
          <w:szCs w:val="21"/>
          <w:highlight w:val="none"/>
        </w:rPr>
      </w:pPr>
      <w:bookmarkStart w:id="10" w:name="_Toc35393634"/>
      <w:bookmarkStart w:id="11" w:name="_Toc28359094"/>
      <w:bookmarkStart w:id="12" w:name="_Toc35393803"/>
      <w:bookmarkStart w:id="13" w:name="_Toc28359017"/>
      <w:r>
        <w:rPr>
          <w:rFonts w:hint="eastAsia" w:ascii="宋体" w:hAnsi="宋体" w:cs="宋体"/>
          <w:b/>
          <w:color w:val="auto"/>
          <w:szCs w:val="21"/>
          <w:highlight w:val="none"/>
        </w:rPr>
        <w:t>六、公告期限</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本公告及采购文件公告期限为自发布之日起3个工作日。</w:t>
      </w:r>
    </w:p>
    <w:p>
      <w:pPr>
        <w:keepNext w:val="0"/>
        <w:keepLines w:val="0"/>
        <w:pageBreakBefore w:val="0"/>
        <w:widowControl w:val="0"/>
        <w:kinsoku/>
        <w:wordWrap/>
        <w:overflowPunct/>
        <w:topLinePunct w:val="0"/>
        <w:autoSpaceDE/>
        <w:autoSpaceDN/>
        <w:bidi w:val="0"/>
        <w:adjustRightInd/>
        <w:snapToGrid/>
        <w:spacing w:line="380" w:lineRule="exact"/>
        <w:ind w:left="840" w:leftChars="400" w:firstLine="0" w:firstLineChars="0"/>
        <w:textAlignment w:val="auto"/>
        <w:rPr>
          <w:rFonts w:ascii="宋体" w:hAnsi="宋体" w:cs="宋体"/>
          <w:b/>
          <w:color w:val="auto"/>
          <w:szCs w:val="21"/>
          <w:highlight w:val="none"/>
        </w:rPr>
      </w:pPr>
      <w:r>
        <w:rPr>
          <w:rFonts w:hint="eastAsia" w:ascii="宋体" w:hAnsi="宋体" w:cs="宋体"/>
          <w:b/>
          <w:color w:val="auto"/>
          <w:szCs w:val="21"/>
          <w:highlight w:val="none"/>
        </w:rPr>
        <w:t>七、其他补充事宜</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1.本项目无须缴纳磋商保证金。</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3.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4.本项目需要落实的政府采购政策：</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5.信息公告发布媒体：http://www.ccgp.gov.cn（中国政府采购网）、 http://zfcg.gxzf.gov.cn（广西壮族自治区政府采购网）、http://zfcg.</w:t>
      </w:r>
      <w:r>
        <w:rPr>
          <w:rFonts w:hint="eastAsia" w:ascii="宋体" w:hAnsi="宋体" w:cs="宋体"/>
          <w:bCs/>
          <w:color w:val="auto"/>
          <w:szCs w:val="21"/>
          <w:highlight w:val="none"/>
          <w:lang w:val="en-US" w:eastAsia="zh-CN"/>
        </w:rPr>
        <w:t>czj.guilin.</w:t>
      </w:r>
      <w:r>
        <w:rPr>
          <w:rFonts w:hint="eastAsia" w:ascii="宋体" w:hAnsi="宋体" w:cs="宋体"/>
          <w:bCs/>
          <w:color w:val="auto"/>
          <w:szCs w:val="21"/>
          <w:highlight w:val="none"/>
        </w:rPr>
        <w:t>gov.cn/（桂林市政府采购网）、</w:t>
      </w:r>
      <w:r>
        <w:rPr>
          <w:color w:val="auto"/>
          <w:highlight w:val="none"/>
        </w:rPr>
        <w:fldChar w:fldCharType="begin"/>
      </w:r>
      <w:r>
        <w:rPr>
          <w:color w:val="auto"/>
          <w:highlight w:val="none"/>
        </w:rPr>
        <w:instrText xml:space="preserve"> HYPERLINK "http://glggzy.org.cn/" </w:instrText>
      </w:r>
      <w:r>
        <w:rPr>
          <w:color w:val="auto"/>
          <w:highlight w:val="none"/>
        </w:rPr>
        <w:fldChar w:fldCharType="separate"/>
      </w:r>
      <w:r>
        <w:rPr>
          <w:rFonts w:hint="eastAsia" w:ascii="宋体" w:hAnsi="宋体" w:cs="宋体"/>
          <w:bCs/>
          <w:color w:val="auto"/>
          <w:szCs w:val="21"/>
          <w:highlight w:val="none"/>
        </w:rPr>
        <w:t>http://glggzy.org.cn</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（桂林市公共资源交易中心）、http://www.kwbid.com.cn（广西科文招标有限公司网)。</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 6.磋商供应商在递交响应文件时，必须同时递交响应文件电子版，否则，磋商无效。</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（1）响应文件电子版内容：磋商报价表（包括服务的名称、数量、单价），服务承诺，售后服务承诺书。</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（2）响应文件电子版份数：1份。</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（3）响应文件电子版形式：可编辑的word文档格式。</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（4）响应文件电子版密封方式：响应文件电子版U盘或光盘与纸质版投标文件一并装入响应文件袋中。</w:t>
      </w:r>
    </w:p>
    <w:p>
      <w:pPr>
        <w:keepNext w:val="0"/>
        <w:keepLines w:val="0"/>
        <w:pageBreakBefore w:val="0"/>
        <w:widowControl w:val="0"/>
        <w:kinsoku/>
        <w:wordWrap/>
        <w:overflowPunct/>
        <w:topLinePunct w:val="0"/>
        <w:autoSpaceDE/>
        <w:autoSpaceDN/>
        <w:bidi w:val="0"/>
        <w:adjustRightInd/>
        <w:snapToGrid/>
        <w:spacing w:line="380" w:lineRule="exact"/>
        <w:ind w:left="840" w:leftChars="400" w:firstLine="0" w:firstLineChars="0"/>
        <w:textAlignment w:val="auto"/>
        <w:rPr>
          <w:rFonts w:ascii="宋体" w:hAnsi="宋体" w:cs="宋体"/>
          <w:b/>
          <w:color w:val="auto"/>
          <w:szCs w:val="21"/>
          <w:highlight w:val="none"/>
        </w:rPr>
      </w:pPr>
      <w:bookmarkStart w:id="14" w:name="_Toc35393805"/>
      <w:bookmarkStart w:id="15" w:name="_Toc28359018"/>
      <w:bookmarkStart w:id="16" w:name="_Toc28359095"/>
      <w:bookmarkStart w:id="17" w:name="_Toc35393636"/>
      <w:r>
        <w:rPr>
          <w:rFonts w:hint="eastAsia" w:ascii="宋体" w:hAnsi="宋体" w:cs="宋体"/>
          <w:b/>
          <w:color w:val="auto"/>
          <w:szCs w:val="21"/>
          <w:highlight w:val="none"/>
        </w:rPr>
        <w:t>八、凡对本次采购提出询问，请按以下方式联系</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 xml:space="preserve">    名称：</w:t>
      </w:r>
      <w:r>
        <w:rPr>
          <w:rFonts w:hint="eastAsia" w:ascii="宋体" w:hAnsi="宋体" w:cs="宋体"/>
          <w:color w:val="auto"/>
          <w:szCs w:val="21"/>
          <w:highlight w:val="none"/>
          <w:lang w:eastAsia="zh-CN"/>
        </w:rPr>
        <w:t>灌阳县人民医院</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    地址：</w:t>
      </w:r>
      <w:r>
        <w:rPr>
          <w:rFonts w:hint="eastAsia" w:ascii="宋体" w:hAnsi="宋体" w:cs="宋体"/>
          <w:color w:val="auto"/>
          <w:szCs w:val="21"/>
          <w:highlight w:val="none"/>
          <w:lang w:eastAsia="zh-CN"/>
        </w:rPr>
        <w:t>灌阳县</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 xml:space="preserve">    联系方式：</w:t>
      </w:r>
      <w:r>
        <w:rPr>
          <w:rFonts w:hint="eastAsia" w:ascii="宋体" w:hAnsi="宋体" w:cs="宋体"/>
          <w:color w:val="auto"/>
          <w:highlight w:val="none"/>
        </w:rPr>
        <w:t>蒋本超</w:t>
      </w:r>
      <w:r>
        <w:rPr>
          <w:rFonts w:hint="eastAsia" w:ascii="宋体" w:hAnsi="宋体" w:cs="宋体"/>
          <w:bCs/>
          <w:color w:val="auto"/>
          <w:szCs w:val="21"/>
          <w:highlight w:val="none"/>
        </w:rPr>
        <w:t>，</w:t>
      </w:r>
      <w:r>
        <w:rPr>
          <w:rFonts w:hint="eastAsia" w:ascii="宋体" w:hAnsi="宋体"/>
          <w:color w:val="auto"/>
          <w:szCs w:val="21"/>
          <w:highlight w:val="none"/>
        </w:rPr>
        <w:t>0773-</w:t>
      </w:r>
      <w:r>
        <w:rPr>
          <w:rFonts w:hint="eastAsia" w:ascii="宋体" w:hAnsi="宋体"/>
          <w:color w:val="auto"/>
          <w:szCs w:val="21"/>
          <w:highlight w:val="none"/>
          <w:lang w:val="en-US" w:eastAsia="zh-CN"/>
        </w:rPr>
        <w:t>4253485</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840" w:firstLineChars="400"/>
        <w:textAlignment w:val="auto"/>
        <w:rPr>
          <w:rFonts w:ascii="宋体" w:hAnsi="宋体" w:cs="宋体"/>
          <w:bCs/>
          <w:color w:val="auto"/>
          <w:szCs w:val="21"/>
          <w:highlight w:val="none"/>
        </w:rPr>
      </w:pPr>
      <w:r>
        <w:rPr>
          <w:rFonts w:hint="eastAsia" w:ascii="宋体" w:hAnsi="宋体" w:cs="宋体"/>
          <w:bCs/>
          <w:color w:val="auto"/>
          <w:szCs w:val="21"/>
          <w:highlight w:val="none"/>
        </w:rPr>
        <w:t>名称：广西科文招标有限公司</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    地址：桂林市七星区穿山东路41号彰泰•天街V+国际中心1#楼八层802号</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 xml:space="preserve">    联系方式：潘虹，0773－89980</w:t>
      </w:r>
      <w:r>
        <w:rPr>
          <w:rFonts w:hint="eastAsia" w:ascii="宋体" w:hAnsi="宋体" w:cs="宋体"/>
          <w:bCs/>
          <w:color w:val="auto"/>
          <w:szCs w:val="21"/>
          <w:highlight w:val="none"/>
          <w:lang w:val="en-US" w:eastAsia="zh-CN"/>
        </w:rPr>
        <w:t>63</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textAlignment w:val="auto"/>
        <w:rPr>
          <w:rFonts w:ascii="宋体" w:hAnsi="宋体" w:cs="宋体"/>
          <w:bCs/>
          <w:color w:val="auto"/>
          <w:szCs w:val="21"/>
          <w:highlight w:val="none"/>
        </w:rPr>
      </w:pPr>
      <w:r>
        <w:rPr>
          <w:rFonts w:hint="eastAsia" w:ascii="宋体" w:hAnsi="宋体" w:cs="宋体"/>
          <w:bCs/>
          <w:color w:val="auto"/>
          <w:szCs w:val="21"/>
          <w:highlight w:val="none"/>
        </w:rPr>
        <w:t>3.项目联系方式</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840" w:firstLineChars="400"/>
        <w:textAlignment w:val="auto"/>
        <w:rPr>
          <w:rFonts w:ascii="宋体" w:hAnsi="宋体" w:cs="宋体"/>
          <w:bCs/>
          <w:color w:val="auto"/>
          <w:szCs w:val="21"/>
          <w:highlight w:val="none"/>
        </w:rPr>
      </w:pPr>
      <w:r>
        <w:rPr>
          <w:rFonts w:hint="eastAsia" w:ascii="宋体" w:hAnsi="宋体" w:cs="宋体"/>
          <w:bCs/>
          <w:color w:val="auto"/>
          <w:szCs w:val="21"/>
          <w:highlight w:val="none"/>
        </w:rPr>
        <w:t>项目联系人：潘虹</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840" w:firstLineChars="400"/>
        <w:textAlignment w:val="auto"/>
        <w:rPr>
          <w:rFonts w:ascii="宋体" w:hAnsi="宋体" w:cs="宋体"/>
          <w:bCs/>
          <w:color w:val="auto"/>
          <w:szCs w:val="21"/>
          <w:highlight w:val="none"/>
        </w:rPr>
      </w:pPr>
      <w:r>
        <w:rPr>
          <w:rFonts w:hint="eastAsia" w:ascii="宋体" w:hAnsi="宋体" w:cs="宋体"/>
          <w:bCs/>
          <w:color w:val="auto"/>
          <w:szCs w:val="21"/>
          <w:highlight w:val="none"/>
        </w:rPr>
        <w:t>联系电话：0773－89980</w:t>
      </w:r>
      <w:r>
        <w:rPr>
          <w:rFonts w:hint="eastAsia" w:ascii="宋体" w:hAnsi="宋体" w:cs="宋体"/>
          <w:bCs/>
          <w:color w:val="auto"/>
          <w:szCs w:val="21"/>
          <w:highlight w:val="none"/>
          <w:lang w:val="en-US" w:eastAsia="zh-CN"/>
        </w:rPr>
        <w:t>63</w:t>
      </w:r>
    </w:p>
    <w:p>
      <w:pPr>
        <w:keepNext w:val="0"/>
        <w:keepLines w:val="0"/>
        <w:pageBreakBefore w:val="0"/>
        <w:widowControl w:val="0"/>
        <w:kinsoku/>
        <w:wordWrap/>
        <w:overflowPunct/>
        <w:topLinePunct w:val="0"/>
        <w:autoSpaceDE/>
        <w:autoSpaceDN/>
        <w:bidi w:val="0"/>
        <w:adjustRightInd/>
        <w:snapToGrid/>
        <w:spacing w:line="360" w:lineRule="exact"/>
        <w:ind w:firstLine="7035" w:firstLineChars="335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7035" w:firstLineChars="3350"/>
        <w:textAlignment w:val="auto"/>
        <w:rPr>
          <w:rFonts w:ascii="宋体" w:hAnsi="宋体" w:cs="宋体"/>
          <w:color w:val="auto"/>
          <w:szCs w:val="21"/>
          <w:highlight w:val="none"/>
        </w:rPr>
      </w:pPr>
      <w:r>
        <w:rPr>
          <w:rFonts w:hint="eastAsia" w:ascii="宋体" w:hAnsi="宋体" w:cs="宋体"/>
          <w:color w:val="auto"/>
          <w:szCs w:val="21"/>
          <w:highlight w:val="none"/>
        </w:rPr>
        <w:t>广西科文招标有限公司</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eastAsia="Calibri" w:cs="宋体"/>
          <w:color w:val="auto"/>
          <w:szCs w:val="21"/>
          <w:highlight w:val="none"/>
        </w:rPr>
      </w:pPr>
      <w:r>
        <w:rPr>
          <w:rFonts w:hint="eastAsia" w:ascii="宋体" w:hAnsi="宋体" w:cs="宋体"/>
          <w:color w:val="auto"/>
          <w:szCs w:val="21"/>
          <w:highlight w:val="none"/>
        </w:rPr>
        <w:t xml:space="preserve">                                                                  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p>
    <w:p>
      <w:pPr>
        <w:ind w:firstLine="420"/>
        <w:rPr>
          <w:color w:val="auto"/>
          <w:highlight w:val="none"/>
        </w:rPr>
      </w:pPr>
    </w:p>
    <w:p>
      <w:pPr>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第二章    磋商供应商须知及前附表</w:t>
      </w:r>
    </w:p>
    <w:p>
      <w:pPr>
        <w:tabs>
          <w:tab w:val="left" w:pos="1065"/>
          <w:tab w:val="center" w:pos="4411"/>
        </w:tabs>
        <w:spacing w:line="440" w:lineRule="atLeast"/>
        <w:ind w:firstLine="482"/>
        <w:jc w:val="center"/>
        <w:rPr>
          <w:rFonts w:ascii="宋体" w:hAnsi="宋体"/>
          <w:b/>
          <w:color w:val="auto"/>
          <w:sz w:val="24"/>
          <w:highlight w:val="none"/>
        </w:rPr>
      </w:pPr>
      <w:r>
        <w:rPr>
          <w:rFonts w:hint="eastAsia" w:ascii="宋体" w:hAnsi="宋体"/>
          <w:b/>
          <w:color w:val="auto"/>
          <w:sz w:val="24"/>
          <w:highlight w:val="none"/>
        </w:rPr>
        <w:t>磋商供应商须知前附表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1"/>
        <w:gridCol w:w="213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6" w:type="dxa"/>
            <w:vAlign w:val="center"/>
          </w:tcPr>
          <w:p>
            <w:pPr>
              <w:spacing w:before="0" w:after="0"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序号</w:t>
            </w:r>
          </w:p>
        </w:tc>
        <w:tc>
          <w:tcPr>
            <w:tcW w:w="991" w:type="dxa"/>
            <w:vAlign w:val="center"/>
          </w:tcPr>
          <w:p>
            <w:pPr>
              <w:spacing w:before="0" w:after="0" w:line="360" w:lineRule="exact"/>
              <w:ind w:firstLine="0" w:firstLineChars="0"/>
              <w:rPr>
                <w:rFonts w:ascii="宋体" w:hAnsi="宋体" w:cs="宋体"/>
                <w:color w:val="auto"/>
                <w:sz w:val="24"/>
                <w:highlight w:val="none"/>
              </w:rPr>
            </w:pPr>
            <w:r>
              <w:rPr>
                <w:rFonts w:hint="eastAsia" w:ascii="宋体" w:hAnsi="宋体" w:cs="宋体"/>
                <w:color w:val="auto"/>
                <w:sz w:val="24"/>
                <w:highlight w:val="none"/>
              </w:rPr>
              <w:t>条款号</w:t>
            </w:r>
          </w:p>
        </w:tc>
        <w:tc>
          <w:tcPr>
            <w:tcW w:w="2130" w:type="dxa"/>
            <w:vAlign w:val="center"/>
          </w:tcPr>
          <w:p>
            <w:pPr>
              <w:spacing w:before="0" w:after="0" w:line="360" w:lineRule="exact"/>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条款名称</w:t>
            </w:r>
          </w:p>
        </w:tc>
        <w:tc>
          <w:tcPr>
            <w:tcW w:w="6283" w:type="dxa"/>
            <w:vAlign w:val="center"/>
          </w:tcPr>
          <w:p>
            <w:pPr>
              <w:spacing w:before="0" w:after="0" w:line="360" w:lineRule="exact"/>
              <w:ind w:firstLine="480" w:firstLineChars="0"/>
              <w:jc w:val="center"/>
              <w:rPr>
                <w:rFonts w:ascii="宋体" w:hAnsi="宋体" w:cs="宋体"/>
                <w:color w:val="auto"/>
                <w:sz w:val="24"/>
                <w:highlight w:val="none"/>
              </w:rPr>
            </w:pPr>
            <w:r>
              <w:rPr>
                <w:rFonts w:hint="eastAsia" w:ascii="宋体" w:hAnsi="宋体" w:cs="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6" w:type="dxa"/>
            <w:vAlign w:val="center"/>
          </w:tcPr>
          <w:p>
            <w:pPr>
              <w:spacing w:before="0" w:after="0" w:line="400" w:lineRule="exact"/>
              <w:ind w:firstLineChars="0"/>
              <w:rPr>
                <w:rFonts w:ascii="宋体" w:hAnsi="宋体" w:cs="宋体"/>
                <w:color w:val="auto"/>
                <w:szCs w:val="21"/>
                <w:highlight w:val="none"/>
              </w:rPr>
            </w:pPr>
            <w:r>
              <w:rPr>
                <w:rFonts w:hint="eastAsia" w:ascii="宋体" w:hAnsi="宋体" w:cs="宋体"/>
                <w:color w:val="auto"/>
                <w:szCs w:val="21"/>
                <w:highlight w:val="none"/>
              </w:rPr>
              <w:t>1</w:t>
            </w:r>
          </w:p>
        </w:tc>
        <w:tc>
          <w:tcPr>
            <w:tcW w:w="991" w:type="dxa"/>
            <w:vAlign w:val="center"/>
          </w:tcPr>
          <w:p>
            <w:pPr>
              <w:spacing w:before="0" w:after="0" w:line="360" w:lineRule="exact"/>
              <w:ind w:firstLineChars="0"/>
              <w:rPr>
                <w:rFonts w:ascii="宋体" w:hAnsi="宋体" w:cs="宋体"/>
                <w:color w:val="auto"/>
                <w:szCs w:val="21"/>
                <w:highlight w:val="none"/>
              </w:rPr>
            </w:pPr>
            <w:r>
              <w:rPr>
                <w:rFonts w:hint="eastAsia" w:ascii="宋体" w:hAnsi="宋体" w:cs="宋体"/>
                <w:color w:val="auto"/>
                <w:szCs w:val="21"/>
                <w:highlight w:val="none"/>
              </w:rPr>
              <w:t>1.1</w:t>
            </w:r>
          </w:p>
        </w:tc>
        <w:tc>
          <w:tcPr>
            <w:tcW w:w="2130" w:type="dxa"/>
            <w:vAlign w:val="center"/>
          </w:tcPr>
          <w:p>
            <w:pPr>
              <w:spacing w:before="0" w:after="0" w:line="36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6283" w:type="dxa"/>
          </w:tcPr>
          <w:p>
            <w:pPr>
              <w:spacing w:before="0" w:after="0" w:line="400" w:lineRule="exact"/>
              <w:ind w:firstLine="0" w:firstLineChars="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病房服务交互系统采购</w:t>
            </w:r>
          </w:p>
          <w:p>
            <w:pPr>
              <w:spacing w:before="0" w:after="0" w:line="400" w:lineRule="exact"/>
              <w:ind w:firstLine="0" w:firstLineChars="0"/>
              <w:rPr>
                <w:rFonts w:hint="eastAsia" w:ascii="宋体" w:hAnsi="宋体" w:eastAsia="宋体" w:cs="宋体"/>
                <w:color w:val="auto"/>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GLZC2020-C3-270044-KWZB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color w:val="auto"/>
                <w:szCs w:val="21"/>
                <w:highlight w:val="none"/>
              </w:rPr>
            </w:pPr>
            <w:r>
              <w:rPr>
                <w:rFonts w:hint="eastAsia" w:ascii="宋体" w:hAnsi="宋体" w:cs="宋体"/>
                <w:color w:val="auto"/>
                <w:szCs w:val="21"/>
                <w:highlight w:val="none"/>
              </w:rPr>
              <w:t>2</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供应商资格</w:t>
            </w:r>
          </w:p>
        </w:tc>
        <w:tc>
          <w:tcPr>
            <w:tcW w:w="6283" w:type="dxa"/>
            <w:vAlign w:val="center"/>
          </w:tcPr>
          <w:p>
            <w:pPr>
              <w:spacing w:before="0" w:after="0" w:line="400" w:lineRule="exact"/>
              <w:ind w:firstLine="0" w:firstLineChars="0"/>
              <w:rPr>
                <w:rFonts w:ascii="宋体" w:hAnsi="宋体" w:cs="宋体"/>
                <w:color w:val="auto"/>
                <w:highlight w:val="none"/>
              </w:rPr>
            </w:pPr>
            <w:r>
              <w:rPr>
                <w:rFonts w:hint="eastAsia" w:ascii="宋体" w:hAnsi="宋体" w:cs="宋体"/>
                <w:color w:val="auto"/>
                <w:highlight w:val="none"/>
              </w:rPr>
              <w:t>3.1 满足《中华人民共和国政府采购法》第二十二条规定。</w:t>
            </w:r>
          </w:p>
          <w:p>
            <w:pPr>
              <w:spacing w:before="0" w:after="0" w:line="400" w:lineRule="exact"/>
              <w:ind w:firstLine="0" w:firstLineChars="0"/>
              <w:rPr>
                <w:rFonts w:ascii="宋体" w:hAnsi="宋体" w:cs="宋体"/>
                <w:color w:val="auto"/>
                <w:highlight w:val="none"/>
              </w:rPr>
            </w:pPr>
            <w:r>
              <w:rPr>
                <w:rFonts w:hint="eastAsia" w:ascii="宋体" w:hAnsi="宋体" w:cs="宋体"/>
                <w:color w:val="auto"/>
                <w:highlight w:val="none"/>
              </w:rPr>
              <w:t>3.2 落实政府采购政策需满足的资格要求：无。</w:t>
            </w:r>
          </w:p>
          <w:p>
            <w:pPr>
              <w:spacing w:before="0" w:after="0" w:line="400" w:lineRule="exact"/>
              <w:ind w:firstLine="0" w:firstLineChars="0"/>
              <w:rPr>
                <w:rFonts w:ascii="宋体" w:hAnsi="宋体" w:cs="宋体"/>
                <w:color w:val="auto"/>
                <w:highlight w:val="none"/>
              </w:rPr>
            </w:pPr>
            <w:r>
              <w:rPr>
                <w:rFonts w:hint="eastAsia" w:ascii="宋体" w:hAnsi="宋体" w:cs="宋体"/>
                <w:color w:val="auto"/>
                <w:highlight w:val="none"/>
              </w:rPr>
              <w:t>3.3 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before="0" w:after="0" w:line="400" w:lineRule="exact"/>
              <w:ind w:firstLineChars="0"/>
              <w:rPr>
                <w:rFonts w:ascii="宋体" w:hAnsi="宋体" w:cs="宋体"/>
                <w:color w:val="auto"/>
                <w:szCs w:val="21"/>
                <w:highlight w:val="none"/>
              </w:rPr>
            </w:pPr>
            <w:r>
              <w:rPr>
                <w:rFonts w:hint="eastAsia" w:ascii="宋体" w:hAnsi="宋体" w:cs="宋体"/>
                <w:color w:val="auto"/>
                <w:szCs w:val="21"/>
                <w:highlight w:val="none"/>
              </w:rPr>
              <w:t>3</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4</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磋商费用</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不论</w:t>
            </w:r>
            <w:r>
              <w:rPr>
                <w:rFonts w:hint="eastAsia" w:ascii="宋体" w:hAnsi="宋体" w:cs="宋体"/>
                <w:color w:val="auto"/>
                <w:highlight w:val="none"/>
              </w:rPr>
              <w:t>磋商</w:t>
            </w:r>
            <w:r>
              <w:rPr>
                <w:rFonts w:hint="eastAsia" w:ascii="宋体" w:hAnsi="宋体" w:cs="宋体"/>
                <w:color w:val="auto"/>
                <w:szCs w:val="21"/>
                <w:highlight w:val="none"/>
              </w:rPr>
              <w:t>结果如何，供应商均应自行承担所有与</w:t>
            </w:r>
            <w:r>
              <w:rPr>
                <w:rFonts w:hint="eastAsia" w:ascii="宋体" w:hAnsi="宋体" w:cs="宋体"/>
                <w:color w:val="auto"/>
                <w:highlight w:val="none"/>
              </w:rPr>
              <w:t>磋商</w:t>
            </w:r>
            <w:r>
              <w:rPr>
                <w:rFonts w:hint="eastAsia" w:ascii="宋体" w:hAnsi="宋体" w:cs="宋体"/>
                <w:color w:val="auto"/>
                <w:szCs w:val="21"/>
                <w:highlight w:val="none"/>
              </w:rPr>
              <w:t xml:space="preserve">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color w:val="auto"/>
                <w:szCs w:val="21"/>
                <w:highlight w:val="none"/>
              </w:rPr>
            </w:pPr>
            <w:r>
              <w:rPr>
                <w:rFonts w:hint="eastAsia" w:ascii="宋体" w:hAnsi="宋体" w:cs="宋体"/>
                <w:color w:val="auto"/>
                <w:szCs w:val="21"/>
                <w:highlight w:val="none"/>
              </w:rPr>
              <w:t>4</w:t>
            </w:r>
          </w:p>
        </w:tc>
        <w:tc>
          <w:tcPr>
            <w:tcW w:w="991"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13</w:t>
            </w:r>
          </w:p>
        </w:tc>
        <w:tc>
          <w:tcPr>
            <w:tcW w:w="2130"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szCs w:val="21"/>
                <w:highlight w:val="none"/>
              </w:rPr>
              <w:t>磋商报价及</w:t>
            </w:r>
            <w:r>
              <w:rPr>
                <w:rFonts w:hint="eastAsia" w:ascii="宋体" w:hAnsi="宋体" w:cs="宋体"/>
                <w:color w:val="auto"/>
                <w:position w:val="-2"/>
                <w:szCs w:val="21"/>
                <w:highlight w:val="none"/>
              </w:rPr>
              <w:t>采购预算总金额</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olor w:val="auto"/>
                <w:highlight w:val="none"/>
              </w:rPr>
              <w:t>采购项目</w:t>
            </w:r>
            <w:r>
              <w:rPr>
                <w:rFonts w:hint="eastAsia" w:ascii="宋体" w:hAnsi="宋体" w:cs="宋体"/>
                <w:color w:val="auto"/>
                <w:szCs w:val="21"/>
                <w:highlight w:val="none"/>
              </w:rPr>
              <w:t>预算金额（人民币）：</w:t>
            </w:r>
            <w:r>
              <w:rPr>
                <w:rFonts w:hint="eastAsia" w:ascii="宋体" w:hAnsi="宋体" w:cs="宋体"/>
                <w:color w:val="auto"/>
                <w:szCs w:val="21"/>
                <w:highlight w:val="none"/>
                <w:lang w:eastAsia="zh-CN"/>
              </w:rPr>
              <w:t>46.80</w:t>
            </w:r>
            <w:r>
              <w:rPr>
                <w:rFonts w:hint="eastAsia" w:ascii="宋体" w:hAnsi="宋体" w:cs="宋体"/>
                <w:color w:val="auto"/>
                <w:szCs w:val="21"/>
                <w:highlight w:val="none"/>
              </w:rPr>
              <w:t>万。</w:t>
            </w:r>
          </w:p>
          <w:p>
            <w:pPr>
              <w:spacing w:before="0" w:after="0" w:line="40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报价</w:t>
            </w:r>
            <w:r>
              <w:rPr>
                <w:rFonts w:hint="eastAsia" w:ascii="宋体" w:hAnsi="宋体" w:cs="宋体"/>
                <w:color w:val="auto"/>
                <w:kern w:val="0"/>
                <w:szCs w:val="21"/>
                <w:highlight w:val="none"/>
              </w:rPr>
              <w:t>超</w:t>
            </w:r>
            <w:r>
              <w:rPr>
                <w:rFonts w:hint="eastAsia" w:ascii="宋体" w:hAnsi="宋体"/>
                <w:color w:val="auto"/>
                <w:kern w:val="0"/>
                <w:szCs w:val="21"/>
                <w:highlight w:val="none"/>
              </w:rPr>
              <w:t>过</w:t>
            </w:r>
            <w:r>
              <w:rPr>
                <w:rFonts w:hint="eastAsia" w:ascii="宋体" w:hAnsi="宋体" w:cs="宋体"/>
                <w:color w:val="auto"/>
                <w:kern w:val="0"/>
                <w:szCs w:val="21"/>
                <w:highlight w:val="none"/>
              </w:rPr>
              <w:t>采购预算金额的，响应文件按无效处理。</w:t>
            </w:r>
          </w:p>
          <w:p>
            <w:pPr>
              <w:spacing w:before="0" w:after="0" w:line="400" w:lineRule="exact"/>
              <w:ind w:firstLine="0" w:firstLineChars="0"/>
              <w:rPr>
                <w:rFonts w:ascii="宋体" w:hAnsi="宋体" w:cs="宋体"/>
                <w:color w:val="auto"/>
                <w:sz w:val="24"/>
                <w:highlight w:val="none"/>
              </w:rPr>
            </w:pPr>
            <w:r>
              <w:rPr>
                <w:rFonts w:hint="eastAsia" w:ascii="宋体" w:hAnsi="宋体" w:cs="宋体"/>
                <w:color w:val="auto"/>
                <w:szCs w:val="21"/>
                <w:highlight w:val="none"/>
              </w:rPr>
              <w:t>13.2供应商必须就“服务采购需求”中的所有服务内容作完整唯一报价，否则，其响应文件无效。响应文件只允许有一个报价，有选择的或有条件的报价将不予接受。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color w:val="auto"/>
                <w:szCs w:val="21"/>
                <w:highlight w:val="none"/>
              </w:rPr>
            </w:pPr>
            <w:r>
              <w:rPr>
                <w:rFonts w:hint="eastAsia" w:ascii="宋体" w:hAnsi="宋体" w:cs="宋体"/>
                <w:color w:val="auto"/>
                <w:szCs w:val="21"/>
                <w:highlight w:val="none"/>
              </w:rPr>
              <w:t>5</w:t>
            </w:r>
          </w:p>
        </w:tc>
        <w:tc>
          <w:tcPr>
            <w:tcW w:w="991"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2130"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6283" w:type="dxa"/>
          </w:tcPr>
          <w:p>
            <w:pPr>
              <w:tabs>
                <w:tab w:val="left" w:pos="1305"/>
              </w:tabs>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color w:val="auto"/>
                <w:szCs w:val="21"/>
                <w:highlight w:val="none"/>
              </w:rPr>
            </w:pPr>
            <w:r>
              <w:rPr>
                <w:rFonts w:hint="eastAsia" w:ascii="宋体" w:hAnsi="宋体" w:cs="宋体"/>
                <w:color w:val="auto"/>
                <w:szCs w:val="21"/>
                <w:highlight w:val="none"/>
              </w:rPr>
              <w:t>6</w:t>
            </w:r>
          </w:p>
        </w:tc>
        <w:tc>
          <w:tcPr>
            <w:tcW w:w="991"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2130"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保证金</w:t>
            </w:r>
          </w:p>
        </w:tc>
        <w:tc>
          <w:tcPr>
            <w:tcW w:w="6283" w:type="dxa"/>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本项目无须缴纳磋商保证金。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before="0" w:after="0" w:line="420" w:lineRule="exact"/>
              <w:ind w:firstLineChars="0"/>
              <w:rPr>
                <w:rFonts w:ascii="宋体" w:hAnsi="宋体" w:cs="宋体"/>
                <w:color w:val="auto"/>
                <w:szCs w:val="21"/>
                <w:highlight w:val="none"/>
              </w:rPr>
            </w:pPr>
            <w:r>
              <w:rPr>
                <w:rFonts w:hint="eastAsia" w:ascii="宋体" w:hAnsi="宋体" w:cs="宋体"/>
                <w:color w:val="auto"/>
                <w:szCs w:val="21"/>
                <w:highlight w:val="none"/>
              </w:rPr>
              <w:t>7</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16.1</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正本壹册，副本肆册，响应文件电子版U盘或光盘壹个，须完整提交（A4纸装订）。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20" w:lineRule="exact"/>
              <w:ind w:firstLineChars="0"/>
              <w:rPr>
                <w:rFonts w:ascii="宋体" w:hAnsi="宋体" w:cs="宋体"/>
                <w:color w:val="auto"/>
                <w:szCs w:val="21"/>
                <w:highlight w:val="none"/>
              </w:rPr>
            </w:pPr>
            <w:r>
              <w:rPr>
                <w:rFonts w:hint="eastAsia" w:ascii="宋体" w:hAnsi="宋体" w:cs="宋体"/>
                <w:color w:val="auto"/>
                <w:szCs w:val="21"/>
                <w:highlight w:val="none"/>
              </w:rPr>
              <w:t>8</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130" w:type="dxa"/>
            <w:vAlign w:val="center"/>
          </w:tcPr>
          <w:p>
            <w:pPr>
              <w:spacing w:before="0" w:after="0" w:line="360" w:lineRule="exact"/>
              <w:ind w:firstLine="0" w:firstLineChars="0"/>
              <w:jc w:val="center"/>
              <w:rPr>
                <w:rFonts w:ascii="宋体" w:hAnsi="宋体" w:cs="宋体"/>
                <w:color w:val="auto"/>
                <w:position w:val="10"/>
                <w:szCs w:val="21"/>
                <w:highlight w:val="none"/>
              </w:rPr>
            </w:pPr>
            <w:r>
              <w:rPr>
                <w:rFonts w:hint="eastAsia" w:ascii="宋体" w:hAnsi="宋体" w:cs="宋体"/>
                <w:color w:val="auto"/>
                <w:szCs w:val="21"/>
                <w:highlight w:val="none"/>
              </w:rPr>
              <w:t>响应文件装订要求</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360" w:lineRule="exact"/>
              <w:ind w:firstLineChars="0"/>
              <w:rPr>
                <w:rFonts w:ascii="宋体" w:hAnsi="宋体" w:cs="宋体"/>
                <w:color w:val="auto"/>
                <w:szCs w:val="21"/>
                <w:highlight w:val="none"/>
              </w:rPr>
            </w:pPr>
            <w:r>
              <w:rPr>
                <w:rFonts w:hint="eastAsia" w:ascii="宋体" w:hAnsi="宋体" w:cs="宋体"/>
                <w:color w:val="auto"/>
                <w:szCs w:val="21"/>
                <w:highlight w:val="none"/>
              </w:rPr>
              <w:t>9</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16.6</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响应文件包装、密封、标记</w:t>
            </w:r>
          </w:p>
        </w:tc>
        <w:tc>
          <w:tcPr>
            <w:tcW w:w="6283" w:type="dxa"/>
            <w:vAlign w:val="center"/>
          </w:tcPr>
          <w:p>
            <w:pPr>
              <w:snapToGrid w:val="0"/>
              <w:spacing w:before="0" w:after="0"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16.6.1响应文件包装、密封：供应商须将响应文件“正本”、“副本” 及响应文件电子版U盘或光盘一并装入一个响应文件袋（盒、箱）中密封，并在密封处密封签章【公章、密封章、法定代表人、负责人、自然人或相应的授权委托代理人签字均可】。</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16.6.2响应文件袋（盒、箱）标记：</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项目名称：</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项目编号：</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采购代理机构：</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供应商单位名称：</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在</w:t>
            </w:r>
            <w:r>
              <w:rPr>
                <w:rFonts w:ascii="宋体" w:hAnsi="宋体" w:cs="宋体"/>
                <w:color w:val="auto"/>
                <w:szCs w:val="21"/>
                <w:highlight w:val="none"/>
              </w:rPr>
              <w:t xml:space="preserve">    </w:t>
            </w:r>
            <w:r>
              <w:rPr>
                <w:rFonts w:hint="eastAsia" w:ascii="宋体" w:hAnsi="宋体" w:cs="宋体"/>
                <w:color w:val="auto"/>
                <w:szCs w:val="21"/>
                <w:highlight w:val="none"/>
              </w:rPr>
              <w:t>年 月  日  时 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16.7</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供应商公章</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本竞争性</w:t>
            </w:r>
            <w:r>
              <w:rPr>
                <w:rFonts w:hint="eastAsia" w:ascii="宋体" w:hAnsi="宋体" w:cs="宋体"/>
                <w:color w:val="auto"/>
                <w:highlight w:val="none"/>
              </w:rPr>
              <w:t>磋商</w:t>
            </w:r>
            <w:r>
              <w:rPr>
                <w:rFonts w:hint="eastAsia" w:ascii="宋体" w:hAnsi="宋体" w:cs="宋体"/>
                <w:color w:val="auto"/>
                <w:szCs w:val="21"/>
                <w:highlight w:val="none"/>
              </w:rPr>
              <w:t>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18.1</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响应文件递交起止时间</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b/>
                <w:color w:val="auto"/>
                <w:szCs w:val="21"/>
                <w:highlight w:val="none"/>
              </w:rPr>
              <w:t>响应文件递交起止时间：</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时至</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6"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12</w:t>
            </w:r>
          </w:p>
        </w:tc>
        <w:tc>
          <w:tcPr>
            <w:tcW w:w="991"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18.2</w:t>
            </w:r>
          </w:p>
        </w:tc>
        <w:tc>
          <w:tcPr>
            <w:tcW w:w="2130"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响应文件递交地点</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桂林市公共资源交易中心（临桂新区西城中路69号西辅楼四楼）</w:t>
            </w:r>
            <w:r>
              <w:rPr>
                <w:rFonts w:hint="eastAsia" w:ascii="宋体" w:hAnsi="宋体" w:cs="宋体"/>
                <w:color w:val="auto"/>
                <w:szCs w:val="21"/>
                <w:highlight w:val="none"/>
                <w:lang w:val="en-US" w:eastAsia="zh-CN"/>
              </w:rPr>
              <w:t>1号开标室</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13</w:t>
            </w:r>
          </w:p>
        </w:tc>
        <w:tc>
          <w:tcPr>
            <w:tcW w:w="991" w:type="dxa"/>
            <w:vAlign w:val="center"/>
          </w:tcPr>
          <w:p>
            <w:pPr>
              <w:spacing w:before="0" w:after="0" w:line="360" w:lineRule="exact"/>
              <w:ind w:firstLine="0" w:firstLineChars="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19.1</w:t>
            </w:r>
          </w:p>
        </w:tc>
        <w:tc>
          <w:tcPr>
            <w:tcW w:w="2130" w:type="dxa"/>
            <w:vAlign w:val="center"/>
          </w:tcPr>
          <w:p>
            <w:pPr>
              <w:spacing w:before="0" w:after="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highlight w:val="none"/>
              </w:rPr>
              <w:t>磋商</w:t>
            </w:r>
            <w:r>
              <w:rPr>
                <w:rFonts w:hint="eastAsia" w:ascii="宋体" w:hAnsi="宋体" w:cs="宋体"/>
                <w:color w:val="auto"/>
                <w:szCs w:val="21"/>
                <w:highlight w:val="none"/>
              </w:rPr>
              <w:t>小组由采购人代表和有关方面的专家组成，共</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14</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19.2</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磋商时间、地点、人员</w:t>
            </w:r>
          </w:p>
        </w:tc>
        <w:tc>
          <w:tcPr>
            <w:tcW w:w="6283" w:type="dxa"/>
          </w:tcPr>
          <w:p>
            <w:pPr>
              <w:spacing w:before="0" w:after="0"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19.2.1</w:t>
            </w:r>
            <w:r>
              <w:rPr>
                <w:rFonts w:hint="eastAsia" w:ascii="宋体" w:hAnsi="宋体" w:cs="宋体"/>
                <w:color w:val="auto"/>
                <w:highlight w:val="none"/>
              </w:rPr>
              <w:t>磋商</w:t>
            </w:r>
            <w:r>
              <w:rPr>
                <w:rFonts w:hint="eastAsia" w:ascii="宋体" w:hAnsi="宋体" w:cs="宋体"/>
                <w:color w:val="auto"/>
                <w:szCs w:val="21"/>
                <w:highlight w:val="none"/>
              </w:rPr>
              <w:t>时间：响应文件递交截止时间后。</w:t>
            </w:r>
          </w:p>
          <w:p>
            <w:pPr>
              <w:spacing w:before="0" w:after="0"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19.2.2</w:t>
            </w:r>
            <w:r>
              <w:rPr>
                <w:rFonts w:hint="eastAsia" w:ascii="宋体" w:hAnsi="宋体" w:cs="宋体"/>
                <w:color w:val="auto"/>
                <w:highlight w:val="none"/>
              </w:rPr>
              <w:t>磋商</w:t>
            </w:r>
            <w:r>
              <w:rPr>
                <w:rFonts w:hint="eastAsia" w:ascii="宋体" w:hAnsi="宋体" w:cs="宋体"/>
                <w:color w:val="auto"/>
                <w:szCs w:val="21"/>
                <w:highlight w:val="none"/>
              </w:rPr>
              <w:t>地点：桂林市公共资源交易中心（临桂新区西城中路</w:t>
            </w:r>
          </w:p>
          <w:p>
            <w:pPr>
              <w:spacing w:before="0" w:after="0" w:line="400" w:lineRule="exact"/>
              <w:ind w:firstLine="11" w:firstLineChars="0"/>
              <w:rPr>
                <w:rFonts w:ascii="宋体" w:hAnsi="宋体" w:cs="宋体"/>
                <w:color w:val="auto"/>
                <w:szCs w:val="21"/>
                <w:highlight w:val="none"/>
              </w:rPr>
            </w:pPr>
            <w:r>
              <w:rPr>
                <w:rFonts w:hint="eastAsia" w:ascii="宋体" w:hAnsi="宋体" w:cs="宋体"/>
                <w:color w:val="auto"/>
                <w:szCs w:val="21"/>
                <w:highlight w:val="none"/>
              </w:rPr>
              <w:t>69号西辅楼四楼）。</w:t>
            </w:r>
          </w:p>
          <w:p>
            <w:pPr>
              <w:spacing w:before="0" w:after="0"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19.2.3</w:t>
            </w:r>
            <w:r>
              <w:rPr>
                <w:rFonts w:hint="eastAsia" w:ascii="宋体" w:hAnsi="宋体" w:cs="宋体"/>
                <w:color w:val="auto"/>
                <w:highlight w:val="none"/>
              </w:rPr>
              <w:t>磋商</w:t>
            </w:r>
            <w:r>
              <w:rPr>
                <w:rFonts w:hint="eastAsia" w:ascii="宋体" w:hAnsi="宋体" w:cs="宋体"/>
                <w:color w:val="auto"/>
                <w:szCs w:val="21"/>
                <w:highlight w:val="none"/>
              </w:rPr>
              <w:t>参加人员：供应商法定代表人、负责人、自然人或相</w:t>
            </w:r>
          </w:p>
          <w:p>
            <w:pPr>
              <w:spacing w:before="0" w:after="0"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应的委托代理人持有效身份证原件参加磋商。请供应商按时到达</w:t>
            </w:r>
          </w:p>
          <w:p>
            <w:pPr>
              <w:spacing w:before="0" w:after="0"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指定地点等候当面</w:t>
            </w:r>
            <w:r>
              <w:rPr>
                <w:rFonts w:hint="eastAsia" w:ascii="宋体" w:hAnsi="宋体" w:cs="宋体"/>
                <w:color w:val="auto"/>
                <w:highlight w:val="none"/>
              </w:rPr>
              <w:t>磋商</w:t>
            </w:r>
            <w:r>
              <w:rPr>
                <w:rFonts w:hint="eastAsia" w:ascii="宋体" w:hAnsi="宋体" w:cs="宋体"/>
                <w:color w:val="auto"/>
                <w:szCs w:val="21"/>
                <w:highlight w:val="none"/>
              </w:rPr>
              <w:t>。</w:t>
            </w:r>
          </w:p>
          <w:p>
            <w:pPr>
              <w:tabs>
                <w:tab w:val="left" w:pos="1140"/>
              </w:tabs>
              <w:spacing w:before="0" w:after="0" w:line="400" w:lineRule="exact"/>
              <w:ind w:firstLine="0" w:firstLineChars="0"/>
              <w:rPr>
                <w:rFonts w:ascii="宋体" w:hAnsi="宋体" w:cs="宋体"/>
                <w:b/>
                <w:color w:val="auto"/>
                <w:szCs w:val="21"/>
                <w:highlight w:val="none"/>
              </w:rPr>
            </w:pPr>
            <w:r>
              <w:rPr>
                <w:rFonts w:hint="eastAsia" w:ascii="宋体" w:hAnsi="宋体" w:cs="宋体"/>
                <w:color w:val="auto"/>
                <w:position w:val="-2"/>
                <w:szCs w:val="21"/>
                <w:highlight w:val="none"/>
              </w:rPr>
              <w:t>19.2.4响应文件递交</w:t>
            </w:r>
            <w:r>
              <w:rPr>
                <w:rFonts w:hint="eastAsia" w:ascii="宋体" w:hAnsi="宋体" w:cs="宋体"/>
                <w:color w:val="auto"/>
                <w:szCs w:val="21"/>
                <w:highlight w:val="none"/>
              </w:rPr>
              <w:t>截止时间后，由</w:t>
            </w:r>
            <w:r>
              <w:rPr>
                <w:rFonts w:hint="eastAsia" w:ascii="宋体" w:hAnsi="宋体" w:cs="宋体"/>
                <w:color w:val="auto"/>
                <w:highlight w:val="none"/>
              </w:rPr>
              <w:t>磋商</w:t>
            </w:r>
            <w:r>
              <w:rPr>
                <w:rFonts w:hint="eastAsia" w:ascii="宋体" w:hAnsi="宋体" w:cs="宋体"/>
                <w:color w:val="auto"/>
                <w:szCs w:val="21"/>
                <w:highlight w:val="none"/>
              </w:rPr>
              <w:t>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20.2</w:t>
            </w:r>
          </w:p>
        </w:tc>
        <w:tc>
          <w:tcPr>
            <w:tcW w:w="2130" w:type="dxa"/>
            <w:vAlign w:val="center"/>
          </w:tcPr>
          <w:p>
            <w:pPr>
              <w:spacing w:before="0" w:after="0" w:line="360" w:lineRule="exact"/>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评审办法</w:t>
            </w:r>
          </w:p>
        </w:tc>
        <w:tc>
          <w:tcPr>
            <w:tcW w:w="6283" w:type="dxa"/>
            <w:vAlign w:val="center"/>
          </w:tcPr>
          <w:p>
            <w:pPr>
              <w:tabs>
                <w:tab w:val="left" w:pos="1140"/>
              </w:tabs>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pPr>
              <w:spacing w:before="0" w:after="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w:t>
            </w:r>
          </w:p>
        </w:tc>
        <w:tc>
          <w:tcPr>
            <w:tcW w:w="991"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26</w:t>
            </w:r>
          </w:p>
        </w:tc>
        <w:tc>
          <w:tcPr>
            <w:tcW w:w="2130" w:type="dxa"/>
            <w:vAlign w:val="center"/>
          </w:tcPr>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成交公告</w:t>
            </w:r>
          </w:p>
          <w:p>
            <w:pPr>
              <w:spacing w:before="0" w:after="0"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及成交通知书</w:t>
            </w:r>
          </w:p>
        </w:tc>
        <w:tc>
          <w:tcPr>
            <w:tcW w:w="6283" w:type="dxa"/>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26.1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26.2在发布成交公告的同时，采购代理机构向成交供应商发出成交通知书。如成交供应商自接到通知之日起七个工作日内，不办理成交通知书领取手续的，按违约处理。采购单位将取消其成交资格，成交供应商所有</w:t>
            </w:r>
            <w:r>
              <w:rPr>
                <w:rFonts w:hint="eastAsia" w:ascii="宋体" w:hAnsi="宋体" w:cs="宋体"/>
                <w:color w:val="auto"/>
                <w:highlight w:val="none"/>
              </w:rPr>
              <w:t>磋商</w:t>
            </w:r>
            <w:r>
              <w:rPr>
                <w:rFonts w:hint="eastAsia" w:ascii="宋体" w:hAnsi="宋体" w:cs="宋体"/>
                <w:color w:val="auto"/>
                <w:szCs w:val="21"/>
                <w:highlight w:val="none"/>
              </w:rPr>
              <w:t>的全部保证金不予退还，从磋商小组推荐的成交候选供应商中按顺序重新确定成交供应商。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pPr>
              <w:spacing w:line="400" w:lineRule="exact"/>
              <w:ind w:firstLine="0" w:firstLineChars="0"/>
              <w:jc w:val="center"/>
              <w:rPr>
                <w:rFonts w:ascii="宋体" w:hAnsi="宋体"/>
                <w:color w:val="auto"/>
                <w:szCs w:val="21"/>
                <w:highlight w:val="none"/>
              </w:rPr>
            </w:pPr>
            <w:r>
              <w:rPr>
                <w:rFonts w:hint="eastAsia" w:ascii="宋体" w:hAnsi="宋体"/>
                <w:color w:val="auto"/>
                <w:szCs w:val="21"/>
                <w:highlight w:val="none"/>
              </w:rPr>
              <w:t>17</w:t>
            </w:r>
          </w:p>
        </w:tc>
        <w:tc>
          <w:tcPr>
            <w:tcW w:w="991" w:type="dxa"/>
            <w:vAlign w:val="center"/>
          </w:tcPr>
          <w:p>
            <w:pPr>
              <w:spacing w:line="400" w:lineRule="exact"/>
              <w:ind w:firstLine="0" w:firstLineChars="0"/>
              <w:jc w:val="center"/>
              <w:rPr>
                <w:rFonts w:ascii="宋体" w:hAnsi="宋体"/>
                <w:color w:val="auto"/>
                <w:szCs w:val="21"/>
                <w:highlight w:val="none"/>
              </w:rPr>
            </w:pPr>
            <w:r>
              <w:rPr>
                <w:rFonts w:hint="eastAsia" w:ascii="宋体" w:hAnsi="宋体"/>
                <w:color w:val="auto"/>
                <w:szCs w:val="21"/>
                <w:highlight w:val="none"/>
              </w:rPr>
              <w:t>27</w:t>
            </w:r>
          </w:p>
        </w:tc>
        <w:tc>
          <w:tcPr>
            <w:tcW w:w="2130" w:type="dxa"/>
            <w:vAlign w:val="center"/>
          </w:tcPr>
          <w:p>
            <w:pPr>
              <w:spacing w:line="400" w:lineRule="exact"/>
              <w:ind w:firstLine="0" w:firstLineChars="0"/>
              <w:jc w:val="center"/>
              <w:rPr>
                <w:rFonts w:ascii="宋体" w:hAnsi="宋体"/>
                <w:color w:val="auto"/>
                <w:szCs w:val="21"/>
                <w:highlight w:val="none"/>
              </w:rPr>
            </w:pPr>
            <w:r>
              <w:rPr>
                <w:rFonts w:hint="eastAsia" w:ascii="宋体" w:hAnsi="宋体"/>
                <w:color w:val="auto"/>
                <w:szCs w:val="21"/>
                <w:highlight w:val="none"/>
              </w:rPr>
              <w:t>信用查询</w:t>
            </w:r>
          </w:p>
        </w:tc>
        <w:tc>
          <w:tcPr>
            <w:tcW w:w="6283" w:type="dxa"/>
            <w:vAlign w:val="center"/>
          </w:tcPr>
          <w:p>
            <w:pPr>
              <w:autoSpaceDE w:val="0"/>
              <w:autoSpaceDN w:val="0"/>
              <w:snapToGrid w:val="0"/>
              <w:spacing w:line="400" w:lineRule="exact"/>
              <w:ind w:firstLine="0" w:firstLineChars="0"/>
              <w:jc w:val="lef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00" w:lineRule="exact"/>
              <w:ind w:firstLine="0" w:firstLineChars="0"/>
              <w:jc w:val="left"/>
              <w:textAlignment w:val="bottom"/>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pPr>
              <w:autoSpaceDE w:val="0"/>
              <w:autoSpaceDN w:val="0"/>
              <w:snapToGrid w:val="0"/>
              <w:spacing w:line="400" w:lineRule="exact"/>
              <w:ind w:firstLine="0" w:firstLineChars="0"/>
              <w:jc w:val="left"/>
              <w:textAlignment w:val="bottom"/>
              <w:rPr>
                <w:rFonts w:ascii="宋体" w:hAnsi="宋体" w:cs="宋体"/>
                <w:color w:val="auto"/>
                <w:szCs w:val="21"/>
                <w:highlight w:val="none"/>
              </w:rPr>
            </w:pPr>
            <w:r>
              <w:rPr>
                <w:rFonts w:hint="eastAsia" w:ascii="宋体" w:hAnsi="宋体" w:cs="宋体"/>
                <w:color w:val="auto"/>
                <w:szCs w:val="21"/>
                <w:highlight w:val="none"/>
              </w:rPr>
              <w:t>（2）查询截止时点：成交通知书发出前；</w:t>
            </w:r>
          </w:p>
          <w:p>
            <w:pPr>
              <w:autoSpaceDE w:val="0"/>
              <w:autoSpaceDN w:val="0"/>
              <w:snapToGrid w:val="0"/>
              <w:spacing w:line="400" w:lineRule="exact"/>
              <w:ind w:firstLine="0" w:firstLineChars="0"/>
              <w:jc w:val="left"/>
              <w:textAlignment w:val="bottom"/>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pPr>
              <w:pStyle w:val="70"/>
              <w:spacing w:line="400" w:lineRule="exact"/>
              <w:jc w:val="left"/>
              <w:rPr>
                <w:rFonts w:hAnsi="宋体" w:cs="宋体"/>
                <w:color w:val="auto"/>
                <w:szCs w:val="21"/>
                <w:highlight w:val="none"/>
              </w:rPr>
            </w:pPr>
            <w:r>
              <w:rPr>
                <w:rFonts w:hint="eastAsia" w:hAnsi="宋体" w:cs="宋体"/>
                <w:color w:val="auto"/>
                <w:szCs w:val="21"/>
                <w:highlight w:val="none"/>
              </w:rPr>
              <w:t>（4）信用信息使用规则：对在“信用中国”网站（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2"/>
                <w:rFonts w:hint="eastAsia" w:ascii="宋体" w:hAnsi="宋体" w:cs="宋体"/>
                <w:color w:val="auto"/>
                <w:sz w:val="21"/>
                <w:szCs w:val="21"/>
                <w:highlight w:val="none"/>
              </w:rPr>
              <w:t>www.creditchina.gov.cn</w:t>
            </w:r>
            <w:r>
              <w:rPr>
                <w:rStyle w:val="52"/>
                <w:rFonts w:hint="eastAsia" w:ascii="宋体" w:hAnsi="宋体" w:cs="宋体"/>
                <w:color w:val="auto"/>
                <w:sz w:val="21"/>
                <w:szCs w:val="21"/>
                <w:highlight w:val="none"/>
              </w:rPr>
              <w:fldChar w:fldCharType="end"/>
            </w:r>
            <w:r>
              <w:rPr>
                <w:rFonts w:hint="eastAsia"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2"/>
                <w:rFonts w:hint="eastAsia" w:ascii="宋体" w:hAnsi="宋体" w:cs="宋体"/>
                <w:color w:val="auto"/>
                <w:sz w:val="21"/>
                <w:szCs w:val="21"/>
                <w:highlight w:val="none"/>
              </w:rPr>
              <w:t>www.ccgp.gov.cn</w:t>
            </w:r>
            <w:r>
              <w:rPr>
                <w:rStyle w:val="52"/>
                <w:rFonts w:hint="eastAsia" w:ascii="宋体" w:hAnsi="宋体" w:cs="宋体"/>
                <w:color w:val="auto"/>
                <w:sz w:val="21"/>
                <w:szCs w:val="21"/>
                <w:highlight w:val="none"/>
              </w:rPr>
              <w:fldChar w:fldCharType="end"/>
            </w:r>
            <w:r>
              <w:rPr>
                <w:rFonts w:hint="eastAsia" w:hAnsi="宋体" w:cs="宋体"/>
                <w:color w:val="auto"/>
                <w:szCs w:val="21"/>
                <w:highlight w:val="none"/>
              </w:rPr>
              <w:t>）等渠道列入失信被执行人、重大税收违法案件当事人名单、政府采购严重违法失信行为记录名单及其他不符合《中华人民共和国政府采购法》第二十二条规定条件的供应商，取消其成交候选人资格。</w:t>
            </w:r>
          </w:p>
          <w:p>
            <w:pPr>
              <w:spacing w:line="400" w:lineRule="exact"/>
              <w:ind w:firstLine="0" w:firstLineChars="0"/>
              <w:jc w:val="left"/>
              <w:rPr>
                <w:rFonts w:ascii="宋体" w:hAnsi="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18</w:t>
            </w:r>
          </w:p>
        </w:tc>
        <w:tc>
          <w:tcPr>
            <w:tcW w:w="991"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28</w:t>
            </w:r>
          </w:p>
        </w:tc>
        <w:tc>
          <w:tcPr>
            <w:tcW w:w="2130"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283" w:type="dxa"/>
            <w:vAlign w:val="center"/>
          </w:tcPr>
          <w:p>
            <w:pPr>
              <w:spacing w:before="0" w:after="0" w:line="40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28.1履约保证金金额按成交价的5%（人民币，四舍五入到元）提供，由成交供应商在领取成交通知书前将履约保证金以转账、电汇形式缴入采购人指定账户。</w:t>
            </w:r>
          </w:p>
          <w:p>
            <w:pPr>
              <w:spacing w:before="0" w:after="0" w:line="40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 xml:space="preserve">账户名称：灌阳县人民医院 </w:t>
            </w:r>
          </w:p>
          <w:p>
            <w:pPr>
              <w:spacing w:before="0" w:after="0" w:line="40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 xml:space="preserve">开户银行：广西灌阳农村商业银行营业部  </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银行账号：325412010102728923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19</w:t>
            </w:r>
          </w:p>
        </w:tc>
        <w:tc>
          <w:tcPr>
            <w:tcW w:w="991"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29.1</w:t>
            </w:r>
          </w:p>
        </w:tc>
        <w:tc>
          <w:tcPr>
            <w:tcW w:w="2130"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283" w:type="dxa"/>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highlight w:val="none"/>
              </w:rPr>
              <w:t>成交通知书发出之日起</w:t>
            </w:r>
            <w:r>
              <w:rPr>
                <w:rFonts w:hint="eastAsia" w:ascii="宋体" w:hAnsi="宋体" w:cs="宋体"/>
                <w:color w:val="auto"/>
                <w:highlight w:val="none"/>
                <w:lang w:eastAsia="zh-CN"/>
              </w:rPr>
              <w:t>七个工作</w:t>
            </w:r>
            <w:r>
              <w:rPr>
                <w:rFonts w:hint="eastAsia" w:ascii="宋体" w:hAnsi="宋体" w:cs="宋体"/>
                <w:color w:val="auto"/>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20</w:t>
            </w:r>
          </w:p>
        </w:tc>
        <w:tc>
          <w:tcPr>
            <w:tcW w:w="991"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29.3</w:t>
            </w:r>
          </w:p>
        </w:tc>
        <w:tc>
          <w:tcPr>
            <w:tcW w:w="2130"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w:t>
            </w:r>
            <w:r>
              <w:rPr>
                <w:rFonts w:hint="eastAsia" w:ascii="宋体" w:hAnsi="宋体" w:cs="宋体"/>
                <w:color w:val="auto"/>
                <w:highlight w:val="none"/>
                <w:lang w:eastAsia="zh-CN"/>
              </w:rPr>
              <w:t>灌阳县政府采购管理办公室</w:t>
            </w:r>
            <w:r>
              <w:rPr>
                <w:rFonts w:hint="eastAsia" w:ascii="宋体" w:hAnsi="宋体" w:cs="宋体"/>
                <w:color w:val="auto"/>
                <w:highlight w:val="none"/>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21</w:t>
            </w:r>
          </w:p>
        </w:tc>
        <w:tc>
          <w:tcPr>
            <w:tcW w:w="991"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30</w:t>
            </w:r>
          </w:p>
        </w:tc>
        <w:tc>
          <w:tcPr>
            <w:tcW w:w="2130"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283" w:type="dxa"/>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highlight w:val="none"/>
              </w:rPr>
              <w:t>成交供应商领取成交通知书前，</w:t>
            </w:r>
            <w:r>
              <w:rPr>
                <w:rFonts w:hint="eastAsia" w:ascii="宋体" w:hAnsi="宋体" w:cs="宋体"/>
                <w:color w:val="auto"/>
                <w:szCs w:val="21"/>
                <w:highlight w:val="none"/>
              </w:rPr>
              <w:t>参照计价格[2002]1980号《招标代理服务收费管理暂行办法》服务类收费标准向</w:t>
            </w:r>
            <w:r>
              <w:rPr>
                <w:rFonts w:hint="eastAsia" w:ascii="宋体" w:hAnsi="宋体" w:cs="宋体"/>
                <w:color w:val="auto"/>
                <w:highlight w:val="none"/>
              </w:rPr>
              <w:t>广西科文招标有限公司一次性付清代理服务费。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23</w:t>
            </w:r>
          </w:p>
        </w:tc>
        <w:tc>
          <w:tcPr>
            <w:tcW w:w="991"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32</w:t>
            </w:r>
          </w:p>
        </w:tc>
        <w:tc>
          <w:tcPr>
            <w:tcW w:w="2130"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283" w:type="dxa"/>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6"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23</w:t>
            </w:r>
          </w:p>
        </w:tc>
        <w:tc>
          <w:tcPr>
            <w:tcW w:w="991"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33</w:t>
            </w:r>
          </w:p>
        </w:tc>
        <w:tc>
          <w:tcPr>
            <w:tcW w:w="2130" w:type="dxa"/>
            <w:vAlign w:val="center"/>
          </w:tcPr>
          <w:p>
            <w:pPr>
              <w:spacing w:before="0" w:after="0" w:line="40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6283" w:type="dxa"/>
            <w:vAlign w:val="center"/>
          </w:tcPr>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灌阳县政府采购管理办公室</w:t>
            </w:r>
            <w:r>
              <w:rPr>
                <w:rFonts w:hint="eastAsia" w:ascii="宋体" w:hAnsi="宋体" w:cs="宋体"/>
                <w:color w:val="auto"/>
                <w:szCs w:val="21"/>
                <w:highlight w:val="none"/>
              </w:rPr>
              <w:t xml:space="preserve"> </w:t>
            </w:r>
          </w:p>
        </w:tc>
      </w:tr>
    </w:tbl>
    <w:p>
      <w:pPr>
        <w:spacing w:before="0" w:after="0" w:line="380" w:lineRule="exact"/>
        <w:ind w:firstLine="0" w:firstLineChars="0"/>
        <w:jc w:val="center"/>
        <w:rPr>
          <w:rFonts w:ascii="宋体" w:hAnsi="宋体" w:cs="宋体"/>
          <w:b/>
          <w:color w:val="auto"/>
          <w:sz w:val="28"/>
          <w:szCs w:val="28"/>
          <w:highlight w:val="none"/>
        </w:rPr>
      </w:pPr>
    </w:p>
    <w:p>
      <w:pPr>
        <w:spacing w:before="0" w:after="0" w:line="380" w:lineRule="exact"/>
        <w:ind w:firstLine="0" w:firstLineChars="0"/>
        <w:jc w:val="cente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spacing w:before="0" w:after="0" w:line="380" w:lineRule="exact"/>
        <w:ind w:firstLine="0" w:firstLineChars="0"/>
        <w:jc w:val="center"/>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before="0" w:after="0"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1. 适应范围</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1.1  项目名称及项目编号</w:t>
      </w:r>
    </w:p>
    <w:p>
      <w:pPr>
        <w:spacing w:before="0" w:after="0" w:line="400" w:lineRule="exact"/>
        <w:ind w:firstLine="435"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项目名称：</w:t>
      </w:r>
      <w:r>
        <w:rPr>
          <w:rFonts w:hint="eastAsia" w:ascii="宋体" w:hAnsi="宋体" w:cs="宋体"/>
          <w:color w:val="auto"/>
          <w:szCs w:val="21"/>
          <w:highlight w:val="none"/>
          <w:lang w:eastAsia="zh-CN"/>
        </w:rPr>
        <w:t>病房服务交互系统采购</w:t>
      </w:r>
    </w:p>
    <w:p>
      <w:pPr>
        <w:spacing w:before="0" w:after="0" w:line="400" w:lineRule="exact"/>
        <w:ind w:firstLine="854" w:firstLineChars="407"/>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项目编号：</w:t>
      </w:r>
      <w:r>
        <w:rPr>
          <w:rFonts w:hint="eastAsia" w:ascii="宋体" w:hAnsi="宋体" w:cs="宋体"/>
          <w:color w:val="auto"/>
          <w:szCs w:val="21"/>
          <w:highlight w:val="none"/>
          <w:lang w:eastAsia="zh-CN"/>
        </w:rPr>
        <w:t>GLZC2020-C3-270044-KWZB</w:t>
      </w:r>
    </w:p>
    <w:p>
      <w:pPr>
        <w:spacing w:before="0" w:after="0"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1.2本竞争性磋商文件（以下简称磋商文件）适用于本磋商项目的磋商、评审、合同履约、验收、付款等行为（法律、法规另有规定的，从其规定）。</w:t>
      </w:r>
    </w:p>
    <w:p>
      <w:pPr>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2. 定义</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2.1“供应商”是指符合本次采购项目的供应商资格并提交响应文件、参加磋商的供应商。如果该供应商在本次磋商中成交，即成为“成交供应商”。</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2.2“货物”系指按磋商文件规定，供应商须向采购人提供的一切设备、保险、税金、备品备件、工具、手册及其它有关技术资料和材料。</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2.3“服务”系指按磋商文件规定，供应商须承担的安装、调试、技术协助、校准、培训、技术指导以及其他类似的义务。</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2.4“项目”系指供应商按磋商文件规定向采购人提供的货物和服务。</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2.5“书面形式”包括信函、传真、电报等。</w:t>
      </w:r>
    </w:p>
    <w:p>
      <w:pPr>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3. 供应商资格</w:t>
      </w:r>
    </w:p>
    <w:p>
      <w:pPr>
        <w:spacing w:before="0" w:after="0" w:line="400" w:lineRule="exact"/>
        <w:ind w:firstLine="435" w:firstLineChars="0"/>
        <w:rPr>
          <w:rFonts w:ascii="宋体" w:hAnsi="宋体" w:cs="宋体"/>
          <w:bCs/>
          <w:color w:val="auto"/>
          <w:szCs w:val="21"/>
          <w:highlight w:val="none"/>
        </w:rPr>
      </w:pPr>
      <w:r>
        <w:rPr>
          <w:rFonts w:hint="eastAsia" w:ascii="宋体" w:hAnsi="宋体" w:cs="宋体"/>
          <w:bCs/>
          <w:color w:val="auto"/>
          <w:szCs w:val="21"/>
          <w:highlight w:val="none"/>
        </w:rPr>
        <w:t>3.1 满足《中华人民共和国政府采购法》第二十二条规定；</w:t>
      </w:r>
    </w:p>
    <w:p>
      <w:pPr>
        <w:spacing w:before="0" w:after="0" w:line="400" w:lineRule="exact"/>
        <w:ind w:firstLine="435" w:firstLineChars="0"/>
        <w:rPr>
          <w:rFonts w:ascii="宋体" w:hAnsi="宋体" w:cs="宋体"/>
          <w:bCs/>
          <w:color w:val="auto"/>
          <w:szCs w:val="21"/>
          <w:highlight w:val="none"/>
        </w:rPr>
      </w:pPr>
      <w:r>
        <w:rPr>
          <w:rFonts w:hint="eastAsia" w:ascii="宋体" w:hAnsi="宋体" w:cs="宋体"/>
          <w:bCs/>
          <w:color w:val="auto"/>
          <w:szCs w:val="21"/>
          <w:highlight w:val="none"/>
        </w:rPr>
        <w:t>3.2 落实政府采购政策需满足的资格要求：无；</w:t>
      </w:r>
    </w:p>
    <w:p>
      <w:pPr>
        <w:spacing w:before="0" w:after="0" w:line="400" w:lineRule="exact"/>
        <w:ind w:firstLine="435" w:firstLineChars="0"/>
        <w:rPr>
          <w:rFonts w:ascii="宋体" w:hAnsi="宋体" w:cs="宋体"/>
          <w:bCs/>
          <w:color w:val="auto"/>
          <w:szCs w:val="21"/>
          <w:highlight w:val="none"/>
        </w:rPr>
      </w:pPr>
      <w:r>
        <w:rPr>
          <w:rFonts w:hint="eastAsia" w:ascii="宋体" w:hAnsi="宋体" w:cs="宋体"/>
          <w:bCs/>
          <w:color w:val="auto"/>
          <w:szCs w:val="21"/>
          <w:highlight w:val="none"/>
        </w:rPr>
        <w:t>3.3 本项目的特定资格要求：无。</w:t>
      </w:r>
    </w:p>
    <w:p>
      <w:pPr>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4. 磋商费用</w:t>
      </w:r>
    </w:p>
    <w:p>
      <w:pPr>
        <w:tabs>
          <w:tab w:val="left" w:pos="1635"/>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不论磋商结果如何，供应商均应自行承担所有与磋商有关的全部费用。</w:t>
      </w:r>
    </w:p>
    <w:p>
      <w:pPr>
        <w:numPr>
          <w:ilvl w:val="0"/>
          <w:numId w:val="5"/>
        </w:numPr>
        <w:tabs>
          <w:tab w:val="left" w:pos="1635"/>
        </w:tabs>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联合体要求</w:t>
      </w:r>
    </w:p>
    <w:p>
      <w:pPr>
        <w:tabs>
          <w:tab w:val="left" w:pos="1635"/>
        </w:tabs>
        <w:spacing w:before="0" w:after="0" w:line="400" w:lineRule="exact"/>
        <w:ind w:firstLine="0" w:firstLineChars="0"/>
        <w:rPr>
          <w:rFonts w:ascii="宋体" w:hAnsi="宋体" w:cs="宋体"/>
          <w:b/>
          <w:color w:val="auto"/>
          <w:szCs w:val="21"/>
          <w:highlight w:val="none"/>
        </w:rPr>
      </w:pPr>
      <w:r>
        <w:rPr>
          <w:rFonts w:hint="eastAsia" w:ascii="宋体" w:hAnsi="宋体" w:cs="宋体"/>
          <w:color w:val="auto"/>
          <w:highlight w:val="none"/>
        </w:rPr>
        <w:t xml:space="preserve">     本项目不接受联合体磋商。</w:t>
      </w:r>
    </w:p>
    <w:p>
      <w:pPr>
        <w:tabs>
          <w:tab w:val="left" w:pos="2190"/>
        </w:tabs>
        <w:spacing w:before="0" w:after="0"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6. 质疑和投诉</w:t>
      </w:r>
      <w:r>
        <w:rPr>
          <w:rFonts w:hint="eastAsia" w:ascii="宋体" w:hAnsi="宋体" w:cs="宋体"/>
          <w:b/>
          <w:color w:val="auto"/>
          <w:szCs w:val="21"/>
          <w:highlight w:val="none"/>
        </w:rPr>
        <w:tab/>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6.1供应商认为磋商文件使自己的合法权益受到损害的，应当在竞争性磋商文件购买之日起7个工作日内，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snapToGrid w:val="0"/>
        <w:spacing w:before="0" w:after="0" w:line="440" w:lineRule="exact"/>
        <w:ind w:firstLine="420"/>
        <w:rPr>
          <w:rFonts w:ascii="宋体" w:hAnsi="宋体"/>
          <w:color w:val="auto"/>
          <w:szCs w:val="20"/>
          <w:highlight w:val="none"/>
        </w:rPr>
      </w:pPr>
      <w:r>
        <w:rPr>
          <w:rFonts w:hint="eastAsia" w:ascii="宋体" w:hAnsi="宋体"/>
          <w:color w:val="auto"/>
          <w:szCs w:val="20"/>
          <w:highlight w:val="none"/>
        </w:rPr>
        <w:t>接收质疑函方式：以书面形式（原件）提交</w:t>
      </w:r>
    </w:p>
    <w:p>
      <w:pPr>
        <w:snapToGrid w:val="0"/>
        <w:spacing w:before="0" w:after="0" w:line="440" w:lineRule="exact"/>
        <w:ind w:firstLine="420"/>
        <w:rPr>
          <w:rFonts w:ascii="宋体" w:hAnsi="宋体"/>
          <w:color w:val="auto"/>
          <w:szCs w:val="20"/>
          <w:highlight w:val="none"/>
        </w:rPr>
      </w:pPr>
      <w:r>
        <w:rPr>
          <w:rFonts w:hint="eastAsia" w:ascii="宋体" w:hAnsi="宋体"/>
          <w:color w:val="auto"/>
          <w:szCs w:val="20"/>
          <w:highlight w:val="none"/>
        </w:rPr>
        <w:t>质疑联系人及联系方式：潘虹，联系电话：0773-8998063</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olor w:val="auto"/>
          <w:szCs w:val="20"/>
          <w:highlight w:val="none"/>
        </w:rPr>
        <w:t>通讯地址：桂林市七星区穿山东路41号彰泰•天街V+国际中心1#楼八层802号</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6.2供应商对采购代理机构的质疑答复不满意或者采购代理机构未在规定的时间内作出答复的，可以在答复期满后十五个工作日内向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灌阳县</w:t>
      </w:r>
      <w:r>
        <w:rPr>
          <w:rFonts w:hint="eastAsia" w:ascii="宋体" w:hAnsi="宋体" w:cs="宋体"/>
          <w:color w:val="auto"/>
          <w:szCs w:val="21"/>
          <w:highlight w:val="none"/>
        </w:rPr>
        <w:t>政府采购监督管理机构投诉。</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6.3质疑、投诉应当采用书面形式，质疑书、投诉书实行实名制，均应明确阐述磋商文件、磋商过程或成交结果中使自己合法权益受到损害的实质性内容，并提供必要的证明材料。</w:t>
      </w:r>
    </w:p>
    <w:p>
      <w:pPr>
        <w:tabs>
          <w:tab w:val="left" w:pos="2190"/>
        </w:tabs>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7. 转包与分包</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7.1 本项目不允许转包。</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7.2 本项目不可以分包。</w:t>
      </w:r>
    </w:p>
    <w:p>
      <w:pPr>
        <w:tabs>
          <w:tab w:val="left" w:pos="2190"/>
        </w:tabs>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8. 特别说明</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8.1关联供应商不得参加同一合同项下政府采购活动，否则响应文件将被视为无效：</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（1）单位负责人为同一人或者存在直接控股、管理关系的，不得参加同一合同项下的政府采购活动。</w:t>
      </w:r>
    </w:p>
    <w:p>
      <w:pPr>
        <w:tabs>
          <w:tab w:val="left" w:pos="2190"/>
        </w:tabs>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pPr>
        <w:tabs>
          <w:tab w:val="left" w:pos="2190"/>
        </w:tabs>
        <w:spacing w:before="0" w:after="0" w:line="400" w:lineRule="exact"/>
        <w:ind w:firstLine="435" w:firstLineChars="0"/>
        <w:rPr>
          <w:rFonts w:ascii="宋体" w:hAnsi="宋体"/>
          <w:color w:val="auto"/>
          <w:szCs w:val="21"/>
          <w:highlight w:val="none"/>
        </w:rPr>
      </w:pPr>
      <w:r>
        <w:rPr>
          <w:rFonts w:hint="eastAsia" w:ascii="宋体" w:hAnsi="宋体"/>
          <w:color w:val="auto"/>
          <w:szCs w:val="21"/>
          <w:highlight w:val="none"/>
        </w:rPr>
        <w:t>8.2磋商供应商磋商所使用的资格、信誉、荣誉、业绩与企业认证必须为本法人所拥有，磋商供应商磋商所使用的采购项目实施人员必须为磋商供应商员工。</w:t>
      </w:r>
    </w:p>
    <w:p>
      <w:pPr>
        <w:tabs>
          <w:tab w:val="left" w:pos="1635"/>
        </w:tabs>
        <w:spacing w:before="0" w:after="0" w:line="400" w:lineRule="exact"/>
        <w:ind w:firstLine="435" w:firstLineChars="0"/>
        <w:rPr>
          <w:rFonts w:ascii="宋体" w:hAnsi="宋体"/>
          <w:color w:val="auto"/>
          <w:szCs w:val="21"/>
          <w:highlight w:val="none"/>
        </w:rPr>
      </w:pPr>
      <w:r>
        <w:rPr>
          <w:rFonts w:hint="eastAsia" w:ascii="宋体" w:hAnsi="宋体"/>
          <w:color w:val="auto"/>
          <w:szCs w:val="21"/>
          <w:highlight w:val="none"/>
        </w:rPr>
        <w:t>8.3磋商供应商应仔细阅读磋商文件的所有内容，按照磋商文件的要求提交响应文件，并对所提供的全部资料的真实性承担法律责任。</w:t>
      </w:r>
    </w:p>
    <w:p>
      <w:pPr>
        <w:tabs>
          <w:tab w:val="left" w:pos="1635"/>
        </w:tabs>
        <w:spacing w:before="0" w:after="0" w:line="380" w:lineRule="exact"/>
        <w:ind w:firstLine="435" w:firstLineChars="0"/>
        <w:rPr>
          <w:rFonts w:ascii="宋体" w:hAnsi="宋体"/>
          <w:color w:val="auto"/>
          <w:szCs w:val="21"/>
          <w:highlight w:val="none"/>
        </w:rPr>
      </w:pPr>
      <w:r>
        <w:rPr>
          <w:rFonts w:hint="eastAsia" w:ascii="宋体" w:hAnsi="宋体"/>
          <w:color w:val="auto"/>
          <w:szCs w:val="21"/>
          <w:highlight w:val="none"/>
        </w:rPr>
        <w:t>8.4磋商供应商在磋商活动中提供任何虚假材料，其磋商无效，并报监管部门查处；成交后发现的，成交人须依照《中华人民共和国消费者权益保护法》第49条之规定双倍赔偿采购人，且民事赔偿并不免除违法磋商供应商的行政与刑事责任。</w:t>
      </w:r>
    </w:p>
    <w:p>
      <w:pPr>
        <w:tabs>
          <w:tab w:val="left" w:pos="1635"/>
        </w:tabs>
        <w:spacing w:before="0" w:after="0" w:line="400" w:lineRule="exact"/>
        <w:ind w:firstLine="435" w:firstLineChars="0"/>
        <w:rPr>
          <w:rFonts w:ascii="宋体" w:hAnsi="宋体"/>
          <w:b/>
          <w:color w:val="auto"/>
          <w:szCs w:val="21"/>
          <w:highlight w:val="none"/>
        </w:rPr>
      </w:pPr>
    </w:p>
    <w:p>
      <w:pPr>
        <w:tabs>
          <w:tab w:val="left" w:pos="2190"/>
        </w:tabs>
        <w:spacing w:before="0" w:after="0" w:line="400" w:lineRule="exact"/>
        <w:ind w:firstLine="435" w:firstLineChars="0"/>
        <w:jc w:val="center"/>
        <w:rPr>
          <w:rFonts w:ascii="宋体" w:hAnsi="宋体" w:cs="宋体"/>
          <w:b/>
          <w:color w:val="auto"/>
          <w:sz w:val="28"/>
          <w:szCs w:val="28"/>
          <w:highlight w:val="none"/>
        </w:rPr>
      </w:pPr>
    </w:p>
    <w:p>
      <w:pPr>
        <w:tabs>
          <w:tab w:val="left" w:pos="2190"/>
        </w:tabs>
        <w:spacing w:before="0" w:after="0" w:line="400" w:lineRule="exact"/>
        <w:ind w:firstLine="435" w:firstLineChars="0"/>
        <w:jc w:val="center"/>
        <w:rPr>
          <w:rFonts w:ascii="宋体" w:hAnsi="宋体" w:cs="宋体"/>
          <w:b/>
          <w:color w:val="auto"/>
          <w:sz w:val="28"/>
          <w:szCs w:val="28"/>
          <w:highlight w:val="none"/>
        </w:rPr>
      </w:pPr>
      <w:r>
        <w:rPr>
          <w:rFonts w:hint="eastAsia" w:ascii="宋体" w:hAnsi="宋体" w:cs="宋体"/>
          <w:b/>
          <w:color w:val="auto"/>
          <w:sz w:val="28"/>
          <w:szCs w:val="28"/>
          <w:highlight w:val="none"/>
        </w:rPr>
        <w:t>二、磋商文件</w:t>
      </w:r>
    </w:p>
    <w:p>
      <w:pPr>
        <w:tabs>
          <w:tab w:val="left" w:pos="2190"/>
        </w:tabs>
        <w:spacing w:before="0" w:after="0" w:line="400" w:lineRule="exact"/>
        <w:ind w:firstLine="437" w:firstLineChars="0"/>
        <w:rPr>
          <w:rFonts w:ascii="宋体" w:hAnsi="宋体" w:cs="宋体"/>
          <w:b/>
          <w:color w:val="auto"/>
          <w:szCs w:val="21"/>
          <w:highlight w:val="none"/>
        </w:rPr>
      </w:pPr>
      <w:r>
        <w:rPr>
          <w:rFonts w:hint="eastAsia" w:ascii="宋体" w:hAnsi="宋体" w:cs="宋体"/>
          <w:b/>
          <w:color w:val="auto"/>
          <w:szCs w:val="21"/>
          <w:highlight w:val="none"/>
        </w:rPr>
        <w:t>9. 磋商文件的构成</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（1）竞争性磋商公告；</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（2）供应商须知；</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（3）服务采购需求（“服务采购需求”中的所有条款要求均为实质性要求）；</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（4）评审办法；</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（6）响应文件格式。</w:t>
      </w:r>
    </w:p>
    <w:p>
      <w:pPr>
        <w:tabs>
          <w:tab w:val="left" w:pos="2190"/>
        </w:tabs>
        <w:spacing w:before="0" w:after="0" w:line="400" w:lineRule="exact"/>
        <w:ind w:firstLine="437" w:firstLineChars="0"/>
        <w:rPr>
          <w:rFonts w:ascii="宋体" w:hAnsi="宋体" w:cs="宋体"/>
          <w:b/>
          <w:color w:val="auto"/>
          <w:szCs w:val="21"/>
          <w:highlight w:val="none"/>
        </w:rPr>
      </w:pPr>
      <w:r>
        <w:rPr>
          <w:rFonts w:hint="eastAsia" w:ascii="宋体" w:hAnsi="宋体" w:cs="宋体"/>
          <w:b/>
          <w:color w:val="auto"/>
          <w:szCs w:val="21"/>
          <w:highlight w:val="none"/>
        </w:rPr>
        <w:t>10. 磋商文件的澄清与修改</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10.1 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10.2供应商购买竞争性磋商文件后应实时关注相关网站了解澄清、修改等与项目有关的内容，如因供应商未及时登录相关网站了解澄清、修改等与项目有关的内容，从而导致磋商无效的，由供应商自行承担责任。</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10.3</w:t>
      </w:r>
      <w:r>
        <w:rPr>
          <w:rFonts w:hint="eastAsia" w:ascii="宋体" w:hAnsi="宋体"/>
          <w:color w:val="auto"/>
          <w:szCs w:val="21"/>
          <w:highlight w:val="none"/>
        </w:rPr>
        <w:t>澄清或者修改的内容为</w:t>
      </w:r>
      <w:r>
        <w:rPr>
          <w:rFonts w:hint="eastAsia" w:ascii="宋体" w:hAnsi="宋体" w:cs="宋体"/>
          <w:bCs/>
          <w:color w:val="auto"/>
          <w:szCs w:val="21"/>
          <w:highlight w:val="none"/>
          <w:lang w:eastAsia="zh-CN"/>
        </w:rPr>
        <w:t>磋商</w:t>
      </w:r>
      <w:r>
        <w:rPr>
          <w:rFonts w:hint="eastAsia" w:ascii="宋体" w:hAnsi="宋体"/>
          <w:color w:val="auto"/>
          <w:szCs w:val="21"/>
          <w:highlight w:val="none"/>
        </w:rPr>
        <w:t>文件的组成部分。当澄清或者修改通知就同一内容的表述不一致时，以最后发出的文件为准。</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10.4 磋商文件的澄清或者修改都应该通过本项目采购代理机构以法定形式发布，采购人非通过本机构，不得擅自澄清或者修改磋商文件。</w:t>
      </w:r>
    </w:p>
    <w:p>
      <w:pPr>
        <w:tabs>
          <w:tab w:val="left" w:pos="2190"/>
        </w:tabs>
        <w:spacing w:before="0" w:after="0" w:line="400" w:lineRule="exact"/>
        <w:ind w:firstLine="437" w:firstLineChars="0"/>
        <w:rPr>
          <w:rFonts w:ascii="宋体" w:hAnsi="宋体" w:cs="宋体"/>
          <w:color w:val="auto"/>
          <w:szCs w:val="21"/>
          <w:highlight w:val="none"/>
        </w:rPr>
      </w:pPr>
      <w:r>
        <w:rPr>
          <w:rFonts w:hint="eastAsia" w:ascii="宋体" w:hAnsi="宋体" w:cs="宋体"/>
          <w:color w:val="auto"/>
          <w:szCs w:val="21"/>
          <w:highlight w:val="none"/>
        </w:rPr>
        <w:t>10.5 采购代理机构可以视采购具体情况，延长首次响应文件递交截止时间和磋商时间，并将变更时间通知所有购买磋商文件收受人，在本项目竞争性磋商公告发布的同一媒体上发布变更公告。</w:t>
      </w:r>
    </w:p>
    <w:p>
      <w:pPr>
        <w:tabs>
          <w:tab w:val="left" w:pos="2190"/>
        </w:tabs>
        <w:spacing w:before="0" w:after="0" w:line="400" w:lineRule="exact"/>
        <w:ind w:firstLine="435" w:firstLineChars="0"/>
        <w:jc w:val="center"/>
        <w:rPr>
          <w:rFonts w:ascii="宋体" w:hAnsi="宋体" w:cs="宋体"/>
          <w:b/>
          <w:color w:val="auto"/>
          <w:sz w:val="28"/>
          <w:szCs w:val="28"/>
          <w:highlight w:val="none"/>
        </w:rPr>
      </w:pPr>
    </w:p>
    <w:p>
      <w:pPr>
        <w:tabs>
          <w:tab w:val="left" w:pos="2190"/>
        </w:tabs>
        <w:spacing w:before="0" w:after="0" w:line="400" w:lineRule="exact"/>
        <w:ind w:firstLine="435" w:firstLineChars="0"/>
        <w:jc w:val="center"/>
        <w:rPr>
          <w:rFonts w:ascii="宋体" w:hAnsi="宋体" w:cs="宋体"/>
          <w:b/>
          <w:color w:val="auto"/>
          <w:sz w:val="28"/>
          <w:szCs w:val="28"/>
          <w:highlight w:val="none"/>
        </w:rPr>
      </w:pPr>
      <w:r>
        <w:rPr>
          <w:rFonts w:hint="eastAsia" w:ascii="宋体" w:hAnsi="宋体" w:cs="宋体"/>
          <w:b/>
          <w:color w:val="auto"/>
          <w:sz w:val="28"/>
          <w:szCs w:val="28"/>
          <w:highlight w:val="none"/>
        </w:rPr>
        <w:t>三、竞争性磋商响应文件的编制</w:t>
      </w:r>
    </w:p>
    <w:p>
      <w:pPr>
        <w:tabs>
          <w:tab w:val="left" w:pos="2190"/>
        </w:tabs>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11.竞争性磋商响应文件（以下简称响应文件）的组成及要求</w:t>
      </w:r>
    </w:p>
    <w:p>
      <w:pPr>
        <w:tabs>
          <w:tab w:val="left" w:pos="1305"/>
        </w:tabs>
        <w:spacing w:before="0" w:after="0" w:line="400" w:lineRule="exact"/>
        <w:ind w:firstLine="422"/>
        <w:rPr>
          <w:rFonts w:ascii="宋体" w:hAnsi="宋体" w:cs="宋体"/>
          <w:color w:val="auto"/>
          <w:szCs w:val="21"/>
          <w:highlight w:val="none"/>
        </w:rPr>
      </w:pPr>
      <w:r>
        <w:rPr>
          <w:rFonts w:hint="eastAsia" w:ascii="宋体" w:hAnsi="宋体" w:cs="宋体"/>
          <w:b/>
          <w:color w:val="auto"/>
          <w:szCs w:val="21"/>
          <w:highlight w:val="none"/>
        </w:rPr>
        <w:t>11.1响应文件组成【格式见第六章“响应文件格式”】</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（2）供应商相应的法定代表人、负责人、自然人身份证正反两面复印件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（3）供应商的授权委托书原件、委托代理人</w:t>
      </w:r>
      <w:r>
        <w:rPr>
          <w:rFonts w:hint="eastAsia" w:ascii="宋体" w:hAnsi="宋体" w:cs="宋体"/>
          <w:color w:val="auto"/>
          <w:highlight w:val="none"/>
        </w:rPr>
        <w:t>身份证正反面</w:t>
      </w:r>
      <w:r>
        <w:rPr>
          <w:rFonts w:hint="eastAsia" w:ascii="宋体" w:hAnsi="宋体" w:cs="宋体"/>
          <w:color w:val="auto"/>
          <w:szCs w:val="21"/>
          <w:highlight w:val="none"/>
        </w:rPr>
        <w:t>复印件以及由县级以上（含县级）社会养老保险经办机构出具的供应商为委托代理人交纳的开标截止时间前半年内任意三个月社保证明复印件【属自然人的应提供由县级以上（含县级）社会养老保险经办机构出具的自然人本人及委托代理人所交纳的开标截止时间前半年内任意三个月社保证明复印件】</w:t>
      </w:r>
      <w:r>
        <w:rPr>
          <w:rFonts w:hint="eastAsia" w:ascii="宋体" w:hAnsi="宋体" w:cs="宋体"/>
          <w:b/>
          <w:color w:val="auto"/>
          <w:szCs w:val="21"/>
          <w:highlight w:val="none"/>
        </w:rPr>
        <w:t>（委托代理时必须提供）</w:t>
      </w:r>
      <w:r>
        <w:rPr>
          <w:rFonts w:hint="eastAsia" w:ascii="宋体" w:hAnsi="宋体" w:cs="宋体"/>
          <w:color w:val="auto"/>
          <w:szCs w:val="21"/>
          <w:highlight w:val="none"/>
        </w:rPr>
        <w:t>；</w:t>
      </w:r>
    </w:p>
    <w:p>
      <w:pPr>
        <w:tabs>
          <w:tab w:val="left" w:pos="1305"/>
        </w:tabs>
        <w:spacing w:before="0" w:after="0" w:line="400" w:lineRule="exact"/>
        <w:ind w:firstLine="420"/>
        <w:rPr>
          <w:rFonts w:ascii="宋体" w:hAnsi="宋体" w:cs="宋体"/>
          <w:b/>
          <w:color w:val="auto"/>
          <w:szCs w:val="21"/>
          <w:highlight w:val="none"/>
        </w:rPr>
      </w:pPr>
      <w:r>
        <w:rPr>
          <w:rFonts w:hint="eastAsia" w:ascii="宋体" w:hAnsi="宋体" w:cs="宋体"/>
          <w:color w:val="auto"/>
          <w:szCs w:val="21"/>
          <w:highlight w:val="none"/>
        </w:rPr>
        <w:t>（4）供应商参加政府采购活动前3年内在经营活动中没有重大违法记录的书面声明</w:t>
      </w:r>
      <w:r>
        <w:rPr>
          <w:rFonts w:hint="eastAsia" w:ascii="宋体" w:hAnsi="宋体" w:cs="宋体"/>
          <w:b/>
          <w:color w:val="auto"/>
          <w:szCs w:val="21"/>
          <w:highlight w:val="none"/>
        </w:rPr>
        <w:t>（必须提供）；</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（5）供应商的法人或者其他组织三证合一营业执照等证明文件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（6）磋商报价表（格式见附件）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（7）项目实施方案（格式见附件）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（8）供应商的售后服务承诺书（含服务期、技术服务、技术培训、售后服务的内容和措施等）</w:t>
      </w:r>
      <w:r>
        <w:rPr>
          <w:rFonts w:hint="eastAsia" w:ascii="宋体" w:hAnsi="宋体" w:cs="宋体"/>
          <w:b/>
          <w:color w:val="auto"/>
          <w:szCs w:val="21"/>
          <w:highlight w:val="none"/>
        </w:rPr>
        <w:t>（必须提供）；</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（9）项目实施人员一览表</w:t>
      </w:r>
      <w:r>
        <w:rPr>
          <w:rFonts w:hint="eastAsia" w:ascii="宋体" w:hAnsi="宋体" w:cs="宋体"/>
          <w:b/>
          <w:color w:val="auto"/>
          <w:szCs w:val="21"/>
          <w:highlight w:val="none"/>
        </w:rPr>
        <w:t>【必须提供，并一起提供由县级以上（含县级）社会养老保险经办机构出具的供应商为项目实施人员交纳的开标截止时间前半年内任意三个月社保证明复印件】；</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（10）供应商</w:t>
      </w:r>
      <w:r>
        <w:rPr>
          <w:rFonts w:hint="eastAsia" w:ascii="宋体" w:hAnsi="宋体" w:cs="宋体"/>
          <w:color w:val="auto"/>
          <w:szCs w:val="21"/>
          <w:highlight w:val="none"/>
          <w:u w:val="single"/>
        </w:rPr>
        <w:t xml:space="preserve"> 2019年度通过中</w:t>
      </w:r>
      <w:r>
        <w:rPr>
          <w:rFonts w:hint="eastAsia" w:ascii="宋体" w:hAnsi="宋体" w:cs="宋体"/>
          <w:color w:val="auto"/>
          <w:szCs w:val="21"/>
          <w:highlight w:val="none"/>
        </w:rPr>
        <w:t>介审计的有效财务审计报告复印件</w:t>
      </w:r>
      <w:r>
        <w:rPr>
          <w:rFonts w:hint="eastAsia" w:ascii="宋体" w:hAnsi="宋体" w:cs="宋体"/>
          <w:b/>
          <w:color w:val="auto"/>
          <w:highlight w:val="none"/>
        </w:rPr>
        <w:t>（如有，请提供）</w:t>
      </w:r>
      <w:r>
        <w:rPr>
          <w:rFonts w:hint="eastAsia" w:ascii="宋体" w:hAnsi="宋体" w:cs="宋体"/>
          <w:color w:val="auto"/>
          <w:szCs w:val="21"/>
          <w:highlight w:val="none"/>
        </w:rPr>
        <w:t>；</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highlight w:val="none"/>
        </w:rPr>
        <w:t>供应商</w:t>
      </w:r>
      <w:r>
        <w:rPr>
          <w:rFonts w:hint="eastAsia" w:ascii="宋体" w:hAnsi="宋体" w:cs="Courier New"/>
          <w:color w:val="auto"/>
          <w:szCs w:val="21"/>
          <w:highlight w:val="none"/>
          <w:lang w:eastAsia="zh-CN"/>
        </w:rPr>
        <w:t>2015年以来具有的同类项目</w:t>
      </w:r>
      <w:r>
        <w:rPr>
          <w:rFonts w:hint="eastAsia" w:ascii="宋体" w:hAnsi="宋体" w:cs="Courier New"/>
          <w:color w:val="auto"/>
          <w:szCs w:val="21"/>
          <w:highlight w:val="none"/>
        </w:rPr>
        <w:t>业绩</w:t>
      </w:r>
      <w:r>
        <w:rPr>
          <w:rFonts w:hint="eastAsia" w:ascii="宋体" w:hAnsi="宋体" w:cs="宋体"/>
          <w:color w:val="auto"/>
          <w:highlight w:val="none"/>
        </w:rPr>
        <w:t>的相关证明材料</w:t>
      </w:r>
      <w:r>
        <w:rPr>
          <w:rFonts w:hint="eastAsia" w:ascii="宋体" w:hAnsi="宋体" w:cs="宋体"/>
          <w:color w:val="auto"/>
          <w:spacing w:val="-12"/>
          <w:szCs w:val="21"/>
          <w:highlight w:val="none"/>
        </w:rPr>
        <w:t>（无不良记录，以中标、成交通知书或签订的销售合同为准，并能清晰反映所销售的货物名称、种类、金额</w:t>
      </w:r>
      <w:r>
        <w:rPr>
          <w:rFonts w:hint="eastAsia" w:ascii="宋体" w:hAnsi="宋体" w:cs="宋体"/>
          <w:b/>
          <w:color w:val="auto"/>
          <w:highlight w:val="none"/>
        </w:rPr>
        <w:t>）（如有，请提供）；</w:t>
      </w:r>
    </w:p>
    <w:p>
      <w:pPr>
        <w:tabs>
          <w:tab w:val="left" w:pos="1305"/>
        </w:tabs>
        <w:spacing w:before="0" w:after="0" w:line="400" w:lineRule="exact"/>
        <w:ind w:firstLine="420"/>
        <w:rPr>
          <w:rFonts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szCs w:val="21"/>
          <w:highlight w:val="none"/>
        </w:rPr>
        <w:t>“</w:t>
      </w:r>
      <w:r>
        <w:rPr>
          <w:rFonts w:hint="eastAsia" w:ascii="宋体" w:hAnsi="宋体" w:cs="宋体"/>
          <w:color w:val="auto"/>
          <w:highlight w:val="none"/>
        </w:rPr>
        <w:t>服务采购需求”需提供的有效证明文件</w:t>
      </w:r>
      <w:r>
        <w:rPr>
          <w:rFonts w:hint="eastAsia" w:ascii="宋体" w:hAnsi="宋体" w:cs="宋体"/>
          <w:b/>
          <w:color w:val="auto"/>
          <w:highlight w:val="none"/>
        </w:rPr>
        <w:t>（如有，请提供）</w:t>
      </w:r>
      <w:r>
        <w:rPr>
          <w:rFonts w:hint="eastAsia" w:ascii="宋体" w:hAnsi="宋体" w:cs="宋体"/>
          <w:color w:val="auto"/>
          <w:highlight w:val="none"/>
        </w:rPr>
        <w:t>；</w:t>
      </w:r>
    </w:p>
    <w:p>
      <w:pPr>
        <w:snapToGrid w:val="0"/>
        <w:spacing w:before="0" w:after="0" w:line="400" w:lineRule="exact"/>
        <w:ind w:firstLine="420"/>
        <w:outlineLvl w:val="4"/>
        <w:rPr>
          <w:rFonts w:ascii="宋体" w:hAnsi="宋体" w:cs="宋体"/>
          <w:color w:val="auto"/>
          <w:highlight w:val="none"/>
        </w:rPr>
      </w:pPr>
      <w:r>
        <w:rPr>
          <w:rFonts w:hint="eastAsia" w:ascii="宋体" w:hAnsi="宋体" w:cs="宋体"/>
          <w:color w:val="auto"/>
          <w:szCs w:val="20"/>
          <w:highlight w:val="none"/>
        </w:rPr>
        <w:t>（13）</w:t>
      </w:r>
      <w:r>
        <w:rPr>
          <w:rFonts w:hint="eastAsia" w:ascii="宋体" w:hAnsi="宋体" w:cs="宋体"/>
          <w:color w:val="auto"/>
          <w:highlight w:val="none"/>
        </w:rPr>
        <w:t>其他有效证明文件的复印件（如提供服务的供应商属于小型、微型企业、监狱企业的，以提供工商注册地的工业和信息化部门等其他行政部门出具的相关证明材料为准）</w:t>
      </w:r>
      <w:r>
        <w:rPr>
          <w:rFonts w:hint="eastAsia" w:ascii="宋体" w:hAnsi="宋体" w:cs="宋体"/>
          <w:b/>
          <w:color w:val="auto"/>
          <w:highlight w:val="none"/>
        </w:rPr>
        <w:t>（如有，请提供）</w:t>
      </w:r>
      <w:r>
        <w:rPr>
          <w:rFonts w:hint="eastAsia" w:ascii="宋体" w:hAnsi="宋体" w:cs="宋体"/>
          <w:color w:val="auto"/>
          <w:highlight w:val="none"/>
        </w:rPr>
        <w:t>。</w:t>
      </w:r>
    </w:p>
    <w:p>
      <w:pPr>
        <w:snapToGrid w:val="0"/>
        <w:spacing w:before="0" w:after="0" w:line="400" w:lineRule="exact"/>
        <w:ind w:firstLine="539" w:firstLineChars="257"/>
        <w:outlineLvl w:val="4"/>
        <w:rPr>
          <w:rFonts w:ascii="宋体" w:hAnsi="宋体" w:cs="宋体"/>
          <w:color w:val="auto"/>
          <w:szCs w:val="20"/>
          <w:highlight w:val="none"/>
        </w:rPr>
      </w:pPr>
      <w:r>
        <w:rPr>
          <w:rFonts w:hint="eastAsia" w:ascii="宋体" w:hAnsi="宋体" w:cs="宋体"/>
          <w:color w:val="auto"/>
          <w:szCs w:val="21"/>
          <w:highlight w:val="none"/>
        </w:rPr>
        <w:t>(14)　供应商可结合本项目自身情况自行提交其它相关证明材料。</w:t>
      </w:r>
    </w:p>
    <w:p>
      <w:pPr>
        <w:tabs>
          <w:tab w:val="left" w:pos="1305"/>
        </w:tabs>
        <w:spacing w:before="0" w:after="0" w:line="400" w:lineRule="exact"/>
        <w:ind w:firstLine="422"/>
        <w:rPr>
          <w:rFonts w:ascii="宋体" w:hAnsi="宋体" w:cs="宋体"/>
          <w:bCs/>
          <w:color w:val="auto"/>
          <w:highlight w:val="none"/>
        </w:rPr>
      </w:pPr>
      <w:r>
        <w:rPr>
          <w:rFonts w:hint="eastAsia" w:ascii="宋体" w:hAnsi="宋体" w:cs="宋体"/>
          <w:b/>
          <w:color w:val="auto"/>
          <w:szCs w:val="21"/>
          <w:highlight w:val="none"/>
        </w:rPr>
        <w:t>供应商提供的相关材料应真实有效，属于“必须提供”的文件应加盖供应商公章（扫描公章无效，自然人除外），并于本项目磋商截止时间前与响应文件同时提交。</w:t>
      </w:r>
    </w:p>
    <w:p>
      <w:pPr>
        <w:spacing w:before="0" w:after="0" w:line="400" w:lineRule="exact"/>
        <w:ind w:firstLine="420"/>
        <w:rPr>
          <w:rFonts w:ascii="宋体" w:hAnsi="宋体" w:cs="宋体"/>
          <w:color w:val="auto"/>
          <w:szCs w:val="20"/>
          <w:highlight w:val="none"/>
        </w:rPr>
      </w:pPr>
      <w:r>
        <w:rPr>
          <w:rFonts w:hint="eastAsia" w:ascii="宋体" w:hAnsi="宋体" w:cs="宋体"/>
          <w:color w:val="auto"/>
          <w:szCs w:val="20"/>
          <w:highlight w:val="none"/>
        </w:rPr>
        <w:t>11.2 供应商应按竞争性磋商文件第六章“响应文件格式”编制响应文件。</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12. 响应文件的语言及计量</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13. 磋商报价</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13.1 磋商报价应按磋商文件中相关附表格式填写，报价</w:t>
      </w:r>
      <w:r>
        <w:rPr>
          <w:rFonts w:hint="eastAsia" w:ascii="宋体" w:hAnsi="宋体" w:cs="宋体"/>
          <w:color w:val="auto"/>
          <w:kern w:val="0"/>
          <w:szCs w:val="21"/>
          <w:highlight w:val="none"/>
        </w:rPr>
        <w:t>超过采购预算总金额的，</w:t>
      </w:r>
      <w:r>
        <w:rPr>
          <w:rFonts w:hint="eastAsia" w:ascii="宋体" w:hAnsi="宋体"/>
          <w:color w:val="auto"/>
          <w:kern w:val="0"/>
          <w:szCs w:val="21"/>
          <w:highlight w:val="none"/>
        </w:rPr>
        <w:t>响应文件按无效处理</w:t>
      </w:r>
      <w:r>
        <w:rPr>
          <w:rFonts w:hint="eastAsia" w:ascii="宋体" w:hAnsi="宋体" w:cs="宋体"/>
          <w:color w:val="auto"/>
          <w:kern w:val="0"/>
          <w:szCs w:val="21"/>
          <w:highlight w:val="none"/>
        </w:rPr>
        <w:t>。</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13.2 供应商必须就“服务采购需求”中的所有服务内容作完整唯一报价，否则，其响应文件无效。响应文件只允许有一个报价，有选择的或有条件的报价将不予接受。</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13.3 磋商报价应包括本次采购服务价款以及因提供服务所产生的人工、保险、税金、售后服务、培训、保修及其他所有成本费用的总和；</w:t>
      </w:r>
      <w:r>
        <w:rPr>
          <w:rFonts w:hint="eastAsia" w:ascii="宋体" w:hAnsi="宋体" w:cs="宋体"/>
          <w:color w:val="auto"/>
          <w:highlight w:val="none"/>
        </w:rPr>
        <w:t>供应商综合考虑在报价中。</w:t>
      </w:r>
    </w:p>
    <w:p>
      <w:pPr>
        <w:tabs>
          <w:tab w:val="left" w:pos="1305"/>
        </w:tabs>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13.4未书面退出磋商的供应商在规定时间内密封提交最后报价，其最后报价超出采购预算导致已通过评审的响应文件无效的，按供应商在提交响应文件截止时间后撤回响应文件处理。</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14. 响应文件有效期</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14.1 响应文件有效期：响应文件递交截止时间之日起90天，有效期不足的响应文件将被拒绝。</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14.2 出现特殊情况下，需要延长响应文件有效期的，采购代理机构以书面形式通知供应商延长响应文件有效期。供应商同意延长的，应相应延长其保证金有效期，但不能修改响应文件。供应商拒绝延长的，其响应文件无效，但供应商有权收回其保证金。</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15. 保证金</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本项目无须缴纳磋商保证金。</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16. 响应文件的份数、装订、签署和包装、密封</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16.1 响应文件份数：正本壹册、副本肆册（A4纸装订）、响应文件电子版U盘或光盘壹个，须完整提交。</w:t>
      </w:r>
    </w:p>
    <w:p>
      <w:pPr>
        <w:tabs>
          <w:tab w:val="left" w:pos="1305"/>
        </w:tabs>
        <w:spacing w:before="0" w:after="0" w:line="400" w:lineRule="exact"/>
        <w:ind w:firstLine="420"/>
        <w:rPr>
          <w:rFonts w:ascii="宋体" w:hAnsi="宋体" w:cs="宋体"/>
          <w:b/>
          <w:color w:val="auto"/>
          <w:szCs w:val="21"/>
          <w:highlight w:val="none"/>
        </w:rPr>
      </w:pPr>
      <w:r>
        <w:rPr>
          <w:rFonts w:hint="eastAsia" w:ascii="宋体" w:hAnsi="宋体" w:cs="宋体"/>
          <w:color w:val="auto"/>
          <w:szCs w:val="21"/>
          <w:highlight w:val="none"/>
        </w:rPr>
        <w:t>16.2 响应文件装订要求：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16.3 响应文件的正本需打印或用不褪色的墨水填写，响应文件正本除本磋商文件中规定的可提供复印件外均须提供原件。</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16.4 响应文件须由供应商在规定位置加盖供应商公章（扫描公章无效，自然人除外）并由法定代表人、负责人、自然人或相应的授权委托代理人签字，供应商应写全称，响应文件副本可以是加盖公章（自然人除外）的正本的复印件，当正本与副本不一致时，以正本为准。</w:t>
      </w:r>
    </w:p>
    <w:p>
      <w:pPr>
        <w:spacing w:before="0" w:after="0" w:line="400" w:lineRule="exact"/>
        <w:ind w:left="315" w:leftChars="150" w:firstLine="105" w:firstLineChars="50"/>
        <w:rPr>
          <w:rFonts w:ascii="宋体" w:hAnsi="宋体" w:cs="宋体"/>
          <w:color w:val="auto"/>
          <w:szCs w:val="21"/>
          <w:highlight w:val="none"/>
        </w:rPr>
      </w:pPr>
      <w:r>
        <w:rPr>
          <w:rFonts w:hint="eastAsia" w:ascii="宋体" w:hAnsi="宋体" w:cs="宋体"/>
          <w:color w:val="auto"/>
          <w:szCs w:val="21"/>
          <w:highlight w:val="none"/>
        </w:rPr>
        <w:t>16.5 响应文件不得涂改，若有修改错漏处，须加盖供应商公章（自然人除外）及法定代表人、负责人、</w:t>
      </w:r>
    </w:p>
    <w:p>
      <w:pPr>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自然人或相应的授权委托代理人签字。响应文件因字迹潦草或表达不清所引起的后果由供应商负责。</w:t>
      </w:r>
    </w:p>
    <w:p>
      <w:pPr>
        <w:snapToGrid w:val="0"/>
        <w:spacing w:before="0" w:after="0"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16.6 响应文件包装、密封、标记：</w:t>
      </w:r>
    </w:p>
    <w:p>
      <w:pPr>
        <w:snapToGrid w:val="0"/>
        <w:spacing w:before="0" w:after="0"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16.6.1 响应文件包装、密封：供应商须将响应文件“正本”、“副本”及响应文件电子版U盘或光盘一并装入一个响应文件袋（盒、箱）中密封，并在密封处密封签章【公章、密封章、法定代表人、负责人、自然人或相应的授权委托代理人签字均可】。</w:t>
      </w:r>
    </w:p>
    <w:p>
      <w:pPr>
        <w:snapToGrid w:val="0"/>
        <w:spacing w:before="0" w:after="0"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16.6.2 响应文件袋（盒、箱）标记：</w:t>
      </w:r>
    </w:p>
    <w:p>
      <w:pPr>
        <w:snapToGrid w:val="0"/>
        <w:spacing w:before="0" w:after="0"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 xml:space="preserve">           项目名称：</w:t>
      </w:r>
    </w:p>
    <w:p>
      <w:pPr>
        <w:snapToGrid w:val="0"/>
        <w:spacing w:before="0" w:after="0"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 xml:space="preserve">           项目编号：</w:t>
      </w:r>
    </w:p>
    <w:p>
      <w:pPr>
        <w:snapToGrid w:val="0"/>
        <w:spacing w:before="0" w:after="0"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 xml:space="preserve">           采购代理机构：</w:t>
      </w:r>
    </w:p>
    <w:p>
      <w:pPr>
        <w:snapToGrid w:val="0"/>
        <w:spacing w:before="0" w:after="0"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 xml:space="preserve">           供应商单位名称：</w:t>
      </w:r>
    </w:p>
    <w:p>
      <w:pPr>
        <w:snapToGrid w:val="0"/>
        <w:spacing w:before="0" w:after="0" w:line="400" w:lineRule="exact"/>
        <w:ind w:firstLine="1155" w:firstLineChars="550"/>
        <w:jc w:val="left"/>
        <w:rPr>
          <w:rFonts w:ascii="宋体" w:hAnsi="宋体" w:cs="宋体"/>
          <w:color w:val="auto"/>
          <w:szCs w:val="21"/>
          <w:highlight w:val="none"/>
        </w:rPr>
      </w:pPr>
      <w:r>
        <w:rPr>
          <w:rFonts w:hint="eastAsia" w:ascii="宋体" w:hAnsi="宋体" w:cs="宋体"/>
          <w:color w:val="auto"/>
          <w:szCs w:val="21"/>
          <w:highlight w:val="none"/>
        </w:rPr>
        <w:t>在</w:t>
      </w:r>
      <w:r>
        <w:rPr>
          <w:rFonts w:ascii="宋体" w:hAnsi="宋体" w:cs="宋体"/>
          <w:color w:val="auto"/>
          <w:szCs w:val="21"/>
          <w:highlight w:val="none"/>
        </w:rPr>
        <w:t xml:space="preserve">   </w:t>
      </w:r>
      <w:r>
        <w:rPr>
          <w:rFonts w:hint="eastAsia" w:ascii="宋体" w:hAnsi="宋体" w:cs="宋体"/>
          <w:color w:val="auto"/>
          <w:szCs w:val="21"/>
          <w:highlight w:val="none"/>
        </w:rPr>
        <w:t>年 月   日   时 分前不得开启(此处供应商填写响应文件递交截止时间)</w:t>
      </w:r>
    </w:p>
    <w:p>
      <w:pPr>
        <w:snapToGrid w:val="0"/>
        <w:spacing w:before="0" w:after="0"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16.7 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17. 响应文件的修改和撤回</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17.1 供应商在响应文件递交截止时间之前，可以对已递交的响应文件进行修改或撤回，并书面通知采购代理机构。</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17.2 在响应文件递交截止时间后的响应文件有效期内，供应商不得撤回其响应文件。</w:t>
      </w:r>
    </w:p>
    <w:p>
      <w:pPr>
        <w:tabs>
          <w:tab w:val="left" w:pos="1305"/>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18. 响应文件的递交</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18.1响应文件递交起止时间</w:t>
      </w:r>
    </w:p>
    <w:p>
      <w:pPr>
        <w:tabs>
          <w:tab w:val="left" w:pos="1305"/>
        </w:tabs>
        <w:spacing w:before="0" w:after="0" w:line="400" w:lineRule="exact"/>
        <w:ind w:firstLine="422"/>
        <w:rPr>
          <w:rFonts w:ascii="宋体" w:hAnsi="宋体" w:cs="宋体"/>
          <w:color w:val="auto"/>
          <w:szCs w:val="21"/>
          <w:highlight w:val="none"/>
        </w:rPr>
      </w:pPr>
      <w:r>
        <w:rPr>
          <w:rFonts w:hint="eastAsia" w:ascii="宋体" w:hAnsi="宋体" w:cs="宋体"/>
          <w:b/>
          <w:color w:val="auto"/>
          <w:szCs w:val="21"/>
          <w:highlight w:val="none"/>
        </w:rPr>
        <w:t>响应文件递交起止时间</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时至</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分，供应商应按竞争性磋商文件规定的响应文件递交截止时间前递交响应文件。</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18.2 响应文件递交地点：</w:t>
      </w:r>
      <w:r>
        <w:rPr>
          <w:rFonts w:hint="eastAsia" w:ascii="宋体" w:hAnsi="宋体" w:cs="宋体"/>
          <w:color w:val="auto"/>
          <w:highlight w:val="none"/>
        </w:rPr>
        <w:t xml:space="preserve"> </w:t>
      </w:r>
      <w:r>
        <w:rPr>
          <w:rFonts w:hint="eastAsia" w:ascii="宋体" w:hAnsi="宋体" w:cs="宋体"/>
          <w:color w:val="auto"/>
          <w:szCs w:val="21"/>
          <w:highlight w:val="none"/>
        </w:rPr>
        <w:t>桂林市公共资源交易中心（临桂新区西城中路69号西辅楼四楼）</w:t>
      </w:r>
      <w:r>
        <w:rPr>
          <w:rFonts w:hint="eastAsia" w:ascii="宋体" w:hAnsi="宋体" w:cs="宋体"/>
          <w:color w:val="auto"/>
          <w:szCs w:val="21"/>
          <w:highlight w:val="none"/>
          <w:lang w:val="en-US" w:eastAsia="zh-CN"/>
        </w:rPr>
        <w:t>1号开标室</w:t>
      </w:r>
      <w:r>
        <w:rPr>
          <w:rFonts w:hint="eastAsia" w:ascii="宋体" w:hAnsi="宋体" w:cs="宋体"/>
          <w:color w:val="auto"/>
          <w:szCs w:val="21"/>
          <w:highlight w:val="none"/>
        </w:rPr>
        <w:t>。</w:t>
      </w:r>
      <w:r>
        <w:rPr>
          <w:rFonts w:hint="eastAsia" w:ascii="宋体" w:hAnsi="宋体" w:cs="宋体"/>
          <w:color w:val="auto"/>
          <w:highlight w:val="none"/>
        </w:rPr>
        <w:t xml:space="preserve"> </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18.3 除竞争性磋商文件另有规定外，供应商所递交的响应文件不予退还。</w:t>
      </w:r>
    </w:p>
    <w:p>
      <w:pPr>
        <w:tabs>
          <w:tab w:val="left" w:pos="1305"/>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18.4 逾期送达的或者未送达指定地点的响应文件，采购代理机构不予受理。</w:t>
      </w:r>
    </w:p>
    <w:p>
      <w:pPr>
        <w:tabs>
          <w:tab w:val="left" w:pos="1305"/>
        </w:tabs>
        <w:spacing w:before="0" w:after="0" w:line="400" w:lineRule="exact"/>
        <w:ind w:firstLine="562"/>
        <w:jc w:val="center"/>
        <w:rPr>
          <w:rFonts w:ascii="宋体" w:hAnsi="宋体" w:cs="宋体"/>
          <w:b/>
          <w:color w:val="auto"/>
          <w:sz w:val="28"/>
          <w:szCs w:val="28"/>
          <w:highlight w:val="none"/>
        </w:rPr>
      </w:pPr>
    </w:p>
    <w:p>
      <w:pPr>
        <w:tabs>
          <w:tab w:val="left" w:pos="1305"/>
        </w:tabs>
        <w:spacing w:before="0" w:after="0"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四、竞争性磋商（简称磋商）与评审</w:t>
      </w:r>
    </w:p>
    <w:p>
      <w:pPr>
        <w:tabs>
          <w:tab w:val="center" w:pos="4411"/>
          <w:tab w:val="left" w:pos="5475"/>
        </w:tabs>
        <w:spacing w:before="0" w:after="0" w:line="400" w:lineRule="exact"/>
        <w:ind w:firstLine="422"/>
        <w:jc w:val="left"/>
        <w:rPr>
          <w:rFonts w:ascii="宋体" w:hAnsi="宋体" w:cs="宋体"/>
          <w:b/>
          <w:color w:val="auto"/>
          <w:szCs w:val="21"/>
          <w:highlight w:val="none"/>
        </w:rPr>
      </w:pPr>
      <w:r>
        <w:rPr>
          <w:rFonts w:hint="eastAsia" w:ascii="宋体" w:hAnsi="宋体" w:cs="宋体"/>
          <w:b/>
          <w:color w:val="auto"/>
          <w:szCs w:val="21"/>
          <w:highlight w:val="none"/>
        </w:rPr>
        <w:t>19. 磋商小组组成及磋商时间、地点、人员</w:t>
      </w:r>
    </w:p>
    <w:p>
      <w:pPr>
        <w:spacing w:before="0" w:after="0" w:line="400" w:lineRule="exact"/>
        <w:ind w:firstLine="435" w:firstLineChars="0"/>
        <w:rPr>
          <w:rFonts w:ascii="宋体" w:hAnsi="宋体" w:cs="宋体"/>
          <w:b/>
          <w:color w:val="auto"/>
          <w:szCs w:val="21"/>
          <w:highlight w:val="none"/>
        </w:rPr>
      </w:pPr>
      <w:r>
        <w:rPr>
          <w:rFonts w:hint="eastAsia" w:ascii="宋体" w:hAnsi="宋体" w:cs="宋体"/>
          <w:b/>
          <w:color w:val="auto"/>
          <w:szCs w:val="21"/>
          <w:highlight w:val="none"/>
        </w:rPr>
        <w:t>19.1 磋商小组组成：</w:t>
      </w:r>
    </w:p>
    <w:p>
      <w:pPr>
        <w:spacing w:before="0" w:after="0" w:line="400" w:lineRule="exact"/>
        <w:ind w:firstLine="435" w:firstLineChars="0"/>
        <w:rPr>
          <w:rFonts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磋商及评审工作由采购代理机构负责组织，具体磋商、评审工作由依法组建的磋商小组负责，磋商小组由采购人代表和有关方面的专家组成。磋商小组的构成：3人，其中采购人代表1人， 专家2人。专家确定方式：随机抽取。</w:t>
      </w:r>
    </w:p>
    <w:p>
      <w:pPr>
        <w:tabs>
          <w:tab w:val="left" w:pos="1140"/>
        </w:tabs>
        <w:spacing w:before="0" w:after="0" w:line="400" w:lineRule="exact"/>
        <w:ind w:left="420" w:leftChars="172" w:hanging="59" w:hangingChars="28"/>
        <w:rPr>
          <w:rFonts w:ascii="宋体" w:hAnsi="宋体" w:cs="宋体"/>
          <w:b/>
          <w:color w:val="auto"/>
          <w:szCs w:val="21"/>
          <w:highlight w:val="none"/>
        </w:rPr>
      </w:pPr>
      <w:r>
        <w:rPr>
          <w:rFonts w:hint="eastAsia" w:ascii="宋体" w:hAnsi="宋体" w:cs="宋体"/>
          <w:b/>
          <w:color w:val="auto"/>
          <w:szCs w:val="21"/>
          <w:highlight w:val="none"/>
        </w:rPr>
        <w:t>19.2 磋商时间、地点、人员：</w:t>
      </w:r>
    </w:p>
    <w:p>
      <w:pPr>
        <w:spacing w:before="0" w:after="0" w:line="400" w:lineRule="exact"/>
        <w:ind w:left="315" w:leftChars="150" w:firstLine="105" w:firstLineChars="50"/>
        <w:rPr>
          <w:rFonts w:ascii="宋体" w:hAnsi="宋体" w:cs="宋体"/>
          <w:color w:val="auto"/>
          <w:szCs w:val="21"/>
          <w:highlight w:val="none"/>
        </w:rPr>
      </w:pPr>
      <w:r>
        <w:rPr>
          <w:rFonts w:hint="eastAsia" w:ascii="宋体" w:hAnsi="宋体" w:cs="宋体"/>
          <w:color w:val="auto"/>
          <w:szCs w:val="21"/>
          <w:highlight w:val="none"/>
        </w:rPr>
        <w:t>19.2.1 磋商时间：</w:t>
      </w:r>
      <w:r>
        <w:rPr>
          <w:rFonts w:hint="eastAsia" w:ascii="宋体" w:hAnsi="宋体" w:cs="宋体"/>
          <w:color w:val="auto"/>
          <w:position w:val="-2"/>
          <w:szCs w:val="21"/>
          <w:highlight w:val="none"/>
        </w:rPr>
        <w:t>响应文件递交</w:t>
      </w:r>
      <w:r>
        <w:rPr>
          <w:rFonts w:hint="eastAsia" w:ascii="宋体" w:hAnsi="宋体" w:cs="宋体"/>
          <w:color w:val="auto"/>
          <w:szCs w:val="21"/>
          <w:highlight w:val="none"/>
        </w:rPr>
        <w:t>截止时间后。</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19.2.2 磋商地点：桂林市公共资源交易中心（临桂新区西城中路69号西辅楼四楼）</w:t>
      </w:r>
      <w:r>
        <w:rPr>
          <w:rFonts w:hint="eastAsia" w:ascii="宋体" w:hAnsi="宋体" w:cs="宋体"/>
          <w:color w:val="auto"/>
          <w:highlight w:val="none"/>
        </w:rPr>
        <w:t xml:space="preserve"> </w:t>
      </w:r>
    </w:p>
    <w:p>
      <w:pPr>
        <w:tabs>
          <w:tab w:val="left" w:pos="1140"/>
        </w:tabs>
        <w:spacing w:before="0" w:after="0" w:line="400" w:lineRule="exact"/>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19.2.3 磋商参加人员：供应商法定代表人、负责人、自然人或相应的委托代理人持有效身份证原件参加</w:t>
      </w:r>
    </w:p>
    <w:p>
      <w:pPr>
        <w:tabs>
          <w:tab w:val="left" w:pos="1140"/>
        </w:tabs>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磋商。请供应商按时到达指定地点等候当面磋商。</w:t>
      </w:r>
    </w:p>
    <w:p>
      <w:pPr>
        <w:tabs>
          <w:tab w:val="left" w:pos="1140"/>
        </w:tabs>
        <w:spacing w:before="0" w:after="0" w:line="400" w:lineRule="exact"/>
        <w:ind w:left="420" w:leftChars="200" w:firstLine="0" w:firstLineChars="0"/>
        <w:rPr>
          <w:rFonts w:ascii="宋体" w:hAnsi="宋体" w:cs="宋体"/>
          <w:color w:val="auto"/>
          <w:szCs w:val="21"/>
          <w:highlight w:val="none"/>
        </w:rPr>
      </w:pPr>
      <w:r>
        <w:rPr>
          <w:rFonts w:hint="eastAsia" w:ascii="宋体" w:hAnsi="宋体" w:cs="宋体"/>
          <w:color w:val="auto"/>
          <w:position w:val="-2"/>
          <w:szCs w:val="21"/>
          <w:highlight w:val="none"/>
        </w:rPr>
        <w:t>19.2.4 响应文件递交</w:t>
      </w:r>
      <w:r>
        <w:rPr>
          <w:rFonts w:hint="eastAsia" w:ascii="宋体" w:hAnsi="宋体" w:cs="宋体"/>
          <w:color w:val="auto"/>
          <w:szCs w:val="21"/>
          <w:highlight w:val="none"/>
        </w:rPr>
        <w:t xml:space="preserve">截止时间后，由磋商小组在评标室内开启响应文件。  </w:t>
      </w:r>
    </w:p>
    <w:p>
      <w:pPr>
        <w:tabs>
          <w:tab w:val="left" w:pos="1140"/>
        </w:tabs>
        <w:spacing w:before="0" w:after="0" w:line="400" w:lineRule="exact"/>
        <w:ind w:left="420" w:leftChars="172" w:hanging="59" w:hangingChars="28"/>
        <w:rPr>
          <w:rFonts w:ascii="宋体" w:hAnsi="宋体" w:cs="宋体"/>
          <w:b/>
          <w:color w:val="auto"/>
          <w:szCs w:val="21"/>
          <w:highlight w:val="none"/>
        </w:rPr>
      </w:pPr>
      <w:r>
        <w:rPr>
          <w:rFonts w:hint="eastAsia" w:ascii="宋体" w:hAnsi="宋体" w:cs="宋体"/>
          <w:b/>
          <w:color w:val="auto"/>
          <w:szCs w:val="21"/>
          <w:highlight w:val="none"/>
        </w:rPr>
        <w:t>20. 评审原则和评审办法</w:t>
      </w:r>
    </w:p>
    <w:p>
      <w:pPr>
        <w:tabs>
          <w:tab w:val="left" w:pos="1140"/>
        </w:tabs>
        <w:spacing w:before="0" w:after="0" w:line="400" w:lineRule="exact"/>
        <w:ind w:firstLine="359" w:firstLineChars="171"/>
        <w:rPr>
          <w:rFonts w:ascii="宋体" w:hAnsi="宋体" w:cs="宋体"/>
          <w:color w:val="auto"/>
          <w:szCs w:val="21"/>
          <w:highlight w:val="none"/>
        </w:rPr>
      </w:pPr>
      <w:r>
        <w:rPr>
          <w:rFonts w:hint="eastAsia" w:ascii="宋体" w:hAnsi="宋体" w:cs="宋体"/>
          <w:color w:val="auto"/>
          <w:szCs w:val="20"/>
          <w:highlight w:val="none"/>
        </w:rPr>
        <w:t xml:space="preserve">20.1 </w:t>
      </w:r>
      <w:r>
        <w:rPr>
          <w:rFonts w:hint="eastAsia" w:ascii="宋体" w:hAnsi="宋体" w:cs="宋体"/>
          <w:color w:val="auto"/>
          <w:szCs w:val="21"/>
          <w:highlight w:val="none"/>
        </w:rPr>
        <w:t>磋商小组必须坚持公平、公正、科学和择优的原则。</w:t>
      </w:r>
    </w:p>
    <w:p>
      <w:pPr>
        <w:tabs>
          <w:tab w:val="left" w:pos="1140"/>
        </w:tabs>
        <w:spacing w:before="0" w:after="0" w:line="400" w:lineRule="exact"/>
        <w:ind w:firstLine="359" w:firstLineChars="171"/>
        <w:rPr>
          <w:rFonts w:ascii="宋体" w:hAnsi="宋体" w:cs="宋体"/>
          <w:color w:val="auto"/>
          <w:szCs w:val="21"/>
          <w:highlight w:val="none"/>
        </w:rPr>
      </w:pPr>
      <w:r>
        <w:rPr>
          <w:rFonts w:hint="eastAsia" w:ascii="宋体" w:hAnsi="宋体" w:cs="宋体"/>
          <w:color w:val="auto"/>
          <w:szCs w:val="20"/>
          <w:highlight w:val="none"/>
        </w:rPr>
        <w:t xml:space="preserve">20.2 </w:t>
      </w:r>
      <w:r>
        <w:rPr>
          <w:rFonts w:hint="eastAsia" w:ascii="宋体" w:hAnsi="宋体" w:cs="宋体"/>
          <w:color w:val="auto"/>
          <w:szCs w:val="21"/>
          <w:highlight w:val="none"/>
        </w:rPr>
        <w:t>评审办法：具体详见第四章评审办法。</w:t>
      </w:r>
    </w:p>
    <w:p>
      <w:pPr>
        <w:spacing w:before="0" w:after="0" w:line="40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20.3 磋商小组应按磋商文件进行评审，不得擅自更改评审办法。</w:t>
      </w:r>
    </w:p>
    <w:p>
      <w:pPr>
        <w:spacing w:before="0" w:after="0" w:line="40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20.4 在评审过程中，磋商小组任何人不得对某个供应商发表任何倾向性意见，不得向其他磋商小组成员明示或者暗示自己的评审意见。</w:t>
      </w:r>
    </w:p>
    <w:p>
      <w:pPr>
        <w:tabs>
          <w:tab w:val="left" w:pos="1140"/>
        </w:tabs>
        <w:spacing w:before="0" w:after="0" w:line="40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20.5 磋商小组成员对需要共同认定的事项存在争议的，按照少数服从多数的原则作出结论。持不　　　　　　　　　　　　　　　　　　　　　　　　　　　　　　　　　　　　　　　　　　　　　　　　　　　　　　　　　　　　　　　　　　　　　　同意见的磋商小组成员应当在评审报告上签署不同意见并说明理由，否则视为同意。</w:t>
      </w:r>
    </w:p>
    <w:p>
      <w:pPr>
        <w:tabs>
          <w:tab w:val="left" w:pos="1140"/>
        </w:tabs>
        <w:spacing w:before="0" w:after="0" w:line="400" w:lineRule="exact"/>
        <w:ind w:left="420" w:leftChars="172" w:hanging="59" w:hangingChars="28"/>
        <w:rPr>
          <w:rFonts w:ascii="宋体" w:hAnsi="宋体" w:cs="宋体"/>
          <w:b/>
          <w:color w:val="auto"/>
          <w:szCs w:val="21"/>
          <w:highlight w:val="none"/>
        </w:rPr>
      </w:pPr>
      <w:r>
        <w:rPr>
          <w:rFonts w:hint="eastAsia" w:ascii="宋体" w:hAnsi="宋体" w:cs="宋体"/>
          <w:b/>
          <w:color w:val="auto"/>
          <w:szCs w:val="21"/>
          <w:highlight w:val="none"/>
        </w:rPr>
        <w:t>21. 评审程序及磋商要求</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21.1 采购代理机构核实磋商小组成员身份，告知回避要求，宣布评审工作纪律和程序，统一保管通讯工具或相关电子设备，推选磋商小组组长。</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szCs w:val="21"/>
          <w:highlight w:val="none"/>
        </w:rPr>
        <w:t>21.2 磋商小组应当对发布公告的竞争性磋商文件（简称磋商文件）进行确认，</w:t>
      </w:r>
      <w:r>
        <w:rPr>
          <w:rFonts w:hint="eastAsia" w:ascii="宋体" w:hAnsi="宋体" w:cs="宋体"/>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21.3</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依据法律法规和竞争性磋商文件的规定，首先对响应文件中的资格证明、保证金等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在进行资格性审查时，磋商小组将进入《国家企业信用信息公示系统》对企业股东及出资等信息进行查询，对存在《中华人民共和国政府采购法实施条例》第十八条第一款情形的，其响应文件将被视为无效文件。</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21.4磋商小组</w:t>
      </w:r>
      <w:r>
        <w:rPr>
          <w:rFonts w:hint="eastAsia" w:ascii="宋体" w:hAnsi="宋体" w:cs="宋体"/>
          <w:color w:val="auto"/>
          <w:szCs w:val="21"/>
          <w:highlight w:val="none"/>
        </w:rPr>
        <w:t>如发现供应商提供的证明文件不齐全或不符合规定格式的，应一次性告知供应商，供应商应在规定的时间内当场补正或更正。</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21.5磋商小组在对响应文件的有效性、完整性和响应程度进行审查时，可以要求供应商对</w:t>
      </w:r>
      <w:r>
        <w:rPr>
          <w:rFonts w:hint="eastAsia" w:ascii="宋体" w:hAnsi="宋体" w:cs="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或者加盖供应商公章（自然人除外）。由授权委托代表签字的，应当附授权委托书。供应商为自然人的，应当由本人签字并附身份证明。</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根据磋商文件规定的程序、评审办法等事项与实质性响应竞争性磋商文件要求的供应商进行磋商。未实质性响应磋商文件的响应文件按无效处理，磋商小组应当告知有关供应商。</w:t>
      </w:r>
    </w:p>
    <w:p>
      <w:pPr>
        <w:spacing w:before="0" w:after="0" w:line="400" w:lineRule="exact"/>
        <w:ind w:firstLine="420"/>
        <w:rPr>
          <w:rFonts w:ascii="宋体" w:hAnsi="宋体" w:cs="宋体"/>
          <w:color w:val="auto"/>
          <w:szCs w:val="21"/>
          <w:highlight w:val="none"/>
        </w:rPr>
      </w:pPr>
      <w:r>
        <w:rPr>
          <w:rFonts w:hint="eastAsia" w:ascii="宋体" w:hAnsi="宋体" w:cs="宋体"/>
          <w:color w:val="auto"/>
          <w:kern w:val="0"/>
          <w:szCs w:val="21"/>
          <w:highlight w:val="none"/>
        </w:rPr>
        <w:t>磋商小组</w:t>
      </w:r>
      <w:r>
        <w:rPr>
          <w:rFonts w:hint="eastAsia" w:ascii="宋体" w:hAnsi="宋体" w:cs="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s="宋体"/>
          <w:color w:val="auto"/>
          <w:szCs w:val="21"/>
          <w:highlight w:val="none"/>
        </w:rPr>
        <w:t>磋商顺序集中与单一供应商分别进行磋商，并给予所有实质性响应竞争性磋商文件要求的供应商平等的磋商机会。</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磋商中，磋商小组不得透露与磋商有关的其他供应商的技术资料、价格和其他信息。</w:t>
      </w:r>
    </w:p>
    <w:p>
      <w:pPr>
        <w:widowControl/>
        <w:tabs>
          <w:tab w:val="left" w:pos="540"/>
        </w:tabs>
        <w:spacing w:before="0" w:after="0"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采购代理机构对磋商过程和重要磋商内容进行记录，磋商双方在记录上签字确认。</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21.6 在磋商过程中，磋商小组可以根据磋商文件和磋商情况实质性变动项目需求中的技术、服务要求以及合同草案条款，但不得变动磋商文件中的其他内容。实质性变动的内容，须经采购人代表确认。</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对磋商文件作出的实质性变动是磋商文件的有效组成部分，磋商小组应当及时以书面形式同时通知所有参加磋商的供应商。</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供应商应当按照磋商文件的变动情况和磋商小组的要求重新提交响应文件，并由其法定代表人、负责人、自然人或相应的授权委托代表签字或者加盖供应商公章（自然人除外）。逾时不交的，视同放弃磋商。</w:t>
      </w:r>
    </w:p>
    <w:p>
      <w:pPr>
        <w:widowControl/>
        <w:spacing w:before="0" w:after="0"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21.7在采购过程中符合竞争要求的供应商或者报价未超过采购预算的供应商不足3家的，采购人或者采购代理机构应当终止竞争性磋商采购活动。</w:t>
      </w:r>
    </w:p>
    <w:p>
      <w:pPr>
        <w:widowControl/>
        <w:spacing w:before="0" w:after="0"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21.8最后报价</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21.8.1磋商文件能够详细列明采购标的的技术、服务要求的，</w:t>
      </w:r>
      <w:r>
        <w:rPr>
          <w:rFonts w:hint="eastAsia" w:ascii="宋体" w:hAnsi="宋体" w:cs="宋体"/>
          <w:color w:val="auto"/>
          <w:szCs w:val="21"/>
          <w:highlight w:val="none"/>
        </w:rPr>
        <w:t>磋商</w:t>
      </w:r>
      <w:r>
        <w:rPr>
          <w:rFonts w:hint="eastAsia" w:ascii="宋体" w:hAnsi="宋体" w:cs="宋体"/>
          <w:color w:val="auto"/>
          <w:kern w:val="0"/>
          <w:szCs w:val="21"/>
          <w:highlight w:val="none"/>
        </w:rPr>
        <w:t>结束后，磋商小组应当要求所有继续参加</w:t>
      </w:r>
      <w:r>
        <w:rPr>
          <w:rFonts w:hint="eastAsia" w:ascii="宋体" w:hAnsi="宋体" w:cs="宋体"/>
          <w:color w:val="auto"/>
          <w:szCs w:val="21"/>
          <w:highlight w:val="none"/>
        </w:rPr>
        <w:t>磋商</w:t>
      </w:r>
      <w:r>
        <w:rPr>
          <w:rFonts w:hint="eastAsia" w:ascii="宋体" w:hAnsi="宋体" w:cs="宋体"/>
          <w:color w:val="auto"/>
          <w:kern w:val="0"/>
          <w:szCs w:val="21"/>
          <w:highlight w:val="none"/>
        </w:rPr>
        <w:t>的供应商在规定时间内密封提交最后报价，提交最后报价的供应商不得少于3家。</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21.8.2磋商文件不能详细列明采购标的的技术、服务要求的，需由磋商供应商提供最终设计方案或解决方案的，</w:t>
      </w:r>
      <w:r>
        <w:rPr>
          <w:rFonts w:hint="eastAsia" w:ascii="宋体" w:hAnsi="宋体" w:cs="宋体"/>
          <w:color w:val="auto"/>
          <w:szCs w:val="21"/>
          <w:highlight w:val="none"/>
        </w:rPr>
        <w:t>磋商</w:t>
      </w:r>
      <w:r>
        <w:rPr>
          <w:rFonts w:hint="eastAsia" w:ascii="宋体" w:hAnsi="宋体" w:cs="宋体"/>
          <w:color w:val="auto"/>
          <w:kern w:val="0"/>
          <w:szCs w:val="21"/>
          <w:highlight w:val="none"/>
        </w:rPr>
        <w:t>结束后，磋商小组应当按照少数服从多数的原则投票推荐3家以上（含3家）供应商的设计方案或者解决方案，并要求其在规定时间内密封提交最后报价。</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21.8.3最后报价是供应商响应文件的有效组成部分。</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21.9已提交响应文件的供应商，在提交最后报价之前，可以根据</w:t>
      </w:r>
      <w:r>
        <w:rPr>
          <w:rFonts w:hint="eastAsia" w:ascii="宋体" w:hAnsi="宋体" w:cs="宋体"/>
          <w:color w:val="auto"/>
          <w:szCs w:val="21"/>
          <w:highlight w:val="none"/>
        </w:rPr>
        <w:t>磋商</w:t>
      </w:r>
      <w:r>
        <w:rPr>
          <w:rFonts w:hint="eastAsia" w:ascii="宋体" w:hAnsi="宋体" w:cs="宋体"/>
          <w:color w:val="auto"/>
          <w:kern w:val="0"/>
          <w:szCs w:val="21"/>
          <w:highlight w:val="none"/>
        </w:rPr>
        <w:t>情况书面退出</w:t>
      </w:r>
      <w:r>
        <w:rPr>
          <w:rFonts w:hint="eastAsia" w:ascii="宋体" w:hAnsi="宋体" w:cs="宋体"/>
          <w:color w:val="auto"/>
          <w:szCs w:val="21"/>
          <w:highlight w:val="none"/>
        </w:rPr>
        <w:t>磋商</w:t>
      </w:r>
      <w:r>
        <w:rPr>
          <w:rFonts w:hint="eastAsia" w:ascii="宋体" w:hAnsi="宋体" w:cs="宋体"/>
          <w:color w:val="auto"/>
          <w:kern w:val="0"/>
          <w:szCs w:val="21"/>
          <w:highlight w:val="none"/>
        </w:rPr>
        <w:t>。</w:t>
      </w:r>
    </w:p>
    <w:p>
      <w:pPr>
        <w:spacing w:before="0" w:after="0"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未书面退出</w:t>
      </w:r>
      <w:r>
        <w:rPr>
          <w:rFonts w:hint="eastAsia" w:ascii="宋体" w:hAnsi="宋体" w:cs="宋体"/>
          <w:color w:val="auto"/>
          <w:szCs w:val="21"/>
          <w:highlight w:val="none"/>
        </w:rPr>
        <w:t>磋商</w:t>
      </w:r>
      <w:r>
        <w:rPr>
          <w:rFonts w:hint="eastAsia" w:ascii="宋体" w:hAnsi="宋体" w:cs="宋体"/>
          <w:color w:val="auto"/>
          <w:kern w:val="0"/>
          <w:szCs w:val="21"/>
          <w:highlight w:val="none"/>
        </w:rPr>
        <w:t>的供应商在规定时间内密封提交最后报价，其最后报价超出采购预算导致已通过评审的响应文件无效的，按供应商在提交响应文件截止时间后撤回响应文件处理。</w:t>
      </w:r>
    </w:p>
    <w:p>
      <w:pPr>
        <w:widowControl/>
        <w:tabs>
          <w:tab w:val="left" w:pos="540"/>
        </w:tabs>
        <w:spacing w:before="0" w:after="0"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21.10 评审报告</w:t>
      </w:r>
    </w:p>
    <w:p>
      <w:pPr>
        <w:spacing w:before="0" w:after="0" w:line="400" w:lineRule="exact"/>
        <w:ind w:firstLine="420"/>
        <w:rPr>
          <w:rFonts w:ascii="宋体" w:hAnsi="宋体" w:cs="宋体"/>
          <w:color w:val="auto"/>
          <w:kern w:val="0"/>
          <w:sz w:val="24"/>
          <w:highlight w:val="none"/>
        </w:rPr>
      </w:pPr>
      <w:r>
        <w:rPr>
          <w:rFonts w:hint="eastAsia" w:ascii="宋体" w:hAnsi="宋体" w:cs="宋体"/>
          <w:color w:val="auto"/>
          <w:kern w:val="0"/>
          <w:szCs w:val="21"/>
          <w:highlight w:val="none"/>
        </w:rPr>
        <w:t>磋商小组应当从质量和服务均能满足磋商文件全部实质性响应要求的供应商中，按照评审报价（最后报价及享受政府采购政策的优惠扣除）由低到高的顺序提出3名以上（含3名）成交候选人，并编写评审报告。</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21.11采购代理机构发现磋商小组有明显的违规倾向或歧视现象，或不按评审办法进行，或其他不正常行为的，应当及时制止。如制止无效，应及时向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灌阳县</w:t>
      </w:r>
      <w:r>
        <w:rPr>
          <w:rFonts w:hint="eastAsia" w:ascii="宋体" w:hAnsi="宋体" w:cs="宋体"/>
          <w:color w:val="auto"/>
          <w:szCs w:val="21"/>
          <w:highlight w:val="none"/>
        </w:rPr>
        <w:t>政府采购监督管理机构报告。</w:t>
      </w:r>
    </w:p>
    <w:p>
      <w:pPr>
        <w:spacing w:before="0" w:after="0" w:line="40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22. 确定成交供应商</w:t>
      </w:r>
    </w:p>
    <w:p>
      <w:pPr>
        <w:tabs>
          <w:tab w:val="left" w:pos="4214"/>
        </w:tabs>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（1）采购单位应当确定磋商小组推荐排名第一的成交候选人为成交供应商。</w:t>
      </w:r>
    </w:p>
    <w:p>
      <w:pPr>
        <w:spacing w:before="0" w:after="0" w:line="40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（2）排名第一的成交候选人放弃成交、因不可抗力提出不能履行合同，采购单位可以确定排名第二的成交候选人为成交供应商。</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（3）排名第二的成交候选人因前款规定的同样原因不能签订合同的，采购单位可以确定排名第三的成交候选人为成交供应商。</w:t>
      </w:r>
    </w:p>
    <w:p>
      <w:pPr>
        <w:widowControl/>
        <w:shd w:val="clear" w:color="auto" w:fill="FFFFFF"/>
        <w:spacing w:before="0" w:after="0" w:line="400" w:lineRule="exact"/>
        <w:ind w:firstLine="480" w:firstLineChars="0"/>
        <w:jc w:val="left"/>
        <w:rPr>
          <w:rFonts w:ascii="宋体" w:hAnsi="宋体" w:cs="宋体"/>
          <w:b/>
          <w:color w:val="auto"/>
          <w:szCs w:val="21"/>
          <w:highlight w:val="none"/>
        </w:rPr>
      </w:pPr>
      <w:r>
        <w:rPr>
          <w:rFonts w:hint="eastAsia" w:ascii="宋体" w:hAnsi="宋体" w:cs="宋体"/>
          <w:b/>
          <w:bCs/>
          <w:color w:val="auto"/>
          <w:szCs w:val="21"/>
          <w:highlight w:val="none"/>
        </w:rPr>
        <w:t xml:space="preserve">23. </w:t>
      </w:r>
      <w:r>
        <w:rPr>
          <w:rFonts w:hint="eastAsia" w:ascii="宋体" w:hAnsi="宋体" w:cs="宋体"/>
          <w:b/>
          <w:color w:val="auto"/>
          <w:szCs w:val="21"/>
          <w:highlight w:val="none"/>
        </w:rPr>
        <w:t>属于下列情况之一者，响应文件无效：</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（1）未按磋商文件规定完整提交响应文件或未按规定要求密封、签字、盖章的；</w:t>
      </w:r>
    </w:p>
    <w:p>
      <w:pPr>
        <w:snapToGrid w:val="0"/>
        <w:spacing w:before="0" w:after="0" w:line="40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（2）超越了行政审批的经营范围的；</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（3）不具备磋商文件规定的资格要求的</w:t>
      </w:r>
      <w:r>
        <w:rPr>
          <w:rFonts w:hint="eastAsia" w:ascii="宋体" w:hAnsi="宋体" w:cs="宋体"/>
          <w:color w:val="auto"/>
          <w:highlight w:val="none"/>
        </w:rPr>
        <w:t>；</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（4）响应文件未按磋商文件的内容和要求编制，或提供虚假材料的；</w:t>
      </w:r>
    </w:p>
    <w:p>
      <w:pPr>
        <w:snapToGrid w:val="0"/>
        <w:spacing w:before="0" w:after="0" w:line="40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（5）属于“必须提供”的响应文件未能按时提供或补正、更正的；</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（6）响应文件有效期、交付时间、免费保修期、售后服务不能满足磋商文件要求的；</w:t>
      </w:r>
    </w:p>
    <w:p>
      <w:pPr>
        <w:snapToGrid w:val="0"/>
        <w:spacing w:before="0" w:after="0" w:line="400" w:lineRule="exact"/>
        <w:ind w:firstLine="411" w:firstLineChars="196"/>
        <w:outlineLvl w:val="4"/>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7）供应商</w:t>
      </w:r>
      <w:r>
        <w:rPr>
          <w:rFonts w:hint="eastAsia" w:ascii="宋体" w:hAnsi="宋体" w:cs="宋体"/>
          <w:color w:val="auto"/>
          <w:szCs w:val="21"/>
          <w:highlight w:val="none"/>
        </w:rPr>
        <w:t>未就“服务采购需求”中的所有服务内容作完整唯一报价的</w:t>
      </w:r>
      <w:r>
        <w:rPr>
          <w:rFonts w:hint="eastAsia" w:ascii="宋体" w:hAnsi="宋体" w:cs="宋体"/>
          <w:color w:val="auto"/>
          <w:highlight w:val="none"/>
        </w:rPr>
        <w:t>，或报价超出采购预算总金额的；</w:t>
      </w:r>
    </w:p>
    <w:p>
      <w:pPr>
        <w:spacing w:before="0" w:after="0" w:line="400" w:lineRule="exact"/>
        <w:ind w:firstLine="420"/>
        <w:rPr>
          <w:rFonts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Cs w:val="20"/>
          <w:highlight w:val="none"/>
        </w:rPr>
        <w:t>未在磋商小组规定的时间内重新提交响应文件的；</w:t>
      </w:r>
    </w:p>
    <w:p>
      <w:pPr>
        <w:spacing w:before="0" w:after="0" w:line="400" w:lineRule="exact"/>
        <w:ind w:firstLine="420"/>
        <w:rPr>
          <w:rFonts w:ascii="宋体" w:hAnsi="宋体" w:cs="宋体"/>
          <w:color w:val="auto"/>
          <w:highlight w:val="none"/>
        </w:rPr>
      </w:pPr>
      <w:r>
        <w:rPr>
          <w:rFonts w:hint="eastAsia" w:ascii="宋体" w:hAnsi="宋体" w:cs="宋体"/>
          <w:color w:val="auto"/>
          <w:highlight w:val="none"/>
        </w:rPr>
        <w:t>（9）未满足磋商文件全部实质性要求的或者响应文件有采购人不能接受的附加条件的；</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）不符合法律、法规和磋商文件规定的其他实质性要求和条件的。</w:t>
      </w:r>
    </w:p>
    <w:p>
      <w:pPr>
        <w:snapToGrid w:val="0"/>
        <w:spacing w:before="0" w:after="0" w:line="380" w:lineRule="exact"/>
        <w:ind w:left="355" w:leftChars="169" w:firstLine="103" w:firstLineChars="49"/>
        <w:outlineLvl w:val="4"/>
        <w:rPr>
          <w:rFonts w:ascii="宋体" w:hAnsi="宋体"/>
          <w:b/>
          <w:color w:val="auto"/>
          <w:szCs w:val="21"/>
          <w:highlight w:val="none"/>
        </w:rPr>
      </w:pPr>
      <w:r>
        <w:rPr>
          <w:rFonts w:hint="eastAsia" w:ascii="宋体" w:hAnsi="宋体"/>
          <w:b/>
          <w:color w:val="auto"/>
          <w:szCs w:val="21"/>
          <w:highlight w:val="none"/>
        </w:rPr>
        <w:t>磋商供应商有下列情形之一的，视为串通磋商，响应文件将被视为无效：</w:t>
      </w:r>
    </w:p>
    <w:p>
      <w:pPr>
        <w:snapToGrid w:val="0"/>
        <w:spacing w:before="0" w:after="0" w:line="380" w:lineRule="exact"/>
        <w:ind w:left="355" w:leftChars="169" w:firstLine="102" w:firstLineChars="49"/>
        <w:outlineLvl w:val="4"/>
        <w:rPr>
          <w:rFonts w:ascii="宋体" w:hAnsi="宋体"/>
          <w:color w:val="auto"/>
          <w:highlight w:val="none"/>
        </w:rPr>
      </w:pPr>
      <w:r>
        <w:rPr>
          <w:rFonts w:hint="eastAsia" w:ascii="宋体" w:hAnsi="宋体"/>
          <w:color w:val="auto"/>
          <w:highlight w:val="none"/>
        </w:rPr>
        <w:t>（1）不同磋商供应商的响应文件由同一单位或者个人编制；或不同磋商供应商报名的IP地址一致的；</w:t>
      </w:r>
    </w:p>
    <w:p>
      <w:pPr>
        <w:snapToGrid w:val="0"/>
        <w:spacing w:before="0" w:after="0" w:line="380" w:lineRule="exact"/>
        <w:ind w:left="355" w:leftChars="169" w:firstLine="102" w:firstLineChars="49"/>
        <w:outlineLvl w:val="4"/>
        <w:rPr>
          <w:rFonts w:ascii="宋体" w:hAnsi="宋体"/>
          <w:color w:val="auto"/>
          <w:highlight w:val="none"/>
        </w:rPr>
      </w:pPr>
      <w:r>
        <w:rPr>
          <w:rFonts w:hint="eastAsia" w:ascii="宋体" w:hAnsi="宋体"/>
          <w:color w:val="auto"/>
          <w:highlight w:val="none"/>
        </w:rPr>
        <w:t>（2）不同磋商供应商委托同一单位或者个人办理磋商事宜；</w:t>
      </w:r>
    </w:p>
    <w:p>
      <w:pPr>
        <w:snapToGrid w:val="0"/>
        <w:spacing w:before="0" w:after="0" w:line="380" w:lineRule="exact"/>
        <w:ind w:left="355" w:leftChars="169" w:firstLine="102" w:firstLineChars="49"/>
        <w:outlineLvl w:val="4"/>
        <w:rPr>
          <w:rFonts w:ascii="宋体" w:hAnsi="宋体"/>
          <w:color w:val="auto"/>
          <w:highlight w:val="none"/>
        </w:rPr>
      </w:pPr>
      <w:r>
        <w:rPr>
          <w:rFonts w:hint="eastAsia" w:ascii="宋体" w:hAnsi="宋体"/>
          <w:color w:val="auto"/>
          <w:highlight w:val="none"/>
        </w:rPr>
        <w:t>（3）不同的磋商供应商的响应文件载明的项目管理员为同一个人；</w:t>
      </w:r>
    </w:p>
    <w:p>
      <w:pPr>
        <w:snapToGrid w:val="0"/>
        <w:spacing w:before="0" w:after="0" w:line="380" w:lineRule="exact"/>
        <w:ind w:left="355" w:leftChars="169" w:firstLine="102" w:firstLineChars="49"/>
        <w:outlineLvl w:val="4"/>
        <w:rPr>
          <w:rFonts w:ascii="宋体" w:hAnsi="宋体"/>
          <w:color w:val="auto"/>
          <w:highlight w:val="none"/>
        </w:rPr>
      </w:pPr>
      <w:r>
        <w:rPr>
          <w:rFonts w:hint="eastAsia" w:ascii="宋体" w:hAnsi="宋体"/>
          <w:color w:val="auto"/>
          <w:highlight w:val="none"/>
        </w:rPr>
        <w:t xml:space="preserve">（4）不同磋商供应商的响应文件异常一致或磋商报价呈规律性差异； </w:t>
      </w:r>
    </w:p>
    <w:p>
      <w:pPr>
        <w:snapToGrid w:val="0"/>
        <w:spacing w:before="0" w:after="0" w:line="380" w:lineRule="exact"/>
        <w:ind w:left="355" w:leftChars="169" w:firstLine="102" w:firstLineChars="49"/>
        <w:outlineLvl w:val="4"/>
        <w:rPr>
          <w:rFonts w:ascii="宋体" w:hAnsi="宋体"/>
          <w:color w:val="auto"/>
          <w:highlight w:val="none"/>
        </w:rPr>
      </w:pPr>
      <w:r>
        <w:rPr>
          <w:rFonts w:hint="eastAsia" w:ascii="宋体" w:hAnsi="宋体"/>
          <w:color w:val="auto"/>
          <w:highlight w:val="none"/>
        </w:rPr>
        <w:t>（5）不同磋商供应商的响应文件相互混装；</w:t>
      </w:r>
    </w:p>
    <w:p>
      <w:pPr>
        <w:snapToGrid w:val="0"/>
        <w:spacing w:before="0" w:after="0" w:line="380" w:lineRule="exact"/>
        <w:ind w:left="325" w:leftChars="155" w:firstLine="105" w:firstLineChars="50"/>
        <w:outlineLvl w:val="4"/>
        <w:rPr>
          <w:rFonts w:ascii="宋体" w:hAnsi="宋体" w:cs="宋体"/>
          <w:color w:val="auto"/>
          <w:szCs w:val="21"/>
          <w:highlight w:val="none"/>
        </w:rPr>
      </w:pPr>
      <w:r>
        <w:rPr>
          <w:rFonts w:hint="eastAsia" w:ascii="宋体" w:hAnsi="宋体"/>
          <w:color w:val="auto"/>
          <w:szCs w:val="21"/>
          <w:highlight w:val="none"/>
        </w:rPr>
        <w:t>（6）响应文件实质性要求未做变动，磋商供应商最终报价高于第一次报价的。</w:t>
      </w:r>
    </w:p>
    <w:p>
      <w:pPr>
        <w:snapToGrid w:val="0"/>
        <w:spacing w:before="0" w:after="0" w:line="400" w:lineRule="exact"/>
        <w:ind w:firstLine="413" w:firstLineChars="196"/>
        <w:outlineLvl w:val="4"/>
        <w:rPr>
          <w:rFonts w:ascii="宋体" w:hAnsi="宋体" w:cs="宋体"/>
          <w:b/>
          <w:color w:val="auto"/>
          <w:szCs w:val="21"/>
          <w:highlight w:val="none"/>
        </w:rPr>
      </w:pPr>
      <w:r>
        <w:rPr>
          <w:rFonts w:hint="eastAsia" w:ascii="宋体" w:hAnsi="宋体" w:cs="宋体"/>
          <w:b/>
          <w:color w:val="auto"/>
          <w:szCs w:val="21"/>
          <w:highlight w:val="none"/>
        </w:rPr>
        <w:t>24. 出现下列情形之一的，采购人或者采购代理机构应当终止竞争性磋商采购活动，发布项目终止公告并说明原因，重新开展采购活动：</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 xml:space="preserve">（3）在采购过程中符合竞争要求的供应商或者报价未超过采购预算的供应商不足3家的。 </w:t>
      </w:r>
    </w:p>
    <w:p>
      <w:pPr>
        <w:snapToGrid w:val="0"/>
        <w:spacing w:before="0" w:after="0" w:line="400" w:lineRule="exact"/>
        <w:ind w:firstLine="422"/>
        <w:outlineLvl w:val="4"/>
        <w:rPr>
          <w:rFonts w:ascii="宋体" w:hAnsi="宋体" w:cs="宋体"/>
          <w:b/>
          <w:color w:val="auto"/>
          <w:highlight w:val="none"/>
        </w:rPr>
      </w:pPr>
      <w:r>
        <w:rPr>
          <w:rFonts w:hint="eastAsia" w:ascii="宋体" w:hAnsi="宋体" w:cs="宋体"/>
          <w:b/>
          <w:color w:val="auto"/>
          <w:highlight w:val="none"/>
        </w:rPr>
        <w:t>25. 磋商过程的监控</w:t>
      </w:r>
    </w:p>
    <w:p>
      <w:pPr>
        <w:spacing w:before="0" w:after="0" w:line="400" w:lineRule="exact"/>
        <w:ind w:firstLine="411" w:firstLineChars="196"/>
        <w:rPr>
          <w:rFonts w:ascii="宋体" w:hAnsi="宋体" w:cs="宋体"/>
          <w:color w:val="auto"/>
          <w:szCs w:val="20"/>
          <w:highlight w:val="none"/>
        </w:rPr>
      </w:pPr>
      <w:r>
        <w:rPr>
          <w:rFonts w:hint="eastAsia" w:ascii="宋体" w:hAnsi="宋体" w:cs="宋体"/>
          <w:color w:val="auto"/>
          <w:szCs w:val="20"/>
          <w:highlight w:val="none"/>
        </w:rPr>
        <w:t>本项目</w:t>
      </w:r>
      <w:r>
        <w:rPr>
          <w:rFonts w:hint="eastAsia" w:ascii="宋体" w:hAnsi="宋体" w:cs="宋体"/>
          <w:color w:val="auto"/>
          <w:szCs w:val="21"/>
          <w:highlight w:val="none"/>
        </w:rPr>
        <w:t>磋商</w:t>
      </w:r>
      <w:r>
        <w:rPr>
          <w:rFonts w:hint="eastAsia" w:ascii="宋体" w:hAnsi="宋体" w:cs="宋体"/>
          <w:color w:val="auto"/>
          <w:szCs w:val="20"/>
          <w:highlight w:val="none"/>
        </w:rPr>
        <w:t>过程实行全程录音、录像监控，供应商在</w:t>
      </w:r>
      <w:r>
        <w:rPr>
          <w:rFonts w:hint="eastAsia" w:ascii="宋体" w:hAnsi="宋体" w:cs="宋体"/>
          <w:color w:val="auto"/>
          <w:szCs w:val="21"/>
          <w:highlight w:val="none"/>
        </w:rPr>
        <w:t>磋商</w:t>
      </w:r>
      <w:r>
        <w:rPr>
          <w:rFonts w:hint="eastAsia" w:ascii="宋体" w:hAnsi="宋体" w:cs="宋体"/>
          <w:color w:val="auto"/>
          <w:szCs w:val="20"/>
          <w:highlight w:val="none"/>
        </w:rPr>
        <w:t>过程中所进行的试图影响</w:t>
      </w:r>
      <w:r>
        <w:rPr>
          <w:rFonts w:hint="eastAsia" w:ascii="宋体" w:hAnsi="宋体" w:cs="宋体"/>
          <w:color w:val="auto"/>
          <w:szCs w:val="21"/>
          <w:highlight w:val="none"/>
        </w:rPr>
        <w:t>磋商</w:t>
      </w:r>
      <w:r>
        <w:rPr>
          <w:rFonts w:hint="eastAsia" w:ascii="宋体" w:hAnsi="宋体" w:cs="宋体"/>
          <w:color w:val="auto"/>
          <w:szCs w:val="20"/>
          <w:highlight w:val="none"/>
        </w:rPr>
        <w:t>结果的不公正活动，可能导致其</w:t>
      </w:r>
      <w:r>
        <w:rPr>
          <w:rFonts w:hint="eastAsia" w:ascii="宋体" w:hAnsi="宋体" w:cs="宋体"/>
          <w:color w:val="auto"/>
          <w:szCs w:val="21"/>
          <w:highlight w:val="none"/>
        </w:rPr>
        <w:t>磋商</w:t>
      </w:r>
      <w:r>
        <w:rPr>
          <w:rFonts w:hint="eastAsia" w:ascii="宋体" w:hAnsi="宋体" w:cs="宋体"/>
          <w:color w:val="auto"/>
          <w:szCs w:val="20"/>
          <w:highlight w:val="none"/>
        </w:rPr>
        <w:t>被拒绝。</w:t>
      </w:r>
    </w:p>
    <w:p>
      <w:pPr>
        <w:spacing w:before="0" w:after="0" w:line="400" w:lineRule="exact"/>
        <w:ind w:firstLine="413" w:firstLineChars="196"/>
        <w:rPr>
          <w:rFonts w:ascii="宋体" w:hAnsi="宋体" w:cs="宋体"/>
          <w:b/>
          <w:color w:val="auto"/>
          <w:szCs w:val="20"/>
          <w:highlight w:val="none"/>
        </w:rPr>
      </w:pPr>
      <w:r>
        <w:rPr>
          <w:rFonts w:hint="eastAsia" w:ascii="宋体" w:hAnsi="宋体" w:cs="宋体"/>
          <w:b/>
          <w:color w:val="auto"/>
          <w:szCs w:val="20"/>
          <w:highlight w:val="none"/>
        </w:rPr>
        <w:t>26</w:t>
      </w:r>
      <w:r>
        <w:rPr>
          <w:rFonts w:hint="eastAsia" w:ascii="宋体" w:hAnsi="宋体" w:cs="宋体"/>
          <w:b/>
          <w:color w:val="auto"/>
          <w:szCs w:val="21"/>
          <w:highlight w:val="none"/>
        </w:rPr>
        <w:t xml:space="preserve">. </w:t>
      </w:r>
      <w:r>
        <w:rPr>
          <w:rFonts w:hint="eastAsia" w:ascii="宋体" w:hAnsi="宋体" w:cs="宋体"/>
          <w:b/>
          <w:color w:val="auto"/>
          <w:highlight w:val="none"/>
        </w:rPr>
        <w:t>成交公告及成交通知书</w:t>
      </w:r>
    </w:p>
    <w:p>
      <w:pPr>
        <w:spacing w:before="0" w:after="0" w:line="400" w:lineRule="exact"/>
        <w:ind w:firstLine="420"/>
        <w:rPr>
          <w:rFonts w:ascii="宋体" w:hAnsi="宋体" w:cs="宋体"/>
          <w:color w:val="auto"/>
          <w:szCs w:val="21"/>
          <w:highlight w:val="none"/>
        </w:rPr>
      </w:pPr>
      <w:r>
        <w:rPr>
          <w:rFonts w:hint="eastAsia" w:ascii="宋体" w:hAnsi="宋体" w:cs="宋体"/>
          <w:color w:val="auto"/>
          <w:highlight w:val="none"/>
        </w:rPr>
        <w:t xml:space="preserve">26.1 </w:t>
      </w:r>
      <w:r>
        <w:rPr>
          <w:rFonts w:hint="eastAsia" w:ascii="宋体" w:hAnsi="宋体" w:cs="宋体"/>
          <w:color w:val="auto"/>
          <w:szCs w:val="21"/>
          <w:highlight w:val="none"/>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before="0" w:after="0" w:line="400" w:lineRule="exact"/>
        <w:ind w:firstLine="411" w:firstLineChars="196"/>
        <w:outlineLvl w:val="4"/>
        <w:rPr>
          <w:rFonts w:ascii="宋体" w:hAnsi="宋体" w:cs="宋体"/>
          <w:color w:val="auto"/>
          <w:szCs w:val="21"/>
          <w:highlight w:val="none"/>
        </w:rPr>
      </w:pPr>
      <w:r>
        <w:rPr>
          <w:rFonts w:hint="eastAsia" w:ascii="宋体" w:hAnsi="宋体" w:cs="宋体"/>
          <w:color w:val="auto"/>
          <w:szCs w:val="21"/>
          <w:highlight w:val="none"/>
        </w:rPr>
        <w:t>26.2 在发布成交公告的同时，采购代理机构向成交供应商发出成交通知书。如成交供应商自接到通知之日起七个工作日内，不办理成交通知书领取手续的，按违约处理。采购单位将取消其成交资格，成交供应商所有磋商的全部保证金不予退还，从磋商小组推荐的成交候选人中按顺序重新确定成交供应商。</w:t>
      </w:r>
    </w:p>
    <w:p>
      <w:pPr>
        <w:spacing w:before="0" w:after="0" w:line="400" w:lineRule="exact"/>
        <w:ind w:firstLine="420"/>
        <w:rPr>
          <w:rFonts w:ascii="宋体" w:hAnsi="宋体" w:cs="宋体"/>
          <w:color w:val="auto"/>
          <w:szCs w:val="20"/>
          <w:highlight w:val="none"/>
        </w:rPr>
      </w:pPr>
      <w:r>
        <w:rPr>
          <w:rFonts w:hint="eastAsia" w:ascii="宋体" w:hAnsi="宋体" w:cs="宋体"/>
          <w:color w:val="auto"/>
          <w:szCs w:val="20"/>
          <w:highlight w:val="none"/>
        </w:rPr>
        <w:t>26.3 采购代理机构无义务向未成交的供应商解释未成交原因和退还响应文件。</w:t>
      </w:r>
    </w:p>
    <w:p>
      <w:pPr>
        <w:spacing w:before="0" w:after="0" w:line="380" w:lineRule="exact"/>
        <w:ind w:firstLine="413" w:firstLineChars="196"/>
        <w:rPr>
          <w:rFonts w:ascii="宋体" w:hAnsi="宋体"/>
          <w:b/>
          <w:color w:val="auto"/>
          <w:szCs w:val="20"/>
          <w:highlight w:val="none"/>
        </w:rPr>
      </w:pPr>
      <w:r>
        <w:rPr>
          <w:rFonts w:hint="eastAsia" w:ascii="宋体" w:hAnsi="宋体"/>
          <w:b/>
          <w:color w:val="auto"/>
          <w:szCs w:val="20"/>
          <w:highlight w:val="none"/>
        </w:rPr>
        <w:t>27.信用查询</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（2）查询截止时点：成交通知书发出前；</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pPr>
        <w:spacing w:before="0" w:after="0" w:line="400" w:lineRule="exact"/>
        <w:ind w:firstLine="42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2"/>
          <w:rFonts w:hint="eastAsia" w:ascii="宋体" w:hAnsi="宋体" w:cs="宋体"/>
          <w:color w:val="auto"/>
          <w:sz w:val="21"/>
          <w:szCs w:val="21"/>
          <w:highlight w:val="none"/>
        </w:rPr>
        <w:t>www.creditchina.gov.cn</w:t>
      </w:r>
      <w:r>
        <w:rPr>
          <w:rStyle w:val="52"/>
          <w:rFonts w:hint="eastAsia" w:ascii="宋体" w:hAnsi="宋体" w:cs="宋体"/>
          <w:color w:val="auto"/>
          <w:sz w:val="21"/>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2"/>
          <w:rFonts w:hint="eastAsia" w:ascii="宋体" w:hAnsi="宋体" w:cs="宋体"/>
          <w:color w:val="auto"/>
          <w:sz w:val="21"/>
          <w:szCs w:val="21"/>
          <w:highlight w:val="none"/>
        </w:rPr>
        <w:t>www.ccgp.gov.cn</w:t>
      </w:r>
      <w:r>
        <w:rPr>
          <w:rStyle w:val="52"/>
          <w:rFonts w:hint="eastAsia" w:ascii="宋体" w:hAnsi="宋体" w:cs="宋体"/>
          <w:color w:val="auto"/>
          <w:sz w:val="21"/>
          <w:szCs w:val="21"/>
          <w:highlight w:val="none"/>
        </w:rPr>
        <w:fldChar w:fldCharType="end"/>
      </w:r>
      <w:r>
        <w:rPr>
          <w:rFonts w:hint="eastAsia" w:ascii="宋体" w:hAnsi="宋体" w:cs="宋体"/>
          <w:color w:val="auto"/>
          <w:szCs w:val="21"/>
          <w:highlight w:val="none"/>
        </w:rPr>
        <w:t>）等渠道列入失信被执行人、重大税收违法案件当事人名单、政府采购严重违法失信行为记录名单及其他不符合《中华人民共和国政府采购法》第二十二条规定条件的供应商，取消其成交候选人资格。</w:t>
      </w:r>
    </w:p>
    <w:p>
      <w:pPr>
        <w:spacing w:before="0" w:after="0" w:line="400" w:lineRule="exact"/>
        <w:ind w:firstLine="420"/>
        <w:rPr>
          <w:rFonts w:ascii="宋体" w:hAnsi="宋体" w:cs="宋体"/>
          <w:color w:val="auto"/>
          <w:szCs w:val="21"/>
          <w:highlight w:val="none"/>
        </w:rPr>
      </w:pPr>
    </w:p>
    <w:p>
      <w:pPr>
        <w:tabs>
          <w:tab w:val="left" w:pos="1140"/>
        </w:tabs>
        <w:spacing w:before="0" w:after="0" w:line="400" w:lineRule="exact"/>
        <w:ind w:firstLine="0" w:firstLineChars="0"/>
        <w:jc w:val="center"/>
        <w:rPr>
          <w:rFonts w:ascii="宋体" w:hAnsi="宋体" w:cs="宋体"/>
          <w:b/>
          <w:color w:val="auto"/>
          <w:sz w:val="28"/>
          <w:szCs w:val="28"/>
          <w:highlight w:val="none"/>
        </w:rPr>
      </w:pPr>
      <w:r>
        <w:rPr>
          <w:rFonts w:hint="eastAsia" w:ascii="宋体" w:hAnsi="宋体" w:cs="宋体"/>
          <w:b/>
          <w:color w:val="auto"/>
          <w:sz w:val="28"/>
          <w:szCs w:val="28"/>
          <w:highlight w:val="none"/>
        </w:rPr>
        <w:t>五、签订合同</w:t>
      </w:r>
    </w:p>
    <w:p>
      <w:pPr>
        <w:spacing w:before="0" w:after="0" w:line="400" w:lineRule="exact"/>
        <w:ind w:firstLine="413" w:firstLineChars="196"/>
        <w:rPr>
          <w:rFonts w:ascii="宋体" w:hAnsi="宋体" w:cs="宋体"/>
          <w:b/>
          <w:color w:val="auto"/>
          <w:highlight w:val="none"/>
        </w:rPr>
      </w:pPr>
      <w:r>
        <w:rPr>
          <w:rFonts w:hint="eastAsia" w:ascii="宋体" w:hAnsi="宋体" w:cs="宋体"/>
          <w:b/>
          <w:color w:val="auto"/>
          <w:highlight w:val="none"/>
        </w:rPr>
        <w:t>28</w:t>
      </w:r>
      <w:r>
        <w:rPr>
          <w:rFonts w:hint="eastAsia" w:ascii="宋体" w:hAnsi="宋体" w:cs="宋体"/>
          <w:b/>
          <w:color w:val="auto"/>
          <w:szCs w:val="21"/>
          <w:highlight w:val="none"/>
        </w:rPr>
        <w:t xml:space="preserve">. </w:t>
      </w:r>
      <w:r>
        <w:rPr>
          <w:rFonts w:hint="eastAsia" w:ascii="宋体" w:hAnsi="宋体" w:cs="宋体"/>
          <w:b/>
          <w:color w:val="auto"/>
          <w:highlight w:val="none"/>
        </w:rPr>
        <w:t>履约保证金</w:t>
      </w:r>
    </w:p>
    <w:p>
      <w:pPr>
        <w:tabs>
          <w:tab w:val="left" w:pos="1140"/>
        </w:tabs>
        <w:spacing w:before="0" w:after="0" w:line="400" w:lineRule="exact"/>
        <w:ind w:firstLine="422"/>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.1履约保证金金额按成交价的5%（人民币，四舍五入到元）提供，由成交供应商在领取成交通知书前将履约保证金以转账、电汇形式缴入采购人指定账户。</w:t>
      </w:r>
    </w:p>
    <w:p>
      <w:pPr>
        <w:tabs>
          <w:tab w:val="left" w:pos="1140"/>
        </w:tabs>
        <w:spacing w:before="0" w:after="0" w:line="400" w:lineRule="exact"/>
        <w:ind w:firstLine="422"/>
        <w:rPr>
          <w:rFonts w:hint="eastAsia" w:ascii="宋体" w:hAnsi="宋体" w:cs="宋体"/>
          <w:b w:val="0"/>
          <w:bCs/>
          <w:color w:val="auto"/>
          <w:szCs w:val="21"/>
          <w:highlight w:val="none"/>
        </w:rPr>
      </w:pPr>
      <w:r>
        <w:rPr>
          <w:rFonts w:hint="eastAsia" w:ascii="宋体" w:hAnsi="宋体" w:cs="宋体"/>
          <w:b w:val="0"/>
          <w:bCs/>
          <w:color w:val="auto"/>
          <w:szCs w:val="21"/>
          <w:highlight w:val="none"/>
        </w:rPr>
        <w:t>账户名称：</w:t>
      </w:r>
      <w:r>
        <w:rPr>
          <w:rFonts w:hint="eastAsia" w:ascii="宋体" w:hAnsi="宋体" w:cs="宋体"/>
          <w:b w:val="0"/>
          <w:bCs/>
          <w:color w:val="auto"/>
          <w:szCs w:val="21"/>
          <w:highlight w:val="none"/>
          <w:lang w:eastAsia="zh-CN"/>
        </w:rPr>
        <w:t>灌阳县人民医院</w:t>
      </w:r>
      <w:r>
        <w:rPr>
          <w:rFonts w:hint="eastAsia" w:ascii="宋体" w:hAnsi="宋体" w:cs="宋体"/>
          <w:b w:val="0"/>
          <w:bCs/>
          <w:color w:val="auto"/>
          <w:szCs w:val="21"/>
          <w:highlight w:val="none"/>
        </w:rPr>
        <w:t xml:space="preserve"> </w:t>
      </w:r>
    </w:p>
    <w:p>
      <w:pPr>
        <w:tabs>
          <w:tab w:val="left" w:pos="1140"/>
        </w:tabs>
        <w:spacing w:before="0" w:after="0" w:line="400" w:lineRule="exact"/>
        <w:ind w:firstLine="422"/>
        <w:rPr>
          <w:rFonts w:hint="eastAsia" w:ascii="宋体" w:hAnsi="宋体" w:cs="宋体"/>
          <w:b w:val="0"/>
          <w:bCs/>
          <w:color w:val="auto"/>
          <w:szCs w:val="21"/>
          <w:highlight w:val="none"/>
        </w:rPr>
      </w:pPr>
      <w:r>
        <w:rPr>
          <w:rFonts w:hint="eastAsia" w:ascii="宋体" w:hAnsi="宋体" w:cs="宋体"/>
          <w:b w:val="0"/>
          <w:bCs/>
          <w:color w:val="auto"/>
          <w:szCs w:val="21"/>
          <w:highlight w:val="none"/>
        </w:rPr>
        <w:t>开户银行：</w:t>
      </w:r>
      <w:r>
        <w:rPr>
          <w:rFonts w:hint="eastAsia" w:ascii="宋体" w:hAnsi="宋体" w:cs="宋体"/>
          <w:b w:val="0"/>
          <w:bCs/>
          <w:color w:val="auto"/>
          <w:szCs w:val="21"/>
          <w:highlight w:val="none"/>
          <w:lang w:eastAsia="zh-CN"/>
        </w:rPr>
        <w:t>广西灌阳农村商业银行营业部</w:t>
      </w:r>
      <w:r>
        <w:rPr>
          <w:rFonts w:hint="eastAsia" w:ascii="宋体" w:hAnsi="宋体" w:cs="宋体"/>
          <w:b w:val="0"/>
          <w:bCs/>
          <w:color w:val="auto"/>
          <w:szCs w:val="21"/>
          <w:highlight w:val="none"/>
        </w:rPr>
        <w:t xml:space="preserve">  </w:t>
      </w:r>
    </w:p>
    <w:p>
      <w:pPr>
        <w:tabs>
          <w:tab w:val="left" w:pos="1140"/>
        </w:tabs>
        <w:spacing w:before="0" w:after="0" w:line="400" w:lineRule="exact"/>
        <w:ind w:firstLine="422"/>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银行账号：</w:t>
      </w:r>
      <w:r>
        <w:rPr>
          <w:rFonts w:hint="eastAsia" w:ascii="宋体" w:hAnsi="宋体" w:cs="宋体"/>
          <w:b w:val="0"/>
          <w:bCs/>
          <w:color w:val="auto"/>
          <w:szCs w:val="21"/>
          <w:highlight w:val="none"/>
          <w:lang w:val="en-US" w:eastAsia="zh-CN"/>
        </w:rPr>
        <w:t>325412010102728923</w:t>
      </w:r>
    </w:p>
    <w:p>
      <w:pPr>
        <w:tabs>
          <w:tab w:val="left" w:pos="1140"/>
        </w:tabs>
        <w:spacing w:before="0" w:after="0" w:line="400" w:lineRule="exact"/>
        <w:ind w:firstLine="422"/>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.2如果成交供应商没能按上述第27.1款规定执行，采购人将上报</w:t>
      </w:r>
      <w:r>
        <w:rPr>
          <w:rFonts w:hint="eastAsia" w:ascii="宋体" w:hAnsi="宋体" w:cs="宋体"/>
          <w:b w:val="0"/>
          <w:bCs/>
          <w:color w:val="auto"/>
          <w:szCs w:val="21"/>
          <w:highlight w:val="none"/>
          <w:lang w:eastAsia="zh-CN"/>
        </w:rPr>
        <w:t>灌阳县</w:t>
      </w:r>
      <w:r>
        <w:rPr>
          <w:rFonts w:hint="eastAsia" w:ascii="宋体" w:hAnsi="宋体" w:cs="宋体"/>
          <w:b w:val="0"/>
          <w:bCs/>
          <w:color w:val="auto"/>
          <w:szCs w:val="21"/>
          <w:highlight w:val="none"/>
        </w:rPr>
        <w:t>政府采购监督管理部门，取消成交资格，并有权授予第二成交候选供应商为成交供应商资格或重新组织采购。</w:t>
      </w:r>
    </w:p>
    <w:p>
      <w:pPr>
        <w:tabs>
          <w:tab w:val="left" w:pos="1140"/>
        </w:tabs>
        <w:spacing w:before="0" w:after="0" w:line="400" w:lineRule="exact"/>
        <w:ind w:firstLine="422"/>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3成交供应商履行完合同约定的权利义务事项且承诺的设备保修期满后，若设备无质量问题，凭《政府采购项目验收单》和履约保证金交纳凭证向采购人申请办理退还手续（无息）。如成交供应商不按双方签订的合同规定履约，则没收其全部履约保证金，履约保证金不足以赔偿损失的，按实际损失赔偿。</w:t>
      </w:r>
    </w:p>
    <w:p>
      <w:pPr>
        <w:tabs>
          <w:tab w:val="left" w:pos="1140"/>
        </w:tabs>
        <w:spacing w:before="0" w:after="0" w:line="400" w:lineRule="exact"/>
        <w:ind w:firstLine="422"/>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.4 在履约保证金到期退还前，若成交供应商的开户名称、开户银行、账号有变动的，以书面形式通知采购人，否则由此产生的后果由成交供应商自负。</w:t>
      </w:r>
    </w:p>
    <w:p>
      <w:pPr>
        <w:tabs>
          <w:tab w:val="left" w:pos="1140"/>
        </w:tabs>
        <w:spacing w:before="0" w:after="0"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29. 签订合同</w:t>
      </w:r>
    </w:p>
    <w:p>
      <w:pPr>
        <w:tabs>
          <w:tab w:val="left" w:pos="1140"/>
        </w:tabs>
        <w:spacing w:before="0" w:after="0" w:line="400" w:lineRule="exact"/>
        <w:ind w:firstLine="420"/>
        <w:rPr>
          <w:rFonts w:ascii="宋体" w:hAnsi="宋体" w:cs="宋体"/>
          <w:color w:val="auto"/>
          <w:highlight w:val="none"/>
        </w:rPr>
      </w:pPr>
      <w:r>
        <w:rPr>
          <w:rFonts w:hint="eastAsia" w:ascii="宋体" w:hAnsi="宋体" w:cs="宋体"/>
          <w:color w:val="auto"/>
          <w:highlight w:val="none"/>
        </w:rPr>
        <w:t>29.1 签订合同时间：成交通知书发出之日起</w:t>
      </w:r>
      <w:r>
        <w:rPr>
          <w:rFonts w:hint="eastAsia" w:ascii="宋体" w:hAnsi="宋体" w:cs="宋体"/>
          <w:color w:val="auto"/>
          <w:highlight w:val="none"/>
          <w:lang w:eastAsia="zh-CN"/>
        </w:rPr>
        <w:t>七个工作</w:t>
      </w:r>
      <w:r>
        <w:rPr>
          <w:rFonts w:hint="eastAsia" w:ascii="宋体" w:hAnsi="宋体" w:cs="宋体"/>
          <w:color w:val="auto"/>
          <w:highlight w:val="none"/>
        </w:rPr>
        <w:t>日内。</w:t>
      </w:r>
    </w:p>
    <w:p>
      <w:pPr>
        <w:spacing w:before="0" w:after="0" w:line="400" w:lineRule="exact"/>
        <w:ind w:firstLine="420"/>
        <w:rPr>
          <w:rFonts w:ascii="宋体" w:hAnsi="宋体" w:cs="宋体"/>
          <w:color w:val="auto"/>
          <w:highlight w:val="none"/>
        </w:rPr>
      </w:pPr>
      <w:r>
        <w:rPr>
          <w:rFonts w:hint="eastAsia" w:ascii="宋体" w:hAnsi="宋体" w:cs="宋体"/>
          <w:color w:val="auto"/>
          <w:highlight w:val="none"/>
        </w:rPr>
        <w:t>29.2如成交供应商有下列情形之一的</w:t>
      </w:r>
      <w:r>
        <w:rPr>
          <w:rFonts w:hint="eastAsia" w:ascii="宋体" w:hAnsi="宋体" w:cs="宋体"/>
          <w:color w:val="auto"/>
          <w:highlight w:val="none"/>
          <w:lang w:eastAsia="zh-CN"/>
        </w:rPr>
        <w:t>并且</w:t>
      </w:r>
      <w:r>
        <w:rPr>
          <w:rFonts w:hint="eastAsia" w:ascii="宋体" w:hAnsi="宋体" w:cs="宋体"/>
          <w:color w:val="auto"/>
          <w:highlight w:val="none"/>
        </w:rPr>
        <w:t>情节严重的，由财政部门将其列入不良行为记录名单，在一至三年内禁止参加政府采购活动，并予以通报。采购代理机构可从磋商小组推荐的成交候选人中按顺序重新确定成交供应商或重新组织采购。</w:t>
      </w:r>
      <w:r>
        <w:rPr>
          <w:rFonts w:hint="eastAsia" w:ascii="宋体" w:hAnsi="宋体" w:cs="宋体"/>
          <w:color w:val="auto"/>
          <w:szCs w:val="21"/>
          <w:highlight w:val="none"/>
        </w:rPr>
        <w:t>拒绝签订政府采购合同的成交供应商不得参加对该项目重新开展的采购活动。</w:t>
      </w:r>
    </w:p>
    <w:p>
      <w:pPr>
        <w:widowControl/>
        <w:spacing w:before="0" w:after="0" w:line="400" w:lineRule="exact"/>
        <w:ind w:firstLine="0" w:firstLineChars="0"/>
        <w:jc w:val="left"/>
        <w:rPr>
          <w:rFonts w:ascii="宋体" w:hAnsi="宋体" w:cs="宋体"/>
          <w:color w:val="auto"/>
          <w:highlight w:val="none"/>
        </w:rPr>
      </w:pPr>
      <w:r>
        <w:rPr>
          <w:rFonts w:hint="eastAsia" w:ascii="宋体" w:hAnsi="宋体" w:cs="宋体"/>
          <w:color w:val="auto"/>
          <w:highlight w:val="none"/>
        </w:rPr>
        <w:t>　　（1）成交后不与采购人签订合同的（不可抗力除外）；</w:t>
      </w:r>
    </w:p>
    <w:p>
      <w:pPr>
        <w:widowControl/>
        <w:spacing w:before="0" w:after="0" w:line="400" w:lineRule="exact"/>
        <w:ind w:firstLine="0" w:firstLineChars="0"/>
        <w:jc w:val="left"/>
        <w:rPr>
          <w:rFonts w:ascii="宋体" w:hAnsi="宋体" w:cs="宋体"/>
          <w:color w:val="auto"/>
          <w:highlight w:val="none"/>
        </w:rPr>
      </w:pPr>
      <w:r>
        <w:rPr>
          <w:rFonts w:hint="eastAsia" w:ascii="宋体" w:hAnsi="宋体" w:cs="宋体"/>
          <w:color w:val="auto"/>
          <w:highlight w:val="none"/>
        </w:rPr>
        <w:t xml:space="preserve">    （2）将成交项目转让给他人，或者在响应文件中未说明，且未经采购人同意，将成交项目分包给他人的；</w:t>
      </w:r>
    </w:p>
    <w:p>
      <w:pPr>
        <w:widowControl/>
        <w:spacing w:before="0" w:after="0" w:line="400" w:lineRule="exact"/>
        <w:ind w:firstLine="420" w:firstLineChars="0"/>
        <w:jc w:val="left"/>
        <w:rPr>
          <w:rFonts w:ascii="宋体" w:hAnsi="宋体" w:cs="宋体"/>
          <w:color w:val="auto"/>
          <w:highlight w:val="none"/>
        </w:rPr>
      </w:pPr>
      <w:r>
        <w:rPr>
          <w:rFonts w:hint="eastAsia" w:ascii="宋体" w:hAnsi="宋体" w:cs="宋体"/>
          <w:color w:val="auto"/>
          <w:highlight w:val="none"/>
        </w:rPr>
        <w:t>（3）拒绝履行合同义务的。</w:t>
      </w:r>
    </w:p>
    <w:p>
      <w:pPr>
        <w:spacing w:before="0" w:after="0" w:line="400" w:lineRule="exact"/>
        <w:ind w:firstLine="420"/>
        <w:rPr>
          <w:rFonts w:ascii="宋体" w:hAnsi="宋体" w:cs="宋体"/>
          <w:color w:val="auto"/>
          <w:highlight w:val="none"/>
        </w:rPr>
      </w:pPr>
      <w:r>
        <w:rPr>
          <w:rFonts w:hint="eastAsia" w:ascii="宋体" w:hAnsi="宋体" w:cs="宋体"/>
          <w:color w:val="auto"/>
          <w:highlight w:val="none"/>
        </w:rPr>
        <w:t>29.3 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color w:val="auto"/>
          <w:highlight w:val="none"/>
          <w:lang w:eastAsia="zh-CN"/>
        </w:rPr>
        <w:t>灌阳县政府采购管理办公室</w:t>
      </w:r>
      <w:r>
        <w:rPr>
          <w:rFonts w:hint="eastAsia" w:ascii="宋体" w:hAnsi="宋体" w:cs="宋体"/>
          <w:color w:val="auto"/>
          <w:highlight w:val="none"/>
        </w:rPr>
        <w:t>备案，一份由采购代理机构存档。</w:t>
      </w:r>
    </w:p>
    <w:p>
      <w:pPr>
        <w:spacing w:before="0" w:after="0" w:line="400" w:lineRule="exact"/>
        <w:ind w:left="3" w:firstLine="0" w:firstLineChars="0"/>
        <w:jc w:val="center"/>
        <w:rPr>
          <w:rFonts w:ascii="宋体" w:hAnsi="宋体" w:cs="宋体"/>
          <w:b/>
          <w:color w:val="auto"/>
          <w:sz w:val="28"/>
          <w:szCs w:val="28"/>
          <w:highlight w:val="none"/>
        </w:rPr>
      </w:pPr>
    </w:p>
    <w:p>
      <w:pPr>
        <w:spacing w:before="0" w:after="0" w:line="400" w:lineRule="exact"/>
        <w:ind w:left="3" w:firstLine="0" w:firstLineChars="0"/>
        <w:jc w:val="center"/>
        <w:rPr>
          <w:rFonts w:ascii="宋体" w:hAnsi="宋体" w:cs="宋体"/>
          <w:b/>
          <w:color w:val="auto"/>
          <w:sz w:val="28"/>
          <w:szCs w:val="28"/>
          <w:highlight w:val="none"/>
        </w:rPr>
      </w:pPr>
      <w:r>
        <w:rPr>
          <w:rFonts w:hint="eastAsia" w:ascii="宋体" w:hAnsi="宋体" w:cs="宋体"/>
          <w:b/>
          <w:color w:val="auto"/>
          <w:sz w:val="28"/>
          <w:szCs w:val="28"/>
          <w:highlight w:val="none"/>
        </w:rPr>
        <w:t>六、其他事项</w:t>
      </w:r>
    </w:p>
    <w:p>
      <w:pPr>
        <w:spacing w:before="0" w:after="0" w:line="400" w:lineRule="exact"/>
        <w:ind w:firstLine="517" w:firstLineChars="245"/>
        <w:rPr>
          <w:rFonts w:ascii="宋体" w:hAnsi="宋体" w:cs="宋体"/>
          <w:b/>
          <w:color w:val="auto"/>
          <w:highlight w:val="none"/>
        </w:rPr>
      </w:pPr>
      <w:r>
        <w:rPr>
          <w:rFonts w:hint="eastAsia" w:ascii="宋体" w:hAnsi="宋体" w:cs="宋体"/>
          <w:b/>
          <w:color w:val="auto"/>
          <w:highlight w:val="none"/>
        </w:rPr>
        <w:t>30</w:t>
      </w:r>
      <w:r>
        <w:rPr>
          <w:rFonts w:hint="eastAsia" w:ascii="宋体" w:hAnsi="宋体" w:cs="宋体"/>
          <w:b/>
          <w:color w:val="auto"/>
          <w:szCs w:val="21"/>
          <w:highlight w:val="none"/>
        </w:rPr>
        <w:t xml:space="preserve">. </w:t>
      </w:r>
      <w:r>
        <w:rPr>
          <w:rFonts w:hint="eastAsia" w:ascii="宋体" w:hAnsi="宋体" w:cs="宋体"/>
          <w:b/>
          <w:color w:val="auto"/>
          <w:highlight w:val="none"/>
        </w:rPr>
        <w:t>采购代理服务费</w:t>
      </w:r>
    </w:p>
    <w:p>
      <w:pPr>
        <w:spacing w:line="400" w:lineRule="exact"/>
        <w:ind w:firstLine="420"/>
        <w:rPr>
          <w:rFonts w:hint="eastAsia" w:ascii="宋体" w:hAnsi="宋体" w:cs="宋体"/>
          <w:color w:val="auto"/>
          <w:szCs w:val="21"/>
          <w:highlight w:val="none"/>
        </w:rPr>
      </w:pPr>
      <w:r>
        <w:rPr>
          <w:rFonts w:hint="eastAsia" w:ascii="宋体" w:hAnsi="宋体" w:cs="宋体"/>
          <w:color w:val="auto"/>
          <w:highlight w:val="none"/>
        </w:rPr>
        <w:t>成交供应商领取成交通知书前，</w:t>
      </w:r>
      <w:r>
        <w:rPr>
          <w:rFonts w:hint="eastAsia" w:ascii="宋体" w:hAnsi="宋体" w:cs="宋体"/>
          <w:color w:val="auto"/>
          <w:szCs w:val="21"/>
          <w:highlight w:val="none"/>
        </w:rPr>
        <w:t>向</w:t>
      </w:r>
      <w:r>
        <w:rPr>
          <w:rFonts w:hint="eastAsia" w:ascii="宋体" w:hAnsi="宋体" w:cs="宋体"/>
          <w:color w:val="auto"/>
          <w:highlight w:val="none"/>
        </w:rPr>
        <w:t>广西科文招标有限公司一次性付清代理服务费。</w:t>
      </w:r>
      <w:r>
        <w:rPr>
          <w:rFonts w:hint="eastAsia" w:ascii="宋体" w:hAnsi="宋体" w:cs="宋体"/>
          <w:color w:val="auto"/>
          <w:szCs w:val="21"/>
          <w:highlight w:val="none"/>
        </w:rPr>
        <w:t>本项目招标代理服务收费标准参照计价格[2002]1980号《招标代理服务收费管理暂行办法》服务类收费标准向成交供应商收取。</w:t>
      </w:r>
    </w:p>
    <w:p>
      <w:pPr>
        <w:pStyle w:val="45"/>
      </w:pPr>
    </w:p>
    <w:tbl>
      <w:tblPr>
        <w:tblStyle w:val="4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0" distR="0" simplePos="0" relativeHeight="1024" behindDoc="0" locked="0" layoutInCell="1" allowOverlap="1">
                      <wp:simplePos x="0" y="0"/>
                      <wp:positionH relativeFrom="column">
                        <wp:posOffset>296545</wp:posOffset>
                      </wp:positionH>
                      <wp:positionV relativeFrom="paragraph">
                        <wp:posOffset>10795</wp:posOffset>
                      </wp:positionV>
                      <wp:extent cx="1463675" cy="653415"/>
                      <wp:effectExtent l="0" t="0" r="0" b="0"/>
                      <wp:wrapNone/>
                      <wp:docPr id="1028"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109" o:spid="_x0000_s1026" o:spt="20" style="position:absolute;left:0pt;margin-left:23.35pt;margin-top:0.85pt;height:51.45pt;width:115.25pt;z-index:102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Abnqqe7AEAAOM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Cs w:val="21"/>
                <w:highlight w:val="none"/>
              </w:rPr>
              <w:t>费率           服务类型</w:t>
            </w:r>
          </w:p>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0" distR="0" simplePos="0" relativeHeight="1024" behindDoc="0" locked="0" layoutInCell="1" allowOverlap="1">
                      <wp:simplePos x="0" y="0"/>
                      <wp:positionH relativeFrom="column">
                        <wp:posOffset>-68580</wp:posOffset>
                      </wp:positionH>
                      <wp:positionV relativeFrom="paragraph">
                        <wp:posOffset>39370</wp:posOffset>
                      </wp:positionV>
                      <wp:extent cx="1828800" cy="396240"/>
                      <wp:effectExtent l="0" t="0" r="0" b="0"/>
                      <wp:wrapNone/>
                      <wp:docPr id="1029" name="直线 110"/>
                      <wp:cNvGraphicFramePr/>
                      <a:graphic xmlns:a="http://schemas.openxmlformats.org/drawingml/2006/main">
                        <a:graphicData uri="http://schemas.microsoft.com/office/word/2010/wordprocessingShape">
                          <wps:wsp>
                            <wps:cNvCnPr/>
                            <wps:spPr>
                              <a:xfrm>
                                <a:off x="0" y="0"/>
                                <a:ext cx="1828800" cy="396236"/>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110" o:spid="_x0000_s1026" o:spt="20" style="position:absolute;left:0pt;margin-left:-5.4pt;margin-top:3.1pt;height:31.2pt;width:144pt;z-index:1024;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Dq9E&#10;1gAAAAgBAAAPAAAAAAAAAAEAIAAAACIAAABkcnMvZG93bnJldi54bWxQSwECFAAUAAAACACHTuJA&#10;FqSQtuoBAADjAwAADgAAAAAAAAABACAAAAAlAQAAZHJzL2Uyb0RvYy54bWxQSwUGAAAAAAYABgBZ&#10;AQAAgQUAAAAA&#10;">
                      <v:fill on="f" focussize="0,0"/>
                      <v:stroke color="#000000" joinstyle="round"/>
                      <v:imagedata o:title=""/>
                      <o:lock v:ext="edit" aspectratio="f"/>
                    </v:line>
                  </w:pict>
                </mc:Fallback>
              </mc:AlternateContent>
            </w:r>
          </w:p>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w:t>中标金额（万元）</w:t>
            </w:r>
          </w:p>
        </w:tc>
        <w:tc>
          <w:tcPr>
            <w:tcW w:w="1841" w:type="dxa"/>
            <w:vAlign w:val="center"/>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992" w:type="dxa"/>
            <w:vAlign w:val="center"/>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2293" w:type="dxa"/>
            <w:vAlign w:val="center"/>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w:t>100以下</w:t>
            </w:r>
          </w:p>
        </w:tc>
        <w:tc>
          <w:tcPr>
            <w:tcW w:w="1841"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92"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93"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w:t>100-500</w:t>
            </w:r>
          </w:p>
        </w:tc>
        <w:tc>
          <w:tcPr>
            <w:tcW w:w="1841"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92"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0.8%</w:t>
            </w:r>
          </w:p>
        </w:tc>
        <w:tc>
          <w:tcPr>
            <w:tcW w:w="2293"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w:t>500-1000</w:t>
            </w:r>
          </w:p>
        </w:tc>
        <w:tc>
          <w:tcPr>
            <w:tcW w:w="1841"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0.8%</w:t>
            </w:r>
          </w:p>
        </w:tc>
        <w:tc>
          <w:tcPr>
            <w:tcW w:w="1992"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0.45%</w:t>
            </w:r>
          </w:p>
        </w:tc>
        <w:tc>
          <w:tcPr>
            <w:tcW w:w="2293"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w:t>1000-5000</w:t>
            </w:r>
          </w:p>
        </w:tc>
        <w:tc>
          <w:tcPr>
            <w:tcW w:w="1841"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0.5%</w:t>
            </w:r>
          </w:p>
        </w:tc>
        <w:tc>
          <w:tcPr>
            <w:tcW w:w="1992"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2293"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before="0" w:after="0" w:line="400" w:lineRule="exact"/>
              <w:ind w:left="23" w:firstLine="0" w:firstLineChars="0"/>
              <w:rPr>
                <w:rFonts w:ascii="宋体" w:hAnsi="宋体" w:cs="宋体"/>
                <w:color w:val="auto"/>
                <w:szCs w:val="21"/>
                <w:highlight w:val="none"/>
              </w:rPr>
            </w:pPr>
            <w:r>
              <w:rPr>
                <w:rFonts w:hint="eastAsia" w:ascii="宋体" w:hAnsi="宋体" w:cs="宋体"/>
                <w:color w:val="auto"/>
                <w:szCs w:val="21"/>
                <w:highlight w:val="none"/>
              </w:rPr>
              <w:t>5000-10000</w:t>
            </w:r>
          </w:p>
        </w:tc>
        <w:tc>
          <w:tcPr>
            <w:tcW w:w="1841"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992"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0.1%</w:t>
            </w:r>
          </w:p>
        </w:tc>
        <w:tc>
          <w:tcPr>
            <w:tcW w:w="2293" w:type="dxa"/>
          </w:tcPr>
          <w:p>
            <w:pPr>
              <w:spacing w:before="0" w:after="0" w:line="400" w:lineRule="exact"/>
              <w:ind w:left="23" w:firstLine="0" w:firstLineChars="0"/>
              <w:jc w:val="center"/>
              <w:rPr>
                <w:rFonts w:ascii="宋体" w:hAnsi="宋体" w:cs="宋体"/>
                <w:color w:val="auto"/>
                <w:szCs w:val="21"/>
                <w:highlight w:val="none"/>
              </w:rPr>
            </w:pPr>
            <w:r>
              <w:rPr>
                <w:rFonts w:hint="eastAsia" w:ascii="宋体" w:hAnsi="宋体" w:cs="宋体"/>
                <w:color w:val="auto"/>
                <w:szCs w:val="21"/>
                <w:highlight w:val="none"/>
              </w:rPr>
              <w:t>0.2%</w:t>
            </w:r>
          </w:p>
        </w:tc>
      </w:tr>
    </w:tbl>
    <w:p>
      <w:pPr>
        <w:spacing w:before="0" w:after="0" w:line="400" w:lineRule="exact"/>
        <w:ind w:left="25" w:firstLine="0" w:firstLineChars="0"/>
        <w:rPr>
          <w:rFonts w:ascii="宋体" w:hAnsi="宋体"/>
          <w:color w:val="auto"/>
          <w:szCs w:val="20"/>
          <w:highlight w:val="none"/>
        </w:rPr>
      </w:pPr>
      <w:r>
        <w:rPr>
          <w:rFonts w:hint="eastAsia" w:ascii="宋体" w:hAnsi="宋体"/>
          <w:color w:val="auto"/>
          <w:szCs w:val="20"/>
          <w:highlight w:val="none"/>
        </w:rPr>
        <w:t>注：招标代理服务收费按差额定率累进法计算。</w:t>
      </w:r>
    </w:p>
    <w:p>
      <w:pPr>
        <w:spacing w:before="0" w:after="0" w:line="400" w:lineRule="exact"/>
        <w:ind w:firstLine="422"/>
        <w:rPr>
          <w:rFonts w:ascii="宋体" w:hAnsi="宋体"/>
          <w:b/>
          <w:color w:val="auto"/>
          <w:highlight w:val="none"/>
        </w:rPr>
      </w:pPr>
      <w:r>
        <w:rPr>
          <w:rFonts w:hint="eastAsia" w:ascii="宋体" w:hAnsi="宋体" w:cs="宋体"/>
          <w:b/>
          <w:color w:val="auto"/>
          <w:highlight w:val="none"/>
        </w:rPr>
        <w:t xml:space="preserve">31. </w:t>
      </w:r>
      <w:r>
        <w:rPr>
          <w:rFonts w:hint="eastAsia" w:ascii="宋体" w:hAnsi="宋体"/>
          <w:b/>
          <w:color w:val="auto"/>
          <w:highlight w:val="none"/>
        </w:rPr>
        <w:t>招标代理服务费缴纳账户：</w:t>
      </w:r>
    </w:p>
    <w:p>
      <w:pPr>
        <w:spacing w:before="0" w:after="0" w:line="400" w:lineRule="exact"/>
        <w:ind w:firstLine="420"/>
        <w:rPr>
          <w:rFonts w:ascii="宋体" w:hAnsi="宋体"/>
          <w:color w:val="auto"/>
          <w:highlight w:val="none"/>
        </w:rPr>
      </w:pPr>
      <w:r>
        <w:rPr>
          <w:rFonts w:hint="eastAsia" w:ascii="宋体" w:hAnsi="宋体"/>
          <w:color w:val="auto"/>
          <w:highlight w:val="none"/>
        </w:rPr>
        <w:t>账户名称：广西科文招标有限公司桂林分公司</w:t>
      </w:r>
    </w:p>
    <w:p>
      <w:pPr>
        <w:spacing w:before="0" w:after="0" w:line="400" w:lineRule="exact"/>
        <w:ind w:firstLine="420"/>
        <w:rPr>
          <w:rFonts w:ascii="宋体" w:hAnsi="宋体"/>
          <w:color w:val="auto"/>
          <w:highlight w:val="none"/>
        </w:rPr>
      </w:pPr>
      <w:r>
        <w:rPr>
          <w:rFonts w:hint="eastAsia" w:ascii="宋体" w:hAnsi="宋体"/>
          <w:color w:val="auto"/>
          <w:highlight w:val="none"/>
        </w:rPr>
        <w:t>银行账号：210 3200 2093 0000 2088</w:t>
      </w:r>
    </w:p>
    <w:p>
      <w:pPr>
        <w:spacing w:before="0" w:after="0" w:line="400" w:lineRule="exact"/>
        <w:ind w:firstLine="420"/>
        <w:rPr>
          <w:rFonts w:ascii="宋体" w:hAnsi="宋体" w:cs="宋体"/>
          <w:color w:val="auto"/>
          <w:highlight w:val="none"/>
        </w:rPr>
      </w:pPr>
      <w:r>
        <w:rPr>
          <w:rFonts w:hint="eastAsia" w:ascii="宋体" w:hAnsi="宋体"/>
          <w:color w:val="auto"/>
          <w:highlight w:val="none"/>
        </w:rPr>
        <w:t>开户银行：桂林工行桂湖支行</w:t>
      </w:r>
    </w:p>
    <w:p>
      <w:pPr>
        <w:spacing w:before="0" w:after="0" w:line="400" w:lineRule="exact"/>
        <w:ind w:firstLine="422"/>
        <w:rPr>
          <w:rFonts w:ascii="宋体" w:hAnsi="宋体" w:cs="宋体"/>
          <w:color w:val="auto"/>
          <w:highlight w:val="none"/>
        </w:rPr>
      </w:pPr>
      <w:r>
        <w:rPr>
          <w:rFonts w:hint="eastAsia" w:ascii="宋体" w:hAnsi="宋体" w:cs="宋体"/>
          <w:b/>
          <w:color w:val="auto"/>
          <w:highlight w:val="none"/>
        </w:rPr>
        <w:t>32. 解释权：</w:t>
      </w:r>
      <w:r>
        <w:rPr>
          <w:rFonts w:hint="eastAsia" w:ascii="宋体" w:hAnsi="宋体" w:cs="宋体"/>
          <w:color w:val="auto"/>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before="0" w:after="0" w:line="400" w:lineRule="exact"/>
        <w:ind w:firstLine="422"/>
        <w:rPr>
          <w:rFonts w:ascii="宋体" w:hAnsi="宋体" w:cs="宋体"/>
          <w:color w:val="auto"/>
          <w:highlight w:val="none"/>
        </w:rPr>
      </w:pPr>
      <w:r>
        <w:rPr>
          <w:rFonts w:hint="eastAsia" w:ascii="宋体" w:hAnsi="宋体" w:cs="宋体"/>
          <w:b/>
          <w:color w:val="auto"/>
          <w:highlight w:val="none"/>
        </w:rPr>
        <w:t>33. 监督管理机构：</w:t>
      </w:r>
      <w:r>
        <w:rPr>
          <w:rFonts w:hint="eastAsia" w:ascii="宋体" w:hAnsi="宋体" w:cs="宋体"/>
          <w:color w:val="auto"/>
          <w:highlight w:val="none"/>
          <w:lang w:eastAsia="zh-CN"/>
        </w:rPr>
        <w:t>灌阳县政府采购管理办公室</w:t>
      </w: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tabs>
          <w:tab w:val="center" w:pos="4410"/>
          <w:tab w:val="left" w:pos="6735"/>
        </w:tabs>
        <w:spacing w:before="0" w:after="0" w:line="400" w:lineRule="exact"/>
        <w:ind w:firstLine="0" w:firstLineChars="0"/>
        <w:jc w:val="center"/>
        <w:rPr>
          <w:rFonts w:ascii="宋体" w:hAnsi="宋体" w:cs="宋体"/>
          <w:b/>
          <w:color w:val="auto"/>
          <w:sz w:val="32"/>
          <w:szCs w:val="32"/>
          <w:highlight w:val="none"/>
        </w:rPr>
      </w:pPr>
    </w:p>
    <w:p>
      <w:pPr>
        <w:pStyle w:val="10"/>
        <w:ind w:firstLine="643"/>
        <w:rPr>
          <w:rFonts w:ascii="宋体" w:hAnsi="宋体" w:cs="宋体"/>
          <w:b/>
          <w:color w:val="auto"/>
          <w:sz w:val="32"/>
          <w:szCs w:val="32"/>
          <w:highlight w:val="none"/>
        </w:rPr>
      </w:pPr>
    </w:p>
    <w:p>
      <w:pPr>
        <w:pStyle w:val="10"/>
        <w:ind w:firstLine="643"/>
        <w:rPr>
          <w:rFonts w:ascii="宋体" w:hAnsi="宋体" w:cs="宋体"/>
          <w:b/>
          <w:color w:val="auto"/>
          <w:sz w:val="32"/>
          <w:szCs w:val="32"/>
          <w:highlight w:val="none"/>
        </w:rPr>
      </w:pPr>
    </w:p>
    <w:p>
      <w:pPr>
        <w:pStyle w:val="10"/>
        <w:ind w:firstLine="643"/>
        <w:rPr>
          <w:rFonts w:ascii="宋体" w:hAnsi="宋体" w:cs="宋体"/>
          <w:b/>
          <w:color w:val="auto"/>
          <w:sz w:val="32"/>
          <w:szCs w:val="32"/>
          <w:highlight w:val="none"/>
        </w:rPr>
      </w:pPr>
    </w:p>
    <w:p>
      <w:pPr>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第三章  服务采购需求</w:t>
      </w:r>
    </w:p>
    <w:tbl>
      <w:tblPr>
        <w:tblStyle w:val="46"/>
        <w:tblW w:w="10105" w:type="dxa"/>
        <w:tblInd w:w="0" w:type="dxa"/>
        <w:tblLayout w:type="fixed"/>
        <w:tblCellMar>
          <w:top w:w="0" w:type="dxa"/>
          <w:left w:w="0" w:type="dxa"/>
          <w:bottom w:w="0" w:type="dxa"/>
          <w:right w:w="0" w:type="dxa"/>
        </w:tblCellMar>
      </w:tblPr>
      <w:tblGrid>
        <w:gridCol w:w="598"/>
        <w:gridCol w:w="964"/>
        <w:gridCol w:w="6829"/>
        <w:gridCol w:w="657"/>
        <w:gridCol w:w="1057"/>
      </w:tblGrid>
      <w:tr>
        <w:tblPrEx>
          <w:tblCellMar>
            <w:top w:w="0" w:type="dxa"/>
            <w:left w:w="0" w:type="dxa"/>
            <w:bottom w:w="0" w:type="dxa"/>
            <w:right w:w="0" w:type="dxa"/>
          </w:tblCellMar>
        </w:tblPrEx>
        <w:trPr>
          <w:trHeight w:val="73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项号</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服务项目</w:t>
            </w:r>
          </w:p>
        </w:tc>
        <w:tc>
          <w:tcPr>
            <w:tcW w:w="6829"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服务需求</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数量及单位</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参考单价（元）</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服务器及</w:t>
            </w:r>
            <w:r>
              <w:rPr>
                <w:rFonts w:hint="eastAsia" w:ascii="宋体" w:hAnsi="宋体" w:eastAsia="宋体" w:cs="宋体"/>
                <w:color w:val="auto"/>
                <w:szCs w:val="21"/>
                <w:lang w:val="en-US" w:eastAsia="zh-CN"/>
              </w:rPr>
              <w:t>软件</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一、</w:t>
            </w:r>
            <w:r>
              <w:rPr>
                <w:rFonts w:hint="eastAsia" w:ascii="宋体" w:hAnsi="宋体" w:eastAsia="宋体" w:cs="宋体"/>
                <w:lang w:val="en-US" w:eastAsia="zh-CN"/>
              </w:rPr>
              <w:t>主服务器（科室数量/终端数量：15/1000）</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CPU</w:t>
            </w:r>
            <w:r>
              <w:rPr>
                <w:rFonts w:hint="eastAsia" w:ascii="宋体" w:hAnsi="宋体" w:cs="宋体"/>
                <w:lang w:val="en-US" w:eastAsia="zh-CN"/>
              </w:rPr>
              <w:t>：</w:t>
            </w:r>
            <w:r>
              <w:rPr>
                <w:rFonts w:hint="eastAsia" w:ascii="宋体" w:hAnsi="宋体" w:eastAsia="宋体" w:cs="宋体"/>
                <w:lang w:val="en-US" w:eastAsia="zh-CN"/>
              </w:rPr>
              <w:t>主频1.7GHz 六核及其以上（Intel 至强 铜牌处理器）</w:t>
            </w:r>
            <w:r>
              <w:rPr>
                <w:rFonts w:hint="eastAsia" w:ascii="宋体" w:hAnsi="宋体" w:cs="宋体"/>
                <w:lang w:val="en-US" w:eastAsia="zh-CN"/>
              </w:rPr>
              <w:t>。</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内存</w:t>
            </w:r>
            <w:r>
              <w:rPr>
                <w:rFonts w:hint="eastAsia" w:ascii="宋体" w:hAnsi="宋体" w:cs="宋体"/>
                <w:lang w:val="en-US" w:eastAsia="zh-CN"/>
              </w:rPr>
              <w:t>：</w:t>
            </w:r>
            <w:r>
              <w:rPr>
                <w:rFonts w:hint="eastAsia" w:ascii="宋体" w:hAnsi="宋体" w:eastAsia="宋体" w:cs="宋体"/>
                <w:lang w:val="en-US" w:eastAsia="zh-CN"/>
              </w:rPr>
              <w:t>32G（DDR4-2666MHz）及其以上</w:t>
            </w:r>
            <w:r>
              <w:rPr>
                <w:rFonts w:hint="eastAsia" w:ascii="宋体" w:hAnsi="宋体" w:cs="宋体"/>
                <w:lang w:val="en-US" w:eastAsia="zh-CN"/>
              </w:rPr>
              <w:t>。</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硬盘</w:t>
            </w:r>
            <w:r>
              <w:rPr>
                <w:rFonts w:hint="eastAsia" w:ascii="宋体" w:hAnsi="宋体" w:cs="宋体"/>
                <w:lang w:val="en-US" w:eastAsia="zh-CN"/>
              </w:rPr>
              <w:t>：</w:t>
            </w:r>
            <w:r>
              <w:rPr>
                <w:rFonts w:hint="eastAsia" w:ascii="宋体" w:hAnsi="宋体" w:eastAsia="宋体" w:cs="宋体"/>
                <w:lang w:val="en-US" w:eastAsia="zh-CN"/>
              </w:rPr>
              <w:t>2TB*2及以上</w:t>
            </w:r>
            <w:r>
              <w:rPr>
                <w:rFonts w:hint="eastAsia" w:ascii="宋体" w:hAnsi="宋体" w:cs="宋体"/>
                <w:lang w:val="en-US" w:eastAsia="zh-CN"/>
              </w:rPr>
              <w:t>。</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操作系统</w:t>
            </w:r>
            <w:r>
              <w:rPr>
                <w:rFonts w:hint="eastAsia" w:ascii="宋体" w:hAnsi="宋体" w:cs="宋体"/>
                <w:lang w:val="en-US" w:eastAsia="zh-CN"/>
              </w:rPr>
              <w:t>：</w:t>
            </w:r>
            <w:r>
              <w:rPr>
                <w:rFonts w:hint="eastAsia" w:ascii="宋体" w:hAnsi="宋体" w:eastAsia="宋体" w:cs="宋体"/>
                <w:lang w:val="en-US" w:eastAsia="zh-CN"/>
              </w:rPr>
              <w:t>CentOS7操作系统</w:t>
            </w:r>
            <w:r>
              <w:rPr>
                <w:rFonts w:hint="eastAsia" w:ascii="宋体" w:hAnsi="宋体" w:cs="宋体"/>
                <w:lang w:val="en-US" w:eastAsia="zh-CN"/>
              </w:rPr>
              <w:t>。</w:t>
            </w: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运行平台</w:t>
            </w:r>
            <w:r>
              <w:rPr>
                <w:rFonts w:hint="eastAsia" w:ascii="宋体" w:hAnsi="宋体" w:eastAsia="宋体" w:cs="宋体"/>
                <w:lang w:val="en-US" w:eastAsia="zh-CN"/>
              </w:rPr>
              <w:tab/>
            </w:r>
            <w:r>
              <w:rPr>
                <w:rFonts w:hint="eastAsia" w:ascii="宋体" w:hAnsi="宋体" w:cs="宋体"/>
                <w:lang w:val="en-US" w:eastAsia="zh-CN"/>
              </w:rPr>
              <w:t>：</w:t>
            </w:r>
            <w:r>
              <w:rPr>
                <w:rFonts w:hint="eastAsia" w:ascii="宋体" w:hAnsi="宋体" w:eastAsia="宋体" w:cs="宋体"/>
                <w:lang w:val="en-US" w:eastAsia="zh-CN"/>
              </w:rPr>
              <w:t>MySql5.7</w:t>
            </w:r>
            <w:r>
              <w:rPr>
                <w:rFonts w:hint="eastAsia" w:ascii="宋体" w:hAnsi="宋体" w:cs="宋体"/>
                <w:lang w:val="en-US" w:eastAsia="zh-CN"/>
              </w:rPr>
              <w:t>，</w:t>
            </w:r>
            <w:r>
              <w:rPr>
                <w:rFonts w:hint="eastAsia" w:ascii="宋体" w:hAnsi="宋体" w:eastAsia="宋体" w:cs="宋体"/>
                <w:lang w:val="en-US" w:eastAsia="zh-CN"/>
              </w:rPr>
              <w:t>JDK1.8</w:t>
            </w:r>
            <w:r>
              <w:rPr>
                <w:rFonts w:hint="eastAsia" w:ascii="宋体" w:hAnsi="宋体" w:cs="宋体"/>
                <w:lang w:val="en-US" w:eastAsia="zh-CN"/>
              </w:rPr>
              <w:t>。</w:t>
            </w:r>
          </w:p>
          <w:p>
            <w:pPr>
              <w:spacing w:before="0" w:after="0" w:line="400" w:lineRule="exact"/>
              <w:ind w:left="0" w:leftChars="0" w:firstLine="98" w:firstLineChars="47"/>
              <w:jc w:val="left"/>
              <w:rPr>
                <w:rFonts w:hint="eastAsia" w:ascii="宋体" w:hAnsi="宋体" w:cs="宋体"/>
                <w:lang w:val="en-US" w:eastAsia="zh-CN"/>
              </w:rPr>
            </w:pP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cs="宋体"/>
                <w:lang w:val="en-US" w:eastAsia="zh-CN"/>
              </w:rPr>
              <w:t>二、HPTV服务器</w:t>
            </w: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cs="宋体"/>
                <w:lang w:val="en-US" w:eastAsia="zh-CN"/>
              </w:rPr>
              <w:t>1、硬件：CPU 主频2.0GHz 12核及其以上。</w:t>
            </w: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cs="宋体"/>
                <w:lang w:val="en-US" w:eastAsia="zh-CN"/>
              </w:rPr>
              <w:t>2、内存：64G（DDR4-2666MHz）及其以上。</w:t>
            </w: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cs="宋体"/>
                <w:lang w:val="en-US" w:eastAsia="zh-CN"/>
              </w:rPr>
              <w:t>3、硬盘：2TB*2及以上。</w:t>
            </w: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cs="宋体"/>
                <w:lang w:val="en-US" w:eastAsia="zh-CN"/>
              </w:rPr>
              <w:t>4、网口：4个千兆网口，2个万兆光口。</w:t>
            </w: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cs="宋体"/>
                <w:lang w:val="en-US" w:eastAsia="zh-CN"/>
              </w:rPr>
              <w:t>5、软件：操作系统 Linux。</w:t>
            </w:r>
          </w:p>
          <w:p>
            <w:pPr>
              <w:spacing w:before="0" w:after="0" w:line="400" w:lineRule="exact"/>
              <w:ind w:left="0" w:leftChars="0" w:firstLine="98" w:firstLineChars="47"/>
              <w:jc w:val="left"/>
              <w:rPr>
                <w:rFonts w:hint="eastAsia" w:ascii="宋体" w:hAnsi="宋体" w:cs="宋体"/>
                <w:lang w:val="en-US" w:eastAsia="zh-CN"/>
              </w:rPr>
            </w:pPr>
          </w:p>
          <w:p>
            <w:pPr>
              <w:spacing w:before="0" w:after="0" w:line="400" w:lineRule="exact"/>
              <w:ind w:left="0" w:leftChars="0" w:firstLine="98" w:firstLineChars="47"/>
              <w:jc w:val="left"/>
              <w:rPr>
                <w:rFonts w:hint="default" w:ascii="宋体" w:hAnsi="宋体" w:cs="宋体"/>
                <w:lang w:val="en-US" w:eastAsia="zh-CN"/>
              </w:rPr>
            </w:pPr>
            <w:r>
              <w:rPr>
                <w:rFonts w:hint="eastAsia" w:ascii="宋体" w:hAnsi="宋体" w:cs="宋体"/>
                <w:lang w:val="en-US" w:eastAsia="zh-CN"/>
              </w:rPr>
              <w:t>三、软件</w:t>
            </w:r>
          </w:p>
          <w:p>
            <w:pPr>
              <w:spacing w:before="0" w:after="0" w:line="400" w:lineRule="exact"/>
              <w:ind w:left="0" w:leftChars="0" w:firstLine="98" w:firstLineChars="47"/>
              <w:jc w:val="left"/>
              <w:rPr>
                <w:rFonts w:hint="eastAsia" w:ascii="宋体" w:hAnsi="宋体" w:cs="宋体"/>
                <w:lang w:val="en-US" w:eastAsia="zh-CN"/>
              </w:rPr>
            </w:pPr>
            <w:r>
              <w:rPr>
                <w:rFonts w:hint="eastAsia" w:ascii="宋体" w:hAnsi="宋体" w:cs="宋体"/>
                <w:lang w:val="en-US" w:eastAsia="zh-CN"/>
              </w:rPr>
              <w:t>1、医疗级Android系统</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基于Android深度定制</w:t>
            </w:r>
            <w:r>
              <w:rPr>
                <w:rFonts w:hint="eastAsia" w:ascii="宋体" w:hAnsi="宋体" w:eastAsia="宋体" w:cs="宋体"/>
                <w:lang w:val="en-US" w:eastAsia="zh-CN"/>
              </w:rPr>
              <w:t>的医疗级操作系统，具备双核心设计，有效防止死机、采用多重备份以及数据校验恢复设计，防关键数据丢失。为智慧病房持续发展提供扩展性框架。</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eastAsia="宋体" w:cs="宋体"/>
                <w:lang w:val="en-US" w:eastAsia="zh-CN"/>
              </w:rPr>
              <w:t>TCP/IP网络通讯协议</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采用标准的TCP/IP网络通讯协议与组网布线方案，适配标准化运维管理与后续扩展。</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val="en-US" w:eastAsia="zh-CN"/>
              </w:rPr>
              <w:t>系统应采用集中供电，方便所有终端整体管理。主机电源应具备多重安全防护措施，有效确保系统安全运行。同时内嵌POE供电模块，支持部分科室的特殊改造需求。</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4、</w:t>
            </w:r>
            <w:r>
              <w:rPr>
                <w:rFonts w:hint="eastAsia" w:ascii="宋体" w:hAnsi="宋体" w:eastAsia="宋体" w:cs="宋体"/>
                <w:lang w:val="en-US" w:eastAsia="zh-CN"/>
              </w:rPr>
              <w:t>软件管理平台</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采用B/S体系结构，方便产品部署、使用、定制，通过不同用户的管理权限，可对系统后台进行管理操作，各个功能模块可统一管理或独立运行。</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信息交互与发布</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能与HIS等医院现有信息系统联网，将患者的住院信息和护理信息自动发布到各个护理通讯终端，为患者诊疗、护理工作开展提供交互支持。</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6、</w:t>
            </w:r>
            <w:r>
              <w:rPr>
                <w:rFonts w:hint="eastAsia" w:ascii="宋体" w:hAnsi="宋体" w:eastAsia="宋体" w:cs="宋体"/>
                <w:lang w:val="en-US" w:eastAsia="zh-CN"/>
              </w:rPr>
              <w:t>多元服务模块</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系统应内置IPTV模块，实现视频点播、电视直播的功能，同时支持餐厅点餐、商超购物、护工聘请等服务，满足患者住院生活需求。</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7、</w:t>
            </w:r>
            <w:r>
              <w:rPr>
                <w:rFonts w:hint="eastAsia" w:ascii="宋体" w:hAnsi="宋体" w:eastAsia="宋体" w:cs="宋体"/>
                <w:lang w:val="en-US" w:eastAsia="zh-CN"/>
              </w:rPr>
              <w:t>专业业务支持</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系统应支持护理宣教、表单评估、体征管理、医生查房、医嘱查看等专业业务，为医护人员提供床旁交互支持。</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cs="宋体"/>
                <w:lang w:val="en-US" w:eastAsia="zh-CN"/>
              </w:rPr>
              <w:t>8、</w:t>
            </w:r>
            <w:r>
              <w:rPr>
                <w:rFonts w:hint="eastAsia" w:ascii="宋体" w:hAnsi="宋体" w:eastAsia="宋体" w:cs="宋体"/>
                <w:lang w:val="en-US" w:eastAsia="zh-CN"/>
              </w:rPr>
              <w:t>无线方案扩展</w:t>
            </w:r>
          </w:p>
          <w:p>
            <w:pPr>
              <w:spacing w:before="0" w:after="0" w:line="400" w:lineRule="exact"/>
              <w:ind w:left="0" w:leftChars="0" w:firstLine="98" w:firstLineChars="47"/>
              <w:jc w:val="left"/>
              <w:rPr>
                <w:rFonts w:hint="eastAsia" w:ascii="宋体" w:hAnsi="宋体" w:eastAsia="宋体" w:cs="宋体"/>
                <w:lang w:val="en-US" w:eastAsia="zh-CN"/>
              </w:rPr>
            </w:pPr>
            <w:r>
              <w:rPr>
                <w:rFonts w:hint="eastAsia" w:ascii="宋体" w:hAnsi="宋体" w:eastAsia="宋体" w:cs="宋体"/>
                <w:lang w:val="en-US" w:eastAsia="zh-CN"/>
              </w:rPr>
              <w:t xml:space="preserve">可扩展输液报警、生命体征采集设备、数字移动通讯终端等，以无线方式通讯，并实现数据的实时同传共享。 </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eastAsia="微软雅黑"/>
                <w:lang w:val="en-US" w:eastAsia="zh-CN"/>
              </w:rPr>
            </w:pPr>
            <w:r>
              <w:rPr>
                <w:rFonts w:hint="eastAsia" w:ascii="宋体" w:hAnsi="宋体" w:eastAsia="宋体" w:cs="宋体"/>
                <w:b w:val="0"/>
                <w:bCs w:val="0"/>
                <w:color w:val="auto"/>
                <w:kern w:val="2"/>
                <w:sz w:val="21"/>
                <w:szCs w:val="21"/>
                <w:lang w:val="en-US" w:eastAsia="zh-CN" w:bidi="ar-SA"/>
              </w:rPr>
              <w:t>1套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65000.00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医护主机  </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一、硬件参数</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1．安卓操作系统，版本号不低于Android 7.1</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2．★显示屏尺寸不低于13.3寸</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 xml:space="preserve">3．★显示屏分辨率不低于1920×1080 </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 xml:space="preserve">4．电容屏触摸屏，支持多点触控 </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5．CPU不低于4核心，主频不低于1.8GHz</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6．★运行内存不低于4G</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7．★机身存储不低于32G</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8．★前置摄像头像素不低于1300万，最大手动调整角度不小于40°</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9．★具备刷卡模块，支持识别医护IC身份卡</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10．★2.4G/5G双频wifi，wifi协议支持2×2MIMO</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11．★双模蓝牙，支持蓝牙4.1</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12．具备HDMI 2.0、Micro USB2.0、RJ45、3.5mm耳机插孔等接口</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13.支持电源适配器供电、POE供电、电源箱集中供电三种方式</w:t>
            </w:r>
          </w:p>
          <w:p>
            <w:pPr>
              <w:spacing w:before="0" w:after="0" w:line="400" w:lineRule="exact"/>
              <w:ind w:left="0" w:leftChars="0" w:firstLine="119" w:firstLineChars="57"/>
              <w:jc w:val="left"/>
              <w:rPr>
                <w:rFonts w:hint="eastAsia" w:ascii="宋体" w:hAnsi="宋体" w:eastAsia="宋体" w:cs="宋体"/>
                <w:lang w:val="en-US" w:eastAsia="zh-CN"/>
              </w:rPr>
            </w:pP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二、软件功能</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1、呼叫管理</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（1）★呼叫处理：根据呼叫类型显示并播报呼叫信息，支持“接通”“挂断”“忽略”三种处理方式，护士可根据实际情况自行选择；</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（2）★双工对讲：支持音频通话与可视对讲，护士通过医护主机可以与患者、值班室的医护人员进行双工对讲；</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（3）★多路通话：支持一个病区多个主机，当一个主机正在通话中时，不影响其他主机等终端处理患者呼叫；</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（4）★患者监护：医护主机支持主动调起患者的床头/床旁分机的摄像头，查看患者的实时情况；</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（5）通话记录：详细展示本护理单元中的历史呼叫记录，包括发起方、被叫方、是否接通、呼叫发起时间、呼叫处理时间、处理方式、通话时长等；</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（6）支持一键清除当前护理单元所有未处理呼叫，节省逐条清除的时间精力。</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2、★床位一览：</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 xml:space="preserve">提供普通模式和极简模式两种展示模式供用户自行切换，普通模式下的床位信息卡详细展示床位号、患者姓名、性别、年龄、护理级别等信息，极简模式下的患者信息卡仅展示床位号与护理级别，同界面下显示更多床位。 </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3、★门禁控制：配合病区门禁分机，实现远程控制病区门禁，可视化处理病区门禁请求。</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4、病区广播：支持对整个病区进行实时或定时的音频宣教广播；支持实时对整个病区进行话筒对讲广播，支持对特定床位进行广播。</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5、护士定位：配合门口分机的护士进入功能，可直接在主机上查看已有护士所在具体房间。</w:t>
            </w:r>
          </w:p>
          <w:p>
            <w:pPr>
              <w:spacing w:before="0" w:after="0" w:line="400" w:lineRule="exact"/>
              <w:ind w:left="0" w:leftChars="0" w:firstLine="120" w:firstLineChars="57"/>
              <w:jc w:val="left"/>
              <w:rPr>
                <w:rFonts w:hint="eastAsia" w:ascii="宋体" w:hAnsi="宋体" w:eastAsia="宋体" w:cs="宋体"/>
                <w:b/>
                <w:bCs/>
                <w:lang w:val="en-US" w:eastAsia="zh-CN"/>
              </w:rPr>
            </w:pPr>
            <w:r>
              <w:rPr>
                <w:rFonts w:hint="eastAsia" w:ascii="宋体" w:hAnsi="宋体" w:eastAsia="宋体" w:cs="宋体"/>
                <w:b/>
                <w:bCs/>
                <w:lang w:val="en-US" w:eastAsia="zh-CN"/>
              </w:rPr>
              <w:t>6、响应文件中提供</w:t>
            </w:r>
            <w:r>
              <w:rPr>
                <w:rFonts w:hint="eastAsia" w:ascii="宋体" w:hAnsi="宋体" w:cs="宋体"/>
                <w:b/>
                <w:bCs/>
                <w:lang w:val="en-US" w:eastAsia="zh-CN"/>
              </w:rPr>
              <w:t>磋商产品</w:t>
            </w:r>
            <w:r>
              <w:rPr>
                <w:rFonts w:hint="eastAsia" w:ascii="宋体" w:hAnsi="宋体" w:eastAsia="宋体" w:cs="宋体"/>
                <w:b/>
                <w:bCs/>
                <w:lang w:val="en-US" w:eastAsia="zh-CN"/>
              </w:rPr>
              <w:t>软件著作权证书及CCC认证证书复印件并加盖磋商供应商公章。</w:t>
            </w:r>
          </w:p>
          <w:p>
            <w:pPr>
              <w:spacing w:before="0" w:after="0" w:line="400" w:lineRule="exact"/>
              <w:ind w:left="0" w:leftChars="0" w:firstLine="119" w:firstLineChars="57"/>
              <w:jc w:val="left"/>
              <w:rPr>
                <w:rFonts w:hint="eastAsia" w:ascii="宋体" w:hAnsi="宋体" w:eastAsia="宋体" w:cs="宋体"/>
                <w:lang w:val="en-US" w:eastAsia="zh-CN"/>
              </w:rPr>
            </w:pP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 xml:space="preserve">三、系统平台软件 </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eastAsia="宋体" w:cs="宋体"/>
                <w:lang w:val="en-US" w:eastAsia="zh-CN"/>
              </w:rPr>
              <w:t>1、账户与权限：管理系统中所有的用户账户信息，并通过护士、护士长、医生、管理员等系统角色的形式将功能权限分配给相关用户，登录后自动显示对应的功能模块</w:t>
            </w:r>
            <w:r>
              <w:rPr>
                <w:rFonts w:hint="eastAsia" w:ascii="宋体" w:hAnsi="宋体" w:cs="宋体"/>
                <w:lang w:val="en-US" w:eastAsia="zh-CN"/>
              </w:rPr>
              <w:t>。</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eastAsia="宋体" w:cs="宋体"/>
                <w:lang w:val="en-US" w:eastAsia="zh-CN"/>
              </w:rPr>
              <w:t>2、终端管理：显示系统中各项终端的基本信息，可按照设备类型批量对</w:t>
            </w:r>
            <w:r>
              <w:rPr>
                <w:rFonts w:hint="eastAsia" w:ascii="宋体" w:hAnsi="宋体" w:cs="宋体"/>
                <w:lang w:val="en-US" w:eastAsia="zh-CN"/>
              </w:rPr>
              <w:t>各个终端进行升级操作。</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3、调查问卷：统一管理病区、全院的调查问卷，展示答卷的各类统计信息，以及问卷的排序等相关操作。</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4、护理级别管理：统一管理全院的护理级别名称、颜色等信息。</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5、患者一览：通过患者信息卡的形式展示本护理单元患者的基本信息，点击后查看患者详情。</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6、宣教管理：维护本病区和全院的宣教文章、分类及其各类属性设置。</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7、床头卡显示配置：管理本病区包括防跌倒、防压疮在内的各类警示信息在床头卡的展示形式。</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8、系统配置：管理员操作本病区的床头分机、床旁分机、医护主机、门口分机、值班室分机、门禁分机等终端的包括音量亮度在内的各类设置，定时自动修改各个分机的亮度与音量。</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9、呼叫记录：详细展示本病区中的历史呼叫记录，包括发起方、被叫方、是否接通、呼叫发起时间、呼叫处理时间、处理方式、通话时长等。</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10、医护巡视：医护人员在床旁分机上完成查房打卡之后，系统生成的医护巡视记录。</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11、商家管理：管理员统一管理本院所有入驻商家，包括餐厅、超市以及护工中心三类，支持对商家的启用停用以及解锁等操作。</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12、题库管理：管理员统一管理全院的调查问卷题库，方便在新建或编辑问卷的时候直接引用题库中的题目。</w:t>
            </w:r>
          </w:p>
          <w:p>
            <w:pPr>
              <w:spacing w:before="0" w:after="0" w:line="400" w:lineRule="exact"/>
              <w:ind w:left="0" w:leftChars="0" w:firstLine="119" w:firstLineChars="57"/>
              <w:jc w:val="left"/>
              <w:rPr>
                <w:rFonts w:hint="eastAsia" w:ascii="宋体" w:hAnsi="宋体" w:cs="宋体"/>
                <w:lang w:val="en-US" w:eastAsia="zh-CN"/>
              </w:rPr>
            </w:pPr>
            <w:r>
              <w:rPr>
                <w:rFonts w:hint="eastAsia" w:ascii="宋体" w:hAnsi="宋体" w:cs="宋体"/>
                <w:lang w:val="en-US" w:eastAsia="zh-CN"/>
              </w:rPr>
              <w:t>13、操作记录：系统自动记录用户web端的相关重要操作，展示在操作记录表中。</w:t>
            </w:r>
          </w:p>
          <w:p>
            <w:pPr>
              <w:spacing w:before="0" w:after="0" w:line="400" w:lineRule="exact"/>
              <w:ind w:left="0" w:leftChars="0" w:firstLine="119" w:firstLineChars="57"/>
              <w:jc w:val="left"/>
              <w:rPr>
                <w:rFonts w:hint="eastAsia" w:ascii="宋体" w:hAnsi="宋体" w:eastAsia="宋体" w:cs="宋体"/>
                <w:lang w:val="en-US" w:eastAsia="zh-CN"/>
              </w:rPr>
            </w:pPr>
            <w:r>
              <w:rPr>
                <w:rFonts w:hint="eastAsia" w:ascii="宋体" w:hAnsi="宋体" w:cs="宋体"/>
                <w:lang w:val="en-US" w:eastAsia="zh-CN"/>
              </w:rPr>
              <w:t>14、宣教统计：针对每个</w:t>
            </w:r>
            <w:r>
              <w:rPr>
                <w:rFonts w:hint="eastAsia" w:ascii="宋体" w:hAnsi="宋体" w:eastAsia="宋体" w:cs="宋体"/>
                <w:lang w:val="en-US" w:eastAsia="zh-CN"/>
              </w:rPr>
              <w:t>患者统计其宣教文章的观看状态、观看次数以及观看时长</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15</w:t>
            </w:r>
            <w:r>
              <w:rPr>
                <w:rFonts w:hint="eastAsia" w:ascii="宋体" w:hAnsi="宋体" w:cs="宋体"/>
                <w:lang w:val="en-US" w:eastAsia="zh-CN"/>
              </w:rPr>
              <w:t>、</w:t>
            </w:r>
            <w:r>
              <w:rPr>
                <w:rFonts w:hint="eastAsia" w:ascii="宋体" w:hAnsi="宋体" w:eastAsia="宋体" w:cs="宋体"/>
                <w:lang w:val="en-US" w:eastAsia="zh-CN"/>
              </w:rPr>
              <w:t>音频广播：管理主机上的音频广播播出单，设置播出单的播放规则与播放时间</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16</w:t>
            </w:r>
            <w:r>
              <w:rPr>
                <w:rFonts w:hint="eastAsia" w:ascii="宋体" w:hAnsi="宋体" w:cs="宋体"/>
                <w:lang w:val="en-US" w:eastAsia="zh-CN"/>
              </w:rPr>
              <w:t>、</w:t>
            </w:r>
            <w:r>
              <w:rPr>
                <w:rFonts w:hint="eastAsia" w:ascii="宋体" w:hAnsi="宋体" w:eastAsia="宋体" w:cs="宋体"/>
                <w:lang w:val="en-US" w:eastAsia="zh-CN"/>
              </w:rPr>
              <w:t>表单管理：管理系统中的各类护理表单，包括但不限于体温单、血糖单、出入量单、各类评估单等</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17</w:t>
            </w:r>
            <w:r>
              <w:rPr>
                <w:rFonts w:hint="eastAsia" w:ascii="宋体" w:hAnsi="宋体" w:cs="宋体"/>
                <w:lang w:val="en-US" w:eastAsia="zh-CN"/>
              </w:rPr>
              <w:t>、</w:t>
            </w:r>
            <w:r>
              <w:rPr>
                <w:rFonts w:hint="eastAsia" w:ascii="宋体" w:hAnsi="宋体" w:eastAsia="宋体" w:cs="宋体"/>
                <w:lang w:val="en-US" w:eastAsia="zh-CN"/>
              </w:rPr>
              <w:t>具备IPTV模块，与信源进行打通，支持视频点播与电视直播等功能。</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18</w:t>
            </w:r>
            <w:r>
              <w:rPr>
                <w:rFonts w:hint="eastAsia" w:ascii="宋体" w:hAnsi="宋体" w:cs="宋体"/>
                <w:lang w:val="en-US" w:eastAsia="zh-CN"/>
              </w:rPr>
              <w:t>、</w:t>
            </w:r>
            <w:r>
              <w:rPr>
                <w:rFonts w:hint="eastAsia" w:ascii="宋体" w:hAnsi="宋体" w:eastAsia="宋体" w:cs="宋体"/>
                <w:lang w:val="en-US" w:eastAsia="zh-CN"/>
              </w:rPr>
              <w:t>终端安全保障设计：采用RTA终端授权接入机制，有效保障在专有的机构由专有人员将专有探视终端接入专有视频云。</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19</w:t>
            </w:r>
            <w:r>
              <w:rPr>
                <w:rFonts w:hint="eastAsia" w:ascii="宋体" w:hAnsi="宋体" w:cs="宋体"/>
                <w:lang w:val="en-US" w:eastAsia="zh-CN"/>
              </w:rPr>
              <w:t>、</w:t>
            </w:r>
            <w:r>
              <w:rPr>
                <w:rFonts w:hint="eastAsia" w:ascii="宋体" w:hAnsi="宋体" w:eastAsia="宋体" w:cs="宋体"/>
                <w:lang w:val="en-US" w:eastAsia="zh-CN"/>
              </w:rPr>
              <w:t>提供多重防护策略，可防护DDoS、CC、SQL注入、XSS跨站等常见Web服务器漏洞攻击、核心文件非授权访问、路径穿越等，保障网络安全。</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20</w:t>
            </w:r>
            <w:r>
              <w:rPr>
                <w:rFonts w:hint="eastAsia" w:ascii="宋体" w:hAnsi="宋体" w:cs="宋体"/>
                <w:lang w:val="en-US" w:eastAsia="zh-CN"/>
              </w:rPr>
              <w:t>、</w:t>
            </w:r>
            <w:r>
              <w:rPr>
                <w:rFonts w:hint="eastAsia" w:ascii="宋体" w:hAnsi="宋体" w:eastAsia="宋体" w:cs="宋体"/>
                <w:lang w:val="en-US" w:eastAsia="zh-CN"/>
              </w:rPr>
              <w:t>安全传输：HTTPS、WSS、结合数字签名技术，防伪造，防篡改，有效保障数据安全传输。</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28000.00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床旁分机</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一、硬件要求</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1．安卓操作系统，版本号不低于Android 7.1</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2．显示屏尺寸不低于10.1寸</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3．★显示屏分辨率不低于1920×1200</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4．★显示屏亮度不低于400cd/㎡</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 xml:space="preserve">5．电容屏触摸屏，支持多点触控 </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6．★CPU不低于4核心，主频不低于1.8GHz</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7．★运行内存不低于4G</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8．★机身存储不低于32G</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9．★具备前置摄像头，像素不低于1300万</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10．具备刷卡模块，支持识别医护IC身份卡</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11．★2.4G/5G双频wifi，wifi协议支持2×2MIMO</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12．★双模蓝牙，支持蓝牙4.1</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13．具备USB2.0（Type C）、3.5mm耳机插孔等接口，支持外接卫生间分机与呼叫手柄</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14.★支持电源适配器供电、POE供电、电源箱集中供电三种方式</w:t>
            </w:r>
          </w:p>
          <w:p>
            <w:pPr>
              <w:spacing w:before="0" w:after="0" w:line="400" w:lineRule="exact"/>
              <w:ind w:left="0" w:leftChars="0" w:firstLine="79" w:firstLineChars="38"/>
              <w:jc w:val="left"/>
              <w:rPr>
                <w:rFonts w:hint="eastAsia" w:ascii="宋体" w:hAnsi="宋体" w:eastAsia="宋体" w:cs="宋体"/>
                <w:lang w:val="en-US" w:eastAsia="zh-CN"/>
              </w:rPr>
            </w:pP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二、软件要求</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1、患者应用</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（1）★患者、护士、医生身份认证登录与注销，支持医护刷卡登录与人脸识别登录；</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（2）影音娱乐:支持患者进行电视直播、视频点播、音乐戏曲、电子书等娱乐活动；</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（3）★院内服务：</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提供餐厅点餐、商超购物与护工聘请等院内服务，向患者展示各院内店铺信息及其分类、名称、价格、图片、简介等商品信息，患者加入购物车后集中下单，扩展支持手机扫码支付；</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（4）★消息提醒：具备自动提醒与手动推送两种形式，自动提醒支持欠费提醒、服药提醒、信息变更提醒、手术提醒、检查检验提醒等，手动推送支持对阅读状态的统计；</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（5）费用查询：患者在床旁直接查询在住院期间产生的费用清单，实时了解每日费用信息；</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（6）★体征查询：患者可自行查询自己的相关体征数据与体征曲线图，可配置患者自行录入的体征项，如尿量等出入量；</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（7）★检查检验报告：患者端可清单式查询自己的检查检验报告结果，支持在线阅片；</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（8）调查问卷：利用床旁分机填写调查问卷，提交之后，系统自动记录提交人与提交时间，自动统计各个问题的答题结果，自动根据答题情况打分，并可打印单份的患者答卷；</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（9）充值缴费：对接院内支付结算平台后，患者可使用微信或者支付宝扫描床旁分机的支付二维码，进行住院账户的在线充值，不必再去缴费窗口，即可完成对住院账户的充值；</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（10）★可视通话：患者可以发起视频通话请求，护士站主机接通后，与护士站护士进行视频通话；</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（11）★呼叫转移：护士进入房间，触发门口分机的护士进入之后，床旁分机可处理其他房间发来的呼叫请求；</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2、护理管理应用</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（1）护理床头卡：显示患者的各项信息，如姓名、床号、性别、年龄、入院日期、过敏史、饮食类型等基本信息以及防跌倒、防压疮、非计划拔管等预警信息；</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（2）智能提醒：床旁分机护士端可自动提醒患者缴费、检查检验等信息，让护理人员及时知晓相关信息；</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（3）★智能宣教：系统根据患者诊断等信息，自动匹配展示与其相关宣教文章，内容全面支持文字、图片、音频、视频、word、ppt、PDF等形式，方便患者查看；文字部分支持自动朗读，方便患者接收；</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（4）宣教推送：支持手动推送宣教文章至床旁分机患者端，并统计显示宣教素材使用效果，方便护士有针对性的改进和查缺补漏，及时提醒；</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体征管理：在护士端可视化呈现并管理患者的各项生命体征，支持显示与录入，根据录入数据自动生成相关体温单、血糖单、出入量单等。搭配物联网体征设备可实现体征采集自动上传，无需额外设备，通过床旁分机即可传输体征数据；</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6）★医嘱执行：护士在床旁执行输液、护理、治疗、皮试等各个分类的长期与临时医嘱，系统自动根据医嘱频次拆分长期医嘱，根据输液类医嘱的执行情况自动生成输液巡视单，皮试类医嘱在双签生成皮试结果记录；</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7）护理评估：护士在对患者进行风险评估时，可以使用床旁分机的风险评估模块，系统中预置风险评估表单，包括：跌倒风险评估单、压疮风向评估单、自理能力评估单等等，护士可以一边询问患者，一边填写评估单，完成之后即填写完成，系统自动生成风险级别以及得分，提高护士填写风险评估单的效率；</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（8）护理记录：护士完成护理任务后，使用床旁分机记录重点护理项，支持填写与模板快速填入，系统预置护理记录的各类填写模板，方便护士快速书写护理记录；</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（9）智能闹钟：吸氧、皮试及其他辅助器械使用时，可设置闹钟计时提醒。</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3、医生管理应用</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（1）病历病程：可在医生端调阅患者住院至今的所有病历病程记录并直接查看；</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（2）智慧查房：医护人员在查房模块经过身份验证后，系统自动记录查房人员、床号、查房时间等相关信息，生成表格供相关人员查阅；</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（3）医嘱情况：医生查房时可以调阅查看患者的医嘱情况与皮试情况，为下一步的诊疗计划提供依据；</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临床报告：通过床旁分机的医生端，医生可以调阅患者住院至今的各类检查报告以及检验结果，使用医疗阅片器进行在线阅片，在查看检验结果详情表的同时，可以查看检验单项的历史趋势图，在查房时医生不必再携带纸质版的患者临床报告与报告阅片，减轻医生查房负担；</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（5）手术安排：医护人员可以通过床旁分机查询患者将要进行或已经完成的手术内容与详细信息。</w:t>
            </w:r>
          </w:p>
          <w:p>
            <w:pPr>
              <w:spacing w:before="0" w:after="0" w:line="400" w:lineRule="exact"/>
              <w:ind w:left="0" w:leftChars="0" w:firstLine="80" w:firstLineChars="38"/>
              <w:jc w:val="left"/>
              <w:rPr>
                <w:rFonts w:hint="eastAsia" w:ascii="宋体" w:hAnsi="宋体" w:eastAsia="宋体" w:cs="宋体"/>
                <w:lang w:val="en-US" w:eastAsia="zh-CN"/>
              </w:rPr>
            </w:pPr>
            <w:r>
              <w:rPr>
                <w:rFonts w:hint="eastAsia" w:ascii="宋体" w:hAnsi="宋体" w:eastAsia="宋体" w:cs="宋体"/>
                <w:b/>
                <w:bCs/>
                <w:lang w:val="en-US" w:eastAsia="zh-CN"/>
              </w:rPr>
              <w:t>4、响应文件中提供</w:t>
            </w:r>
            <w:r>
              <w:rPr>
                <w:rFonts w:hint="eastAsia" w:ascii="宋体" w:hAnsi="宋体" w:cs="宋体"/>
                <w:b/>
                <w:bCs/>
                <w:lang w:val="en-US" w:eastAsia="zh-CN"/>
              </w:rPr>
              <w:t>磋商</w:t>
            </w:r>
            <w:r>
              <w:rPr>
                <w:rFonts w:hint="eastAsia" w:ascii="宋体" w:hAnsi="宋体" w:eastAsia="宋体" w:cs="宋体"/>
                <w:b/>
                <w:bCs/>
                <w:lang w:val="en-US" w:eastAsia="zh-CN"/>
              </w:rPr>
              <w:t>产品软件著作权证书复印件并加盖磋商供应商公章。</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4812.50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落地支架</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400" w:lineRule="exact"/>
              <w:ind w:left="0" w:leftChars="0" w:firstLine="79" w:firstLineChars="38"/>
              <w:jc w:val="both"/>
              <w:rPr>
                <w:rFonts w:hint="eastAsia" w:ascii="宋体" w:hAnsi="宋体" w:eastAsia="宋体" w:cs="宋体"/>
                <w:lang w:val="en-US" w:eastAsia="zh-CN"/>
              </w:rPr>
            </w:pPr>
            <w:r>
              <w:rPr>
                <w:rFonts w:hint="eastAsia" w:ascii="宋体" w:hAnsi="宋体" w:eastAsia="宋体" w:cs="宋体"/>
                <w:color w:val="auto"/>
                <w:szCs w:val="21"/>
                <w:lang w:val="en-US" w:eastAsia="zh-CN"/>
              </w:rPr>
              <w:t>定制。</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1650.00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门口分机</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cs="宋体"/>
                <w:lang w:val="en-US" w:eastAsia="zh-CN"/>
              </w:rPr>
              <w:t>一、</w:t>
            </w:r>
            <w:r>
              <w:rPr>
                <w:rFonts w:hint="eastAsia" w:ascii="宋体" w:hAnsi="宋体" w:eastAsia="宋体" w:cs="宋体"/>
                <w:lang w:val="en-US" w:eastAsia="zh-CN"/>
              </w:rPr>
              <w:t>硬件参数</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安卓操作系统，版本号不低于Android 9.0</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显示屏尺寸不低于13.3寸</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显示屏分辨率不低于1920×1080</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电容屏触摸屏，支持10点触控</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CPU不低于8核心，主频不低于1.5GHz</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6</w:t>
            </w:r>
            <w:r>
              <w:rPr>
                <w:rFonts w:hint="eastAsia" w:ascii="宋体" w:hAnsi="宋体" w:cs="宋体"/>
                <w:lang w:val="en-US" w:eastAsia="zh-CN"/>
              </w:rPr>
              <w:t>、</w:t>
            </w:r>
            <w:r>
              <w:rPr>
                <w:rFonts w:hint="eastAsia" w:ascii="宋体" w:hAnsi="宋体" w:eastAsia="宋体" w:cs="宋体"/>
                <w:lang w:val="en-US" w:eastAsia="zh-CN"/>
              </w:rPr>
              <w:t>运行内存不低于1G</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cs="宋体"/>
                <w:lang w:val="en-US" w:eastAsia="zh-CN"/>
              </w:rPr>
              <w:t>、</w:t>
            </w:r>
            <w:r>
              <w:rPr>
                <w:rFonts w:hint="eastAsia" w:ascii="宋体" w:hAnsi="宋体" w:eastAsia="宋体" w:cs="宋体"/>
                <w:lang w:val="en-US" w:eastAsia="zh-CN"/>
              </w:rPr>
              <w:t>机身存储不低于8G</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8</w:t>
            </w:r>
            <w:r>
              <w:rPr>
                <w:rFonts w:hint="eastAsia" w:ascii="宋体" w:hAnsi="宋体" w:cs="宋体"/>
                <w:lang w:val="en-US" w:eastAsia="zh-CN"/>
              </w:rPr>
              <w:t>、</w:t>
            </w:r>
            <w:r>
              <w:rPr>
                <w:rFonts w:hint="eastAsia" w:ascii="宋体" w:hAnsi="宋体" w:eastAsia="宋体" w:cs="宋体"/>
                <w:lang w:val="en-US" w:eastAsia="zh-CN"/>
              </w:rPr>
              <w:t>具备刷卡模块，支持识别医护IC身份卡</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9</w:t>
            </w:r>
            <w:r>
              <w:rPr>
                <w:rFonts w:hint="eastAsia" w:ascii="宋体" w:hAnsi="宋体" w:cs="宋体"/>
                <w:lang w:val="en-US" w:eastAsia="zh-CN"/>
              </w:rPr>
              <w:t>、</w:t>
            </w:r>
            <w:r>
              <w:rPr>
                <w:rFonts w:hint="eastAsia" w:ascii="宋体" w:hAnsi="宋体" w:eastAsia="宋体" w:cs="宋体"/>
                <w:lang w:val="en-US" w:eastAsia="zh-CN"/>
              </w:rPr>
              <w:t>具备门灯，门灯颜色不小于7色</w:t>
            </w:r>
            <w:r>
              <w:rPr>
                <w:rFonts w:hint="eastAsia" w:ascii="宋体" w:hAnsi="宋体" w:cs="宋体"/>
                <w:lang w:val="en-US" w:eastAsia="zh-CN"/>
              </w:rPr>
              <w:t>，</w:t>
            </w:r>
            <w:r>
              <w:rPr>
                <w:rFonts w:hint="eastAsia" w:ascii="宋体" w:hAnsi="宋体" w:eastAsia="宋体" w:cs="宋体"/>
                <w:lang w:val="en-US" w:eastAsia="zh-CN"/>
              </w:rPr>
              <w:t>灯条长度占整机比例不低于40%，确保提示效果。</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10</w:t>
            </w:r>
            <w:r>
              <w:rPr>
                <w:rFonts w:hint="eastAsia" w:ascii="宋体" w:hAnsi="宋体" w:cs="宋体"/>
                <w:lang w:val="en-US" w:eastAsia="zh-CN"/>
              </w:rPr>
              <w:t>、</w:t>
            </w:r>
            <w:r>
              <w:rPr>
                <w:rFonts w:hint="eastAsia" w:ascii="宋体" w:hAnsi="宋体" w:eastAsia="宋体" w:cs="宋体"/>
                <w:lang w:val="en-US" w:eastAsia="zh-CN"/>
              </w:rPr>
              <w:t>支持电源适配器供电、POE供电、电源箱集中供电三种方式</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cs="宋体"/>
                <w:lang w:val="en-US" w:eastAsia="zh-CN"/>
              </w:rPr>
              <w:t>二、</w:t>
            </w:r>
            <w:r>
              <w:rPr>
                <w:rFonts w:hint="eastAsia" w:ascii="宋体" w:hAnsi="宋体" w:eastAsia="宋体" w:cs="宋体"/>
                <w:lang w:val="en-US" w:eastAsia="zh-CN"/>
              </w:rPr>
              <w:t>软件功能</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电子门口牌：展示房间号、床位号、患者姓名（隐去中间字）、责任医护人员照片等房间基础信息并自动更新。</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护士定位：护士在门口分机通过刷卡触发定位，可清楚当前房间患者的未处理呼叫，门灯同步闪烁，提示护士位置。</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 xml:space="preserve">宣教素材发布：支持播放图文、音频、视频等形式，实现走廊宣教等功能。 </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医护列表：展示本护理单元的医护信息；</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呼叫发起：支持呼叫医护主机或患者所在床位，在隔离场景下减少进入房间与护患接触的次数；</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6</w:t>
            </w:r>
            <w:r>
              <w:rPr>
                <w:rFonts w:hint="eastAsia" w:ascii="宋体" w:hAnsi="宋体" w:cs="宋体"/>
                <w:lang w:val="en-US" w:eastAsia="zh-CN"/>
              </w:rPr>
              <w:t>、</w:t>
            </w:r>
            <w:r>
              <w:rPr>
                <w:rFonts w:hint="eastAsia" w:ascii="宋体" w:hAnsi="宋体" w:eastAsia="宋体" w:cs="宋体"/>
                <w:lang w:val="en-US" w:eastAsia="zh-CN"/>
              </w:rPr>
              <w:t>呼叫联动：患者发起呼叫时，门口分机门灯根据患者呼叫类型、患者护理级别，进行不同颜色门灯的闪烁提醒；</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cs="宋体"/>
                <w:lang w:val="en-US" w:eastAsia="zh-CN"/>
              </w:rPr>
              <w:t>、</w:t>
            </w:r>
            <w:r>
              <w:rPr>
                <w:rFonts w:hint="eastAsia" w:ascii="宋体" w:hAnsi="宋体" w:eastAsia="宋体" w:cs="宋体"/>
                <w:lang w:val="en-US" w:eastAsia="zh-CN"/>
              </w:rPr>
              <w:t>呼叫处理：患者发起呼叫后，门口分机可以处理相应呼叫，包括“接听”“挂断”“忽略”三种处理方式，接听后与患者进行双工对讲；</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8</w:t>
            </w:r>
            <w:r>
              <w:rPr>
                <w:rFonts w:hint="eastAsia" w:ascii="宋体" w:hAnsi="宋体" w:cs="宋体"/>
                <w:lang w:val="en-US" w:eastAsia="zh-CN"/>
              </w:rPr>
              <w:t>、</w:t>
            </w:r>
            <w:r>
              <w:rPr>
                <w:rFonts w:hint="eastAsia" w:ascii="宋体" w:hAnsi="宋体" w:eastAsia="宋体" w:cs="宋体"/>
                <w:lang w:val="en-US" w:eastAsia="zh-CN"/>
              </w:rPr>
              <w:t>模式切换：支持管床与管房两种模式之间的切换。</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13套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2523.00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卫生间分机</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79" w:firstLineChars="38"/>
              <w:jc w:val="left"/>
              <w:rPr>
                <w:rFonts w:hint="default" w:ascii="宋体" w:hAnsi="宋体" w:eastAsia="宋体" w:cs="宋体"/>
                <w:lang w:val="en-US" w:eastAsia="zh-CN"/>
              </w:rPr>
            </w:pPr>
            <w:r>
              <w:rPr>
                <w:rFonts w:hint="default" w:ascii="宋体" w:hAnsi="宋体" w:eastAsia="宋体" w:cs="宋体"/>
                <w:lang w:val="en-US" w:eastAsia="zh-CN"/>
              </w:rPr>
              <w:t>1、★IP68防水等级。</w:t>
            </w:r>
          </w:p>
          <w:p>
            <w:pPr>
              <w:spacing w:before="0" w:after="0" w:line="400" w:lineRule="exact"/>
              <w:ind w:left="0" w:leftChars="0" w:firstLine="79" w:firstLineChars="38"/>
              <w:jc w:val="left"/>
              <w:rPr>
                <w:rFonts w:hint="default" w:ascii="宋体" w:hAnsi="宋体" w:eastAsia="宋体" w:cs="宋体"/>
                <w:lang w:val="en-US" w:eastAsia="zh-CN"/>
              </w:rPr>
            </w:pPr>
            <w:r>
              <w:rPr>
                <w:rFonts w:hint="default" w:ascii="宋体" w:hAnsi="宋体" w:eastAsia="宋体" w:cs="宋体"/>
                <w:lang w:val="en-US" w:eastAsia="zh-CN"/>
              </w:rPr>
              <w:t>2、使用双绞线标准86盒安装，不占用网线与IP网口。</w:t>
            </w:r>
          </w:p>
          <w:p>
            <w:pPr>
              <w:spacing w:before="0" w:after="0" w:line="400" w:lineRule="exact"/>
              <w:ind w:left="0" w:leftChars="0" w:firstLine="79" w:firstLineChars="38"/>
              <w:jc w:val="left"/>
              <w:rPr>
                <w:rFonts w:hint="default" w:ascii="宋体" w:hAnsi="宋体" w:eastAsia="宋体" w:cs="宋体"/>
                <w:lang w:val="en-US" w:eastAsia="zh-CN"/>
              </w:rPr>
            </w:pPr>
            <w:r>
              <w:rPr>
                <w:rFonts w:hint="default" w:ascii="宋体" w:hAnsi="宋体" w:eastAsia="宋体" w:cs="宋体"/>
                <w:lang w:val="en-US" w:eastAsia="zh-CN"/>
              </w:rPr>
              <w:t>3、支持大按键拍击触发，按键占比大于25%。</w:t>
            </w:r>
          </w:p>
          <w:p>
            <w:pPr>
              <w:spacing w:before="0" w:after="0" w:line="400" w:lineRule="exact"/>
              <w:ind w:left="0" w:leftChars="0" w:firstLine="79" w:firstLineChars="38"/>
              <w:jc w:val="left"/>
              <w:rPr>
                <w:rFonts w:hint="default" w:ascii="宋体" w:hAnsi="宋体" w:eastAsia="宋体" w:cs="宋体"/>
                <w:lang w:val="en-US" w:eastAsia="zh-CN"/>
              </w:rPr>
            </w:pPr>
            <w:r>
              <w:rPr>
                <w:rFonts w:hint="default" w:ascii="宋体" w:hAnsi="宋体" w:eastAsia="宋体" w:cs="宋体"/>
                <w:lang w:val="en-US" w:eastAsia="zh-CN"/>
              </w:rPr>
              <w:t>4、支持拉绳触发卫生间呼叫，配防水材质吊坠，防止拉绳贴附墙面。</w:t>
            </w:r>
          </w:p>
          <w:p>
            <w:pPr>
              <w:spacing w:before="0" w:after="0" w:line="400" w:lineRule="exact"/>
              <w:ind w:left="0" w:leftChars="0" w:firstLine="79" w:firstLineChars="38"/>
              <w:jc w:val="left"/>
              <w:rPr>
                <w:rFonts w:hint="default" w:ascii="宋体" w:hAnsi="宋体" w:eastAsia="宋体" w:cs="宋体"/>
                <w:lang w:val="en-US" w:eastAsia="zh-CN"/>
              </w:rPr>
            </w:pPr>
            <w:r>
              <w:rPr>
                <w:rFonts w:hint="default" w:ascii="宋体" w:hAnsi="宋体" w:eastAsia="宋体" w:cs="宋体"/>
                <w:lang w:val="en-US" w:eastAsia="zh-CN"/>
              </w:rPr>
              <w:t>5、触发卫生间呼叫时可声光报警。</w:t>
            </w:r>
          </w:p>
          <w:p>
            <w:pPr>
              <w:spacing w:before="0" w:after="0" w:line="400" w:lineRule="exact"/>
              <w:ind w:left="0" w:leftChars="0" w:firstLine="79" w:firstLineChars="38"/>
              <w:jc w:val="left"/>
              <w:rPr>
                <w:rFonts w:hint="default" w:ascii="宋体" w:hAnsi="宋体" w:eastAsia="宋体" w:cs="宋体"/>
                <w:lang w:val="en-US" w:eastAsia="zh-CN"/>
              </w:rPr>
            </w:pPr>
            <w:r>
              <w:rPr>
                <w:rFonts w:hint="default" w:ascii="宋体" w:hAnsi="宋体" w:eastAsia="宋体" w:cs="宋体"/>
                <w:lang w:val="en-US" w:eastAsia="zh-CN"/>
              </w:rPr>
              <w:t>6、★如患者不小心误触时，可点击专用取消按键，取消卫生间呼叫。</w:t>
            </w:r>
          </w:p>
          <w:p>
            <w:pPr>
              <w:spacing w:before="0" w:after="0" w:line="400" w:lineRule="exact"/>
              <w:ind w:left="0" w:leftChars="0" w:firstLine="80" w:firstLineChars="38"/>
              <w:jc w:val="left"/>
              <w:rPr>
                <w:rFonts w:hint="default" w:ascii="宋体" w:hAnsi="宋体" w:eastAsia="宋体" w:cs="宋体"/>
                <w:lang w:val="en-US" w:eastAsia="zh-CN"/>
              </w:rPr>
            </w:pPr>
            <w:r>
              <w:rPr>
                <w:rFonts w:hint="default" w:ascii="宋体" w:hAnsi="宋体" w:eastAsia="宋体" w:cs="宋体"/>
                <w:b/>
                <w:bCs/>
                <w:lang w:val="en-US" w:eastAsia="zh-CN"/>
              </w:rPr>
              <w:t>7、响应文件中提供</w:t>
            </w:r>
            <w:r>
              <w:rPr>
                <w:rFonts w:hint="eastAsia" w:ascii="宋体" w:hAnsi="宋体" w:cs="宋体"/>
                <w:b/>
                <w:bCs/>
                <w:lang w:val="en-US" w:eastAsia="zh-CN"/>
              </w:rPr>
              <w:t>磋商</w:t>
            </w:r>
            <w:r>
              <w:rPr>
                <w:rFonts w:hint="default" w:ascii="宋体" w:hAnsi="宋体" w:eastAsia="宋体" w:cs="宋体"/>
                <w:b/>
                <w:bCs/>
                <w:lang w:val="en-US" w:eastAsia="zh-CN"/>
              </w:rPr>
              <w:t>产品软件著作权证书复印件，提供卫生间防水防尘等级检测报告（测试报告需注明测试要求、判定依据、测试结果、结论）复印件。以上材料均需加盖磋商供应商公章。</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13套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210.00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7</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门禁分机</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cs="宋体"/>
                <w:lang w:val="en-US" w:eastAsia="zh-CN"/>
              </w:rPr>
              <w:t>一、</w:t>
            </w:r>
            <w:r>
              <w:rPr>
                <w:rFonts w:hint="eastAsia" w:ascii="宋体" w:hAnsi="宋体" w:eastAsia="宋体" w:cs="宋体"/>
                <w:lang w:val="en-US" w:eastAsia="zh-CN"/>
              </w:rPr>
              <w:t>硬件参数</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安卓操作系统，版本号不低于Android 9.0</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显示屏尺寸不低于5寸</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显示屏分辨率不低于800×480</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 xml:space="preserve">电容屏触摸屏，支持5点触控 </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CPU不低于8核心，主频不低于1.5GHz</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6</w:t>
            </w:r>
            <w:r>
              <w:rPr>
                <w:rFonts w:hint="eastAsia" w:ascii="宋体" w:hAnsi="宋体" w:cs="宋体"/>
                <w:lang w:val="en-US" w:eastAsia="zh-CN"/>
              </w:rPr>
              <w:t>、</w:t>
            </w:r>
            <w:r>
              <w:rPr>
                <w:rFonts w:hint="eastAsia" w:ascii="宋体" w:hAnsi="宋体" w:eastAsia="宋体" w:cs="宋体"/>
                <w:lang w:val="en-US" w:eastAsia="zh-CN"/>
              </w:rPr>
              <w:t>运行内存不低于1G</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cs="宋体"/>
                <w:lang w:val="en-US" w:eastAsia="zh-CN"/>
              </w:rPr>
              <w:t>、</w:t>
            </w:r>
            <w:r>
              <w:rPr>
                <w:rFonts w:hint="eastAsia" w:ascii="宋体" w:hAnsi="宋体" w:eastAsia="宋体" w:cs="宋体"/>
                <w:lang w:val="en-US" w:eastAsia="zh-CN"/>
              </w:rPr>
              <w:t>机身存储不低于8G</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8</w:t>
            </w:r>
            <w:r>
              <w:rPr>
                <w:rFonts w:hint="eastAsia" w:ascii="宋体" w:hAnsi="宋体" w:cs="宋体"/>
                <w:lang w:val="en-US" w:eastAsia="zh-CN"/>
              </w:rPr>
              <w:t>、</w:t>
            </w:r>
            <w:r>
              <w:rPr>
                <w:rFonts w:hint="eastAsia" w:ascii="宋体" w:hAnsi="宋体" w:eastAsia="宋体" w:cs="宋体"/>
                <w:lang w:val="en-US" w:eastAsia="zh-CN"/>
              </w:rPr>
              <w:t>前置摄像头像素不低于800万</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9</w:t>
            </w:r>
            <w:r>
              <w:rPr>
                <w:rFonts w:hint="eastAsia" w:ascii="宋体" w:hAnsi="宋体" w:cs="宋体"/>
                <w:lang w:val="en-US" w:eastAsia="zh-CN"/>
              </w:rPr>
              <w:t>、</w:t>
            </w:r>
            <w:r>
              <w:rPr>
                <w:rFonts w:hint="eastAsia" w:ascii="宋体" w:hAnsi="宋体" w:eastAsia="宋体" w:cs="宋体"/>
                <w:lang w:val="en-US" w:eastAsia="zh-CN"/>
              </w:rPr>
              <w:t>具备刷卡模块，支持识别医护IC身份卡</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10</w:t>
            </w:r>
            <w:r>
              <w:rPr>
                <w:rFonts w:hint="eastAsia" w:ascii="宋体" w:hAnsi="宋体" w:cs="宋体"/>
                <w:lang w:val="en-US" w:eastAsia="zh-CN"/>
              </w:rPr>
              <w:t>、</w:t>
            </w:r>
            <w:r>
              <w:rPr>
                <w:rFonts w:hint="eastAsia" w:ascii="宋体" w:hAnsi="宋体" w:eastAsia="宋体" w:cs="宋体"/>
                <w:lang w:val="en-US" w:eastAsia="zh-CN"/>
              </w:rPr>
              <w:t>支持直连门磁锁与门禁控制器两种对接方式</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cs="宋体"/>
                <w:lang w:val="en-US" w:eastAsia="zh-CN"/>
              </w:rPr>
              <w:t>二、</w:t>
            </w:r>
            <w:r>
              <w:rPr>
                <w:rFonts w:hint="eastAsia" w:ascii="宋体" w:hAnsi="宋体" w:eastAsia="宋体" w:cs="宋体"/>
                <w:lang w:val="en-US" w:eastAsia="zh-CN"/>
              </w:rPr>
              <w:t>软件功能</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 xml:space="preserve">同时支持视频、密码、刷卡、刷脸多种开门方式，方便不同病区不同场景操作； </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视频请求：来访者向医护主机发起单向视频通话，医护主机显示门禁分机摄像头画面，门禁分机屏幕显示本地摄像头画面，护士自主决定是否打开门禁；</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密码开门：输入正确的门禁密码后打开门禁；</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刷卡开门：医护人员可刷卡打开所具备权限的门禁。</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刷脸开门：医护人员通过人脸识别打开所具备权限的门禁。</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4800.00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8</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走廊点阵屏</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双面Φ3.75单红色点阵，可显示2行*8个汉字</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呼叫时循环显示护理级别、房间号和床位号</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待机时滚动显示日期、时间、护士位置、温馨提示等内容</w:t>
            </w:r>
            <w:r>
              <w:rPr>
                <w:rFonts w:hint="eastAsia" w:ascii="宋体" w:hAnsi="宋体" w:cs="宋体"/>
                <w:lang w:val="en-US" w:eastAsia="zh-CN"/>
              </w:rPr>
              <w:t>。</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55770.00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9</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多媒体控制器</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支持TCP、UDP、HTTP、FTP等通讯协议</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CPU不低于4核心，主频不低于1.8GHz</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运行内存不低于2G</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机身存储不低于16G</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网络接口 RJ45，支持100/1000M自适应</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6</w:t>
            </w:r>
            <w:r>
              <w:rPr>
                <w:rFonts w:hint="eastAsia" w:ascii="宋体" w:hAnsi="宋体" w:cs="宋体"/>
                <w:lang w:val="en-US" w:eastAsia="zh-CN"/>
              </w:rPr>
              <w:t>、</w:t>
            </w:r>
            <w:r>
              <w:rPr>
                <w:rFonts w:hint="eastAsia" w:ascii="宋体" w:hAnsi="宋体" w:eastAsia="宋体" w:cs="宋体"/>
                <w:lang w:val="en-US" w:eastAsia="zh-CN"/>
              </w:rPr>
              <w:t>具备红外接收模块</w:t>
            </w:r>
            <w:r>
              <w:rPr>
                <w:rFonts w:hint="eastAsia" w:ascii="宋体" w:hAnsi="宋体" w:cs="宋体"/>
                <w:lang w:val="en-US" w:eastAsia="zh-CN"/>
              </w:rPr>
              <w:t>。</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cs="宋体"/>
                <w:lang w:val="en-US" w:eastAsia="zh-CN"/>
              </w:rPr>
              <w:t>、</w:t>
            </w:r>
            <w:r>
              <w:rPr>
                <w:rFonts w:hint="eastAsia" w:ascii="宋体" w:hAnsi="宋体" w:eastAsia="宋体" w:cs="宋体"/>
                <w:lang w:val="en-US" w:eastAsia="zh-CN"/>
              </w:rPr>
              <w:t>与液晶电视组合使用，可显示病区统计信息、病区概况、调床信息、呼叫信息、护理信息、高危风险管理、常用联系方式、公告栏能信息。呼叫信息可对接病房呼叫信息，实现呼叫信息的联动显示。统计信息、病区概况、护理信息等展示项目可灵活配置。</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8</w:t>
            </w:r>
            <w:r>
              <w:rPr>
                <w:rFonts w:hint="eastAsia" w:ascii="宋体" w:hAnsi="宋体" w:cs="宋体"/>
                <w:lang w:val="en-US" w:eastAsia="zh-CN"/>
              </w:rPr>
              <w:t>、</w:t>
            </w:r>
            <w:r>
              <w:rPr>
                <w:rFonts w:hint="eastAsia" w:ascii="宋体" w:hAnsi="宋体" w:eastAsia="宋体" w:cs="宋体"/>
                <w:lang w:val="en-US" w:eastAsia="zh-CN"/>
              </w:rPr>
              <w:t>患者床位一览表：展示患者的关键信息，包含床号、姓名、护理等级、年龄、护理标识等信息。设置：可设置切换时间，可对调床信息、常用联系方式等内容进行手动维护。</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76000.00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外置电源</w:t>
            </w:r>
          </w:p>
        </w:tc>
        <w:tc>
          <w:tcPr>
            <w:tcW w:w="6829"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单个系统外置电源能为4路*8个终端不间断供电。为设备集中供电。</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专用指示灯指示上电后供电正常功能。</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具有电流检测功能，当负载超出额定电流时，或者是系统中出现某种异常导致供电线路短路时，外置电源会进行总线过流和短路保护功能，即自动关闭总线供电输出，且外置电源箱声光报警，异常指示灯闪烁提示。</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具有过压保护功能，当外部总线电压超出额定输出电压要求时，外置电源检测异常并声光报警，且关闭总线供电输出。</w:t>
            </w:r>
          </w:p>
          <w:p>
            <w:pPr>
              <w:spacing w:before="0" w:after="0" w:line="400" w:lineRule="exact"/>
              <w:ind w:left="0" w:leftChars="0" w:firstLine="79" w:firstLineChars="38"/>
              <w:jc w:val="left"/>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当供电线路异常解除后，外置电源具有自恢复功能，恢复对总线的供电输出。</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6500.00</w:t>
            </w:r>
          </w:p>
        </w:tc>
      </w:tr>
      <w:tr>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11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设备带</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before="0" w:after="0" w:line="360" w:lineRule="exact"/>
              <w:ind w:firstLine="0" w:firstLineChars="0"/>
              <w:jc w:val="both"/>
              <w:textAlignment w:val="auto"/>
              <w:rPr>
                <w:rFonts w:hint="eastAsia" w:ascii="宋体" w:hAnsi="宋体" w:eastAsia="宋体" w:cs="宋体"/>
                <w:lang w:val="en-US" w:eastAsia="zh-CN"/>
              </w:rPr>
            </w:pPr>
            <w:r>
              <w:rPr>
                <w:rFonts w:hint="eastAsia" w:ascii="宋体" w:hAnsi="宋体" w:cs="宋体"/>
                <w:lang w:val="en-US" w:eastAsia="zh-CN"/>
              </w:rPr>
              <w:t>制定。</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22套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4227.00</w:t>
            </w:r>
          </w:p>
        </w:tc>
      </w:tr>
      <w:tr>
        <w:tblPrEx>
          <w:tblCellMar>
            <w:top w:w="0" w:type="dxa"/>
            <w:left w:w="0" w:type="dxa"/>
            <w:bottom w:w="0" w:type="dxa"/>
            <w:right w:w="0" w:type="dxa"/>
          </w:tblCellMar>
        </w:tblPrEx>
        <w:trPr>
          <w:trHeight w:val="768" w:hRule="atLeast"/>
        </w:trPr>
        <w:tc>
          <w:tcPr>
            <w:tcW w:w="1010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4"/>
              <w:keepNext/>
              <w:keepLines/>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商务要求：</w:t>
            </w:r>
          </w:p>
        </w:tc>
      </w:tr>
      <w:tr>
        <w:tblPrEx>
          <w:tblCellMar>
            <w:top w:w="0" w:type="dxa"/>
            <w:left w:w="0" w:type="dxa"/>
            <w:bottom w:w="0" w:type="dxa"/>
            <w:right w:w="0" w:type="dxa"/>
          </w:tblCellMar>
        </w:tblPrEx>
        <w:trPr>
          <w:trHeight w:val="768" w:hRule="atLeast"/>
        </w:trPr>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ind w:left="0" w:lef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Cs w:val="21"/>
              </w:rPr>
              <w:t>免费保修期及售后服务</w:t>
            </w:r>
          </w:p>
        </w:tc>
        <w:tc>
          <w:tcPr>
            <w:tcW w:w="8543" w:type="dxa"/>
            <w:gridSpan w:val="3"/>
            <w:tcBorders>
              <w:top w:val="single" w:color="000000" w:sz="4" w:space="0"/>
              <w:left w:val="single" w:color="000000" w:sz="4" w:space="0"/>
              <w:bottom w:val="single" w:color="000000" w:sz="4" w:space="0"/>
              <w:right w:val="single" w:color="000000" w:sz="4" w:space="0"/>
            </w:tcBorders>
            <w:noWrap w:val="0"/>
            <w:vAlign w:val="top"/>
          </w:tcPr>
          <w:p>
            <w:pPr>
              <w:adjustRightInd w:val="0"/>
              <w:spacing w:line="400" w:lineRule="exact"/>
              <w:ind w:left="0" w:leftChars="0" w:firstLine="58" w:firstLineChars="28"/>
              <w:jc w:val="left"/>
              <w:rPr>
                <w:rFonts w:hint="eastAsia" w:ascii="宋体" w:hAnsi="宋体" w:eastAsia="宋体" w:cs="宋体"/>
                <w:color w:val="auto"/>
                <w:szCs w:val="21"/>
              </w:rPr>
            </w:pPr>
            <w:r>
              <w:rPr>
                <w:rFonts w:hint="eastAsia" w:ascii="宋体" w:hAnsi="宋体" w:eastAsia="宋体" w:cs="宋体"/>
                <w:color w:val="auto"/>
                <w:szCs w:val="21"/>
              </w:rPr>
              <w:t>1、免费保修期：按国家有关产品“三包”规定执行“三包”，</w:t>
            </w:r>
            <w:r>
              <w:rPr>
                <w:rFonts w:hint="eastAsia" w:ascii="宋体" w:hAnsi="宋体" w:eastAsia="宋体" w:cs="宋体"/>
                <w:color w:val="auto"/>
                <w:szCs w:val="21"/>
                <w:lang w:eastAsia="zh-CN"/>
              </w:rPr>
              <w:t>整机</w:t>
            </w:r>
            <w:r>
              <w:rPr>
                <w:rFonts w:hint="eastAsia" w:ascii="宋体" w:hAnsi="宋体" w:eastAsia="宋体" w:cs="宋体"/>
                <w:color w:val="auto"/>
                <w:szCs w:val="21"/>
              </w:rPr>
              <w:t>免费保修期不少于</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年(“货物采购需求”中有特殊要求的，按其要求执行）。</w:t>
            </w:r>
          </w:p>
          <w:p>
            <w:pPr>
              <w:adjustRightInd w:val="0"/>
              <w:spacing w:line="400" w:lineRule="exact"/>
              <w:ind w:left="0" w:leftChars="0" w:firstLine="58" w:firstLineChars="28"/>
              <w:jc w:val="left"/>
              <w:rPr>
                <w:rFonts w:hint="eastAsia" w:ascii="宋体" w:hAnsi="宋体" w:eastAsia="宋体" w:cs="宋体"/>
                <w:color w:val="auto"/>
                <w:szCs w:val="21"/>
                <w:lang w:val="en-US" w:eastAsia="zh-CN"/>
              </w:rPr>
            </w:pPr>
            <w:r>
              <w:rPr>
                <w:rFonts w:hint="eastAsia" w:ascii="宋体" w:hAnsi="宋体" w:eastAsia="宋体" w:cs="宋体"/>
                <w:color w:val="auto"/>
                <w:szCs w:val="21"/>
              </w:rPr>
              <w:t>2、免费送货上门安装并调试完毕，验收合格。</w:t>
            </w:r>
          </w:p>
        </w:tc>
      </w:tr>
      <w:tr>
        <w:tblPrEx>
          <w:tblCellMar>
            <w:top w:w="0" w:type="dxa"/>
            <w:left w:w="0" w:type="dxa"/>
            <w:bottom w:w="0" w:type="dxa"/>
            <w:right w:w="0" w:type="dxa"/>
          </w:tblCellMar>
        </w:tblPrEx>
        <w:trPr>
          <w:trHeight w:val="90" w:hRule="atLeast"/>
        </w:trPr>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ind w:left="0" w:lef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Cs w:val="21"/>
              </w:rPr>
              <w:t>交付使用时间及地点</w:t>
            </w:r>
          </w:p>
        </w:tc>
        <w:tc>
          <w:tcPr>
            <w:tcW w:w="8543" w:type="dxa"/>
            <w:gridSpan w:val="3"/>
            <w:tcBorders>
              <w:top w:val="single" w:color="000000" w:sz="4" w:space="0"/>
              <w:left w:val="single" w:color="000000" w:sz="4" w:space="0"/>
              <w:bottom w:val="single" w:color="000000" w:sz="4" w:space="0"/>
              <w:right w:val="single" w:color="000000" w:sz="4" w:space="0"/>
            </w:tcBorders>
            <w:noWrap w:val="0"/>
            <w:vAlign w:val="top"/>
          </w:tcPr>
          <w:p>
            <w:pPr>
              <w:adjustRightInd w:val="0"/>
              <w:spacing w:line="400" w:lineRule="exact"/>
              <w:ind w:left="0" w:leftChars="0" w:firstLine="58" w:firstLineChars="28"/>
              <w:jc w:val="left"/>
              <w:rPr>
                <w:rFonts w:hint="eastAsia" w:ascii="宋体" w:hAnsi="宋体" w:eastAsia="宋体" w:cs="宋体"/>
                <w:color w:val="auto"/>
                <w:szCs w:val="21"/>
              </w:rPr>
            </w:pPr>
            <w:r>
              <w:rPr>
                <w:rFonts w:hint="eastAsia" w:ascii="宋体" w:hAnsi="宋体" w:eastAsia="宋体" w:cs="宋体"/>
                <w:color w:val="auto"/>
                <w:szCs w:val="21"/>
              </w:rPr>
              <w:t>1、交付使用时间：自合同签订后</w:t>
            </w:r>
            <w:r>
              <w:rPr>
                <w:rFonts w:hint="eastAsia" w:ascii="宋体" w:hAnsi="宋体" w:eastAsia="宋体" w:cs="宋体"/>
                <w:color w:val="auto"/>
                <w:szCs w:val="21"/>
                <w:lang w:val="en-US" w:eastAsia="zh-CN"/>
              </w:rPr>
              <w:t>7</w:t>
            </w:r>
            <w:r>
              <w:rPr>
                <w:rFonts w:hint="eastAsia" w:ascii="宋体" w:hAnsi="宋体" w:eastAsia="宋体" w:cs="宋体"/>
                <w:color w:val="auto"/>
                <w:szCs w:val="21"/>
              </w:rPr>
              <w:t>个工作日内交货并按采购人要求安装调试完毕交付使用。</w:t>
            </w:r>
          </w:p>
          <w:p>
            <w:pPr>
              <w:adjustRightInd w:val="0"/>
              <w:spacing w:line="400" w:lineRule="exact"/>
              <w:ind w:left="0" w:leftChars="0" w:firstLine="58" w:firstLineChars="28"/>
              <w:jc w:val="left"/>
              <w:rPr>
                <w:rFonts w:hint="eastAsia" w:ascii="宋体" w:hAnsi="宋体" w:eastAsia="宋体" w:cs="宋体"/>
                <w:color w:val="auto"/>
                <w:szCs w:val="21"/>
                <w:lang w:val="en-US" w:eastAsia="zh-CN"/>
              </w:rPr>
            </w:pPr>
            <w:r>
              <w:rPr>
                <w:rFonts w:hint="eastAsia" w:ascii="宋体" w:hAnsi="宋体" w:eastAsia="宋体" w:cs="宋体"/>
                <w:color w:val="auto"/>
                <w:szCs w:val="21"/>
              </w:rPr>
              <w:t>2、交付地点：采购单位指定地点。</w:t>
            </w:r>
          </w:p>
        </w:tc>
      </w:tr>
      <w:tr>
        <w:tblPrEx>
          <w:tblCellMar>
            <w:top w:w="0" w:type="dxa"/>
            <w:left w:w="0" w:type="dxa"/>
            <w:bottom w:w="0" w:type="dxa"/>
            <w:right w:w="0" w:type="dxa"/>
          </w:tblCellMar>
        </w:tblPrEx>
        <w:trPr>
          <w:trHeight w:val="444" w:hRule="atLeast"/>
        </w:trPr>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ind w:left="0" w:lef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Cs w:val="21"/>
              </w:rPr>
              <w:t>付款方式</w:t>
            </w:r>
          </w:p>
        </w:tc>
        <w:tc>
          <w:tcPr>
            <w:tcW w:w="8543" w:type="dxa"/>
            <w:gridSpan w:val="3"/>
            <w:tcBorders>
              <w:top w:val="single" w:color="000000" w:sz="4" w:space="0"/>
              <w:left w:val="single" w:color="000000" w:sz="4" w:space="0"/>
              <w:bottom w:val="single" w:color="000000" w:sz="4" w:space="0"/>
              <w:right w:val="single" w:color="000000" w:sz="4" w:space="0"/>
            </w:tcBorders>
            <w:noWrap w:val="0"/>
            <w:vAlign w:val="top"/>
          </w:tcPr>
          <w:p>
            <w:pPr>
              <w:adjustRightInd w:val="0"/>
              <w:spacing w:line="400" w:lineRule="exact"/>
              <w:ind w:left="0" w:leftChars="0" w:firstLine="58" w:firstLineChars="28"/>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双方签订合同后甲方即付合同金额的30%，余款70%验收合格后一次性付清，履约保证金转为产品质保金，质保期满后质保金退回</w:t>
            </w:r>
          </w:p>
        </w:tc>
      </w:tr>
      <w:tr>
        <w:tblPrEx>
          <w:tblCellMar>
            <w:top w:w="0" w:type="dxa"/>
            <w:left w:w="0" w:type="dxa"/>
            <w:bottom w:w="0" w:type="dxa"/>
            <w:right w:w="0" w:type="dxa"/>
          </w:tblCellMar>
        </w:tblPrEx>
        <w:trPr>
          <w:trHeight w:val="1671" w:hRule="atLeast"/>
        </w:trPr>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Cs w:val="21"/>
              </w:rPr>
              <w:t>验收标准</w:t>
            </w:r>
          </w:p>
        </w:tc>
        <w:tc>
          <w:tcPr>
            <w:tcW w:w="8543"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ind w:left="0" w:leftChars="0" w:firstLine="58" w:firstLineChars="28"/>
              <w:jc w:val="left"/>
              <w:rPr>
                <w:rFonts w:hint="eastAsia" w:ascii="宋体" w:hAnsi="宋体" w:eastAsia="宋体" w:cs="宋体"/>
                <w:color w:val="auto"/>
                <w:szCs w:val="21"/>
              </w:rPr>
            </w:pPr>
            <w:r>
              <w:rPr>
                <w:rFonts w:hint="eastAsia" w:ascii="宋体" w:hAnsi="宋体" w:eastAsia="宋体" w:cs="宋体"/>
                <w:color w:val="auto"/>
                <w:szCs w:val="21"/>
              </w:rPr>
              <w:t>1、现场验收。</w:t>
            </w:r>
          </w:p>
          <w:p>
            <w:pPr>
              <w:adjustRightInd w:val="0"/>
              <w:spacing w:line="400" w:lineRule="exact"/>
              <w:ind w:left="0" w:leftChars="0" w:firstLine="58" w:firstLineChars="28"/>
              <w:jc w:val="left"/>
              <w:rPr>
                <w:rFonts w:hint="eastAsia" w:ascii="宋体" w:hAnsi="宋体" w:eastAsia="宋体" w:cs="宋体"/>
                <w:color w:val="auto"/>
                <w:szCs w:val="21"/>
              </w:rPr>
            </w:pPr>
            <w:r>
              <w:rPr>
                <w:rFonts w:hint="eastAsia" w:ascii="宋体" w:hAnsi="宋体" w:eastAsia="宋体" w:cs="宋体"/>
                <w:color w:val="auto"/>
                <w:szCs w:val="21"/>
              </w:rPr>
              <w:t>2、验收依据：按照竞争性磋商文件要求及成交人的响应文件。</w:t>
            </w:r>
          </w:p>
          <w:p>
            <w:pPr>
              <w:adjustRightInd w:val="0"/>
              <w:spacing w:line="400" w:lineRule="exact"/>
              <w:ind w:left="0" w:leftChars="0" w:firstLine="58" w:firstLineChars="28"/>
              <w:jc w:val="left"/>
              <w:rPr>
                <w:rFonts w:hint="eastAsia" w:ascii="宋体" w:hAnsi="宋体" w:eastAsia="宋体" w:cs="宋体"/>
                <w:color w:val="auto"/>
                <w:szCs w:val="21"/>
              </w:rPr>
            </w:pPr>
            <w:r>
              <w:rPr>
                <w:rFonts w:hint="eastAsia" w:ascii="宋体" w:hAnsi="宋体" w:eastAsia="宋体" w:cs="宋体"/>
                <w:color w:val="auto"/>
                <w:szCs w:val="21"/>
              </w:rPr>
              <w:t>3、验收时，成交人须提供由国家行政主管部门核准的产品出厂检验报告、合格证书、装箱单、完整的技术资料原件一套（技术说明书及中文操作使用说明书）；采购人依此标准对成交产品按采购需求逐条核验，如无以上原件材料或响应文件技术规格偏离表中承诺的参数与该文件不一致，采购人不予验收，由此造成的损失由成交人负责。</w:t>
            </w:r>
          </w:p>
          <w:p>
            <w:pPr>
              <w:adjustRightInd w:val="0"/>
              <w:spacing w:line="400" w:lineRule="exact"/>
              <w:ind w:left="0" w:leftChars="0" w:firstLine="58" w:firstLineChars="28"/>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4、采购人对成交人提供的货物进行验收，检验是否满足竞争性</w:t>
            </w:r>
            <w:r>
              <w:rPr>
                <w:rFonts w:hint="eastAsia" w:ascii="宋体" w:hAnsi="宋体" w:cs="宋体"/>
                <w:bCs/>
                <w:color w:val="auto"/>
                <w:szCs w:val="21"/>
                <w:highlight w:val="none"/>
                <w:lang w:eastAsia="zh-CN"/>
              </w:rPr>
              <w:t>磋商</w:t>
            </w:r>
            <w:r>
              <w:rPr>
                <w:rFonts w:hint="eastAsia" w:ascii="宋体" w:hAnsi="宋体" w:eastAsia="宋体" w:cs="宋体"/>
                <w:color w:val="auto"/>
                <w:szCs w:val="21"/>
              </w:rPr>
              <w:t>文件要求及响应文件承诺；若有技术参数不满足竞争性</w:t>
            </w:r>
            <w:r>
              <w:rPr>
                <w:rFonts w:hint="eastAsia" w:ascii="宋体" w:hAnsi="宋体" w:cs="宋体"/>
                <w:bCs/>
                <w:color w:val="auto"/>
                <w:szCs w:val="21"/>
                <w:highlight w:val="none"/>
                <w:lang w:eastAsia="zh-CN"/>
              </w:rPr>
              <w:t>磋商</w:t>
            </w:r>
            <w:r>
              <w:rPr>
                <w:rFonts w:hint="eastAsia" w:ascii="宋体" w:hAnsi="宋体" w:eastAsia="宋体" w:cs="宋体"/>
                <w:color w:val="auto"/>
                <w:szCs w:val="21"/>
              </w:rPr>
              <w:t>文件要求的，不予收货，按违约责任处理，采购人有权单方面解除政府采购合同，并上报政府采购监督管理部门，由此造成的一切后果由成交人承担。</w:t>
            </w:r>
          </w:p>
        </w:tc>
      </w:tr>
      <w:tr>
        <w:tblPrEx>
          <w:tblCellMar>
            <w:top w:w="0" w:type="dxa"/>
            <w:left w:w="0" w:type="dxa"/>
            <w:bottom w:w="0" w:type="dxa"/>
            <w:right w:w="0" w:type="dxa"/>
          </w:tblCellMar>
        </w:tblPrEx>
        <w:trPr>
          <w:trHeight w:val="562" w:hRule="atLeast"/>
        </w:trPr>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ind w:left="0" w:lef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Cs w:val="21"/>
              </w:rPr>
              <w:t>其他要求</w:t>
            </w:r>
          </w:p>
        </w:tc>
        <w:tc>
          <w:tcPr>
            <w:tcW w:w="85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14"/>
              <w:tabs>
                <w:tab w:val="left" w:pos="633"/>
              </w:tabs>
              <w:spacing w:before="33" w:line="400" w:lineRule="exact"/>
              <w:ind w:left="0" w:leftChars="0" w:right="-15" w:firstLine="98" w:firstLineChars="47"/>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1、</w:t>
            </w:r>
            <w:r>
              <w:rPr>
                <w:rFonts w:hint="eastAsia" w:ascii="宋体" w:hAnsi="宋体" w:eastAsia="宋体" w:cs="宋体"/>
                <w:color w:val="auto"/>
                <w:szCs w:val="21"/>
                <w:lang w:bidi="ar"/>
              </w:rPr>
              <w:t>成交人必须提供原装正品的、全新的、符合国家及采购方提出的有关质量标准的产品。否则，采购人有权终止采购合同并全部退货，由此造成采购人的经济损失由成交人全部承担赔偿；</w:t>
            </w:r>
          </w:p>
          <w:p>
            <w:pPr>
              <w:pStyle w:val="114"/>
              <w:tabs>
                <w:tab w:val="left" w:pos="633"/>
              </w:tabs>
              <w:spacing w:before="33" w:line="400" w:lineRule="exact"/>
              <w:ind w:left="0" w:leftChars="0" w:right="-15" w:firstLine="98" w:firstLineChars="47"/>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2、</w:t>
            </w:r>
            <w:r>
              <w:rPr>
                <w:rFonts w:hint="eastAsia" w:ascii="宋体" w:hAnsi="宋体" w:eastAsia="宋体" w:cs="宋体"/>
                <w:color w:val="auto"/>
                <w:szCs w:val="21"/>
                <w:lang w:bidi="ar"/>
              </w:rPr>
              <w:t>供货时，成交人必须提供所成交设备生产厂家对此项目的售后服务承诺书原件，否则不予收货。</w:t>
            </w:r>
          </w:p>
          <w:p>
            <w:pPr>
              <w:pStyle w:val="114"/>
              <w:tabs>
                <w:tab w:val="left" w:pos="633"/>
              </w:tabs>
              <w:spacing w:before="33" w:line="400" w:lineRule="exact"/>
              <w:ind w:left="0" w:leftChars="0" w:right="-15" w:firstLine="98" w:firstLineChars="47"/>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3、</w:t>
            </w:r>
            <w:r>
              <w:rPr>
                <w:rFonts w:hint="eastAsia" w:ascii="宋体" w:hAnsi="宋体" w:cs="宋体"/>
                <w:bCs/>
                <w:color w:val="auto"/>
                <w:szCs w:val="21"/>
                <w:highlight w:val="none"/>
                <w:lang w:eastAsia="zh-CN"/>
              </w:rPr>
              <w:t>磋商</w:t>
            </w:r>
            <w:r>
              <w:rPr>
                <w:rFonts w:hint="eastAsia" w:ascii="宋体" w:hAnsi="宋体" w:eastAsia="宋体" w:cs="宋体"/>
                <w:color w:val="auto"/>
                <w:szCs w:val="21"/>
                <w:lang w:bidi="ar"/>
              </w:rPr>
              <w:t>报价包括货物价款、备品备件、专用工具、旧设备拆除费、包装、运输、装卸、保险、税金以及货物到位、安装、安装所需辅材、调试、检验、售后服务、培训、保修和配套配件等全部费用。供应商综合考虑在报价中。</w:t>
            </w:r>
          </w:p>
          <w:p>
            <w:pPr>
              <w:pStyle w:val="114"/>
              <w:tabs>
                <w:tab w:val="left" w:pos="633"/>
              </w:tabs>
              <w:spacing w:before="33" w:line="400" w:lineRule="exact"/>
              <w:ind w:left="0" w:leftChars="0" w:right="-15" w:firstLine="98" w:firstLineChars="47"/>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4、</w:t>
            </w:r>
            <w:r>
              <w:rPr>
                <w:rFonts w:hint="eastAsia" w:ascii="宋体" w:hAnsi="宋体" w:eastAsia="宋体" w:cs="宋体"/>
                <w:color w:val="auto"/>
                <w:szCs w:val="21"/>
                <w:lang w:bidi="ar"/>
              </w:rPr>
              <w:t>本</w:t>
            </w:r>
            <w:r>
              <w:rPr>
                <w:rFonts w:hint="eastAsia" w:ascii="宋体" w:hAnsi="宋体" w:eastAsia="宋体" w:cs="宋体"/>
                <w:color w:val="auto"/>
                <w:szCs w:val="21"/>
                <w:lang w:eastAsia="zh-CN" w:bidi="ar"/>
              </w:rPr>
              <w:t>项目</w:t>
            </w:r>
            <w:r>
              <w:rPr>
                <w:rFonts w:hint="eastAsia" w:ascii="宋体" w:hAnsi="宋体" w:cs="宋体"/>
                <w:color w:val="auto"/>
                <w:szCs w:val="21"/>
                <w:lang w:eastAsia="zh-CN" w:bidi="ar"/>
              </w:rPr>
              <w:t>产品</w:t>
            </w:r>
            <w:r>
              <w:rPr>
                <w:rFonts w:hint="eastAsia" w:ascii="宋体" w:hAnsi="宋体" w:eastAsia="宋体" w:cs="宋体"/>
                <w:color w:val="auto"/>
                <w:szCs w:val="21"/>
                <w:lang w:bidi="ar"/>
              </w:rPr>
              <w:t>不接受进口产品（即通过中国海关报关验放进入中国境内且产自关境外的产品）参与</w:t>
            </w:r>
            <w:r>
              <w:rPr>
                <w:rFonts w:hint="eastAsia" w:ascii="宋体" w:hAnsi="宋体" w:cs="宋体"/>
                <w:color w:val="auto"/>
                <w:szCs w:val="21"/>
                <w:lang w:eastAsia="zh-CN" w:bidi="ar"/>
              </w:rPr>
              <w:t>磋商</w:t>
            </w:r>
            <w:r>
              <w:rPr>
                <w:rFonts w:hint="eastAsia" w:ascii="宋体" w:hAnsi="宋体" w:eastAsia="宋体" w:cs="宋体"/>
                <w:color w:val="auto"/>
                <w:szCs w:val="21"/>
                <w:lang w:bidi="ar"/>
              </w:rPr>
              <w:t>，如有此类产品参与</w:t>
            </w:r>
            <w:r>
              <w:rPr>
                <w:rFonts w:hint="eastAsia" w:ascii="宋体" w:hAnsi="宋体" w:cs="宋体"/>
                <w:color w:val="auto"/>
                <w:szCs w:val="21"/>
                <w:lang w:eastAsia="zh-CN" w:bidi="ar"/>
              </w:rPr>
              <w:t>磋商</w:t>
            </w:r>
            <w:r>
              <w:rPr>
                <w:rFonts w:hint="eastAsia" w:ascii="宋体" w:hAnsi="宋体" w:eastAsia="宋体" w:cs="宋体"/>
                <w:color w:val="auto"/>
                <w:szCs w:val="21"/>
                <w:lang w:bidi="ar"/>
              </w:rPr>
              <w:t>的，作无效</w:t>
            </w:r>
            <w:r>
              <w:rPr>
                <w:rFonts w:hint="eastAsia" w:ascii="宋体" w:hAnsi="宋体" w:cs="宋体"/>
                <w:color w:val="auto"/>
                <w:szCs w:val="21"/>
                <w:lang w:eastAsia="zh-CN" w:bidi="ar"/>
              </w:rPr>
              <w:t>磋商</w:t>
            </w:r>
            <w:r>
              <w:rPr>
                <w:rFonts w:hint="eastAsia" w:ascii="宋体" w:hAnsi="宋体" w:eastAsia="宋体" w:cs="宋体"/>
                <w:color w:val="auto"/>
                <w:szCs w:val="21"/>
                <w:lang w:bidi="ar"/>
              </w:rPr>
              <w:t>处理。</w:t>
            </w:r>
          </w:p>
          <w:p>
            <w:pPr>
              <w:pStyle w:val="114"/>
              <w:tabs>
                <w:tab w:val="left" w:pos="633"/>
              </w:tabs>
              <w:spacing w:before="33" w:line="400" w:lineRule="exact"/>
              <w:ind w:left="0" w:leftChars="0" w:right="-15" w:firstLine="98" w:firstLineChars="47"/>
              <w:rPr>
                <w:rFonts w:hint="eastAsia" w:hAnsi="宋体" w:cs="Times New Roman"/>
                <w:b w:val="0"/>
                <w:bCs w:val="0"/>
                <w:color w:val="auto"/>
                <w:kern w:val="2"/>
                <w:sz w:val="21"/>
                <w:szCs w:val="21"/>
                <w:lang w:val="en-US" w:eastAsia="zh-CN" w:bidi="ar-SA"/>
              </w:rPr>
            </w:pPr>
            <w:r>
              <w:rPr>
                <w:rFonts w:hint="eastAsia" w:ascii="宋体" w:hAnsi="宋体" w:eastAsia="宋体" w:cs="宋体"/>
                <w:color w:val="auto"/>
                <w:szCs w:val="21"/>
                <w:lang w:val="en-US" w:eastAsia="zh-CN" w:bidi="ar"/>
              </w:rPr>
              <w:t>5</w:t>
            </w:r>
            <w:r>
              <w:rPr>
                <w:rFonts w:hint="eastAsia" w:ascii="宋体" w:hAnsi="宋体" w:eastAsia="宋体" w:cs="宋体"/>
                <w:color w:val="auto"/>
                <w:szCs w:val="21"/>
                <w:lang w:bidi="ar"/>
              </w:rPr>
              <w:t>、本</w:t>
            </w:r>
            <w:r>
              <w:rPr>
                <w:rFonts w:hint="eastAsia" w:ascii="宋体" w:hAnsi="宋体" w:eastAsia="宋体" w:cs="宋体"/>
                <w:color w:val="auto"/>
                <w:szCs w:val="21"/>
                <w:lang w:eastAsia="zh-CN" w:bidi="ar"/>
              </w:rPr>
              <w:t>项目</w:t>
            </w:r>
            <w:r>
              <w:rPr>
                <w:rFonts w:hint="eastAsia" w:ascii="宋体" w:hAnsi="宋体" w:eastAsia="宋体" w:cs="宋体"/>
                <w:color w:val="auto"/>
                <w:szCs w:val="21"/>
                <w:lang w:bidi="ar"/>
              </w:rPr>
              <w:t>采购预算金额为人民币</w:t>
            </w:r>
            <w:r>
              <w:rPr>
                <w:rFonts w:hint="eastAsia" w:ascii="宋体" w:hAnsi="宋体" w:cs="宋体"/>
                <w:color w:val="auto"/>
                <w:szCs w:val="21"/>
                <w:lang w:val="en-US" w:eastAsia="zh-CN" w:bidi="ar"/>
              </w:rPr>
              <w:t>46.80</w:t>
            </w:r>
            <w:r>
              <w:rPr>
                <w:rFonts w:hint="eastAsia" w:ascii="宋体" w:hAnsi="宋体" w:eastAsia="宋体" w:cs="宋体"/>
                <w:color w:val="auto"/>
                <w:szCs w:val="21"/>
                <w:lang w:val="en-US" w:eastAsia="zh-CN" w:bidi="ar"/>
              </w:rPr>
              <w:t>万元</w:t>
            </w:r>
            <w:r>
              <w:rPr>
                <w:rFonts w:hint="eastAsia" w:ascii="宋体" w:hAnsi="宋体" w:eastAsia="宋体" w:cs="宋体"/>
                <w:color w:val="auto"/>
                <w:szCs w:val="21"/>
                <w:lang w:bidi="ar"/>
              </w:rPr>
              <w:t>，超过政府采购预算的</w:t>
            </w:r>
            <w:r>
              <w:rPr>
                <w:rFonts w:hint="eastAsia" w:ascii="宋体" w:hAnsi="宋体" w:cs="宋体"/>
                <w:color w:val="auto"/>
                <w:szCs w:val="21"/>
                <w:lang w:eastAsia="zh-CN" w:bidi="ar"/>
              </w:rPr>
              <w:t>磋商</w:t>
            </w:r>
            <w:r>
              <w:rPr>
                <w:rFonts w:hint="eastAsia" w:ascii="宋体" w:hAnsi="宋体" w:eastAsia="宋体" w:cs="宋体"/>
                <w:color w:val="auto"/>
                <w:szCs w:val="21"/>
                <w:lang w:bidi="ar"/>
              </w:rPr>
              <w:t>报价无效。</w:t>
            </w:r>
          </w:p>
        </w:tc>
      </w:tr>
    </w:tbl>
    <w:p>
      <w:pPr>
        <w:pStyle w:val="10"/>
        <w:rPr>
          <w:color w:val="auto"/>
          <w:highlight w:val="none"/>
        </w:rPr>
      </w:pPr>
    </w:p>
    <w:p>
      <w:pPr>
        <w:pStyle w:val="10"/>
        <w:rPr>
          <w:color w:val="auto"/>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134" w:right="851" w:bottom="1134" w:left="1134" w:header="720" w:footer="720" w:gutter="0"/>
          <w:pgNumType w:fmt="decimal" w:start="1"/>
          <w:cols w:space="720" w:num="1"/>
          <w:titlePg/>
          <w:docGrid w:type="lines" w:linePitch="331" w:charSpace="0"/>
        </w:sectPr>
      </w:pPr>
    </w:p>
    <w:p>
      <w:pPr>
        <w:pStyle w:val="23"/>
        <w:spacing w:line="360" w:lineRule="exact"/>
        <w:ind w:firstLine="0" w:firstLineChars="0"/>
        <w:jc w:val="center"/>
        <w:rPr>
          <w:rFonts w:hAnsi="宋体"/>
          <w:b/>
          <w:bCs/>
          <w:color w:val="auto"/>
          <w:kern w:val="44"/>
          <w:sz w:val="32"/>
          <w:szCs w:val="32"/>
          <w:highlight w:val="none"/>
        </w:rPr>
      </w:pPr>
      <w:r>
        <w:rPr>
          <w:rFonts w:hint="eastAsia" w:hAnsi="宋体"/>
          <w:b/>
          <w:bCs/>
          <w:color w:val="auto"/>
          <w:kern w:val="44"/>
          <w:sz w:val="32"/>
          <w:szCs w:val="32"/>
          <w:highlight w:val="none"/>
        </w:rPr>
        <w:t>第四章   评审办法</w:t>
      </w:r>
    </w:p>
    <w:p>
      <w:pPr>
        <w:spacing w:before="0" w:after="0" w:line="440" w:lineRule="exact"/>
        <w:ind w:firstLine="0" w:firstLineChars="0"/>
        <w:rPr>
          <w:rFonts w:ascii="宋体" w:hAnsi="宋体"/>
          <w:b/>
          <w:bCs/>
          <w:color w:val="auto"/>
          <w:szCs w:val="20"/>
          <w:highlight w:val="none"/>
        </w:rPr>
      </w:pPr>
      <w:r>
        <w:rPr>
          <w:rFonts w:hint="eastAsia" w:ascii="宋体" w:hAnsi="宋体"/>
          <w:b/>
          <w:bCs/>
          <w:color w:val="auto"/>
          <w:szCs w:val="20"/>
          <w:highlight w:val="none"/>
        </w:rPr>
        <w:t>一、评审依据及方式</w:t>
      </w:r>
    </w:p>
    <w:p>
      <w:pPr>
        <w:spacing w:before="0" w:after="0" w:line="440" w:lineRule="exact"/>
        <w:ind w:firstLine="420"/>
        <w:rPr>
          <w:rFonts w:ascii="宋体" w:hAnsi="宋体"/>
          <w:color w:val="auto"/>
          <w:szCs w:val="20"/>
          <w:highlight w:val="none"/>
        </w:rPr>
      </w:pPr>
      <w:r>
        <w:rPr>
          <w:rFonts w:hint="eastAsia" w:ascii="宋体" w:hAnsi="宋体"/>
          <w:color w:val="auto"/>
          <w:szCs w:val="20"/>
          <w:highlight w:val="none"/>
        </w:rPr>
        <w:t>1. 评审依据：磋商小组以磋商文件和响应文件为评</w:t>
      </w:r>
      <w:r>
        <w:rPr>
          <w:rFonts w:hint="eastAsia" w:ascii="宋体" w:hAnsi="宋体"/>
          <w:color w:val="auto"/>
          <w:szCs w:val="20"/>
          <w:highlight w:val="none"/>
          <w:lang w:eastAsia="zh-CN"/>
        </w:rPr>
        <w:t>审</w:t>
      </w:r>
      <w:r>
        <w:rPr>
          <w:rFonts w:hint="eastAsia" w:ascii="宋体" w:hAnsi="宋体"/>
          <w:color w:val="auto"/>
          <w:szCs w:val="20"/>
          <w:highlight w:val="none"/>
        </w:rPr>
        <w:t>依据，对磋商供应商的磋商报价、技术、企业资质、售后服务</w:t>
      </w:r>
      <w:r>
        <w:rPr>
          <w:rFonts w:hint="eastAsia" w:ascii="宋体" w:hAnsi="宋体"/>
          <w:color w:val="auto"/>
          <w:szCs w:val="20"/>
          <w:highlight w:val="none"/>
          <w:lang w:eastAsia="zh-CN"/>
        </w:rPr>
        <w:t>、综合实力</w:t>
      </w:r>
      <w:r>
        <w:rPr>
          <w:rFonts w:hint="eastAsia" w:ascii="宋体" w:hAnsi="宋体"/>
          <w:color w:val="auto"/>
          <w:szCs w:val="20"/>
          <w:highlight w:val="none"/>
        </w:rPr>
        <w:t>等方面内容按百分制打分。</w:t>
      </w:r>
    </w:p>
    <w:p>
      <w:pPr>
        <w:spacing w:before="0" w:after="0" w:line="440" w:lineRule="exact"/>
        <w:ind w:left="210" w:leftChars="100" w:firstLine="210" w:firstLineChars="100"/>
        <w:rPr>
          <w:rFonts w:ascii="宋体" w:hAnsi="宋体"/>
          <w:color w:val="auto"/>
          <w:szCs w:val="20"/>
          <w:highlight w:val="none"/>
        </w:rPr>
      </w:pPr>
      <w:r>
        <w:rPr>
          <w:rFonts w:hint="eastAsia" w:ascii="宋体" w:hAnsi="宋体"/>
          <w:color w:val="auto"/>
          <w:szCs w:val="20"/>
          <w:highlight w:val="none"/>
        </w:rPr>
        <w:t>2. 评审方式：以封闭方式进行评</w:t>
      </w:r>
      <w:r>
        <w:rPr>
          <w:rFonts w:hint="eastAsia" w:ascii="宋体" w:hAnsi="宋体"/>
          <w:color w:val="auto"/>
          <w:szCs w:val="20"/>
          <w:highlight w:val="none"/>
          <w:lang w:eastAsia="zh-CN"/>
        </w:rPr>
        <w:t>审</w:t>
      </w:r>
      <w:r>
        <w:rPr>
          <w:rFonts w:hint="eastAsia" w:ascii="宋体" w:hAnsi="宋体"/>
          <w:color w:val="auto"/>
          <w:szCs w:val="20"/>
          <w:highlight w:val="none"/>
        </w:rPr>
        <w:t>。</w:t>
      </w:r>
    </w:p>
    <w:p>
      <w:pPr>
        <w:spacing w:before="0" w:after="0" w:line="440" w:lineRule="exact"/>
        <w:ind w:left="210" w:leftChars="100" w:firstLine="210" w:firstLineChars="100"/>
        <w:rPr>
          <w:color w:val="auto"/>
          <w:highlight w:val="none"/>
        </w:rPr>
      </w:pPr>
      <w:r>
        <w:rPr>
          <w:rFonts w:hint="eastAsia" w:ascii="宋体" w:hAnsi="宋体"/>
          <w:color w:val="auto"/>
          <w:szCs w:val="20"/>
          <w:highlight w:val="none"/>
        </w:rPr>
        <w:t>3. 根据财库〔2012〕69号文规定，采购人和采购代理机构、磋商小级成员要严格遵守政府采购相关法律制度，依法履行各自职责，公正、客观、审慎地组织和参与评审工作。</w:t>
      </w:r>
    </w:p>
    <w:p>
      <w:pPr>
        <w:spacing w:before="0" w:after="0" w:line="440" w:lineRule="exact"/>
        <w:ind w:firstLine="0" w:firstLineChars="0"/>
        <w:rPr>
          <w:rFonts w:ascii="宋体" w:hAnsi="宋体"/>
          <w:b/>
          <w:bCs/>
          <w:color w:val="auto"/>
          <w:szCs w:val="20"/>
          <w:highlight w:val="none"/>
        </w:rPr>
      </w:pPr>
      <w:r>
        <w:rPr>
          <w:rFonts w:hint="eastAsia" w:ascii="宋体" w:hAnsi="宋体"/>
          <w:b/>
          <w:bCs/>
          <w:color w:val="auto"/>
          <w:szCs w:val="20"/>
          <w:highlight w:val="none"/>
        </w:rPr>
        <w:t>二、评审办法</w:t>
      </w:r>
    </w:p>
    <w:p>
      <w:pPr>
        <w:spacing w:before="0" w:after="0" w:line="440" w:lineRule="exact"/>
        <w:ind w:firstLine="420"/>
        <w:rPr>
          <w:rFonts w:ascii="宋体" w:hAnsi="宋体"/>
          <w:bCs/>
          <w:color w:val="auto"/>
          <w:szCs w:val="20"/>
          <w:highlight w:val="none"/>
        </w:rPr>
      </w:pPr>
      <w:r>
        <w:rPr>
          <w:rFonts w:hint="eastAsia" w:ascii="宋体" w:hAnsi="宋体"/>
          <w:bCs/>
          <w:color w:val="auto"/>
          <w:szCs w:val="20"/>
          <w:highlight w:val="none"/>
        </w:rPr>
        <w:t>（一）对进入详评的，采用综合评分法。</w:t>
      </w:r>
    </w:p>
    <w:p>
      <w:pPr>
        <w:spacing w:before="0" w:after="0" w:line="440" w:lineRule="exact"/>
        <w:ind w:firstLine="420"/>
        <w:rPr>
          <w:rFonts w:ascii="宋体" w:hAnsi="宋体"/>
          <w:bCs/>
          <w:color w:val="auto"/>
          <w:szCs w:val="20"/>
          <w:highlight w:val="none"/>
        </w:rPr>
      </w:pPr>
      <w:r>
        <w:rPr>
          <w:rFonts w:hint="eastAsia" w:ascii="宋体" w:hAnsi="宋体"/>
          <w:bCs/>
          <w:color w:val="auto"/>
          <w:szCs w:val="20"/>
          <w:highlight w:val="none"/>
        </w:rPr>
        <w:t>（二）计分办法（按四舍五入取至小数点后二位）</w:t>
      </w:r>
    </w:p>
    <w:p>
      <w:pPr>
        <w:spacing w:before="0" w:after="0" w:line="440" w:lineRule="exact"/>
        <w:ind w:firstLine="420" w:firstLineChars="0"/>
        <w:rPr>
          <w:rFonts w:ascii="宋体" w:hAnsi="宋体"/>
          <w:b/>
          <w:color w:val="auto"/>
          <w:szCs w:val="20"/>
          <w:highlight w:val="none"/>
        </w:rPr>
      </w:pPr>
      <w:r>
        <w:rPr>
          <w:rFonts w:ascii="宋体" w:hAnsi="宋体"/>
          <w:b/>
          <w:color w:val="auto"/>
          <w:szCs w:val="20"/>
          <w:highlight w:val="none"/>
        </w:rPr>
        <w:t>1</w:t>
      </w:r>
      <w:r>
        <w:rPr>
          <w:rFonts w:hint="eastAsia" w:ascii="宋体" w:hAnsi="宋体"/>
          <w:b/>
          <w:color w:val="auto"/>
          <w:szCs w:val="20"/>
          <w:highlight w:val="none"/>
        </w:rPr>
        <w:t>. 价格分………………………………………………………………………………………………30分</w:t>
      </w:r>
    </w:p>
    <w:p>
      <w:pPr>
        <w:spacing w:before="0" w:after="0" w:line="440" w:lineRule="exact"/>
        <w:ind w:firstLine="420"/>
        <w:rPr>
          <w:rFonts w:ascii="宋体" w:hAnsi="宋体"/>
          <w:bCs/>
          <w:color w:val="auto"/>
          <w:szCs w:val="20"/>
          <w:highlight w:val="none"/>
        </w:rPr>
      </w:pPr>
      <w:r>
        <w:rPr>
          <w:rFonts w:hint="eastAsia" w:ascii="宋体" w:hAnsi="宋体"/>
          <w:bCs/>
          <w:color w:val="auto"/>
          <w:szCs w:val="20"/>
          <w:highlight w:val="none"/>
        </w:rPr>
        <w:t>（1）</w:t>
      </w:r>
      <w:r>
        <w:rPr>
          <w:rFonts w:hint="eastAsia" w:ascii="宋体" w:hAnsi="宋体"/>
          <w:color w:val="auto"/>
          <w:szCs w:val="20"/>
          <w:highlight w:val="none"/>
        </w:rPr>
        <w:t>按照</w:t>
      </w:r>
      <w:r>
        <w:rPr>
          <w:rFonts w:hint="eastAsia" w:ascii="宋体" w:hAnsi="Courier New"/>
          <w:color w:val="auto"/>
          <w:szCs w:val="20"/>
          <w:highlight w:val="none"/>
        </w:rPr>
        <w:t>《政府采购促进中小企业发展暂行办法》（财库[2011]181号）规定：</w:t>
      </w:r>
    </w:p>
    <w:p>
      <w:pPr>
        <w:spacing w:before="0" w:after="0" w:line="440" w:lineRule="exact"/>
        <w:ind w:firstLine="420"/>
        <w:rPr>
          <w:rFonts w:ascii="宋体" w:hAnsi="宋体"/>
          <w:color w:val="auto"/>
          <w:szCs w:val="20"/>
          <w:highlight w:val="none"/>
        </w:rPr>
      </w:pPr>
      <w:r>
        <w:rPr>
          <w:rFonts w:hint="eastAsia" w:ascii="宋体" w:hAnsi="宋体"/>
          <w:bCs/>
          <w:color w:val="auto"/>
          <w:szCs w:val="20"/>
          <w:highlight w:val="none"/>
        </w:rPr>
        <w:t xml:space="preserve"> ①</w:t>
      </w:r>
      <w:r>
        <w:rPr>
          <w:rFonts w:hint="eastAsia" w:ascii="宋体" w:hAnsi="宋体"/>
          <w:color w:val="auto"/>
          <w:szCs w:val="20"/>
          <w:highlight w:val="none"/>
        </w:rPr>
        <w:t>对提供服务的磋商供应商认定为小型和微型企业的（以响应文件提供的符合规定的有关证明材料为准），磋商价给予</w:t>
      </w:r>
      <w:r>
        <w:rPr>
          <w:rFonts w:hint="eastAsia" w:ascii="宋体" w:hAnsi="宋体"/>
          <w:color w:val="auto"/>
          <w:szCs w:val="20"/>
          <w:highlight w:val="none"/>
          <w:lang w:val="en-US" w:eastAsia="zh-CN"/>
        </w:rPr>
        <w:t>10</w:t>
      </w:r>
      <w:r>
        <w:rPr>
          <w:rFonts w:hint="eastAsia" w:ascii="宋体" w:hAnsi="宋体"/>
          <w:color w:val="auto"/>
          <w:szCs w:val="20"/>
          <w:highlight w:val="none"/>
        </w:rPr>
        <w:t>%的扣除，扣除后的价格为磋商报价，即评审报价=磋商报价×（1-</w:t>
      </w:r>
      <w:r>
        <w:rPr>
          <w:rFonts w:hint="eastAsia" w:ascii="宋体" w:hAnsi="宋体"/>
          <w:color w:val="auto"/>
          <w:szCs w:val="20"/>
          <w:highlight w:val="none"/>
          <w:lang w:val="en-US" w:eastAsia="zh-CN"/>
        </w:rPr>
        <w:t>10</w:t>
      </w:r>
      <w:r>
        <w:rPr>
          <w:rFonts w:hint="eastAsia" w:ascii="宋体" w:hAnsi="宋体"/>
          <w:color w:val="auto"/>
          <w:szCs w:val="20"/>
          <w:highlight w:val="none"/>
        </w:rPr>
        <w:t>%）；</w:t>
      </w:r>
    </w:p>
    <w:p>
      <w:pPr>
        <w:spacing w:before="0" w:after="0" w:line="440" w:lineRule="exact"/>
        <w:ind w:firstLine="420"/>
        <w:rPr>
          <w:rFonts w:ascii="宋体" w:hAnsi="宋体" w:cs="Arial"/>
          <w:color w:val="auto"/>
          <w:kern w:val="0"/>
          <w:szCs w:val="21"/>
          <w:highlight w:val="none"/>
        </w:rPr>
      </w:pPr>
      <w:r>
        <w:rPr>
          <w:rFonts w:hint="eastAsia" w:ascii="宋体" w:hAnsi="宋体"/>
          <w:color w:val="auto"/>
          <w:szCs w:val="20"/>
          <w:highlight w:val="none"/>
        </w:rPr>
        <w:t xml:space="preserve"> ②除上述情况外，评审报价=磋商报价。</w:t>
      </w:r>
    </w:p>
    <w:p>
      <w:pPr>
        <w:spacing w:before="0" w:after="0" w:line="440" w:lineRule="exact"/>
        <w:ind w:firstLine="420" w:firstLineChars="0"/>
        <w:rPr>
          <w:rFonts w:ascii="宋体" w:hAnsi="宋体"/>
          <w:color w:val="auto"/>
          <w:szCs w:val="20"/>
          <w:highlight w:val="none"/>
        </w:rPr>
      </w:pPr>
      <w:r>
        <w:rPr>
          <w:rFonts w:hint="eastAsia" w:ascii="宋体" w:hAnsi="宋体"/>
          <w:b/>
          <w:color w:val="auto"/>
          <w:szCs w:val="20"/>
          <w:highlight w:val="none"/>
        </w:rPr>
        <w:t>注：小型、微型企业提供中型企业制造的货物的，视同为中型企业。</w:t>
      </w:r>
    </w:p>
    <w:p>
      <w:pPr>
        <w:spacing w:before="0" w:after="0" w:line="440" w:lineRule="exact"/>
        <w:ind w:firstLine="420" w:firstLineChars="0"/>
        <w:rPr>
          <w:rFonts w:ascii="宋体" w:hAnsi="宋体" w:cs="Arial"/>
          <w:color w:val="auto"/>
          <w:kern w:val="0"/>
          <w:szCs w:val="21"/>
          <w:highlight w:val="none"/>
        </w:rPr>
      </w:pPr>
      <w:r>
        <w:rPr>
          <w:rFonts w:hint="eastAsia" w:ascii="宋体" w:hAnsi="宋体"/>
          <w:color w:val="auto"/>
          <w:szCs w:val="20"/>
          <w:highlight w:val="none"/>
        </w:rPr>
        <w:t>（2）</w:t>
      </w:r>
      <w:r>
        <w:rPr>
          <w:rFonts w:hint="eastAsia" w:ascii="宋体" w:hAnsi="宋体"/>
          <w:bCs/>
          <w:color w:val="auto"/>
          <w:szCs w:val="20"/>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spacing w:before="0" w:after="0" w:line="440" w:lineRule="exact"/>
        <w:ind w:firstLine="420" w:firstLineChars="0"/>
        <w:rPr>
          <w:rFonts w:ascii="宋体" w:hAnsi="宋体"/>
          <w:bCs/>
          <w:color w:val="auto"/>
          <w:szCs w:val="20"/>
          <w:highlight w:val="none"/>
        </w:rPr>
      </w:pPr>
      <w:r>
        <w:rPr>
          <w:rFonts w:hint="eastAsia" w:ascii="宋体" w:hAnsi="Courier New"/>
          <w:color w:val="auto"/>
          <w:szCs w:val="20"/>
          <w:highlight w:val="none"/>
        </w:rPr>
        <w:t>（3）以进入磋商的最低的</w:t>
      </w:r>
      <w:r>
        <w:rPr>
          <w:rFonts w:hint="eastAsia" w:ascii="宋体" w:hAnsi="Courier New"/>
          <w:color w:val="auto"/>
          <w:szCs w:val="20"/>
          <w:highlight w:val="none"/>
          <w:lang w:eastAsia="zh-CN"/>
        </w:rPr>
        <w:t>评审报价</w:t>
      </w:r>
      <w:r>
        <w:rPr>
          <w:rFonts w:hint="eastAsia" w:ascii="宋体" w:hAnsi="Courier New"/>
          <w:color w:val="auto"/>
          <w:szCs w:val="20"/>
          <w:highlight w:val="none"/>
        </w:rPr>
        <w:t>为30分。</w:t>
      </w:r>
    </w:p>
    <w:p>
      <w:pPr>
        <w:spacing w:before="0" w:after="0" w:line="440" w:lineRule="exact"/>
        <w:ind w:firstLine="3822" w:firstLineChars="1820"/>
        <w:rPr>
          <w:rFonts w:ascii="宋体" w:hAnsi="宋体"/>
          <w:bCs/>
          <w:color w:val="auto"/>
          <w:szCs w:val="20"/>
          <w:highlight w:val="none"/>
        </w:rPr>
      </w:pPr>
      <w:r>
        <w:rPr>
          <w:rFonts w:hint="eastAsia" w:ascii="宋体" w:hAnsi="宋体"/>
          <w:bCs/>
          <w:color w:val="auto"/>
          <w:szCs w:val="20"/>
          <w:highlight w:val="none"/>
        </w:rPr>
        <w:t>磋商供应商最低磋商</w:t>
      </w:r>
      <w:r>
        <w:rPr>
          <w:rFonts w:hint="eastAsia" w:ascii="宋体" w:hAnsi="宋体"/>
          <w:color w:val="auto"/>
          <w:szCs w:val="20"/>
          <w:highlight w:val="none"/>
        </w:rPr>
        <w:t>报价</w:t>
      </w:r>
      <w:r>
        <w:rPr>
          <w:rFonts w:hint="eastAsia" w:ascii="宋体" w:hAnsi="宋体"/>
          <w:bCs/>
          <w:color w:val="auto"/>
          <w:szCs w:val="20"/>
          <w:highlight w:val="none"/>
        </w:rPr>
        <w:t xml:space="preserve">金额          </w:t>
      </w:r>
    </w:p>
    <w:p>
      <w:pPr>
        <w:spacing w:before="0" w:after="0" w:line="440" w:lineRule="exact"/>
        <w:ind w:firstLine="420" w:firstLineChars="0"/>
        <w:rPr>
          <w:rFonts w:ascii="宋体" w:hAnsi="宋体"/>
          <w:bCs/>
          <w:color w:val="auto"/>
          <w:szCs w:val="20"/>
          <w:highlight w:val="none"/>
        </w:rPr>
      </w:pPr>
      <w:r>
        <w:rPr>
          <w:rFonts w:ascii="宋体" w:hAnsi="宋体"/>
          <w:bCs/>
          <w:color w:val="auto"/>
          <w:szCs w:val="20"/>
          <w:highlight w:val="none"/>
        </w:rPr>
        <mc:AlternateContent>
          <mc:Choice Requires="wps">
            <w:drawing>
              <wp:anchor distT="0" distB="0" distL="0" distR="0" simplePos="0" relativeHeight="1024" behindDoc="0" locked="0" layoutInCell="1" allowOverlap="1">
                <wp:simplePos x="0" y="0"/>
                <wp:positionH relativeFrom="column">
                  <wp:posOffset>2221230</wp:posOffset>
                </wp:positionH>
                <wp:positionV relativeFrom="paragraph">
                  <wp:posOffset>129540</wp:posOffset>
                </wp:positionV>
                <wp:extent cx="2200275" cy="0"/>
                <wp:effectExtent l="0" t="0" r="0" b="0"/>
                <wp:wrapNone/>
                <wp:docPr id="1030" name="直接连接符 2"/>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174.9pt;margin-top:10.2pt;height:0pt;width:173.25pt;z-index:1024;mso-width-relative:page;mso-height-relative:page;" filled="f" stroked="t" coordsize="21600,21600" o:gfxdata="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g57n1wAAAAkBAAAPAAAAAAAAAAEAIAAAACIAAABkcnMvZG93bnJldi54bWxQSwECFAAU&#10;AAAACACHTuJAGeCBIPIBAADlAwAADgAAAAAAAAABACAAAAAmAQAAZHJzL2Uyb0RvYy54bWxQSwUG&#10;AAAAAAYABgBZAQAAigUAAAAA&#10;">
                <v:fill on="f" focussize="0,0"/>
                <v:stroke color="#000000" joinstyle="round"/>
                <v:imagedata o:title=""/>
                <o:lock v:ext="edit" aspectratio="f"/>
              </v:line>
            </w:pict>
          </mc:Fallback>
        </mc:AlternateContent>
      </w:r>
      <w:r>
        <w:rPr>
          <w:rFonts w:hint="eastAsia" w:ascii="宋体" w:hAnsi="宋体"/>
          <w:bCs/>
          <w:color w:val="auto"/>
          <w:szCs w:val="20"/>
          <w:highlight w:val="none"/>
        </w:rPr>
        <w:t xml:space="preserve">（4）磋商供应商价格分 =                              </w:t>
      </w:r>
      <w:r>
        <w:rPr>
          <w:rFonts w:ascii="宋体" w:hAnsi="宋体"/>
          <w:bCs/>
          <w:color w:val="auto"/>
          <w:szCs w:val="20"/>
          <w:highlight w:val="none"/>
        </w:rPr>
        <w:t xml:space="preserve">  </w:t>
      </w:r>
      <w:r>
        <w:rPr>
          <w:rFonts w:hint="eastAsia" w:ascii="宋体" w:hAnsi="宋体"/>
          <w:bCs/>
          <w:color w:val="auto"/>
          <w:szCs w:val="20"/>
          <w:highlight w:val="none"/>
        </w:rPr>
        <w:t xml:space="preserve">    　　   ×30分</w:t>
      </w:r>
    </w:p>
    <w:p>
      <w:pPr>
        <w:spacing w:before="0" w:after="0" w:line="440" w:lineRule="exact"/>
        <w:ind w:firstLine="420"/>
        <w:rPr>
          <w:rFonts w:ascii="宋体" w:hAnsi="宋体"/>
          <w:bCs/>
          <w:color w:val="auto"/>
          <w:szCs w:val="20"/>
          <w:highlight w:val="none"/>
        </w:rPr>
      </w:pPr>
      <w:r>
        <w:rPr>
          <w:rFonts w:hint="eastAsia" w:ascii="宋体" w:hAnsi="宋体"/>
          <w:bCs/>
          <w:color w:val="auto"/>
          <w:szCs w:val="20"/>
          <w:highlight w:val="none"/>
        </w:rPr>
        <w:t xml:space="preserve">                                  磋商供应商磋商</w:t>
      </w:r>
      <w:r>
        <w:rPr>
          <w:rFonts w:hint="eastAsia" w:ascii="宋体" w:hAnsi="宋体"/>
          <w:color w:val="auto"/>
          <w:szCs w:val="20"/>
          <w:highlight w:val="none"/>
        </w:rPr>
        <w:t>报价</w:t>
      </w:r>
      <w:r>
        <w:rPr>
          <w:rFonts w:hint="eastAsia" w:ascii="宋体" w:hAnsi="宋体"/>
          <w:bCs/>
          <w:color w:val="auto"/>
          <w:szCs w:val="20"/>
          <w:highlight w:val="none"/>
        </w:rPr>
        <w:t xml:space="preserve">金额  </w:t>
      </w:r>
    </w:p>
    <w:p>
      <w:pPr>
        <w:spacing w:line="420" w:lineRule="exact"/>
        <w:rPr>
          <w:rFonts w:ascii="宋体" w:hAnsi="宋体" w:cs="宋体"/>
          <w:b/>
          <w:szCs w:val="21"/>
        </w:rPr>
      </w:pPr>
      <w:r>
        <w:rPr>
          <w:rFonts w:ascii="宋体" w:hAnsi="宋体" w:cs="宋体"/>
          <w:b/>
          <w:szCs w:val="21"/>
        </w:rPr>
        <w:t>2</w:t>
      </w:r>
      <w:r>
        <w:rPr>
          <w:rFonts w:hint="eastAsia" w:ascii="宋体" w:hAnsi="宋体" w:cs="宋体"/>
          <w:b/>
          <w:szCs w:val="21"/>
        </w:rPr>
        <w:t>、技术分…………………………………………………………………………………………</w:t>
      </w:r>
      <w:r>
        <w:rPr>
          <w:rFonts w:hint="eastAsia" w:ascii="宋体" w:hAnsi="宋体" w:cs="宋体"/>
          <w:b/>
          <w:szCs w:val="21"/>
          <w:lang w:val="en-US" w:eastAsia="zh-CN"/>
        </w:rPr>
        <w:t>41</w:t>
      </w:r>
      <w:r>
        <w:rPr>
          <w:rFonts w:hint="eastAsia" w:ascii="宋体" w:hAnsi="宋体" w:cs="宋体"/>
          <w:b/>
          <w:szCs w:val="21"/>
        </w:rPr>
        <w:t>分</w:t>
      </w:r>
    </w:p>
    <w:p>
      <w:pPr>
        <w:spacing w:line="420" w:lineRule="exact"/>
        <w:ind w:left="-28" w:firstLine="420"/>
        <w:rPr>
          <w:rFonts w:hint="eastAsia" w:ascii="宋体" w:hAnsi="宋体" w:cs="宋体"/>
          <w:b/>
          <w:bCs/>
          <w:szCs w:val="21"/>
        </w:rPr>
      </w:pPr>
      <w:r>
        <w:rPr>
          <w:rFonts w:hint="eastAsia" w:ascii="宋体" w:hAnsi="宋体" w:cs="宋体"/>
          <w:b/>
          <w:bCs/>
          <w:szCs w:val="21"/>
        </w:rPr>
        <w:t>（1）产品</w:t>
      </w:r>
      <w:r>
        <w:rPr>
          <w:rFonts w:ascii="宋体" w:hAnsi="宋体" w:cs="宋体"/>
          <w:b/>
          <w:bCs/>
          <w:szCs w:val="21"/>
        </w:rPr>
        <w:t>性能分</w:t>
      </w:r>
      <w:r>
        <w:rPr>
          <w:rFonts w:hint="eastAsia" w:ascii="宋体" w:hAnsi="宋体" w:cs="宋体"/>
          <w:b/>
          <w:bCs/>
          <w:szCs w:val="21"/>
        </w:rPr>
        <w:t>（满分</w:t>
      </w:r>
      <w:r>
        <w:rPr>
          <w:rFonts w:hint="eastAsia" w:ascii="宋体" w:hAnsi="宋体" w:cs="宋体"/>
          <w:b/>
          <w:bCs/>
          <w:szCs w:val="21"/>
          <w:lang w:val="en-US" w:eastAsia="zh-CN"/>
        </w:rPr>
        <w:t>26</w:t>
      </w:r>
      <w:r>
        <w:rPr>
          <w:rFonts w:hint="eastAsia" w:ascii="宋体" w:hAnsi="宋体" w:cs="宋体"/>
          <w:b/>
          <w:bCs/>
          <w:szCs w:val="21"/>
        </w:rPr>
        <w:t>分）</w:t>
      </w:r>
    </w:p>
    <w:p>
      <w:pPr>
        <w:spacing w:line="420" w:lineRule="exact"/>
        <w:ind w:left="-28" w:firstLine="420"/>
        <w:rPr>
          <w:rFonts w:hint="eastAsia" w:ascii="宋体" w:hAnsi="宋体" w:eastAsia="宋体" w:cs="宋体"/>
          <w:bCs/>
          <w:szCs w:val="21"/>
        </w:rPr>
      </w:pPr>
      <w:r>
        <w:rPr>
          <w:rFonts w:hint="eastAsia" w:ascii="宋体" w:hAnsi="宋体" w:eastAsia="宋体" w:cs="宋体"/>
          <w:bCs/>
          <w:szCs w:val="21"/>
        </w:rPr>
        <w:t>①完全满足竞争性磋商采购文件要求的得1</w:t>
      </w:r>
      <w:r>
        <w:rPr>
          <w:rFonts w:hint="eastAsia" w:ascii="宋体" w:hAnsi="宋体" w:cs="宋体"/>
          <w:bCs/>
          <w:szCs w:val="21"/>
          <w:lang w:val="en-US" w:eastAsia="zh-CN"/>
        </w:rPr>
        <w:t>6</w:t>
      </w:r>
      <w:r>
        <w:rPr>
          <w:rFonts w:hint="eastAsia" w:ascii="宋体" w:hAnsi="宋体" w:eastAsia="宋体" w:cs="宋体"/>
          <w:bCs/>
          <w:szCs w:val="21"/>
        </w:rPr>
        <w:t>分。磋商供应商响应的</w:t>
      </w:r>
      <w:r>
        <w:rPr>
          <w:rFonts w:hint="eastAsia" w:ascii="宋体" w:hAnsi="宋体" w:eastAsia="宋体" w:cs="宋体"/>
          <w:bCs/>
          <w:szCs w:val="21"/>
          <w:lang w:eastAsia="zh-CN"/>
        </w:rPr>
        <w:t>不带“</w:t>
      </w:r>
      <w:r>
        <w:rPr>
          <w:rFonts w:hint="eastAsia" w:ascii="宋体" w:hAnsi="宋体" w:eastAsia="宋体" w:cs="宋体"/>
          <w:bCs/>
          <w:szCs w:val="21"/>
        </w:rPr>
        <w:t>★</w:t>
      </w:r>
      <w:r>
        <w:rPr>
          <w:rFonts w:hint="eastAsia" w:ascii="宋体" w:hAnsi="宋体" w:eastAsia="宋体" w:cs="宋体"/>
          <w:bCs/>
          <w:szCs w:val="21"/>
          <w:lang w:eastAsia="zh-CN"/>
        </w:rPr>
        <w:t>”</w:t>
      </w:r>
      <w:r>
        <w:rPr>
          <w:rFonts w:hint="eastAsia" w:ascii="宋体" w:hAnsi="宋体" w:eastAsia="宋体" w:cs="宋体"/>
          <w:bCs/>
          <w:szCs w:val="21"/>
        </w:rPr>
        <w:t>技术指标经磋商小组认定有正偏离的，在1</w:t>
      </w:r>
      <w:r>
        <w:rPr>
          <w:rFonts w:hint="eastAsia" w:ascii="宋体" w:hAnsi="宋体" w:cs="宋体"/>
          <w:bCs/>
          <w:szCs w:val="21"/>
          <w:lang w:val="en-US" w:eastAsia="zh-CN"/>
        </w:rPr>
        <w:t>6</w:t>
      </w:r>
      <w:r>
        <w:rPr>
          <w:rFonts w:hint="eastAsia" w:ascii="宋体" w:hAnsi="宋体" w:eastAsia="宋体" w:cs="宋体"/>
          <w:bCs/>
          <w:szCs w:val="21"/>
        </w:rPr>
        <w:t>分基础上每有一项加</w:t>
      </w:r>
      <w:r>
        <w:rPr>
          <w:rFonts w:hint="eastAsia" w:ascii="宋体" w:hAnsi="宋体" w:eastAsia="宋体" w:cs="宋体"/>
          <w:bCs/>
          <w:szCs w:val="21"/>
          <w:lang w:val="en-US" w:eastAsia="zh-CN"/>
        </w:rPr>
        <w:t>2</w:t>
      </w:r>
      <w:r>
        <w:rPr>
          <w:rFonts w:hint="eastAsia" w:ascii="宋体" w:hAnsi="宋体" w:eastAsia="宋体" w:cs="宋体"/>
          <w:bCs/>
          <w:szCs w:val="21"/>
        </w:rPr>
        <w:t>分，最多加</w:t>
      </w:r>
      <w:r>
        <w:rPr>
          <w:rFonts w:hint="eastAsia" w:ascii="宋体" w:hAnsi="宋体" w:eastAsia="宋体" w:cs="宋体"/>
          <w:bCs/>
          <w:szCs w:val="21"/>
          <w:lang w:val="en-US" w:eastAsia="zh-CN"/>
        </w:rPr>
        <w:t>10</w:t>
      </w:r>
      <w:r>
        <w:rPr>
          <w:rFonts w:hint="eastAsia" w:ascii="宋体" w:hAnsi="宋体" w:eastAsia="宋体" w:cs="宋体"/>
          <w:bCs/>
          <w:szCs w:val="21"/>
        </w:rPr>
        <w:t>分。磋商供应商响应的技术指标经磋商小组认定有负偏离的，在1</w:t>
      </w:r>
      <w:r>
        <w:rPr>
          <w:rFonts w:hint="eastAsia" w:ascii="宋体" w:hAnsi="宋体" w:cs="宋体"/>
          <w:bCs/>
          <w:szCs w:val="21"/>
          <w:lang w:val="en-US" w:eastAsia="zh-CN"/>
        </w:rPr>
        <w:t>6</w:t>
      </w:r>
      <w:r>
        <w:rPr>
          <w:rFonts w:hint="eastAsia" w:ascii="宋体" w:hAnsi="宋体" w:eastAsia="宋体" w:cs="宋体"/>
          <w:bCs/>
          <w:szCs w:val="21"/>
        </w:rPr>
        <w:t>分基础上每有一项扣2分，扣至0分为止。</w:t>
      </w:r>
    </w:p>
    <w:p>
      <w:pPr>
        <w:spacing w:line="420" w:lineRule="exact"/>
        <w:ind w:left="-28" w:firstLine="420"/>
        <w:rPr>
          <w:rFonts w:hint="eastAsia" w:ascii="宋体" w:hAnsi="宋体" w:eastAsia="宋体" w:cs="宋体"/>
          <w:bCs/>
          <w:szCs w:val="21"/>
        </w:rPr>
      </w:pPr>
      <w:r>
        <w:rPr>
          <w:rFonts w:hint="eastAsia" w:ascii="宋体" w:hAnsi="宋体" w:eastAsia="宋体" w:cs="宋体"/>
          <w:bCs/>
          <w:szCs w:val="21"/>
        </w:rPr>
        <w:t>②</w:t>
      </w:r>
      <w:r>
        <w:rPr>
          <w:rFonts w:hint="eastAsia" w:ascii="宋体" w:hAnsi="宋体" w:cs="宋体"/>
          <w:bCs/>
          <w:szCs w:val="21"/>
          <w:lang w:eastAsia="zh-CN"/>
        </w:rPr>
        <w:t>“服务采购需求”中第</w:t>
      </w:r>
      <w:r>
        <w:rPr>
          <w:rFonts w:hint="eastAsia" w:ascii="宋体" w:hAnsi="宋体" w:cs="宋体"/>
          <w:bCs/>
          <w:szCs w:val="21"/>
          <w:lang w:val="en-US" w:eastAsia="zh-CN"/>
        </w:rPr>
        <w:t>2项“</w:t>
      </w:r>
      <w:r>
        <w:rPr>
          <w:rFonts w:hint="eastAsia" w:ascii="宋体" w:hAnsi="宋体" w:eastAsia="宋体" w:cs="宋体"/>
          <w:color w:val="auto"/>
          <w:szCs w:val="21"/>
          <w:lang w:val="en-US" w:eastAsia="zh-CN"/>
        </w:rPr>
        <w:t>医护主机</w:t>
      </w:r>
      <w:r>
        <w:rPr>
          <w:rFonts w:hint="eastAsia" w:ascii="宋体" w:hAnsi="宋体" w:cs="宋体"/>
          <w:color w:val="auto"/>
          <w:szCs w:val="21"/>
          <w:lang w:val="en-US" w:eastAsia="zh-CN"/>
        </w:rPr>
        <w:t>”、第3项“</w:t>
      </w:r>
      <w:r>
        <w:rPr>
          <w:rFonts w:hint="eastAsia" w:ascii="宋体" w:hAnsi="宋体" w:eastAsia="宋体" w:cs="宋体"/>
          <w:color w:val="auto"/>
          <w:szCs w:val="21"/>
          <w:lang w:val="en-US" w:eastAsia="zh-CN"/>
        </w:rPr>
        <w:t>床旁分机</w:t>
      </w:r>
      <w:r>
        <w:rPr>
          <w:rFonts w:hint="eastAsia" w:ascii="宋体" w:hAnsi="宋体" w:eastAsia="宋体" w:cs="宋体"/>
          <w:bCs/>
          <w:szCs w:val="21"/>
          <w:lang w:eastAsia="zh-CN"/>
        </w:rPr>
        <w:t>带</w:t>
      </w:r>
      <w:r>
        <w:rPr>
          <w:rFonts w:hint="eastAsia" w:ascii="宋体" w:hAnsi="宋体" w:cs="宋体"/>
          <w:color w:val="auto"/>
          <w:szCs w:val="21"/>
          <w:lang w:val="en-US" w:eastAsia="zh-CN"/>
        </w:rPr>
        <w:t>”、第6项“</w:t>
      </w:r>
      <w:r>
        <w:rPr>
          <w:rFonts w:hint="eastAsia" w:ascii="宋体" w:hAnsi="宋体" w:eastAsia="宋体" w:cs="宋体"/>
          <w:color w:val="auto"/>
          <w:szCs w:val="21"/>
          <w:lang w:val="en-US" w:eastAsia="zh-CN"/>
        </w:rPr>
        <w:t>卫生间分机</w:t>
      </w:r>
      <w:r>
        <w:rPr>
          <w:rFonts w:hint="eastAsia" w:ascii="宋体" w:hAnsi="宋体" w:cs="宋体"/>
          <w:color w:val="auto"/>
          <w:szCs w:val="21"/>
          <w:lang w:val="en-US" w:eastAsia="zh-CN"/>
        </w:rPr>
        <w:t>”中带</w:t>
      </w:r>
      <w:r>
        <w:rPr>
          <w:rFonts w:hint="eastAsia" w:ascii="宋体" w:hAnsi="宋体" w:eastAsia="宋体" w:cs="宋体"/>
          <w:bCs/>
          <w:szCs w:val="21"/>
          <w:lang w:eastAsia="zh-CN"/>
        </w:rPr>
        <w:t>“</w:t>
      </w:r>
      <w:r>
        <w:rPr>
          <w:rFonts w:hint="eastAsia" w:ascii="宋体" w:hAnsi="宋体" w:eastAsia="宋体" w:cs="宋体"/>
          <w:bCs/>
          <w:szCs w:val="21"/>
        </w:rPr>
        <w:t>★</w:t>
      </w:r>
      <w:r>
        <w:rPr>
          <w:rFonts w:hint="eastAsia" w:ascii="宋体" w:hAnsi="宋体" w:eastAsia="宋体" w:cs="宋体"/>
          <w:bCs/>
          <w:szCs w:val="21"/>
          <w:lang w:eastAsia="zh-CN"/>
        </w:rPr>
        <w:t>”</w:t>
      </w:r>
      <w:r>
        <w:rPr>
          <w:rFonts w:hint="eastAsia" w:ascii="宋体" w:hAnsi="宋体" w:cs="宋体"/>
          <w:bCs/>
          <w:szCs w:val="21"/>
          <w:lang w:eastAsia="zh-CN"/>
        </w:rPr>
        <w:t>的</w:t>
      </w:r>
      <w:r>
        <w:rPr>
          <w:rFonts w:hint="eastAsia" w:ascii="宋体" w:hAnsi="宋体" w:eastAsia="宋体" w:cs="宋体"/>
          <w:bCs/>
          <w:szCs w:val="21"/>
        </w:rPr>
        <w:t>技术参数</w:t>
      </w:r>
      <w:r>
        <w:rPr>
          <w:rFonts w:hint="eastAsia" w:ascii="宋体" w:hAnsi="宋体" w:cs="宋体"/>
          <w:bCs/>
          <w:szCs w:val="21"/>
          <w:lang w:eastAsia="zh-CN"/>
        </w:rPr>
        <w:t>均能提供</w:t>
      </w:r>
      <w:r>
        <w:rPr>
          <w:rFonts w:hint="eastAsia" w:ascii="宋体" w:hAnsi="宋体" w:eastAsia="宋体" w:cs="宋体"/>
          <w:bCs/>
          <w:szCs w:val="21"/>
        </w:rPr>
        <w:t>国家认证的第三方机构出具的投标产品的测试报告证明</w:t>
      </w:r>
      <w:r>
        <w:rPr>
          <w:rFonts w:hint="eastAsia" w:ascii="宋体" w:hAnsi="宋体" w:cs="宋体"/>
          <w:bCs/>
          <w:szCs w:val="21"/>
          <w:lang w:eastAsia="zh-CN"/>
        </w:rPr>
        <w:t>的，每完整的提供一项得</w:t>
      </w:r>
      <w:r>
        <w:rPr>
          <w:rFonts w:hint="eastAsia" w:ascii="宋体" w:hAnsi="宋体" w:cs="宋体"/>
          <w:bCs/>
          <w:szCs w:val="21"/>
          <w:lang w:val="en-US" w:eastAsia="zh-CN"/>
        </w:rPr>
        <w:t>2分</w:t>
      </w:r>
      <w:r>
        <w:rPr>
          <w:rFonts w:hint="eastAsia" w:ascii="宋体" w:hAnsi="宋体" w:eastAsia="宋体" w:cs="宋体"/>
          <w:bCs/>
          <w:szCs w:val="21"/>
        </w:rPr>
        <w:t>，最高</w:t>
      </w:r>
      <w:r>
        <w:rPr>
          <w:rFonts w:hint="eastAsia" w:ascii="宋体" w:hAnsi="宋体" w:cs="宋体"/>
          <w:bCs/>
          <w:szCs w:val="21"/>
          <w:lang w:val="en-US" w:eastAsia="zh-CN"/>
        </w:rPr>
        <w:t>6</w:t>
      </w:r>
      <w:r>
        <w:rPr>
          <w:rFonts w:hint="eastAsia" w:ascii="宋体" w:hAnsi="宋体" w:eastAsia="宋体" w:cs="宋体"/>
          <w:bCs/>
          <w:szCs w:val="21"/>
        </w:rPr>
        <w:t>分。</w:t>
      </w:r>
    </w:p>
    <w:p>
      <w:pPr>
        <w:spacing w:line="420" w:lineRule="exact"/>
        <w:ind w:firstLine="420" w:firstLineChars="200"/>
        <w:rPr>
          <w:rFonts w:ascii="宋体" w:hAnsi="宋体"/>
          <w:b/>
          <w:bCs/>
          <w:szCs w:val="21"/>
        </w:rPr>
      </w:pPr>
      <w:r>
        <w:rPr>
          <w:rFonts w:hint="eastAsia" w:ascii="宋体" w:hAnsi="宋体"/>
          <w:b/>
          <w:bCs/>
          <w:szCs w:val="21"/>
        </w:rPr>
        <w:t>（</w:t>
      </w:r>
      <w:r>
        <w:rPr>
          <w:rFonts w:ascii="宋体" w:hAnsi="宋体"/>
          <w:b/>
          <w:bCs/>
          <w:szCs w:val="21"/>
        </w:rPr>
        <w:t>2</w:t>
      </w:r>
      <w:r>
        <w:rPr>
          <w:rFonts w:hint="eastAsia" w:ascii="宋体" w:hAnsi="宋体"/>
          <w:b/>
          <w:bCs/>
          <w:szCs w:val="21"/>
        </w:rPr>
        <w:t>）技术方案分（满分</w:t>
      </w:r>
      <w:r>
        <w:rPr>
          <w:rFonts w:hint="eastAsia" w:ascii="宋体" w:hAnsi="宋体"/>
          <w:b/>
          <w:bCs/>
          <w:szCs w:val="21"/>
          <w:lang w:val="en-US" w:eastAsia="zh-CN"/>
        </w:rPr>
        <w:t>15</w:t>
      </w:r>
      <w:r>
        <w:rPr>
          <w:rFonts w:hint="eastAsia" w:ascii="宋体" w:hAnsi="宋体"/>
          <w:b/>
          <w:bCs/>
          <w:szCs w:val="21"/>
        </w:rPr>
        <w:t>分）</w:t>
      </w:r>
    </w:p>
    <w:p>
      <w:pPr>
        <w:pStyle w:val="10"/>
        <w:spacing w:line="420" w:lineRule="exact"/>
        <w:rPr>
          <w:rFonts w:hint="eastAsia" w:ascii="宋体" w:hAnsi="宋体"/>
          <w:szCs w:val="21"/>
        </w:rPr>
      </w:pPr>
      <w:r>
        <w:rPr>
          <w:rFonts w:hint="eastAsia" w:ascii="宋体" w:hAnsi="宋体"/>
          <w:szCs w:val="21"/>
        </w:rPr>
        <w:t>由磋商小组各成员在打分前根据磋商采购文件中技术要求，</w:t>
      </w:r>
      <w:r>
        <w:rPr>
          <w:rFonts w:hint="eastAsia" w:ascii="宋体" w:hAnsi="宋体"/>
          <w:szCs w:val="21"/>
          <w:lang w:eastAsia="zh-CN"/>
        </w:rPr>
        <w:t>根据</w:t>
      </w:r>
      <w:r>
        <w:rPr>
          <w:rFonts w:hint="eastAsia" w:ascii="宋体" w:hAnsi="宋体"/>
          <w:szCs w:val="21"/>
        </w:rPr>
        <w:t>各磋商供应商响应文件的技术方案</w:t>
      </w:r>
      <w:r>
        <w:rPr>
          <w:rFonts w:hint="eastAsia" w:ascii="宋体" w:hAnsi="宋体"/>
          <w:szCs w:val="21"/>
          <w:lang w:eastAsia="zh-CN"/>
        </w:rPr>
        <w:t>（含</w:t>
      </w:r>
      <w:r>
        <w:rPr>
          <w:rFonts w:hint="eastAsia" w:ascii="宋体" w:hAnsi="宋体" w:eastAsia="宋体" w:cs="宋体"/>
        </w:rPr>
        <w:t>技术方案</w:t>
      </w:r>
      <w:r>
        <w:rPr>
          <w:rFonts w:hint="eastAsia" w:ascii="宋体" w:hAnsi="宋体" w:eastAsia="宋体" w:cs="宋体"/>
          <w:lang w:eastAsia="zh-CN"/>
        </w:rPr>
        <w:t>、</w:t>
      </w:r>
      <w:r>
        <w:rPr>
          <w:rFonts w:hint="eastAsia" w:ascii="宋体" w:hAnsi="宋体" w:eastAsia="宋体" w:cs="宋体"/>
        </w:rPr>
        <w:t>保障服务方案</w:t>
      </w:r>
      <w:r>
        <w:rPr>
          <w:rFonts w:hint="eastAsia" w:ascii="宋体" w:hAnsi="宋体" w:eastAsia="宋体" w:cs="宋体"/>
          <w:lang w:eastAsia="zh-CN"/>
        </w:rPr>
        <w:t>、</w:t>
      </w:r>
      <w:r>
        <w:rPr>
          <w:rFonts w:hint="eastAsia" w:ascii="宋体" w:hAnsi="宋体" w:eastAsia="宋体" w:cs="宋体"/>
        </w:rPr>
        <w:t>施工方案</w:t>
      </w:r>
      <w:r>
        <w:rPr>
          <w:rFonts w:hint="eastAsia" w:ascii="宋体" w:hAnsi="宋体" w:eastAsia="宋体" w:cs="宋体"/>
          <w:lang w:eastAsia="zh-CN"/>
        </w:rPr>
        <w:t>等</w:t>
      </w:r>
      <w:r>
        <w:rPr>
          <w:rFonts w:hint="eastAsia" w:ascii="宋体" w:hAnsi="宋体"/>
          <w:szCs w:val="21"/>
          <w:lang w:eastAsia="zh-CN"/>
        </w:rPr>
        <w:t>）</w:t>
      </w:r>
      <w:r>
        <w:rPr>
          <w:rFonts w:hint="eastAsia" w:ascii="宋体" w:hAnsi="宋体"/>
          <w:szCs w:val="21"/>
        </w:rPr>
        <w:t>，确定各磋商供应商“一档、二档、三档、四档、五档”各所属档次，</w:t>
      </w:r>
      <w:bookmarkStart w:id="18" w:name="_GoBack"/>
      <w:bookmarkEnd w:id="18"/>
      <w:r>
        <w:rPr>
          <w:rFonts w:hint="eastAsia" w:ascii="宋体" w:hAnsi="宋体"/>
          <w:szCs w:val="21"/>
        </w:rPr>
        <w:t>并在各档次内独立进行打分。定档标准如下：</w:t>
      </w:r>
    </w:p>
    <w:p>
      <w:pPr>
        <w:pStyle w:val="10"/>
        <w:spacing w:line="420" w:lineRule="exact"/>
        <w:rPr>
          <w:rFonts w:hint="eastAsia" w:ascii="宋体" w:hAnsi="宋体"/>
          <w:color w:val="auto"/>
          <w:szCs w:val="21"/>
        </w:rPr>
      </w:pPr>
      <w:r>
        <w:rPr>
          <w:rFonts w:hint="eastAsia" w:ascii="宋体" w:hAnsi="宋体"/>
          <w:color w:val="auto"/>
          <w:szCs w:val="21"/>
        </w:rPr>
        <w:t>一档（0分）评定范围：未提供技术方案。</w:t>
      </w:r>
    </w:p>
    <w:p>
      <w:pPr>
        <w:pStyle w:val="10"/>
        <w:spacing w:line="420" w:lineRule="exact"/>
        <w:rPr>
          <w:rFonts w:hint="eastAsia" w:ascii="宋体" w:hAnsi="宋体"/>
          <w:color w:val="auto"/>
          <w:szCs w:val="21"/>
        </w:rPr>
      </w:pPr>
      <w:r>
        <w:rPr>
          <w:rFonts w:hint="eastAsia" w:ascii="宋体" w:hAnsi="宋体"/>
          <w:color w:val="auto"/>
          <w:szCs w:val="21"/>
        </w:rPr>
        <w:t>二档（</w:t>
      </w:r>
      <w:r>
        <w:rPr>
          <w:rFonts w:hint="eastAsia" w:ascii="宋体" w:hAnsi="宋体"/>
          <w:color w:val="auto"/>
          <w:szCs w:val="21"/>
          <w:lang w:val="en-US" w:eastAsia="zh-CN"/>
        </w:rPr>
        <w:t>4</w:t>
      </w:r>
      <w:r>
        <w:rPr>
          <w:rFonts w:hint="eastAsia" w:ascii="宋体" w:hAnsi="宋体"/>
          <w:color w:val="auto"/>
          <w:szCs w:val="21"/>
        </w:rPr>
        <w:t>分）评定范围：提供了针对本项目的需求分析，但描述简单、部分内容缺失，列入一档。</w:t>
      </w:r>
    </w:p>
    <w:p>
      <w:pPr>
        <w:pStyle w:val="10"/>
        <w:spacing w:line="420" w:lineRule="exact"/>
        <w:rPr>
          <w:rFonts w:hint="eastAsia" w:ascii="宋体" w:hAnsi="宋体"/>
          <w:color w:val="auto"/>
          <w:szCs w:val="21"/>
        </w:rPr>
      </w:pPr>
      <w:r>
        <w:rPr>
          <w:rFonts w:hint="eastAsia" w:ascii="宋体" w:hAnsi="宋体"/>
          <w:color w:val="auto"/>
          <w:szCs w:val="21"/>
        </w:rPr>
        <w:t>三档（</w:t>
      </w:r>
      <w:r>
        <w:rPr>
          <w:rFonts w:hint="eastAsia" w:ascii="宋体" w:hAnsi="宋体"/>
          <w:color w:val="auto"/>
          <w:szCs w:val="21"/>
          <w:lang w:val="en-US" w:eastAsia="zh-CN"/>
        </w:rPr>
        <w:t>8</w:t>
      </w:r>
      <w:r>
        <w:rPr>
          <w:rFonts w:hint="eastAsia" w:ascii="宋体" w:hAnsi="宋体"/>
          <w:color w:val="auto"/>
          <w:szCs w:val="21"/>
        </w:rPr>
        <w:t>分）评定范围：能够完整提供针对本项目的需求分析，整体方案技术架构图，思路正确、结构完整，描述了实现的技术方案，</w:t>
      </w:r>
      <w:r>
        <w:rPr>
          <w:rFonts w:hint="eastAsia" w:ascii="宋体" w:hAnsi="宋体"/>
          <w:color w:val="auto"/>
          <w:szCs w:val="21"/>
          <w:lang w:eastAsia="zh-CN"/>
        </w:rPr>
        <w:t>且</w:t>
      </w:r>
      <w:r>
        <w:rPr>
          <w:rFonts w:hint="eastAsia" w:ascii="宋体" w:hAnsi="宋体"/>
          <w:color w:val="auto"/>
          <w:szCs w:val="21"/>
        </w:rPr>
        <w:t>描述相对具体，基本符合项目的需要，没有明显错误，列入三档。</w:t>
      </w:r>
    </w:p>
    <w:p>
      <w:pPr>
        <w:pStyle w:val="10"/>
        <w:spacing w:line="420" w:lineRule="exact"/>
        <w:rPr>
          <w:rFonts w:hint="eastAsia" w:ascii="宋体" w:hAnsi="宋体"/>
          <w:color w:val="auto"/>
          <w:szCs w:val="21"/>
        </w:rPr>
      </w:pPr>
      <w:r>
        <w:rPr>
          <w:rFonts w:hint="eastAsia" w:ascii="宋体" w:hAnsi="宋体"/>
          <w:color w:val="auto"/>
          <w:szCs w:val="21"/>
        </w:rPr>
        <w:t>四档（</w:t>
      </w:r>
      <w:r>
        <w:rPr>
          <w:rFonts w:hint="eastAsia" w:ascii="宋体" w:hAnsi="宋体"/>
          <w:color w:val="auto"/>
          <w:szCs w:val="21"/>
          <w:lang w:val="en-US" w:eastAsia="zh-CN"/>
        </w:rPr>
        <w:t>12</w:t>
      </w:r>
      <w:r>
        <w:rPr>
          <w:rFonts w:hint="eastAsia" w:ascii="宋体" w:hAnsi="宋体"/>
          <w:color w:val="auto"/>
          <w:szCs w:val="21"/>
        </w:rPr>
        <w:t>分）评定范围：在满足三档的基础上，</w:t>
      </w:r>
      <w:r>
        <w:rPr>
          <w:rFonts w:hint="eastAsia" w:ascii="宋体" w:hAnsi="宋体"/>
          <w:color w:val="auto"/>
          <w:szCs w:val="21"/>
          <w:lang w:eastAsia="zh-CN"/>
        </w:rPr>
        <w:t>各方案描述相对详细，施工有明确的时间节点安排</w:t>
      </w:r>
      <w:r>
        <w:rPr>
          <w:rFonts w:hint="eastAsia" w:ascii="宋体" w:hAnsi="宋体"/>
          <w:color w:val="auto"/>
          <w:szCs w:val="21"/>
        </w:rPr>
        <w:t>，列入第四档。</w:t>
      </w:r>
    </w:p>
    <w:p>
      <w:pPr>
        <w:numPr>
          <w:ilvl w:val="0"/>
          <w:numId w:val="0"/>
        </w:numPr>
        <w:spacing w:line="420" w:lineRule="exact"/>
        <w:ind w:firstLine="420" w:firstLineChars="200"/>
        <w:rPr>
          <w:rFonts w:hint="eastAsia" w:ascii="宋体" w:hAnsi="宋体"/>
          <w:b/>
          <w:color w:val="auto"/>
          <w:szCs w:val="21"/>
          <w:shd w:val="clear" w:color="auto" w:fill="FFFFFF"/>
        </w:rPr>
      </w:pPr>
      <w:r>
        <w:rPr>
          <w:rFonts w:hint="eastAsia" w:ascii="宋体" w:hAnsi="宋体"/>
          <w:color w:val="auto"/>
          <w:szCs w:val="21"/>
        </w:rPr>
        <w:t>五档（</w:t>
      </w:r>
      <w:r>
        <w:rPr>
          <w:rFonts w:hint="eastAsia" w:ascii="宋体" w:hAnsi="宋体"/>
          <w:color w:val="auto"/>
          <w:szCs w:val="21"/>
          <w:lang w:val="en-US" w:eastAsia="zh-CN"/>
        </w:rPr>
        <w:t>15</w:t>
      </w:r>
      <w:r>
        <w:rPr>
          <w:rFonts w:hint="eastAsia" w:ascii="宋体" w:hAnsi="宋体"/>
          <w:color w:val="auto"/>
          <w:szCs w:val="21"/>
        </w:rPr>
        <w:t>分）评定范围：在满足四档的基础上，</w:t>
      </w:r>
      <w:r>
        <w:rPr>
          <w:rFonts w:hint="eastAsia" w:ascii="宋体" w:hAnsi="宋体"/>
          <w:color w:val="auto"/>
          <w:szCs w:val="21"/>
          <w:lang w:eastAsia="zh-CN"/>
        </w:rPr>
        <w:t>整体</w:t>
      </w:r>
      <w:r>
        <w:rPr>
          <w:rFonts w:hint="eastAsia" w:ascii="宋体" w:hAnsi="宋体"/>
          <w:color w:val="auto"/>
          <w:szCs w:val="21"/>
        </w:rPr>
        <w:t>方案整体科学合理，方案阐述非常详细，能够完全满足项目的需求，列入第五档。</w:t>
      </w:r>
    </w:p>
    <w:p>
      <w:pPr>
        <w:numPr>
          <w:ilvl w:val="0"/>
          <w:numId w:val="6"/>
        </w:numPr>
        <w:spacing w:line="420" w:lineRule="exact"/>
        <w:rPr>
          <w:rFonts w:hint="eastAsia" w:ascii="宋体" w:hAnsi="宋体"/>
          <w:b/>
          <w:szCs w:val="21"/>
          <w:shd w:val="clear" w:color="auto" w:fill="FFFFFF"/>
        </w:rPr>
      </w:pPr>
      <w:r>
        <w:rPr>
          <w:rFonts w:hint="eastAsia" w:ascii="宋体" w:hAnsi="宋体"/>
          <w:b/>
          <w:szCs w:val="21"/>
        </w:rPr>
        <w:t>售后服务分……………………………………………………………………………………</w:t>
      </w:r>
      <w:r>
        <w:rPr>
          <w:rFonts w:hint="eastAsia" w:ascii="宋体" w:hAnsi="宋体"/>
          <w:b/>
          <w:szCs w:val="21"/>
          <w:shd w:val="clear" w:color="auto" w:fill="FFFFFF"/>
          <w:lang w:val="en-US" w:eastAsia="zh-CN"/>
        </w:rPr>
        <w:t>10</w:t>
      </w:r>
      <w:r>
        <w:rPr>
          <w:rFonts w:hint="eastAsia" w:ascii="宋体" w:hAnsi="宋体"/>
          <w:b/>
          <w:szCs w:val="21"/>
          <w:shd w:val="clear" w:color="auto" w:fill="FFFFFF"/>
        </w:rPr>
        <w:t>分</w:t>
      </w:r>
    </w:p>
    <w:p>
      <w:pPr>
        <w:pStyle w:val="10"/>
        <w:spacing w:line="420" w:lineRule="exact"/>
        <w:rPr>
          <w:rFonts w:hint="eastAsia" w:ascii="宋体" w:hAnsi="宋体"/>
          <w:szCs w:val="21"/>
        </w:rPr>
      </w:pPr>
      <w:r>
        <w:rPr>
          <w:rFonts w:hint="eastAsia" w:ascii="宋体" w:hAnsi="宋体"/>
          <w:szCs w:val="21"/>
        </w:rPr>
        <w:t>由磋商小组各成员在打分前根据磋商采购文件中</w:t>
      </w:r>
      <w:r>
        <w:rPr>
          <w:rFonts w:hint="eastAsia" w:ascii="宋体" w:hAnsi="宋体"/>
          <w:szCs w:val="21"/>
          <w:lang w:eastAsia="zh-CN"/>
        </w:rPr>
        <w:t>售后服务</w:t>
      </w:r>
      <w:r>
        <w:rPr>
          <w:rFonts w:hint="eastAsia" w:ascii="宋体" w:hAnsi="宋体"/>
          <w:szCs w:val="21"/>
        </w:rPr>
        <w:t>要求，</w:t>
      </w:r>
      <w:r>
        <w:rPr>
          <w:rFonts w:hint="eastAsia" w:ascii="宋体" w:hAnsi="宋体"/>
          <w:szCs w:val="21"/>
          <w:lang w:eastAsia="zh-CN"/>
        </w:rPr>
        <w:t>根据</w:t>
      </w:r>
      <w:r>
        <w:rPr>
          <w:rFonts w:hint="eastAsia" w:ascii="宋体" w:hAnsi="宋体"/>
          <w:szCs w:val="21"/>
        </w:rPr>
        <w:t>各磋商供应商响应文件的</w:t>
      </w:r>
      <w:r>
        <w:rPr>
          <w:rFonts w:hint="eastAsia" w:ascii="宋体" w:hAnsi="宋体"/>
          <w:szCs w:val="21"/>
          <w:lang w:eastAsia="zh-CN"/>
        </w:rPr>
        <w:t>售后服务</w:t>
      </w:r>
      <w:r>
        <w:rPr>
          <w:rFonts w:hint="eastAsia" w:ascii="宋体" w:hAnsi="宋体"/>
          <w:szCs w:val="21"/>
        </w:rPr>
        <w:t>方案，确定各磋商供应商“一档、二档、三档”各所属档次，并在各档次内独立进行打分。定档标准如下：</w:t>
      </w:r>
    </w:p>
    <w:p>
      <w:pPr>
        <w:pStyle w:val="10"/>
        <w:spacing w:line="420" w:lineRule="exact"/>
        <w:rPr>
          <w:rFonts w:hint="eastAsia" w:ascii="宋体" w:hAnsi="宋体"/>
          <w:szCs w:val="21"/>
        </w:rPr>
      </w:pPr>
      <w:r>
        <w:rPr>
          <w:rFonts w:hint="eastAsia" w:ascii="宋体" w:hAnsi="宋体"/>
          <w:szCs w:val="21"/>
        </w:rPr>
        <w:t>一档（</w:t>
      </w:r>
      <w:r>
        <w:rPr>
          <w:rFonts w:hint="eastAsia" w:ascii="宋体" w:hAnsi="宋体"/>
          <w:szCs w:val="21"/>
          <w:lang w:val="en-US" w:eastAsia="zh-CN"/>
        </w:rPr>
        <w:t>2</w:t>
      </w:r>
      <w:r>
        <w:rPr>
          <w:rFonts w:hint="eastAsia" w:ascii="宋体" w:hAnsi="宋体"/>
          <w:szCs w:val="21"/>
        </w:rPr>
        <w:t>分）：有简单服务措施、培训方案，基本满足项目需求。</w:t>
      </w:r>
    </w:p>
    <w:p>
      <w:pPr>
        <w:pStyle w:val="10"/>
        <w:spacing w:line="420" w:lineRule="exact"/>
        <w:rPr>
          <w:rFonts w:hint="eastAsia" w:ascii="宋体" w:hAnsi="宋体"/>
          <w:szCs w:val="21"/>
        </w:rPr>
      </w:pPr>
      <w:r>
        <w:rPr>
          <w:rFonts w:hint="eastAsia" w:ascii="宋体" w:hAnsi="宋体"/>
          <w:szCs w:val="21"/>
        </w:rPr>
        <w:t>二档（</w:t>
      </w:r>
      <w:r>
        <w:rPr>
          <w:rFonts w:hint="eastAsia" w:ascii="宋体" w:hAnsi="宋体"/>
          <w:szCs w:val="21"/>
          <w:lang w:val="en-US" w:eastAsia="zh-CN"/>
        </w:rPr>
        <w:t>5</w:t>
      </w:r>
      <w:r>
        <w:rPr>
          <w:rFonts w:hint="eastAsia" w:ascii="宋体" w:hAnsi="宋体"/>
          <w:szCs w:val="21"/>
        </w:rPr>
        <w:t>分）：有较好服务措施、培训方案，提供完整的售后服务方案。</w:t>
      </w:r>
    </w:p>
    <w:p>
      <w:pPr>
        <w:pStyle w:val="10"/>
        <w:spacing w:line="420" w:lineRule="exact"/>
        <w:rPr>
          <w:rFonts w:hint="eastAsia" w:ascii="宋体" w:hAnsi="宋体"/>
          <w:szCs w:val="21"/>
        </w:rPr>
      </w:pPr>
      <w:r>
        <w:rPr>
          <w:rFonts w:hint="eastAsia" w:ascii="宋体" w:hAnsi="宋体"/>
          <w:szCs w:val="21"/>
        </w:rPr>
        <w:t>三档（1</w:t>
      </w:r>
      <w:r>
        <w:rPr>
          <w:rFonts w:hint="eastAsia" w:ascii="宋体" w:hAnsi="宋体"/>
          <w:szCs w:val="21"/>
          <w:lang w:val="en-US" w:eastAsia="zh-CN"/>
        </w:rPr>
        <w:t>0</w:t>
      </w:r>
      <w:r>
        <w:rPr>
          <w:rFonts w:hint="eastAsia" w:ascii="宋体" w:hAnsi="宋体"/>
          <w:szCs w:val="21"/>
        </w:rPr>
        <w:t>分）：有完备的服务措施、培训方案，能提供完整、详细的后续服务方案。</w:t>
      </w:r>
    </w:p>
    <w:p>
      <w:pPr>
        <w:spacing w:line="420" w:lineRule="exact"/>
        <w:rPr>
          <w:rFonts w:ascii="宋体" w:hAnsi="宋体" w:cs="宋体"/>
          <w:b/>
          <w:szCs w:val="21"/>
        </w:rPr>
      </w:pPr>
      <w:r>
        <w:rPr>
          <w:rFonts w:ascii="宋体" w:hAnsi="宋体" w:cs="宋体"/>
          <w:b/>
          <w:szCs w:val="21"/>
        </w:rPr>
        <w:t>4</w:t>
      </w:r>
      <w:r>
        <w:rPr>
          <w:rFonts w:hint="eastAsia" w:ascii="宋体" w:hAnsi="宋体" w:cs="宋体"/>
          <w:b/>
          <w:szCs w:val="21"/>
        </w:rPr>
        <w:t>、综合实力分 ……………………………………………………………………………………</w:t>
      </w:r>
      <w:r>
        <w:rPr>
          <w:rFonts w:hint="eastAsia" w:ascii="宋体" w:hAnsi="宋体" w:cs="宋体"/>
          <w:b/>
          <w:szCs w:val="21"/>
          <w:lang w:val="en-US" w:eastAsia="zh-CN"/>
        </w:rPr>
        <w:t>19</w:t>
      </w:r>
      <w:r>
        <w:rPr>
          <w:rFonts w:hint="eastAsia" w:ascii="宋体" w:hAnsi="宋体" w:cs="宋体"/>
          <w:b/>
          <w:szCs w:val="21"/>
        </w:rPr>
        <w:t>分</w:t>
      </w:r>
    </w:p>
    <w:p>
      <w:pPr>
        <w:numPr>
          <w:ilvl w:val="0"/>
          <w:numId w:val="7"/>
        </w:numPr>
        <w:spacing w:line="420" w:lineRule="exact"/>
        <w:ind w:firstLine="420" w:firstLineChars="200"/>
        <w:textAlignment w:val="top"/>
        <w:rPr>
          <w:rFonts w:hint="eastAsia" w:ascii="宋体" w:hAnsi="宋体" w:cs="Courier New"/>
          <w:bCs/>
          <w:szCs w:val="21"/>
        </w:rPr>
      </w:pPr>
      <w:r>
        <w:rPr>
          <w:rFonts w:hint="eastAsia" w:ascii="宋体" w:hAnsi="宋体" w:cs="Courier New"/>
          <w:bCs/>
          <w:szCs w:val="21"/>
        </w:rPr>
        <w:t>磋商供应商</w:t>
      </w:r>
      <w:r>
        <w:rPr>
          <w:rFonts w:hint="eastAsia" w:ascii="宋体" w:hAnsi="宋体" w:cs="Courier New"/>
          <w:bCs/>
          <w:szCs w:val="21"/>
          <w:lang w:eastAsia="zh-CN"/>
        </w:rPr>
        <w:t>或磋商</w:t>
      </w:r>
      <w:r>
        <w:rPr>
          <w:rFonts w:hint="eastAsia" w:ascii="宋体" w:hAnsi="宋体" w:cs="Courier New"/>
          <w:bCs/>
          <w:szCs w:val="21"/>
        </w:rPr>
        <w:t>产品生产厂</w:t>
      </w:r>
      <w:r>
        <w:rPr>
          <w:rFonts w:hint="eastAsia" w:ascii="宋体" w:hAnsi="宋体" w:cs="Courier New"/>
          <w:bCs/>
          <w:szCs w:val="21"/>
          <w:lang w:eastAsia="zh-CN"/>
        </w:rPr>
        <w:t>家</w:t>
      </w:r>
      <w:r>
        <w:rPr>
          <w:rFonts w:hint="eastAsia" w:ascii="宋体" w:hAnsi="宋体" w:cs="Courier New"/>
          <w:bCs/>
          <w:szCs w:val="21"/>
        </w:rPr>
        <w:t>具有ISO质量管理体系认证证书、环境管理体系认证证书、信息安全管理体系认证证书、信息技术服务管理体系认证证书、知识产权管理体系认证证书、商品售后服务认证证书且在有效期内的</w:t>
      </w:r>
      <w:r>
        <w:rPr>
          <w:rFonts w:hint="eastAsia" w:ascii="宋体" w:hAnsi="宋体" w:cs="Courier New"/>
          <w:bCs/>
          <w:szCs w:val="21"/>
          <w:lang w:eastAsia="zh-CN"/>
        </w:rPr>
        <w:t>，每有一项</w:t>
      </w:r>
      <w:r>
        <w:rPr>
          <w:rFonts w:hint="eastAsia" w:ascii="宋体" w:hAnsi="宋体" w:cs="Courier New"/>
          <w:bCs/>
          <w:szCs w:val="21"/>
        </w:rPr>
        <w:t>得</w:t>
      </w:r>
      <w:r>
        <w:rPr>
          <w:rFonts w:hint="eastAsia" w:ascii="宋体" w:hAnsi="宋体" w:cs="Courier New"/>
          <w:bCs/>
          <w:szCs w:val="21"/>
          <w:lang w:val="en-US" w:eastAsia="zh-CN"/>
        </w:rPr>
        <w:t>1</w:t>
      </w:r>
      <w:r>
        <w:rPr>
          <w:rFonts w:hint="eastAsia" w:ascii="宋体" w:hAnsi="宋体" w:cs="Courier New"/>
          <w:bCs/>
          <w:szCs w:val="21"/>
        </w:rPr>
        <w:t>分（提供证书复印件加盖</w:t>
      </w:r>
      <w:r>
        <w:rPr>
          <w:rFonts w:hint="eastAsia" w:ascii="宋体" w:hAnsi="宋体" w:cs="Courier New"/>
          <w:bCs/>
          <w:szCs w:val="21"/>
          <w:lang w:eastAsia="zh-CN"/>
        </w:rPr>
        <w:t>磋商供应商</w:t>
      </w:r>
      <w:r>
        <w:rPr>
          <w:rFonts w:hint="eastAsia" w:ascii="宋体" w:hAnsi="宋体" w:cs="Courier New"/>
          <w:bCs/>
          <w:szCs w:val="21"/>
        </w:rPr>
        <w:t>公章）</w:t>
      </w:r>
      <w:r>
        <w:rPr>
          <w:rFonts w:hint="eastAsia" w:ascii="宋体" w:hAnsi="宋体" w:cs="Courier New"/>
          <w:bCs/>
          <w:szCs w:val="21"/>
          <w:lang w:eastAsia="zh-CN"/>
        </w:rPr>
        <w:t>，满分</w:t>
      </w:r>
      <w:r>
        <w:rPr>
          <w:rFonts w:hint="eastAsia" w:ascii="宋体" w:hAnsi="宋体" w:cs="Courier New"/>
          <w:bCs/>
          <w:szCs w:val="21"/>
          <w:lang w:val="en-US" w:eastAsia="zh-CN"/>
        </w:rPr>
        <w:t>6分。</w:t>
      </w:r>
    </w:p>
    <w:p>
      <w:pPr>
        <w:numPr>
          <w:ilvl w:val="0"/>
          <w:numId w:val="7"/>
        </w:numPr>
        <w:spacing w:line="420" w:lineRule="exact"/>
        <w:ind w:firstLine="420" w:firstLineChars="200"/>
        <w:textAlignment w:val="top"/>
        <w:rPr>
          <w:rFonts w:hint="eastAsia" w:ascii="宋体" w:hAnsi="宋体" w:cs="Courier New"/>
          <w:bCs/>
          <w:szCs w:val="21"/>
        </w:rPr>
      </w:pPr>
      <w:r>
        <w:rPr>
          <w:rFonts w:hint="eastAsia" w:ascii="宋体" w:hAnsi="宋体" w:cs="Courier New"/>
          <w:bCs/>
          <w:szCs w:val="21"/>
        </w:rPr>
        <w:t>磋商供应商</w:t>
      </w:r>
      <w:r>
        <w:rPr>
          <w:rFonts w:hint="eastAsia" w:ascii="宋体" w:hAnsi="宋体" w:cs="Courier New"/>
          <w:bCs/>
          <w:szCs w:val="21"/>
          <w:lang w:eastAsia="zh-CN"/>
        </w:rPr>
        <w:t>或磋商</w:t>
      </w:r>
      <w:r>
        <w:rPr>
          <w:rFonts w:hint="eastAsia" w:ascii="宋体" w:hAnsi="宋体" w:cs="Courier New"/>
          <w:bCs/>
          <w:szCs w:val="21"/>
        </w:rPr>
        <w:t>产品生产厂</w:t>
      </w:r>
      <w:r>
        <w:rPr>
          <w:rFonts w:hint="eastAsia" w:ascii="宋体" w:hAnsi="宋体" w:cs="Courier New"/>
          <w:bCs/>
          <w:szCs w:val="21"/>
          <w:lang w:eastAsia="zh-CN"/>
        </w:rPr>
        <w:t>家具有</w:t>
      </w:r>
      <w:r>
        <w:rPr>
          <w:rFonts w:hint="eastAsia" w:ascii="宋体" w:hAnsi="宋体" w:cs="Courier New"/>
          <w:bCs/>
          <w:szCs w:val="21"/>
        </w:rPr>
        <w:t>符合国际标准的CE认证、具有软件能力成熟度集成模型认证（CMMI）3级及以上认证、安全生产标准化证书、安全生产许可证、软件企业认证</w:t>
      </w:r>
      <w:r>
        <w:rPr>
          <w:rFonts w:hint="eastAsia" w:ascii="宋体" w:hAnsi="宋体" w:cs="Courier New"/>
          <w:bCs/>
          <w:szCs w:val="21"/>
          <w:lang w:eastAsia="zh-CN"/>
        </w:rPr>
        <w:t>的，每有一项得</w:t>
      </w:r>
      <w:r>
        <w:rPr>
          <w:rFonts w:hint="eastAsia" w:ascii="宋体" w:hAnsi="宋体" w:cs="Courier New"/>
          <w:bCs/>
          <w:szCs w:val="21"/>
          <w:lang w:val="en-US" w:eastAsia="zh-CN"/>
        </w:rPr>
        <w:t>1分</w:t>
      </w:r>
      <w:r>
        <w:rPr>
          <w:rFonts w:hint="eastAsia" w:ascii="宋体" w:hAnsi="宋体" w:cs="Courier New"/>
          <w:bCs/>
          <w:szCs w:val="21"/>
        </w:rPr>
        <w:t>（提供证书复印件加盖</w:t>
      </w:r>
      <w:r>
        <w:rPr>
          <w:rFonts w:hint="eastAsia" w:ascii="宋体" w:hAnsi="宋体" w:cs="Courier New"/>
          <w:bCs/>
          <w:szCs w:val="21"/>
          <w:lang w:eastAsia="zh-CN"/>
        </w:rPr>
        <w:t>磋商供应商</w:t>
      </w:r>
      <w:r>
        <w:rPr>
          <w:rFonts w:hint="eastAsia" w:ascii="宋体" w:hAnsi="宋体" w:cs="Courier New"/>
          <w:bCs/>
          <w:szCs w:val="21"/>
        </w:rPr>
        <w:t>公章）</w:t>
      </w:r>
      <w:r>
        <w:rPr>
          <w:rFonts w:hint="eastAsia" w:ascii="宋体" w:hAnsi="宋体" w:cs="Courier New"/>
          <w:bCs/>
          <w:szCs w:val="21"/>
          <w:lang w:eastAsia="zh-CN"/>
        </w:rPr>
        <w:t>，满分</w:t>
      </w:r>
      <w:r>
        <w:rPr>
          <w:rFonts w:hint="eastAsia" w:ascii="宋体" w:hAnsi="宋体" w:cs="Courier New"/>
          <w:bCs/>
          <w:szCs w:val="21"/>
          <w:lang w:val="en-US" w:eastAsia="zh-CN"/>
        </w:rPr>
        <w:t>5分。</w:t>
      </w:r>
    </w:p>
    <w:p>
      <w:pPr>
        <w:numPr>
          <w:ilvl w:val="0"/>
          <w:numId w:val="7"/>
        </w:numPr>
        <w:spacing w:line="420" w:lineRule="exact"/>
        <w:ind w:firstLine="420" w:firstLineChars="200"/>
        <w:textAlignment w:val="top"/>
        <w:rPr>
          <w:rFonts w:hint="eastAsia" w:ascii="宋体" w:hAnsi="宋体" w:cs="Courier New"/>
          <w:bCs/>
          <w:szCs w:val="21"/>
        </w:rPr>
      </w:pPr>
      <w:r>
        <w:rPr>
          <w:rFonts w:hint="eastAsia" w:ascii="宋体" w:hAnsi="宋体" w:cs="Courier New"/>
          <w:bCs/>
          <w:szCs w:val="21"/>
        </w:rPr>
        <w:t>磋商供应商</w:t>
      </w:r>
      <w:r>
        <w:rPr>
          <w:rFonts w:hint="eastAsia" w:ascii="宋体" w:hAnsi="宋体" w:cs="Courier New"/>
          <w:bCs/>
          <w:szCs w:val="21"/>
          <w:lang w:eastAsia="zh-CN"/>
        </w:rPr>
        <w:t>或磋商</w:t>
      </w:r>
      <w:r>
        <w:rPr>
          <w:rFonts w:hint="eastAsia" w:ascii="宋体" w:hAnsi="宋体" w:cs="Courier New"/>
          <w:bCs/>
          <w:szCs w:val="21"/>
        </w:rPr>
        <w:t>产品生产厂</w:t>
      </w:r>
      <w:r>
        <w:rPr>
          <w:rFonts w:hint="eastAsia" w:ascii="宋体" w:hAnsi="宋体" w:cs="Courier New"/>
          <w:bCs/>
          <w:szCs w:val="21"/>
          <w:lang w:eastAsia="zh-CN"/>
        </w:rPr>
        <w:t>家</w:t>
      </w:r>
      <w:r>
        <w:rPr>
          <w:rFonts w:hint="eastAsia" w:ascii="宋体" w:hAnsi="宋体" w:cs="Courier New"/>
          <w:bCs/>
          <w:szCs w:val="21"/>
        </w:rPr>
        <w:t>具</w:t>
      </w:r>
      <w:r>
        <w:rPr>
          <w:rFonts w:hint="eastAsia" w:ascii="宋体" w:hAnsi="宋体" w:cs="Courier New"/>
          <w:bCs/>
          <w:szCs w:val="21"/>
          <w:lang w:eastAsia="zh-CN"/>
        </w:rPr>
        <w:t>有类似</w:t>
      </w:r>
      <w:r>
        <w:rPr>
          <w:rFonts w:hint="eastAsia" w:ascii="宋体" w:hAnsi="宋体" w:cs="Courier New"/>
          <w:bCs/>
          <w:szCs w:val="21"/>
        </w:rPr>
        <w:t>系统业绩，提供2018年01月以来与医院直接签订的（以签订合同时间为准）中标通知书与合同复印件</w:t>
      </w:r>
      <w:r>
        <w:rPr>
          <w:rFonts w:hint="eastAsia" w:ascii="宋体" w:hAnsi="宋体" w:cs="Courier New"/>
          <w:bCs/>
          <w:szCs w:val="21"/>
          <w:lang w:eastAsia="zh-CN"/>
        </w:rPr>
        <w:t>为准，每有一个得</w:t>
      </w:r>
      <w:r>
        <w:rPr>
          <w:rFonts w:hint="eastAsia" w:ascii="宋体" w:hAnsi="宋体" w:cs="Courier New"/>
          <w:bCs/>
          <w:szCs w:val="21"/>
          <w:lang w:val="en-US" w:eastAsia="zh-CN"/>
        </w:rPr>
        <w:t>1分</w:t>
      </w:r>
      <w:r>
        <w:rPr>
          <w:rFonts w:hint="eastAsia" w:ascii="宋体" w:hAnsi="宋体" w:cs="Courier New"/>
          <w:bCs/>
          <w:szCs w:val="21"/>
          <w:lang w:eastAsia="zh-CN"/>
        </w:rPr>
        <w:t>，满分</w:t>
      </w:r>
      <w:r>
        <w:rPr>
          <w:rFonts w:hint="eastAsia" w:ascii="宋体" w:hAnsi="宋体" w:cs="Courier New"/>
          <w:bCs/>
          <w:szCs w:val="21"/>
          <w:lang w:val="en-US" w:eastAsia="zh-CN"/>
        </w:rPr>
        <w:t>8分</w:t>
      </w:r>
      <w:r>
        <w:rPr>
          <w:rFonts w:hint="eastAsia" w:ascii="宋体" w:hAnsi="宋体" w:cs="Courier New"/>
          <w:bCs/>
          <w:szCs w:val="21"/>
        </w:rPr>
        <w:t>。</w:t>
      </w:r>
    </w:p>
    <w:p>
      <w:pPr>
        <w:numPr>
          <w:ilvl w:val="0"/>
          <w:numId w:val="0"/>
        </w:numPr>
        <w:spacing w:line="420" w:lineRule="exact"/>
        <w:textAlignment w:val="top"/>
        <w:rPr>
          <w:rFonts w:ascii="宋体" w:hAnsi="宋体" w:cs="Courier New"/>
          <w:bCs/>
          <w:szCs w:val="21"/>
        </w:rPr>
      </w:pPr>
      <w:r>
        <w:rPr>
          <w:rFonts w:hint="eastAsia" w:ascii="宋体" w:hAnsi="宋体" w:cs="Courier New"/>
          <w:bCs/>
          <w:szCs w:val="21"/>
        </w:rPr>
        <w:t>注：含在医用气体或智能化工程总造价中的呼叫系统业绩，需将病房呼叫系统拆出单列，否则不认可。</w:t>
      </w:r>
    </w:p>
    <w:p>
      <w:pPr>
        <w:spacing w:before="0" w:after="0" w:line="400" w:lineRule="exact"/>
        <w:ind w:firstLine="422"/>
        <w:rPr>
          <w:rFonts w:ascii="宋体" w:hAnsi="宋体"/>
          <w:bCs/>
          <w:color w:val="auto"/>
          <w:szCs w:val="20"/>
          <w:highlight w:val="none"/>
        </w:rPr>
      </w:pPr>
      <w:r>
        <w:rPr>
          <w:rFonts w:ascii="宋体" w:hAnsi="宋体"/>
          <w:b/>
          <w:color w:val="auto"/>
          <w:szCs w:val="20"/>
          <w:highlight w:val="none"/>
        </w:rPr>
        <w:t>5</w:t>
      </w:r>
      <w:r>
        <w:rPr>
          <w:rFonts w:hint="eastAsia" w:ascii="宋体" w:hAnsi="宋体"/>
          <w:b/>
          <w:color w:val="auto"/>
          <w:szCs w:val="20"/>
          <w:highlight w:val="none"/>
        </w:rPr>
        <w:t>. 综合得分＝</w:t>
      </w:r>
      <w:r>
        <w:rPr>
          <w:rFonts w:hint="eastAsia" w:ascii="宋体" w:hAnsi="宋体"/>
          <w:b/>
          <w:color w:val="auto"/>
          <w:w w:val="150"/>
          <w:szCs w:val="20"/>
          <w:highlight w:val="none"/>
        </w:rPr>
        <w:t>1+2+3+</w:t>
      </w:r>
      <w:r>
        <w:rPr>
          <w:rFonts w:ascii="宋体" w:hAnsi="宋体"/>
          <w:b/>
          <w:color w:val="auto"/>
          <w:w w:val="150"/>
          <w:szCs w:val="20"/>
          <w:highlight w:val="none"/>
        </w:rPr>
        <w:t>4</w:t>
      </w:r>
    </w:p>
    <w:p>
      <w:pPr>
        <w:pStyle w:val="23"/>
        <w:tabs>
          <w:tab w:val="left" w:pos="4214"/>
        </w:tabs>
        <w:spacing w:line="440" w:lineRule="exact"/>
        <w:ind w:firstLine="422"/>
        <w:rPr>
          <w:rFonts w:hAnsi="宋体"/>
          <w:b/>
          <w:color w:val="auto"/>
          <w:highlight w:val="none"/>
        </w:rPr>
      </w:pPr>
      <w:r>
        <w:rPr>
          <w:rFonts w:hint="eastAsia" w:hAnsi="宋体"/>
          <w:b/>
          <w:color w:val="auto"/>
          <w:highlight w:val="none"/>
        </w:rPr>
        <w:t>三、推荐</w:t>
      </w:r>
      <w:r>
        <w:rPr>
          <w:rFonts w:hint="eastAsia" w:hAnsi="宋体"/>
          <w:b/>
          <w:color w:val="auto"/>
          <w:highlight w:val="none"/>
          <w:lang w:eastAsia="zh-CN"/>
        </w:rPr>
        <w:t>成交</w:t>
      </w:r>
      <w:r>
        <w:rPr>
          <w:rFonts w:hint="eastAsia" w:hAnsi="宋体"/>
          <w:b/>
          <w:color w:val="auto"/>
          <w:highlight w:val="none"/>
        </w:rPr>
        <w:t>候选供应商原则</w:t>
      </w:r>
    </w:p>
    <w:p>
      <w:pPr>
        <w:pStyle w:val="23"/>
        <w:tabs>
          <w:tab w:val="left" w:pos="4214"/>
        </w:tabs>
        <w:spacing w:line="440" w:lineRule="exact"/>
        <w:ind w:firstLine="420" w:firstLineChars="200"/>
        <w:rPr>
          <w:rFonts w:hint="eastAsia" w:hAnsi="宋体" w:eastAsia="宋体" w:cs="宋体"/>
          <w:color w:val="auto"/>
          <w:szCs w:val="21"/>
        </w:rPr>
      </w:pPr>
      <w:r>
        <w:rPr>
          <w:rFonts w:hint="eastAsia" w:hAnsi="宋体" w:eastAsia="宋体" w:cs="宋体"/>
          <w:color w:val="auto"/>
          <w:szCs w:val="21"/>
        </w:rPr>
        <w:t>（1）</w:t>
      </w:r>
      <w:r>
        <w:rPr>
          <w:rFonts w:hint="eastAsia" w:hAnsi="宋体" w:eastAsia="宋体" w:cs="宋体"/>
          <w:color w:val="auto"/>
          <w:szCs w:val="21"/>
          <w:lang w:eastAsia="zh-CN"/>
        </w:rPr>
        <w:t>磋商小组</w:t>
      </w:r>
      <w:r>
        <w:rPr>
          <w:rFonts w:hint="eastAsia" w:hAnsi="宋体" w:eastAsia="宋体" w:cs="宋体"/>
          <w:color w:val="auto"/>
          <w:szCs w:val="21"/>
        </w:rPr>
        <w:t>根据综合得分由高到低排列次序，若得分相同时，以评</w:t>
      </w:r>
      <w:r>
        <w:rPr>
          <w:rFonts w:hint="eastAsia" w:hAnsi="宋体" w:cs="宋体"/>
          <w:color w:val="auto"/>
          <w:szCs w:val="21"/>
          <w:lang w:eastAsia="zh-CN"/>
        </w:rPr>
        <w:t>审</w:t>
      </w:r>
      <w:r>
        <w:rPr>
          <w:rFonts w:hint="eastAsia" w:hAnsi="宋体" w:eastAsia="宋体" w:cs="宋体"/>
          <w:color w:val="auto"/>
          <w:szCs w:val="21"/>
        </w:rPr>
        <w:t>报价由低到高顺序排列；若得分相同且评</w:t>
      </w:r>
      <w:r>
        <w:rPr>
          <w:rFonts w:hint="eastAsia" w:hAnsi="宋体" w:cs="宋体"/>
          <w:color w:val="auto"/>
          <w:szCs w:val="21"/>
          <w:lang w:eastAsia="zh-CN"/>
        </w:rPr>
        <w:t>审</w:t>
      </w:r>
      <w:r>
        <w:rPr>
          <w:rFonts w:hint="eastAsia" w:hAnsi="宋体" w:eastAsia="宋体" w:cs="宋体"/>
          <w:color w:val="auto"/>
          <w:szCs w:val="21"/>
        </w:rPr>
        <w:t>报价相同的，以</w:t>
      </w:r>
      <w:r>
        <w:rPr>
          <w:rFonts w:hint="eastAsia" w:hAnsi="宋体" w:eastAsia="宋体" w:cs="宋体"/>
          <w:color w:val="auto"/>
          <w:szCs w:val="21"/>
          <w:lang w:eastAsia="zh-CN"/>
        </w:rPr>
        <w:t>磋商报价</w:t>
      </w:r>
      <w:r>
        <w:rPr>
          <w:rFonts w:hint="eastAsia" w:hAnsi="宋体" w:eastAsia="宋体" w:cs="宋体"/>
          <w:color w:val="auto"/>
          <w:szCs w:val="21"/>
        </w:rPr>
        <w:t>由低到高顺序排列；若仍相同的，按</w:t>
      </w:r>
      <w:r>
        <w:rPr>
          <w:rFonts w:hint="eastAsia" w:hAnsi="宋体" w:eastAsia="宋体" w:cs="宋体"/>
          <w:color w:val="auto"/>
          <w:szCs w:val="21"/>
          <w:lang w:eastAsia="zh-CN"/>
        </w:rPr>
        <w:t>技术</w:t>
      </w:r>
      <w:r>
        <w:rPr>
          <w:rFonts w:hint="eastAsia" w:hAnsi="宋体" w:eastAsia="宋体" w:cs="宋体"/>
          <w:color w:val="auto"/>
          <w:szCs w:val="21"/>
        </w:rPr>
        <w:t>分由高到低顺序排列，若</w:t>
      </w:r>
      <w:r>
        <w:rPr>
          <w:rFonts w:hint="eastAsia" w:hAnsi="宋体" w:eastAsia="宋体" w:cs="宋体"/>
          <w:color w:val="auto"/>
          <w:szCs w:val="21"/>
          <w:lang w:eastAsia="zh-CN"/>
        </w:rPr>
        <w:t>技术</w:t>
      </w:r>
      <w:r>
        <w:rPr>
          <w:rFonts w:hint="eastAsia" w:hAnsi="宋体" w:eastAsia="宋体" w:cs="宋体"/>
          <w:color w:val="auto"/>
          <w:szCs w:val="21"/>
        </w:rPr>
        <w:t>分仍相同的，按售后服务分由高到低顺序排列并推荐</w:t>
      </w:r>
      <w:r>
        <w:rPr>
          <w:rFonts w:hint="eastAsia" w:hAnsi="宋体" w:eastAsia="宋体" w:cs="宋体"/>
          <w:color w:val="auto"/>
          <w:szCs w:val="21"/>
          <w:lang w:eastAsia="zh-CN"/>
        </w:rPr>
        <w:t>成交候选供应商</w:t>
      </w:r>
      <w:r>
        <w:rPr>
          <w:rFonts w:hint="eastAsia" w:hAnsi="宋体" w:eastAsia="宋体" w:cs="宋体"/>
          <w:color w:val="auto"/>
          <w:szCs w:val="21"/>
        </w:rPr>
        <w:t>。</w:t>
      </w:r>
    </w:p>
    <w:p>
      <w:pPr>
        <w:pStyle w:val="23"/>
        <w:tabs>
          <w:tab w:val="left" w:pos="4214"/>
        </w:tabs>
        <w:spacing w:line="440" w:lineRule="exact"/>
        <w:ind w:firstLine="420" w:firstLineChars="200"/>
        <w:rPr>
          <w:rFonts w:hint="eastAsia" w:hAnsi="宋体" w:eastAsia="宋体" w:cs="宋体"/>
          <w:color w:val="auto"/>
          <w:szCs w:val="21"/>
        </w:rPr>
      </w:pPr>
      <w:r>
        <w:rPr>
          <w:rFonts w:hint="eastAsia" w:hAnsi="宋体" w:eastAsia="宋体" w:cs="宋体"/>
          <w:color w:val="auto"/>
          <w:szCs w:val="21"/>
        </w:rPr>
        <w:t>（2）</w:t>
      </w:r>
      <w:r>
        <w:rPr>
          <w:rFonts w:hint="eastAsia" w:hAnsi="宋体" w:eastAsia="宋体" w:cs="宋体"/>
          <w:color w:val="auto"/>
          <w:szCs w:val="21"/>
          <w:lang w:eastAsia="zh-CN"/>
        </w:rPr>
        <w:t>磋商小组</w:t>
      </w:r>
      <w:r>
        <w:rPr>
          <w:rFonts w:hint="eastAsia" w:hAnsi="宋体" w:eastAsia="宋体" w:cs="宋体"/>
          <w:color w:val="auto"/>
          <w:szCs w:val="21"/>
        </w:rPr>
        <w:t>可推荐前三名为</w:t>
      </w:r>
      <w:r>
        <w:rPr>
          <w:rFonts w:hint="eastAsia" w:hAnsi="宋体" w:eastAsia="宋体" w:cs="宋体"/>
          <w:color w:val="auto"/>
          <w:szCs w:val="21"/>
          <w:lang w:eastAsia="zh-CN"/>
        </w:rPr>
        <w:t>成交候选供应商</w:t>
      </w:r>
      <w:r>
        <w:rPr>
          <w:rFonts w:hint="eastAsia" w:hAnsi="宋体" w:eastAsia="宋体" w:cs="宋体"/>
          <w:color w:val="auto"/>
          <w:szCs w:val="21"/>
        </w:rPr>
        <w:t>。</w:t>
      </w:r>
      <w:r>
        <w:rPr>
          <w:rFonts w:hint="eastAsia" w:hAnsi="宋体" w:eastAsia="宋体" w:cs="宋体"/>
          <w:color w:val="auto"/>
          <w:szCs w:val="21"/>
          <w:lang w:eastAsia="zh-CN"/>
        </w:rPr>
        <w:t>采购单位</w:t>
      </w:r>
      <w:r>
        <w:rPr>
          <w:rFonts w:hint="eastAsia" w:hAnsi="宋体" w:eastAsia="宋体" w:cs="宋体"/>
          <w:color w:val="auto"/>
          <w:szCs w:val="21"/>
        </w:rPr>
        <w:t>应当确定</w:t>
      </w:r>
      <w:r>
        <w:rPr>
          <w:rFonts w:hint="eastAsia" w:hAnsi="宋体" w:eastAsia="宋体" w:cs="宋体"/>
          <w:color w:val="auto"/>
          <w:szCs w:val="21"/>
          <w:lang w:eastAsia="zh-CN"/>
        </w:rPr>
        <w:t>磋商小组</w:t>
      </w:r>
      <w:r>
        <w:rPr>
          <w:rFonts w:hint="eastAsia" w:hAnsi="宋体" w:eastAsia="宋体" w:cs="宋体"/>
          <w:color w:val="auto"/>
          <w:szCs w:val="21"/>
        </w:rPr>
        <w:t>推荐排名第一的</w:t>
      </w:r>
      <w:r>
        <w:rPr>
          <w:rFonts w:hint="eastAsia" w:hAnsi="宋体" w:eastAsia="宋体" w:cs="宋体"/>
          <w:color w:val="auto"/>
          <w:szCs w:val="21"/>
          <w:lang w:eastAsia="zh-CN"/>
        </w:rPr>
        <w:t>成交候选供应商</w:t>
      </w:r>
      <w:r>
        <w:rPr>
          <w:rFonts w:hint="eastAsia" w:hAnsi="宋体" w:eastAsia="宋体" w:cs="宋体"/>
          <w:color w:val="auto"/>
          <w:szCs w:val="21"/>
        </w:rPr>
        <w:t>为</w:t>
      </w:r>
      <w:r>
        <w:rPr>
          <w:rFonts w:hint="eastAsia" w:hAnsi="宋体" w:eastAsia="宋体" w:cs="宋体"/>
          <w:color w:val="auto"/>
          <w:szCs w:val="21"/>
          <w:lang w:eastAsia="zh-CN"/>
        </w:rPr>
        <w:t>成交供应商</w:t>
      </w:r>
      <w:r>
        <w:rPr>
          <w:rFonts w:hint="eastAsia" w:hAnsi="宋体" w:eastAsia="宋体" w:cs="宋体"/>
          <w:color w:val="auto"/>
          <w:szCs w:val="21"/>
        </w:rPr>
        <w:t>。</w:t>
      </w:r>
    </w:p>
    <w:p>
      <w:pPr>
        <w:pStyle w:val="23"/>
        <w:spacing w:line="440" w:lineRule="exact"/>
        <w:ind w:firstLine="447" w:firstLineChars="213"/>
        <w:rPr>
          <w:rFonts w:hint="eastAsia" w:hAnsi="宋体" w:eastAsia="宋体" w:cs="宋体"/>
          <w:color w:val="auto"/>
          <w:szCs w:val="21"/>
        </w:rPr>
      </w:pPr>
      <w:r>
        <w:rPr>
          <w:rFonts w:hint="eastAsia" w:hAnsi="宋体" w:eastAsia="宋体" w:cs="宋体"/>
          <w:color w:val="auto"/>
          <w:szCs w:val="21"/>
        </w:rPr>
        <w:t>（3）排名第一的</w:t>
      </w:r>
      <w:r>
        <w:rPr>
          <w:rFonts w:hint="eastAsia" w:hAnsi="宋体" w:eastAsia="宋体" w:cs="宋体"/>
          <w:color w:val="auto"/>
          <w:szCs w:val="21"/>
          <w:lang w:eastAsia="zh-CN"/>
        </w:rPr>
        <w:t>成交候选供应商</w:t>
      </w:r>
      <w:r>
        <w:rPr>
          <w:rFonts w:hint="eastAsia" w:hAnsi="宋体" w:eastAsia="宋体" w:cs="宋体"/>
          <w:color w:val="auto"/>
          <w:szCs w:val="21"/>
        </w:rPr>
        <w:t>放弃</w:t>
      </w:r>
      <w:r>
        <w:rPr>
          <w:rFonts w:hint="eastAsia" w:hAnsi="宋体" w:eastAsia="宋体" w:cs="宋体"/>
          <w:color w:val="auto"/>
          <w:szCs w:val="21"/>
          <w:lang w:eastAsia="zh-CN"/>
        </w:rPr>
        <w:t>成交</w:t>
      </w:r>
      <w:r>
        <w:rPr>
          <w:rFonts w:hint="eastAsia" w:hAnsi="宋体" w:eastAsia="宋体" w:cs="宋体"/>
          <w:color w:val="auto"/>
          <w:szCs w:val="21"/>
        </w:rPr>
        <w:t>、因不可抗力提出不能履行合同，或者</w:t>
      </w:r>
      <w:r>
        <w:rPr>
          <w:rFonts w:hint="eastAsia" w:hAnsi="宋体" w:eastAsia="宋体" w:cs="宋体"/>
          <w:color w:val="auto"/>
          <w:szCs w:val="21"/>
          <w:lang w:eastAsia="zh-CN"/>
        </w:rPr>
        <w:t>采购文件</w:t>
      </w:r>
      <w:r>
        <w:rPr>
          <w:rFonts w:hint="eastAsia" w:hAnsi="宋体" w:eastAsia="宋体" w:cs="宋体"/>
          <w:color w:val="auto"/>
          <w:szCs w:val="21"/>
        </w:rPr>
        <w:t>规定应当提交履约保证金而在规定的期限内未能提交的，</w:t>
      </w:r>
      <w:r>
        <w:rPr>
          <w:rFonts w:hint="eastAsia" w:hAnsi="宋体" w:eastAsia="宋体" w:cs="宋体"/>
          <w:color w:val="auto"/>
          <w:szCs w:val="21"/>
          <w:lang w:eastAsia="zh-CN"/>
        </w:rPr>
        <w:t>采购单位</w:t>
      </w:r>
      <w:r>
        <w:rPr>
          <w:rFonts w:hint="eastAsia" w:hAnsi="宋体" w:eastAsia="宋体" w:cs="宋体"/>
          <w:color w:val="auto"/>
          <w:szCs w:val="21"/>
        </w:rPr>
        <w:t>可以确定排名第二的</w:t>
      </w:r>
      <w:r>
        <w:rPr>
          <w:rFonts w:hint="eastAsia" w:hAnsi="宋体" w:eastAsia="宋体" w:cs="宋体"/>
          <w:color w:val="auto"/>
          <w:szCs w:val="21"/>
          <w:lang w:eastAsia="zh-CN"/>
        </w:rPr>
        <w:t>成交候选供应商</w:t>
      </w:r>
      <w:r>
        <w:rPr>
          <w:rFonts w:hint="eastAsia" w:hAnsi="宋体" w:eastAsia="宋体" w:cs="宋体"/>
          <w:color w:val="auto"/>
          <w:szCs w:val="21"/>
        </w:rPr>
        <w:t>为</w:t>
      </w:r>
      <w:r>
        <w:rPr>
          <w:rFonts w:hint="eastAsia" w:hAnsi="宋体" w:eastAsia="宋体" w:cs="宋体"/>
          <w:color w:val="auto"/>
          <w:szCs w:val="21"/>
          <w:lang w:eastAsia="zh-CN"/>
        </w:rPr>
        <w:t>成交供应商</w:t>
      </w:r>
      <w:r>
        <w:rPr>
          <w:rFonts w:hint="eastAsia" w:hAnsi="宋体" w:eastAsia="宋体" w:cs="宋体"/>
          <w:color w:val="auto"/>
          <w:szCs w:val="21"/>
        </w:rPr>
        <w:t>。</w:t>
      </w:r>
    </w:p>
    <w:p>
      <w:pPr>
        <w:pStyle w:val="23"/>
        <w:spacing w:line="440" w:lineRule="exact"/>
        <w:ind w:firstLine="420" w:firstLineChars="200"/>
        <w:rPr>
          <w:rFonts w:hint="eastAsia" w:hAnsi="宋体" w:eastAsia="宋体" w:cs="宋体"/>
          <w:color w:val="auto"/>
          <w:szCs w:val="21"/>
        </w:rPr>
      </w:pPr>
      <w:r>
        <w:rPr>
          <w:rFonts w:hint="eastAsia" w:hAnsi="宋体" w:eastAsia="宋体" w:cs="宋体"/>
          <w:color w:val="auto"/>
          <w:szCs w:val="21"/>
        </w:rPr>
        <w:t>（4）排名第二的</w:t>
      </w:r>
      <w:r>
        <w:rPr>
          <w:rFonts w:hint="eastAsia" w:hAnsi="宋体" w:eastAsia="宋体" w:cs="宋体"/>
          <w:color w:val="auto"/>
          <w:szCs w:val="21"/>
          <w:lang w:eastAsia="zh-CN"/>
        </w:rPr>
        <w:t>成交候选供应商</w:t>
      </w:r>
      <w:r>
        <w:rPr>
          <w:rFonts w:hint="eastAsia" w:hAnsi="宋体" w:eastAsia="宋体" w:cs="宋体"/>
          <w:color w:val="auto"/>
          <w:szCs w:val="21"/>
        </w:rPr>
        <w:t>因前款规定的同样原因不能签订合同的，</w:t>
      </w:r>
      <w:r>
        <w:rPr>
          <w:rFonts w:hint="eastAsia" w:hAnsi="宋体" w:eastAsia="宋体" w:cs="宋体"/>
          <w:color w:val="auto"/>
          <w:szCs w:val="21"/>
          <w:lang w:eastAsia="zh-CN"/>
        </w:rPr>
        <w:t>采购单位</w:t>
      </w:r>
      <w:r>
        <w:rPr>
          <w:rFonts w:hint="eastAsia" w:hAnsi="宋体" w:eastAsia="宋体" w:cs="宋体"/>
          <w:color w:val="auto"/>
          <w:szCs w:val="21"/>
        </w:rPr>
        <w:t>可以确定排名第三的</w:t>
      </w:r>
      <w:r>
        <w:rPr>
          <w:rFonts w:hint="eastAsia" w:hAnsi="宋体" w:eastAsia="宋体" w:cs="宋体"/>
          <w:color w:val="auto"/>
          <w:szCs w:val="21"/>
          <w:lang w:eastAsia="zh-CN"/>
        </w:rPr>
        <w:t>成交候选供应商</w:t>
      </w:r>
      <w:r>
        <w:rPr>
          <w:rFonts w:hint="eastAsia" w:hAnsi="宋体" w:eastAsia="宋体" w:cs="宋体"/>
          <w:color w:val="auto"/>
          <w:szCs w:val="21"/>
        </w:rPr>
        <w:t>为</w:t>
      </w:r>
      <w:r>
        <w:rPr>
          <w:rFonts w:hint="eastAsia" w:hAnsi="宋体" w:eastAsia="宋体" w:cs="宋体"/>
          <w:color w:val="auto"/>
          <w:szCs w:val="21"/>
          <w:lang w:eastAsia="zh-CN"/>
        </w:rPr>
        <w:t>成交供应商</w:t>
      </w:r>
      <w:r>
        <w:rPr>
          <w:rFonts w:hint="eastAsia" w:hAnsi="宋体" w:eastAsia="宋体" w:cs="宋体"/>
          <w:color w:val="auto"/>
          <w:szCs w:val="21"/>
        </w:rPr>
        <w:t>。</w:t>
      </w:r>
    </w:p>
    <w:p>
      <w:pPr>
        <w:pStyle w:val="23"/>
        <w:spacing w:line="440" w:lineRule="exact"/>
        <w:ind w:firstLine="420"/>
        <w:rPr>
          <w:color w:val="auto"/>
          <w:highlight w:val="none"/>
        </w:rPr>
      </w:pPr>
    </w:p>
    <w:p>
      <w:pPr>
        <w:ind w:firstLine="420"/>
        <w:rPr>
          <w:color w:val="auto"/>
          <w:highlight w:val="none"/>
        </w:rPr>
      </w:pPr>
    </w:p>
    <w:p>
      <w:pPr>
        <w:pStyle w:val="54"/>
        <w:ind w:left="420" w:firstLine="64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pStyle w:val="54"/>
        <w:ind w:left="0" w:leftChars="0" w:firstLine="0" w:firstLineChars="0"/>
        <w:rPr>
          <w:color w:val="auto"/>
          <w:highlight w:val="none"/>
        </w:rPr>
      </w:pPr>
    </w:p>
    <w:p>
      <w:pPr>
        <w:ind w:firstLine="643"/>
        <w:jc w:val="center"/>
        <w:rPr>
          <w:rFonts w:ascii="宋体" w:hAnsi="宋体"/>
          <w:b/>
          <w:color w:val="auto"/>
          <w:sz w:val="32"/>
          <w:szCs w:val="32"/>
          <w:highlight w:val="none"/>
        </w:rPr>
      </w:pPr>
      <w:r>
        <w:rPr>
          <w:rFonts w:hint="eastAsia" w:ascii="宋体" w:hAnsi="宋体" w:cs="宋体"/>
          <w:b/>
          <w:color w:val="auto"/>
          <w:sz w:val="32"/>
          <w:szCs w:val="32"/>
          <w:highlight w:val="none"/>
        </w:rPr>
        <w:t>第五章</w:t>
      </w:r>
      <w:r>
        <w:rPr>
          <w:rFonts w:hint="eastAsia" w:ascii="宋体" w:hAnsi="宋体"/>
          <w:b/>
          <w:bCs/>
          <w:color w:val="auto"/>
          <w:kern w:val="44"/>
          <w:sz w:val="36"/>
          <w:szCs w:val="44"/>
          <w:highlight w:val="none"/>
        </w:rPr>
        <w:t xml:space="preserve">  </w:t>
      </w:r>
      <w:r>
        <w:rPr>
          <w:rFonts w:hint="eastAsia" w:ascii="宋体" w:hAnsi="宋体" w:cs="宋体"/>
          <w:b/>
          <w:color w:val="auto"/>
          <w:sz w:val="32"/>
          <w:szCs w:val="32"/>
          <w:highlight w:val="none"/>
        </w:rPr>
        <w:t>采购合同（合同主要条款及格式）</w:t>
      </w:r>
    </w:p>
    <w:p>
      <w:pPr>
        <w:spacing w:before="0" w:after="0" w:line="400" w:lineRule="exact"/>
        <w:ind w:firstLine="0" w:firstLineChars="0"/>
        <w:rPr>
          <w:rFonts w:ascii="宋体" w:hAnsi="宋体" w:cs="宋体"/>
          <w:color w:val="auto"/>
          <w:highlight w:val="none"/>
        </w:rPr>
      </w:pPr>
      <w:r>
        <w:rPr>
          <w:rFonts w:hint="eastAsia" w:ascii="宋体" w:hAnsi="宋体" w:cs="宋体"/>
          <w:color w:val="auto"/>
          <w:highlight w:val="none"/>
        </w:rPr>
        <w:t>项目名称：</w:t>
      </w:r>
    </w:p>
    <w:p>
      <w:pPr>
        <w:spacing w:before="0" w:after="0" w:line="400" w:lineRule="exact"/>
        <w:ind w:firstLine="0" w:firstLineChars="0"/>
        <w:rPr>
          <w:rFonts w:ascii="宋体" w:hAnsi="宋体" w:cs="宋体"/>
          <w:color w:val="auto"/>
          <w:highlight w:val="none"/>
        </w:rPr>
      </w:pPr>
      <w:r>
        <w:rPr>
          <w:rFonts w:hint="eastAsia" w:ascii="宋体" w:hAnsi="宋体" w:cs="宋体"/>
          <w:color w:val="auto"/>
          <w:highlight w:val="none"/>
        </w:rPr>
        <w:t>项目编号：</w:t>
      </w:r>
    </w:p>
    <w:p>
      <w:pPr>
        <w:spacing w:before="0" w:after="0" w:line="400" w:lineRule="exact"/>
        <w:ind w:firstLine="0" w:firstLineChars="0"/>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 xml:space="preserve">                                                      </w:t>
      </w:r>
      <w:r>
        <w:rPr>
          <w:rFonts w:hint="eastAsia" w:ascii="宋体" w:hAnsi="宋体" w:cs="宋体"/>
          <w:color w:val="auto"/>
          <w:highlight w:val="none"/>
        </w:rPr>
        <w:t>（采购人）</w:t>
      </w:r>
    </w:p>
    <w:p>
      <w:pPr>
        <w:spacing w:before="0" w:after="0" w:line="400" w:lineRule="exact"/>
        <w:ind w:firstLine="0" w:firstLineChars="0"/>
        <w:rPr>
          <w:rFonts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highlight w:val="none"/>
        </w:rPr>
        <w:t>（成交供应商）</w:t>
      </w:r>
    </w:p>
    <w:p>
      <w:pPr>
        <w:spacing w:before="0" w:after="0" w:line="400" w:lineRule="exact"/>
        <w:ind w:firstLine="0" w:firstLineChars="0"/>
        <w:rPr>
          <w:rFonts w:ascii="宋体" w:hAnsi="宋体" w:cs="宋体"/>
          <w:color w:val="auto"/>
          <w:highlight w:val="none"/>
        </w:rPr>
      </w:pPr>
    </w:p>
    <w:p>
      <w:pPr>
        <w:spacing w:before="0" w:after="0" w:line="400" w:lineRule="exact"/>
        <w:ind w:firstLine="420"/>
        <w:rPr>
          <w:rFonts w:ascii="宋体" w:hAnsi="宋体" w:cs="宋体"/>
          <w:color w:val="auto"/>
          <w:highlight w:val="none"/>
        </w:rPr>
      </w:pPr>
      <w:r>
        <w:rPr>
          <w:rFonts w:hint="eastAsia" w:ascii="宋体" w:hAnsi="宋体" w:cs="宋体"/>
          <w:color w:val="auto"/>
          <w:highlight w:val="none"/>
        </w:rPr>
        <w:t>根据《中华人民共和国政府采购法》、《中华人民共和国政府采购法实施条例》、《中华人民共和国合同法》等法律、法规规定，按照竞争性磋商文件（以下简称磋商文件）、响应文件规定条款和成交供应商的承诺、甲乙双方签订本采购合同。</w:t>
      </w:r>
    </w:p>
    <w:p>
      <w:pPr>
        <w:numPr>
          <w:ilvl w:val="0"/>
          <w:numId w:val="8"/>
        </w:numPr>
        <w:spacing w:before="0" w:after="0" w:line="400" w:lineRule="exact"/>
        <w:ind w:firstLineChars="0"/>
        <w:rPr>
          <w:rFonts w:ascii="宋体" w:hAnsi="宋体" w:cs="宋体"/>
          <w:b/>
          <w:color w:val="auto"/>
          <w:szCs w:val="21"/>
          <w:highlight w:val="none"/>
        </w:rPr>
      </w:pPr>
      <w:r>
        <w:rPr>
          <w:rFonts w:hint="eastAsia" w:ascii="宋体" w:hAnsi="宋体" w:cs="宋体"/>
          <w:b/>
          <w:color w:val="auto"/>
          <w:szCs w:val="21"/>
          <w:highlight w:val="none"/>
        </w:rPr>
        <w:t>合同标的及合同金额</w:t>
      </w:r>
    </w:p>
    <w:tbl>
      <w:tblPr>
        <w:tblStyle w:val="4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项号</w:t>
            </w:r>
          </w:p>
        </w:tc>
        <w:tc>
          <w:tcPr>
            <w:tcW w:w="1232"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1445"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30"/>
              </w:rPr>
              <w:t>厂家、品牌、规格型号</w:t>
            </w:r>
          </w:p>
        </w:tc>
        <w:tc>
          <w:tcPr>
            <w:tcW w:w="1483"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技术参数、性能、配置</w:t>
            </w:r>
          </w:p>
        </w:tc>
        <w:tc>
          <w:tcPr>
            <w:tcW w:w="1073"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数量</w:t>
            </w:r>
          </w:p>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①</w:t>
            </w:r>
          </w:p>
        </w:tc>
        <w:tc>
          <w:tcPr>
            <w:tcW w:w="714"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545"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单价（元）</w:t>
            </w:r>
          </w:p>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②</w:t>
            </w:r>
          </w:p>
        </w:tc>
        <w:tc>
          <w:tcPr>
            <w:tcW w:w="1741" w:type="dxa"/>
            <w:noWrap w:val="0"/>
            <w:vAlign w:val="center"/>
          </w:tcPr>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b/>
                <w:color w:val="auto"/>
                <w:szCs w:val="21"/>
              </w:rPr>
              <w:t>单项合计金额</w:t>
            </w:r>
            <w:r>
              <w:rPr>
                <w:rFonts w:hint="eastAsia" w:ascii="宋体" w:hAnsi="宋体" w:eastAsia="宋体" w:cs="宋体"/>
                <w:color w:val="auto"/>
                <w:szCs w:val="21"/>
              </w:rPr>
              <w:t>（元）</w:t>
            </w:r>
          </w:p>
          <w:p>
            <w:pPr>
              <w:snapToGrid w:val="0"/>
              <w:spacing w:before="0" w:after="0" w:line="2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pacing w:before="0" w:after="0"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32"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4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483"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073"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714"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5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741"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noWrap w:val="0"/>
            <w:vAlign w:val="center"/>
          </w:tcPr>
          <w:p>
            <w:pPr>
              <w:spacing w:before="0" w:after="0"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232"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4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483"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073"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714"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5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741"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pacing w:before="0" w:after="0"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232"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4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483"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073"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714"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5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741"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pacing w:before="0" w:after="0"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N</w:t>
            </w:r>
          </w:p>
        </w:tc>
        <w:tc>
          <w:tcPr>
            <w:tcW w:w="1232"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4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483"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073"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714"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5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741"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pacing w:before="0" w:after="0"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50</w:t>
            </w:r>
          </w:p>
        </w:tc>
        <w:tc>
          <w:tcPr>
            <w:tcW w:w="1232"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4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483"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073"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714" w:type="dxa"/>
            <w:noWrap w:val="0"/>
            <w:vAlign w:val="center"/>
          </w:tcPr>
          <w:p>
            <w:pPr>
              <w:spacing w:before="0" w:after="0" w:line="240" w:lineRule="auto"/>
              <w:ind w:firstLine="0" w:firstLineChars="0"/>
              <w:jc w:val="center"/>
              <w:rPr>
                <w:rFonts w:hint="eastAsia" w:ascii="宋体" w:hAnsi="宋体" w:eastAsia="宋体" w:cs="宋体"/>
                <w:color w:val="auto"/>
                <w:szCs w:val="21"/>
              </w:rPr>
            </w:pPr>
          </w:p>
        </w:tc>
        <w:tc>
          <w:tcPr>
            <w:tcW w:w="1545"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c>
          <w:tcPr>
            <w:tcW w:w="1741"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noWrap w:val="0"/>
            <w:vAlign w:val="center"/>
          </w:tcPr>
          <w:p>
            <w:pPr>
              <w:snapToGrid w:val="0"/>
              <w:spacing w:before="0" w:after="0" w:line="360" w:lineRule="auto"/>
              <w:ind w:firstLine="0" w:firstLineChars="0"/>
              <w:rPr>
                <w:rFonts w:hint="eastAsia" w:ascii="宋体" w:hAnsi="宋体" w:eastAsia="宋体" w:cs="宋体"/>
                <w:color w:val="auto"/>
                <w:szCs w:val="21"/>
              </w:rPr>
            </w:pPr>
            <w:r>
              <w:rPr>
                <w:rFonts w:hint="eastAsia" w:ascii="宋体" w:hAnsi="宋体" w:eastAsia="宋体" w:cs="宋体"/>
                <w:color w:val="auto"/>
                <w:szCs w:val="21"/>
              </w:rPr>
              <w:t xml:space="preserve">                                                         合   计</w:t>
            </w:r>
          </w:p>
        </w:tc>
        <w:tc>
          <w:tcPr>
            <w:tcW w:w="1741" w:type="dxa"/>
            <w:noWrap w:val="0"/>
            <w:vAlign w:val="center"/>
          </w:tcPr>
          <w:p>
            <w:pPr>
              <w:snapToGrid w:val="0"/>
              <w:spacing w:before="0" w:after="0" w:line="360" w:lineRule="auto"/>
              <w:ind w:firstLine="0" w:firstLineChars="0"/>
              <w:rPr>
                <w:rFonts w:hint="eastAsia" w:ascii="宋体" w:hAnsi="宋体" w:eastAsia="宋体" w:cs="宋体"/>
                <w:color w:val="auto"/>
                <w:szCs w:val="21"/>
              </w:rPr>
            </w:pPr>
          </w:p>
        </w:tc>
      </w:tr>
    </w:tbl>
    <w:p>
      <w:pPr>
        <w:keepNext w:val="0"/>
        <w:keepLines w:val="0"/>
        <w:pageBreakBefore w:val="0"/>
        <w:widowControl w:val="0"/>
        <w:kinsoku/>
        <w:wordWrap/>
        <w:overflowPunct/>
        <w:topLinePunct w:val="0"/>
        <w:autoSpaceDE/>
        <w:autoSpaceDN/>
        <w:bidi w:val="0"/>
        <w:adjustRightInd/>
        <w:snapToGrid/>
        <w:spacing w:before="0" w:after="0" w:line="400" w:lineRule="exact"/>
        <w:ind w:firstLine="411" w:firstLineChars="196"/>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0" w:after="0" w:line="4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根据《成交通知书》的成交内容，合同的总金额为：（大写）</w:t>
      </w:r>
      <w:r>
        <w:rPr>
          <w:rFonts w:hint="eastAsia" w:ascii="宋体" w:hAnsi="宋体" w:cs="宋体"/>
          <w:color w:val="auto"/>
          <w:szCs w:val="21"/>
          <w:highlight w:val="none"/>
          <w:u w:val="single"/>
        </w:rPr>
        <w:t>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w:t>
      </w:r>
      <w:r>
        <w:rPr>
          <w:rFonts w:hint="eastAsia" w:ascii="宋体" w:hAnsi="宋体" w:cs="宋体"/>
          <w:color w:val="auto"/>
          <w:szCs w:val="21"/>
          <w:highlight w:val="none"/>
        </w:rPr>
        <w:t>元）</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第二条  质量保证</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乙方应按响应文件承诺的货物型号、技术规格、技术参数、性能、配置、质量标准向甲方提供未经使用的全新原装产品，且在正常安装、使用和保养条件下，其使用寿命期内各项指标均达到质量标准。乙方提供的节能和环境标志产品必须是列入现行政府采购清单目录内的产品。</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（1）更换：由乙方承担所有发生的全部费用。</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（2）贬值处理：由甲乙双方合议定价。</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（3）退货处理：乙方应退还甲方支付的合同款，同时应承担该货物的直接费用（运输、保险、检验、贷款利息及银行手续费等）。</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第三条  权力保证</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乙方应保证所提供货物在使用时不会侵犯任何第三方的专利权、商标权、工业设计权或其他权利。</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乙方应按</w:t>
      </w:r>
      <w:r>
        <w:rPr>
          <w:rFonts w:hint="eastAsia" w:ascii="宋体" w:hAnsi="宋体" w:cs="宋体"/>
          <w:color w:val="auto"/>
          <w:highlight w:val="none"/>
          <w:lang w:eastAsia="zh-CN"/>
        </w:rPr>
        <w:t>磋商</w:t>
      </w:r>
      <w:r>
        <w:rPr>
          <w:rFonts w:hint="eastAsia" w:ascii="宋体" w:hAnsi="宋体" w:cs="宋体"/>
          <w:color w:val="auto"/>
          <w:highlight w:val="none"/>
        </w:rPr>
        <w:t>文件规定的时间向甲方提供使用货物的有关技术资料。</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乙方保证所交付的货物的所有权完全属于乙方且无任何抵押、质押、查封等产权瑕疵。</w:t>
      </w:r>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第四条  货物包装、运输</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乙方应在货物发运前对其进行满足运输距离、防潮、防震、防锈和防破损装卸等要求包装，以保证货物安全运达甲方指定地点。</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使用说明书（货物属于进口产品的，供货时应同时附上中文使用说明书）、质量检验证明书、随配附</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件和工具以及清单一并附于货物内。</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乙方在货物发运手续办理完毕后二十四小时内或货到甲方四十八小时前通知甲方，以准备接货。</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4. 货物在交付甲方前发生的风险均由乙方负责。</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第五条  交付</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交付时间：</w:t>
      </w:r>
      <w:r>
        <w:rPr>
          <w:rFonts w:hint="eastAsia" w:ascii="宋体" w:hAnsi="宋体" w:cs="宋体"/>
          <w:color w:val="auto"/>
          <w:highlight w:val="none"/>
          <w:u w:val="single"/>
        </w:rPr>
        <w:t xml:space="preserve">                 </w:t>
      </w:r>
      <w:r>
        <w:rPr>
          <w:rFonts w:hint="eastAsia" w:ascii="宋体" w:hAnsi="宋体" w:cs="宋体"/>
          <w:color w:val="auto"/>
          <w:highlight w:val="none"/>
        </w:rPr>
        <w:t>；交付地点：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乙方提供不符合</w:t>
      </w:r>
      <w:r>
        <w:rPr>
          <w:rFonts w:hint="eastAsia" w:ascii="宋体" w:hAnsi="宋体" w:cs="宋体"/>
          <w:color w:val="auto"/>
          <w:highlight w:val="none"/>
          <w:lang w:eastAsia="zh-CN"/>
        </w:rPr>
        <w:t>磋商</w:t>
      </w:r>
      <w:r>
        <w:rPr>
          <w:rFonts w:hint="eastAsia" w:ascii="宋体" w:hAnsi="宋体" w:cs="宋体"/>
          <w:color w:val="auto"/>
          <w:highlight w:val="none"/>
        </w:rPr>
        <w:t>文件、响应文件和本合同规定的货物，甲方有权拒绝接受。</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left="413"/>
        <w:rPr>
          <w:rFonts w:hint="eastAsia" w:ascii="宋体" w:hAnsi="宋体" w:eastAsia="宋体" w:cs="宋体"/>
          <w:b/>
          <w:color w:val="auto"/>
          <w:szCs w:val="21"/>
        </w:rPr>
      </w:pPr>
      <w:r>
        <w:rPr>
          <w:rFonts w:hint="eastAsia" w:ascii="宋体" w:hAnsi="宋体" w:eastAsia="宋体" w:cs="宋体"/>
          <w:b/>
          <w:color w:val="auto"/>
          <w:szCs w:val="21"/>
        </w:rPr>
        <w:t>第六条  调试和验收</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乙方交货前应对产品做出全面的检查和对验收文件进行整理，并列出清单，作为甲方验收和使用的技术条件依据，验收的结果应随货物交甲方。</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货物安装调试完成后，甲方应在七个工作日内依据</w:t>
      </w:r>
      <w:r>
        <w:rPr>
          <w:rFonts w:hint="eastAsia" w:ascii="宋体" w:hAnsi="宋体" w:cs="宋体"/>
          <w:color w:val="auto"/>
          <w:highlight w:val="none"/>
          <w:lang w:eastAsia="zh-CN"/>
        </w:rPr>
        <w:t>磋商</w:t>
      </w:r>
      <w:r>
        <w:rPr>
          <w:rFonts w:hint="eastAsia" w:ascii="宋体" w:hAnsi="宋体" w:cs="宋体"/>
          <w:color w:val="auto"/>
          <w:highlight w:val="none"/>
        </w:rPr>
        <w:t>文件、响应文件的技术规格要求及承诺和国家有关质量标准对货物进行现场验收，验收合格后由甲乙双方签署货物验收单并加盖公章，甲乙双方各执一份。</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甲方对乙方提供的货物在使用前进行调试时，乙方需负责安装并培训甲方的使用操作人员，并协助甲方一起调试，直到符合技术要求，甲方才做最终验收。</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4.对技术复杂的货物，甲方应请国家认可的专业检测机构参与初步验收及最终验收，并由其出具质量检测报告。</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5. 验收时乙方必须在现场，验收完毕后作出验收结果报告，验收费用由乙方负责。</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6. 甲方对验收有异议的，在验收后五个工作日内以书面形式向乙方提出，乙方应自收到甲方书面异议后　　　日内及时予以解决。</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第七条  安装和培训</w:t>
      </w:r>
    </w:p>
    <w:p>
      <w:pPr>
        <w:spacing w:before="0" w:after="0" w:line="400" w:lineRule="exact"/>
        <w:ind w:firstLine="420"/>
        <w:rPr>
          <w:rFonts w:hint="eastAsia" w:ascii="宋体" w:hAnsi="宋体" w:cs="宋体"/>
          <w:color w:val="auto"/>
          <w:highlight w:val="none"/>
        </w:rPr>
      </w:pPr>
      <w:r>
        <w:rPr>
          <w:rFonts w:hint="eastAsia" w:ascii="宋体" w:hAnsi="宋体" w:eastAsia="宋体" w:cs="宋体"/>
          <w:color w:val="auto"/>
          <w:szCs w:val="21"/>
        </w:rPr>
        <w:t xml:space="preserve"> </w:t>
      </w:r>
      <w:r>
        <w:rPr>
          <w:rFonts w:hint="eastAsia" w:ascii="宋体" w:hAnsi="宋体" w:cs="宋体"/>
          <w:color w:val="auto"/>
          <w:highlight w:val="none"/>
        </w:rPr>
        <w:t>1. 甲方应提供必要安装条件（如场地、电源、水源等）。</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 xml:space="preserve"> 2. 乙方负责甲方有关人员的培训。培训时间、地点：</w:t>
      </w:r>
      <w:r>
        <w:rPr>
          <w:rFonts w:hint="eastAsia" w:ascii="宋体" w:hAnsi="宋体" w:cs="宋体"/>
          <w:color w:val="auto"/>
          <w:highlight w:val="none"/>
          <w:u w:val="single"/>
        </w:rPr>
        <w:t>采购人指定时间地点</w:t>
      </w:r>
      <w:r>
        <w:rPr>
          <w:rFonts w:hint="eastAsia" w:ascii="宋体" w:hAnsi="宋体" w:cs="宋体"/>
          <w:color w:val="auto"/>
          <w:highlight w:val="none"/>
        </w:rPr>
        <w:t>。</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第八条  售后服务</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乙方应按照国家有关法律规定和“三包”规定以及响应文件和本合同所附的《服务承诺》，为甲方提供售后服务。</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如在使用过程中发生质量问题，乙方在接到甲方通知后在响应文件承诺的时间内到达甲方现场处理。</w:t>
      </w:r>
    </w:p>
    <w:p>
      <w:pPr>
        <w:spacing w:before="0" w:after="0" w:line="400" w:lineRule="exact"/>
        <w:ind w:firstLine="420"/>
        <w:rPr>
          <w:rFonts w:hint="eastAsia" w:ascii="宋体" w:hAnsi="宋体" w:eastAsia="宋体" w:cs="宋体"/>
          <w:color w:val="auto"/>
          <w:szCs w:val="21"/>
        </w:rPr>
      </w:pPr>
      <w:r>
        <w:rPr>
          <w:rFonts w:hint="eastAsia" w:ascii="宋体" w:hAnsi="宋体" w:cs="宋体"/>
          <w:color w:val="auto"/>
          <w:highlight w:val="none"/>
        </w:rPr>
        <w:t>3. 在质保期内，乙方应对货物出现的质量及安全问题负责处理解决并承担一切费用。</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第九条  税费</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第十条  付款方式</w:t>
      </w:r>
    </w:p>
    <w:p>
      <w:pPr>
        <w:spacing w:line="400" w:lineRule="exact"/>
        <w:ind w:firstLine="411" w:firstLineChars="196"/>
        <w:rPr>
          <w:rFonts w:hint="eastAsia" w:ascii="宋体" w:hAnsi="宋体" w:cs="宋体"/>
          <w:kern w:val="0"/>
          <w:szCs w:val="21"/>
        </w:rPr>
      </w:pPr>
      <w:r>
        <w:rPr>
          <w:rFonts w:hint="eastAsia" w:ascii="宋体" w:hAnsi="宋体" w:cs="宋体"/>
          <w:kern w:val="0"/>
          <w:szCs w:val="21"/>
          <w:lang w:eastAsia="zh-CN"/>
        </w:rPr>
        <w:t>甲乙双方签订合同后甲方即付合同金额的</w:t>
      </w:r>
      <w:r>
        <w:rPr>
          <w:rFonts w:hint="eastAsia" w:ascii="宋体" w:hAnsi="宋体" w:cs="宋体"/>
          <w:kern w:val="0"/>
          <w:szCs w:val="21"/>
          <w:lang w:val="en-US" w:eastAsia="zh-CN"/>
        </w:rPr>
        <w:t>30%，余款70%验收合格后一次性付清，履约保证金转为产品质保金，质保期满后质保金退回（无息）</w:t>
      </w:r>
      <w:r>
        <w:rPr>
          <w:rFonts w:hint="eastAsia" w:ascii="宋体" w:hAnsi="宋体" w:cs="宋体"/>
          <w:kern w:val="0"/>
          <w:szCs w:val="21"/>
        </w:rPr>
        <w:t>。</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第十一条  违约责任</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乙方所提供的货物规格、技术标准、材料等质量不合格的，应及时更换，更换不及时的按逾期交货处罚，乙方应向甲方支付合同金额</w:t>
      </w:r>
      <w:r>
        <w:rPr>
          <w:rFonts w:hint="eastAsia" w:ascii="宋体" w:hAnsi="宋体" w:cs="宋体"/>
          <w:color w:val="auto"/>
          <w:highlight w:val="none"/>
          <w:u w:val="single"/>
        </w:rPr>
        <w:t>　5　</w:t>
      </w:r>
      <w:r>
        <w:rPr>
          <w:rFonts w:hint="eastAsia" w:ascii="宋体" w:hAnsi="宋体" w:cs="宋体"/>
          <w:color w:val="auto"/>
          <w:highlight w:val="none"/>
        </w:rPr>
        <w:t>%违约金并赔偿甲方经济损失。</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乙方提供的货物如果侵犯了第三方合法权益而引发的任何纠纷或诉讼，均由乙方负责交涉并承担全部责任。</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因包装、运输引起的货物损坏，按质量不合格处理。</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 乙方未按本合同和响应文件中规定的服务承诺提供售后服务的，乙方应按本合同合同金额　5　%向甲方支付违约金。</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 乙方提供的货物在质保期内，因设计、工艺或材料的缺陷和其他质量原因造成的问题，由乙方负责，费用从质量保证金中扣除，不足另补。</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 其他违约行为按违约货款额</w:t>
      </w:r>
      <w:r>
        <w:rPr>
          <w:rFonts w:hint="eastAsia" w:ascii="宋体" w:hAnsi="宋体" w:cs="宋体"/>
          <w:color w:val="auto"/>
          <w:highlight w:val="none"/>
          <w:u w:val="single"/>
        </w:rPr>
        <w:t>　5　</w:t>
      </w:r>
      <w:r>
        <w:rPr>
          <w:rFonts w:hint="eastAsia" w:ascii="宋体" w:hAnsi="宋体" w:cs="宋体"/>
          <w:color w:val="auto"/>
          <w:highlight w:val="none"/>
        </w:rPr>
        <w:t>%收取违约金并赔偿经济损失。</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第十二条  不可抗力事件处理</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在合同有效期内，乙方因不可抗力事件导致不能履行合同，则合同履行期可延长，其延长期与不可抗力影响期相同。</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不可抗力事件发生后，应立即通知对方，并寄送有关权威机构出具的证明。</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不可抗力事件延续一百二十天以上，双方应通过友好协商，确定是否继续履行合同。</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第十三条  合同争议解决</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因货物质量问题发生争议的，应邀请国家认可的质量检测机构对货物质量进行鉴定。货物符合标准的，鉴定费由甲方承担；货物不符合标准的，鉴定费由乙方承担。</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因履行本合同引起的或与本合同有关的争议，甲乙双方应首先通过友好协商解决，如果协商不能解决，可向项目所在地辖区人民法院提起诉讼。</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诉讼期间，本合同继续履行。</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第十四条  合同生效及其它</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合同经甲乙双方法定代表人、负责人、自然人或相应的授权代表签字并加盖单位公章后生效。</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合同执行中涉及采购资金和采购内容修改或补充的，需经</w:t>
      </w:r>
      <w:r>
        <w:rPr>
          <w:rFonts w:hint="eastAsia" w:ascii="宋体" w:hAnsi="宋体" w:cs="宋体"/>
          <w:color w:val="auto"/>
          <w:highlight w:val="none"/>
          <w:lang w:eastAsia="zh-CN"/>
        </w:rPr>
        <w:t>灌阳县</w:t>
      </w:r>
      <w:r>
        <w:rPr>
          <w:rFonts w:hint="eastAsia" w:ascii="宋体" w:hAnsi="宋体" w:cs="宋体"/>
          <w:color w:val="auto"/>
          <w:highlight w:val="none"/>
        </w:rPr>
        <w:t>财政部门审批，并签订书面补充协议</w:t>
      </w:r>
      <w:r>
        <w:rPr>
          <w:rFonts w:hint="eastAsia" w:ascii="宋体" w:hAnsi="宋体" w:cs="宋体"/>
          <w:color w:val="auto"/>
          <w:highlight w:val="none"/>
          <w:lang w:eastAsia="zh-CN"/>
        </w:rPr>
        <w:t>报灌阳</w:t>
      </w:r>
      <w:r>
        <w:rPr>
          <w:rFonts w:hint="eastAsia" w:ascii="宋体" w:hAnsi="宋体" w:cs="宋体"/>
          <w:color w:val="auto"/>
          <w:highlight w:val="none"/>
        </w:rPr>
        <w:t>人民政府采购管理办公室备案，方可作为主合同不可分割的一部分。</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本合同未尽事宜，遵照《合同法》有关条文执行。</w:t>
      </w:r>
    </w:p>
    <w:p>
      <w:pPr>
        <w:spacing w:line="400" w:lineRule="exact"/>
        <w:ind w:firstLine="411" w:firstLineChars="196"/>
        <w:rPr>
          <w:rFonts w:hint="eastAsia" w:ascii="宋体" w:hAnsi="宋体" w:eastAsia="宋体" w:cs="宋体"/>
          <w:b/>
          <w:color w:val="auto"/>
          <w:szCs w:val="21"/>
        </w:rPr>
      </w:pPr>
      <w:r>
        <w:rPr>
          <w:rFonts w:hint="eastAsia" w:ascii="宋体" w:hAnsi="宋体" w:eastAsia="宋体" w:cs="宋体"/>
          <w:b/>
          <w:color w:val="auto"/>
          <w:szCs w:val="21"/>
        </w:rPr>
        <w:t>第十五条  合同的变更、终止与转让</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除《中华人民共和国政府采购法》第五十条规定的情形外，本合同一经签订，甲乙双方不得擅自变更，中止或终止。</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乙方不得擅自转让其应履行的合同义务。</w:t>
      </w:r>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第十六条  签订本合同依据：</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1. 竞争性</w:t>
      </w:r>
      <w:r>
        <w:rPr>
          <w:rFonts w:hint="eastAsia" w:ascii="宋体" w:hAnsi="宋体" w:cs="宋体"/>
          <w:color w:val="auto"/>
          <w:highlight w:val="none"/>
          <w:lang w:eastAsia="zh-CN"/>
        </w:rPr>
        <w:t>磋商采购</w:t>
      </w:r>
      <w:r>
        <w:rPr>
          <w:rFonts w:hint="eastAsia" w:ascii="宋体" w:hAnsi="宋体" w:cs="宋体"/>
          <w:color w:val="auto"/>
          <w:highlight w:val="none"/>
        </w:rPr>
        <w:t>文件；</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2. 乙方提供的响应（或应答）文件；</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3. 售后服务承诺书；</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 xml:space="preserve">4. </w:t>
      </w:r>
      <w:r>
        <w:rPr>
          <w:rFonts w:hint="eastAsia" w:ascii="宋体" w:hAnsi="宋体" w:cs="宋体"/>
          <w:color w:val="auto"/>
          <w:highlight w:val="none"/>
          <w:lang w:eastAsia="zh-CN"/>
        </w:rPr>
        <w:t>磋商</w:t>
      </w:r>
      <w:r>
        <w:rPr>
          <w:rFonts w:hint="eastAsia" w:ascii="宋体" w:hAnsi="宋体" w:cs="宋体"/>
          <w:color w:val="auto"/>
          <w:highlight w:val="none"/>
        </w:rPr>
        <w:t>中的</w:t>
      </w:r>
      <w:r>
        <w:rPr>
          <w:rFonts w:hint="eastAsia" w:ascii="宋体" w:hAnsi="宋体" w:cs="宋体"/>
          <w:color w:val="auto"/>
          <w:highlight w:val="none"/>
          <w:lang w:eastAsia="zh-CN"/>
        </w:rPr>
        <w:t>磋商</w:t>
      </w:r>
      <w:r>
        <w:rPr>
          <w:rFonts w:hint="eastAsia" w:ascii="宋体" w:hAnsi="宋体" w:cs="宋体"/>
          <w:color w:val="auto"/>
          <w:highlight w:val="none"/>
        </w:rPr>
        <w:t>记录；</w:t>
      </w:r>
    </w:p>
    <w:p>
      <w:pPr>
        <w:spacing w:before="0" w:after="0" w:line="400" w:lineRule="exact"/>
        <w:ind w:firstLine="420"/>
        <w:rPr>
          <w:rFonts w:hint="eastAsia" w:ascii="宋体" w:hAnsi="宋体" w:cs="宋体"/>
          <w:color w:val="auto"/>
          <w:highlight w:val="none"/>
        </w:rPr>
      </w:pPr>
      <w:r>
        <w:rPr>
          <w:rFonts w:hint="eastAsia" w:ascii="宋体" w:hAnsi="宋体" w:cs="宋体"/>
          <w:color w:val="auto"/>
          <w:highlight w:val="none"/>
        </w:rPr>
        <w:t>5. 成交通知书。</w:t>
      </w:r>
    </w:p>
    <w:p>
      <w:pPr>
        <w:spacing w:line="400" w:lineRule="exact"/>
        <w:ind w:firstLine="420" w:firstLineChars="200"/>
        <w:rPr>
          <w:rFonts w:hint="eastAsia" w:ascii="宋体" w:hAnsi="宋体" w:eastAsia="宋体" w:cs="宋体"/>
          <w:color w:val="auto"/>
          <w:szCs w:val="21"/>
        </w:rPr>
      </w:pPr>
    </w:p>
    <w:p>
      <w:pPr>
        <w:spacing w:before="0" w:after="0" w:line="400" w:lineRule="exact"/>
        <w:ind w:firstLine="420"/>
        <w:rPr>
          <w:rFonts w:ascii="宋体" w:hAnsi="宋体" w:cs="宋体"/>
          <w:color w:val="auto"/>
          <w:szCs w:val="21"/>
          <w:highlight w:val="none"/>
        </w:rPr>
      </w:pPr>
      <w:r>
        <w:rPr>
          <w:rFonts w:hint="eastAsia" w:ascii="宋体" w:hAnsi="宋体" w:eastAsia="宋体" w:cs="宋体"/>
          <w:color w:val="auto"/>
          <w:szCs w:val="21"/>
        </w:rPr>
        <w:t>本合同甲乙双方签字盖章后生效，一式四份，具有同等法律效力，甲、乙双方各一份。</w:t>
      </w:r>
      <w:r>
        <w:rPr>
          <w:rFonts w:hint="eastAsia" w:ascii="宋体" w:hAnsi="宋体" w:eastAsia="宋体" w:cs="宋体"/>
          <w:color w:val="auto"/>
        </w:rPr>
        <w:t>政府采购合同双方自签订之日起1个工作日内将合同原件两份交采购代理机构。采购代理机构将政府采购合同在省级以上人民政府财政部门指定媒体上公告并于合同签订之日起7个工作日内将一份合同原件送采购代理机构存档。</w:t>
      </w:r>
      <w:r>
        <w:rPr>
          <w:rFonts w:hint="eastAsia" w:ascii="宋体" w:hAnsi="宋体" w:cs="宋体"/>
          <w:color w:val="auto"/>
          <w:szCs w:val="21"/>
          <w:highlight w:val="none"/>
        </w:rPr>
        <w:t xml:space="preserve"> </w:t>
      </w:r>
    </w:p>
    <w:p>
      <w:pPr>
        <w:tabs>
          <w:tab w:val="left" w:pos="4320"/>
          <w:tab w:val="left" w:pos="4500"/>
        </w:tabs>
        <w:spacing w:before="0" w:after="0" w:line="400" w:lineRule="exact"/>
        <w:ind w:firstLine="0" w:firstLineChars="0"/>
        <w:rPr>
          <w:rFonts w:ascii="宋体" w:hAnsi="宋体" w:cs="宋体"/>
          <w:color w:val="auto"/>
          <w:szCs w:val="21"/>
          <w:highlight w:val="none"/>
          <w:u w:val="single"/>
        </w:rPr>
      </w:pPr>
      <w:r>
        <w:rPr>
          <w:rFonts w:hint="eastAsia" w:ascii="宋体" w:hAnsi="宋体" w:cs="宋体"/>
          <w:color w:val="auto"/>
          <w:szCs w:val="21"/>
          <w:highlight w:val="none"/>
        </w:rPr>
        <w:t>甲方名称（公章）：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乙方（公章，自然人除外）：</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before="0" w:after="0" w:line="400" w:lineRule="exact"/>
        <w:ind w:left="4620" w:hanging="4620" w:hangingChars="2200"/>
        <w:rPr>
          <w:rFonts w:ascii="宋体" w:hAnsi="宋体" w:cs="宋体"/>
          <w:color w:val="auto"/>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highlight w:val="none"/>
        </w:rPr>
        <w:t>法定代表人（负责人、自然人）签字</w:t>
      </w:r>
    </w:p>
    <w:p>
      <w:pPr>
        <w:spacing w:before="0" w:after="0" w:line="400" w:lineRule="exact"/>
        <w:ind w:left="4620" w:leftChars="2200" w:firstLine="105" w:firstLineChars="50"/>
        <w:rPr>
          <w:rFonts w:ascii="宋体" w:hAnsi="宋体" w:cs="宋体"/>
          <w:color w:val="auto"/>
          <w:szCs w:val="21"/>
          <w:highlight w:val="none"/>
          <w:u w:val="single"/>
        </w:rPr>
      </w:pPr>
      <w:r>
        <w:rPr>
          <w:rFonts w:hint="eastAsia" w:ascii="宋体" w:hAnsi="宋体" w:cs="宋体"/>
          <w:color w:val="auto"/>
          <w:highlight w:val="none"/>
        </w:rPr>
        <w:t>（属自然人的应在签名处加盖食指指印）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4680"/>
        </w:tabs>
        <w:spacing w:before="0" w:after="0" w:line="400" w:lineRule="exact"/>
        <w:ind w:firstLine="0" w:firstLineChars="0"/>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tabs>
          <w:tab w:val="left" w:pos="5040"/>
        </w:tabs>
        <w:spacing w:before="0" w:after="0" w:line="400" w:lineRule="exact"/>
        <w:ind w:firstLine="0" w:firstLineChars="0"/>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tabs>
          <w:tab w:val="left" w:pos="5040"/>
        </w:tabs>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tabs>
          <w:tab w:val="left" w:pos="5040"/>
        </w:tabs>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tabs>
          <w:tab w:val="left" w:pos="5040"/>
        </w:tabs>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tabs>
          <w:tab w:val="left" w:pos="5040"/>
        </w:tabs>
        <w:spacing w:before="0" w:after="0"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360" w:lineRule="exact"/>
        <w:ind w:firstLine="237" w:firstLineChars="66"/>
        <w:jc w:val="center"/>
        <w:rPr>
          <w:rFonts w:ascii="宋体" w:hAnsi="宋体"/>
          <w:b/>
          <w:bCs/>
          <w:color w:val="auto"/>
          <w:kern w:val="44"/>
          <w:sz w:val="36"/>
          <w:szCs w:val="44"/>
          <w:highlight w:val="none"/>
        </w:rPr>
      </w:pPr>
    </w:p>
    <w:p>
      <w:pPr>
        <w:spacing w:line="360" w:lineRule="exact"/>
        <w:ind w:firstLine="237" w:firstLineChars="66"/>
        <w:jc w:val="center"/>
        <w:rPr>
          <w:rFonts w:ascii="宋体" w:hAnsi="宋体"/>
          <w:b/>
          <w:bCs/>
          <w:color w:val="auto"/>
          <w:kern w:val="44"/>
          <w:sz w:val="36"/>
          <w:szCs w:val="44"/>
          <w:highlight w:val="none"/>
        </w:rPr>
      </w:pPr>
    </w:p>
    <w:p>
      <w:pPr>
        <w:pStyle w:val="10"/>
        <w:rPr>
          <w:color w:val="auto"/>
          <w:highlight w:val="none"/>
        </w:rPr>
      </w:pPr>
    </w:p>
    <w:p>
      <w:pPr>
        <w:pStyle w:val="10"/>
        <w:rPr>
          <w:color w:val="auto"/>
          <w:highlight w:val="none"/>
        </w:rPr>
      </w:pPr>
    </w:p>
    <w:p>
      <w:pPr>
        <w:pStyle w:val="10"/>
        <w:rPr>
          <w:color w:val="auto"/>
          <w:highlight w:val="none"/>
        </w:rPr>
      </w:pPr>
    </w:p>
    <w:p>
      <w:pPr>
        <w:ind w:firstLine="0" w:firstLineChars="0"/>
        <w:jc w:val="center"/>
        <w:rPr>
          <w:rFonts w:ascii="宋体" w:hAnsi="宋体"/>
          <w:b/>
          <w:bCs/>
          <w:color w:val="auto"/>
          <w:kern w:val="44"/>
          <w:sz w:val="32"/>
          <w:szCs w:val="32"/>
          <w:highlight w:val="none"/>
        </w:rPr>
      </w:pPr>
      <w:r>
        <w:rPr>
          <w:rFonts w:hint="eastAsia" w:ascii="宋体" w:hAnsi="宋体"/>
          <w:b/>
          <w:bCs/>
          <w:color w:val="auto"/>
          <w:kern w:val="44"/>
          <w:sz w:val="32"/>
          <w:szCs w:val="32"/>
          <w:highlight w:val="none"/>
        </w:rPr>
        <w:t>第六章  响应文件格式</w:t>
      </w:r>
    </w:p>
    <w:p>
      <w:pPr>
        <w:spacing w:before="0" w:after="0" w:line="440" w:lineRule="atLeast"/>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1. 响应函（格式见附件）（必须提供）；</w:t>
      </w:r>
    </w:p>
    <w:p>
      <w:pPr>
        <w:spacing w:before="0" w:after="0" w:line="440" w:lineRule="atLeast"/>
        <w:ind w:firstLine="0" w:firstLineChars="0"/>
        <w:rPr>
          <w:rFonts w:ascii="宋体" w:hAnsi="宋体" w:cs="宋体"/>
          <w:b/>
          <w:color w:val="auto"/>
          <w:sz w:val="24"/>
          <w:highlight w:val="none"/>
        </w:rPr>
      </w:pPr>
      <w:r>
        <w:rPr>
          <w:rFonts w:hint="eastAsia" w:ascii="宋体" w:hAnsi="宋体" w:cs="宋体"/>
          <w:b/>
          <w:color w:val="auto"/>
          <w:sz w:val="24"/>
          <w:highlight w:val="none"/>
        </w:rPr>
        <w:t>附件：</w:t>
      </w:r>
    </w:p>
    <w:p>
      <w:pPr>
        <w:spacing w:before="0" w:after="0" w:line="240" w:lineRule="auto"/>
        <w:ind w:firstLine="800" w:firstLineChars="250"/>
        <w:jc w:val="center"/>
        <w:rPr>
          <w:rFonts w:ascii="宋体" w:hAnsi="宋体" w:cs="宋体"/>
          <w:b/>
          <w:color w:val="auto"/>
          <w:sz w:val="32"/>
          <w:szCs w:val="20"/>
          <w:highlight w:val="none"/>
        </w:rPr>
      </w:pPr>
      <w:r>
        <w:rPr>
          <w:rFonts w:hint="eastAsia" w:ascii="宋体" w:hAnsi="宋体" w:cs="宋体"/>
          <w:b/>
          <w:color w:val="auto"/>
          <w:sz w:val="32"/>
          <w:szCs w:val="20"/>
          <w:highlight w:val="none"/>
        </w:rPr>
        <w:t>响 应 函 （格 式）</w:t>
      </w:r>
    </w:p>
    <w:p>
      <w:pPr>
        <w:spacing w:before="0" w:after="0" w:line="240" w:lineRule="exact"/>
        <w:ind w:firstLine="0" w:firstLineChars="0"/>
        <w:jc w:val="center"/>
        <w:rPr>
          <w:rFonts w:ascii="宋体" w:hAnsi="宋体" w:cs="宋体"/>
          <w:color w:val="auto"/>
          <w:sz w:val="32"/>
          <w:highlight w:val="none"/>
        </w:rPr>
      </w:pPr>
    </w:p>
    <w:p>
      <w:pPr>
        <w:spacing w:before="0" w:after="0" w:line="400" w:lineRule="exact"/>
        <w:ind w:firstLine="0" w:firstLineChars="0"/>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：广西科文招标有限公司   </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根据贵方</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项目磋商文件，项目编号 </w:t>
      </w:r>
      <w:r>
        <w:rPr>
          <w:rFonts w:hint="eastAsia" w:ascii="宋体" w:hAnsi="宋体" w:cs="宋体"/>
          <w:color w:val="auto"/>
          <w:szCs w:val="20"/>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（姓名）经正式授权并代表供应商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供应商单位名称），提交响应文件正本一份，副本四份。</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据此函，签字代表宣布同意如下：</w:t>
      </w:r>
    </w:p>
    <w:p>
      <w:pPr>
        <w:numPr>
          <w:ilvl w:val="0"/>
          <w:numId w:val="9"/>
        </w:numPr>
        <w:spacing w:before="0" w:after="0" w:line="360" w:lineRule="exact"/>
        <w:ind w:firstLine="0" w:firstLineChars="0"/>
        <w:rPr>
          <w:rFonts w:ascii="宋体" w:hAnsi="宋体" w:cs="宋体"/>
          <w:color w:val="auto"/>
          <w:szCs w:val="20"/>
          <w:highlight w:val="none"/>
        </w:rPr>
      </w:pPr>
      <w:r>
        <w:rPr>
          <w:rFonts w:hint="eastAsia" w:ascii="宋体" w:hAnsi="宋体" w:cs="宋体"/>
          <w:color w:val="auto"/>
          <w:szCs w:val="20"/>
          <w:highlight w:val="none"/>
        </w:rPr>
        <w:t>按磋商文件服务采购需求和磋商报价表：</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磋商总报价（大写）</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人民币(￥</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2.我方承诺已具备磋商文件规定的供应商资格条件。</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3.我方已详细审核磋商文件，包括修改文件（如有的话）和有关附件，将自行承担因对全部磋商文件理解不正确或误解而产生的相应后果。</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4. 响应文件有效期为</w:t>
      </w:r>
      <w:r>
        <w:rPr>
          <w:rFonts w:hint="eastAsia" w:ascii="宋体" w:hAnsi="宋体" w:cs="宋体"/>
          <w:color w:val="auto"/>
          <w:szCs w:val="21"/>
          <w:highlight w:val="none"/>
        </w:rPr>
        <w:t>响应文件递交截止时间之日起90天。</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5. 如我方成交：</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（1）我方承诺在收到成交通知书后，在成交通知书规定的期限内与采购人签订合同。</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（2）我方承诺本响应文件至本项目合同履行完毕止均保持有效，按磋商文件及政府采购法律、法规的规定履行合同责任和义务。</w:t>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与本项目有关的正式通讯地址为：</w:t>
      </w:r>
    </w:p>
    <w:p>
      <w:pPr>
        <w:spacing w:before="0" w:after="0" w:line="400" w:lineRule="exact"/>
        <w:ind w:firstLine="420" w:firstLineChars="0"/>
        <w:rPr>
          <w:rFonts w:ascii="宋体" w:hAnsi="宋体" w:cs="宋体"/>
          <w:color w:val="auto"/>
          <w:szCs w:val="20"/>
          <w:highlight w:val="none"/>
        </w:rPr>
      </w:pPr>
    </w:p>
    <w:p>
      <w:pPr>
        <w:spacing w:before="0" w:after="0" w:line="400" w:lineRule="exact"/>
        <w:ind w:firstLine="420" w:firstLineChars="0"/>
        <w:rPr>
          <w:rFonts w:ascii="宋体" w:hAnsi="宋体" w:cs="宋体"/>
          <w:color w:val="auto"/>
          <w:szCs w:val="20"/>
          <w:highlight w:val="none"/>
          <w:u w:val="single"/>
        </w:rPr>
      </w:pPr>
      <w:r>
        <w:rPr>
          <w:rFonts w:hint="eastAsia" w:ascii="宋体" w:hAnsi="宋体" w:cs="宋体"/>
          <w:color w:val="auto"/>
          <w:szCs w:val="20"/>
          <w:highlight w:val="none"/>
        </w:rPr>
        <w:t>地址：</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邮编：</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电话、传真：</w:t>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p>
    <w:p>
      <w:pPr>
        <w:spacing w:before="0" w:after="0" w:line="400" w:lineRule="exact"/>
        <w:ind w:firstLine="420" w:firstLineChars="0"/>
        <w:rPr>
          <w:rFonts w:ascii="宋体" w:hAnsi="宋体" w:cs="宋体"/>
          <w:color w:val="auto"/>
          <w:szCs w:val="20"/>
          <w:highlight w:val="none"/>
          <w:u w:val="single"/>
        </w:rPr>
      </w:pPr>
      <w:r>
        <w:rPr>
          <w:rFonts w:hint="eastAsia" w:ascii="宋体" w:hAnsi="宋体" w:cs="宋体"/>
          <w:color w:val="auto"/>
          <w:szCs w:val="20"/>
          <w:highlight w:val="none"/>
        </w:rPr>
        <w:t>开户名称：</w:t>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 xml:space="preserve"> </w:t>
      </w:r>
    </w:p>
    <w:p>
      <w:pPr>
        <w:spacing w:before="0" w:after="0" w:line="400" w:lineRule="exact"/>
        <w:ind w:firstLine="420" w:firstLineChars="0"/>
        <w:rPr>
          <w:rFonts w:ascii="宋体" w:hAnsi="宋体" w:cs="宋体"/>
          <w:color w:val="auto"/>
          <w:szCs w:val="20"/>
          <w:highlight w:val="none"/>
          <w:u w:val="single"/>
        </w:rPr>
      </w:pPr>
      <w:r>
        <w:rPr>
          <w:rFonts w:hint="eastAsia" w:ascii="宋体" w:hAnsi="宋体" w:cs="宋体"/>
          <w:color w:val="auto"/>
          <w:szCs w:val="20"/>
          <w:highlight w:val="none"/>
        </w:rPr>
        <w:t>开户银行：</w:t>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p>
    <w:p>
      <w:pPr>
        <w:spacing w:before="0" w:after="0" w:line="40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账号：</w:t>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p>
    <w:p>
      <w:pPr>
        <w:spacing w:before="0" w:after="0" w:line="360" w:lineRule="exact"/>
        <w:ind w:firstLine="420" w:firstLineChars="0"/>
        <w:rPr>
          <w:rFonts w:ascii="宋体" w:hAnsi="宋体" w:cs="宋体"/>
          <w:color w:val="auto"/>
          <w:szCs w:val="20"/>
          <w:highlight w:val="none"/>
        </w:rPr>
      </w:pPr>
      <w:r>
        <w:rPr>
          <w:rFonts w:hint="eastAsia" w:ascii="宋体" w:hAnsi="宋体" w:cs="宋体"/>
          <w:color w:val="auto"/>
          <w:szCs w:val="20"/>
          <w:highlight w:val="none"/>
        </w:rPr>
        <w:t>供应商（公章，自然人除外）：</w:t>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p>
    <w:p>
      <w:pPr>
        <w:spacing w:before="0" w:after="0" w:line="400" w:lineRule="exact"/>
        <w:ind w:firstLine="420" w:firstLineChars="0"/>
        <w:rPr>
          <w:rFonts w:ascii="宋体" w:hAnsi="宋体" w:cs="宋体"/>
          <w:color w:val="auto"/>
          <w:szCs w:val="20"/>
          <w:highlight w:val="none"/>
          <w:u w:val="single"/>
        </w:rPr>
      </w:pPr>
      <w:r>
        <w:rPr>
          <w:rFonts w:hint="eastAsia" w:ascii="宋体" w:hAnsi="宋体" w:cs="宋体"/>
          <w:color w:val="auto"/>
          <w:szCs w:val="20"/>
          <w:highlight w:val="none"/>
        </w:rPr>
        <w:t>法定代表人、负责人、自然人或相应的委托代理人签字或盖章（属自然人的应在签名处加盖食指指印）：</w:t>
      </w:r>
      <w:r>
        <w:rPr>
          <w:rFonts w:hint="eastAsia" w:ascii="宋体" w:hAnsi="宋体" w:cs="宋体"/>
          <w:color w:val="auto"/>
          <w:szCs w:val="20"/>
          <w:highlight w:val="none"/>
          <w:u w:val="single"/>
        </w:rPr>
        <w:t xml:space="preserve">       </w:t>
      </w:r>
    </w:p>
    <w:p>
      <w:pPr>
        <w:spacing w:before="0" w:after="0" w:line="400" w:lineRule="exact"/>
        <w:ind w:firstLine="420" w:firstLineChars="0"/>
        <w:rPr>
          <w:rFonts w:ascii="宋体" w:hAnsi="宋体" w:cs="宋体"/>
          <w:color w:val="auto"/>
          <w:szCs w:val="20"/>
          <w:highlight w:val="none"/>
          <w:u w:val="single"/>
        </w:rPr>
      </w:pPr>
      <w:r>
        <w:rPr>
          <w:rFonts w:hint="eastAsia" w:ascii="宋体" w:hAnsi="宋体" w:cs="宋体"/>
          <w:bCs/>
          <w:color w:val="auto"/>
          <w:szCs w:val="20"/>
          <w:highlight w:val="none"/>
        </w:rPr>
        <w:t>响应</w:t>
      </w:r>
      <w:r>
        <w:rPr>
          <w:rFonts w:hint="eastAsia" w:ascii="宋体" w:hAnsi="宋体" w:cs="宋体"/>
          <w:color w:val="auto"/>
          <w:szCs w:val="20"/>
          <w:highlight w:val="none"/>
        </w:rPr>
        <w:t>日期：</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r>
        <w:rPr>
          <w:rFonts w:hint="eastAsia" w:ascii="宋体" w:hAnsi="宋体" w:cs="宋体"/>
          <w:color w:val="auto"/>
          <w:szCs w:val="20"/>
          <w:highlight w:val="none"/>
          <w:u w:val="single"/>
        </w:rPr>
        <w:tab/>
      </w:r>
    </w:p>
    <w:p>
      <w:pPr>
        <w:spacing w:before="0" w:after="0" w:line="400" w:lineRule="exact"/>
        <w:ind w:firstLine="420"/>
        <w:rPr>
          <w:rFonts w:ascii="宋体" w:hAnsi="宋体" w:cs="宋体"/>
          <w:bCs/>
          <w:color w:val="auto"/>
          <w:szCs w:val="20"/>
          <w:highlight w:val="none"/>
        </w:rPr>
      </w:pPr>
      <w:r>
        <w:rPr>
          <w:rFonts w:hint="eastAsia" w:ascii="宋体" w:hAnsi="宋体" w:cs="宋体"/>
          <w:bCs/>
          <w:color w:val="auto"/>
          <w:szCs w:val="20"/>
          <w:highlight w:val="none"/>
        </w:rPr>
        <w:t>注：</w:t>
      </w:r>
    </w:p>
    <w:p>
      <w:pPr>
        <w:spacing w:before="0" w:after="0" w:line="400" w:lineRule="exact"/>
        <w:ind w:firstLine="420"/>
        <w:rPr>
          <w:rFonts w:ascii="宋体" w:hAnsi="宋体" w:cs="宋体"/>
          <w:bCs/>
          <w:color w:val="auto"/>
          <w:szCs w:val="21"/>
          <w:highlight w:val="none"/>
        </w:rPr>
      </w:pPr>
      <w:r>
        <w:rPr>
          <w:rFonts w:hint="eastAsia" w:ascii="宋体" w:hAnsi="宋体" w:cs="宋体"/>
          <w:bCs/>
          <w:color w:val="auto"/>
          <w:szCs w:val="20"/>
          <w:highlight w:val="none"/>
        </w:rPr>
        <w:t>响应函</w:t>
      </w:r>
      <w:r>
        <w:rPr>
          <w:rFonts w:hint="eastAsia" w:ascii="宋体" w:hAnsi="宋体" w:cs="宋体"/>
          <w:bCs/>
          <w:color w:val="auto"/>
          <w:szCs w:val="21"/>
          <w:highlight w:val="none"/>
        </w:rPr>
        <w:t>须</w:t>
      </w:r>
      <w:r>
        <w:rPr>
          <w:rFonts w:hint="eastAsia" w:ascii="宋体" w:hAnsi="宋体" w:cs="宋体"/>
          <w:bCs/>
          <w:color w:val="auto"/>
          <w:szCs w:val="20"/>
          <w:highlight w:val="none"/>
        </w:rPr>
        <w:t>由</w:t>
      </w:r>
      <w:r>
        <w:rPr>
          <w:rFonts w:hint="eastAsia" w:ascii="宋体" w:hAnsi="宋体" w:cs="宋体"/>
          <w:bCs/>
          <w:color w:val="auto"/>
          <w:szCs w:val="21"/>
          <w:highlight w:val="none"/>
        </w:rPr>
        <w:t>法定代表人（负责人/自然人）或委托代理人签字或盖章（</w:t>
      </w:r>
      <w:r>
        <w:rPr>
          <w:rFonts w:hint="eastAsia" w:ascii="宋体" w:hAnsi="宋体" w:cs="宋体"/>
          <w:color w:val="auto"/>
          <w:szCs w:val="20"/>
          <w:highlight w:val="none"/>
        </w:rPr>
        <w:t>属自然人的应在签名处加盖食指指印</w:t>
      </w:r>
      <w:r>
        <w:rPr>
          <w:rFonts w:hint="eastAsia" w:ascii="宋体" w:hAnsi="宋体" w:cs="宋体"/>
          <w:bCs/>
          <w:color w:val="auto"/>
          <w:szCs w:val="21"/>
          <w:highlight w:val="none"/>
        </w:rPr>
        <w:t>）并加盖供应商公章（自然人除外）。</w:t>
      </w:r>
    </w:p>
    <w:p>
      <w:pPr>
        <w:tabs>
          <w:tab w:val="left" w:pos="1305"/>
        </w:tabs>
        <w:spacing w:before="0" w:after="0" w:line="380" w:lineRule="exact"/>
        <w:ind w:firstLine="562"/>
        <w:rPr>
          <w:rFonts w:ascii="宋体" w:hAnsi="宋体" w:cs="宋体"/>
          <w:b/>
          <w:color w:val="auto"/>
          <w:sz w:val="28"/>
          <w:szCs w:val="28"/>
          <w:highlight w:val="none"/>
        </w:rPr>
      </w:pPr>
    </w:p>
    <w:p>
      <w:pPr>
        <w:pStyle w:val="10"/>
        <w:rPr>
          <w:color w:val="auto"/>
          <w:highlight w:val="none"/>
        </w:rPr>
      </w:pPr>
    </w:p>
    <w:p>
      <w:pPr>
        <w:tabs>
          <w:tab w:val="left" w:pos="1305"/>
        </w:tabs>
        <w:spacing w:before="0" w:after="0" w:line="380" w:lineRule="exact"/>
        <w:ind w:firstLine="562"/>
        <w:rPr>
          <w:rFonts w:ascii="宋体" w:hAnsi="宋体" w:cs="宋体"/>
          <w:color w:val="auto"/>
          <w:szCs w:val="21"/>
          <w:highlight w:val="none"/>
        </w:rPr>
      </w:pPr>
      <w:r>
        <w:rPr>
          <w:rFonts w:hint="eastAsia" w:ascii="宋体" w:hAnsi="宋体" w:cs="宋体"/>
          <w:b/>
          <w:color w:val="auto"/>
          <w:sz w:val="28"/>
          <w:szCs w:val="28"/>
          <w:highlight w:val="none"/>
        </w:rPr>
        <w:t>2.供应商相应的法定代表人、负责人、自然人身份证正反两面复印件（必须提供）</w:t>
      </w:r>
    </w:p>
    <w:p>
      <w:pPr>
        <w:spacing w:before="0" w:after="0" w:line="240" w:lineRule="auto"/>
        <w:ind w:firstLine="0" w:firstLineChars="0"/>
        <w:rPr>
          <w:rFonts w:ascii="宋体" w:hAnsi="宋体" w:cs="宋体"/>
          <w:b/>
          <w:color w:val="auto"/>
          <w:sz w:val="32"/>
          <w:szCs w:val="20"/>
          <w:highlight w:val="none"/>
        </w:rPr>
      </w:pPr>
    </w:p>
    <w:p>
      <w:pPr>
        <w:spacing w:before="0" w:after="0" w:line="240" w:lineRule="auto"/>
        <w:ind w:firstLine="548" w:firstLineChars="196"/>
        <w:rPr>
          <w:rFonts w:ascii="宋体" w:hAnsi="宋体" w:cs="宋体"/>
          <w:b/>
          <w:color w:val="auto"/>
          <w:sz w:val="28"/>
          <w:szCs w:val="28"/>
          <w:highlight w:val="none"/>
        </w:rPr>
      </w:pPr>
    </w:p>
    <w:p>
      <w:pPr>
        <w:spacing w:before="0" w:after="0" w:line="400" w:lineRule="exact"/>
        <w:ind w:firstLine="548" w:firstLineChars="196"/>
        <w:rPr>
          <w:rFonts w:ascii="宋体" w:hAnsi="宋体" w:cs="宋体"/>
          <w:b/>
          <w:color w:val="auto"/>
          <w:sz w:val="28"/>
          <w:szCs w:val="28"/>
          <w:highlight w:val="none"/>
        </w:rPr>
      </w:pPr>
      <w:r>
        <w:rPr>
          <w:rFonts w:hint="eastAsia" w:ascii="宋体" w:hAnsi="宋体" w:cs="宋体"/>
          <w:b/>
          <w:color w:val="auto"/>
          <w:sz w:val="28"/>
          <w:szCs w:val="28"/>
          <w:highlight w:val="none"/>
        </w:rPr>
        <w:t>3.供应商的授权委托书原件、委托代理人身份证正反面复印件以及由县级以上（含县级）社会养老保险经办机构出具的供应商为委托代理人交纳的开标截止时间前半年内任意三个月社保证明复印件【属自然人的应提供由县级以上（含县级）社会养老保险经办机构出具的自然人本人及委托代理人所交纳的社保证明复印件】（委托代理时必须提供）；</w:t>
      </w:r>
    </w:p>
    <w:p>
      <w:pPr>
        <w:spacing w:before="0" w:after="0" w:line="240" w:lineRule="auto"/>
        <w:ind w:firstLine="627" w:firstLineChars="196"/>
        <w:rPr>
          <w:rFonts w:ascii="宋体" w:hAnsi="宋体" w:cs="宋体"/>
          <w:b/>
          <w:color w:val="auto"/>
          <w:sz w:val="32"/>
          <w:szCs w:val="20"/>
          <w:highlight w:val="none"/>
        </w:rPr>
      </w:pPr>
      <w:r>
        <w:rPr>
          <w:rFonts w:hint="eastAsia" w:ascii="宋体" w:hAnsi="宋体" w:cs="宋体"/>
          <w:b/>
          <w:color w:val="auto"/>
          <w:sz w:val="32"/>
          <w:szCs w:val="20"/>
          <w:highlight w:val="none"/>
        </w:rPr>
        <w:t xml:space="preserve">附件：            </w:t>
      </w:r>
    </w:p>
    <w:p>
      <w:pPr>
        <w:spacing w:before="0" w:after="0" w:line="240" w:lineRule="auto"/>
        <w:ind w:firstLine="627" w:firstLineChars="196"/>
        <w:jc w:val="center"/>
        <w:rPr>
          <w:rFonts w:ascii="宋体" w:hAnsi="宋体" w:cs="宋体"/>
          <w:b/>
          <w:color w:val="auto"/>
          <w:sz w:val="32"/>
          <w:szCs w:val="20"/>
          <w:highlight w:val="none"/>
        </w:rPr>
      </w:pPr>
      <w:r>
        <w:rPr>
          <w:rFonts w:hint="eastAsia" w:ascii="宋体" w:hAnsi="宋体" w:cs="宋体"/>
          <w:b/>
          <w:color w:val="auto"/>
          <w:sz w:val="32"/>
          <w:szCs w:val="20"/>
          <w:highlight w:val="none"/>
        </w:rPr>
        <w:t>授权委托书（格式一）</w:t>
      </w:r>
    </w:p>
    <w:p>
      <w:pPr>
        <w:spacing w:before="0" w:after="0" w:line="240" w:lineRule="auto"/>
        <w:ind w:firstLine="0" w:firstLineChars="0"/>
        <w:rPr>
          <w:rFonts w:ascii="宋体" w:hAnsi="宋体" w:cs="宋体"/>
          <w:color w:val="auto"/>
          <w:szCs w:val="20"/>
          <w:highlight w:val="none"/>
        </w:rPr>
      </w:pPr>
    </w:p>
    <w:p>
      <w:pPr>
        <w:spacing w:before="0" w:after="0" w:line="400" w:lineRule="exact"/>
        <w:ind w:firstLine="0" w:firstLineChars="0"/>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广西科文招标有限公司</w:t>
      </w:r>
    </w:p>
    <w:p>
      <w:pPr>
        <w:spacing w:before="0" w:after="0" w:line="400" w:lineRule="exact"/>
        <w:ind w:firstLine="0" w:firstLineChars="0"/>
        <w:rPr>
          <w:rFonts w:ascii="宋体" w:hAnsi="宋体" w:cs="宋体"/>
          <w:color w:val="auto"/>
          <w:szCs w:val="21"/>
          <w:highlight w:val="none"/>
        </w:rPr>
      </w:pPr>
    </w:p>
    <w:p>
      <w:pPr>
        <w:spacing w:before="0" w:after="0" w:line="400" w:lineRule="exact"/>
        <w:ind w:firstLine="420"/>
        <w:rPr>
          <w:rFonts w:ascii="宋体" w:hAnsi="宋体" w:cs="宋体"/>
          <w:color w:val="auto"/>
          <w:szCs w:val="20"/>
          <w:highlight w:val="none"/>
        </w:rPr>
      </w:pPr>
      <w:r>
        <w:rPr>
          <w:rFonts w:hint="eastAsia" w:ascii="宋体" w:hAnsi="宋体" w:cs="宋体"/>
          <w:color w:val="auto"/>
          <w:kern w:val="0"/>
          <w:szCs w:val="20"/>
          <w:highlight w:val="none"/>
        </w:rPr>
        <w:t>我</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（姓名）系</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（供应商名称）的法定代表人（负责人），现授权委托本单位在职职工</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（姓 名）以我公司名义参加</w:t>
      </w:r>
      <w:r>
        <w:rPr>
          <w:rFonts w:hint="eastAsia" w:ascii="宋体" w:hAnsi="宋体" w:cs="宋体"/>
          <w:color w:val="auto"/>
          <w:kern w:val="0"/>
          <w:szCs w:val="20"/>
          <w:highlight w:val="none"/>
          <w:u w:val="single"/>
        </w:rPr>
        <w:t xml:space="preserve">      </w:t>
      </w:r>
      <w:r>
        <w:rPr>
          <w:rFonts w:hint="eastAsia" w:ascii="宋体" w:hAnsi="宋体" w:cs="宋体"/>
          <w:color w:val="auto"/>
          <w:szCs w:val="20"/>
          <w:highlight w:val="none"/>
          <w:u w:val="single"/>
        </w:rPr>
        <w:t xml:space="preserve">（项目名称及项目编号）        </w:t>
      </w:r>
      <w:r>
        <w:rPr>
          <w:rFonts w:hint="eastAsia" w:ascii="宋体" w:hAnsi="宋体" w:cs="宋体"/>
          <w:color w:val="auto"/>
          <w:szCs w:val="20"/>
          <w:highlight w:val="none"/>
        </w:rPr>
        <w:t>项目的</w:t>
      </w:r>
      <w:r>
        <w:rPr>
          <w:rFonts w:hint="eastAsia" w:ascii="宋体" w:hAnsi="宋体" w:cs="宋体"/>
          <w:color w:val="auto"/>
          <w:szCs w:val="21"/>
          <w:highlight w:val="none"/>
        </w:rPr>
        <w:t>磋商</w:t>
      </w:r>
      <w:r>
        <w:rPr>
          <w:rFonts w:hint="eastAsia" w:ascii="宋体" w:hAnsi="宋体" w:cs="宋体"/>
          <w:color w:val="auto"/>
          <w:szCs w:val="20"/>
          <w:highlight w:val="none"/>
        </w:rPr>
        <w:t>活动，并代表我方全权办理针对上述项目的</w:t>
      </w:r>
      <w:r>
        <w:rPr>
          <w:rFonts w:hint="eastAsia" w:ascii="宋体" w:hAnsi="宋体" w:cs="宋体"/>
          <w:color w:val="auto"/>
          <w:szCs w:val="21"/>
          <w:highlight w:val="none"/>
        </w:rPr>
        <w:t>磋商</w:t>
      </w:r>
      <w:r>
        <w:rPr>
          <w:rFonts w:hint="eastAsia" w:ascii="宋体" w:hAnsi="宋体" w:cs="宋体"/>
          <w:color w:val="auto"/>
          <w:szCs w:val="20"/>
          <w:highlight w:val="none"/>
        </w:rPr>
        <w:t>、签约等具体事务和签署相关文件。</w:t>
      </w:r>
    </w:p>
    <w:p>
      <w:pPr>
        <w:spacing w:before="0" w:after="0" w:line="400" w:lineRule="exact"/>
        <w:ind w:firstLine="420"/>
        <w:rPr>
          <w:rFonts w:ascii="宋体" w:hAnsi="宋体" w:cs="宋体"/>
          <w:color w:val="auto"/>
          <w:szCs w:val="20"/>
          <w:highlight w:val="none"/>
        </w:rPr>
      </w:pPr>
      <w:r>
        <w:rPr>
          <w:rFonts w:hint="eastAsia" w:ascii="宋体" w:hAnsi="宋体" w:cs="宋体"/>
          <w:color w:val="auto"/>
          <w:szCs w:val="20"/>
          <w:highlight w:val="none"/>
        </w:rPr>
        <w:t>我方对被授权人的签字事项负全部责任。</w:t>
      </w:r>
    </w:p>
    <w:p>
      <w:pPr>
        <w:spacing w:before="0" w:after="0" w:line="400" w:lineRule="exact"/>
        <w:ind w:firstLine="420"/>
        <w:rPr>
          <w:rFonts w:ascii="宋体" w:hAnsi="宋体" w:cs="宋体"/>
          <w:color w:val="auto"/>
          <w:szCs w:val="20"/>
          <w:highlight w:val="none"/>
          <w:u w:val="single"/>
        </w:rPr>
      </w:pPr>
      <w:r>
        <w:rPr>
          <w:rFonts w:hint="eastAsia" w:ascii="宋体" w:hAnsi="宋体" w:cs="宋体"/>
          <w:color w:val="auto"/>
          <w:szCs w:val="20"/>
          <w:highlight w:val="none"/>
        </w:rPr>
        <w:t>授权委托代理期限：从</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月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日起至</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月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日止。</w:t>
      </w:r>
    </w:p>
    <w:p>
      <w:pPr>
        <w:spacing w:before="0" w:after="0" w:line="400" w:lineRule="exact"/>
        <w:ind w:firstLine="0" w:firstLineChars="0"/>
        <w:rPr>
          <w:rFonts w:ascii="宋体" w:hAnsi="宋体" w:cs="宋体"/>
          <w:color w:val="auto"/>
          <w:szCs w:val="20"/>
          <w:highlight w:val="none"/>
          <w:u w:val="single"/>
        </w:rPr>
      </w:pPr>
      <w:r>
        <w:rPr>
          <w:rFonts w:hint="eastAsia" w:ascii="宋体" w:hAnsi="宋体" w:cs="宋体"/>
          <w:color w:val="auto"/>
          <w:szCs w:val="20"/>
          <w:highlight w:val="none"/>
        </w:rPr>
        <w:t xml:space="preserve">                                                                                             </w:t>
      </w:r>
    </w:p>
    <w:p>
      <w:pPr>
        <w:spacing w:before="0" w:after="0" w:line="400" w:lineRule="exact"/>
        <w:ind w:firstLine="42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snapToGrid w:val="0"/>
        <w:spacing w:before="0" w:after="0" w:line="400" w:lineRule="exact"/>
        <w:ind w:firstLine="525" w:firstLineChars="0"/>
        <w:outlineLvl w:val="4"/>
        <w:rPr>
          <w:rFonts w:ascii="宋体" w:hAnsi="宋体" w:cs="宋体"/>
          <w:color w:val="auto"/>
          <w:szCs w:val="21"/>
          <w:highlight w:val="none"/>
        </w:rPr>
      </w:pPr>
    </w:p>
    <w:p>
      <w:pPr>
        <w:snapToGrid w:val="0"/>
        <w:spacing w:before="0" w:after="0" w:line="400" w:lineRule="exact"/>
        <w:ind w:firstLine="420" w:firstLineChars="0"/>
        <w:outlineLvl w:val="4"/>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napToGrid w:val="0"/>
        <w:spacing w:before="0" w:after="0" w:line="400" w:lineRule="exact"/>
        <w:ind w:firstLine="420" w:firstLineChars="0"/>
        <w:outlineLvl w:val="4"/>
        <w:rPr>
          <w:rFonts w:ascii="宋体" w:hAnsi="宋体" w:cs="宋体"/>
          <w:color w:val="auto"/>
          <w:szCs w:val="21"/>
          <w:highlight w:val="none"/>
        </w:rPr>
      </w:pPr>
    </w:p>
    <w:p>
      <w:pPr>
        <w:snapToGrid w:val="0"/>
        <w:spacing w:before="0" w:after="0" w:line="400" w:lineRule="exact"/>
        <w:ind w:firstLine="420" w:firstLineChars="0"/>
        <w:outlineLvl w:val="4"/>
        <w:rPr>
          <w:rFonts w:ascii="宋体" w:hAnsi="宋体" w:cs="宋体"/>
          <w:color w:val="auto"/>
          <w:szCs w:val="21"/>
          <w:highlight w:val="none"/>
        </w:rPr>
      </w:pPr>
    </w:p>
    <w:p>
      <w:pPr>
        <w:snapToGrid w:val="0"/>
        <w:spacing w:before="0" w:after="0" w:line="400" w:lineRule="exact"/>
        <w:ind w:firstLine="420" w:firstLineChars="0"/>
        <w:outlineLvl w:val="4"/>
        <w:rPr>
          <w:rFonts w:ascii="宋体" w:hAnsi="宋体" w:cs="宋体"/>
          <w:color w:val="auto"/>
          <w:szCs w:val="21"/>
          <w:highlight w:val="none"/>
          <w:u w:val="single"/>
        </w:rPr>
      </w:pPr>
      <w:r>
        <w:rPr>
          <w:rFonts w:hint="eastAsia" w:ascii="宋体" w:hAnsi="宋体" w:cs="宋体"/>
          <w:color w:val="auto"/>
          <w:szCs w:val="21"/>
          <w:highlight w:val="none"/>
        </w:rPr>
        <w:t>供应商（公章）：</w:t>
      </w:r>
      <w:r>
        <w:rPr>
          <w:rFonts w:hint="eastAsia" w:ascii="宋体" w:hAnsi="宋体" w:cs="宋体"/>
          <w:b/>
          <w:color w:val="auto"/>
          <w:szCs w:val="21"/>
          <w:highlight w:val="none"/>
          <w:u w:val="single"/>
        </w:rPr>
        <w:t xml:space="preserve">                                      </w:t>
      </w:r>
    </w:p>
    <w:p>
      <w:pPr>
        <w:snapToGrid w:val="0"/>
        <w:spacing w:before="0" w:after="0" w:line="400" w:lineRule="exact"/>
        <w:ind w:firstLine="420" w:firstLineChars="0"/>
        <w:outlineLvl w:val="4"/>
        <w:rPr>
          <w:rFonts w:ascii="宋体" w:hAnsi="宋体" w:cs="宋体"/>
          <w:color w:val="auto"/>
          <w:szCs w:val="21"/>
          <w:highlight w:val="none"/>
        </w:rPr>
      </w:pPr>
    </w:p>
    <w:p>
      <w:pPr>
        <w:snapToGrid w:val="0"/>
        <w:spacing w:before="0" w:after="0" w:line="400" w:lineRule="exact"/>
        <w:ind w:firstLine="420" w:firstLineChars="0"/>
        <w:outlineLvl w:val="4"/>
        <w:rPr>
          <w:rFonts w:ascii="宋体" w:hAnsi="宋体" w:cs="宋体"/>
          <w:color w:val="auto"/>
          <w:szCs w:val="21"/>
          <w:highlight w:val="none"/>
        </w:rPr>
      </w:pPr>
      <w:r>
        <w:rPr>
          <w:rFonts w:hint="eastAsia" w:ascii="宋体" w:hAnsi="宋体" w:cs="宋体"/>
          <w:color w:val="auto"/>
          <w:szCs w:val="21"/>
          <w:highlight w:val="none"/>
        </w:rPr>
        <w:t>法定代表人（负责人）签字或盖章：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before="0" w:after="0" w:line="400" w:lineRule="exact"/>
        <w:ind w:firstLine="420" w:firstLineChars="0"/>
        <w:outlineLvl w:val="4"/>
        <w:rPr>
          <w:rFonts w:ascii="宋体" w:hAnsi="宋体" w:cs="宋体"/>
          <w:color w:val="auto"/>
          <w:szCs w:val="21"/>
          <w:highlight w:val="none"/>
        </w:rPr>
      </w:pPr>
    </w:p>
    <w:p>
      <w:pPr>
        <w:snapToGrid w:val="0"/>
        <w:spacing w:before="0" w:after="0" w:line="400" w:lineRule="exact"/>
        <w:ind w:firstLine="0" w:firstLineChars="0"/>
        <w:outlineLvl w:val="4"/>
        <w:rPr>
          <w:rFonts w:ascii="宋体" w:hAnsi="宋体" w:cs="宋体"/>
          <w:color w:val="auto"/>
          <w:sz w:val="28"/>
          <w:szCs w:val="28"/>
          <w:highlight w:val="none"/>
        </w:rPr>
      </w:pPr>
      <w:r>
        <w:rPr>
          <w:rFonts w:hint="eastAsia" w:ascii="宋体" w:hAnsi="宋体" w:cs="宋体"/>
          <w:b/>
          <w:color w:val="auto"/>
          <w:szCs w:val="21"/>
          <w:highlight w:val="none"/>
        </w:rPr>
        <w:t>附：委托代理人有效的身份证正反两面复印件以及由县级以上（含县级）社会养老保险经办机构出具的供应商为委托代理人交纳的开标截止时间前半年内任意三个月社保证明复印件；</w:t>
      </w:r>
    </w:p>
    <w:p>
      <w:pPr>
        <w:spacing w:before="0" w:after="0" w:line="240" w:lineRule="auto"/>
        <w:ind w:firstLine="0" w:firstLineChars="0"/>
        <w:rPr>
          <w:rFonts w:ascii="宋体" w:hAnsi="宋体" w:cs="宋体"/>
          <w:b/>
          <w:color w:val="auto"/>
          <w:sz w:val="32"/>
          <w:szCs w:val="20"/>
          <w:highlight w:val="none"/>
        </w:rPr>
      </w:pPr>
    </w:p>
    <w:p>
      <w:pPr>
        <w:spacing w:before="0" w:after="0" w:line="240" w:lineRule="auto"/>
        <w:ind w:firstLine="0" w:firstLineChars="0"/>
        <w:jc w:val="center"/>
        <w:rPr>
          <w:rFonts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pPr>
        <w:snapToGrid w:val="0"/>
        <w:spacing w:before="0" w:after="0" w:line="400" w:lineRule="exact"/>
        <w:ind w:firstLine="0" w:firstLineChars="0"/>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广西科文招标有限公司</w:t>
      </w:r>
    </w:p>
    <w:p>
      <w:pPr>
        <w:snapToGrid w:val="0"/>
        <w:spacing w:before="0" w:after="0" w:line="400" w:lineRule="exact"/>
        <w:ind w:firstLine="0" w:firstLineChars="0"/>
        <w:outlineLvl w:val="4"/>
        <w:rPr>
          <w:rFonts w:ascii="宋体" w:hAnsi="宋体" w:cs="宋体"/>
          <w:color w:val="auto"/>
          <w:szCs w:val="21"/>
          <w:highlight w:val="none"/>
          <w:u w:val="single"/>
        </w:rPr>
      </w:pPr>
    </w:p>
    <w:p>
      <w:pPr>
        <w:spacing w:before="0" w:after="0" w:line="340" w:lineRule="exact"/>
        <w:ind w:firstLine="420"/>
        <w:rPr>
          <w:rFonts w:ascii="宋体" w:hAnsi="宋体" w:cs="宋体"/>
          <w:color w:val="auto"/>
          <w:szCs w:val="20"/>
          <w:highlight w:val="none"/>
        </w:rPr>
      </w:pPr>
      <w:r>
        <w:rPr>
          <w:rFonts w:hint="eastAsia" w:ascii="宋体" w:hAnsi="宋体" w:cs="宋体"/>
          <w:color w:val="auto"/>
          <w:kern w:val="0"/>
          <w:szCs w:val="20"/>
          <w:highlight w:val="none"/>
        </w:rPr>
        <w:t>我</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（姓名）系自然人，现授权委托</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（姓 名）以本人名义参加</w:t>
      </w:r>
      <w:r>
        <w:rPr>
          <w:rFonts w:hint="eastAsia" w:ascii="宋体" w:hAnsi="宋体" w:cs="宋体"/>
          <w:color w:val="auto"/>
          <w:kern w:val="0"/>
          <w:szCs w:val="20"/>
          <w:highlight w:val="none"/>
          <w:u w:val="single"/>
        </w:rPr>
        <w:t xml:space="preserve">      </w:t>
      </w:r>
      <w:r>
        <w:rPr>
          <w:rFonts w:hint="eastAsia" w:ascii="宋体" w:hAnsi="宋体" w:cs="宋体"/>
          <w:color w:val="auto"/>
          <w:szCs w:val="20"/>
          <w:highlight w:val="none"/>
          <w:u w:val="single"/>
        </w:rPr>
        <w:t xml:space="preserve">（项目名称及项目编号）        </w:t>
      </w:r>
      <w:r>
        <w:rPr>
          <w:rFonts w:hint="eastAsia" w:ascii="宋体" w:hAnsi="宋体" w:cs="宋体"/>
          <w:color w:val="auto"/>
          <w:szCs w:val="20"/>
          <w:highlight w:val="none"/>
        </w:rPr>
        <w:t>项目的</w:t>
      </w:r>
      <w:r>
        <w:rPr>
          <w:rFonts w:hint="eastAsia" w:ascii="宋体" w:hAnsi="宋体" w:cs="宋体"/>
          <w:color w:val="auto"/>
          <w:szCs w:val="21"/>
          <w:highlight w:val="none"/>
        </w:rPr>
        <w:t>磋商</w:t>
      </w:r>
      <w:r>
        <w:rPr>
          <w:rFonts w:hint="eastAsia" w:ascii="宋体" w:hAnsi="宋体" w:cs="宋体"/>
          <w:color w:val="auto"/>
          <w:szCs w:val="20"/>
          <w:highlight w:val="none"/>
        </w:rPr>
        <w:t>活动，并代表本人全权办理针对上述项目的</w:t>
      </w:r>
      <w:r>
        <w:rPr>
          <w:rFonts w:hint="eastAsia" w:ascii="宋体" w:hAnsi="宋体" w:cs="宋体"/>
          <w:color w:val="auto"/>
          <w:szCs w:val="21"/>
          <w:highlight w:val="none"/>
        </w:rPr>
        <w:t>磋商</w:t>
      </w:r>
      <w:r>
        <w:rPr>
          <w:rFonts w:hint="eastAsia" w:ascii="宋体" w:hAnsi="宋体" w:cs="宋体"/>
          <w:color w:val="auto"/>
          <w:szCs w:val="20"/>
          <w:highlight w:val="none"/>
        </w:rPr>
        <w:t>、签约等具体事务和签署相关文件。</w:t>
      </w:r>
    </w:p>
    <w:p>
      <w:pPr>
        <w:spacing w:before="0" w:after="0" w:line="340" w:lineRule="exact"/>
        <w:ind w:firstLine="420"/>
        <w:rPr>
          <w:rFonts w:ascii="宋体" w:hAnsi="宋体" w:cs="宋体"/>
          <w:color w:val="auto"/>
          <w:szCs w:val="20"/>
          <w:highlight w:val="none"/>
        </w:rPr>
      </w:pPr>
      <w:r>
        <w:rPr>
          <w:rFonts w:hint="eastAsia" w:ascii="宋体" w:hAnsi="宋体" w:cs="宋体"/>
          <w:color w:val="auto"/>
          <w:szCs w:val="20"/>
          <w:highlight w:val="none"/>
        </w:rPr>
        <w:t>本人对被授权人的签字事项负全部责任。</w:t>
      </w:r>
    </w:p>
    <w:p>
      <w:pPr>
        <w:spacing w:before="0" w:after="0" w:line="340" w:lineRule="exact"/>
        <w:ind w:firstLine="420"/>
        <w:rPr>
          <w:rFonts w:ascii="宋体" w:hAnsi="宋体" w:cs="宋体"/>
          <w:color w:val="auto"/>
          <w:szCs w:val="20"/>
          <w:highlight w:val="none"/>
          <w:u w:val="single"/>
        </w:rPr>
      </w:pPr>
      <w:r>
        <w:rPr>
          <w:rFonts w:hint="eastAsia" w:ascii="宋体" w:hAnsi="宋体" w:cs="宋体"/>
          <w:color w:val="auto"/>
          <w:szCs w:val="20"/>
          <w:highlight w:val="none"/>
        </w:rPr>
        <w:t>授权委托代理期限：从</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月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日起至</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月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日止。</w:t>
      </w:r>
    </w:p>
    <w:p>
      <w:pPr>
        <w:spacing w:before="0" w:after="0" w:line="340" w:lineRule="exact"/>
        <w:ind w:firstLine="0" w:firstLineChars="0"/>
        <w:rPr>
          <w:rFonts w:ascii="宋体" w:hAnsi="宋体" w:cs="宋体"/>
          <w:color w:val="auto"/>
          <w:szCs w:val="20"/>
          <w:highlight w:val="none"/>
          <w:u w:val="single"/>
        </w:rPr>
      </w:pPr>
      <w:r>
        <w:rPr>
          <w:rFonts w:hint="eastAsia" w:ascii="宋体" w:hAnsi="宋体" w:cs="宋体"/>
          <w:color w:val="auto"/>
          <w:szCs w:val="20"/>
          <w:highlight w:val="none"/>
        </w:rPr>
        <w:t xml:space="preserve">                                                                                             </w:t>
      </w:r>
    </w:p>
    <w:p>
      <w:pPr>
        <w:spacing w:before="0" w:after="0" w:line="340" w:lineRule="exact"/>
        <w:ind w:firstLine="42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snapToGrid w:val="0"/>
        <w:spacing w:before="0" w:after="0" w:line="340" w:lineRule="exact"/>
        <w:ind w:firstLine="525" w:firstLineChars="0"/>
        <w:outlineLvl w:val="4"/>
        <w:rPr>
          <w:rFonts w:ascii="宋体" w:hAnsi="宋体" w:cs="宋体"/>
          <w:color w:val="auto"/>
          <w:szCs w:val="21"/>
          <w:highlight w:val="none"/>
        </w:rPr>
      </w:pPr>
    </w:p>
    <w:p>
      <w:pPr>
        <w:snapToGrid w:val="0"/>
        <w:spacing w:before="0" w:after="0" w:line="340" w:lineRule="exact"/>
        <w:ind w:firstLine="420" w:firstLineChars="0"/>
        <w:outlineLvl w:val="4"/>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napToGrid w:val="0"/>
        <w:spacing w:before="0" w:after="0" w:line="340" w:lineRule="exact"/>
        <w:ind w:firstLine="420" w:firstLineChars="0"/>
        <w:outlineLvl w:val="4"/>
        <w:rPr>
          <w:rFonts w:ascii="宋体" w:hAnsi="宋体" w:cs="宋体"/>
          <w:color w:val="auto"/>
          <w:szCs w:val="21"/>
          <w:highlight w:val="none"/>
        </w:rPr>
      </w:pPr>
    </w:p>
    <w:p>
      <w:pPr>
        <w:snapToGrid w:val="0"/>
        <w:spacing w:before="0" w:after="0" w:line="340" w:lineRule="exact"/>
        <w:ind w:firstLine="420" w:firstLineChars="0"/>
        <w:outlineLvl w:val="4"/>
        <w:rPr>
          <w:rFonts w:ascii="宋体" w:hAnsi="宋体" w:cs="宋体"/>
          <w:color w:val="auto"/>
          <w:szCs w:val="21"/>
          <w:highlight w:val="none"/>
        </w:rPr>
      </w:pPr>
      <w:r>
        <w:rPr>
          <w:rFonts w:hint="eastAsia" w:ascii="宋体" w:hAnsi="宋体" w:cs="宋体"/>
          <w:color w:val="auto"/>
          <w:szCs w:val="21"/>
          <w:highlight w:val="none"/>
        </w:rPr>
        <w:t>自然人签字并在签名处加盖食指指印：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before="0" w:after="0" w:line="400" w:lineRule="exact"/>
        <w:ind w:left="420" w:leftChars="200" w:firstLine="0" w:firstLineChars="0"/>
        <w:rPr>
          <w:rFonts w:ascii="宋体" w:hAnsi="宋体" w:cs="宋体"/>
          <w:color w:val="auto"/>
          <w:szCs w:val="21"/>
          <w:highlight w:val="none"/>
        </w:rPr>
      </w:pPr>
    </w:p>
    <w:p>
      <w:pPr>
        <w:spacing w:before="0" w:after="0" w:line="400" w:lineRule="exact"/>
        <w:ind w:left="420" w:leftChars="200" w:firstLine="0" w:firstLineChars="0"/>
        <w:rPr>
          <w:rFonts w:ascii="宋体" w:hAnsi="宋体" w:cs="宋体"/>
          <w:b/>
          <w:color w:val="auto"/>
          <w:sz w:val="24"/>
          <w:highlight w:val="none"/>
        </w:rPr>
      </w:pPr>
      <w:r>
        <w:rPr>
          <w:rFonts w:hint="eastAsia" w:ascii="宋体" w:hAnsi="宋体" w:cs="宋体"/>
          <w:b/>
          <w:color w:val="auto"/>
          <w:sz w:val="24"/>
          <w:highlight w:val="none"/>
        </w:rPr>
        <w:t>附：委托代理人身份证正反面复印件以及由县级以上（含县级）社会养老保险经办机构出</w:t>
      </w:r>
    </w:p>
    <w:p>
      <w:pPr>
        <w:spacing w:before="0" w:after="0" w:line="400" w:lineRule="exact"/>
        <w:ind w:firstLine="0" w:firstLineChars="0"/>
        <w:rPr>
          <w:rFonts w:ascii="宋体" w:hAnsi="宋体" w:cs="宋体"/>
          <w:b/>
          <w:color w:val="auto"/>
          <w:sz w:val="24"/>
          <w:highlight w:val="none"/>
        </w:rPr>
      </w:pPr>
      <w:r>
        <w:rPr>
          <w:rFonts w:hint="eastAsia" w:ascii="宋体" w:hAnsi="宋体" w:cs="宋体"/>
          <w:b/>
          <w:color w:val="auto"/>
          <w:sz w:val="24"/>
          <w:highlight w:val="none"/>
        </w:rPr>
        <w:t>具的自然人本人及委托代理人所交纳的社保证明复印件（委托代理时必须提供）。</w:t>
      </w:r>
    </w:p>
    <w:p>
      <w:pPr>
        <w:spacing w:before="0" w:after="0" w:line="400" w:lineRule="exact"/>
        <w:ind w:firstLine="0" w:firstLineChars="0"/>
        <w:rPr>
          <w:rFonts w:ascii="宋体" w:hAnsi="宋体" w:cs="宋体"/>
          <w:b/>
          <w:color w:val="auto"/>
          <w:sz w:val="24"/>
          <w:highlight w:val="none"/>
        </w:rPr>
      </w:pPr>
    </w:p>
    <w:p>
      <w:pPr>
        <w:spacing w:before="0" w:after="0" w:line="400" w:lineRule="exact"/>
        <w:ind w:firstLine="0" w:firstLineChars="0"/>
        <w:rPr>
          <w:rFonts w:ascii="宋体" w:hAnsi="宋体" w:cs="宋体"/>
          <w:b/>
          <w:color w:val="auto"/>
          <w:sz w:val="24"/>
          <w:highlight w:val="none"/>
        </w:rPr>
      </w:pPr>
    </w:p>
    <w:p>
      <w:pPr>
        <w:spacing w:before="0" w:after="0" w:line="400" w:lineRule="exact"/>
        <w:ind w:firstLine="0" w:firstLineChars="0"/>
        <w:rPr>
          <w:rFonts w:ascii="宋体" w:hAnsi="宋体" w:cs="宋体"/>
          <w:b/>
          <w:color w:val="auto"/>
          <w:sz w:val="32"/>
          <w:szCs w:val="32"/>
          <w:highlight w:val="none"/>
        </w:rPr>
      </w:pPr>
      <w:r>
        <w:rPr>
          <w:rFonts w:hint="eastAsia" w:ascii="宋体" w:hAnsi="宋体" w:cs="宋体"/>
          <w:b/>
          <w:color w:val="auto"/>
          <w:sz w:val="32"/>
          <w:szCs w:val="32"/>
          <w:highlight w:val="none"/>
        </w:rPr>
        <w:t>4. 供应商参加政府采购活动前3年内在经营活动中没有重大违法记录的书面声明（必须提供）</w:t>
      </w:r>
    </w:p>
    <w:p>
      <w:pPr>
        <w:spacing w:before="0" w:after="0" w:line="400" w:lineRule="exact"/>
        <w:ind w:left="420" w:leftChars="200" w:firstLine="156" w:firstLineChars="49"/>
        <w:rPr>
          <w:rFonts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spacing w:before="0" w:after="0" w:line="400" w:lineRule="exact"/>
        <w:ind w:left="420" w:leftChars="200" w:firstLine="156" w:firstLineChars="49"/>
        <w:rPr>
          <w:rFonts w:ascii="宋体" w:hAnsi="宋体" w:cs="宋体"/>
          <w:b/>
          <w:color w:val="auto"/>
          <w:sz w:val="32"/>
          <w:szCs w:val="32"/>
          <w:highlight w:val="none"/>
        </w:rPr>
      </w:pPr>
      <w:r>
        <w:rPr>
          <w:rFonts w:hint="eastAsia" w:ascii="宋体" w:hAnsi="宋体" w:cs="宋体"/>
          <w:b/>
          <w:color w:val="auto"/>
          <w:sz w:val="32"/>
          <w:szCs w:val="32"/>
          <w:highlight w:val="none"/>
        </w:rPr>
        <w:t>附件：</w:t>
      </w:r>
    </w:p>
    <w:p>
      <w:pPr>
        <w:spacing w:before="0" w:after="0" w:line="400" w:lineRule="exact"/>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pPr>
        <w:snapToGrid w:val="0"/>
        <w:spacing w:before="0" w:after="0" w:line="400" w:lineRule="exact"/>
        <w:ind w:firstLine="0" w:firstLineChars="0"/>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广西科文招标有限公司</w:t>
      </w:r>
    </w:p>
    <w:p>
      <w:pPr>
        <w:snapToGrid w:val="0"/>
        <w:spacing w:before="0" w:after="0" w:line="400" w:lineRule="exact"/>
        <w:ind w:firstLine="0" w:firstLineChars="0"/>
        <w:outlineLvl w:val="4"/>
        <w:rPr>
          <w:rFonts w:ascii="宋体" w:hAnsi="宋体" w:cs="宋体"/>
          <w:color w:val="auto"/>
          <w:szCs w:val="21"/>
          <w:highlight w:val="none"/>
          <w:u w:val="single"/>
        </w:rPr>
      </w:pPr>
    </w:p>
    <w:p>
      <w:pPr>
        <w:snapToGrid w:val="0"/>
        <w:spacing w:before="0" w:after="0" w:line="400" w:lineRule="exact"/>
        <w:ind w:firstLine="420" w:firstLineChars="0"/>
        <w:outlineLvl w:val="4"/>
        <w:rPr>
          <w:rFonts w:ascii="宋体" w:hAnsi="宋体" w:cs="宋体"/>
          <w:color w:val="auto"/>
          <w:szCs w:val="21"/>
          <w:highlight w:val="none"/>
        </w:rPr>
      </w:pPr>
      <w:r>
        <w:rPr>
          <w:rFonts w:hint="eastAsia" w:ascii="宋体" w:hAnsi="宋体" w:cs="宋体"/>
          <w:color w:val="auto"/>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0" w:after="0" w:line="400" w:lineRule="exact"/>
        <w:ind w:firstLine="420" w:firstLineChars="0"/>
        <w:outlineLvl w:val="4"/>
        <w:rPr>
          <w:rFonts w:ascii="宋体" w:hAnsi="宋体" w:cs="宋体"/>
          <w:color w:val="auto"/>
          <w:szCs w:val="21"/>
          <w:highlight w:val="none"/>
        </w:rPr>
      </w:pPr>
    </w:p>
    <w:p>
      <w:pPr>
        <w:snapToGrid w:val="0"/>
        <w:spacing w:before="0" w:after="0" w:line="400" w:lineRule="exact"/>
        <w:ind w:firstLine="4935" w:firstLineChars="2350"/>
        <w:outlineLvl w:val="4"/>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hint="eastAsia" w:ascii="宋体" w:hAnsi="宋体" w:cs="宋体"/>
          <w:color w:val="auto"/>
          <w:szCs w:val="21"/>
          <w:highlight w:val="none"/>
          <w:u w:val="single"/>
        </w:rPr>
        <w:t xml:space="preserve">                                         </w:t>
      </w:r>
    </w:p>
    <w:p>
      <w:pPr>
        <w:snapToGrid w:val="0"/>
        <w:spacing w:before="0" w:after="0" w:line="400" w:lineRule="exact"/>
        <w:ind w:firstLine="420" w:firstLineChars="0"/>
        <w:outlineLvl w:val="4"/>
        <w:rPr>
          <w:rFonts w:ascii="宋体" w:hAnsi="宋体" w:cs="宋体"/>
          <w:color w:val="auto"/>
          <w:szCs w:val="21"/>
          <w:highlight w:val="none"/>
        </w:rPr>
      </w:pPr>
    </w:p>
    <w:p>
      <w:pPr>
        <w:spacing w:before="0" w:after="0" w:line="340" w:lineRule="exact"/>
        <w:ind w:left="4935" w:leftChars="2350" w:firstLine="0" w:firstLineChars="0"/>
        <w:rPr>
          <w:rFonts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法定代表人、负责人、自然人或相应的委托代理人签字或盖章（属自然人的应在签名处加盖食指指印）：</w:t>
      </w:r>
      <w:r>
        <w:rPr>
          <w:rFonts w:hint="eastAsia" w:ascii="宋体" w:hAnsi="宋体" w:cs="宋体"/>
          <w:color w:val="auto"/>
          <w:szCs w:val="21"/>
          <w:highlight w:val="none"/>
          <w:u w:val="single"/>
        </w:rPr>
        <w:t xml:space="preserve">                        </w:t>
      </w:r>
    </w:p>
    <w:p>
      <w:pPr>
        <w:spacing w:before="0" w:after="0" w:line="240" w:lineRule="auto"/>
        <w:ind w:firstLine="5040" w:firstLineChars="2400"/>
        <w:rPr>
          <w:rFonts w:ascii="宋体" w:hAnsi="宋体" w:cs="宋体"/>
          <w:color w:val="auto"/>
          <w:szCs w:val="20"/>
          <w:highlight w:val="none"/>
        </w:rPr>
      </w:pPr>
    </w:p>
    <w:p>
      <w:pPr>
        <w:spacing w:before="0" w:after="0" w:line="240" w:lineRule="auto"/>
        <w:ind w:firstLine="5040" w:firstLineChars="2400"/>
        <w:rPr>
          <w:rFonts w:ascii="宋体" w:hAnsi="宋体" w:cs="宋体"/>
          <w:b/>
          <w:color w:val="auto"/>
          <w:sz w:val="32"/>
          <w:szCs w:val="20"/>
          <w:highlight w:val="none"/>
        </w:rPr>
      </w:pPr>
      <w:r>
        <w:rPr>
          <w:rFonts w:hint="eastAsia" w:ascii="宋体" w:hAnsi="宋体" w:cs="宋体"/>
          <w:color w:val="auto"/>
          <w:szCs w:val="20"/>
          <w:highlight w:val="none"/>
        </w:rPr>
        <w:t>日          期：</w:t>
      </w:r>
      <w:r>
        <w:rPr>
          <w:rFonts w:hint="eastAsia" w:ascii="宋体" w:hAnsi="宋体" w:cs="宋体"/>
          <w:color w:val="auto"/>
          <w:szCs w:val="20"/>
          <w:highlight w:val="none"/>
          <w:u w:val="single"/>
        </w:rPr>
        <w:t xml:space="preserve">                         </w:t>
      </w:r>
    </w:p>
    <w:p>
      <w:pPr>
        <w:spacing w:before="0" w:after="0" w:line="340" w:lineRule="exact"/>
        <w:ind w:firstLine="0" w:firstLineChars="0"/>
        <w:rPr>
          <w:rFonts w:ascii="宋体" w:hAnsi="宋体" w:cs="宋体"/>
          <w:b/>
          <w:color w:val="auto"/>
          <w:sz w:val="32"/>
          <w:szCs w:val="20"/>
          <w:highlight w:val="none"/>
        </w:rPr>
      </w:pPr>
      <w:r>
        <w:rPr>
          <w:rFonts w:hint="eastAsia" w:ascii="宋体" w:hAnsi="宋体" w:cs="宋体"/>
          <w:b/>
          <w:color w:val="auto"/>
          <w:sz w:val="32"/>
          <w:szCs w:val="20"/>
          <w:highlight w:val="none"/>
        </w:rPr>
        <w:t>5.供应商的法人或者其他组织三证合一营业执照等证明文件（必须提供，自然人除外）；</w:t>
      </w:r>
    </w:p>
    <w:p>
      <w:pPr>
        <w:tabs>
          <w:tab w:val="left" w:pos="1305"/>
        </w:tabs>
        <w:spacing w:before="0" w:after="0" w:line="340" w:lineRule="exact"/>
        <w:ind w:firstLine="0" w:firstLineChars="0"/>
        <w:rPr>
          <w:rFonts w:ascii="宋体" w:hAnsi="宋体" w:cs="宋体"/>
          <w:b/>
          <w:color w:val="auto"/>
          <w:szCs w:val="21"/>
          <w:highlight w:val="none"/>
        </w:rPr>
      </w:pPr>
    </w:p>
    <w:p>
      <w:pPr>
        <w:tabs>
          <w:tab w:val="left" w:pos="1305"/>
        </w:tabs>
        <w:spacing w:before="0" w:after="0" w:line="40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p>
    <w:p>
      <w:pPr>
        <w:spacing w:before="0" w:after="0" w:line="320" w:lineRule="exact"/>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 xml:space="preserve">6. </w:t>
      </w:r>
      <w:r>
        <w:rPr>
          <w:rFonts w:hint="eastAsia" w:ascii="宋体" w:hAnsi="宋体" w:cs="宋体"/>
          <w:b/>
          <w:color w:val="auto"/>
          <w:sz w:val="32"/>
          <w:szCs w:val="20"/>
          <w:highlight w:val="none"/>
        </w:rPr>
        <w:t>磋商报价</w:t>
      </w:r>
      <w:r>
        <w:rPr>
          <w:rFonts w:hint="eastAsia" w:ascii="宋体" w:hAnsi="宋体" w:cs="宋体"/>
          <w:b/>
          <w:color w:val="auto"/>
          <w:sz w:val="28"/>
          <w:szCs w:val="28"/>
          <w:highlight w:val="none"/>
        </w:rPr>
        <w:t>表（格式见附件）（必须提供）；</w:t>
      </w:r>
    </w:p>
    <w:p>
      <w:pPr>
        <w:spacing w:before="0" w:after="0" w:line="300" w:lineRule="exact"/>
        <w:ind w:left="420" w:firstLine="0" w:firstLineChars="0"/>
        <w:jc w:val="left"/>
        <w:rPr>
          <w:rFonts w:ascii="宋体" w:hAnsi="宋体" w:cs="宋体"/>
          <w:b/>
          <w:color w:val="auto"/>
          <w:sz w:val="24"/>
          <w:highlight w:val="none"/>
        </w:rPr>
      </w:pPr>
    </w:p>
    <w:p>
      <w:pPr>
        <w:spacing w:before="0" w:after="0" w:line="300" w:lineRule="exact"/>
        <w:ind w:left="420" w:firstLine="0" w:firstLineChars="0"/>
        <w:jc w:val="left"/>
        <w:rPr>
          <w:rFonts w:ascii="宋体" w:hAnsi="宋体" w:cs="宋体"/>
          <w:b/>
          <w:color w:val="auto"/>
          <w:sz w:val="24"/>
          <w:highlight w:val="none"/>
        </w:rPr>
      </w:pPr>
      <w:r>
        <w:rPr>
          <w:rFonts w:hint="eastAsia" w:ascii="宋体" w:hAnsi="宋体" w:cs="宋体"/>
          <w:b/>
          <w:color w:val="auto"/>
          <w:sz w:val="24"/>
          <w:highlight w:val="none"/>
        </w:rPr>
        <w:t xml:space="preserve">附件：                                     </w:t>
      </w:r>
    </w:p>
    <w:p>
      <w:pPr>
        <w:spacing w:before="0" w:after="0" w:line="300" w:lineRule="exact"/>
        <w:ind w:left="420" w:firstLine="0" w:firstLineChars="0"/>
        <w:jc w:val="center"/>
        <w:rPr>
          <w:rFonts w:ascii="宋体" w:hAnsi="宋体" w:cs="宋体"/>
          <w:b/>
          <w:color w:val="auto"/>
          <w:sz w:val="32"/>
          <w:szCs w:val="20"/>
          <w:highlight w:val="none"/>
        </w:rPr>
      </w:pPr>
      <w:r>
        <w:rPr>
          <w:rFonts w:hint="eastAsia" w:ascii="宋体" w:hAnsi="宋体" w:cs="宋体"/>
          <w:b/>
          <w:color w:val="auto"/>
          <w:sz w:val="32"/>
          <w:szCs w:val="20"/>
          <w:highlight w:val="none"/>
        </w:rPr>
        <w:t>磋商报价表（格式）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1712"/>
        <w:gridCol w:w="1813"/>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856" w:type="dxa"/>
            <w:vAlign w:val="center"/>
          </w:tcPr>
          <w:p>
            <w:pPr>
              <w:spacing w:before="0" w:after="0" w:line="240" w:lineRule="auto"/>
              <w:ind w:firstLine="0" w:firstLineChars="0"/>
              <w:jc w:val="center"/>
              <w:rPr>
                <w:rFonts w:ascii="宋体" w:hAnsi="宋体"/>
                <w:color w:val="auto"/>
                <w:spacing w:val="-20"/>
                <w:szCs w:val="21"/>
                <w:highlight w:val="none"/>
              </w:rPr>
            </w:pPr>
            <w:r>
              <w:rPr>
                <w:rFonts w:hint="eastAsia" w:ascii="宋体" w:hAnsi="宋体"/>
                <w:color w:val="auto"/>
                <w:spacing w:val="-20"/>
                <w:szCs w:val="21"/>
                <w:highlight w:val="none"/>
              </w:rPr>
              <w:t>项号</w:t>
            </w:r>
          </w:p>
        </w:tc>
        <w:tc>
          <w:tcPr>
            <w:tcW w:w="1712" w:type="dxa"/>
            <w:vAlign w:val="center"/>
          </w:tcPr>
          <w:p>
            <w:pPr>
              <w:spacing w:before="0" w:after="0" w:line="240" w:lineRule="auto"/>
              <w:ind w:firstLine="0" w:firstLineChars="0"/>
              <w:jc w:val="center"/>
              <w:rPr>
                <w:rFonts w:ascii="宋体" w:hAnsi="宋体"/>
                <w:color w:val="auto"/>
                <w:spacing w:val="-20"/>
                <w:szCs w:val="21"/>
                <w:highlight w:val="none"/>
              </w:rPr>
            </w:pPr>
            <w:r>
              <w:rPr>
                <w:rFonts w:hint="eastAsia" w:ascii="宋体" w:hAnsi="宋体"/>
                <w:color w:val="auto"/>
                <w:spacing w:val="-20"/>
                <w:szCs w:val="21"/>
                <w:highlight w:val="none"/>
              </w:rPr>
              <w:t>项目名称</w:t>
            </w:r>
          </w:p>
        </w:tc>
        <w:tc>
          <w:tcPr>
            <w:tcW w:w="1813" w:type="dxa"/>
            <w:vAlign w:val="center"/>
          </w:tcPr>
          <w:p>
            <w:pPr>
              <w:spacing w:before="0" w:after="0" w:line="240" w:lineRule="auto"/>
              <w:ind w:firstLine="0" w:firstLineChars="0"/>
              <w:jc w:val="center"/>
              <w:rPr>
                <w:rFonts w:ascii="宋体" w:hAnsi="宋体"/>
                <w:color w:val="auto"/>
                <w:szCs w:val="21"/>
                <w:highlight w:val="none"/>
              </w:rPr>
            </w:pPr>
            <w:r>
              <w:rPr>
                <w:rFonts w:hint="eastAsia" w:ascii="宋体" w:hAnsi="宋体" w:cs="宋体"/>
                <w:color w:val="auto"/>
                <w:kern w:val="0"/>
                <w:szCs w:val="21"/>
                <w:highlight w:val="none"/>
              </w:rPr>
              <w:t>磋商</w:t>
            </w:r>
            <w:r>
              <w:rPr>
                <w:rFonts w:hint="eastAsia" w:ascii="宋体" w:hAnsi="宋体"/>
                <w:color w:val="auto"/>
                <w:szCs w:val="21"/>
                <w:highlight w:val="none"/>
              </w:rPr>
              <w:t>报价编制依据</w:t>
            </w:r>
          </w:p>
        </w:tc>
        <w:tc>
          <w:tcPr>
            <w:tcW w:w="5140" w:type="dxa"/>
            <w:vAlign w:val="center"/>
          </w:tcPr>
          <w:p>
            <w:pPr>
              <w:spacing w:before="0" w:after="0" w:line="240" w:lineRule="auto"/>
              <w:ind w:firstLine="420" w:firstLineChars="0"/>
              <w:jc w:val="center"/>
              <w:rPr>
                <w:rFonts w:ascii="宋体" w:hAnsi="宋体"/>
                <w:color w:val="auto"/>
                <w:szCs w:val="21"/>
                <w:highlight w:val="none"/>
              </w:rPr>
            </w:pPr>
            <w:r>
              <w:rPr>
                <w:rFonts w:hint="eastAsia" w:ascii="宋体" w:hAnsi="宋体"/>
                <w:color w:val="auto"/>
                <w:szCs w:val="21"/>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856" w:type="dxa"/>
            <w:vAlign w:val="center"/>
          </w:tcPr>
          <w:p>
            <w:pPr>
              <w:spacing w:before="0" w:after="0" w:line="240" w:lineRule="auto"/>
              <w:ind w:firstLineChars="0"/>
              <w:jc w:val="center"/>
              <w:rPr>
                <w:rFonts w:hAnsi="宋体"/>
                <w:color w:val="auto"/>
                <w:spacing w:val="-20"/>
                <w:szCs w:val="21"/>
                <w:highlight w:val="none"/>
              </w:rPr>
            </w:pPr>
            <w:r>
              <w:rPr>
                <w:rFonts w:hint="eastAsia" w:ascii="宋体" w:hAnsi="宋体"/>
                <w:color w:val="auto"/>
                <w:szCs w:val="21"/>
                <w:highlight w:val="none"/>
              </w:rPr>
              <w:t>1</w:t>
            </w:r>
          </w:p>
        </w:tc>
        <w:tc>
          <w:tcPr>
            <w:tcW w:w="1712" w:type="dxa"/>
            <w:vAlign w:val="center"/>
          </w:tcPr>
          <w:p>
            <w:pPr>
              <w:spacing w:before="0" w:after="0" w:line="400" w:lineRule="exact"/>
              <w:ind w:firstLine="0" w:firstLineChars="0"/>
              <w:jc w:val="center"/>
              <w:rPr>
                <w:rFonts w:hint="eastAsia" w:hAnsi="宋体" w:eastAsia="宋体"/>
                <w:color w:val="auto"/>
                <w:spacing w:val="-20"/>
                <w:szCs w:val="21"/>
                <w:highlight w:val="none"/>
                <w:lang w:eastAsia="zh-CN"/>
              </w:rPr>
            </w:pPr>
            <w:r>
              <w:rPr>
                <w:rFonts w:hint="eastAsia" w:ascii="宋体" w:hAnsi="宋体" w:cs="宋体"/>
                <w:color w:val="auto"/>
                <w:szCs w:val="21"/>
                <w:highlight w:val="none"/>
                <w:lang w:eastAsia="zh-CN"/>
              </w:rPr>
              <w:t>病房服务交互系统采购</w:t>
            </w:r>
          </w:p>
        </w:tc>
        <w:tc>
          <w:tcPr>
            <w:tcW w:w="1813" w:type="dxa"/>
            <w:vAlign w:val="center"/>
          </w:tcPr>
          <w:p>
            <w:pPr>
              <w:spacing w:before="0" w:after="0" w:line="400" w:lineRule="exact"/>
              <w:ind w:firstLine="0" w:firstLineChars="0"/>
              <w:jc w:val="center"/>
              <w:rPr>
                <w:rFonts w:ascii="宋体" w:hAnsi="宋体"/>
                <w:color w:val="auto"/>
                <w:szCs w:val="21"/>
                <w:highlight w:val="none"/>
              </w:rPr>
            </w:pPr>
            <w:r>
              <w:rPr>
                <w:rFonts w:hint="eastAsia" w:ascii="宋体" w:hAnsi="宋体"/>
                <w:bCs/>
                <w:color w:val="auto"/>
                <w:szCs w:val="21"/>
                <w:highlight w:val="none"/>
              </w:rPr>
              <w:t>《服务采购需求》中要求完成的所有内容</w:t>
            </w:r>
          </w:p>
        </w:tc>
        <w:tc>
          <w:tcPr>
            <w:tcW w:w="5140" w:type="dxa"/>
            <w:vAlign w:val="center"/>
          </w:tcPr>
          <w:p>
            <w:pPr>
              <w:spacing w:before="0" w:after="0"/>
              <w:ind w:firstLine="420" w:firstLineChars="0"/>
              <w:rPr>
                <w:rFonts w:ascii="宋体" w:hAnsi="宋体" w:cs="宋体"/>
                <w:color w:val="auto"/>
                <w:szCs w:val="20"/>
                <w:highlight w:val="none"/>
                <w:u w:val="single"/>
              </w:rPr>
            </w:pPr>
            <w:r>
              <w:rPr>
                <w:rFonts w:hint="eastAsia" w:ascii="宋体" w:hAnsi="宋体" w:cs="宋体"/>
                <w:color w:val="auto"/>
                <w:szCs w:val="20"/>
                <w:highlight w:val="none"/>
              </w:rPr>
              <w:t xml:space="preserve">磋商报价（大写） </w:t>
            </w:r>
            <w:r>
              <w:rPr>
                <w:rFonts w:ascii="宋体" w:hAnsi="宋体" w:cs="宋体"/>
                <w:color w:val="auto"/>
                <w:szCs w:val="20"/>
                <w:highlight w:val="none"/>
              </w:rPr>
              <w:t xml:space="preserve"> </w:t>
            </w:r>
            <w:r>
              <w:rPr>
                <w:rFonts w:hint="eastAsia" w:ascii="宋体" w:hAnsi="宋体" w:cs="宋体"/>
                <w:color w:val="auto"/>
                <w:szCs w:val="20"/>
                <w:highlight w:val="none"/>
              </w:rPr>
              <w:t xml:space="preserve"> </w:t>
            </w:r>
            <w:r>
              <w:rPr>
                <w:rFonts w:hint="eastAsia" w:ascii="宋体" w:hAnsi="宋体" w:cs="宋体"/>
                <w:color w:val="auto"/>
                <w:szCs w:val="20"/>
                <w:highlight w:val="none"/>
                <w:u w:val="single"/>
              </w:rPr>
              <w:t xml:space="preserve">                  </w:t>
            </w:r>
          </w:p>
          <w:p>
            <w:pPr>
              <w:spacing w:before="0" w:after="0"/>
              <w:ind w:firstLine="420" w:firstLineChars="0"/>
              <w:rPr>
                <w:rFonts w:ascii="宋体" w:hAnsi="宋体"/>
                <w:color w:val="auto"/>
                <w:szCs w:val="21"/>
                <w:highlight w:val="none"/>
              </w:rPr>
            </w:pPr>
            <w:r>
              <w:rPr>
                <w:rFonts w:hint="eastAsia" w:ascii="宋体" w:hAnsi="宋体" w:cs="宋体"/>
                <w:color w:val="auto"/>
                <w:szCs w:val="20"/>
                <w:highlight w:val="none"/>
              </w:rPr>
              <w:t>人民币(￥</w:t>
            </w:r>
            <w:r>
              <w:rPr>
                <w:rFonts w:hint="eastAsia" w:ascii="宋体" w:hAnsi="宋体" w:cs="宋体"/>
                <w:color w:val="auto"/>
                <w:szCs w:val="20"/>
                <w:highlight w:val="none"/>
                <w:u w:val="single"/>
              </w:rPr>
              <w:t xml:space="preserve">                     元</w:t>
            </w:r>
            <w:r>
              <w:rPr>
                <w:rFonts w:hint="eastAsia" w:ascii="宋体" w:hAnsi="宋体" w:cs="宋体"/>
                <w:color w:val="auto"/>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spacing w:before="0" w:after="0" w:line="240" w:lineRule="auto"/>
              <w:ind w:firstLine="420" w:firstLineChars="0"/>
              <w:rPr>
                <w:rFonts w:ascii="宋体" w:hAnsi="宋体"/>
                <w:color w:val="auto"/>
                <w:spacing w:val="-6"/>
                <w:szCs w:val="21"/>
                <w:highlight w:val="none"/>
              </w:rPr>
            </w:pPr>
            <w:r>
              <w:rPr>
                <w:rFonts w:hint="eastAsia" w:ascii="宋体" w:hAnsi="宋体" w:cs="宋体"/>
                <w:color w:val="auto"/>
                <w:kern w:val="0"/>
                <w:szCs w:val="21"/>
                <w:highlight w:val="none"/>
              </w:rPr>
              <w:t>服务时间：</w:t>
            </w:r>
            <w:r>
              <w:rPr>
                <w:rFonts w:hint="eastAsia" w:ascii="宋体" w:hAnsi="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spacing w:before="0" w:after="0" w:line="240" w:lineRule="auto"/>
              <w:ind w:firstLine="420" w:firstLineChars="0"/>
              <w:rPr>
                <w:rFonts w:ascii="宋体" w:hAnsi="宋体" w:cs="宋体"/>
                <w:color w:val="auto"/>
                <w:kern w:val="0"/>
                <w:szCs w:val="21"/>
                <w:highlight w:val="none"/>
              </w:rPr>
            </w:pPr>
            <w:r>
              <w:rPr>
                <w:rFonts w:hint="eastAsia" w:ascii="宋体" w:hAnsi="宋体" w:cs="宋体"/>
                <w:color w:val="auto"/>
                <w:kern w:val="0"/>
                <w:szCs w:val="21"/>
                <w:highlight w:val="none"/>
              </w:rPr>
              <w:t>说明：磋商报价应包括本次采购服务价款以及因提供服务所产生的人工、保险、税金、售后服务、培训、保修及其他所有成本费用的总和；供应商综合考虑在报价中。</w:t>
            </w:r>
          </w:p>
        </w:tc>
      </w:tr>
    </w:tbl>
    <w:p>
      <w:pPr>
        <w:spacing w:before="0" w:after="0" w:line="340" w:lineRule="exact"/>
        <w:ind w:firstLine="0" w:firstLineChars="0"/>
        <w:rPr>
          <w:rFonts w:ascii="宋体" w:hAnsi="宋体" w:cs="宋体"/>
          <w:color w:val="auto"/>
          <w:szCs w:val="21"/>
          <w:highlight w:val="none"/>
        </w:rPr>
      </w:pPr>
    </w:p>
    <w:p>
      <w:pPr>
        <w:spacing w:before="0" w:after="0" w:line="340" w:lineRule="exact"/>
        <w:ind w:firstLine="0" w:firstLineChars="0"/>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hint="eastAsia" w:ascii="宋体" w:hAnsi="宋体" w:cs="宋体"/>
          <w:color w:val="auto"/>
          <w:szCs w:val="21"/>
          <w:highlight w:val="none"/>
          <w:u w:val="single"/>
        </w:rPr>
        <w:t xml:space="preserve">                                        </w:t>
      </w:r>
    </w:p>
    <w:p>
      <w:pPr>
        <w:spacing w:before="0" w:after="0" w:line="340" w:lineRule="exact"/>
        <w:ind w:firstLine="0" w:firstLineChars="0"/>
        <w:rPr>
          <w:rFonts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法定代表人、负责人、自然人或相应的委托代理人签字或盖章（属自然人的应在签名处加盖食指指印）：</w:t>
      </w:r>
      <w:r>
        <w:rPr>
          <w:rFonts w:hint="eastAsia" w:ascii="宋体" w:hAnsi="宋体" w:cs="宋体"/>
          <w:color w:val="auto"/>
          <w:szCs w:val="21"/>
          <w:highlight w:val="none"/>
          <w:u w:val="single"/>
        </w:rPr>
        <w:t xml:space="preserve">                        </w:t>
      </w:r>
    </w:p>
    <w:p>
      <w:pPr>
        <w:spacing w:before="0" w:after="0" w:line="400" w:lineRule="exact"/>
        <w:ind w:firstLine="0" w:firstLineChars="0"/>
        <w:rPr>
          <w:rFonts w:ascii="宋体" w:hAnsi="宋体" w:cs="宋体"/>
          <w:color w:val="auto"/>
          <w:szCs w:val="20"/>
          <w:highlight w:val="none"/>
          <w:u w:val="single"/>
        </w:rPr>
      </w:pPr>
      <w:r>
        <w:rPr>
          <w:rFonts w:hint="eastAsia" w:ascii="宋体" w:hAnsi="宋体" w:cs="宋体"/>
          <w:color w:val="auto"/>
          <w:szCs w:val="20"/>
          <w:highlight w:val="none"/>
        </w:rPr>
        <w:t>日期：</w:t>
      </w:r>
      <w:r>
        <w:rPr>
          <w:rFonts w:hint="eastAsia" w:ascii="宋体" w:hAnsi="宋体" w:cs="宋体"/>
          <w:color w:val="auto"/>
          <w:szCs w:val="20"/>
          <w:highlight w:val="none"/>
          <w:u w:val="single"/>
        </w:rPr>
        <w:t xml:space="preserve">                               </w:t>
      </w:r>
    </w:p>
    <w:p>
      <w:pPr>
        <w:tabs>
          <w:tab w:val="left" w:pos="1305"/>
        </w:tabs>
        <w:spacing w:before="0" w:after="0" w:line="340" w:lineRule="exact"/>
        <w:ind w:firstLine="205" w:firstLineChars="98"/>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1.各供应商</w:t>
      </w:r>
      <w:r>
        <w:rPr>
          <w:rFonts w:hint="eastAsia" w:ascii="宋体" w:hAnsi="宋体" w:cs="宋体"/>
          <w:color w:val="auto"/>
          <w:szCs w:val="21"/>
          <w:highlight w:val="none"/>
        </w:rPr>
        <w:t>必须就“服务采购需求”中的所有内容作完整唯一报价，否则，其响应文件无效。</w:t>
      </w:r>
    </w:p>
    <w:p>
      <w:pPr>
        <w:spacing w:before="0" w:after="0" w:line="360" w:lineRule="exact"/>
        <w:ind w:firstLine="630" w:firstLineChars="300"/>
        <w:rPr>
          <w:rFonts w:ascii="宋体" w:hAnsi="宋体" w:cs="宋体"/>
          <w:color w:val="auto"/>
          <w:szCs w:val="20"/>
          <w:highlight w:val="none"/>
        </w:rPr>
      </w:pPr>
      <w:r>
        <w:rPr>
          <w:rFonts w:hint="eastAsia" w:ascii="宋体" w:hAnsi="宋体" w:cs="宋体"/>
          <w:color w:val="auto"/>
          <w:szCs w:val="20"/>
          <w:highlight w:val="none"/>
        </w:rPr>
        <w:t>2.</w:t>
      </w:r>
      <w:r>
        <w:rPr>
          <w:rFonts w:hint="eastAsia" w:ascii="宋体" w:hAnsi="宋体" w:cs="宋体"/>
          <w:color w:val="auto"/>
          <w:szCs w:val="21"/>
          <w:highlight w:val="none"/>
        </w:rPr>
        <w:t>供应商</w:t>
      </w:r>
      <w:r>
        <w:rPr>
          <w:rFonts w:hint="eastAsia" w:ascii="宋体" w:hAnsi="宋体" w:cs="宋体"/>
          <w:color w:val="auto"/>
          <w:szCs w:val="20"/>
          <w:highlight w:val="none"/>
        </w:rPr>
        <w:t>应根据所提供的服务如实填写</w:t>
      </w:r>
      <w:r>
        <w:rPr>
          <w:rFonts w:hint="eastAsia" w:ascii="宋体" w:hAnsi="宋体" w:cs="宋体"/>
          <w:color w:val="auto"/>
          <w:szCs w:val="21"/>
          <w:highlight w:val="none"/>
        </w:rPr>
        <w:t>磋商报价</w:t>
      </w:r>
      <w:r>
        <w:rPr>
          <w:rFonts w:hint="eastAsia" w:ascii="宋体" w:hAnsi="宋体" w:cs="宋体"/>
          <w:color w:val="auto"/>
          <w:szCs w:val="20"/>
          <w:highlight w:val="none"/>
        </w:rPr>
        <w:t>表</w:t>
      </w:r>
      <w:r>
        <w:rPr>
          <w:rFonts w:hint="eastAsia" w:ascii="宋体" w:hAnsi="宋体" w:cs="宋体"/>
          <w:bCs/>
          <w:color w:val="auto"/>
          <w:szCs w:val="21"/>
          <w:highlight w:val="none"/>
        </w:rPr>
        <w:t>的各项内容。</w:t>
      </w:r>
    </w:p>
    <w:p>
      <w:pPr>
        <w:spacing w:before="0" w:after="0" w:line="340" w:lineRule="exact"/>
        <w:ind w:firstLine="630" w:firstLineChars="3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磋商报价</w:t>
      </w:r>
      <w:r>
        <w:rPr>
          <w:rFonts w:hint="eastAsia" w:ascii="宋体" w:hAnsi="宋体" w:cs="宋体"/>
          <w:bCs/>
          <w:color w:val="auto"/>
          <w:szCs w:val="21"/>
          <w:highlight w:val="none"/>
        </w:rPr>
        <w:t>表须由法</w:t>
      </w:r>
      <w:r>
        <w:rPr>
          <w:rFonts w:hint="eastAsia" w:ascii="宋体" w:hAnsi="宋体" w:cs="宋体"/>
          <w:color w:val="auto"/>
          <w:highlight w:val="none"/>
        </w:rPr>
        <w:t>定代表人、负责人、自然人或相应的委托代理人签字或盖章（属自然人的应在签名处加盖食指指印）并加盖供应商公章（自然人除外）。当本表由多页构成时，需逐页加盖供应商公章（属自然人的须逐页签字）。</w:t>
      </w:r>
    </w:p>
    <w:p>
      <w:pPr>
        <w:spacing w:before="0" w:after="0" w:line="400" w:lineRule="exact"/>
        <w:ind w:left="420" w:firstLine="0" w:firstLineChars="0"/>
        <w:rPr>
          <w:rFonts w:ascii="宋体" w:hAnsi="宋体" w:cs="宋体"/>
          <w:b/>
          <w:color w:val="auto"/>
          <w:sz w:val="32"/>
          <w:szCs w:val="32"/>
          <w:highlight w:val="none"/>
        </w:rPr>
      </w:pPr>
    </w:p>
    <w:p>
      <w:pPr>
        <w:spacing w:before="0" w:after="0" w:line="400" w:lineRule="exact"/>
        <w:ind w:left="420" w:firstLine="0" w:firstLineChars="0"/>
        <w:rPr>
          <w:rFonts w:ascii="宋体" w:hAnsi="宋体" w:cs="宋体"/>
          <w:b/>
          <w:color w:val="auto"/>
          <w:sz w:val="32"/>
          <w:szCs w:val="32"/>
          <w:highlight w:val="none"/>
        </w:rPr>
      </w:pPr>
    </w:p>
    <w:p>
      <w:pPr>
        <w:spacing w:before="0" w:after="0" w:line="400" w:lineRule="exact"/>
        <w:ind w:left="420" w:firstLine="0" w:firstLineChars="0"/>
        <w:rPr>
          <w:rFonts w:ascii="宋体" w:hAnsi="宋体" w:cs="宋体"/>
          <w:b/>
          <w:color w:val="auto"/>
          <w:sz w:val="32"/>
          <w:szCs w:val="32"/>
          <w:highlight w:val="none"/>
        </w:rPr>
      </w:pPr>
    </w:p>
    <w:p>
      <w:pPr>
        <w:spacing w:before="0" w:after="0" w:line="400" w:lineRule="exact"/>
        <w:ind w:firstLine="0" w:firstLineChars="0"/>
        <w:rPr>
          <w:rFonts w:ascii="宋体" w:hAnsi="宋体" w:cs="宋体"/>
          <w:b/>
          <w:color w:val="auto"/>
          <w:sz w:val="32"/>
          <w:szCs w:val="32"/>
          <w:highlight w:val="none"/>
        </w:rPr>
      </w:pPr>
      <w:r>
        <w:rPr>
          <w:rFonts w:hint="eastAsia" w:ascii="宋体" w:hAnsi="宋体" w:cs="宋体"/>
          <w:b/>
          <w:color w:val="auto"/>
          <w:sz w:val="32"/>
          <w:szCs w:val="32"/>
          <w:highlight w:val="none"/>
        </w:rPr>
        <w:t>7.项目实施方案（必须提供）</w:t>
      </w:r>
    </w:p>
    <w:p>
      <w:pPr>
        <w:spacing w:before="0" w:after="0" w:line="240" w:lineRule="auto"/>
        <w:ind w:firstLine="352" w:firstLineChars="147"/>
        <w:rPr>
          <w:rFonts w:ascii="宋体" w:hAnsi="宋体" w:cs="宋体"/>
          <w:b/>
          <w:color w:val="auto"/>
          <w:sz w:val="24"/>
          <w:highlight w:val="none"/>
        </w:rPr>
      </w:pPr>
      <w:r>
        <w:rPr>
          <w:rFonts w:hint="eastAsia" w:ascii="宋体" w:hAnsi="宋体" w:cs="宋体"/>
          <w:b/>
          <w:color w:val="auto"/>
          <w:sz w:val="24"/>
          <w:highlight w:val="none"/>
        </w:rPr>
        <w:t xml:space="preserve">          </w:t>
      </w:r>
    </w:p>
    <w:p>
      <w:pPr>
        <w:spacing w:before="0" w:after="0" w:line="240" w:lineRule="auto"/>
        <w:ind w:firstLine="470" w:firstLineChars="147"/>
        <w:jc w:val="center"/>
        <w:rPr>
          <w:rFonts w:ascii="宋体" w:hAnsi="宋体" w:cs="宋体"/>
          <w:b/>
          <w:bCs/>
          <w:color w:val="auto"/>
          <w:sz w:val="32"/>
          <w:szCs w:val="20"/>
          <w:highlight w:val="none"/>
        </w:rPr>
      </w:pPr>
      <w:r>
        <w:rPr>
          <w:rFonts w:hint="eastAsia" w:ascii="宋体" w:hAnsi="宋体" w:cs="宋体"/>
          <w:b/>
          <w:color w:val="auto"/>
          <w:sz w:val="32"/>
          <w:szCs w:val="32"/>
          <w:highlight w:val="none"/>
        </w:rPr>
        <w:t>项目实施方案</w:t>
      </w:r>
      <w:r>
        <w:rPr>
          <w:rFonts w:hint="eastAsia" w:ascii="宋体" w:hAnsi="宋体" w:cs="宋体"/>
          <w:b/>
          <w:bCs/>
          <w:color w:val="auto"/>
          <w:sz w:val="32"/>
          <w:szCs w:val="20"/>
          <w:highlight w:val="none"/>
        </w:rPr>
        <w:t>（格式）</w:t>
      </w:r>
    </w:p>
    <w:p>
      <w:pPr>
        <w:spacing w:before="0" w:after="0" w:line="240" w:lineRule="auto"/>
        <w:ind w:firstLine="0" w:firstLineChars="0"/>
        <w:rPr>
          <w:rFonts w:ascii="宋体" w:hAnsi="宋体" w:cs="宋体"/>
          <w:b/>
          <w:color w:val="auto"/>
          <w:sz w:val="24"/>
          <w:highlight w:val="none"/>
        </w:rPr>
      </w:pPr>
    </w:p>
    <w:p>
      <w:pPr>
        <w:spacing w:before="0" w:after="0" w:line="240" w:lineRule="auto"/>
        <w:ind w:firstLine="0" w:firstLineChars="0"/>
        <w:rPr>
          <w:rFonts w:ascii="宋体" w:hAnsi="宋体" w:cs="宋体"/>
          <w:color w:val="auto"/>
          <w:szCs w:val="20"/>
          <w:highlight w:val="none"/>
          <w:u w:val="single"/>
        </w:rPr>
      </w:pPr>
    </w:p>
    <w:p>
      <w:pPr>
        <w:snapToGrid w:val="0"/>
        <w:spacing w:before="0" w:after="0" w:line="400" w:lineRule="exact"/>
        <w:ind w:firstLine="4200" w:firstLineChars="2000"/>
        <w:outlineLvl w:val="4"/>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hint="eastAsia" w:ascii="宋体" w:hAnsi="宋体" w:cs="宋体"/>
          <w:color w:val="auto"/>
          <w:szCs w:val="21"/>
          <w:highlight w:val="none"/>
          <w:u w:val="single"/>
        </w:rPr>
        <w:t xml:space="preserve">                                         </w:t>
      </w:r>
    </w:p>
    <w:p>
      <w:pPr>
        <w:snapToGrid w:val="0"/>
        <w:spacing w:before="0" w:after="0" w:line="400" w:lineRule="exact"/>
        <w:ind w:firstLine="420" w:firstLineChars="0"/>
        <w:outlineLvl w:val="4"/>
        <w:rPr>
          <w:rFonts w:ascii="宋体" w:hAnsi="宋体" w:cs="宋体"/>
          <w:color w:val="auto"/>
          <w:szCs w:val="21"/>
          <w:highlight w:val="none"/>
        </w:rPr>
      </w:pPr>
    </w:p>
    <w:p>
      <w:pPr>
        <w:spacing w:before="0" w:after="0" w:line="240" w:lineRule="auto"/>
        <w:ind w:firstLine="4200" w:firstLineChars="2000"/>
        <w:rPr>
          <w:rFonts w:ascii="宋体" w:hAnsi="宋体" w:cs="宋体"/>
          <w:color w:val="auto"/>
          <w:szCs w:val="20"/>
          <w:highlight w:val="none"/>
        </w:rPr>
      </w:pPr>
      <w:r>
        <w:rPr>
          <w:rFonts w:hint="eastAsia" w:ascii="宋体" w:hAnsi="宋体" w:cs="宋体"/>
          <w:color w:val="auto"/>
          <w:szCs w:val="20"/>
          <w:highlight w:val="none"/>
        </w:rPr>
        <w:t>法定代表人、负责人、自然人或相应的委托代理人签字</w:t>
      </w:r>
    </w:p>
    <w:p>
      <w:pPr>
        <w:spacing w:before="0" w:after="0" w:line="240" w:lineRule="auto"/>
        <w:ind w:firstLine="4200" w:firstLineChars="2000"/>
        <w:rPr>
          <w:rFonts w:ascii="宋体" w:hAnsi="宋体" w:cs="宋体"/>
          <w:color w:val="auto"/>
          <w:szCs w:val="20"/>
          <w:highlight w:val="none"/>
          <w:u w:val="single"/>
        </w:rPr>
      </w:pPr>
      <w:r>
        <w:rPr>
          <w:rFonts w:hint="eastAsia" w:ascii="宋体" w:hAnsi="宋体" w:cs="宋体"/>
          <w:color w:val="auto"/>
          <w:szCs w:val="20"/>
          <w:highlight w:val="none"/>
        </w:rPr>
        <w:t>或盖章（属自然人的应在签名处加盖食指指印）：</w:t>
      </w:r>
      <w:r>
        <w:rPr>
          <w:rFonts w:hint="eastAsia" w:ascii="宋体" w:hAnsi="宋体" w:cs="宋体"/>
          <w:color w:val="auto"/>
          <w:szCs w:val="21"/>
          <w:highlight w:val="none"/>
          <w:u w:val="single"/>
        </w:rPr>
        <w:t xml:space="preserve">               </w:t>
      </w:r>
    </w:p>
    <w:p>
      <w:pPr>
        <w:spacing w:before="0" w:after="0" w:line="360" w:lineRule="exact"/>
        <w:ind w:firstLine="0" w:firstLineChars="0"/>
        <w:rPr>
          <w:rFonts w:ascii="宋体" w:hAnsi="宋体" w:cs="宋体"/>
          <w:bCs/>
          <w:color w:val="auto"/>
          <w:szCs w:val="21"/>
          <w:highlight w:val="none"/>
        </w:rPr>
      </w:pPr>
    </w:p>
    <w:p>
      <w:pPr>
        <w:spacing w:before="0" w:after="0" w:line="360" w:lineRule="exact"/>
        <w:ind w:firstLine="0" w:firstLineChars="0"/>
        <w:rPr>
          <w:rFonts w:ascii="宋体" w:hAnsi="宋体" w:cs="宋体"/>
          <w:bCs/>
          <w:color w:val="auto"/>
          <w:szCs w:val="21"/>
          <w:highlight w:val="none"/>
        </w:rPr>
      </w:pPr>
    </w:p>
    <w:p>
      <w:pPr>
        <w:spacing w:before="0" w:after="0" w:line="240" w:lineRule="auto"/>
        <w:ind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rPr>
        <w:t>8. 供应商的售后服务承诺书（含服务期、技术服务、技术培训、售后服务的内容和措施等）（必须提供）；</w:t>
      </w:r>
    </w:p>
    <w:p>
      <w:pPr>
        <w:spacing w:before="0" w:after="0" w:line="240" w:lineRule="auto"/>
        <w:ind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pPr>
        <w:spacing w:before="0" w:after="0" w:line="240" w:lineRule="auto"/>
        <w:ind w:firstLine="2720" w:firstLineChars="850"/>
        <w:rPr>
          <w:rFonts w:ascii="宋体" w:hAnsi="宋体" w:cs="宋体"/>
          <w:b/>
          <w:bCs/>
          <w:color w:val="auto"/>
          <w:sz w:val="32"/>
          <w:szCs w:val="32"/>
          <w:highlight w:val="none"/>
        </w:rPr>
      </w:pPr>
      <w:r>
        <w:rPr>
          <w:rFonts w:hint="eastAsia" w:ascii="宋体" w:hAnsi="宋体" w:cs="宋体"/>
          <w:b/>
          <w:bCs/>
          <w:color w:val="auto"/>
          <w:sz w:val="32"/>
          <w:szCs w:val="32"/>
          <w:highlight w:val="none"/>
        </w:rPr>
        <w:t>售后服务承诺书（格式）</w:t>
      </w:r>
    </w:p>
    <w:p>
      <w:pPr>
        <w:spacing w:before="0" w:after="0" w:line="240" w:lineRule="auto"/>
        <w:ind w:firstLine="2720" w:firstLineChars="850"/>
        <w:rPr>
          <w:rFonts w:ascii="宋体" w:hAnsi="宋体" w:cs="宋体"/>
          <w:b/>
          <w:bCs/>
          <w:color w:val="auto"/>
          <w:sz w:val="32"/>
          <w:szCs w:val="32"/>
          <w:highlight w:val="none"/>
        </w:rPr>
      </w:pPr>
    </w:p>
    <w:p>
      <w:pPr>
        <w:spacing w:before="0" w:after="0" w:line="240" w:lineRule="auto"/>
        <w:ind w:firstLine="2720" w:firstLineChars="850"/>
        <w:rPr>
          <w:rFonts w:ascii="宋体" w:hAnsi="宋体" w:cs="宋体"/>
          <w:b/>
          <w:bCs/>
          <w:color w:val="auto"/>
          <w:sz w:val="32"/>
          <w:szCs w:val="32"/>
          <w:highlight w:val="none"/>
        </w:rPr>
      </w:pPr>
    </w:p>
    <w:p>
      <w:pPr>
        <w:snapToGrid w:val="0"/>
        <w:spacing w:before="0" w:after="0" w:line="400" w:lineRule="exact"/>
        <w:ind w:firstLine="3570" w:firstLineChars="1700"/>
        <w:outlineLvl w:val="4"/>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hint="eastAsia" w:ascii="宋体" w:hAnsi="宋体" w:cs="宋体"/>
          <w:color w:val="auto"/>
          <w:szCs w:val="21"/>
          <w:highlight w:val="none"/>
          <w:u w:val="single"/>
        </w:rPr>
        <w:t xml:space="preserve">                                         </w:t>
      </w:r>
    </w:p>
    <w:p>
      <w:pPr>
        <w:snapToGrid w:val="0"/>
        <w:spacing w:before="0" w:after="0" w:line="400" w:lineRule="exact"/>
        <w:ind w:firstLine="420" w:firstLineChars="0"/>
        <w:outlineLvl w:val="4"/>
        <w:rPr>
          <w:rFonts w:ascii="宋体" w:hAnsi="宋体" w:cs="宋体"/>
          <w:color w:val="auto"/>
          <w:szCs w:val="21"/>
          <w:highlight w:val="none"/>
        </w:rPr>
      </w:pPr>
    </w:p>
    <w:p>
      <w:pPr>
        <w:spacing w:before="0" w:after="0" w:line="400" w:lineRule="exact"/>
        <w:ind w:left="2940" w:leftChars="1400" w:firstLine="525" w:firstLineChars="250"/>
        <w:rPr>
          <w:rFonts w:ascii="宋体" w:hAnsi="宋体" w:cs="宋体"/>
          <w:color w:val="auto"/>
          <w:szCs w:val="20"/>
          <w:highlight w:val="none"/>
        </w:rPr>
      </w:pPr>
      <w:r>
        <w:rPr>
          <w:rFonts w:hint="eastAsia" w:ascii="宋体" w:hAnsi="宋体" w:cs="宋体"/>
          <w:color w:val="auto"/>
          <w:szCs w:val="20"/>
          <w:highlight w:val="none"/>
        </w:rPr>
        <w:t>法定代表人、负责人、自然人或相应的委托代理人签字或盖章</w:t>
      </w:r>
    </w:p>
    <w:p>
      <w:pPr>
        <w:spacing w:before="0" w:after="0" w:line="400" w:lineRule="exact"/>
        <w:ind w:left="2940" w:leftChars="1400" w:firstLine="525" w:firstLineChars="250"/>
        <w:rPr>
          <w:rFonts w:ascii="宋体" w:hAnsi="宋体" w:cs="宋体"/>
          <w:color w:val="auto"/>
          <w:szCs w:val="20"/>
          <w:highlight w:val="none"/>
          <w:u w:val="single"/>
        </w:rPr>
      </w:pPr>
      <w:r>
        <w:rPr>
          <w:rFonts w:hint="eastAsia" w:ascii="宋体" w:hAnsi="宋体" w:cs="宋体"/>
          <w:color w:val="auto"/>
          <w:szCs w:val="20"/>
          <w:highlight w:val="none"/>
        </w:rPr>
        <w:t>（属自然人的应在签名处加盖食指指印）：</w:t>
      </w:r>
      <w:r>
        <w:rPr>
          <w:rFonts w:hint="eastAsia" w:ascii="宋体" w:hAnsi="宋体" w:cs="宋体"/>
          <w:color w:val="auto"/>
          <w:szCs w:val="21"/>
          <w:highlight w:val="none"/>
          <w:u w:val="single"/>
        </w:rPr>
        <w:t xml:space="preserve">                </w:t>
      </w: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rPr>
        <w:t>9. 项目实施人员一览表 【必须提供，请提供，并一起提供由县级以上（含县级）社会养老保险经办机构出具的供应商为项目实施人员交纳的开标截止时间前半年内任意三个月社保证明复印件】；</w:t>
      </w:r>
    </w:p>
    <w:p>
      <w:pPr>
        <w:spacing w:before="0" w:after="0" w:line="240" w:lineRule="auto"/>
        <w:ind w:firstLine="0" w:firstLineChars="0"/>
        <w:rPr>
          <w:rFonts w:ascii="宋体" w:hAnsi="宋体" w:cs="宋体"/>
          <w:b/>
          <w:bCs/>
          <w:color w:val="auto"/>
          <w:sz w:val="32"/>
          <w:szCs w:val="32"/>
          <w:highlight w:val="none"/>
        </w:rPr>
      </w:pPr>
    </w:p>
    <w:p>
      <w:pPr>
        <w:spacing w:before="0" w:after="0" w:line="400" w:lineRule="exact"/>
        <w:ind w:firstLine="0" w:firstLineChars="0"/>
        <w:jc w:val="center"/>
        <w:rPr>
          <w:rFonts w:ascii="宋体" w:hAnsi="宋体" w:cs="宋体"/>
          <w:bCs/>
          <w:color w:val="auto"/>
          <w:szCs w:val="20"/>
          <w:highlight w:val="none"/>
        </w:rPr>
      </w:pPr>
    </w:p>
    <w:p>
      <w:pPr>
        <w:spacing w:before="0" w:after="0" w:line="240" w:lineRule="auto"/>
        <w:ind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rPr>
        <w:t>10. 供应商2019年度通过中介审计的有效财务审计报告复印件（如有，请提供）</w:t>
      </w: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rPr>
        <w:t>11. 供应商</w:t>
      </w:r>
      <w:r>
        <w:rPr>
          <w:rFonts w:hint="eastAsia" w:ascii="宋体" w:hAnsi="宋体" w:cs="宋体"/>
          <w:b/>
          <w:bCs/>
          <w:color w:val="auto"/>
          <w:sz w:val="32"/>
          <w:szCs w:val="32"/>
          <w:highlight w:val="none"/>
          <w:lang w:eastAsia="zh-CN"/>
        </w:rPr>
        <w:t>2015年以来具有的同类项目</w:t>
      </w:r>
      <w:r>
        <w:rPr>
          <w:rFonts w:hint="eastAsia" w:ascii="宋体" w:hAnsi="宋体" w:cs="宋体"/>
          <w:b/>
          <w:bCs/>
          <w:color w:val="auto"/>
          <w:sz w:val="32"/>
          <w:szCs w:val="32"/>
          <w:highlight w:val="none"/>
        </w:rPr>
        <w:t>业绩的相关证明材料（无不良记录，以中标、成交通知书或签订的销售合同为准，并能清晰反映所销售的货物名称、种类、金额）（如有，请提供）；</w:t>
      </w: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rPr>
        <w:t>12.“服务采购需求”需提供的有效证明文件；</w:t>
      </w: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bCs/>
          <w:color w:val="auto"/>
          <w:sz w:val="32"/>
          <w:szCs w:val="32"/>
          <w:highlight w:val="none"/>
        </w:rPr>
      </w:pPr>
    </w:p>
    <w:p>
      <w:pPr>
        <w:spacing w:before="0" w:after="0" w:line="240" w:lineRule="auto"/>
        <w:ind w:firstLine="0" w:firstLineChars="0"/>
        <w:rPr>
          <w:rFonts w:ascii="宋体" w:hAnsi="宋体" w:cs="宋体"/>
          <w:b/>
          <w:color w:val="auto"/>
          <w:sz w:val="32"/>
          <w:szCs w:val="32"/>
          <w:highlight w:val="none"/>
        </w:rPr>
      </w:pPr>
      <w:r>
        <w:rPr>
          <w:rFonts w:hint="eastAsia" w:ascii="宋体" w:hAnsi="宋体" w:cs="宋体"/>
          <w:b/>
          <w:bCs/>
          <w:color w:val="auto"/>
          <w:sz w:val="32"/>
          <w:szCs w:val="32"/>
          <w:highlight w:val="none"/>
        </w:rPr>
        <w:t xml:space="preserve">13. </w:t>
      </w:r>
      <w:r>
        <w:rPr>
          <w:rFonts w:hint="eastAsia" w:ascii="宋体" w:hAnsi="宋体" w:cs="宋体"/>
          <w:b/>
          <w:color w:val="auto"/>
          <w:sz w:val="32"/>
          <w:szCs w:val="32"/>
          <w:highlight w:val="none"/>
        </w:rPr>
        <w:t>其他有效证明文件的复印件（如提供服务的供应商属于小型、微型企业、监狱企业的，以提供工商注册地的工业和信息化部门等其他行政部门出具的相关证明材料为准）。</w:t>
      </w:r>
    </w:p>
    <w:p>
      <w:pPr>
        <w:spacing w:before="0" w:after="0" w:line="240" w:lineRule="auto"/>
        <w:ind w:firstLine="0" w:firstLineChars="0"/>
        <w:rPr>
          <w:rFonts w:ascii="宋体" w:hAnsi="宋体" w:cs="宋体"/>
          <w:b/>
          <w:color w:val="auto"/>
          <w:sz w:val="32"/>
          <w:szCs w:val="32"/>
          <w:highlight w:val="none"/>
        </w:rPr>
      </w:pPr>
    </w:p>
    <w:p>
      <w:pPr>
        <w:spacing w:before="0" w:after="0" w:line="240" w:lineRule="auto"/>
        <w:ind w:firstLine="0" w:firstLineChars="0"/>
        <w:rPr>
          <w:rFonts w:ascii="宋体" w:hAnsi="宋体" w:cs="宋体"/>
          <w:b/>
          <w:color w:val="auto"/>
          <w:sz w:val="32"/>
          <w:szCs w:val="32"/>
          <w:highlight w:val="none"/>
        </w:rPr>
      </w:pPr>
    </w:p>
    <w:p>
      <w:pPr>
        <w:spacing w:before="0" w:after="0" w:line="240" w:lineRule="auto"/>
        <w:ind w:firstLine="0" w:firstLineChars="0"/>
        <w:rPr>
          <w:rFonts w:ascii="宋体" w:hAnsi="宋体"/>
          <w:color w:val="auto"/>
          <w:highlight w:val="none"/>
        </w:rPr>
      </w:pPr>
      <w:r>
        <w:rPr>
          <w:rFonts w:hint="eastAsia" w:ascii="宋体" w:hAnsi="宋体" w:cs="宋体"/>
          <w:b/>
          <w:color w:val="auto"/>
          <w:sz w:val="32"/>
          <w:szCs w:val="32"/>
          <w:highlight w:val="none"/>
        </w:rPr>
        <w:t>14.</w:t>
      </w:r>
      <w:r>
        <w:rPr>
          <w:rFonts w:hint="eastAsia"/>
          <w:color w:val="auto"/>
          <w:highlight w:val="none"/>
        </w:rPr>
        <w:t xml:space="preserve"> </w:t>
      </w:r>
      <w:r>
        <w:rPr>
          <w:rFonts w:hint="eastAsia" w:ascii="宋体" w:hAnsi="宋体" w:cs="宋体"/>
          <w:b/>
          <w:color w:val="auto"/>
          <w:sz w:val="32"/>
          <w:szCs w:val="32"/>
          <w:highlight w:val="none"/>
        </w:rPr>
        <w:t>供应商可结合本项目自身情况自行提交其它相关证明材料。</w:t>
      </w:r>
    </w:p>
    <w:sectPr>
      <w:footerReference r:id="rId14" w:type="default"/>
      <w:pgSz w:w="11906" w:h="16838"/>
      <w:pgMar w:top="1134" w:right="849" w:bottom="1134" w:left="1134" w:header="720" w:footer="720" w:gutter="0"/>
      <w:pgNumType w:fmt="decimal"/>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0"/>
      <w:rPr>
        <w:rStyle w:val="50"/>
      </w:rPr>
    </w:pPr>
    <w:r>
      <w:fldChar w:fldCharType="begin"/>
    </w:r>
    <w:r>
      <w:rPr>
        <w:rStyle w:val="50"/>
      </w:rPr>
      <w:instrText xml:space="preserve">PAGE  </w:instrText>
    </w:r>
    <w:r>
      <w:fldChar w:fldCharType="separate"/>
    </w:r>
    <w:r>
      <w:rPr>
        <w:rStyle w:val="50"/>
      </w:rPr>
      <w:t>1</w: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3F2B2"/>
    <w:multiLevelType w:val="singleLevel"/>
    <w:tmpl w:val="86A3F2B2"/>
    <w:lvl w:ilvl="0" w:tentative="0">
      <w:start w:val="3"/>
      <w:numFmt w:val="decimal"/>
      <w:suff w:val="nothing"/>
      <w:lvlText w:val="%1、"/>
      <w:lvlJc w:val="left"/>
    </w:lvl>
  </w:abstractNum>
  <w:abstractNum w:abstractNumId="1">
    <w:nsid w:val="00000002"/>
    <w:multiLevelType w:val="multilevel"/>
    <w:tmpl w:val="0000000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00000003"/>
    <w:multiLevelType w:val="multilevel"/>
    <w:tmpl w:val="00000003"/>
    <w:lvl w:ilvl="0" w:tentative="0">
      <w:start w:val="1"/>
      <w:numFmt w:val="japaneseCounting"/>
      <w:pStyle w:val="56"/>
      <w:lvlText w:val="第%1章"/>
      <w:lvlJc w:val="left"/>
      <w:pPr>
        <w:ind w:left="2160" w:hanging="1080"/>
      </w:pPr>
      <w:rPr>
        <w:rFonts w:hint="default"/>
      </w:rPr>
    </w:lvl>
    <w:lvl w:ilvl="1" w:tentative="0">
      <w:start w:val="1"/>
      <w:numFmt w:val="lowerLetter"/>
      <w:pStyle w:val="71"/>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3">
    <w:nsid w:val="00000004"/>
    <w:multiLevelType w:val="singleLevel"/>
    <w:tmpl w:val="00000004"/>
    <w:lvl w:ilvl="0" w:tentative="0">
      <w:start w:val="5"/>
      <w:numFmt w:val="decimal"/>
      <w:suff w:val="space"/>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6"/>
    <w:multiLevelType w:val="multilevel"/>
    <w:tmpl w:val="00000006"/>
    <w:lvl w:ilvl="0" w:tentative="0">
      <w:start w:val="7"/>
      <w:numFmt w:val="japaneseCounting"/>
      <w:pStyle w:val="59"/>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00000007"/>
    <w:multiLevelType w:val="multilevel"/>
    <w:tmpl w:val="00000007"/>
    <w:lvl w:ilvl="0" w:tentative="0">
      <w:start w:val="1"/>
      <w:numFmt w:val="chineseCountingThousand"/>
      <w:pStyle w:val="64"/>
      <w:suff w:val="space"/>
      <w:lvlText w:val="第%1章"/>
      <w:lvlJc w:val="left"/>
      <w:pPr>
        <w:ind w:left="3119" w:hanging="425"/>
      </w:pPr>
      <w:rPr>
        <w:rFonts w:hint="eastAsia"/>
      </w:rPr>
    </w:lvl>
    <w:lvl w:ilvl="1" w:tentative="0">
      <w:start w:val="1"/>
      <w:numFmt w:val="decimal"/>
      <w:pStyle w:val="4"/>
      <w:isLgl/>
      <w:suff w:val="space"/>
      <w:lvlText w:val="%1.%2"/>
      <w:lvlJc w:val="left"/>
      <w:pPr>
        <w:ind w:left="425" w:hanging="425"/>
      </w:pPr>
      <w:rPr>
        <w:rFonts w:hint="eastAsia" w:ascii="微软雅黑" w:hAnsi="微软雅黑" w:eastAsia="微软雅黑"/>
      </w:rPr>
    </w:lvl>
    <w:lvl w:ilvl="2" w:tentative="0">
      <w:start w:val="1"/>
      <w:numFmt w:val="decimal"/>
      <w:isLgl/>
      <w:suff w:val="space"/>
      <w:lvlText w:val="%1.%2.%3"/>
      <w:lvlJc w:val="left"/>
      <w:pPr>
        <w:ind w:left="3119" w:hanging="425"/>
      </w:pPr>
      <w:rPr>
        <w:rFonts w:hint="eastAsia" w:ascii="仿宋_GB2312" w:eastAsia="仿宋_GB2312"/>
      </w:rPr>
    </w:lvl>
    <w:lvl w:ilvl="3" w:tentative="0">
      <w:start w:val="1"/>
      <w:numFmt w:val="decimal"/>
      <w:pStyle w:val="6"/>
      <w:isLgl/>
      <w:suff w:val="space"/>
      <w:lvlText w:val="%1.%2.%3.%4"/>
      <w:lvlJc w:val="left"/>
      <w:pPr>
        <w:ind w:left="3119" w:hanging="425"/>
      </w:pPr>
      <w:rPr>
        <w:rFonts w:hint="eastAsia" w:ascii="仿宋_GB2312" w:hAnsi="宋体" w:eastAsia="仿宋_GB2312"/>
        <w:sz w:val="28"/>
        <w:szCs w:val="28"/>
      </w:rPr>
    </w:lvl>
    <w:lvl w:ilvl="4" w:tentative="0">
      <w:start w:val="1"/>
      <w:numFmt w:val="decimal"/>
      <w:lvlText w:val="%1.%2.%3.%4.%5"/>
      <w:lvlJc w:val="left"/>
      <w:pPr>
        <w:ind w:left="3119" w:hanging="425"/>
      </w:pPr>
      <w:rPr>
        <w:rFonts w:hint="eastAsia"/>
      </w:rPr>
    </w:lvl>
    <w:lvl w:ilvl="5" w:tentative="0">
      <w:start w:val="1"/>
      <w:numFmt w:val="decimal"/>
      <w:lvlText w:val="%1.%2.%3.%4.%5.%6"/>
      <w:lvlJc w:val="left"/>
      <w:pPr>
        <w:ind w:left="3119" w:hanging="425"/>
      </w:pPr>
      <w:rPr>
        <w:rFonts w:hint="eastAsia"/>
      </w:rPr>
    </w:lvl>
    <w:lvl w:ilvl="6" w:tentative="0">
      <w:start w:val="1"/>
      <w:numFmt w:val="decimal"/>
      <w:lvlText w:val="%1.%2.%3.%4.%5.%6.%7"/>
      <w:lvlJc w:val="left"/>
      <w:pPr>
        <w:ind w:left="3119" w:hanging="425"/>
      </w:pPr>
      <w:rPr>
        <w:rFonts w:hint="eastAsia"/>
      </w:rPr>
    </w:lvl>
    <w:lvl w:ilvl="7" w:tentative="0">
      <w:start w:val="1"/>
      <w:numFmt w:val="decimal"/>
      <w:lvlText w:val="%1.%2.%3.%4.%5.%6.%7.%8"/>
      <w:lvlJc w:val="left"/>
      <w:pPr>
        <w:ind w:left="3119" w:hanging="425"/>
      </w:pPr>
      <w:rPr>
        <w:rFonts w:hint="eastAsia"/>
      </w:rPr>
    </w:lvl>
    <w:lvl w:ilvl="8" w:tentative="0">
      <w:start w:val="1"/>
      <w:numFmt w:val="decimal"/>
      <w:lvlText w:val="%1.%2.%3.%4.%5.%6.%7.%8.%9"/>
      <w:lvlJc w:val="left"/>
      <w:pPr>
        <w:ind w:left="3119" w:hanging="425"/>
      </w:pPr>
      <w:rPr>
        <w:rFonts w:hint="eastAsia"/>
      </w:rPr>
    </w:lvl>
  </w:abstractNum>
  <w:abstractNum w:abstractNumId="7">
    <w:nsid w:val="381D6141"/>
    <w:multiLevelType w:val="singleLevel"/>
    <w:tmpl w:val="381D6141"/>
    <w:lvl w:ilvl="0" w:tentative="0">
      <w:start w:val="1"/>
      <w:numFmt w:val="decimal"/>
      <w:suff w:val="nothing"/>
      <w:lvlText w:val="（%1）"/>
      <w:lvlJc w:val="left"/>
      <w:rPr>
        <w:rFonts w:ascii="宋体" w:hAnsi="宋体" w:eastAsia="宋体"/>
      </w:rPr>
    </w:lvl>
  </w:abstractNum>
  <w:abstractNum w:abstractNumId="8">
    <w:nsid w:val="7D725EE6"/>
    <w:multiLevelType w:val="singleLevel"/>
    <w:tmpl w:val="7D725EE6"/>
    <w:lvl w:ilvl="0" w:tentative="0">
      <w:start w:val="1"/>
      <w:numFmt w:val="chineseCounting"/>
      <w:suff w:val="nothing"/>
      <w:lvlText w:val="%1、"/>
      <w:lvlJc w:val="left"/>
      <w:rPr>
        <w:rFonts w:hint="eastAsia"/>
      </w:rPr>
    </w:lvl>
  </w:abstractNum>
  <w:num w:numId="1">
    <w:abstractNumId w:val="6"/>
  </w:num>
  <w:num w:numId="2">
    <w:abstractNumId w:val="2"/>
  </w:num>
  <w:num w:numId="3">
    <w:abstractNumId w:val="5"/>
  </w:num>
  <w:num w:numId="4">
    <w:abstractNumId w:val="8"/>
  </w:num>
  <w:num w:numId="5">
    <w:abstractNumId w:val="3"/>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C9"/>
    <w:rsid w:val="00175957"/>
    <w:rsid w:val="002C4794"/>
    <w:rsid w:val="00376B91"/>
    <w:rsid w:val="004F455D"/>
    <w:rsid w:val="005972E9"/>
    <w:rsid w:val="00686456"/>
    <w:rsid w:val="007207C7"/>
    <w:rsid w:val="00755EBA"/>
    <w:rsid w:val="00826628"/>
    <w:rsid w:val="009A4973"/>
    <w:rsid w:val="00A845E9"/>
    <w:rsid w:val="00C07306"/>
    <w:rsid w:val="00CA4B08"/>
    <w:rsid w:val="00D40C16"/>
    <w:rsid w:val="00DE58AD"/>
    <w:rsid w:val="00ED173B"/>
    <w:rsid w:val="00EE7CC9"/>
    <w:rsid w:val="00EF54C1"/>
    <w:rsid w:val="02123198"/>
    <w:rsid w:val="04BD00E7"/>
    <w:rsid w:val="04F616E5"/>
    <w:rsid w:val="05180339"/>
    <w:rsid w:val="08052B07"/>
    <w:rsid w:val="087F68F6"/>
    <w:rsid w:val="0A317876"/>
    <w:rsid w:val="0D9C6BBA"/>
    <w:rsid w:val="113B6999"/>
    <w:rsid w:val="119C27CB"/>
    <w:rsid w:val="132A082C"/>
    <w:rsid w:val="132D4FA5"/>
    <w:rsid w:val="13D921D4"/>
    <w:rsid w:val="143736B9"/>
    <w:rsid w:val="143E14B0"/>
    <w:rsid w:val="145A0944"/>
    <w:rsid w:val="14E5728C"/>
    <w:rsid w:val="165A69E6"/>
    <w:rsid w:val="18F1248D"/>
    <w:rsid w:val="1B044735"/>
    <w:rsid w:val="1F9460D4"/>
    <w:rsid w:val="22027558"/>
    <w:rsid w:val="237C4EE4"/>
    <w:rsid w:val="266229D8"/>
    <w:rsid w:val="2A38171C"/>
    <w:rsid w:val="2B4458C2"/>
    <w:rsid w:val="2BB57B3B"/>
    <w:rsid w:val="2BD93EF1"/>
    <w:rsid w:val="2D5E6D53"/>
    <w:rsid w:val="2D6A0E7F"/>
    <w:rsid w:val="2EA82536"/>
    <w:rsid w:val="2F3535BC"/>
    <w:rsid w:val="31391E53"/>
    <w:rsid w:val="32C84788"/>
    <w:rsid w:val="32E7053F"/>
    <w:rsid w:val="33685055"/>
    <w:rsid w:val="33EF7028"/>
    <w:rsid w:val="37965442"/>
    <w:rsid w:val="37B64DE5"/>
    <w:rsid w:val="398A6D43"/>
    <w:rsid w:val="3A82762D"/>
    <w:rsid w:val="3D492EE3"/>
    <w:rsid w:val="3FA146AB"/>
    <w:rsid w:val="3FCF37A5"/>
    <w:rsid w:val="40191B25"/>
    <w:rsid w:val="41C4295B"/>
    <w:rsid w:val="44847983"/>
    <w:rsid w:val="449230A6"/>
    <w:rsid w:val="468C55BC"/>
    <w:rsid w:val="46E56803"/>
    <w:rsid w:val="47861B85"/>
    <w:rsid w:val="47BF290A"/>
    <w:rsid w:val="49724B76"/>
    <w:rsid w:val="4C7F0732"/>
    <w:rsid w:val="4E2F2879"/>
    <w:rsid w:val="5C416B60"/>
    <w:rsid w:val="62FF63F3"/>
    <w:rsid w:val="64D80560"/>
    <w:rsid w:val="66392952"/>
    <w:rsid w:val="68C211ED"/>
    <w:rsid w:val="6AC73FE4"/>
    <w:rsid w:val="6CE47AEE"/>
    <w:rsid w:val="6EC25B89"/>
    <w:rsid w:val="6FD14F8F"/>
    <w:rsid w:val="6FD42FFA"/>
    <w:rsid w:val="70A447EC"/>
    <w:rsid w:val="73147BA3"/>
    <w:rsid w:val="73FE4566"/>
    <w:rsid w:val="74813BAE"/>
    <w:rsid w:val="75E853D4"/>
    <w:rsid w:val="78CE0863"/>
    <w:rsid w:val="79A77510"/>
    <w:rsid w:val="7B877845"/>
    <w:rsid w:val="7C940471"/>
    <w:rsid w:val="7D304625"/>
    <w:rsid w:val="7D8F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hd w:val="clear" w:color="auto" w:fill="EAF1DD"/>
      <w:spacing w:before="240" w:after="240"/>
      <w:ind w:firstLine="0" w:firstLineChars="0"/>
      <w:jc w:val="center"/>
      <w:outlineLvl w:val="0"/>
    </w:pPr>
    <w:rPr>
      <w:b/>
      <w:bCs/>
      <w:kern w:val="44"/>
      <w:sz w:val="36"/>
      <w:szCs w:val="44"/>
    </w:rPr>
  </w:style>
  <w:style w:type="paragraph" w:styleId="4">
    <w:name w:val="heading 2"/>
    <w:basedOn w:val="1"/>
    <w:next w:val="1"/>
    <w:qFormat/>
    <w:uiPriority w:val="0"/>
    <w:pPr>
      <w:keepNext/>
      <w:keepLines/>
      <w:numPr>
        <w:ilvl w:val="1"/>
        <w:numId w:val="1"/>
      </w:numPr>
      <w:spacing w:before="240" w:after="240"/>
      <w:outlineLvl w:val="1"/>
    </w:pPr>
    <w:rPr>
      <w:rFonts w:ascii="Cambria" w:hAnsi="Cambria" w:eastAsia="微软雅黑"/>
      <w:b/>
      <w:bCs/>
      <w:kern w:val="0"/>
      <w:sz w:val="32"/>
      <w:szCs w:val="32"/>
    </w:rPr>
  </w:style>
  <w:style w:type="paragraph" w:styleId="5">
    <w:name w:val="heading 3"/>
    <w:basedOn w:val="1"/>
    <w:next w:val="1"/>
    <w:link w:val="10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240" w:after="240"/>
      <w:outlineLvl w:val="3"/>
    </w:pPr>
    <w:rPr>
      <w:rFonts w:ascii="Cambria" w:hAnsi="Cambria" w:eastAsia="仿宋_GB2312"/>
      <w:b/>
      <w:bCs/>
      <w:kern w:val="0"/>
      <w:sz w:val="28"/>
      <w:szCs w:val="28"/>
    </w:rPr>
  </w:style>
  <w:style w:type="paragraph" w:styleId="7">
    <w:name w:val="heading 5"/>
    <w:basedOn w:val="1"/>
    <w:next w:val="1"/>
    <w:qFormat/>
    <w:uiPriority w:val="0"/>
    <w:pPr>
      <w:keepNext/>
      <w:keepLines/>
      <w:spacing w:before="280" w:after="290" w:line="372" w:lineRule="auto"/>
      <w:outlineLvl w:val="4"/>
    </w:pPr>
    <w:rPr>
      <w:b/>
      <w:sz w:val="28"/>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8">
    <w:name w:val="toc 7"/>
    <w:basedOn w:val="1"/>
    <w:next w:val="1"/>
    <w:qFormat/>
    <w:uiPriority w:val="0"/>
    <w:pPr>
      <w:ind w:left="2520" w:leftChars="1200"/>
    </w:pPr>
    <w:rPr>
      <w:szCs w:val="20"/>
    </w:rPr>
  </w:style>
  <w:style w:type="paragraph" w:styleId="9">
    <w:name w:val="index 8"/>
    <w:basedOn w:val="1"/>
    <w:next w:val="1"/>
    <w:qFormat/>
    <w:uiPriority w:val="0"/>
    <w:pPr>
      <w:ind w:left="1400" w:leftChars="1400" w:firstLine="0"/>
    </w:pPr>
  </w:style>
  <w:style w:type="paragraph" w:styleId="10">
    <w:name w:val="Normal Indent"/>
    <w:basedOn w:val="1"/>
    <w:link w:val="104"/>
    <w:qFormat/>
    <w:uiPriority w:val="99"/>
    <w:pPr>
      <w:ind w:firstLine="420"/>
    </w:pPr>
    <w:rPr>
      <w:szCs w:val="20"/>
    </w:rPr>
  </w:style>
  <w:style w:type="paragraph" w:styleId="11">
    <w:name w:val="caption"/>
    <w:basedOn w:val="1"/>
    <w:next w:val="1"/>
    <w:qFormat/>
    <w:uiPriority w:val="0"/>
    <w:pPr>
      <w:spacing w:before="152" w:after="160"/>
    </w:pPr>
    <w:rPr>
      <w:rFonts w:ascii="Arial" w:hAnsi="Arial" w:eastAsia="黑体"/>
      <w:sz w:val="28"/>
      <w:szCs w:val="20"/>
    </w:rPr>
  </w:style>
  <w:style w:type="paragraph" w:styleId="12">
    <w:name w:val="index 5"/>
    <w:basedOn w:val="1"/>
    <w:next w:val="1"/>
    <w:qFormat/>
    <w:uiPriority w:val="0"/>
    <w:pPr>
      <w:ind w:left="800" w:leftChars="800" w:firstLine="0"/>
    </w:pPr>
  </w:style>
  <w:style w:type="paragraph" w:styleId="13">
    <w:name w:val="Document Map"/>
    <w:basedOn w:val="1"/>
    <w:qFormat/>
    <w:uiPriority w:val="0"/>
    <w:pPr>
      <w:shd w:val="clear" w:color="auto" w:fill="000080"/>
    </w:pPr>
  </w:style>
  <w:style w:type="paragraph" w:styleId="14">
    <w:name w:val="toa heading"/>
    <w:basedOn w:val="1"/>
    <w:next w:val="1"/>
    <w:qFormat/>
    <w:uiPriority w:val="0"/>
    <w:rPr>
      <w:rFonts w:ascii="Arial" w:hAnsi="Arial" w:cs="Arial"/>
      <w:sz w:val="24"/>
    </w:rPr>
  </w:style>
  <w:style w:type="paragraph" w:styleId="15">
    <w:name w:val="annotation text"/>
    <w:basedOn w:val="1"/>
    <w:link w:val="105"/>
    <w:qFormat/>
    <w:uiPriority w:val="0"/>
    <w:pPr>
      <w:jc w:val="left"/>
    </w:pPr>
  </w:style>
  <w:style w:type="paragraph" w:styleId="16">
    <w:name w:val="index 6"/>
    <w:basedOn w:val="1"/>
    <w:next w:val="1"/>
    <w:qFormat/>
    <w:uiPriority w:val="0"/>
    <w:pPr>
      <w:ind w:left="1000" w:leftChars="1000" w:firstLine="0"/>
    </w:pPr>
  </w:style>
  <w:style w:type="paragraph" w:styleId="17">
    <w:name w:val="Body Text 3"/>
    <w:basedOn w:val="1"/>
    <w:qFormat/>
    <w:uiPriority w:val="0"/>
    <w:pPr>
      <w:spacing w:line="240" w:lineRule="exact"/>
    </w:pPr>
    <w:rPr>
      <w:rFonts w:ascii="宋体" w:hAnsi="宋体"/>
      <w:color w:val="000000"/>
      <w:szCs w:val="21"/>
    </w:rPr>
  </w:style>
  <w:style w:type="paragraph" w:styleId="18">
    <w:name w:val="Body Text"/>
    <w:basedOn w:val="1"/>
    <w:next w:val="1"/>
    <w:qFormat/>
    <w:uiPriority w:val="0"/>
    <w:pPr>
      <w:spacing w:line="720" w:lineRule="auto"/>
      <w:jc w:val="center"/>
    </w:pPr>
    <w:rPr>
      <w:b/>
      <w:sz w:val="52"/>
      <w:szCs w:val="20"/>
    </w:rPr>
  </w:style>
  <w:style w:type="paragraph" w:styleId="19">
    <w:name w:val="Body Text Indent"/>
    <w:basedOn w:val="1"/>
    <w:qFormat/>
    <w:uiPriority w:val="0"/>
    <w:pPr>
      <w:ind w:left="420" w:leftChars="200"/>
    </w:pPr>
  </w:style>
  <w:style w:type="paragraph" w:styleId="20">
    <w:name w:val="index 4"/>
    <w:basedOn w:val="1"/>
    <w:next w:val="1"/>
    <w:qFormat/>
    <w:uiPriority w:val="0"/>
    <w:pPr>
      <w:ind w:left="600" w:leftChars="600" w:firstLine="0"/>
    </w:pPr>
  </w:style>
  <w:style w:type="paragraph" w:styleId="21">
    <w:name w:val="toc 5"/>
    <w:basedOn w:val="1"/>
    <w:next w:val="1"/>
    <w:qFormat/>
    <w:uiPriority w:val="0"/>
    <w:pPr>
      <w:ind w:left="1680" w:leftChars="800"/>
    </w:pPr>
    <w:rPr>
      <w:szCs w:val="20"/>
    </w:rPr>
  </w:style>
  <w:style w:type="paragraph" w:styleId="22">
    <w:name w:val="toc 3"/>
    <w:basedOn w:val="1"/>
    <w:next w:val="1"/>
    <w:qFormat/>
    <w:uiPriority w:val="0"/>
    <w:pPr>
      <w:ind w:left="840" w:leftChars="400"/>
    </w:pPr>
    <w:rPr>
      <w:szCs w:val="20"/>
    </w:rPr>
  </w:style>
  <w:style w:type="paragraph" w:styleId="23">
    <w:name w:val="Plain Text"/>
    <w:basedOn w:val="1"/>
    <w:link w:val="112"/>
    <w:qFormat/>
    <w:uiPriority w:val="0"/>
    <w:rPr>
      <w:rFonts w:ascii="宋体" w:hAnsi="Courier New"/>
      <w:szCs w:val="20"/>
    </w:rPr>
  </w:style>
  <w:style w:type="paragraph" w:styleId="24">
    <w:name w:val="toc 8"/>
    <w:basedOn w:val="1"/>
    <w:next w:val="1"/>
    <w:qFormat/>
    <w:uiPriority w:val="0"/>
    <w:pPr>
      <w:ind w:left="2940" w:leftChars="1400"/>
    </w:pPr>
    <w:rPr>
      <w:szCs w:val="20"/>
    </w:rPr>
  </w:style>
  <w:style w:type="paragraph" w:styleId="25">
    <w:name w:val="index 3"/>
    <w:basedOn w:val="1"/>
    <w:next w:val="1"/>
    <w:qFormat/>
    <w:uiPriority w:val="0"/>
    <w:pPr>
      <w:ind w:left="400" w:leftChars="400" w:firstLine="0"/>
    </w:pPr>
  </w:style>
  <w:style w:type="paragraph" w:styleId="26">
    <w:name w:val="Date"/>
    <w:basedOn w:val="1"/>
    <w:next w:val="1"/>
    <w:qFormat/>
    <w:uiPriority w:val="0"/>
    <w:rPr>
      <w:sz w:val="28"/>
      <w:szCs w:val="20"/>
    </w:rPr>
  </w:style>
  <w:style w:type="paragraph" w:styleId="27">
    <w:name w:val="Body Text Indent 2"/>
    <w:basedOn w:val="1"/>
    <w:qFormat/>
    <w:uiPriority w:val="0"/>
    <w:pPr>
      <w:spacing w:line="480" w:lineRule="auto"/>
      <w:ind w:left="420" w:leftChars="200"/>
    </w:pPr>
    <w:rPr>
      <w:rFonts w:ascii="Verdana" w:hAnsi="Verdana"/>
      <w:kern w:val="0"/>
      <w:sz w:val="20"/>
    </w:rPr>
  </w:style>
  <w:style w:type="paragraph" w:styleId="28">
    <w:name w:val="Balloon Text"/>
    <w:basedOn w:val="1"/>
    <w:qFormat/>
    <w:uiPriority w:val="0"/>
    <w:rPr>
      <w:sz w:val="18"/>
      <w:szCs w:val="18"/>
    </w:rPr>
  </w:style>
  <w:style w:type="paragraph" w:styleId="29">
    <w:name w:val="footer"/>
    <w:basedOn w:val="1"/>
    <w:link w:val="94"/>
    <w:qFormat/>
    <w:uiPriority w:val="99"/>
    <w:pPr>
      <w:tabs>
        <w:tab w:val="center" w:pos="4153"/>
        <w:tab w:val="right" w:pos="8306"/>
      </w:tabs>
      <w:snapToGrid w:val="0"/>
      <w:jc w:val="left"/>
    </w:pPr>
    <w:rPr>
      <w:sz w:val="18"/>
      <w:szCs w:val="18"/>
    </w:rPr>
  </w:style>
  <w:style w:type="paragraph" w:styleId="30">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9555"/>
      </w:tabs>
      <w:ind w:left="1576" w:leftChars="150" w:right="385" w:rightChars="385" w:hanging="1261" w:hangingChars="394"/>
    </w:pPr>
    <w:rPr>
      <w:szCs w:val="20"/>
    </w:rPr>
  </w:style>
  <w:style w:type="paragraph" w:styleId="32">
    <w:name w:val="toc 4"/>
    <w:basedOn w:val="1"/>
    <w:next w:val="1"/>
    <w:qFormat/>
    <w:uiPriority w:val="0"/>
    <w:pPr>
      <w:ind w:left="1260" w:leftChars="600"/>
    </w:pPr>
    <w:rPr>
      <w:szCs w:val="20"/>
    </w:rPr>
  </w:style>
  <w:style w:type="paragraph" w:styleId="33">
    <w:name w:val="index heading"/>
    <w:basedOn w:val="1"/>
    <w:next w:val="34"/>
    <w:qFormat/>
    <w:uiPriority w:val="0"/>
  </w:style>
  <w:style w:type="paragraph" w:styleId="34">
    <w:name w:val="index 1"/>
    <w:basedOn w:val="1"/>
    <w:next w:val="1"/>
    <w:qFormat/>
    <w:uiPriority w:val="0"/>
    <w:rPr>
      <w:rFonts w:ascii="宋体" w:hAnsi="Courier New"/>
      <w:szCs w:val="20"/>
    </w:rPr>
  </w:style>
  <w:style w:type="paragraph" w:styleId="35">
    <w:name w:val="toc 6"/>
    <w:basedOn w:val="1"/>
    <w:next w:val="1"/>
    <w:qFormat/>
    <w:uiPriority w:val="0"/>
    <w:pPr>
      <w:ind w:left="2100" w:leftChars="1000"/>
    </w:pPr>
    <w:rPr>
      <w:szCs w:val="20"/>
    </w:rPr>
  </w:style>
  <w:style w:type="paragraph" w:styleId="36">
    <w:name w:val="Body Text Indent 3"/>
    <w:basedOn w:val="1"/>
    <w:qFormat/>
    <w:uiPriority w:val="0"/>
    <w:pPr>
      <w:autoSpaceDE w:val="0"/>
      <w:autoSpaceDN w:val="0"/>
      <w:adjustRightInd w:val="0"/>
      <w:spacing w:line="380" w:lineRule="exact"/>
      <w:ind w:firstLine="480"/>
      <w:jc w:val="left"/>
    </w:pPr>
    <w:rPr>
      <w:rFonts w:ascii="楷体_GB2312" w:eastAsia="楷体_GB2312"/>
      <w:color w:val="000000"/>
      <w:sz w:val="24"/>
    </w:rPr>
  </w:style>
  <w:style w:type="paragraph" w:styleId="37">
    <w:name w:val="index 7"/>
    <w:basedOn w:val="1"/>
    <w:next w:val="1"/>
    <w:qFormat/>
    <w:uiPriority w:val="0"/>
    <w:pPr>
      <w:ind w:left="1200" w:leftChars="1200" w:firstLine="0"/>
    </w:pPr>
  </w:style>
  <w:style w:type="paragraph" w:styleId="38">
    <w:name w:val="index 9"/>
    <w:basedOn w:val="1"/>
    <w:next w:val="1"/>
    <w:qFormat/>
    <w:uiPriority w:val="0"/>
    <w:pPr>
      <w:ind w:left="1600" w:leftChars="1600" w:firstLine="0"/>
    </w:p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szCs w:val="20"/>
    </w:rPr>
  </w:style>
  <w:style w:type="paragraph" w:styleId="41">
    <w:name w:val="Normal (Web)"/>
    <w:basedOn w:val="1"/>
    <w:qFormat/>
    <w:uiPriority w:val="99"/>
    <w:rPr>
      <w:rFonts w:eastAsia="仿宋_GB2312"/>
      <w:sz w:val="24"/>
    </w:rPr>
  </w:style>
  <w:style w:type="paragraph" w:styleId="42">
    <w:name w:val="index 2"/>
    <w:basedOn w:val="1"/>
    <w:next w:val="1"/>
    <w:qFormat/>
    <w:uiPriority w:val="0"/>
    <w:pPr>
      <w:ind w:left="200" w:leftChars="200" w:firstLine="0"/>
    </w:pPr>
  </w:style>
  <w:style w:type="paragraph" w:styleId="43">
    <w:name w:val="Title"/>
    <w:basedOn w:val="1"/>
    <w:next w:val="1"/>
    <w:qFormat/>
    <w:uiPriority w:val="0"/>
    <w:pPr>
      <w:spacing w:line="300" w:lineRule="auto"/>
      <w:jc w:val="center"/>
    </w:pPr>
    <w:rPr>
      <w:b/>
      <w:kern w:val="0"/>
      <w:sz w:val="36"/>
      <w:szCs w:val="20"/>
    </w:rPr>
  </w:style>
  <w:style w:type="paragraph" w:styleId="44">
    <w:name w:val="annotation subject"/>
    <w:basedOn w:val="15"/>
    <w:next w:val="15"/>
    <w:qFormat/>
    <w:uiPriority w:val="0"/>
    <w:rPr>
      <w:b/>
      <w:bCs/>
    </w:rPr>
  </w:style>
  <w:style w:type="paragraph" w:styleId="45">
    <w:name w:val="Body Text First Indent 2"/>
    <w:basedOn w:val="19"/>
    <w:unhideWhenUsed/>
    <w:qFormat/>
    <w:uiPriority w:val="99"/>
    <w:pPr>
      <w:ind w:firstLine="420" w:firstLineChars="200"/>
    </w:pPr>
  </w:style>
  <w:style w:type="table" w:styleId="4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9">
    <w:name w:val="Strong"/>
    <w:qFormat/>
    <w:uiPriority w:val="0"/>
    <w:rPr>
      <w:rFonts w:ascii="Arial" w:hAnsi="Arial" w:cs="Arial"/>
      <w:b/>
      <w:sz w:val="18"/>
      <w:szCs w:val="18"/>
    </w:rPr>
  </w:style>
  <w:style w:type="character" w:styleId="50">
    <w:name w:val="page number"/>
    <w:basedOn w:val="48"/>
    <w:qFormat/>
    <w:uiPriority w:val="0"/>
  </w:style>
  <w:style w:type="character" w:styleId="51">
    <w:name w:val="FollowedHyperlink"/>
    <w:qFormat/>
    <w:uiPriority w:val="0"/>
    <w:rPr>
      <w:rFonts w:hint="default" w:ascii="Arial" w:hAnsi="Arial" w:cs="Arial"/>
      <w:color w:val="003399"/>
      <w:sz w:val="18"/>
      <w:szCs w:val="18"/>
      <w:u w:val="none"/>
    </w:rPr>
  </w:style>
  <w:style w:type="character" w:styleId="52">
    <w:name w:val="Hyperlink"/>
    <w:qFormat/>
    <w:uiPriority w:val="99"/>
    <w:rPr>
      <w:rFonts w:hint="default" w:ascii="Arial" w:hAnsi="Arial" w:cs="Arial"/>
      <w:color w:val="003399"/>
      <w:sz w:val="18"/>
      <w:szCs w:val="18"/>
      <w:u w:val="none"/>
    </w:rPr>
  </w:style>
  <w:style w:type="character" w:styleId="53">
    <w:name w:val="annotation reference"/>
    <w:qFormat/>
    <w:uiPriority w:val="0"/>
    <w:rPr>
      <w:sz w:val="21"/>
      <w:szCs w:val="21"/>
    </w:rPr>
  </w:style>
  <w:style w:type="paragraph" w:customStyle="1" w:styleId="54">
    <w:name w:val="Body Text First Indent 21"/>
    <w:basedOn w:val="1"/>
    <w:qFormat/>
    <w:uiPriority w:val="0"/>
    <w:pPr>
      <w:ind w:left="200" w:leftChars="200" w:firstLine="420"/>
    </w:pPr>
    <w:rPr>
      <w:rFonts w:ascii="仿宋_GB2312" w:eastAsia="仿宋_GB2312" w:cs="仿宋_GB2312"/>
      <w:sz w:val="32"/>
      <w:szCs w:val="32"/>
    </w:rPr>
  </w:style>
  <w:style w:type="paragraph" w:customStyle="1" w:styleId="55">
    <w:name w:val="a 正文"/>
    <w:basedOn w:val="56"/>
    <w:qFormat/>
    <w:uiPriority w:val="0"/>
    <w:pPr>
      <w:numPr>
        <w:ilvl w:val="2"/>
        <w:numId w:val="0"/>
      </w:numPr>
      <w:tabs>
        <w:tab w:val="left" w:pos="360"/>
      </w:tabs>
      <w:ind w:left="681" w:hanging="227"/>
    </w:pPr>
  </w:style>
  <w:style w:type="paragraph" w:customStyle="1" w:styleId="56">
    <w:name w:val="A.正文"/>
    <w:basedOn w:val="1"/>
    <w:qFormat/>
    <w:uiPriority w:val="0"/>
    <w:pPr>
      <w:widowControl/>
      <w:numPr>
        <w:ilvl w:val="0"/>
        <w:numId w:val="2"/>
      </w:numPr>
      <w:tabs>
        <w:tab w:val="left" w:pos="360"/>
      </w:tabs>
      <w:spacing w:before="40" w:after="40" w:line="300" w:lineRule="exact"/>
      <w:ind w:firstLine="510"/>
    </w:pPr>
    <w:rPr>
      <w:szCs w:val="20"/>
    </w:rPr>
  </w:style>
  <w:style w:type="paragraph" w:customStyle="1" w:styleId="57">
    <w:name w:val="pa-25"/>
    <w:basedOn w:val="1"/>
    <w:qFormat/>
    <w:uiPriority w:val="0"/>
    <w:pPr>
      <w:widowControl/>
      <w:spacing w:line="240" w:lineRule="atLeast"/>
      <w:jc w:val="center"/>
    </w:pPr>
    <w:rPr>
      <w:rFonts w:ascii="宋体" w:hAnsi="宋体" w:cs="宋体"/>
      <w:kern w:val="0"/>
      <w:sz w:val="24"/>
    </w:rPr>
  </w:style>
  <w:style w:type="paragraph" w:customStyle="1" w:styleId="58">
    <w:name w:val="p0"/>
    <w:basedOn w:val="1"/>
    <w:qFormat/>
    <w:uiPriority w:val="0"/>
    <w:pPr>
      <w:widowControl/>
    </w:pPr>
    <w:rPr>
      <w:kern w:val="0"/>
      <w:szCs w:val="21"/>
    </w:rPr>
  </w:style>
  <w:style w:type="paragraph" w:customStyle="1" w:styleId="59">
    <w:name w:val="样式1"/>
    <w:basedOn w:val="1"/>
    <w:qFormat/>
    <w:uiPriority w:val="0"/>
    <w:pPr>
      <w:numPr>
        <w:ilvl w:val="0"/>
        <w:numId w:val="3"/>
      </w:numPr>
      <w:tabs>
        <w:tab w:val="clear" w:pos="1253"/>
      </w:tabs>
    </w:pPr>
    <w:rPr>
      <w:sz w:val="28"/>
      <w:szCs w:val="20"/>
    </w:rPr>
  </w:style>
  <w:style w:type="paragraph" w:customStyle="1" w:styleId="60">
    <w:name w:val="中文段落正文"/>
    <w:basedOn w:val="1"/>
    <w:qFormat/>
    <w:uiPriority w:val="0"/>
    <w:pPr>
      <w:ind w:firstLine="480"/>
    </w:pPr>
    <w:rPr>
      <w:kern w:val="21"/>
    </w:rPr>
  </w:style>
  <w:style w:type="paragraph" w:customStyle="1" w:styleId="61">
    <w:name w:val="2ji"/>
    <w:basedOn w:val="4"/>
    <w:qFormat/>
    <w:uiPriority w:val="0"/>
    <w:pPr>
      <w:numPr>
        <w:ilvl w:val="0"/>
        <w:numId w:val="0"/>
      </w:numPr>
      <w:spacing w:before="0" w:after="0"/>
    </w:pPr>
    <w:rPr>
      <w:rFonts w:ascii="宋体" w:hAnsi="宋体" w:eastAsia="宋体"/>
      <w:bCs w:val="0"/>
      <w:kern w:val="2"/>
      <w:sz w:val="21"/>
      <w:szCs w:val="21"/>
    </w:rPr>
  </w:style>
  <w:style w:type="paragraph" w:customStyle="1" w:styleId="62">
    <w:name w:val="Char Char Char Char"/>
    <w:basedOn w:val="1"/>
    <w:qFormat/>
    <w:uiPriority w:val="0"/>
    <w:rPr>
      <w:rFonts w:ascii="Tahoma" w:hAnsi="Tahoma"/>
      <w:sz w:val="24"/>
      <w:szCs w:val="20"/>
    </w:rPr>
  </w:style>
  <w:style w:type="paragraph" w:customStyle="1" w:styleId="63">
    <w:name w:val="Char1 Char Char Char Char Char Char"/>
    <w:basedOn w:val="1"/>
    <w:qFormat/>
    <w:uiPriority w:val="0"/>
  </w:style>
  <w:style w:type="paragraph" w:customStyle="1" w:styleId="64">
    <w:name w:val="样式2"/>
    <w:basedOn w:val="1"/>
    <w:qFormat/>
    <w:uiPriority w:val="0"/>
    <w:pPr>
      <w:numPr>
        <w:ilvl w:val="0"/>
        <w:numId w:val="1"/>
      </w:numPr>
      <w:tabs>
        <w:tab w:val="left" w:pos="780"/>
      </w:tabs>
    </w:pPr>
    <w:rPr>
      <w:sz w:val="28"/>
      <w:szCs w:val="20"/>
    </w:rPr>
  </w:style>
  <w:style w:type="paragraph" w:customStyle="1" w:styleId="65">
    <w:name w:val="正文缩进1"/>
    <w:basedOn w:val="1"/>
    <w:qFormat/>
    <w:uiPriority w:val="0"/>
    <w:pPr>
      <w:tabs>
        <w:tab w:val="left" w:pos="0"/>
      </w:tabs>
      <w:snapToGrid w:val="0"/>
      <w:ind w:firstLine="502"/>
    </w:pPr>
    <w:rPr>
      <w:rFonts w:ascii="宋体" w:hAnsi="宋体"/>
      <w:szCs w:val="21"/>
    </w:rPr>
  </w:style>
  <w:style w:type="paragraph" w:customStyle="1" w:styleId="66">
    <w:name w:val="Char Char4 Char Char"/>
    <w:basedOn w:val="1"/>
    <w:qFormat/>
    <w:uiPriority w:val="0"/>
    <w:pPr>
      <w:widowControl/>
      <w:spacing w:before="0" w:after="160" w:line="240" w:lineRule="exact"/>
      <w:ind w:firstLine="0" w:firstLineChars="0"/>
      <w:jc w:val="left"/>
    </w:pPr>
  </w:style>
  <w:style w:type="paragraph" w:customStyle="1" w:styleId="67">
    <w:name w:val="纯文本1"/>
    <w:basedOn w:val="1"/>
    <w:qFormat/>
    <w:uiPriority w:val="0"/>
    <w:rPr>
      <w:rFonts w:ascii="宋体" w:hAnsi="Courier New"/>
      <w:szCs w:val="20"/>
    </w:rPr>
  </w:style>
  <w:style w:type="paragraph" w:customStyle="1" w:styleId="68">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0">
    <w:name w:val="1"/>
    <w:basedOn w:val="1"/>
    <w:next w:val="23"/>
    <w:qFormat/>
    <w:uiPriority w:val="0"/>
    <w:pPr>
      <w:spacing w:before="0" w:after="0" w:line="240" w:lineRule="auto"/>
      <w:ind w:firstLine="0" w:firstLineChars="0"/>
    </w:pPr>
    <w:rPr>
      <w:rFonts w:ascii="宋体" w:hAnsi="Courier New"/>
      <w:szCs w:val="20"/>
    </w:rPr>
  </w:style>
  <w:style w:type="paragraph" w:customStyle="1" w:styleId="71">
    <w:name w:val="1.正文"/>
    <w:basedOn w:val="1"/>
    <w:qFormat/>
    <w:uiPriority w:val="0"/>
    <w:pPr>
      <w:widowControl/>
      <w:numPr>
        <w:ilvl w:val="1"/>
        <w:numId w:val="2"/>
      </w:numPr>
      <w:tabs>
        <w:tab w:val="left" w:pos="360"/>
      </w:tabs>
      <w:spacing w:before="40" w:after="40" w:line="300" w:lineRule="exact"/>
    </w:pPr>
    <w:rPr>
      <w:szCs w:val="20"/>
    </w:rPr>
  </w:style>
  <w:style w:type="paragraph" w:customStyle="1" w:styleId="72">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73">
    <w:name w:val="pa-134"/>
    <w:basedOn w:val="1"/>
    <w:qFormat/>
    <w:uiPriority w:val="0"/>
    <w:pPr>
      <w:widowControl/>
      <w:spacing w:line="360" w:lineRule="atLeast"/>
      <w:jc w:val="left"/>
    </w:pPr>
    <w:rPr>
      <w:rFonts w:ascii="宋体" w:hAnsi="宋体" w:cs="宋体"/>
      <w:kern w:val="0"/>
      <w:sz w:val="24"/>
    </w:rPr>
  </w:style>
  <w:style w:type="paragraph" w:customStyle="1" w:styleId="74">
    <w:name w:val="正文呀2"/>
    <w:basedOn w:val="1"/>
    <w:link w:val="111"/>
    <w:qFormat/>
    <w:uiPriority w:val="0"/>
    <w:pPr>
      <w:spacing w:line="420" w:lineRule="exact"/>
      <w:ind w:firstLine="0" w:firstLineChars="0"/>
    </w:pPr>
    <w:rPr>
      <w:sz w:val="18"/>
      <w:szCs w:val="21"/>
    </w:rPr>
  </w:style>
  <w:style w:type="paragraph" w:customStyle="1" w:styleId="75">
    <w:name w:val="C503-正文格式"/>
    <w:basedOn w:val="1"/>
    <w:qFormat/>
    <w:uiPriority w:val="0"/>
    <w:pPr>
      <w:ind w:firstLine="480"/>
    </w:pPr>
    <w:rPr>
      <w:sz w:val="24"/>
      <w:szCs w:val="20"/>
    </w:rPr>
  </w:style>
  <w:style w:type="paragraph" w:customStyle="1" w:styleId="76">
    <w:name w:val="大标题"/>
    <w:basedOn w:val="1"/>
    <w:qFormat/>
    <w:uiPriority w:val="0"/>
    <w:pPr>
      <w:spacing w:line="480" w:lineRule="auto"/>
      <w:jc w:val="center"/>
    </w:pPr>
    <w:rPr>
      <w:rFonts w:ascii="宋体" w:hAnsi="宋体"/>
      <w:sz w:val="32"/>
      <w:szCs w:val="20"/>
    </w:rPr>
  </w:style>
  <w:style w:type="paragraph" w:customStyle="1" w:styleId="77">
    <w:name w:val="pa-144"/>
    <w:basedOn w:val="1"/>
    <w:qFormat/>
    <w:uiPriority w:val="0"/>
    <w:pPr>
      <w:widowControl/>
      <w:spacing w:line="300" w:lineRule="atLeast"/>
      <w:jc w:val="center"/>
    </w:pPr>
    <w:rPr>
      <w:rFonts w:ascii="宋体" w:hAnsi="宋体" w:cs="宋体"/>
      <w:kern w:val="0"/>
      <w:sz w:val="24"/>
    </w:rPr>
  </w:style>
  <w:style w:type="paragraph" w:customStyle="1" w:styleId="78">
    <w:name w:val="Char Char Char Char1"/>
    <w:basedOn w:val="1"/>
    <w:qFormat/>
    <w:uiPriority w:val="0"/>
    <w:rPr>
      <w:rFonts w:ascii="Tahoma" w:hAnsi="Tahoma"/>
      <w:sz w:val="24"/>
      <w:szCs w:val="20"/>
    </w:rPr>
  </w:style>
  <w:style w:type="paragraph" w:customStyle="1" w:styleId="79">
    <w:name w:val="Char"/>
    <w:basedOn w:val="1"/>
    <w:qFormat/>
    <w:uiPriority w:val="0"/>
  </w:style>
  <w:style w:type="paragraph" w:customStyle="1" w:styleId="80">
    <w:name w:val="2"/>
    <w:basedOn w:val="1"/>
    <w:next w:val="23"/>
    <w:qFormat/>
    <w:uiPriority w:val="0"/>
    <w:rPr>
      <w:rFonts w:ascii="宋体" w:hAnsi="Courier New"/>
      <w:szCs w:val="20"/>
    </w:rPr>
  </w:style>
  <w:style w:type="paragraph" w:customStyle="1" w:styleId="81">
    <w:name w:val="_Style 76"/>
    <w:basedOn w:val="3"/>
    <w:next w:val="1"/>
    <w:qFormat/>
    <w:uiPriority w:val="39"/>
    <w:pPr>
      <w:pageBreakBefore w:val="0"/>
      <w:widowControl/>
      <w:shd w:val="clear" w:color="auto" w:fill="auto"/>
      <w:spacing w:before="480" w:after="0" w:line="276" w:lineRule="auto"/>
      <w:jc w:val="left"/>
      <w:outlineLvl w:val="9"/>
    </w:pPr>
    <w:rPr>
      <w:rFonts w:ascii="Cambria" w:hAnsi="Cambria"/>
      <w:color w:val="365F91"/>
      <w:kern w:val="0"/>
      <w:sz w:val="28"/>
      <w:szCs w:val="28"/>
    </w:rPr>
  </w:style>
  <w:style w:type="paragraph" w:customStyle="1" w:styleId="82">
    <w:name w:val="pa-23"/>
    <w:basedOn w:val="1"/>
    <w:qFormat/>
    <w:uiPriority w:val="0"/>
    <w:pPr>
      <w:widowControl/>
      <w:spacing w:line="240" w:lineRule="atLeast"/>
    </w:pPr>
    <w:rPr>
      <w:rFonts w:ascii="宋体" w:hAnsi="宋体" w:cs="宋体"/>
      <w:kern w:val="0"/>
      <w:sz w:val="24"/>
    </w:rPr>
  </w:style>
  <w:style w:type="paragraph" w:customStyle="1" w:styleId="83">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kern w:val="2"/>
      <w:sz w:val="28"/>
      <w:szCs w:val="20"/>
    </w:rPr>
  </w:style>
  <w:style w:type="paragraph" w:customStyle="1" w:styleId="84">
    <w:name w:val="中等深浅网格 1 - 强调文字颜色 21"/>
    <w:basedOn w:val="1"/>
    <w:qFormat/>
    <w:uiPriority w:val="34"/>
    <w:pPr>
      <w:ind w:firstLine="420"/>
    </w:pPr>
  </w:style>
  <w:style w:type="paragraph" w:customStyle="1" w:styleId="85">
    <w:name w:val="彩色列表 - 强调文字颜色 11"/>
    <w:basedOn w:val="1"/>
    <w:qFormat/>
    <w:uiPriority w:val="34"/>
    <w:pPr>
      <w:ind w:firstLine="420"/>
    </w:pPr>
  </w:style>
  <w:style w:type="paragraph" w:customStyle="1" w:styleId="86">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87">
    <w:name w:val="List Paragraph"/>
    <w:basedOn w:val="1"/>
    <w:qFormat/>
    <w:uiPriority w:val="34"/>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88">
    <w:name w:val="中等深浅底纹 1 - 强调文字颜色 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tabseltxt"/>
    <w:qFormat/>
    <w:uiPriority w:val="0"/>
    <w:rPr>
      <w:b/>
      <w:color w:val="333333"/>
      <w:u w:val="none"/>
    </w:rPr>
  </w:style>
  <w:style w:type="character" w:customStyle="1" w:styleId="90">
    <w:name w:val="mstlbl"/>
    <w:qFormat/>
    <w:uiPriority w:val="0"/>
    <w:rPr>
      <w:color w:val="EEF0F2"/>
    </w:rPr>
  </w:style>
  <w:style w:type="character" w:customStyle="1" w:styleId="91">
    <w:name w:val="批注文字 Char Char"/>
    <w:qFormat/>
    <w:uiPriority w:val="0"/>
    <w:rPr>
      <w:kern w:val="2"/>
      <w:sz w:val="24"/>
      <w:szCs w:val="24"/>
    </w:rPr>
  </w:style>
  <w:style w:type="character" w:customStyle="1" w:styleId="92">
    <w:name w:val="apple-converted-space"/>
    <w:qFormat/>
    <w:uiPriority w:val="0"/>
  </w:style>
  <w:style w:type="character" w:customStyle="1" w:styleId="93">
    <w:name w:val="页脚 Char"/>
    <w:qFormat/>
    <w:uiPriority w:val="99"/>
    <w:rPr>
      <w:lang w:eastAsia="zh-CN"/>
    </w:rPr>
  </w:style>
  <w:style w:type="character" w:customStyle="1" w:styleId="94">
    <w:name w:val="页脚 Char1"/>
    <w:link w:val="29"/>
    <w:qFormat/>
    <w:uiPriority w:val="99"/>
    <w:rPr>
      <w:rFonts w:eastAsia="宋体"/>
      <w:kern w:val="2"/>
      <w:sz w:val="18"/>
      <w:szCs w:val="18"/>
      <w:lang w:val="en-US" w:eastAsia="zh-CN" w:bidi="ar-SA"/>
    </w:rPr>
  </w:style>
  <w:style w:type="character" w:customStyle="1" w:styleId="95">
    <w:name w:val="mstusrrole"/>
    <w:qFormat/>
    <w:uiPriority w:val="0"/>
    <w:rPr>
      <w:color w:val="EEF0F2"/>
    </w:rPr>
  </w:style>
  <w:style w:type="character" w:customStyle="1" w:styleId="96">
    <w:name w:val="msttxt"/>
    <w:qFormat/>
    <w:uiPriority w:val="0"/>
    <w:rPr>
      <w:color w:val="EEF0F2"/>
    </w:rPr>
  </w:style>
  <w:style w:type="character" w:customStyle="1" w:styleId="97">
    <w:name w:val="HTML Markup"/>
    <w:qFormat/>
    <w:uiPriority w:val="0"/>
    <w:rPr>
      <w:vanish/>
      <w:color w:val="FF0000"/>
    </w:rPr>
  </w:style>
  <w:style w:type="character" w:customStyle="1" w:styleId="98">
    <w:name w:val="tab1seltxt"/>
    <w:qFormat/>
    <w:uiPriority w:val="0"/>
    <w:rPr>
      <w:b/>
      <w:color w:val="333333"/>
      <w:u w:val="none"/>
    </w:rPr>
  </w:style>
  <w:style w:type="character" w:customStyle="1" w:styleId="99">
    <w:name w:val="Char Char1"/>
    <w:qFormat/>
    <w:uiPriority w:val="0"/>
    <w:rPr>
      <w:rFonts w:ascii="宋体" w:hAnsi="Courier New" w:eastAsia="宋体"/>
      <w:kern w:val="2"/>
      <w:sz w:val="21"/>
      <w:lang w:val="en-US" w:eastAsia="zh-CN" w:bidi="ar-SA"/>
    </w:rPr>
  </w:style>
  <w:style w:type="character" w:customStyle="1" w:styleId="100">
    <w:name w:val="纯文本 Char1"/>
    <w:qFormat/>
    <w:uiPriority w:val="0"/>
    <w:rPr>
      <w:rFonts w:ascii="宋体" w:hAnsi="Courier New" w:eastAsia="宋体" w:cs="Times New Roman"/>
      <w:szCs w:val="20"/>
    </w:rPr>
  </w:style>
  <w:style w:type="character" w:customStyle="1" w:styleId="101">
    <w:name w:val="标题 3 Char"/>
    <w:link w:val="5"/>
    <w:qFormat/>
    <w:uiPriority w:val="0"/>
    <w:rPr>
      <w:rFonts w:eastAsia="宋体"/>
      <w:b/>
      <w:bCs/>
      <w:kern w:val="2"/>
      <w:sz w:val="32"/>
      <w:szCs w:val="32"/>
      <w:lang w:val="en-US" w:eastAsia="zh-CN" w:bidi="ar-SA"/>
    </w:rPr>
  </w:style>
  <w:style w:type="character" w:customStyle="1" w:styleId="102">
    <w:name w:val="mstalmdwntxt"/>
    <w:qFormat/>
    <w:uiPriority w:val="0"/>
    <w:rPr>
      <w:color w:val="EEF0F2"/>
    </w:rPr>
  </w:style>
  <w:style w:type="character" w:customStyle="1" w:styleId="103">
    <w:name w:val="ca-131"/>
    <w:qFormat/>
    <w:uiPriority w:val="0"/>
    <w:rPr>
      <w:rFonts w:hint="eastAsia" w:ascii="宋体" w:hAnsi="宋体" w:eastAsia="宋体"/>
      <w:sz w:val="21"/>
      <w:szCs w:val="21"/>
    </w:rPr>
  </w:style>
  <w:style w:type="character" w:customStyle="1" w:styleId="104">
    <w:name w:val="正文缩进 Char"/>
    <w:link w:val="10"/>
    <w:qFormat/>
    <w:uiPriority w:val="99"/>
    <w:rPr>
      <w:rFonts w:eastAsia="宋体"/>
      <w:kern w:val="2"/>
      <w:sz w:val="21"/>
      <w:lang w:val="en-US" w:eastAsia="zh-CN" w:bidi="ar-SA"/>
    </w:rPr>
  </w:style>
  <w:style w:type="character" w:customStyle="1" w:styleId="105">
    <w:name w:val="批注文字 Char"/>
    <w:link w:val="15"/>
    <w:qFormat/>
    <w:uiPriority w:val="0"/>
    <w:rPr>
      <w:rFonts w:eastAsia="宋体"/>
      <w:kern w:val="2"/>
      <w:sz w:val="21"/>
      <w:szCs w:val="24"/>
      <w:lang w:val="en-US" w:eastAsia="zh-CN" w:bidi="ar-SA"/>
    </w:rPr>
  </w:style>
  <w:style w:type="character" w:customStyle="1" w:styleId="106">
    <w:name w:val="mstalmmintxt"/>
    <w:qFormat/>
    <w:uiPriority w:val="0"/>
    <w:rPr>
      <w:color w:val="EEF0F2"/>
    </w:rPr>
  </w:style>
  <w:style w:type="character" w:customStyle="1" w:styleId="107">
    <w:name w:val="mstalmmajtxt"/>
    <w:qFormat/>
    <w:uiPriority w:val="0"/>
    <w:rPr>
      <w:color w:val="EEF0F2"/>
    </w:rPr>
  </w:style>
  <w:style w:type="character" w:customStyle="1" w:styleId="108">
    <w:name w:val="页眉 Char"/>
    <w:link w:val="30"/>
    <w:qFormat/>
    <w:uiPriority w:val="0"/>
    <w:rPr>
      <w:rFonts w:eastAsia="宋体"/>
      <w:kern w:val="2"/>
      <w:sz w:val="18"/>
      <w:szCs w:val="18"/>
      <w:lang w:val="en-US" w:eastAsia="zh-CN" w:bidi="ar-SA"/>
    </w:rPr>
  </w:style>
  <w:style w:type="character" w:customStyle="1" w:styleId="109">
    <w:name w:val="mstalmcrttxt"/>
    <w:qFormat/>
    <w:uiPriority w:val="0"/>
    <w:rPr>
      <w:color w:val="EEF0F2"/>
    </w:rPr>
  </w:style>
  <w:style w:type="character" w:customStyle="1" w:styleId="110">
    <w:name w:val="ttltxt"/>
    <w:qFormat/>
    <w:uiPriority w:val="0"/>
    <w:rPr>
      <w:b/>
      <w:color w:val="000000"/>
      <w:sz w:val="24"/>
      <w:szCs w:val="24"/>
    </w:rPr>
  </w:style>
  <w:style w:type="character" w:customStyle="1" w:styleId="111">
    <w:name w:val="正文呀2 Char"/>
    <w:link w:val="74"/>
    <w:qFormat/>
    <w:uiPriority w:val="0"/>
    <w:rPr>
      <w:kern w:val="2"/>
      <w:sz w:val="18"/>
      <w:szCs w:val="21"/>
    </w:rPr>
  </w:style>
  <w:style w:type="character" w:customStyle="1" w:styleId="112">
    <w:name w:val="纯文本 Char"/>
    <w:link w:val="23"/>
    <w:qFormat/>
    <w:uiPriority w:val="0"/>
    <w:rPr>
      <w:rFonts w:ascii="宋体" w:hAnsi="Courier New" w:eastAsia="宋体"/>
      <w:kern w:val="2"/>
      <w:sz w:val="21"/>
      <w:lang w:val="en-US" w:eastAsia="zh-CN" w:bidi="ar-SA"/>
    </w:rPr>
  </w:style>
  <w:style w:type="paragraph" w:customStyle="1" w:styleId="113">
    <w:name w:val="正文_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14">
    <w:name w:val="Table Paragraph"/>
    <w:basedOn w:val="1"/>
    <w:qFormat/>
    <w:uiPriority w:val="1"/>
  </w:style>
  <w:style w:type="paragraph" w:customStyle="1" w:styleId="115">
    <w:name w:val="表格"/>
    <w:basedOn w:val="1"/>
    <w:qFormat/>
    <w:uiPriority w:val="0"/>
    <w:pPr>
      <w:spacing w:line="400" w:lineRule="exac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4354</Words>
  <Characters>24819</Characters>
  <Lines>1</Lines>
  <Paragraphs>1</Paragraphs>
  <TotalTime>1</TotalTime>
  <ScaleCrop>false</ScaleCrop>
  <LinksUpToDate>false</LinksUpToDate>
  <CharactersWithSpaces>29115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2018-06-07T09:39:00Z</dcterms:created>
  <dc:creator>微软用户;潘虹</dc:creator>
  <cp:lastModifiedBy>  小妮子  </cp:lastModifiedBy>
  <cp:lastPrinted>2020-12-11T08:36:00Z</cp:lastPrinted>
  <dcterms:modified xsi:type="dcterms:W3CDTF">2020-12-11T09:35:28Z</dcterms:modified>
  <dc:title>慰问品采购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