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Ansi="宋体" w:cs="宋体"/>
          <w:b/>
          <w:bCs/>
          <w:sz w:val="72"/>
          <w:szCs w:val="72"/>
        </w:rPr>
      </w:pPr>
    </w:p>
    <w:p>
      <w:pPr>
        <w:pStyle w:val="17"/>
        <w:jc w:val="center"/>
        <w:rPr>
          <w:rFonts w:hAnsi="宋体" w:cs="宋体"/>
          <w:b/>
          <w:bCs/>
          <w:sz w:val="72"/>
          <w:szCs w:val="72"/>
        </w:rPr>
      </w:pPr>
      <w:r>
        <w:rPr>
          <w:rFonts w:hint="eastAsia" w:hAnsi="宋体" w:cs="宋体"/>
          <w:b/>
          <w:bCs/>
          <w:sz w:val="72"/>
          <w:szCs w:val="72"/>
        </w:rPr>
        <w:t>竞争性谈判采购文件</w:t>
      </w:r>
    </w:p>
    <w:p>
      <w:pPr>
        <w:spacing w:before="318" w:beforeLines="100" w:after="159" w:afterLines="50" w:line="360" w:lineRule="auto"/>
        <w:jc w:val="center"/>
        <w:rPr>
          <w:rFonts w:ascii="宋体" w:hAnsi="宋体"/>
          <w:szCs w:val="21"/>
        </w:rPr>
      </w:pPr>
      <w:r>
        <w:rPr>
          <w:rFonts w:hint="eastAsia" w:ascii="宋体" w:hAnsi="宋体"/>
          <w:szCs w:val="21"/>
        </w:rPr>
        <w:t>（全流程电子化评标）</w:t>
      </w:r>
    </w:p>
    <w:p>
      <w:pPr>
        <w:snapToGrid w:val="0"/>
        <w:spacing w:line="360" w:lineRule="auto"/>
        <w:rPr>
          <w:rFonts w:ascii="宋体" w:hAnsi="宋体" w:cs="宋体"/>
          <w:sz w:val="30"/>
          <w:szCs w:val="72"/>
        </w:rPr>
      </w:pPr>
    </w:p>
    <w:p>
      <w:pPr>
        <w:pStyle w:val="17"/>
        <w:ind w:firstLine="2108" w:firstLineChars="700"/>
        <w:jc w:val="left"/>
        <w:rPr>
          <w:rFonts w:hAnsi="宋体" w:cs="宋体"/>
          <w:b/>
          <w:sz w:val="30"/>
          <w:szCs w:val="72"/>
        </w:rPr>
      </w:pPr>
    </w:p>
    <w:p>
      <w:pPr>
        <w:spacing w:line="400" w:lineRule="exact"/>
        <w:ind w:firstLine="1430" w:firstLineChars="445"/>
        <w:jc w:val="center"/>
        <w:rPr>
          <w:b/>
          <w:sz w:val="32"/>
          <w:szCs w:val="32"/>
        </w:rPr>
      </w:pPr>
      <w:r>
        <w:rPr>
          <w:b/>
          <w:sz w:val="32"/>
          <w:szCs w:val="32"/>
        </w:rPr>
        <w:t>项目名称：</w:t>
      </w:r>
      <w:r>
        <w:rPr>
          <w:rFonts w:hint="eastAsia"/>
          <w:b/>
          <w:sz w:val="32"/>
          <w:szCs w:val="32"/>
        </w:rPr>
        <w:t>广西特色高纯金属材料制备及半导体器件开发创新中心-半导体光电器件制备与封装系统及半导体光电器件测试系统采购</w:t>
      </w:r>
    </w:p>
    <w:p>
      <w:pPr>
        <w:spacing w:line="400" w:lineRule="exact"/>
        <w:jc w:val="center"/>
        <w:rPr>
          <w:b/>
          <w:sz w:val="32"/>
          <w:szCs w:val="32"/>
        </w:rPr>
      </w:pPr>
    </w:p>
    <w:p>
      <w:pPr>
        <w:spacing w:line="400" w:lineRule="exact"/>
        <w:ind w:firstLine="1430" w:firstLineChars="445"/>
        <w:rPr>
          <w:b/>
          <w:sz w:val="32"/>
          <w:szCs w:val="32"/>
        </w:rPr>
      </w:pPr>
      <w:r>
        <w:rPr>
          <w:b/>
          <w:sz w:val="32"/>
          <w:szCs w:val="32"/>
        </w:rPr>
        <w:t>项目编号：GXZC</w:t>
      </w:r>
      <w:r>
        <w:rPr>
          <w:rFonts w:hint="eastAsia"/>
          <w:b/>
          <w:sz w:val="32"/>
          <w:szCs w:val="32"/>
        </w:rPr>
        <w:t>2023</w:t>
      </w:r>
      <w:r>
        <w:rPr>
          <w:b/>
          <w:sz w:val="32"/>
          <w:szCs w:val="32"/>
        </w:rPr>
        <w:t>-J1-</w:t>
      </w:r>
      <w:r>
        <w:rPr>
          <w:rFonts w:hint="eastAsia"/>
          <w:b/>
          <w:sz w:val="32"/>
          <w:szCs w:val="32"/>
        </w:rPr>
        <w:t>00</w:t>
      </w:r>
      <w:r>
        <w:rPr>
          <w:rFonts w:hint="eastAsia"/>
          <w:b/>
          <w:sz w:val="32"/>
          <w:szCs w:val="32"/>
          <w:lang w:val="en-US" w:eastAsia="zh-CN"/>
        </w:rPr>
        <w:t>4656</w:t>
      </w:r>
      <w:r>
        <w:rPr>
          <w:b/>
          <w:sz w:val="32"/>
          <w:szCs w:val="32"/>
        </w:rPr>
        <w:t>-KLZB</w:t>
      </w:r>
    </w:p>
    <w:p>
      <w:pPr>
        <w:spacing w:line="400" w:lineRule="exact"/>
        <w:jc w:val="center"/>
        <w:rPr>
          <w:b/>
          <w:sz w:val="32"/>
          <w:szCs w:val="32"/>
        </w:rPr>
      </w:pPr>
    </w:p>
    <w:p>
      <w:pPr>
        <w:spacing w:line="400" w:lineRule="exact"/>
        <w:ind w:firstLine="1430" w:firstLineChars="445"/>
        <w:rPr>
          <w:b/>
          <w:sz w:val="32"/>
          <w:szCs w:val="32"/>
        </w:rPr>
      </w:pPr>
    </w:p>
    <w:p>
      <w:pPr>
        <w:spacing w:line="400" w:lineRule="exact"/>
        <w:ind w:firstLine="1430" w:firstLineChars="445"/>
        <w:rPr>
          <w:b/>
          <w:sz w:val="32"/>
          <w:szCs w:val="32"/>
        </w:rPr>
      </w:pPr>
      <w:r>
        <w:rPr>
          <w:b/>
          <w:sz w:val="32"/>
          <w:szCs w:val="32"/>
        </w:rPr>
        <w:t>采 购 人：广西大学</w:t>
      </w:r>
    </w:p>
    <w:p>
      <w:pPr>
        <w:spacing w:line="400" w:lineRule="exact"/>
        <w:jc w:val="center"/>
        <w:rPr>
          <w:b/>
          <w:sz w:val="32"/>
          <w:szCs w:val="32"/>
        </w:rPr>
      </w:pPr>
    </w:p>
    <w:p>
      <w:pPr>
        <w:spacing w:line="400" w:lineRule="exact"/>
        <w:ind w:firstLine="1430" w:firstLineChars="445"/>
        <w:rPr>
          <w:b/>
          <w:sz w:val="32"/>
          <w:szCs w:val="32"/>
        </w:rPr>
      </w:pPr>
      <w:r>
        <w:rPr>
          <w:b/>
          <w:sz w:val="32"/>
          <w:szCs w:val="32"/>
        </w:rPr>
        <w:t>采购代理机构：广西科联招标中心有限公司</w:t>
      </w:r>
    </w:p>
    <w:p>
      <w:pPr>
        <w:spacing w:line="400" w:lineRule="exact"/>
        <w:jc w:val="center"/>
        <w:rPr>
          <w:b/>
          <w:sz w:val="32"/>
          <w:szCs w:val="32"/>
        </w:rPr>
      </w:pPr>
    </w:p>
    <w:p>
      <w:pPr>
        <w:spacing w:line="400" w:lineRule="exact"/>
        <w:jc w:val="center"/>
        <w:rPr>
          <w:b/>
          <w:sz w:val="32"/>
          <w:szCs w:val="32"/>
        </w:rPr>
      </w:pPr>
    </w:p>
    <w:p>
      <w:pPr>
        <w:spacing w:line="400" w:lineRule="exact"/>
        <w:jc w:val="center"/>
        <w:rPr>
          <w:b/>
          <w:sz w:val="32"/>
          <w:szCs w:val="32"/>
        </w:rPr>
      </w:pPr>
    </w:p>
    <w:p>
      <w:pPr>
        <w:pStyle w:val="17"/>
        <w:jc w:val="center"/>
        <w:rPr>
          <w:rFonts w:hAnsi="宋体" w:cs="宋体"/>
        </w:rPr>
        <w:sectPr>
          <w:headerReference r:id="rId3" w:type="default"/>
          <w:footerReference r:id="rId4" w:type="default"/>
          <w:footerReference r:id="rId5" w:type="even"/>
          <w:pgSz w:w="11905" w:h="16838"/>
          <w:pgMar w:top="1417" w:right="1417" w:bottom="1417" w:left="1417" w:header="850" w:footer="992" w:gutter="0"/>
          <w:pgNumType w:start="0"/>
          <w:cols w:space="720" w:num="1"/>
          <w:titlePg/>
          <w:docGrid w:type="lines" w:linePitch="318" w:charSpace="0"/>
        </w:sectPr>
      </w:pPr>
      <w:r>
        <w:rPr>
          <w:rFonts w:hint="eastAsia"/>
          <w:b/>
          <w:sz w:val="32"/>
          <w:szCs w:val="32"/>
        </w:rPr>
        <w:t>2023</w:t>
      </w:r>
      <w:r>
        <w:rPr>
          <w:b/>
          <w:sz w:val="32"/>
          <w:szCs w:val="32"/>
        </w:rPr>
        <w:t>年</w:t>
      </w:r>
      <w:r>
        <w:rPr>
          <w:rFonts w:hint="eastAsia"/>
          <w:b/>
          <w:sz w:val="32"/>
          <w:szCs w:val="32"/>
          <w:lang w:val="en-US" w:eastAsia="zh-CN"/>
        </w:rPr>
        <w:t>11</w:t>
      </w:r>
      <w:r>
        <w:rPr>
          <w:rFonts w:hint="eastAsia"/>
          <w:b/>
          <w:sz w:val="32"/>
          <w:szCs w:val="32"/>
        </w:rPr>
        <w:t>月</w:t>
      </w:r>
      <w:r>
        <w:rPr>
          <w:rFonts w:hint="eastAsia" w:hAnsi="宋体" w:cs="宋体"/>
          <w:b/>
          <w:sz w:val="30"/>
          <w:szCs w:val="72"/>
          <w:lang w:val="en-US" w:eastAsia="zh-CN"/>
        </w:rPr>
        <w:t>30</w:t>
      </w:r>
      <w:r>
        <w:rPr>
          <w:rFonts w:hint="eastAsia" w:hAnsi="宋体" w:cs="宋体"/>
          <w:b/>
          <w:sz w:val="30"/>
          <w:szCs w:val="72"/>
        </w:rPr>
        <w:t>日</w:t>
      </w:r>
      <w:r>
        <w:rPr>
          <w:rFonts w:hAnsi="宋体" w:cs="宋体"/>
          <w:b/>
          <w:sz w:val="30"/>
          <w:szCs w:val="72"/>
        </w:rPr>
        <w:t xml:space="preserve">   </w:t>
      </w:r>
    </w:p>
    <w:p>
      <w:pPr>
        <w:spacing w:line="360" w:lineRule="auto"/>
        <w:rPr>
          <w:rFonts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400" w:lineRule="exact"/>
        <w:jc w:val="center"/>
        <w:rPr>
          <w:rFonts w:ascii="宋体" w:hAnsi="宋体" w:cs="宋体"/>
          <w:b/>
          <w:sz w:val="44"/>
          <w:szCs w:val="44"/>
        </w:rPr>
      </w:pPr>
    </w:p>
    <w:p>
      <w:pPr>
        <w:pStyle w:val="22"/>
        <w:tabs>
          <w:tab w:val="right" w:leader="dot" w:pos="8730"/>
        </w:tabs>
        <w:spacing w:before="120" w:after="120"/>
        <w:ind w:firstLine="241" w:firstLineChars="100"/>
        <w:jc w:val="left"/>
        <w:rPr>
          <w:rFonts w:ascii="宋体" w:hAnsi="宋体"/>
          <w:b/>
          <w:bCs/>
          <w:caps/>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fldChar w:fldCharType="begin"/>
      </w:r>
      <w:r>
        <w:instrText xml:space="preserve"> HYPERLINK \l "_Toc74322008" </w:instrText>
      </w:r>
      <w:r>
        <w:fldChar w:fldCharType="separate"/>
      </w:r>
      <w:r>
        <w:rPr>
          <w:rFonts w:hint="eastAsia" w:ascii="宋体" w:hAnsi="宋体"/>
          <w:b/>
          <w:bCs/>
          <w:caps/>
          <w:sz w:val="24"/>
        </w:rPr>
        <w:t>第一章 竞争性谈判公告</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1</w:t>
      </w:r>
    </w:p>
    <w:p>
      <w:pPr>
        <w:pStyle w:val="22"/>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"_Toc74322009" </w:instrText>
      </w:r>
      <w:r>
        <w:fldChar w:fldCharType="separate"/>
      </w:r>
      <w:r>
        <w:rPr>
          <w:rFonts w:hint="eastAsia" w:ascii="宋体" w:hAnsi="宋体"/>
          <w:b/>
          <w:bCs/>
          <w:caps/>
          <w:sz w:val="24"/>
        </w:rPr>
        <w:t>第二章 供应商须知</w:t>
      </w:r>
      <w:r>
        <w:rPr>
          <w:rFonts w:hint="eastAsia" w:ascii="宋体" w:hAnsi="宋体"/>
          <w:b/>
          <w:bCs/>
          <w:caps/>
          <w:sz w:val="24"/>
        </w:rPr>
        <w:fldChar w:fldCharType="end"/>
      </w:r>
      <w:r>
        <w:rPr>
          <w:rFonts w:hint="eastAsia" w:ascii="宋体" w:hAnsi="宋体"/>
          <w:b/>
          <w:bCs/>
          <w:caps/>
          <w:sz w:val="24"/>
        </w:rPr>
        <w:t>…………………………………………………………6</w:t>
      </w:r>
    </w:p>
    <w:p>
      <w:pPr>
        <w:pStyle w:val="22"/>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"_Toc74322010" </w:instrText>
      </w:r>
      <w:r>
        <w:fldChar w:fldCharType="separate"/>
      </w:r>
      <w:r>
        <w:rPr>
          <w:rFonts w:hint="eastAsia" w:ascii="宋体" w:hAnsi="宋体"/>
          <w:b/>
          <w:bCs/>
          <w:caps/>
          <w:sz w:val="24"/>
        </w:rPr>
        <w:t>第三章 采购需求</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2</w:t>
      </w:r>
      <w:r>
        <w:rPr>
          <w:rFonts w:hint="eastAsia" w:ascii="宋体" w:hAnsi="宋体"/>
          <w:b/>
          <w:bCs/>
          <w:caps/>
          <w:sz w:val="24"/>
        </w:rPr>
        <w:t>8</w:t>
      </w:r>
    </w:p>
    <w:p>
      <w:pPr>
        <w:pStyle w:val="22"/>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"_Toc74322011" </w:instrText>
      </w:r>
      <w:r>
        <w:fldChar w:fldCharType="separate"/>
      </w:r>
      <w:r>
        <w:rPr>
          <w:rFonts w:hint="eastAsia" w:ascii="宋体" w:hAnsi="宋体"/>
          <w:b/>
          <w:bCs/>
          <w:caps/>
          <w:sz w:val="24"/>
        </w:rPr>
        <w:t>第四章 评审程序和评定成交的标准</w:t>
      </w:r>
      <w:r>
        <w:rPr>
          <w:rFonts w:hint="eastAsia" w:ascii="宋体" w:hAnsi="宋体"/>
          <w:b/>
          <w:bCs/>
          <w:caps/>
          <w:sz w:val="24"/>
        </w:rPr>
        <w:fldChar w:fldCharType="end"/>
      </w:r>
      <w:r>
        <w:rPr>
          <w:rFonts w:hint="eastAsia" w:ascii="宋体" w:hAnsi="宋体"/>
          <w:b/>
          <w:bCs/>
          <w:caps/>
          <w:sz w:val="24"/>
        </w:rPr>
        <w:t>………………………………………38</w:t>
      </w:r>
    </w:p>
    <w:p>
      <w:pPr>
        <w:pStyle w:val="22"/>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"_Toc74322012" </w:instrText>
      </w:r>
      <w:r>
        <w:fldChar w:fldCharType="separate"/>
      </w:r>
      <w:r>
        <w:rPr>
          <w:rFonts w:hint="eastAsia" w:ascii="宋体" w:hAnsi="宋体"/>
          <w:b/>
          <w:bCs/>
          <w:caps/>
          <w:sz w:val="24"/>
        </w:rPr>
        <w:t>第五章 响应文件格式</w:t>
      </w:r>
      <w:r>
        <w:rPr>
          <w:rFonts w:hint="eastAsia" w:ascii="宋体" w:hAnsi="宋体"/>
          <w:b/>
          <w:bCs/>
          <w:caps/>
          <w:sz w:val="24"/>
        </w:rPr>
        <w:fldChar w:fldCharType="end"/>
      </w:r>
      <w:r>
        <w:rPr>
          <w:rFonts w:hint="eastAsia" w:ascii="宋体" w:hAnsi="宋体"/>
          <w:b/>
          <w:bCs/>
          <w:caps/>
          <w:sz w:val="24"/>
        </w:rPr>
        <w:t>………………………………………………………45</w:t>
      </w:r>
    </w:p>
    <w:p>
      <w:pPr>
        <w:pStyle w:val="22"/>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"_Toc74322013" </w:instrText>
      </w:r>
      <w:r>
        <w:fldChar w:fldCharType="separate"/>
      </w:r>
      <w:r>
        <w:rPr>
          <w:rFonts w:hint="eastAsia" w:ascii="宋体" w:hAnsi="宋体"/>
          <w:b/>
          <w:bCs/>
          <w:caps/>
          <w:sz w:val="24"/>
        </w:rPr>
        <w:t>第六章 合同文本</w:t>
      </w:r>
      <w:r>
        <w:rPr>
          <w:rFonts w:hint="eastAsia" w:ascii="宋体" w:hAnsi="宋体"/>
          <w:b/>
          <w:bCs/>
          <w:caps/>
          <w:sz w:val="24"/>
        </w:rPr>
        <w:fldChar w:fldCharType="end"/>
      </w:r>
      <w:r>
        <w:rPr>
          <w:rFonts w:hint="eastAsia" w:ascii="宋体" w:hAnsi="宋体"/>
          <w:b/>
          <w:bCs/>
          <w:caps/>
          <w:sz w:val="24"/>
        </w:rPr>
        <w:t>……………………………………………………………68</w:t>
      </w:r>
    </w:p>
    <w:p>
      <w:pPr>
        <w:pStyle w:val="22"/>
        <w:tabs>
          <w:tab w:val="right" w:leader="dot" w:pos="8869"/>
        </w:tabs>
        <w:snapToGrid w:val="0"/>
        <w:spacing w:line="500" w:lineRule="atLeast"/>
        <w:ind w:firstLine="1484" w:firstLineChars="616"/>
        <w:rPr>
          <w:rFonts w:ascii="宋体" w:hAnsi="宋体" w:cs="宋体"/>
          <w:b/>
          <w:sz w:val="24"/>
        </w:rPr>
      </w:pPr>
    </w:p>
    <w:p>
      <w:pPr>
        <w:pStyle w:val="22"/>
        <w:tabs>
          <w:tab w:val="right" w:leader="dot" w:pos="8869"/>
        </w:tabs>
        <w:snapToGrid w:val="0"/>
        <w:spacing w:line="500" w:lineRule="atLeast"/>
        <w:ind w:firstLine="1484" w:firstLineChars="616"/>
        <w:rPr>
          <w:rFonts w:ascii="宋体" w:hAnsi="宋体" w:cs="宋体"/>
          <w:b/>
          <w:sz w:val="24"/>
        </w:rPr>
      </w:pPr>
      <w:r>
        <w:rPr>
          <w:rFonts w:hint="eastAsia" w:ascii="宋体" w:hAnsi="宋体" w:cs="宋体"/>
          <w:b/>
          <w:sz w:val="24"/>
        </w:rPr>
        <w:fldChar w:fldCharType="end"/>
      </w:r>
    </w:p>
    <w:p>
      <w:pPr>
        <w:pStyle w:val="23"/>
        <w:tabs>
          <w:tab w:val="right" w:leader="dot" w:pos="8931"/>
          <w:tab w:val="clear" w:pos="8296"/>
        </w:tabs>
        <w:snapToGrid w:val="0"/>
        <w:spacing w:line="500" w:lineRule="atLeast"/>
        <w:ind w:left="0" w:leftChars="0"/>
        <w:rPr>
          <w:rFonts w:ascii="宋体" w:hAnsi="宋体" w:cs="宋体"/>
          <w:b/>
          <w:sz w:val="24"/>
        </w:rPr>
      </w:pPr>
      <w:r>
        <w:rPr>
          <w:rFonts w:hint="eastAsia" w:ascii="宋体" w:hAnsi="宋体" w:cs="宋体"/>
          <w:b/>
          <w:sz w:val="24"/>
        </w:rPr>
        <w:fldChar w:fldCharType="end"/>
      </w:r>
    </w:p>
    <w:p>
      <w:pPr>
        <w:spacing w:line="400" w:lineRule="exact"/>
        <w:jc w:val="left"/>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rPr>
          <w:rFonts w:ascii="宋体" w:hAnsi="宋体" w:cs="宋体"/>
          <w:b/>
          <w:sz w:val="32"/>
          <w:szCs w:val="32"/>
        </w:rPr>
        <w:sectPr>
          <w:headerReference r:id="rId6" w:type="default"/>
          <w:footerReference r:id="rId7" w:type="default"/>
          <w:pgSz w:w="11905" w:h="16838"/>
          <w:pgMar w:top="1417" w:right="1417" w:bottom="1417" w:left="1417" w:header="850" w:footer="992" w:gutter="0"/>
          <w:pgNumType w:start="0"/>
          <w:cols w:space="720" w:num="1"/>
          <w:titlePg/>
          <w:docGrid w:type="lines" w:linePitch="318" w:charSpace="0"/>
        </w:sectPr>
      </w:pPr>
    </w:p>
    <w:p>
      <w:pPr>
        <w:pStyle w:val="3"/>
        <w:numPr>
          <w:ilvl w:val="0"/>
          <w:numId w:val="1"/>
        </w:numPr>
        <w:spacing w:before="0" w:after="0" w:line="240" w:lineRule="auto"/>
        <w:jc w:val="center"/>
        <w:rPr>
          <w:rFonts w:ascii="宋体" w:hAnsi="宋体" w:cs="宋体"/>
        </w:rPr>
      </w:pPr>
      <w:bookmarkStart w:id="0" w:name="_Toc74322008"/>
      <w:r>
        <w:rPr>
          <w:rFonts w:hint="eastAsia" w:ascii="宋体" w:hAnsi="宋体" w:cs="宋体"/>
        </w:rPr>
        <w:t>竞争性谈判公告</w:t>
      </w:r>
      <w:bookmarkEnd w:id="0"/>
    </w:p>
    <w:p/>
    <w:p>
      <w:pPr>
        <w:pStyle w:val="17"/>
        <w:jc w:val="center"/>
        <w:rPr>
          <w:rFonts w:hAnsi="宋体" w:cs="宋体"/>
          <w:b/>
          <w:sz w:val="36"/>
          <w:szCs w:val="36"/>
        </w:rPr>
      </w:pPr>
      <w:r>
        <w:rPr>
          <w:rFonts w:hAnsi="宋体" w:cs="宋体"/>
          <w:b/>
          <w:sz w:val="36"/>
          <w:szCs w:val="36"/>
        </w:rPr>
        <w:t>广西科联招标中心有限公</w:t>
      </w:r>
      <w:r>
        <w:rPr>
          <w:rFonts w:hint="eastAsia" w:hAnsi="宋体" w:cs="宋体"/>
          <w:b/>
          <w:sz w:val="36"/>
          <w:szCs w:val="36"/>
        </w:rPr>
        <w:t>司</w:t>
      </w:r>
    </w:p>
    <w:p>
      <w:pPr>
        <w:jc w:val="center"/>
        <w:rPr>
          <w:rFonts w:ascii="宋体" w:hAnsi="宋体" w:cs="宋体"/>
          <w:b/>
          <w:kern w:val="0"/>
          <w:sz w:val="36"/>
          <w:szCs w:val="36"/>
        </w:rPr>
      </w:pPr>
      <w:r>
        <w:rPr>
          <w:rFonts w:hint="eastAsia" w:ascii="宋体" w:hAnsi="宋体" w:cs="宋体"/>
          <w:b/>
          <w:kern w:val="0"/>
          <w:sz w:val="36"/>
          <w:szCs w:val="36"/>
        </w:rPr>
        <w:t>广西特色高纯金属材料制备及半导体器件开发创新中心-半导体光电器件制备与封装系统及半导体光电器件测试系统采购（GXZC2023-J1-00</w:t>
      </w:r>
      <w:r>
        <w:rPr>
          <w:rFonts w:hint="eastAsia" w:ascii="宋体" w:hAnsi="宋体" w:cs="宋体"/>
          <w:b/>
          <w:kern w:val="0"/>
          <w:sz w:val="36"/>
          <w:szCs w:val="36"/>
          <w:lang w:val="en-US" w:eastAsia="zh-CN"/>
        </w:rPr>
        <w:t>4656</w:t>
      </w:r>
      <w:r>
        <w:rPr>
          <w:rFonts w:hint="eastAsia" w:ascii="宋体" w:hAnsi="宋体" w:cs="宋体"/>
          <w:b/>
          <w:kern w:val="0"/>
          <w:sz w:val="36"/>
          <w:szCs w:val="36"/>
        </w:rPr>
        <w:t>-KLZB）</w:t>
      </w:r>
    </w:p>
    <w:p>
      <w:pPr>
        <w:jc w:val="center"/>
        <w:rPr>
          <w:rFonts w:ascii="宋体" w:hAnsi="宋体" w:cs="宋体"/>
          <w:b/>
          <w:kern w:val="0"/>
          <w:sz w:val="36"/>
          <w:szCs w:val="36"/>
        </w:rPr>
      </w:pPr>
      <w:r>
        <w:rPr>
          <w:rFonts w:hint="eastAsia" w:ascii="宋体" w:hAnsi="宋体" w:cs="宋体"/>
          <w:b/>
          <w:kern w:val="0"/>
          <w:sz w:val="36"/>
          <w:szCs w:val="36"/>
        </w:rPr>
        <w:t>竞争性谈判公告</w:t>
      </w:r>
    </w:p>
    <w:p>
      <w:pPr>
        <w:pStyle w:val="2"/>
      </w:pPr>
    </w:p>
    <w:p>
      <w:pPr>
        <w:pStyle w:val="2"/>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bookmarkStart w:id="1" w:name="_Hlk37430271"/>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Theme="minorEastAsia" w:hAnsiTheme="minorEastAsia" w:eastAsiaTheme="minorEastAsia" w:cstheme="minorEastAsia"/>
          <w:sz w:val="24"/>
          <w:u w:val="single"/>
        </w:rPr>
        <w:t>广西特色高纯金属材料制备及半导体器件开发创新中心-半导体光电器件制备与封装系统及半导体光电器件测试系统采购</w:t>
      </w:r>
      <w:r>
        <w:rPr>
          <w:rFonts w:hint="eastAsia" w:ascii="宋体" w:hAnsi="宋体" w:cs="宋体"/>
          <w:sz w:val="24"/>
        </w:rPr>
        <w:t>项目的潜在供应商应在政采云平台（https://www.zcygov.cn/）获取（下载）竞争性谈判采购文件，并于2023年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日9时0分</w:t>
      </w:r>
      <w:r>
        <w:rPr>
          <w:rFonts w:hint="eastAsia" w:ascii="宋体" w:hAnsi="宋体" w:cs="宋体"/>
          <w:bCs/>
          <w:sz w:val="24"/>
        </w:rPr>
        <w:t>（北京时间）前提交响应文件</w:t>
      </w:r>
      <w:r>
        <w:rPr>
          <w:rFonts w:hint="eastAsia" w:ascii="宋体" w:hAnsi="宋体" w:cs="宋体"/>
          <w:sz w:val="24"/>
        </w:rPr>
        <w:t>。</w:t>
      </w:r>
    </w:p>
    <w:p>
      <w:pPr>
        <w:spacing w:line="360" w:lineRule="auto"/>
        <w:rPr>
          <w:rFonts w:ascii="宋体" w:hAnsi="宋体" w:cs="宋体"/>
          <w:b/>
          <w:bCs/>
          <w:sz w:val="24"/>
        </w:rPr>
      </w:pPr>
    </w:p>
    <w:p>
      <w:pPr>
        <w:spacing w:line="360" w:lineRule="auto"/>
        <w:ind w:firstLine="361" w:firstLineChars="150"/>
        <w:rPr>
          <w:rFonts w:ascii="宋体" w:hAnsi="宋体" w:cs="宋体"/>
          <w:b/>
          <w:bCs/>
          <w:sz w:val="24"/>
        </w:rPr>
      </w:pPr>
      <w:bookmarkStart w:id="2" w:name="_Toc28359018"/>
      <w:bookmarkStart w:id="3" w:name="_Toc71365369"/>
      <w:bookmarkStart w:id="4" w:name="_Toc35393636"/>
      <w:bookmarkStart w:id="5" w:name="_Toc71366047"/>
      <w:bookmarkStart w:id="6" w:name="_Toc28359095"/>
      <w:bookmarkStart w:id="7" w:name="_Toc35393805"/>
      <w:r>
        <w:rPr>
          <w:rFonts w:hint="eastAsia" w:ascii="宋体" w:hAnsi="宋体" w:cs="宋体"/>
          <w:b/>
          <w:bCs/>
          <w:sz w:val="24"/>
        </w:rPr>
        <w:t>一、项目基本情况</w:t>
      </w:r>
    </w:p>
    <w:p>
      <w:pPr>
        <w:spacing w:line="360" w:lineRule="auto"/>
        <w:ind w:firstLine="480" w:firstLineChars="200"/>
        <w:rPr>
          <w:rFonts w:ascii="宋体" w:hAnsi="宋体" w:cs="宋体"/>
          <w:sz w:val="24"/>
        </w:rPr>
      </w:pPr>
      <w:r>
        <w:rPr>
          <w:rFonts w:hint="eastAsia" w:ascii="宋体" w:hAnsi="宋体" w:cs="宋体"/>
          <w:sz w:val="24"/>
        </w:rPr>
        <w:t>项目编号：GXZC2023-J1-00</w:t>
      </w:r>
      <w:r>
        <w:rPr>
          <w:rFonts w:hint="eastAsia" w:ascii="宋体" w:hAnsi="宋体" w:cs="宋体"/>
          <w:sz w:val="24"/>
          <w:lang w:val="en-US" w:eastAsia="zh-CN"/>
        </w:rPr>
        <w:t>4656</w:t>
      </w:r>
      <w:r>
        <w:rPr>
          <w:rFonts w:hint="eastAsia" w:ascii="宋体" w:hAnsi="宋体" w:cs="宋体"/>
          <w:sz w:val="24"/>
        </w:rPr>
        <w:t>-KLZB</w:t>
      </w:r>
    </w:p>
    <w:p>
      <w:pPr>
        <w:spacing w:line="360" w:lineRule="auto"/>
        <w:ind w:firstLine="480" w:firstLineChars="200"/>
        <w:rPr>
          <w:rFonts w:ascii="宋体" w:hAnsi="宋体" w:cs="宋体"/>
          <w:sz w:val="24"/>
        </w:rPr>
      </w:pPr>
      <w:r>
        <w:rPr>
          <w:rFonts w:hint="eastAsia" w:ascii="宋体" w:hAnsi="宋体" w:cs="宋体"/>
          <w:sz w:val="24"/>
        </w:rPr>
        <w:t>项目名称：广西特色高纯金属材料制备及半导体器件开发创新中心-半导体光电器件制备与封装系统及半导体光电器件测试系统采购</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采购计划编号：广西政采[2023]</w:t>
      </w:r>
      <w:r>
        <w:rPr>
          <w:rFonts w:hint="eastAsia" w:ascii="宋体" w:hAnsi="宋体" w:cs="宋体"/>
          <w:sz w:val="24"/>
          <w:lang w:val="en-US" w:eastAsia="zh-CN"/>
        </w:rPr>
        <w:t>23634</w:t>
      </w:r>
      <w:r>
        <w:rPr>
          <w:rFonts w:hint="eastAsia" w:ascii="宋体" w:hAnsi="宋体" w:cs="宋体"/>
          <w:sz w:val="24"/>
        </w:rPr>
        <w:t>号</w:t>
      </w:r>
      <w:r>
        <w:rPr>
          <w:rFonts w:hint="eastAsia" w:ascii="宋体" w:hAnsi="宋体" w:cs="宋体"/>
          <w:sz w:val="24"/>
          <w:lang w:val="en-US" w:eastAsia="zh-CN"/>
        </w:rPr>
        <w:t>-001,002</w:t>
      </w:r>
    </w:p>
    <w:p>
      <w:pPr>
        <w:spacing w:line="360" w:lineRule="auto"/>
        <w:ind w:firstLine="480" w:firstLineChars="200"/>
        <w:rPr>
          <w:rFonts w:ascii="宋体" w:hAnsi="宋体" w:cs="宋体"/>
          <w:sz w:val="24"/>
        </w:rPr>
      </w:pPr>
      <w:r>
        <w:rPr>
          <w:rFonts w:hint="eastAsia" w:ascii="宋体" w:hAnsi="宋体" w:cs="宋体"/>
          <w:sz w:val="24"/>
        </w:rPr>
        <w:t>预算金额（人民币）：1000000元整</w:t>
      </w:r>
    </w:p>
    <w:p>
      <w:pPr>
        <w:spacing w:line="360" w:lineRule="auto"/>
        <w:ind w:firstLine="480" w:firstLineChars="200"/>
        <w:rPr>
          <w:rFonts w:asciiTheme="minorEastAsia" w:hAnsiTheme="minorEastAsia" w:eastAsiaTheme="minorEastAsia" w:cstheme="minorEastAsia"/>
          <w:sz w:val="24"/>
        </w:rPr>
      </w:pPr>
      <w:r>
        <w:rPr>
          <w:rFonts w:hint="eastAsia" w:ascii="宋体" w:hAnsi="宋体" w:cs="宋体"/>
          <w:sz w:val="24"/>
        </w:rPr>
        <w:t>采购需求：</w:t>
      </w:r>
    </w:p>
    <w:tbl>
      <w:tblPr>
        <w:tblStyle w:val="28"/>
        <w:tblW w:w="9555" w:type="dxa"/>
        <w:jc w:val="center"/>
        <w:tblInd w:w="0" w:type="dxa"/>
        <w:tblLayout w:type="fixed"/>
        <w:tblCellMar>
          <w:top w:w="0" w:type="dxa"/>
          <w:left w:w="108" w:type="dxa"/>
          <w:bottom w:w="0" w:type="dxa"/>
          <w:right w:w="108" w:type="dxa"/>
        </w:tblCellMar>
      </w:tblPr>
      <w:tblGrid>
        <w:gridCol w:w="668"/>
        <w:gridCol w:w="1729"/>
        <w:gridCol w:w="705"/>
        <w:gridCol w:w="645"/>
        <w:gridCol w:w="3251"/>
        <w:gridCol w:w="1140"/>
        <w:gridCol w:w="1417"/>
      </w:tblGrid>
      <w:tr>
        <w:tblPrEx>
          <w:tblLayout w:type="fixed"/>
          <w:tblCellMar>
            <w:top w:w="0" w:type="dxa"/>
            <w:left w:w="108" w:type="dxa"/>
            <w:bottom w:w="0" w:type="dxa"/>
            <w:right w:w="108" w:type="dxa"/>
          </w:tblCellMar>
        </w:tblPrEx>
        <w:trPr>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货物名称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单位</w:t>
            </w:r>
          </w:p>
        </w:tc>
        <w:tc>
          <w:tcPr>
            <w:tcW w:w="32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sz w:val="24"/>
              </w:rPr>
              <w:t>技术参数摘要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sz w:val="24"/>
              </w:rPr>
              <w:t>预算单价（万元/人民币）</w:t>
            </w:r>
          </w:p>
        </w:tc>
        <w:tc>
          <w:tcPr>
            <w:tcW w:w="141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sz w:val="24"/>
              </w:rPr>
            </w:pPr>
            <w:r>
              <w:rPr>
                <w:rFonts w:hint="eastAsia" w:ascii="宋体" w:hAnsi="宋体" w:cs="宋体"/>
                <w:b/>
                <w:bCs/>
                <w:sz w:val="24"/>
              </w:rPr>
              <w:t>单项预算合计（万元/人民币）</w:t>
            </w:r>
          </w:p>
        </w:tc>
      </w:tr>
      <w:tr>
        <w:tblPrEx>
          <w:tblLayout w:type="fixed"/>
          <w:tblCellMar>
            <w:top w:w="0" w:type="dxa"/>
            <w:left w:w="108" w:type="dxa"/>
            <w:bottom w:w="0" w:type="dxa"/>
            <w:right w:w="108" w:type="dxa"/>
          </w:tblCellMar>
        </w:tblPrEx>
        <w:trPr>
          <w:trHeight w:val="16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半导体光电器件制备与封装系统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r>
              <w:rPr>
                <w:rFonts w:hint="eastAsia" w:ascii="宋体" w:hAnsi="宋体"/>
                <w:color w:val="000000" w:themeColor="text1"/>
                <w:sz w:val="24"/>
                <w14:textFill>
                  <w14:solidFill>
                    <w14:schemeClr w14:val="tx1"/>
                  </w14:solidFill>
                </w14:textFill>
              </w:rPr>
              <w:t>1</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olor w:val="000000" w:themeColor="text1"/>
                <w:sz w:val="24"/>
                <w14:textFill>
                  <w14:solidFill>
                    <w14:schemeClr w14:val="tx1"/>
                  </w14:solidFill>
                </w14:textFill>
              </w:rPr>
              <w:t>套</w:t>
            </w:r>
          </w:p>
        </w:tc>
        <w:tc>
          <w:tcPr>
            <w:tcW w:w="32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46" w:lineRule="exact"/>
              <w:rPr>
                <w:rFonts w:ascii="宋体" w:hAnsi="宋体" w:cs="Batang"/>
                <w:sz w:val="24"/>
              </w:rPr>
            </w:pPr>
            <w:r>
              <w:rPr>
                <w:rFonts w:hint="eastAsia" w:ascii="宋体" w:hAnsi="宋体" w:cs="仿宋"/>
                <w:color w:val="000000"/>
                <w:sz w:val="24"/>
              </w:rPr>
              <w:t>腔体的极限真空度为≤8×10</w:t>
            </w:r>
            <w:r>
              <w:rPr>
                <w:rFonts w:hint="eastAsia" w:ascii="宋体" w:hAnsi="宋体" w:cs="仿宋"/>
                <w:color w:val="000000"/>
                <w:sz w:val="24"/>
                <w:vertAlign w:val="superscript"/>
              </w:rPr>
              <w:t>-5</w:t>
            </w:r>
            <w:r>
              <w:rPr>
                <w:rFonts w:hint="eastAsia" w:ascii="宋体" w:hAnsi="宋体" w:cs="仿宋"/>
                <w:color w:val="000000"/>
                <w:sz w:val="24"/>
              </w:rPr>
              <w:t>Pa，在氮气保护下开门装卸基片和更换镀料后，重新抽真空可在15分钟内达到≤5×10</w:t>
            </w:r>
            <w:r>
              <w:rPr>
                <w:rFonts w:hint="eastAsia" w:ascii="宋体" w:hAnsi="宋体" w:cs="仿宋"/>
                <w:color w:val="000000"/>
                <w:sz w:val="24"/>
                <w:vertAlign w:val="superscript"/>
              </w:rPr>
              <w:t>-4</w:t>
            </w:r>
            <w:r>
              <w:rPr>
                <w:rFonts w:hint="eastAsia" w:ascii="宋体" w:hAnsi="宋体" w:cs="仿宋"/>
                <w:color w:val="000000"/>
                <w:sz w:val="24"/>
              </w:rPr>
              <w:t>Pa等</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8</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8</w:t>
            </w:r>
          </w:p>
        </w:tc>
      </w:tr>
      <w:tr>
        <w:tblPrEx>
          <w:tblLayout w:type="fixed"/>
          <w:tblCellMar>
            <w:top w:w="0" w:type="dxa"/>
            <w:left w:w="108" w:type="dxa"/>
            <w:bottom w:w="0" w:type="dxa"/>
            <w:right w:w="108" w:type="dxa"/>
          </w:tblCellMar>
        </w:tblPrEx>
        <w:trPr>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kern w:val="0"/>
                <w:sz w:val="24"/>
              </w:rPr>
            </w:pPr>
            <w:r>
              <w:rPr>
                <w:rFonts w:hint="eastAsia" w:ascii="宋体" w:hAnsi="宋体"/>
                <w:color w:val="000000" w:themeColor="text1"/>
                <w:sz w:val="24"/>
                <w14:textFill>
                  <w14:solidFill>
                    <w14:schemeClr w14:val="tx1"/>
                  </w14:solidFill>
                </w14:textFill>
              </w:rPr>
              <w:t>半导体光电器件测试系统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r>
              <w:rPr>
                <w:rFonts w:hint="eastAsia" w:ascii="宋体" w:hAnsi="宋体"/>
                <w:color w:val="000000" w:themeColor="text1"/>
                <w:sz w:val="24"/>
                <w14:textFill>
                  <w14:solidFill>
                    <w14:schemeClr w14:val="tx1"/>
                  </w14:solidFill>
                </w14:textFill>
              </w:rPr>
              <w:t>1</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olor w:val="000000" w:themeColor="text1"/>
                <w:sz w:val="24"/>
                <w14:textFill>
                  <w14:solidFill>
                    <w14:schemeClr w14:val="tx1"/>
                  </w14:solidFill>
                </w14:textFill>
              </w:rPr>
              <w:t>套</w:t>
            </w:r>
          </w:p>
        </w:tc>
        <w:tc>
          <w:tcPr>
            <w:tcW w:w="32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Batang"/>
                <w:sz w:val="24"/>
              </w:rPr>
            </w:pPr>
            <w:r>
              <w:rPr>
                <w:rFonts w:hint="eastAsia" w:ascii="宋体" w:hAnsi="宋体" w:cs="仿宋"/>
                <w:color w:val="000000"/>
                <w:sz w:val="24"/>
              </w:rPr>
              <w:t>EQE光谱范围：350-1100nm等</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2</w:t>
            </w:r>
          </w:p>
        </w:tc>
      </w:tr>
      <w:tr>
        <w:tblPrEx>
          <w:tblLayout w:type="fixed"/>
          <w:tblCellMar>
            <w:top w:w="0" w:type="dxa"/>
            <w:left w:w="108" w:type="dxa"/>
            <w:bottom w:w="0" w:type="dxa"/>
            <w:right w:w="108" w:type="dxa"/>
          </w:tblCellMar>
        </w:tblPrEx>
        <w:trPr>
          <w:trHeight w:val="90" w:hRule="atLeast"/>
          <w:jc w:val="center"/>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预算合计金额（人民币大写）</w:t>
            </w:r>
            <w:r>
              <w:rPr>
                <w:rFonts w:hint="eastAsia" w:ascii="宋体" w:hAnsi="宋体" w:cs="宋体"/>
                <w:sz w:val="24"/>
                <w:u w:val="single"/>
              </w:rPr>
              <w:t>壹佰万</w:t>
            </w:r>
            <w:r>
              <w:rPr>
                <w:rFonts w:ascii="宋体" w:hAnsi="宋体" w:cs="宋体"/>
                <w:sz w:val="24"/>
                <w:u w:val="single"/>
              </w:rPr>
              <w:t xml:space="preserve"> </w:t>
            </w:r>
            <w:r>
              <w:rPr>
                <w:rFonts w:hint="eastAsia" w:ascii="宋体" w:hAnsi="宋体" w:cs="宋体"/>
                <w:sz w:val="24"/>
                <w:u w:val="single"/>
              </w:rPr>
              <w:t>元整（小写）¥</w:t>
            </w:r>
            <w:r>
              <w:rPr>
                <w:rFonts w:ascii="宋体" w:hAnsi="宋体" w:cs="宋体"/>
                <w:sz w:val="24"/>
                <w:u w:val="single"/>
              </w:rPr>
              <w:t xml:space="preserve"> </w:t>
            </w:r>
            <w:r>
              <w:rPr>
                <w:rFonts w:hint="eastAsia" w:ascii="宋体" w:hAnsi="宋体" w:cs="宋体"/>
                <w:sz w:val="24"/>
                <w:u w:val="single"/>
              </w:rPr>
              <w:t>1000000</w:t>
            </w:r>
          </w:p>
        </w:tc>
      </w:tr>
    </w:tbl>
    <w:p>
      <w:pPr>
        <w:spacing w:line="360" w:lineRule="auto"/>
        <w:ind w:firstLine="480" w:firstLineChars="200"/>
        <w:rPr>
          <w:rFonts w:ascii="宋体" w:hAnsi="宋体" w:cs="宋体"/>
          <w:sz w:val="24"/>
        </w:rPr>
      </w:pPr>
      <w:r>
        <w:rPr>
          <w:rFonts w:hint="eastAsia" w:ascii="宋体" w:hAnsi="宋体" w:cs="宋体"/>
          <w:bCs/>
          <w:sz w:val="24"/>
        </w:rPr>
        <w:t>详见采购需求表。</w:t>
      </w:r>
    </w:p>
    <w:p>
      <w:pPr>
        <w:spacing w:line="360" w:lineRule="auto"/>
        <w:ind w:firstLine="480" w:firstLineChars="200"/>
        <w:rPr>
          <w:rFonts w:ascii="宋体" w:hAnsi="宋体" w:cs="宋体"/>
          <w:sz w:val="24"/>
        </w:rPr>
      </w:pPr>
      <w:r>
        <w:rPr>
          <w:rFonts w:hint="eastAsia" w:ascii="宋体" w:hAnsi="宋体" w:cs="宋体"/>
          <w:sz w:val="24"/>
        </w:rPr>
        <w:t>合同履行期限：自签订合同之日起90日历天内到货安装调试完成。</w:t>
      </w:r>
    </w:p>
    <w:p>
      <w:pPr>
        <w:spacing w:line="360" w:lineRule="auto"/>
        <w:ind w:firstLine="480" w:firstLineChars="200"/>
        <w:rPr>
          <w:rFonts w:ascii="宋体" w:hAnsi="宋体" w:cs="宋体"/>
          <w:sz w:val="24"/>
        </w:rPr>
      </w:pPr>
      <w:r>
        <w:rPr>
          <w:rFonts w:hint="eastAsia" w:ascii="宋体" w:hAnsi="宋体" w:cs="宋体"/>
          <w:sz w:val="24"/>
        </w:rPr>
        <w:t>本项目是否接受联合体：否。</w:t>
      </w:r>
    </w:p>
    <w:p>
      <w:pPr>
        <w:spacing w:line="360" w:lineRule="auto"/>
        <w:ind w:firstLine="361" w:firstLineChars="150"/>
        <w:rPr>
          <w:rFonts w:ascii="宋体" w:hAnsi="宋体" w:cs="宋体"/>
          <w:b/>
          <w:bCs/>
          <w:sz w:val="24"/>
        </w:rPr>
      </w:pPr>
      <w:r>
        <w:rPr>
          <w:rFonts w:hint="eastAsia" w:ascii="宋体" w:hAnsi="宋体" w:cs="宋体"/>
          <w:b/>
          <w:bCs/>
          <w:sz w:val="24"/>
        </w:rPr>
        <w:t>二、申请人的资格条件：</w:t>
      </w:r>
    </w:p>
    <w:p>
      <w:pPr>
        <w:spacing w:line="360" w:lineRule="auto"/>
        <w:ind w:firstLine="480" w:firstLineChars="200"/>
        <w:rPr>
          <w:rFonts w:ascii="宋体" w:hAnsi="宋体" w:cs="宋体"/>
          <w:sz w:val="24"/>
        </w:rPr>
      </w:pPr>
      <w:bookmarkStart w:id="8" w:name="_Hlk51746371"/>
      <w:r>
        <w:rPr>
          <w:rFonts w:hint="eastAsia" w:ascii="宋体" w:hAnsi="宋体" w:cs="宋体"/>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cs="宋体"/>
          <w:sz w:val="24"/>
        </w:rPr>
        <w:t>2.落实政府采购政策需满足的资格要求：</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pPr>
        <w:spacing w:line="360" w:lineRule="auto"/>
        <w:ind w:firstLine="480" w:firstLineChars="200"/>
        <w:rPr>
          <w:rFonts w:ascii="宋体" w:hAnsi="宋体" w:cs="宋体"/>
          <w:sz w:val="24"/>
        </w:rPr>
      </w:pPr>
      <w:r>
        <w:rPr>
          <w:rFonts w:hint="eastAsia" w:ascii="宋体" w:hAnsi="宋体" w:cs="宋体"/>
          <w:sz w:val="24"/>
        </w:rPr>
        <w:t>3.本项目的特定资格要求：</w:t>
      </w:r>
      <w:bookmarkEnd w:id="8"/>
      <w:r>
        <w:rPr>
          <w:rFonts w:hint="eastAsia" w:ascii="宋体" w:hAnsi="宋体" w:cs="宋体"/>
          <w:sz w:val="24"/>
        </w:rPr>
        <w:t>无。</w:t>
      </w:r>
    </w:p>
    <w:p>
      <w:pPr>
        <w:spacing w:line="360" w:lineRule="auto"/>
        <w:ind w:firstLine="361" w:firstLineChars="150"/>
        <w:rPr>
          <w:rFonts w:ascii="宋体" w:hAnsi="宋体" w:cs="宋体"/>
          <w:b/>
          <w:bCs/>
          <w:sz w:val="24"/>
        </w:rPr>
      </w:pPr>
      <w:r>
        <w:rPr>
          <w:rFonts w:hint="eastAsia" w:ascii="宋体" w:hAnsi="宋体" w:cs="宋体"/>
          <w:b/>
          <w:bCs/>
          <w:sz w:val="24"/>
        </w:rPr>
        <w:t>三、获取竞争性谈判采购文件</w:t>
      </w:r>
    </w:p>
    <w:p>
      <w:pPr>
        <w:spacing w:line="360" w:lineRule="auto"/>
        <w:ind w:firstLine="480" w:firstLineChars="200"/>
        <w:rPr>
          <w:rFonts w:ascii="宋体" w:hAnsi="宋体" w:cs="宋体"/>
          <w:sz w:val="24"/>
        </w:rPr>
      </w:pPr>
      <w:r>
        <w:rPr>
          <w:rFonts w:hint="eastAsia" w:ascii="宋体" w:hAnsi="宋体" w:cs="宋体"/>
          <w:sz w:val="24"/>
        </w:rPr>
        <w:t>时间：2023年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日至2023年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日，每天上午00:00至12:00 ，下午12:00至23:59（北京时间，法定节假日除外）</w:t>
      </w:r>
    </w:p>
    <w:p>
      <w:pPr>
        <w:spacing w:line="360" w:lineRule="auto"/>
        <w:ind w:firstLine="480" w:firstLineChars="200"/>
        <w:rPr>
          <w:rFonts w:ascii="宋体" w:hAnsi="宋体" w:cs="宋体"/>
          <w:sz w:val="24"/>
        </w:rPr>
      </w:pPr>
      <w:r>
        <w:rPr>
          <w:rFonts w:hint="eastAsia" w:ascii="宋体" w:hAnsi="宋体" w:cs="宋体"/>
          <w:sz w:val="24"/>
        </w:rPr>
        <w:t>地点：“政采云”平台（http：//www.zcygov.cn）。</w:t>
      </w:r>
    </w:p>
    <w:p>
      <w:pPr>
        <w:spacing w:line="360" w:lineRule="auto"/>
        <w:ind w:firstLine="480" w:firstLineChars="200"/>
        <w:rPr>
          <w:rFonts w:ascii="宋体" w:hAnsi="宋体" w:cs="宋体"/>
          <w:sz w:val="24"/>
        </w:rPr>
      </w:pPr>
      <w:r>
        <w:rPr>
          <w:rFonts w:hint="eastAsia" w:ascii="宋体" w:hAnsi="宋体" w:cs="宋体"/>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sz w:val="24"/>
        </w:rPr>
        <w:t>“政采云”平台（http：//www.zcygov.cn）下载竞争性谈判采购文件（操作路径：登录“政采云”平台-项目采购-获取采购文件-找到本项目-点击“申请获取采购文件”），电子响应文件制作需要基于“政采云”平台获取的竞争性谈判采购文件编制。</w:t>
      </w:r>
    </w:p>
    <w:p>
      <w:pPr>
        <w:spacing w:line="360" w:lineRule="auto"/>
        <w:ind w:firstLine="840" w:firstLineChars="350"/>
        <w:rPr>
          <w:rFonts w:ascii="宋体" w:hAnsi="宋体" w:cs="宋体"/>
          <w:sz w:val="24"/>
        </w:rPr>
      </w:pPr>
      <w:r>
        <w:rPr>
          <w:rFonts w:hint="eastAsia" w:ascii="宋体" w:hAnsi="宋体" w:cs="宋体"/>
          <w:sz w:val="24"/>
        </w:rPr>
        <w:t>售价：0元。</w:t>
      </w:r>
    </w:p>
    <w:p>
      <w:pPr>
        <w:spacing w:line="360" w:lineRule="auto"/>
        <w:ind w:firstLine="361" w:firstLineChars="150"/>
        <w:rPr>
          <w:rFonts w:ascii="宋体" w:hAnsi="宋体" w:cs="宋体"/>
          <w:b/>
          <w:bCs/>
          <w:sz w:val="24"/>
        </w:rPr>
      </w:pPr>
      <w:r>
        <w:rPr>
          <w:rFonts w:hint="eastAsia" w:ascii="宋体" w:hAnsi="宋体" w:cs="宋体"/>
          <w:b/>
          <w:bCs/>
          <w:sz w:val="24"/>
        </w:rPr>
        <w:t>四、响应文件提交</w:t>
      </w:r>
    </w:p>
    <w:p>
      <w:pPr>
        <w:spacing w:line="360" w:lineRule="auto"/>
        <w:ind w:firstLine="480" w:firstLineChars="200"/>
        <w:rPr>
          <w:rFonts w:ascii="宋体" w:hAnsi="宋体" w:cs="宋体"/>
          <w:sz w:val="24"/>
        </w:rPr>
      </w:pPr>
      <w:r>
        <w:rPr>
          <w:rFonts w:hint="eastAsia" w:ascii="宋体" w:hAnsi="宋体" w:cs="宋体"/>
          <w:sz w:val="24"/>
        </w:rPr>
        <w:t>1.首次响应文件提交截止时间：2023年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日9点00分前（北京时间）</w:t>
      </w:r>
    </w:p>
    <w:p>
      <w:pPr>
        <w:spacing w:line="360" w:lineRule="auto"/>
        <w:ind w:firstLine="480" w:firstLineChars="200"/>
        <w:rPr>
          <w:rFonts w:ascii="宋体" w:hAnsi="宋体" w:cs="宋体"/>
          <w:sz w:val="24"/>
        </w:rPr>
      </w:pPr>
      <w:r>
        <w:rPr>
          <w:rFonts w:hint="eastAsia" w:ascii="宋体" w:hAnsi="宋体" w:cs="宋体"/>
          <w:sz w:val="24"/>
        </w:rPr>
        <w:t>2.地点：通过“政采云”平台在线提交。</w:t>
      </w:r>
    </w:p>
    <w:p>
      <w:pPr>
        <w:spacing w:line="360" w:lineRule="auto"/>
        <w:ind w:firstLine="480" w:firstLineChars="200"/>
        <w:rPr>
          <w:rFonts w:ascii="宋体" w:hAnsi="宋体" w:cs="宋体"/>
          <w:sz w:val="24"/>
        </w:rPr>
      </w:pPr>
      <w:r>
        <w:rPr>
          <w:rFonts w:hint="eastAsia" w:ascii="宋体" w:hAnsi="宋体" w:cs="宋体"/>
          <w:sz w:val="24"/>
        </w:rPr>
        <w:t>本项目为全流程电子化项目，没有现场递交响应文件及现场开标环节，通过“政采云”平台（http：//www.zcygov.cn）实行在线电子投标，供应商应先安装“政采云投标客户端”（请自行前往“政采云”平台进行下载），并按照本项目采购文件和“政采云”平台的要求使用CA认证编制、加密响应文件后在首次响应文件提交截止时间前上传至 “政采云”平台，供应商在“政采云”平台提交电子版响应文件时，请填写参加远程开标活动经办人联系方式，如在谈判评审过程中有电子询标，应在规定的时间内对电子询标函进行澄清回复。</w:t>
      </w:r>
    </w:p>
    <w:p>
      <w:pPr>
        <w:spacing w:line="360" w:lineRule="auto"/>
        <w:ind w:firstLine="361" w:firstLineChars="150"/>
        <w:rPr>
          <w:rFonts w:ascii="宋体" w:hAnsi="宋体" w:cs="宋体"/>
          <w:b/>
          <w:bCs/>
          <w:sz w:val="24"/>
        </w:rPr>
      </w:pPr>
      <w:r>
        <w:rPr>
          <w:rFonts w:hint="eastAsia" w:ascii="宋体" w:hAnsi="宋体" w:cs="宋体"/>
          <w:b/>
          <w:bCs/>
          <w:sz w:val="24"/>
        </w:rPr>
        <w:t>五、开启</w:t>
      </w:r>
    </w:p>
    <w:p>
      <w:pPr>
        <w:spacing w:line="360" w:lineRule="auto"/>
        <w:ind w:firstLine="480" w:firstLineChars="200"/>
        <w:rPr>
          <w:rFonts w:ascii="宋体" w:hAnsi="宋体" w:cs="宋体"/>
          <w:sz w:val="24"/>
        </w:rPr>
      </w:pPr>
      <w:r>
        <w:rPr>
          <w:rFonts w:hint="eastAsia" w:ascii="宋体" w:hAnsi="宋体" w:cs="宋体"/>
          <w:sz w:val="24"/>
        </w:rPr>
        <w:t>1.首次响应文件开启时间：2023年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日9点00分（北京时间）</w:t>
      </w:r>
    </w:p>
    <w:p>
      <w:pPr>
        <w:spacing w:line="360" w:lineRule="auto"/>
        <w:ind w:firstLine="480" w:firstLineChars="200"/>
        <w:rPr>
          <w:rFonts w:ascii="宋体" w:hAnsi="宋体" w:cs="宋体"/>
          <w:sz w:val="24"/>
        </w:rPr>
      </w:pPr>
      <w:r>
        <w:rPr>
          <w:rFonts w:hint="eastAsia" w:ascii="宋体" w:hAnsi="宋体" w:cs="宋体"/>
          <w:sz w:val="24"/>
        </w:rPr>
        <w:t>2.地点：本项目将在“政采云”平台电子开标大厅解密、开启。</w:t>
      </w:r>
    </w:p>
    <w:p>
      <w:pPr>
        <w:spacing w:line="360" w:lineRule="auto"/>
        <w:ind w:firstLine="361" w:firstLineChars="150"/>
        <w:rPr>
          <w:rFonts w:ascii="宋体" w:hAnsi="宋体" w:cs="宋体"/>
          <w:b/>
          <w:bCs/>
          <w:sz w:val="24"/>
        </w:rPr>
      </w:pPr>
      <w:r>
        <w:rPr>
          <w:rFonts w:hint="eastAsia" w:ascii="宋体" w:hAnsi="宋体" w:cs="宋体"/>
          <w:b/>
          <w:bCs/>
          <w:sz w:val="24"/>
        </w:rPr>
        <w:t>六、公告期限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ind w:firstLine="361" w:firstLineChars="150"/>
        <w:rPr>
          <w:rFonts w:ascii="宋体" w:hAnsi="宋体" w:cs="宋体"/>
          <w:b/>
          <w:bCs/>
          <w:sz w:val="24"/>
        </w:rPr>
      </w:pPr>
      <w:r>
        <w:rPr>
          <w:rFonts w:hint="eastAsia" w:ascii="宋体" w:hAnsi="宋体" w:cs="宋体"/>
          <w:b/>
          <w:bCs/>
          <w:sz w:val="24"/>
        </w:rPr>
        <w:t>七、其他补充事宜</w:t>
      </w:r>
    </w:p>
    <w:p>
      <w:pPr>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cs="宋体"/>
          <w:sz w:val="24"/>
        </w:rPr>
      </w:pPr>
      <w:r>
        <w:rPr>
          <w:rFonts w:hint="eastAsia" w:ascii="宋体" w:hAnsi="宋体" w:cs="宋体"/>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ascii="宋体" w:hAnsi="宋体" w:cs="宋体"/>
          <w:sz w:val="24"/>
        </w:rPr>
      </w:pPr>
      <w:r>
        <w:rPr>
          <w:rFonts w:hint="eastAsia" w:ascii="宋体" w:hAnsi="宋体" w:cs="宋体"/>
          <w:sz w:val="24"/>
        </w:rPr>
        <w:t>3.网上查询地址：中国政府采购网（www.ccgp.gov.cn）、广西政府采购网（zfcg.gxzf.gov.cn）。</w:t>
      </w:r>
    </w:p>
    <w:p>
      <w:pPr>
        <w:spacing w:line="360" w:lineRule="auto"/>
        <w:ind w:firstLine="480" w:firstLineChars="200"/>
        <w:rPr>
          <w:rFonts w:ascii="宋体" w:hAnsi="宋体" w:cs="宋体"/>
          <w:sz w:val="24"/>
        </w:rPr>
      </w:pPr>
      <w:r>
        <w:rPr>
          <w:rFonts w:hint="eastAsia" w:ascii="宋体" w:hAnsi="宋体" w:cs="宋体"/>
          <w:sz w:val="24"/>
        </w:rPr>
        <w:t>4.本项目需要落实的政府采购政策：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（1）政府采购促进中小企业发展。</w:t>
      </w:r>
    </w:p>
    <w:p>
      <w:pPr>
        <w:spacing w:line="360" w:lineRule="auto"/>
        <w:ind w:firstLine="480" w:firstLineChars="200"/>
        <w:rPr>
          <w:rFonts w:ascii="宋体" w:hAnsi="宋体" w:cs="宋体"/>
          <w:sz w:val="24"/>
        </w:rPr>
      </w:pPr>
      <w:r>
        <w:rPr>
          <w:rFonts w:hint="eastAsia" w:ascii="宋体" w:hAnsi="宋体" w:cs="宋体"/>
          <w:sz w:val="24"/>
        </w:rPr>
        <w:t>（2）政府采购支持采用本国产品的政策。</w:t>
      </w:r>
    </w:p>
    <w:p>
      <w:pPr>
        <w:spacing w:line="360" w:lineRule="auto"/>
        <w:ind w:firstLine="480" w:firstLineChars="200"/>
        <w:rPr>
          <w:rFonts w:ascii="宋体" w:hAnsi="宋体" w:cs="宋体"/>
          <w:sz w:val="24"/>
        </w:rPr>
      </w:pPr>
      <w:r>
        <w:rPr>
          <w:rFonts w:hint="eastAsia" w:ascii="宋体" w:hAnsi="宋体" w:cs="宋体"/>
          <w:sz w:val="24"/>
        </w:rPr>
        <w:t>（3）强制采购节能产品；优先采购节能产品、环境标志产品。</w:t>
      </w:r>
    </w:p>
    <w:p>
      <w:pPr>
        <w:spacing w:line="360" w:lineRule="auto"/>
        <w:ind w:firstLine="480" w:firstLineChars="200"/>
        <w:rPr>
          <w:rFonts w:ascii="宋体" w:hAnsi="宋体" w:cs="宋体"/>
          <w:sz w:val="24"/>
        </w:rPr>
      </w:pPr>
      <w:r>
        <w:rPr>
          <w:rFonts w:hint="eastAsia" w:ascii="宋体" w:hAnsi="宋体" w:cs="宋体"/>
          <w:sz w:val="24"/>
        </w:rPr>
        <w:t>（4）政府采购促进残疾人就业政策。</w:t>
      </w:r>
    </w:p>
    <w:p>
      <w:pPr>
        <w:spacing w:line="360" w:lineRule="auto"/>
        <w:ind w:firstLine="480" w:firstLineChars="200"/>
        <w:rPr>
          <w:rFonts w:ascii="宋体" w:hAnsi="宋体" w:cs="宋体"/>
          <w:sz w:val="24"/>
        </w:rPr>
      </w:pPr>
      <w:r>
        <w:rPr>
          <w:rFonts w:hint="eastAsia" w:ascii="宋体" w:hAnsi="宋体" w:cs="宋体"/>
          <w:sz w:val="24"/>
        </w:rPr>
        <w:t>（5）政府采购支持监狱企业发展。</w:t>
      </w:r>
    </w:p>
    <w:p>
      <w:pPr>
        <w:spacing w:line="360" w:lineRule="auto"/>
        <w:ind w:firstLine="480" w:firstLineChars="200"/>
        <w:rPr>
          <w:rFonts w:ascii="宋体" w:hAnsi="宋体" w:cs="宋体"/>
          <w:sz w:val="24"/>
        </w:rPr>
      </w:pPr>
      <w:r>
        <w:rPr>
          <w:rFonts w:hint="eastAsia" w:ascii="宋体" w:hAnsi="宋体" w:cs="宋体"/>
          <w:sz w:val="24"/>
        </w:rPr>
        <w:t>（6）扶持不发达地区和少数民族地区政策</w:t>
      </w:r>
    </w:p>
    <w:p>
      <w:pPr>
        <w:spacing w:line="360" w:lineRule="auto"/>
        <w:ind w:firstLine="480" w:firstLineChars="200"/>
        <w:rPr>
          <w:rFonts w:ascii="宋体" w:hAnsi="宋体" w:cs="宋体"/>
          <w:sz w:val="24"/>
        </w:rPr>
      </w:pPr>
      <w:r>
        <w:rPr>
          <w:rFonts w:hint="eastAsia" w:ascii="宋体" w:hAnsi="宋体" w:cs="宋体"/>
          <w:sz w:val="24"/>
        </w:rPr>
        <w:t>5.谈判注意事项：</w:t>
      </w:r>
    </w:p>
    <w:p>
      <w:pPr>
        <w:spacing w:line="360" w:lineRule="auto"/>
        <w:ind w:firstLine="480" w:firstLineChars="200"/>
        <w:rPr>
          <w:rFonts w:ascii="宋体" w:hAnsi="宋体" w:cs="宋体"/>
          <w:sz w:val="24"/>
        </w:rPr>
      </w:pPr>
      <w:r>
        <w:rPr>
          <w:rFonts w:hint="eastAsia" w:ascii="宋体" w:hAnsi="宋体" w:cs="宋体"/>
          <w:sz w:val="24"/>
        </w:rPr>
        <w:t>（1）响应文件提交方式：本项目为全流程电子化政府采购项目，通过“政采云”平台（http：//www.zcygov.cn）实行在线电子竞争性谈判，供应商应先安装“政采云电子交易客户端”（请自行前往“政采云”平台进行下载），并按照本项目竞争性谈判采购文件和“政采云”平台的要求编制、加密后在首次响应文件提交截止时间前通过网络上传至“政采云”平台，供应商在“政采云”平台提交电子版响应文件时，请填写参加远程开标活动经办人联系方式。</w:t>
      </w:r>
    </w:p>
    <w:p>
      <w:pPr>
        <w:spacing w:line="360" w:lineRule="auto"/>
        <w:ind w:firstLine="480" w:firstLineChars="200"/>
        <w:rPr>
          <w:rFonts w:ascii="宋体" w:hAnsi="宋体" w:cs="宋体"/>
          <w:sz w:val="24"/>
        </w:rPr>
      </w:pPr>
      <w:r>
        <w:rPr>
          <w:rFonts w:hint="eastAsia" w:ascii="宋体" w:hAnsi="宋体" w:cs="宋体"/>
          <w:sz w:val="24"/>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cs="宋体"/>
          <w:sz w:val="24"/>
        </w:rPr>
        <w:t>https://service.zcygov.cn/#/knowledges/tree?tag=AG1DtGwBFdiHxlNdhY0r</w:t>
      </w:r>
      <w:r>
        <w:rPr>
          <w:rFonts w:hint="eastAsia" w:ascii="宋体" w:hAnsi="宋体" w:cs="宋体"/>
          <w:sz w:val="24"/>
        </w:rPr>
        <w:fldChar w:fldCharType="end"/>
      </w:r>
      <w:r>
        <w:rPr>
          <w:rFonts w:hint="eastAsia" w:ascii="宋体" w:hAnsi="宋体" w:cs="宋体"/>
          <w:sz w:val="24"/>
        </w:rPr>
        <w:t>；及时完成CA申领和绑定（见广西壮族自治区政府采购网—办事服务—下载专区-政采云CA证书办理操作指南）。</w:t>
      </w:r>
    </w:p>
    <w:p>
      <w:pPr>
        <w:spacing w:line="360" w:lineRule="auto"/>
        <w:ind w:firstLine="480" w:firstLineChars="200"/>
        <w:rPr>
          <w:rFonts w:ascii="宋体" w:hAnsi="宋体" w:cs="宋体"/>
          <w:sz w:val="24"/>
        </w:rPr>
      </w:pPr>
      <w:r>
        <w:rPr>
          <w:rFonts w:hint="eastAsia" w:ascii="宋体" w:hAnsi="宋体" w:cs="宋体"/>
          <w:sz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spacing w:line="360" w:lineRule="auto"/>
        <w:ind w:firstLine="480" w:firstLineChars="200"/>
        <w:rPr>
          <w:rFonts w:ascii="宋体" w:hAnsi="宋体" w:cs="宋体"/>
          <w:sz w:val="24"/>
        </w:rPr>
      </w:pPr>
      <w:r>
        <w:rPr>
          <w:rFonts w:hint="eastAsia" w:ascii="宋体" w:hAnsi="宋体" w:cs="宋体"/>
          <w:sz w:val="24"/>
        </w:rPr>
        <w:t>（4）为确保网上操作合法、有效和安全，请供应商确保在参与电子竞争性谈判过程中能够对相关数据电文进行加密和使用电子签章，妥善保管CA数字证书并使用有效的CA数字证书参与整个采购活动。</w:t>
      </w:r>
    </w:p>
    <w:p>
      <w:pPr>
        <w:spacing w:line="360" w:lineRule="auto"/>
        <w:ind w:firstLine="482" w:firstLineChars="200"/>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pPr>
        <w:spacing w:line="360" w:lineRule="auto"/>
        <w:ind w:firstLine="480" w:firstLineChars="200"/>
        <w:rPr>
          <w:rFonts w:ascii="宋体" w:hAnsi="宋体" w:cs="宋体"/>
          <w:sz w:val="24"/>
        </w:rPr>
      </w:pPr>
      <w:r>
        <w:rPr>
          <w:rFonts w:hint="eastAsia" w:ascii="宋体" w:hAnsi="宋体" w:cs="宋体"/>
          <w:sz w:val="24"/>
        </w:rPr>
        <w:t>6.CA证书在线解密：首次响应文件开启时，须要供应商携带制作响应文件时用来加密的有效数字证书（CA认证）登录“政采云”平台电子开标大厅现场按规定时间对加密的响应文件进行解密，否则后果自负。</w:t>
      </w:r>
    </w:p>
    <w:p>
      <w:pPr>
        <w:spacing w:line="360" w:lineRule="auto"/>
        <w:ind w:firstLine="480" w:firstLineChars="200"/>
        <w:rPr>
          <w:rFonts w:ascii="宋体" w:hAnsi="宋体" w:cs="宋体"/>
          <w:sz w:val="24"/>
        </w:rPr>
      </w:pPr>
      <w:r>
        <w:rPr>
          <w:rFonts w:hint="eastAsia" w:ascii="宋体" w:hAnsi="宋体" w:cs="宋体"/>
          <w:sz w:val="24"/>
        </w:rPr>
        <w:t>7.供应商需要在具备有摄像头及语音功能且互联网网络状况良好的电脑登录“政采云”平台远程开标大厅参与本次谈判，否则后果自负。</w:t>
      </w:r>
    </w:p>
    <w:p>
      <w:pPr>
        <w:spacing w:line="360" w:lineRule="auto"/>
        <w:ind w:firstLine="480" w:firstLineChars="200"/>
        <w:rPr>
          <w:rFonts w:ascii="宋体" w:hAnsi="宋体" w:cs="宋体"/>
          <w:sz w:val="24"/>
        </w:rPr>
      </w:pPr>
      <w:r>
        <w:rPr>
          <w:rFonts w:hint="eastAsia" w:ascii="宋体" w:hAnsi="宋体" w:cs="宋体"/>
          <w:sz w:val="24"/>
        </w:rPr>
        <w:t>8.若对项目采购电子交易系统操作有疑问，可登录“政采云”平台（https://www.zcygov.cn/），点击右侧咨询小采，获取采小蜜智能服务管家帮助，或拨打政采云服务热线</w:t>
      </w:r>
      <w:r>
        <w:rPr>
          <w:rFonts w:ascii="宋体" w:hAnsi="宋体" w:cs="宋体"/>
          <w:sz w:val="24"/>
        </w:rPr>
        <w:t>95763</w:t>
      </w:r>
      <w:r>
        <w:rPr>
          <w:rFonts w:hint="eastAsia" w:ascii="宋体" w:hAnsi="宋体" w:cs="宋体"/>
          <w:sz w:val="24"/>
        </w:rPr>
        <w:t>获取热线服务帮助。</w:t>
      </w:r>
    </w:p>
    <w:p>
      <w:pPr>
        <w:spacing w:line="360" w:lineRule="auto"/>
        <w:ind w:firstLine="361" w:firstLineChars="150"/>
        <w:rPr>
          <w:rFonts w:ascii="宋体" w:hAnsi="宋体" w:cs="宋体"/>
          <w:b/>
          <w:bCs/>
          <w:sz w:val="24"/>
        </w:rPr>
      </w:pPr>
      <w:r>
        <w:rPr>
          <w:rFonts w:hint="eastAsia" w:ascii="宋体" w:hAnsi="宋体" w:cs="宋体"/>
          <w:b/>
          <w:bCs/>
          <w:sz w:val="24"/>
        </w:rPr>
        <w:t>八、凡对本次采购提出询问，请按以下方式联系。</w:t>
      </w:r>
      <w:bookmarkEnd w:id="2"/>
      <w:bookmarkEnd w:id="3"/>
      <w:bookmarkEnd w:id="4"/>
      <w:bookmarkEnd w:id="5"/>
      <w:bookmarkEnd w:id="6"/>
      <w:bookmarkEnd w:id="7"/>
    </w:p>
    <w:p>
      <w:pPr>
        <w:spacing w:line="360" w:lineRule="auto"/>
        <w:ind w:firstLine="482" w:firstLineChars="200"/>
        <w:rPr>
          <w:rFonts w:ascii="宋体" w:hAnsi="宋体" w:cs="宋体"/>
          <w:b/>
          <w:bCs/>
          <w:sz w:val="24"/>
        </w:rPr>
      </w:pPr>
      <w:bookmarkStart w:id="9" w:name="_Toc28359096"/>
      <w:bookmarkStart w:id="10" w:name="_Toc35393637"/>
      <w:bookmarkStart w:id="11" w:name="_Toc35393806"/>
      <w:bookmarkStart w:id="12" w:name="_Toc28359019"/>
      <w:r>
        <w:rPr>
          <w:rFonts w:hint="eastAsia" w:ascii="宋体" w:hAnsi="宋体" w:cs="宋体"/>
          <w:b/>
          <w:bCs/>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称：广西大学</w:t>
      </w:r>
    </w:p>
    <w:p>
      <w:pPr>
        <w:spacing w:line="360" w:lineRule="auto"/>
        <w:ind w:firstLine="480" w:firstLineChars="200"/>
        <w:rPr>
          <w:rFonts w:ascii="宋体" w:hAnsi="宋体" w:cs="宋体"/>
          <w:sz w:val="24"/>
        </w:rPr>
      </w:pPr>
      <w:r>
        <w:rPr>
          <w:rFonts w:hint="eastAsia" w:ascii="宋体" w:hAnsi="宋体" w:cs="宋体"/>
          <w:sz w:val="24"/>
        </w:rPr>
        <w:t>地址：广西壮族自治区南宁市大学东路100号</w:t>
      </w:r>
    </w:p>
    <w:p>
      <w:pPr>
        <w:spacing w:line="360" w:lineRule="auto"/>
        <w:ind w:firstLine="480" w:firstLineChars="200"/>
        <w:rPr>
          <w:rFonts w:ascii="宋体" w:hAnsi="宋体" w:cs="宋体"/>
          <w:sz w:val="24"/>
        </w:rPr>
      </w:pPr>
      <w:r>
        <w:rPr>
          <w:rFonts w:hint="eastAsia" w:ascii="宋体" w:hAnsi="宋体" w:cs="宋体"/>
          <w:sz w:val="24"/>
        </w:rPr>
        <w:t>联系人：周老师</w:t>
      </w:r>
      <w:r>
        <w:rPr>
          <w:rFonts w:ascii="宋体" w:hAnsi="宋体" w:cs="宋体"/>
          <w:sz w:val="24"/>
        </w:rPr>
        <w:t xml:space="preserve"> </w:t>
      </w:r>
      <w:r>
        <w:rPr>
          <w:rFonts w:hint="eastAsia" w:ascii="宋体" w:hAnsi="宋体" w:cs="宋体"/>
          <w:sz w:val="24"/>
        </w:rPr>
        <w:t>，联系电话：0771-3233183</w:t>
      </w:r>
      <w:r>
        <w:rPr>
          <w:rFonts w:ascii="宋体" w:hAnsi="宋体" w:cs="宋体"/>
          <w:sz w:val="24"/>
        </w:rPr>
        <w:t xml:space="preserve">  </w:t>
      </w:r>
      <w:r>
        <w:rPr>
          <w:rFonts w:hint="eastAsia" w:ascii="宋体" w:hAnsi="宋体" w:cs="宋体"/>
          <w:sz w:val="24"/>
        </w:rPr>
        <w:t xml:space="preserve">　　　　　　　 </w:t>
      </w:r>
    </w:p>
    <w:p>
      <w:pPr>
        <w:spacing w:line="360" w:lineRule="auto"/>
        <w:ind w:firstLine="482" w:firstLineChars="200"/>
        <w:rPr>
          <w:rFonts w:ascii="宋体" w:hAnsi="宋体" w:cs="宋体"/>
          <w:b/>
          <w:bCs/>
          <w:sz w:val="24"/>
        </w:rPr>
      </w:pPr>
      <w:r>
        <w:rPr>
          <w:rFonts w:hint="eastAsia" w:ascii="宋体" w:hAnsi="宋体" w:cs="宋体"/>
          <w:b/>
          <w:bCs/>
          <w:sz w:val="24"/>
        </w:rPr>
        <w:t>2.采购代理机构信息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称：广西科联招标中心有限公司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址：南宁市大学东路170号</w:t>
      </w:r>
    </w:p>
    <w:p>
      <w:pPr>
        <w:spacing w:line="360" w:lineRule="auto"/>
        <w:ind w:firstLine="480" w:firstLineChars="200"/>
        <w:rPr>
          <w:rFonts w:ascii="宋体" w:hAnsi="宋体" w:cs="宋体"/>
          <w:sz w:val="24"/>
        </w:rPr>
      </w:pPr>
      <w:r>
        <w:rPr>
          <w:rFonts w:hint="eastAsia" w:asciiTheme="minorEastAsia" w:hAnsiTheme="minorEastAsia" w:eastAsiaTheme="minorEastAsia" w:cstheme="minorEastAsia"/>
          <w:sz w:val="24"/>
        </w:rPr>
        <w:t xml:space="preserve">联系方式：杨工   联系电话：0771-3486236 </w:t>
      </w:r>
      <w:r>
        <w:rPr>
          <w:rFonts w:ascii="宋体" w:hAnsi="宋体" w:cs="宋体"/>
          <w:sz w:val="24"/>
        </w:rPr>
        <w:t xml:space="preserve">  </w:t>
      </w:r>
    </w:p>
    <w:p>
      <w:pPr>
        <w:spacing w:line="360" w:lineRule="auto"/>
        <w:ind w:firstLine="482" w:firstLineChars="200"/>
        <w:rPr>
          <w:rFonts w:ascii="宋体" w:hAnsi="宋体" w:cs="宋体"/>
          <w:b/>
          <w:bCs/>
          <w:sz w:val="24"/>
        </w:rPr>
      </w:pPr>
      <w:r>
        <w:rPr>
          <w:rFonts w:hint="eastAsia" w:ascii="宋体" w:hAnsi="宋体" w:cs="宋体"/>
          <w:b/>
          <w:bCs/>
          <w:sz w:val="24"/>
        </w:rPr>
        <w:t>3.项目联系方式</w:t>
      </w:r>
    </w:p>
    <w:bookmarkEnd w:id="1"/>
    <w:bookmarkEnd w:id="9"/>
    <w:bookmarkEnd w:id="10"/>
    <w:bookmarkEnd w:id="11"/>
    <w:bookmarkEnd w:id="12"/>
    <w:p>
      <w:pPr>
        <w:spacing w:line="360" w:lineRule="auto"/>
        <w:ind w:left="420" w:leftChars="200" w:firstLine="420" w:firstLineChars="175"/>
        <w:rPr>
          <w:rFonts w:asciiTheme="minorEastAsia" w:hAnsiTheme="minorEastAsia" w:eastAsiaTheme="minorEastAsia" w:cstheme="minorEastAsia"/>
          <w:sz w:val="24"/>
        </w:rPr>
      </w:pPr>
      <w:bookmarkStart w:id="13" w:name="_Toc74322009"/>
      <w:r>
        <w:rPr>
          <w:rFonts w:hint="eastAsia" w:asciiTheme="minorEastAsia" w:hAnsiTheme="minorEastAsia" w:eastAsiaTheme="minorEastAsia" w:cstheme="minorEastAsia"/>
          <w:sz w:val="24"/>
        </w:rPr>
        <w:t xml:space="preserve">项目联系人：杨工      电　话： 0771-3486236  </w:t>
      </w:r>
    </w:p>
    <w:p>
      <w:pPr>
        <w:spacing w:line="360" w:lineRule="auto"/>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pPr>
        <w:spacing w:line="360" w:lineRule="auto"/>
        <w:ind w:firstLine="6600" w:firstLineChars="2750"/>
        <w:rPr>
          <w:rFonts w:asciiTheme="minorEastAsia" w:hAnsiTheme="minorEastAsia" w:eastAsiaTheme="minorEastAsia" w:cstheme="minorEastAsia"/>
          <w:sz w:val="24"/>
        </w:rPr>
      </w:pPr>
    </w:p>
    <w:p>
      <w:pPr>
        <w:snapToGrid w:val="0"/>
        <w:spacing w:line="360" w:lineRule="auto"/>
        <w:ind w:firstLine="6000" w:firstLineChars="25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广西科联招标中心有限公司</w:t>
      </w:r>
    </w:p>
    <w:p>
      <w:pPr>
        <w:jc w:val="center"/>
        <w:rPr>
          <w:rFonts w:ascii="宋体" w:hAnsi="宋体" w:cs="宋体"/>
        </w:rPr>
      </w:pPr>
      <w:r>
        <w:rPr>
          <w:rFonts w:hint="eastAsia" w:asciiTheme="minorEastAsia" w:hAnsiTheme="minorEastAsia" w:eastAsiaTheme="minorEastAsia" w:cstheme="minorEastAsia"/>
          <w:sz w:val="24"/>
        </w:rPr>
        <w:t xml:space="preserve">                                                           2023年 11月</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w:t>
      </w:r>
      <w:r>
        <w:rPr>
          <w:rFonts w:hint="eastAsia" w:ascii="宋体" w:hAnsi="宋体" w:cs="宋体"/>
        </w:rPr>
        <w:br w:type="page"/>
      </w:r>
      <w:r>
        <w:rPr>
          <w:rFonts w:hint="eastAsia" w:ascii="宋体" w:hAnsi="宋体" w:cs="宋体"/>
          <w:b/>
          <w:sz w:val="44"/>
          <w:szCs w:val="44"/>
        </w:rPr>
        <w:t>第二章 供应商须知</w:t>
      </w:r>
      <w:bookmarkEnd w:id="13"/>
    </w:p>
    <w:p>
      <w:pPr>
        <w:spacing w:line="400" w:lineRule="exact"/>
        <w:jc w:val="center"/>
        <w:rPr>
          <w:rFonts w:ascii="宋体" w:hAnsi="宋体" w:cs="宋体"/>
          <w:b/>
          <w:sz w:val="32"/>
          <w:szCs w:val="32"/>
        </w:rPr>
      </w:pPr>
      <w:r>
        <w:rPr>
          <w:rFonts w:hint="eastAsia" w:ascii="宋体" w:hAnsi="宋体" w:cs="宋体"/>
          <w:b/>
          <w:sz w:val="32"/>
          <w:szCs w:val="32"/>
        </w:rPr>
        <w:t>供应商须知前附表</w:t>
      </w:r>
    </w:p>
    <w:p>
      <w:pPr>
        <w:spacing w:line="400" w:lineRule="exact"/>
        <w:jc w:val="center"/>
        <w:rPr>
          <w:rFonts w:ascii="宋体" w:hAnsi="宋体" w:cs="宋体"/>
          <w:b/>
          <w:sz w:val="32"/>
          <w:szCs w:val="32"/>
        </w:rPr>
      </w:pPr>
    </w:p>
    <w:tbl>
      <w:tblPr>
        <w:tblStyle w:val="28"/>
        <w:tblW w:w="91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181" w:type="dxa"/>
            <w:vAlign w:val="center"/>
          </w:tcPr>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是否接受联合体参与: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如接受联合体参与，要求如下：</w:t>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两个以上供应商可以组成一个联合体，以一个供应商的身份共同参与竞争性谈判，联合体供应商的名称应统一按“XXX 公司与 XXX 公司的联合体”的规则填写。</w:t>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联合体形式参与竞争性谈判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参与竞争性谈判的，须提供《联合体参与竞争性谈判协议书》（格式后附），协议书必须明确主体方（或者牵头方）并明确约定联合体各方承担的工作和相应的责任（各方承担责任与义务的分工必须符合采购需求，否则，联合体响应无效），并将《联合体参与竞争性谈判协议书》放入响应文件。联合体各方必须共同与采购人签订采购合同，就采购合同约定的事项对采购人承担连带责任。</w:t>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联合体中有同类资质的供应商按照联合体分工承担相同工作的，应当按照资质等级较低的供应商确定资质等级。</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联合体参与竞争性谈判的业绩、履约能力按照联合体各方其中较高的一方认定并计算（竞争性谈判采购文件另有规定的除外）。</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联合体各方均应按照竞争性谈判采购文件的规定提交资格证明文件。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2"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w:t>
            </w:r>
          </w:p>
        </w:tc>
        <w:tc>
          <w:tcPr>
            <w:tcW w:w="8181" w:type="dxa"/>
            <w:vAlign w:val="center"/>
          </w:tcPr>
          <w:p>
            <w:pPr>
              <w:pStyle w:val="10"/>
              <w:spacing w:line="500" w:lineRule="exact"/>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b/>
                <w:color w:val="000000" w:themeColor="text1"/>
                <w:sz w:val="24"/>
                <w14:textFill>
                  <w14:solidFill>
                    <w14:schemeClr w14:val="tx1"/>
                  </w14:solidFill>
                </w14:textFill>
              </w:rPr>
              <w:t>本项目不允许分包</w:t>
            </w:r>
            <w:r>
              <w:rPr>
                <w:rFonts w:hint="eastAsia" w:ascii="宋体" w:hAnsi="宋体" w:cs="宋体"/>
                <w:color w:val="000000" w:themeColor="text1"/>
                <w:sz w:val="24"/>
                <w14:textFill>
                  <w14:solidFill>
                    <w14:schemeClr w14:val="tx1"/>
                  </w14:solidFill>
                </w14:textFill>
              </w:rPr>
              <w:t>。</w:t>
            </w:r>
          </w:p>
          <w:p>
            <w:pPr>
              <w:pStyle w:val="10"/>
              <w:spacing w:line="500" w:lineRule="exact"/>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本项目允许分包：</w:t>
            </w:r>
          </w:p>
          <w:p>
            <w:pPr>
              <w:pStyle w:val="10"/>
              <w:spacing w:line="500" w:lineRule="exact"/>
              <w:jc w:val="both"/>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分包内容：</w:t>
            </w:r>
            <w:r>
              <w:rPr>
                <w:rFonts w:hint="eastAsia" w:ascii="宋体" w:hAnsi="宋体" w:cs="宋体"/>
                <w:color w:val="000000" w:themeColor="text1"/>
                <w:sz w:val="24"/>
                <w:u w:val="single"/>
                <w14:textFill>
                  <w14:solidFill>
                    <w14:schemeClr w14:val="tx1"/>
                  </w14:solidFill>
                </w14:textFill>
              </w:rPr>
              <w:t>/</w:t>
            </w:r>
          </w:p>
          <w:p>
            <w:pPr>
              <w:pStyle w:val="10"/>
              <w:spacing w:line="500" w:lineRule="exact"/>
              <w:jc w:val="both"/>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分包金额或者比例：</w:t>
            </w:r>
            <w:r>
              <w:rPr>
                <w:rFonts w:hint="eastAsia" w:ascii="宋体" w:hAnsi="宋体" w:cs="宋体"/>
                <w:color w:val="000000" w:themeColor="text1"/>
                <w:sz w:val="24"/>
                <w:u w:val="singl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12.1.1</w:t>
            </w:r>
          </w:p>
        </w:tc>
        <w:tc>
          <w:tcPr>
            <w:tcW w:w="8181" w:type="dxa"/>
            <w:vAlign w:val="center"/>
          </w:tcPr>
          <w:p>
            <w:pPr>
              <w:snapToGrid w:val="0"/>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资格证明文件</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依法缴纳税收的相关材料（首次响应文件提交截止之日前半年内连续三个月的依法缴纳税收的凭据复印件；依法免税的，必须提供相应文件证明。从成立之日起到首次响应文件提交截止时间为止不足要求月数的，只需提供从成立之日起的依法缴纳税收相应证明文件）；（</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依法缴纳社会保障资金的相关材料（首次响应文件提交截止之日前半年内连续三个月的依法缴纳社会保障资金的缴费凭证（专用收据或者社会保险缴纳清单）复印件；依法不需要缴纳社会保障资金的，必须提供相应文件证明。从成立之日起到首次响应文件提交截止时间为止不足要求月数的只需提供从成立之日起一个月的依法缴纳社会保障资金的相应证明文件）；（</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供应商财务状况报告（提供2022年财务状况报告复印件，或者银行出具的资信证明（资信证明应在有效期内，未注明有效期的，银行出具时间至首次响应文件提交截止时间不超过一年）；</w:t>
            </w:r>
            <w:r>
              <w:rPr>
                <w:rFonts w:hint="eastAsia" w:ascii="宋体" w:hAnsi="宋体"/>
                <w:color w:val="000000" w:themeColor="text1"/>
                <w:sz w:val="24"/>
                <w14:textFill>
                  <w14:solidFill>
                    <w14:schemeClr w14:val="tx1"/>
                  </w14:solidFill>
                </w14:textFill>
              </w:rPr>
              <w:t>供应商成立不满一年的应按提供首次响应文件提交截止时间上一</w:t>
            </w:r>
            <w:bookmarkStart w:id="36" w:name="_GoBack"/>
            <w:bookmarkEnd w:id="36"/>
            <w:r>
              <w:rPr>
                <w:rFonts w:hint="eastAsia" w:ascii="宋体" w:hAnsi="宋体"/>
                <w:color w:val="000000" w:themeColor="text1"/>
                <w:sz w:val="24"/>
                <w14:textFill>
                  <w14:solidFill>
                    <w14:schemeClr w14:val="tx1"/>
                  </w14:solidFill>
                </w14:textFill>
              </w:rPr>
              <w:t>个月的财务状况报告复印件</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除自然人外必须提供，否则响应文件按无效响应处理</w:t>
            </w:r>
            <w:r>
              <w:rPr>
                <w:rFonts w:hint="eastAsia" w:ascii="宋体" w:hAnsi="宋体" w:cs="宋体"/>
                <w:bCs/>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供应商直接控股、管理关系信息表（格式后附）；（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参与竞争性谈判声明（格式后附）；（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联合体参与竞争性谈判协议书（格式后附）；（</w:t>
            </w:r>
            <w:r>
              <w:rPr>
                <w:rFonts w:hint="eastAsia" w:ascii="宋体" w:hAnsi="宋体" w:cs="宋体"/>
                <w:b/>
                <w:color w:val="000000" w:themeColor="text1"/>
                <w:sz w:val="24"/>
                <w14:textFill>
                  <w14:solidFill>
                    <w14:schemeClr w14:val="tx1"/>
                  </w14:solidFill>
                </w14:textFill>
              </w:rPr>
              <w:t>联合体</w:t>
            </w:r>
            <w:r>
              <w:rPr>
                <w:rFonts w:hint="eastAsia" w:ascii="宋体" w:hAnsi="宋体" w:cs="宋体"/>
                <w:color w:val="000000" w:themeColor="text1"/>
                <w:sz w:val="24"/>
                <w14:textFill>
                  <w14:solidFill>
                    <w14:schemeClr w14:val="tx1"/>
                  </w14:solidFill>
                </w14:textFill>
              </w:rPr>
              <w:t>参与竞争性谈判</w:t>
            </w:r>
            <w:r>
              <w:rPr>
                <w:rFonts w:hint="eastAsia" w:ascii="宋体" w:hAnsi="宋体" w:cs="宋体"/>
                <w:b/>
                <w:color w:val="000000" w:themeColor="text1"/>
                <w:sz w:val="24"/>
                <w14:textFill>
                  <w14:solidFill>
                    <w14:schemeClr w14:val="tx1"/>
                  </w14:solidFill>
                </w14:textFill>
              </w:rPr>
              <w:t>时必须提供，否则响应文件按无效响应处理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竞争性谈判公告中特定资格要求的资格证明材料；（</w:t>
            </w:r>
            <w:r>
              <w:rPr>
                <w:rFonts w:hint="eastAsia" w:ascii="宋体" w:hAnsi="宋体" w:cs="宋体"/>
                <w:b/>
                <w:bCs/>
                <w:color w:val="000000" w:themeColor="text1"/>
                <w:sz w:val="24"/>
                <w14:textFill>
                  <w14:solidFill>
                    <w14:schemeClr w14:val="tx1"/>
                  </w14:solidFill>
                </w14:textFill>
              </w:rPr>
              <w:t>公告如有则必</w:t>
            </w:r>
            <w:r>
              <w:rPr>
                <w:rFonts w:hint="eastAsia" w:ascii="宋体" w:hAnsi="宋体" w:cs="宋体"/>
                <w:b/>
                <w:color w:val="000000" w:themeColor="text1"/>
                <w:sz w:val="24"/>
                <w14:textFill>
                  <w14:solidFill>
                    <w14:schemeClr w14:val="tx1"/>
                  </w14:solidFill>
                </w14:textFill>
              </w:rPr>
              <w:t>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除谈判文件规定必须提供以外，供应商认为需要提供的其他证明材料。</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hint="eastAsia" w:ascii="楷体" w:hAnsi="楷体" w:eastAsia="楷体" w:cs="宋体"/>
                <w:b/>
                <w:bCs/>
                <w:color w:val="000000" w:themeColor="text1"/>
                <w:sz w:val="24"/>
                <w14:textFill>
                  <w14:solidFill>
                    <w14:schemeClr w14:val="tx1"/>
                  </w14:solidFill>
                </w14:textFill>
              </w:rPr>
              <w:t>【注】</w:t>
            </w:r>
            <w:r>
              <w:rPr>
                <w:rFonts w:ascii="楷体" w:hAnsi="楷体" w:eastAsia="楷体" w:cs="宋体"/>
                <w:bCs/>
                <w:color w:val="000000" w:themeColor="text1"/>
                <w:sz w:val="24"/>
                <w14:textFill>
                  <w14:solidFill>
                    <w14:schemeClr w14:val="tx1"/>
                  </w14:solidFill>
                </w14:textFill>
              </w:rPr>
              <w:t>1.以上标明“必须提供”的材料属于复印件的，必须加盖供应商公章，否则响应文件按无效响应处理。</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2.</w:t>
            </w:r>
            <w:r>
              <w:rPr>
                <w:rFonts w:hint="eastAsia" w:ascii="楷体" w:hAnsi="楷体" w:eastAsia="楷体" w:cs="宋体"/>
                <w:bCs/>
                <w:color w:val="000000" w:themeColor="text1"/>
                <w:sz w:val="24"/>
                <w14:textFill>
                  <w14:solidFill>
                    <w14:schemeClr w14:val="tx1"/>
                  </w14:solidFill>
                </w14:textFill>
              </w:rPr>
              <w:t>参与竞争性谈判</w:t>
            </w:r>
            <w:r>
              <w:rPr>
                <w:rFonts w:ascii="楷体" w:hAnsi="楷体" w:eastAsia="楷体" w:cs="宋体"/>
                <w:bCs/>
                <w:color w:val="000000" w:themeColor="text1"/>
                <w:sz w:val="24"/>
                <w14:textFill>
                  <w14:solidFill>
                    <w14:schemeClr w14:val="tx1"/>
                  </w14:solidFill>
                </w14:textFill>
              </w:rPr>
              <w:t>声明必须由法定代表人在规定签章处逐一签字并加盖供应商公章，否则响应文件按无效响应处理。</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3.供应商直接控股、管理关系信息表必须由法定代表人或者委托代理人在规定签章处逐一签字并加盖供应商公章，否则响应文件按无效响应处理。</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4.联合体</w:t>
            </w:r>
            <w:r>
              <w:rPr>
                <w:rFonts w:hint="eastAsia" w:ascii="楷体" w:hAnsi="楷体" w:eastAsia="楷体" w:cs="宋体"/>
                <w:bCs/>
                <w:color w:val="000000" w:themeColor="text1"/>
                <w:sz w:val="24"/>
                <w14:textFill>
                  <w14:solidFill>
                    <w14:schemeClr w14:val="tx1"/>
                  </w14:solidFill>
                </w14:textFill>
              </w:rPr>
              <w:t>参与竞争性谈判</w:t>
            </w:r>
            <w:r>
              <w:rPr>
                <w:rFonts w:ascii="楷体" w:hAnsi="楷体" w:eastAsia="楷体" w:cs="宋体"/>
                <w:bCs/>
                <w:color w:val="000000" w:themeColor="text1"/>
                <w:sz w:val="24"/>
                <w14:textFill>
                  <w14:solidFill>
                    <w14:schemeClr w14:val="tx1"/>
                  </w14:solidFill>
                </w14:textFill>
              </w:rPr>
              <w:t>时，</w:t>
            </w:r>
            <w:r>
              <w:rPr>
                <w:rFonts w:hint="eastAsia" w:ascii="楷体" w:hAnsi="楷体" w:eastAsia="楷体" w:cs="宋体"/>
                <w:bCs/>
                <w:color w:val="000000" w:themeColor="text1"/>
                <w:sz w:val="24"/>
                <w14:textFill>
                  <w14:solidFill>
                    <w14:schemeClr w14:val="tx1"/>
                  </w14:solidFill>
                </w14:textFill>
              </w:rPr>
              <w:t>以上第</w:t>
            </w:r>
            <w:r>
              <w:rPr>
                <w:rFonts w:ascii="楷体" w:hAnsi="楷体" w:eastAsia="楷体" w:cs="宋体"/>
                <w:bCs/>
                <w:color w:val="000000" w:themeColor="text1"/>
                <w:sz w:val="24"/>
                <w14:textFill>
                  <w14:solidFill>
                    <w14:schemeClr w14:val="tx1"/>
                  </w14:solidFill>
                </w14:textFill>
              </w:rPr>
              <w:t>1-5项资格证明文件联合体各方均必须分别提供，联合体各方分别按格式要求盖章或签字，否则响应文件按无效响应处理。</w:t>
            </w:r>
          </w:p>
          <w:p>
            <w:pPr>
              <w:snapToGrid w:val="0"/>
              <w:spacing w:line="500" w:lineRule="exact"/>
              <w:rPr>
                <w:rFonts w:ascii="宋体" w:hAnsi="宋体" w:cs="宋体"/>
                <w:b/>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5.分公司参加</w:t>
            </w:r>
            <w:r>
              <w:rPr>
                <w:rFonts w:hint="eastAsia" w:ascii="楷体" w:hAnsi="楷体" w:eastAsia="楷体" w:cs="宋体"/>
                <w:bCs/>
                <w:color w:val="000000" w:themeColor="text1"/>
                <w:sz w:val="24"/>
                <w14:textFill>
                  <w14:solidFill>
                    <w14:schemeClr w14:val="tx1"/>
                  </w14:solidFill>
                </w14:textFill>
              </w:rPr>
              <w:t>参与竞争性谈判</w:t>
            </w:r>
            <w:r>
              <w:rPr>
                <w:rFonts w:ascii="楷体" w:hAnsi="楷体" w:eastAsia="楷体" w:cs="宋体"/>
                <w:bCs/>
                <w:color w:val="000000" w:themeColor="text1"/>
                <w:sz w:val="24"/>
                <w14:textFill>
                  <w14:solidFill>
                    <w14:schemeClr w14:val="tx1"/>
                  </w14:solidFill>
                </w14:textFill>
              </w:rPr>
              <w:t>的，应当取得总公司授权，否则响应文件按无效响应处理</w:t>
            </w:r>
            <w:r>
              <w:rPr>
                <w:rFonts w:hint="eastAsia" w:ascii="楷体" w:hAnsi="楷体" w:eastAsia="楷体" w:cs="宋体"/>
                <w:b/>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 w:hRule="atLeast"/>
          <w:jc w:val="center"/>
        </w:trPr>
        <w:tc>
          <w:tcPr>
            <w:tcW w:w="991" w:type="dxa"/>
            <w:vMerge w:val="restart"/>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报价文件</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无串通参与竞争性谈判行为的承诺函（格式后附）；（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竞争性谈判报价表（格式后附）；（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中小企业声明函（或残疾人福利性单位声明函或监狱企业声明函，残疾人福利性单位或监狱企业视同小微企业）（格式后附）；</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针对报价需要说明的其他文件和说明（格式自拟）。</w:t>
            </w:r>
          </w:p>
          <w:p>
            <w:pPr>
              <w:spacing w:line="500" w:lineRule="exact"/>
              <w:rPr>
                <w:rFonts w:ascii="楷体" w:hAnsi="楷体" w:eastAsia="楷体" w:cs="宋体"/>
                <w:bCs/>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r>
              <w:rPr>
                <w:rFonts w:hint="eastAsia" w:ascii="楷体" w:hAnsi="楷体" w:eastAsia="楷体" w:cs="宋体"/>
                <w:color w:val="000000" w:themeColor="text1"/>
                <w:sz w:val="24"/>
                <w14:textFill>
                  <w14:solidFill>
                    <w14:schemeClr w14:val="tx1"/>
                  </w14:solidFill>
                </w14:textFill>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jc w:val="center"/>
        </w:trPr>
        <w:tc>
          <w:tcPr>
            <w:tcW w:w="991" w:type="dxa"/>
            <w:vMerge w:val="continue"/>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商务技术文件</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法定代表人身份证明及法定代表人有效身份证正反面复印件（格式后附）；（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授权委托书及委托代理人有效身份证正反面复印件（格式后附）；（</w:t>
            </w:r>
            <w:r>
              <w:rPr>
                <w:rFonts w:hint="eastAsia" w:ascii="宋体" w:hAnsi="宋体" w:cs="宋体"/>
                <w:b/>
                <w:color w:val="000000" w:themeColor="text1"/>
                <w:sz w:val="24"/>
                <w14:textFill>
                  <w14:solidFill>
                    <w14:schemeClr w14:val="tx1"/>
                  </w14:solidFill>
                </w14:textFill>
              </w:rPr>
              <w:t>委托时必须提供，否则响应文件按无效响应处理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谈判保证金提交凭证；（</w:t>
            </w:r>
            <w:r>
              <w:rPr>
                <w:rFonts w:hint="eastAsia" w:ascii="宋体" w:hAnsi="宋体" w:cs="宋体"/>
                <w:b/>
                <w:bCs/>
                <w:color w:val="000000" w:themeColor="text1"/>
                <w:sz w:val="24"/>
                <w14:textFill>
                  <w14:solidFill>
                    <w14:schemeClr w14:val="tx1"/>
                  </w14:solidFill>
                </w14:textFill>
              </w:rPr>
              <w:t>如要求提交谈判保证金的则必须提供</w:t>
            </w:r>
            <w:r>
              <w:rPr>
                <w:rFonts w:hint="eastAsia" w:ascii="宋体" w:hAnsi="宋体" w:cs="宋体"/>
                <w:b/>
                <w:color w:val="000000" w:themeColor="text1"/>
                <w:sz w:val="24"/>
                <w14:textFill>
                  <w14:solidFill>
                    <w14:schemeClr w14:val="tx1"/>
                  </w14:solidFill>
                </w14:textFill>
              </w:rPr>
              <w:t>，否则响应文件按无效响应处理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商务要求偏离表（格式后附）；（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售后服务承诺（格式自拟）；（</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货物配置清单（均不含报价）（格式后附）；（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技术偏离表（格式后附）；（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对应采购需求的技术要求、商务要求提供的其他文件资料（格式自拟）；</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供应商认为需要提供的其他有关资料。</w:t>
            </w:r>
          </w:p>
          <w:p>
            <w:pPr>
              <w:spacing w:line="500" w:lineRule="exact"/>
              <w:rPr>
                <w:rFonts w:ascii="楷体" w:hAnsi="楷体" w:eastAsia="楷体" w:cs="宋体"/>
                <w:color w:val="000000" w:themeColor="text1"/>
                <w:sz w:val="24"/>
                <w14:textFill>
                  <w14:solidFill>
                    <w14:schemeClr w14:val="tx1"/>
                  </w14:solidFill>
                </w14:textFill>
              </w:rPr>
            </w:pPr>
            <w:r>
              <w:rPr>
                <w:rFonts w:hint="eastAsia" w:ascii="楷体" w:hAnsi="楷体" w:eastAsia="楷体" w:cs="宋体"/>
                <w:b/>
                <w:bCs/>
                <w:color w:val="000000" w:themeColor="text1"/>
                <w:sz w:val="24"/>
                <w14:textFill>
                  <w14:solidFill>
                    <w14:schemeClr w14:val="tx1"/>
                  </w14:solidFill>
                </w14:textFill>
              </w:rPr>
              <w:t>【注】</w:t>
            </w:r>
            <w:r>
              <w:rPr>
                <w:rFonts w:ascii="楷体" w:hAnsi="楷体" w:eastAsia="楷体" w:cs="宋体"/>
                <w:color w:val="000000" w:themeColor="text1"/>
                <w:sz w:val="24"/>
                <w14:textFill>
                  <w14:solidFill>
                    <w14:schemeClr w14:val="tx1"/>
                  </w14:solidFill>
                </w14:textFill>
              </w:rPr>
              <w:t>1.法定代表人授权委托书必须由法定代表人及委托代理人签字，并加盖</w:t>
            </w:r>
            <w:r>
              <w:rPr>
                <w:rFonts w:hint="eastAsia" w:ascii="楷体" w:hAnsi="楷体" w:eastAsia="楷体" w:cs="宋体"/>
                <w:color w:val="000000" w:themeColor="text1"/>
                <w:sz w:val="24"/>
                <w14:textFill>
                  <w14:solidFill>
                    <w14:schemeClr w14:val="tx1"/>
                  </w14:solidFill>
                </w14:textFill>
              </w:rPr>
              <w:t>供应商公章，否则做无效响应处理。</w:t>
            </w:r>
          </w:p>
          <w:p>
            <w:pPr>
              <w:spacing w:line="500" w:lineRule="exact"/>
              <w:rPr>
                <w:rFonts w:ascii="宋体" w:hAnsi="宋体" w:cs="宋体"/>
                <w:b/>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w:t>
            </w:r>
            <w:r>
              <w:rPr>
                <w:rFonts w:hint="eastAsia" w:ascii="楷体" w:hAnsi="楷体" w:eastAsia="楷体" w:cs="宋体"/>
                <w:color w:val="000000" w:themeColor="text1"/>
                <w:sz w:val="24"/>
                <w14:textFill>
                  <w14:solidFill>
                    <w14:schemeClr w14:val="tx1"/>
                  </w14:solidFill>
                </w14:textFill>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谈判报价包含设备、随配附件、备品备件、辅助材料、工具、运抵指定交货地点、材料运输及人工搬运费、垃圾清理及排放、保险、现场安装、培训调试及验收的各种费用和售后服务、人工费、税费及其他所有成本费用的总和，成交供应商必须自行考虑项目需要的其他设备和材料，合同履行过程中，采购人不再支付合同以外的其他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8181" w:type="dxa"/>
            <w:vAlign w:val="center"/>
          </w:tcPr>
          <w:p>
            <w:pPr>
              <w:pStyle w:val="9"/>
              <w:widowControl w:val="0"/>
              <w:tabs>
                <w:tab w:val="clear" w:pos="454"/>
              </w:tabs>
              <w:snapToGrid w:val="0"/>
              <w:spacing w:after="0" w:afterLines="0" w:line="500" w:lineRule="exact"/>
              <w:ind w:left="324" w:hanging="324" w:hangingChars="135"/>
              <w:jc w:val="both"/>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 xml:space="preserve">竞争性谈判有效期：首次响应文件提交截止之日起60天内。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181" w:type="dxa"/>
            <w:vAlign w:val="center"/>
          </w:tcPr>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sym w:font="Wingdings" w:char="00A8"/>
            </w:r>
            <w:r>
              <w:rPr>
                <w:rFonts w:hint="eastAsia" w:ascii="宋体" w:hAnsi="宋体" w:cs="宋体"/>
                <w:bCs/>
                <w:color w:val="000000" w:themeColor="text1"/>
                <w:sz w:val="24"/>
                <w14:textFill>
                  <w14:solidFill>
                    <w14:schemeClr w14:val="tx1"/>
                  </w14:solidFill>
                </w14:textFill>
              </w:rPr>
              <w:t>本项目不收取竞标保证金。</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sym w:font="Wingdings" w:char="00FE"/>
            </w:r>
            <w:r>
              <w:rPr>
                <w:rFonts w:hint="eastAsia" w:ascii="宋体" w:hAnsi="宋体" w:cs="宋体"/>
                <w:b/>
                <w:bCs/>
                <w:color w:val="000000" w:themeColor="text1"/>
                <w:sz w:val="24"/>
                <w14:textFill>
                  <w14:solidFill>
                    <w14:schemeClr w14:val="tx1"/>
                  </w14:solidFill>
                </w14:textFill>
              </w:rPr>
              <w:t>本项目收取竞标保证金</w:t>
            </w:r>
            <w:r>
              <w:rPr>
                <w:rFonts w:hint="eastAsia" w:ascii="宋体" w:hAnsi="宋体" w:cs="宋体"/>
                <w:bCs/>
                <w:color w:val="000000" w:themeColor="text1"/>
                <w:sz w:val="24"/>
                <w14:textFill>
                  <w14:solidFill>
                    <w14:schemeClr w14:val="tx1"/>
                  </w14:solidFill>
                </w14:textFill>
              </w:rPr>
              <w:t>。</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竞标保证金：10000元</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缴纳竞标保证金指定账户的信息：</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开户名称：广西科联招标中心有限公司</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开户银行：招商银行南宁市双拥路支行</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银行账号：7719011969103333000005257 </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竞标保证金的缴纳方式：以银行转账、支票、汇票、本票或者金融机构、担保机构出具的保函等非现金形式提交。采用银行转账方式的，在首次响应文件提交截止时间前交至采购代理机构指定账户并且到账，否则视为无效竞标保证金。</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相关要求：</w:t>
            </w:r>
          </w:p>
          <w:p>
            <w:pPr>
              <w:widowControl/>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竞标保证金采用银行转账缴纳方式的，在首次响应文件提交截止时间前交至采购代理机构指定账户并且到账，供应商应将银行转账底单的复印件作为竞标保证金提交凭证，放置于报价商务技术文件中，否则响应文件作无效处理。</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竞标保证金采用支票、汇票、本票或者金融机构、担保机构出具的保函等缴纳方式的，供应商应将支票、汇票、本票或者金融机构、担保机构出具的保函等的复印件作为竞标保证金提交凭证，放置于报价商务技术文件中，否则竞标无效。供应商必须于递交响应文件时将支票、汇票、本票或者金融机构、担保机构出具的保函等原件提交给采购代理机构，由采购代理机构向供应商出具回执，并妥善保管。</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3.供应商为联合体的，可以由联合体中的一方或者多方共同缴纳竞标保证金，其缴纳的竞标保证金对联合体各方均具有约束力。</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备注： </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1.首次响应文件提交截止时间后提交的，或者未足额缴纳的，或者保函额度不足的，视为无效竞标保证金。</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2.供应商采用现金方式或者从个人账户（自然人竞标除外）转出的竞标保证金，视为无效竞标保证金。</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3.支票、汇票或者本票出现无效或者背书情形的，视为无效竞标保证金。</w:t>
            </w:r>
          </w:p>
          <w:p>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4.保函有效期低于竞标有效期的，视为无效竞标保证金。</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5.竞标保证金采用金融、担保机构出具的保函为有条件保函的，视为无效竞标保证金。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响应文件应按资格证明文件、报价商务技术文件分别编制，</w:t>
            </w:r>
            <w:r>
              <w:rPr>
                <w:rFonts w:hint="eastAsia" w:ascii="宋体" w:hAnsi="宋体" w:cs="宋体"/>
                <w:color w:val="000000" w:themeColor="text1"/>
                <w:sz w:val="24"/>
                <w:lang w:bidi="ar"/>
                <w14:textFill>
                  <w14:solidFill>
                    <w14:schemeClr w14:val="tx1"/>
                  </w14:solidFill>
                </w14:textFill>
              </w:rPr>
              <w:t>并按“政采云”平台的要求编制、加密、上传。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w:t>
            </w:r>
          </w:p>
        </w:tc>
        <w:tc>
          <w:tcPr>
            <w:tcW w:w="8181" w:type="dxa"/>
            <w:vAlign w:val="center"/>
          </w:tcPr>
          <w:p>
            <w:pPr>
              <w:spacing w:line="500" w:lineRule="exact"/>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首次响应文件提交截止时间：详见竞争性谈判公告。</w:t>
            </w:r>
          </w:p>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w:t>
            </w:r>
          </w:p>
        </w:tc>
        <w:tc>
          <w:tcPr>
            <w:tcW w:w="8181" w:type="dxa"/>
            <w:vAlign w:val="center"/>
          </w:tcPr>
          <w:p>
            <w:pPr>
              <w:snapToGrid w:val="0"/>
              <w:spacing w:line="5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w:t>
            </w:r>
          </w:p>
        </w:tc>
        <w:tc>
          <w:tcPr>
            <w:tcW w:w="8181" w:type="dxa"/>
            <w:vAlign w:val="center"/>
          </w:tcPr>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采购代理机构将依托电子交易平台发起开始解密指令，</w:t>
            </w:r>
            <w:r>
              <w:rPr>
                <w:rFonts w:hint="eastAsia" w:ascii="宋体" w:hAnsi="宋体" w:cs="宋体"/>
                <w:b/>
                <w:color w:val="000000" w:themeColor="text1"/>
                <w:sz w:val="24"/>
                <w14:textFill>
                  <w14:solidFill>
                    <w14:schemeClr w14:val="tx1"/>
                  </w14:solidFill>
                </w14:textFill>
              </w:rPr>
              <w:t>供应商的法定代表人或其委托代理人须携带加密时所用的CA锁按平台提示和采购文件的规定登录到“政采云”平台电子开标大厅签到并在发起解密指令之时起30分钟内完成对电子响应文件在线解密。</w:t>
            </w:r>
            <w:r>
              <w:rPr>
                <w:rFonts w:hint="eastAsia" w:ascii="宋体" w:hAnsi="宋体" w:cs="宋体"/>
                <w:b/>
                <w:bCs/>
                <w:color w:val="000000" w:themeColor="text1"/>
                <w:sz w:val="24"/>
                <w14:textFill>
                  <w14:solidFill>
                    <w14:schemeClr w14:val="tx1"/>
                  </w14:solidFill>
                </w14:textFill>
              </w:rPr>
              <w:t>响应文件未按时解密的，视为响应文件无效。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91" w:type="dxa"/>
            <w:vMerge w:val="restart"/>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8181" w:type="dxa"/>
            <w:vAlign w:val="center"/>
          </w:tcPr>
          <w:p>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商务要求评审中允许负偏离的条款数为0项。</w:t>
            </w:r>
          </w:p>
          <w:p>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技术要求评审中允许负偏离的条款数为2项。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 w:hRule="atLeast"/>
          <w:jc w:val="center"/>
        </w:trPr>
        <w:tc>
          <w:tcPr>
            <w:tcW w:w="991" w:type="dxa"/>
            <w:vMerge w:val="continue"/>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8181" w:type="dxa"/>
            <w:vAlign w:val="center"/>
          </w:tcPr>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谈判的顺序：按“政采云”系统的编号顺序。</w:t>
            </w:r>
          </w:p>
          <w:p>
            <w:pPr>
              <w:snapToGrid w:val="0"/>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符合谈判资格的供应商必须在接到谈判通知后规定时间内参加谈判，未在规定时间内参加谈判的视同放弃参加谈判权利，其响应文件按无效响应处理。</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参与谈判前，供应商法定代表人或者委托代理人必须向谈判小组出示本人有效证件原件[有效证件可以是身份证（含临时身份证明）或者护照的其中一项。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91" w:type="dxa"/>
            <w:vMerge w:val="continue"/>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8181" w:type="dxa"/>
            <w:vAlign w:val="center"/>
          </w:tcPr>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评审价相同时，按照最后报价由低到高顺序依次推荐；最后报价相同的，按以下原则确定成交候选人的顺序：</w:t>
            </w:r>
          </w:p>
          <w:p>
            <w:pPr>
              <w:spacing w:line="500" w:lineRule="exact"/>
              <w:contextualSpacing/>
              <w:rPr>
                <w:rFonts w:ascii="宋体" w:hAnsi="宋体" w:cs="宋体"/>
                <w:color w:val="000000" w:themeColor="text1"/>
                <w:sz w:val="24"/>
                <w14:textFill>
                  <w14:solidFill>
                    <w14:schemeClr w14:val="tx1"/>
                  </w14:solidFill>
                </w14:textFill>
              </w:rPr>
            </w:pPr>
            <w:r>
              <w:rPr>
                <w:rFonts w:ascii="Segoe UI Symbol" w:hAnsi="Segoe UI Symbol" w:cs="Segoe UI Symbo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依次按带“</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”的实质性要求正偏离项数多的优先、均无正偏离或者正偏离项数一致时负偏离项数少的优先、质量保证期长优先、交货期短优先、故障响应时间短优先、节能环保产品累计金额多的优先的顺序排列。</w:t>
            </w:r>
          </w:p>
          <w:p>
            <w:pPr>
              <w:spacing w:line="500" w:lineRule="exact"/>
              <w:contextualSpacing/>
              <w:rPr>
                <w:color w:val="000000" w:themeColor="text1"/>
                <w14:textFill>
                  <w14:solidFill>
                    <w14:schemeClr w14:val="tx1"/>
                  </w14:solidFill>
                </w14:textFill>
              </w:rPr>
            </w:pPr>
            <w:r>
              <w:rPr>
                <w:rFonts w:hint="eastAsia" w:ascii="Segoe UI Symbol" w:hAnsi="Segoe UI Symbol" w:cs="Segoe UI Symbol"/>
                <w:color w:val="000000" w:themeColor="text1"/>
                <w:sz w:val="24"/>
                <w14:textFill>
                  <w14:solidFill>
                    <w14:schemeClr w14:val="tx1"/>
                  </w14:solidFill>
                </w14:textFill>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w:t>
            </w:r>
          </w:p>
        </w:tc>
        <w:tc>
          <w:tcPr>
            <w:tcW w:w="8181" w:type="dxa"/>
            <w:vAlign w:val="center"/>
          </w:tcPr>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本项目不收取履约保证金。</w:t>
            </w:r>
          </w:p>
          <w:p>
            <w:pPr>
              <w:pStyle w:val="1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本项目收取履约保证金：详见商务条款。</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履约保证金递交方式：详见商务条款。</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履约保证金退付方式、时间及条件详见商务条款。</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1.</w:t>
            </w:r>
            <w:r>
              <w:rPr>
                <w:rFonts w:hint="eastAsia" w:ascii="楷体" w:hAnsi="楷体" w:eastAsia="楷体" w:cs="宋体"/>
                <w:b/>
                <w:color w:val="000000" w:themeColor="text1"/>
                <w:sz w:val="24"/>
                <w14:textFill>
                  <w14:solidFill>
                    <w14:schemeClr w14:val="tx1"/>
                  </w14:solidFill>
                </w14:textFill>
              </w:rPr>
              <w:t>根据《桂财采〔</w:t>
            </w:r>
            <w:r>
              <w:rPr>
                <w:rFonts w:ascii="楷体" w:hAnsi="楷体" w:eastAsia="楷体" w:cs="宋体"/>
                <w:b/>
                <w:color w:val="000000" w:themeColor="text1"/>
                <w:sz w:val="24"/>
                <w14:textFill>
                  <w14:solidFill>
                    <w14:schemeClr w14:val="tx1"/>
                  </w14:solidFill>
                </w14:textFill>
              </w:rPr>
              <w:t xml:space="preserve">2022〕30号 </w:t>
            </w:r>
            <w:r>
              <w:rPr>
                <w:rFonts w:hint="eastAsia" w:ascii="楷体" w:hAnsi="楷体" w:eastAsia="楷体" w:cs="宋体"/>
                <w:b/>
                <w:color w:val="000000" w:themeColor="text1"/>
                <w:sz w:val="24"/>
                <w14:textFill>
                  <w14:solidFill>
                    <w14:schemeClr w14:val="tx1"/>
                  </w14:solidFill>
                </w14:textFill>
              </w:rPr>
              <w:t>广西壮族自治区财政厅关于进一步发挥政府采购政策功能促进企业发展的通知》规定，采购文件要求中标或者成交供应商提交履约保证金的，履约保证金数额不得超过政府采购合同金额的</w:t>
            </w:r>
            <w:r>
              <w:rPr>
                <w:rFonts w:ascii="楷体" w:hAnsi="楷体" w:eastAsia="楷体" w:cs="宋体"/>
                <w:b/>
                <w:color w:val="000000" w:themeColor="text1"/>
                <w:sz w:val="24"/>
                <w14:textFill>
                  <w14:solidFill>
                    <w14:schemeClr w14:val="tx1"/>
                  </w14:solidFill>
                </w14:textFill>
              </w:rPr>
              <w:t>5%，对中小企业收取的履约保证金数额不得超过政府采购合同金额的2%</w:t>
            </w:r>
            <w:r>
              <w:rPr>
                <w:rFonts w:hint="eastAsia" w:ascii="楷体" w:hAnsi="楷体" w:eastAsia="楷体" w:cs="宋体"/>
                <w:b/>
                <w:color w:val="000000" w:themeColor="text1"/>
                <w:sz w:val="24"/>
                <w14:textFill>
                  <w14:solidFill>
                    <w14:schemeClr w14:val="tx1"/>
                  </w14:solidFill>
                </w14:textFill>
              </w:rPr>
              <w:t>。</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2.履约保证金不足额缴纳的，或者银行出具的保函额度不足的或者保函有效期低于合同履行期限（即签订采购合同之日起至履行完合同约定的权利及义务之日止）的，不予签订合同。</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3.采用银行出具的保函的，必须为无条件保函，否则不予签订合同。</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29.1</w:t>
            </w:r>
          </w:p>
        </w:tc>
        <w:tc>
          <w:tcPr>
            <w:tcW w:w="8181" w:type="dxa"/>
            <w:vAlign w:val="center"/>
          </w:tcPr>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签订合同携带的证明材料： </w:t>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委托代理人负责签订合同的，须携带授权委托书及委托代理人身份证原件等其他资格证件。</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w:t>
            </w:r>
          </w:p>
        </w:tc>
        <w:tc>
          <w:tcPr>
            <w:tcW w:w="8181" w:type="dxa"/>
            <w:vAlign w:val="center"/>
          </w:tcPr>
          <w:p>
            <w:pPr>
              <w:spacing w:line="38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接收质疑函方式：以书面形式。</w:t>
            </w:r>
          </w:p>
          <w:p>
            <w:pPr>
              <w:spacing w:line="38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质疑联系部门及联系方式：广西科联招标中心有限公司（采购代理机构）三楼307室，联系电话：0771-3486228，通讯地址：广西</w:t>
            </w:r>
            <w:r>
              <w:rPr>
                <w:rFonts w:hint="eastAsia" w:ascii="宋体" w:hAnsi="宋体" w:cs="宋体"/>
                <w:color w:val="000000" w:themeColor="text1"/>
                <w:sz w:val="24"/>
                <w14:textFill>
                  <w14:solidFill>
                    <w14:schemeClr w14:val="tx1"/>
                  </w14:solidFill>
                </w14:textFill>
              </w:rPr>
              <w:t>壮族自治区</w:t>
            </w:r>
            <w:r>
              <w:rPr>
                <w:rFonts w:ascii="宋体" w:hAnsi="宋体" w:cs="宋体"/>
                <w:color w:val="000000" w:themeColor="text1"/>
                <w:sz w:val="24"/>
                <w:szCs w:val="24"/>
                <w14:textFill>
                  <w14:solidFill>
                    <w14:schemeClr w14:val="tx1"/>
                  </w14:solidFill>
                </w14:textFill>
              </w:rPr>
              <w:t>南宁市大学东路170号</w:t>
            </w:r>
          </w:p>
          <w:p>
            <w:pPr>
              <w:spacing w:line="38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现场提交质疑办理业务时间（北京时间）：上午8时00分到12时00分，下午3时00分到6时00分，业务时间以外、双休日和法定节假日不办理业务。</w:t>
            </w:r>
          </w:p>
          <w:p>
            <w:pPr>
              <w:spacing w:line="380" w:lineRule="exact"/>
              <w:rPr>
                <w:rFonts w:hAnsi="宋体" w:cs="宋体"/>
                <w:color w:val="000000" w:themeColor="text1"/>
                <w:szCs w:val="21"/>
                <w14:textFill>
                  <w14:solidFill>
                    <w14:schemeClr w14:val="tx1"/>
                  </w14:solidFill>
                </w14:textFill>
              </w:rPr>
            </w:pPr>
            <w:r>
              <w:rPr>
                <w:rFonts w:ascii="宋体" w:hAnsi="宋体" w:cs="宋体"/>
                <w:color w:val="000000" w:themeColor="text1"/>
                <w:sz w:val="24"/>
                <w:szCs w:val="24"/>
                <w14:textFill>
                  <w14:solidFill>
                    <w14:schemeClr w14:val="tx1"/>
                  </w14:solidFill>
                </w14:textFill>
              </w:rPr>
              <w:t>供应商如有质疑，需在法定质疑期内一次性提出针对同一采购程序环节的质疑。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w:t>
            </w:r>
          </w:p>
        </w:tc>
        <w:tc>
          <w:tcPr>
            <w:tcW w:w="8181"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1.采购代理服务费支付方式：本项目的招标代理服务费按以下收费标准向成交供应商收取，签订合同前，成交供应商应向采购代理机构一次付清招标代理服务费，否则采购代理机构有权不予以办理。</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2.采购代理服务费收取标准：</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以分标成交金额为计费额，按本采购文件之供应商须知正文第32.2条规定的收费计算标准（货物类）采用差额定率累进法计算出收费基准价格，采购代理服务费收费以收费基准价格收取。</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3.采购代理服务费专用银行账号：</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开户名称：广西科联招标中心有限公司</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开户银行：中国工商银行南宁市甘蔗站支行</w:t>
            </w:r>
          </w:p>
          <w:p>
            <w:pPr>
              <w:pStyle w:val="17"/>
              <w:snapToGrid w:val="0"/>
              <w:spacing w:line="5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银行账号：2102111229300032105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2"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w:t>
            </w:r>
          </w:p>
        </w:tc>
        <w:tc>
          <w:tcPr>
            <w:tcW w:w="8181"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5"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w:t>
            </w:r>
          </w:p>
        </w:tc>
        <w:tc>
          <w:tcPr>
            <w:tcW w:w="8181" w:type="dxa"/>
            <w:vAlign w:val="center"/>
          </w:tcPr>
          <w:p>
            <w:pPr>
              <w:spacing w:line="380" w:lineRule="exact"/>
              <w:rPr>
                <w:rFonts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pPr>
              <w:spacing w:line="380" w:lineRule="exact"/>
              <w:rPr>
                <w:rFonts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2.供应商为其他组织或者自然人时，本谈判文件规定的法定代表人指负责人或者自然人。本谈判文件所称负责人是指参加竞争性谈判的其他组织</w:t>
            </w:r>
            <w:r>
              <w:rPr>
                <w:rFonts w:hint="default" w:ascii="宋体" w:hAnsi="宋体" w:cs="宋体"/>
                <w:bCs w:val="0"/>
                <w:color w:val="000000" w:themeColor="text1"/>
                <w:sz w:val="24"/>
                <w:szCs w:val="24"/>
                <w14:textFill>
                  <w14:solidFill>
                    <w14:schemeClr w14:val="tx1"/>
                  </w14:solidFill>
                </w14:textFill>
              </w:rPr>
              <w:t>营业执照或者执业许可证等证照上</w:t>
            </w:r>
            <w:r>
              <w:rPr>
                <w:rFonts w:hint="default" w:ascii="宋体" w:hAnsi="宋体" w:cs="宋体"/>
                <w:color w:val="000000" w:themeColor="text1"/>
                <w:sz w:val="24"/>
                <w:szCs w:val="24"/>
                <w14:textFill>
                  <w14:solidFill>
                    <w14:schemeClr w14:val="tx1"/>
                  </w14:solidFill>
                </w14:textFill>
              </w:rPr>
              <w:t>的负责人，本谈判文件所称自然人指参与竞争性谈判的自然人本人，</w:t>
            </w:r>
            <w:r>
              <w:rPr>
                <w:rFonts w:hint="default" w:ascii="宋体" w:hAnsi="宋体" w:cs="宋体"/>
                <w:bCs w:val="0"/>
                <w:color w:val="000000" w:themeColor="text1"/>
                <w:sz w:val="24"/>
                <w:szCs w:val="24"/>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pPr>
              <w:spacing w:line="380" w:lineRule="exact"/>
              <w:rPr>
                <w:rFonts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pPr>
              <w:spacing w:line="38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default" w:ascii="宋体" w:hAnsi="宋体" w:cs="宋体"/>
                <w:color w:val="000000" w:themeColor="text1"/>
                <w:sz w:val="24"/>
                <w:szCs w:val="24"/>
                <w14:textFill>
                  <w14:solidFill>
                    <w14:schemeClr w14:val="tx1"/>
                  </w14:solidFill>
                </w14:textFill>
              </w:rPr>
              <w:t>.本谈判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pPr>
              <w:spacing w:line="38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default" w:ascii="宋体" w:hAnsi="宋体" w:cs="宋体"/>
                <w:color w:val="000000" w:themeColor="text1"/>
                <w:sz w:val="24"/>
                <w:szCs w:val="24"/>
                <w14:textFill>
                  <w14:solidFill>
                    <w14:schemeClr w14:val="tx1"/>
                  </w14:solidFill>
                </w14:textFill>
              </w:rPr>
              <w:t>.自然人参与竞争性谈判的，谈判文件规定盖章的地方自然人可以加盖手指指印。</w:t>
            </w:r>
          </w:p>
          <w:p>
            <w:pPr>
              <w:spacing w:line="38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default" w:ascii="宋体" w:hAnsi="宋体" w:cs="宋体"/>
                <w:color w:val="000000" w:themeColor="text1"/>
                <w:sz w:val="24"/>
                <w:szCs w:val="24"/>
                <w14:textFill>
                  <w14:solidFill>
                    <w14:schemeClr w14:val="tx1"/>
                  </w14:solidFill>
                </w14:textFill>
              </w:rPr>
              <w:t>.本谈判文件所称的“以上”“以下”“以内”“届满”，包括本数；所称的“不满”“超过”“以外”，不包括本数。</w:t>
            </w:r>
          </w:p>
        </w:tc>
      </w:tr>
    </w:tbl>
    <w:p>
      <w:pPr>
        <w:spacing w:line="360" w:lineRule="auto"/>
        <w:jc w:val="center"/>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供应商须知正文</w:t>
      </w:r>
    </w:p>
    <w:p>
      <w:pPr>
        <w:spacing w:line="360" w:lineRule="auto"/>
        <w:jc w:val="center"/>
        <w:rPr>
          <w:rFonts w:ascii="宋体" w:hAnsi="宋体" w:cs="宋体"/>
          <w:b/>
          <w:sz w:val="36"/>
          <w:szCs w:val="36"/>
        </w:rPr>
      </w:pPr>
      <w:r>
        <w:rPr>
          <w:rFonts w:hint="eastAsia" w:ascii="宋体" w:hAnsi="宋体" w:cs="宋体"/>
          <w:b/>
          <w:sz w:val="36"/>
          <w:szCs w:val="36"/>
        </w:rPr>
        <w:t>一、总则</w:t>
      </w:r>
    </w:p>
    <w:p>
      <w:pPr>
        <w:spacing w:line="400" w:lineRule="exact"/>
        <w:rPr>
          <w:rFonts w:ascii="宋体" w:hAnsi="宋体" w:cs="宋体"/>
          <w:szCs w:val="21"/>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1.适用范围</w:t>
      </w:r>
    </w:p>
    <w:p>
      <w:pPr>
        <w:spacing w:line="360" w:lineRule="auto"/>
        <w:ind w:firstLine="480" w:firstLineChars="200"/>
        <w:rPr>
          <w:rFonts w:ascii="宋体" w:hAnsi="宋体" w:cs="宋体"/>
          <w:sz w:val="24"/>
        </w:rPr>
      </w:pPr>
      <w:r>
        <w:rPr>
          <w:rFonts w:hint="eastAsia" w:ascii="宋体" w:hAnsi="宋体" w:cs="宋体"/>
          <w:sz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pacing w:val="-6"/>
          <w:sz w:val="24"/>
        </w:rPr>
        <w:t>本竞争性谈判采购文件（以下简称谈判文件）适用于本项目的所有采购程序和环节（法律、法规另有规定的，从其规定）。</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2.定义</w:t>
      </w:r>
    </w:p>
    <w:p>
      <w:pPr>
        <w:spacing w:line="360" w:lineRule="auto"/>
        <w:ind w:firstLine="480" w:firstLineChars="200"/>
        <w:rPr>
          <w:rFonts w:ascii="宋体" w:hAnsi="宋体" w:cs="宋体"/>
          <w:sz w:val="24"/>
        </w:rPr>
      </w:pPr>
      <w:r>
        <w:rPr>
          <w:rFonts w:hint="eastAsia" w:ascii="宋体" w:hAnsi="宋体" w:cs="宋体"/>
          <w:sz w:val="24"/>
        </w:rPr>
        <w:t>2.1“采购人”是指依法进行采购的国家机关、事业单位、团体组织。</w:t>
      </w:r>
    </w:p>
    <w:p>
      <w:pPr>
        <w:spacing w:line="360" w:lineRule="auto"/>
        <w:ind w:firstLine="480" w:firstLineChars="200"/>
        <w:rPr>
          <w:rFonts w:ascii="宋体" w:hAnsi="宋体" w:cs="宋体"/>
          <w:b/>
          <w:sz w:val="24"/>
        </w:rPr>
      </w:pPr>
      <w:r>
        <w:rPr>
          <w:rFonts w:hint="eastAsia" w:ascii="宋体" w:hAnsi="宋体" w:cs="宋体"/>
          <w:sz w:val="24"/>
        </w:rPr>
        <w:t>2.2“采购代理机构”</w:t>
      </w:r>
      <w:r>
        <w:rPr>
          <w:rFonts w:hint="eastAsia" w:ascii="宋体" w:hAnsi="宋体" w:cs="宋体"/>
          <w:b/>
          <w:sz w:val="24"/>
        </w:rPr>
        <w:t>是指政府采购集中采购机构和集中采购机构以外的采购代理机构。</w:t>
      </w:r>
    </w:p>
    <w:p>
      <w:pPr>
        <w:spacing w:line="360" w:lineRule="auto"/>
        <w:ind w:firstLine="480" w:firstLineChars="200"/>
        <w:rPr>
          <w:rFonts w:ascii="宋体" w:hAnsi="宋体" w:cs="宋体"/>
          <w:sz w:val="24"/>
        </w:rPr>
      </w:pPr>
      <w:r>
        <w:rPr>
          <w:rFonts w:hint="eastAsia" w:ascii="宋体" w:hAnsi="宋体" w:cs="宋体"/>
          <w:sz w:val="24"/>
        </w:rPr>
        <w:t>2.3“供应商”是指向采购人提供货物、工程或者服务的法人、其他组织或者自然人。</w:t>
      </w:r>
    </w:p>
    <w:p>
      <w:pPr>
        <w:spacing w:line="360" w:lineRule="auto"/>
        <w:ind w:firstLine="480" w:firstLineChars="200"/>
        <w:rPr>
          <w:rFonts w:ascii="宋体" w:hAnsi="宋体" w:cs="宋体"/>
          <w:sz w:val="24"/>
        </w:rPr>
      </w:pPr>
      <w:r>
        <w:rPr>
          <w:rFonts w:hint="eastAsia" w:ascii="宋体" w:hAnsi="宋体" w:cs="宋体"/>
          <w:sz w:val="24"/>
        </w:rPr>
        <w:t>2.4“货物”是指各种形态和种类的物品，包括原材料、燃料、设备、产品等。</w:t>
      </w:r>
    </w:p>
    <w:p>
      <w:pPr>
        <w:spacing w:line="360" w:lineRule="auto"/>
        <w:ind w:firstLine="480" w:firstLineChars="200"/>
        <w:rPr>
          <w:rFonts w:ascii="宋体" w:hAnsi="宋体" w:cs="宋体"/>
          <w:sz w:val="24"/>
        </w:rPr>
      </w:pPr>
      <w:r>
        <w:rPr>
          <w:rFonts w:hint="eastAsia" w:ascii="宋体" w:hAnsi="宋体" w:cs="宋体"/>
          <w:sz w:val="24"/>
        </w:rPr>
        <w:t>2.5“</w:t>
      </w:r>
      <w:r>
        <w:rPr>
          <w:rFonts w:hint="eastAsia" w:hAnsi="宋体" w:cs="宋体"/>
          <w:sz w:val="24"/>
        </w:rPr>
        <w:t>竞争性谈判</w:t>
      </w:r>
      <w:r>
        <w:rPr>
          <w:rFonts w:hint="eastAsia" w:ascii="宋体" w:hAnsi="宋体" w:cs="宋体"/>
          <w:sz w:val="24"/>
        </w:rPr>
        <w:t>”是指按照本项目竞争性谈判公告或者邀请函规定的方式供应商获取谈判文件、提交响应文件并希望获得标的的行为。</w:t>
      </w:r>
    </w:p>
    <w:p>
      <w:pPr>
        <w:spacing w:line="360" w:lineRule="auto"/>
        <w:ind w:firstLine="480" w:firstLineChars="200"/>
        <w:rPr>
          <w:rFonts w:ascii="宋体" w:hAnsi="宋体" w:cs="宋体"/>
          <w:sz w:val="24"/>
        </w:rPr>
      </w:pPr>
      <w:r>
        <w:rPr>
          <w:rFonts w:hint="eastAsia" w:ascii="宋体" w:hAnsi="宋体" w:cs="宋体"/>
          <w:sz w:val="24"/>
        </w:rPr>
        <w:t>2.6“售后服务” 是指包含但不限于供应商须承担的备品备件、包装、运输、装卸、保险、货到就位以及安装、调试、培训、保修和其他类似的义务。</w:t>
      </w:r>
    </w:p>
    <w:p>
      <w:pPr>
        <w:spacing w:line="360" w:lineRule="auto"/>
        <w:ind w:firstLine="480" w:firstLineChars="200"/>
        <w:rPr>
          <w:rFonts w:ascii="宋体" w:hAnsi="宋体" w:cs="宋体"/>
          <w:sz w:val="24"/>
        </w:rPr>
      </w:pPr>
      <w:r>
        <w:rPr>
          <w:rFonts w:hint="eastAsia" w:ascii="宋体" w:hAnsi="宋体" w:cs="宋体"/>
          <w:sz w:val="24"/>
        </w:rPr>
        <w:t>2.7“书面形式”是指合同书、信件和数据电文（包括电报、电传、传真、电子数据交换和电子邮件）等可以有形地表现所载内容的形式。</w:t>
      </w:r>
    </w:p>
    <w:p>
      <w:pPr>
        <w:spacing w:line="360" w:lineRule="auto"/>
        <w:ind w:firstLine="480" w:firstLineChars="200"/>
        <w:rPr>
          <w:rFonts w:ascii="宋体" w:hAnsi="宋体" w:cs="宋体"/>
          <w:sz w:val="24"/>
        </w:rPr>
      </w:pPr>
      <w:r>
        <w:rPr>
          <w:rFonts w:hint="eastAsia" w:ascii="宋体" w:hAnsi="宋体" w:cs="宋体"/>
          <w:sz w:val="24"/>
        </w:rPr>
        <w:t>2.8“响应文件”</w:t>
      </w:r>
      <w:r>
        <w:rPr>
          <w:rFonts w:hint="eastAsia" w:ascii="宋体" w:hAnsi="宋体" w:cs="宋体"/>
          <w:spacing w:val="-6"/>
          <w:sz w:val="24"/>
        </w:rPr>
        <w:t>是指：供应商根据本谈判文件要求，编制包含报价、技术和服务等所有内容的文件。</w:t>
      </w:r>
    </w:p>
    <w:p>
      <w:pPr>
        <w:spacing w:line="360" w:lineRule="auto"/>
        <w:ind w:firstLine="480" w:firstLineChars="200"/>
        <w:rPr>
          <w:rFonts w:ascii="宋体" w:hAnsi="宋体" w:cs="宋体"/>
          <w:sz w:val="24"/>
        </w:rPr>
      </w:pPr>
      <w:r>
        <w:rPr>
          <w:rFonts w:hint="eastAsia" w:ascii="宋体" w:hAnsi="宋体" w:cs="宋体"/>
          <w:sz w:val="24"/>
        </w:rPr>
        <w:t>2.9 “实质性要求”是指采购需求中带“</w:t>
      </w:r>
      <w:r>
        <w:rPr>
          <w:rFonts w:hint="eastAsia" w:ascii="宋体" w:hAnsi="宋体" w:cs="宋体"/>
          <w:szCs w:val="21"/>
        </w:rPr>
        <w:t>▲</w:t>
      </w:r>
      <w:r>
        <w:rPr>
          <w:rFonts w:hint="eastAsia" w:ascii="宋体" w:hAnsi="宋体" w:cs="宋体"/>
          <w:sz w:val="24"/>
        </w:rPr>
        <w:t>”的条款或者不能负偏离的条款或者已经指明不满足按响应文件按无效响应处理的条款。</w:t>
      </w:r>
    </w:p>
    <w:p>
      <w:pPr>
        <w:spacing w:line="360" w:lineRule="auto"/>
        <w:ind w:firstLine="480" w:firstLineChars="200"/>
        <w:rPr>
          <w:rFonts w:ascii="宋体" w:hAnsi="宋体" w:cs="宋体"/>
          <w:sz w:val="24"/>
        </w:rPr>
      </w:pPr>
      <w:r>
        <w:rPr>
          <w:rFonts w:hint="eastAsia" w:ascii="宋体" w:hAnsi="宋体" w:cs="宋体"/>
          <w:sz w:val="24"/>
        </w:rPr>
        <w:t>2.10“正偏离”，是指响应文件对谈判文件“采购需求”中有关条款作出优于条款要求并有利于采购人的响应情形；</w:t>
      </w:r>
    </w:p>
    <w:p>
      <w:pPr>
        <w:spacing w:line="360" w:lineRule="auto"/>
        <w:ind w:firstLine="480" w:firstLineChars="200"/>
        <w:rPr>
          <w:rFonts w:ascii="宋体" w:hAnsi="宋体" w:cs="宋体"/>
          <w:sz w:val="24"/>
        </w:rPr>
      </w:pPr>
      <w:r>
        <w:rPr>
          <w:rFonts w:hint="eastAsia" w:ascii="宋体" w:hAnsi="宋体" w:cs="宋体"/>
          <w:sz w:val="24"/>
        </w:rPr>
        <w:t>2.11“负偏离”，是指响应文件对谈判文件“采购需求”中有关条款作出的响应不满足条款要求，导致采购人要求不能得到满足的情形。</w:t>
      </w:r>
    </w:p>
    <w:p>
      <w:pPr>
        <w:spacing w:line="360" w:lineRule="auto"/>
        <w:ind w:firstLine="480" w:firstLineChars="200"/>
        <w:rPr>
          <w:rFonts w:ascii="宋体" w:hAnsi="宋体" w:cs="宋体"/>
          <w:sz w:val="24"/>
        </w:rPr>
      </w:pPr>
      <w:r>
        <w:rPr>
          <w:rFonts w:hint="eastAsia" w:ascii="宋体" w:hAnsi="宋体" w:cs="宋体"/>
          <w:sz w:val="24"/>
        </w:rPr>
        <w:t>2.12“允许负偏离的条款”是指采购需求中的不属于“实质性要求”的条款。</w:t>
      </w:r>
    </w:p>
    <w:p>
      <w:pPr>
        <w:spacing w:line="360" w:lineRule="auto"/>
        <w:ind w:firstLine="480" w:firstLineChars="200"/>
        <w:rPr>
          <w:rFonts w:ascii="宋体" w:hAnsi="宋体" w:cs="宋体"/>
          <w:sz w:val="24"/>
        </w:rPr>
      </w:pPr>
      <w:r>
        <w:rPr>
          <w:rFonts w:hint="eastAsia" w:ascii="宋体" w:hAnsi="宋体" w:cs="宋体"/>
          <w:sz w:val="24"/>
        </w:rPr>
        <w:t>2.13“首次报价”是指供应商提交的首次响应文件中的</w:t>
      </w:r>
      <w:r>
        <w:rPr>
          <w:rFonts w:hint="eastAsia" w:hAnsi="宋体" w:cs="宋体"/>
          <w:sz w:val="24"/>
        </w:rPr>
        <w:t>竞争性谈判</w:t>
      </w:r>
      <w:r>
        <w:rPr>
          <w:rFonts w:hint="eastAsia" w:ascii="宋体" w:hAnsi="宋体" w:cs="宋体"/>
          <w:sz w:val="24"/>
        </w:rPr>
        <w:t>报价。</w:t>
      </w:r>
    </w:p>
    <w:p>
      <w:pPr>
        <w:spacing w:line="360" w:lineRule="auto"/>
        <w:ind w:firstLine="643" w:firstLineChars="200"/>
        <w:contextualSpacing/>
        <w:rPr>
          <w:rFonts w:ascii="宋体" w:hAnsi="宋体" w:cs="宋体"/>
          <w:b/>
          <w:bCs/>
          <w:sz w:val="32"/>
          <w:szCs w:val="32"/>
        </w:rPr>
      </w:pPr>
      <w:r>
        <w:rPr>
          <w:rFonts w:hint="eastAsia" w:ascii="宋体" w:hAnsi="宋体" w:cs="宋体"/>
          <w:b/>
          <w:bCs/>
          <w:sz w:val="32"/>
          <w:szCs w:val="32"/>
        </w:rPr>
        <w:t>3.供应商的资格条件</w:t>
      </w:r>
    </w:p>
    <w:p>
      <w:pPr>
        <w:spacing w:line="360" w:lineRule="auto"/>
        <w:ind w:firstLine="480" w:firstLineChars="200"/>
        <w:contextualSpacing/>
        <w:rPr>
          <w:rFonts w:ascii="宋体" w:hAnsi="宋体" w:cs="宋体"/>
          <w:sz w:val="24"/>
        </w:rPr>
      </w:pPr>
      <w:r>
        <w:rPr>
          <w:rFonts w:hint="eastAsia" w:ascii="宋体" w:hAnsi="宋体" w:cs="宋体"/>
          <w:sz w:val="24"/>
        </w:rPr>
        <w:t>供应商的资格条件详见“供应商须知前附表”。</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4.竞争性谈判费用</w:t>
      </w:r>
    </w:p>
    <w:p>
      <w:pPr>
        <w:spacing w:line="360" w:lineRule="auto"/>
        <w:ind w:firstLine="480" w:firstLineChars="200"/>
        <w:rPr>
          <w:rFonts w:ascii="宋体" w:hAnsi="宋体" w:cs="宋体"/>
          <w:sz w:val="24"/>
        </w:rPr>
      </w:pPr>
      <w:r>
        <w:rPr>
          <w:rFonts w:hint="eastAsia" w:hAnsi="宋体" w:cs="宋体"/>
          <w:sz w:val="24"/>
        </w:rPr>
        <w:t>竞争性谈判</w:t>
      </w:r>
      <w:r>
        <w:rPr>
          <w:rFonts w:hint="eastAsia" w:ascii="宋体" w:hAnsi="宋体" w:cs="宋体"/>
          <w:sz w:val="24"/>
        </w:rPr>
        <w:t>费用：供应商应承担参与本次采购活动有关的所有费用，包括但不限于获取谈判文件、勘查现场、编制和提交响应文件、参加谈判与应答、签订合同等，不论</w:t>
      </w:r>
      <w:r>
        <w:rPr>
          <w:rFonts w:hint="eastAsia" w:hAnsi="宋体" w:cs="宋体"/>
          <w:sz w:val="24"/>
        </w:rPr>
        <w:t>竞争性谈判</w:t>
      </w:r>
      <w:r>
        <w:rPr>
          <w:rFonts w:hint="eastAsia" w:ascii="宋体" w:hAnsi="宋体" w:cs="宋体"/>
          <w:sz w:val="24"/>
        </w:rPr>
        <w:t>结果如何，均应自行承担。</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5.联合体参与竞争性谈判</w:t>
      </w:r>
    </w:p>
    <w:p>
      <w:pPr>
        <w:spacing w:line="360" w:lineRule="auto"/>
        <w:ind w:firstLine="480" w:firstLineChars="200"/>
        <w:rPr>
          <w:rFonts w:ascii="宋体" w:hAnsi="宋体" w:cs="宋体"/>
          <w:sz w:val="24"/>
        </w:rPr>
      </w:pPr>
      <w:r>
        <w:rPr>
          <w:rFonts w:hint="eastAsia" w:ascii="宋体" w:hAnsi="宋体" w:cs="宋体"/>
          <w:sz w:val="24"/>
        </w:rPr>
        <w:t>5.1本项目是否接受联合体参与</w:t>
      </w:r>
      <w:r>
        <w:rPr>
          <w:rFonts w:hint="eastAsia" w:hAnsi="宋体" w:cs="宋体"/>
          <w:sz w:val="24"/>
        </w:rPr>
        <w:t>竞争性谈判</w:t>
      </w:r>
      <w:r>
        <w:rPr>
          <w:rFonts w:hint="eastAsia" w:ascii="宋体" w:hAnsi="宋体" w:cs="宋体"/>
          <w:sz w:val="24"/>
        </w:rPr>
        <w:t>，详见“供应商须知前附表”。</w:t>
      </w:r>
    </w:p>
    <w:p>
      <w:pPr>
        <w:spacing w:line="360" w:lineRule="auto"/>
        <w:ind w:firstLine="480" w:firstLineChars="200"/>
        <w:rPr>
          <w:rFonts w:ascii="宋体" w:hAnsi="宋体" w:cs="宋体"/>
          <w:sz w:val="24"/>
        </w:rPr>
      </w:pPr>
      <w:r>
        <w:rPr>
          <w:rFonts w:hint="eastAsia" w:ascii="宋体" w:hAnsi="宋体" w:cs="宋体"/>
          <w:sz w:val="24"/>
        </w:rPr>
        <w:t>5.2</w:t>
      </w:r>
      <w:r>
        <w:rPr>
          <w:rFonts w:hint="eastAsia" w:ascii="宋体" w:hAnsi="宋体" w:cs="宋体"/>
          <w:bCs/>
          <w:sz w:val="24"/>
        </w:rPr>
        <w:t>如接受联合体参与</w:t>
      </w:r>
      <w:r>
        <w:rPr>
          <w:rFonts w:hint="eastAsia" w:hAnsi="宋体" w:cs="宋体"/>
          <w:sz w:val="24"/>
        </w:rPr>
        <w:t>竞争性谈判</w:t>
      </w:r>
      <w:r>
        <w:rPr>
          <w:rFonts w:hint="eastAsia" w:ascii="宋体" w:hAnsi="宋体" w:cs="宋体"/>
          <w:bCs/>
          <w:sz w:val="24"/>
        </w:rPr>
        <w:t>，</w:t>
      </w:r>
      <w:r>
        <w:rPr>
          <w:rFonts w:hint="eastAsia" w:ascii="宋体" w:hAnsi="宋体" w:cs="宋体"/>
          <w:sz w:val="24"/>
        </w:rPr>
        <w:t>具体要求详见“供应商须知前附表”。</w:t>
      </w:r>
    </w:p>
    <w:p>
      <w:pPr>
        <w:spacing w:line="360" w:lineRule="auto"/>
        <w:ind w:firstLine="480" w:firstLineChars="200"/>
        <w:rPr>
          <w:rFonts w:ascii="宋体" w:hAnsi="宋体" w:cs="宋体"/>
          <w:sz w:val="24"/>
        </w:rPr>
      </w:pPr>
      <w:r>
        <w:rPr>
          <w:rFonts w:hint="eastAsia" w:ascii="宋体" w:hAnsi="宋体" w:cs="宋体"/>
          <w:sz w:val="24"/>
        </w:rPr>
        <w:t>5.3</w:t>
      </w:r>
      <w:bookmarkStart w:id="14" w:name="_Hlk65857072"/>
      <w:r>
        <w:rPr>
          <w:rFonts w:hint="eastAsia" w:ascii="宋体" w:hAnsi="宋体" w:cs="宋体"/>
          <w:sz w:val="24"/>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pPr>
        <w:spacing w:line="360" w:lineRule="auto"/>
        <w:ind w:firstLine="643" w:firstLineChars="200"/>
        <w:rPr>
          <w:rFonts w:ascii="宋体" w:hAnsi="宋体" w:cs="宋体"/>
          <w:b/>
          <w:bCs/>
          <w:sz w:val="32"/>
          <w:szCs w:val="32"/>
        </w:rPr>
      </w:pPr>
      <w:r>
        <w:rPr>
          <w:rFonts w:hint="eastAsia" w:ascii="宋体" w:hAnsi="宋体" w:cs="宋体"/>
          <w:b/>
          <w:bCs/>
          <w:sz w:val="32"/>
          <w:szCs w:val="32"/>
        </w:rPr>
        <w:t xml:space="preserve">6.转包与分包             </w:t>
      </w:r>
    </w:p>
    <w:p>
      <w:pPr>
        <w:pStyle w:val="6"/>
        <w:keepNext w:val="0"/>
        <w:keepLines w:val="0"/>
        <w:spacing w:before="0" w:after="0" w:line="360" w:lineRule="auto"/>
        <w:ind w:firstLine="480" w:firstLineChars="200"/>
        <w:rPr>
          <w:rFonts w:ascii="宋体" w:hAnsi="宋体" w:cs="宋体"/>
          <w:b w:val="0"/>
          <w:sz w:val="24"/>
          <w:szCs w:val="24"/>
        </w:rPr>
      </w:pPr>
      <w:bookmarkStart w:id="15" w:name="_Toc254970532"/>
      <w:bookmarkStart w:id="16" w:name="_Toc254970673"/>
      <w:r>
        <w:rPr>
          <w:rFonts w:hint="eastAsia" w:ascii="宋体" w:hAnsi="宋体" w:cs="宋体"/>
          <w:b w:val="0"/>
          <w:sz w:val="24"/>
          <w:szCs w:val="24"/>
        </w:rPr>
        <w:t>6.1本项目不允许转包。</w:t>
      </w:r>
    </w:p>
    <w:p>
      <w:pPr>
        <w:pStyle w:val="6"/>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6"/>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643" w:firstLineChars="200"/>
        <w:rPr>
          <w:rFonts w:ascii="宋体" w:hAnsi="宋体" w:cs="宋体"/>
          <w:sz w:val="24"/>
        </w:rPr>
      </w:pPr>
      <w:r>
        <w:rPr>
          <w:rFonts w:hint="eastAsia" w:ascii="宋体" w:hAnsi="宋体" w:cs="宋体"/>
          <w:b/>
          <w:bCs/>
          <w:sz w:val="32"/>
          <w:szCs w:val="32"/>
        </w:rPr>
        <w:t>7.特别说明</w:t>
      </w:r>
      <w:bookmarkEnd w:id="15"/>
      <w:bookmarkEnd w:id="16"/>
      <w:bookmarkStart w:id="17" w:name="_8.1提供相同品牌产品且通过资格审查、符合性审查的不同投标人参加同一合"/>
      <w:bookmarkEnd w:id="17"/>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1</w:t>
      </w:r>
      <w:r>
        <w:rPr>
          <w:rFonts w:hint="eastAsia" w:ascii="宋体" w:hAnsi="宋体" w:cs="宋体"/>
          <w:sz w:val="24"/>
        </w:rPr>
        <w:t>如果本谈判文件要求提供供应商或制造商的资格、信誉、荣誉、业绩与企业认证等材料的，资格、信誉、荣誉、业绩与企业认证等必须为供应商或者制造商所拥有或自身获得 。</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供应商应仔细阅读谈判文件的所有内容，按照谈判文件的要求提交响应文件，并对所提供的全部资料的真实性承担法律责任。</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3</w:t>
      </w:r>
      <w:r>
        <w:rPr>
          <w:rFonts w:hint="eastAsia" w:ascii="宋体" w:hAnsi="宋体" w:cs="宋体"/>
          <w:sz w:val="24"/>
        </w:rPr>
        <w:t>供应商在参与</w:t>
      </w:r>
      <w:r>
        <w:rPr>
          <w:rFonts w:hint="eastAsia" w:hAnsi="宋体" w:cs="宋体"/>
          <w:sz w:val="24"/>
        </w:rPr>
        <w:t>竞争性谈判</w:t>
      </w:r>
      <w:r>
        <w:rPr>
          <w:rFonts w:hint="eastAsia" w:ascii="宋体" w:hAnsi="宋体" w:cs="宋体"/>
          <w:sz w:val="24"/>
        </w:rPr>
        <w:t>活动中提供任何虚假材料,其响应文件按无效响应处理，并报监管部门查处；签订合同后发现的,成交供应商须依法赔偿采购人，且民事赔偿并不免除违法供应商的行政与刑事责任。</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4</w:t>
      </w:r>
      <w:r>
        <w:rPr>
          <w:rFonts w:hint="eastAsia" w:ascii="宋体" w:hAnsi="宋体" w:cs="宋体"/>
          <w:sz w:val="24"/>
        </w:rPr>
        <w:t>在政府采购活动中，采购人员及相关人员与供应商有下列利害关系之一的，应当回避：</w:t>
      </w:r>
    </w:p>
    <w:p>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5</w:t>
      </w:r>
      <w:r>
        <w:rPr>
          <w:rFonts w:hint="eastAsia" w:ascii="宋体" w:hAnsi="宋体" w:cs="宋体"/>
          <w:sz w:val="24"/>
        </w:rPr>
        <w:t>有下列情形之一的视为供应商相互串通参与</w:t>
      </w:r>
      <w:r>
        <w:rPr>
          <w:rFonts w:hint="eastAsia" w:hAnsi="宋体" w:cs="宋体"/>
          <w:sz w:val="24"/>
        </w:rPr>
        <w:t>竞争性谈判</w:t>
      </w:r>
      <w:r>
        <w:rPr>
          <w:rFonts w:hint="eastAsia" w:ascii="宋体" w:hAnsi="宋体" w:cs="宋体"/>
          <w:sz w:val="24"/>
        </w:rPr>
        <w:t>，响应文件将被视为无效：</w:t>
      </w:r>
    </w:p>
    <w:p>
      <w:pPr>
        <w:spacing w:line="360" w:lineRule="auto"/>
        <w:ind w:firstLine="480" w:firstLineChars="200"/>
        <w:rPr>
          <w:rFonts w:ascii="宋体" w:hAnsi="宋体" w:cs="宋体"/>
          <w:sz w:val="24"/>
        </w:rPr>
      </w:pPr>
      <w:r>
        <w:rPr>
          <w:rFonts w:hint="eastAsia" w:ascii="宋体" w:hAnsi="宋体" w:cs="宋体"/>
          <w:sz w:val="24"/>
        </w:rPr>
        <w:t>（1）不同供应商的响应文件由同一单位或者个人编制；</w:t>
      </w:r>
    </w:p>
    <w:p>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w:t>
      </w:r>
      <w:r>
        <w:rPr>
          <w:rFonts w:hint="eastAsia" w:hAnsi="宋体" w:cs="宋体"/>
          <w:sz w:val="24"/>
        </w:rPr>
        <w:t>竞争性谈判</w:t>
      </w:r>
      <w:r>
        <w:rPr>
          <w:rFonts w:hint="eastAsia" w:ascii="宋体" w:hAnsi="宋体" w:cs="宋体"/>
          <w:sz w:val="24"/>
        </w:rPr>
        <w:t>事宜；</w:t>
      </w:r>
    </w:p>
    <w:p>
      <w:pPr>
        <w:spacing w:line="360" w:lineRule="auto"/>
        <w:ind w:firstLine="480" w:firstLineChars="200"/>
        <w:rPr>
          <w:rFonts w:ascii="宋体" w:hAnsi="宋体" w:cs="宋体"/>
          <w:sz w:val="24"/>
        </w:rPr>
      </w:pPr>
      <w:r>
        <w:rPr>
          <w:rFonts w:hint="eastAsia" w:ascii="宋体" w:hAnsi="宋体" w:cs="宋体"/>
          <w:sz w:val="24"/>
        </w:rPr>
        <w:t>（3）不同的供应商的响应文件载明的项目管理员为同一个人；</w:t>
      </w:r>
    </w:p>
    <w:p>
      <w:pPr>
        <w:spacing w:line="360" w:lineRule="auto"/>
        <w:ind w:firstLine="480" w:firstLineChars="200"/>
        <w:rPr>
          <w:rFonts w:ascii="宋体" w:hAnsi="宋体" w:cs="宋体"/>
          <w:sz w:val="24"/>
        </w:rPr>
      </w:pPr>
      <w:r>
        <w:rPr>
          <w:rFonts w:hint="eastAsia" w:ascii="宋体" w:hAnsi="宋体" w:cs="宋体"/>
          <w:sz w:val="24"/>
        </w:rPr>
        <w:t>（4）不同供应商的响应文件异常一致或者报价呈规律性差异；</w:t>
      </w:r>
    </w:p>
    <w:p>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pPr>
        <w:spacing w:line="360" w:lineRule="auto"/>
        <w:ind w:firstLine="480" w:firstLineChars="200"/>
        <w:rPr>
          <w:rFonts w:ascii="宋体" w:hAnsi="宋体" w:cs="宋体"/>
          <w:sz w:val="24"/>
        </w:rPr>
      </w:pPr>
      <w:r>
        <w:rPr>
          <w:rFonts w:hint="eastAsia" w:ascii="宋体" w:hAnsi="宋体" w:cs="宋体"/>
          <w:sz w:val="24"/>
        </w:rPr>
        <w:t>（6）不同供应商的谈判保证金从同一单位或者个人账户转出；</w:t>
      </w:r>
    </w:p>
    <w:p>
      <w:pPr>
        <w:spacing w:line="360" w:lineRule="auto"/>
        <w:ind w:firstLine="480" w:firstLineChars="200"/>
        <w:rPr>
          <w:rFonts w:ascii="宋体" w:hAnsi="宋体" w:cs="宋体"/>
          <w:sz w:val="24"/>
        </w:rPr>
      </w:pPr>
      <w:r>
        <w:rPr>
          <w:rFonts w:hint="eastAsia" w:ascii="宋体" w:hAnsi="宋体" w:cs="宋体"/>
          <w:sz w:val="24"/>
        </w:rPr>
        <w:t>（7）供应商之间协商报价等响应文件的实质性内容；</w:t>
      </w:r>
    </w:p>
    <w:p>
      <w:pPr>
        <w:spacing w:line="360" w:lineRule="auto"/>
        <w:ind w:firstLine="480" w:firstLineChars="200"/>
        <w:rPr>
          <w:rFonts w:ascii="宋体" w:hAnsi="宋体" w:cs="宋体"/>
          <w:sz w:val="24"/>
        </w:rPr>
      </w:pPr>
      <w:r>
        <w:rPr>
          <w:rFonts w:hint="eastAsia" w:ascii="宋体" w:hAnsi="宋体" w:cs="宋体"/>
          <w:sz w:val="24"/>
        </w:rPr>
        <w:t>（8）供应商之间约定成交供应商；</w:t>
      </w:r>
    </w:p>
    <w:p>
      <w:pPr>
        <w:spacing w:line="360" w:lineRule="auto"/>
        <w:ind w:firstLine="480" w:firstLineChars="200"/>
        <w:rPr>
          <w:rFonts w:ascii="宋体" w:hAnsi="宋体" w:cs="宋体"/>
          <w:sz w:val="24"/>
        </w:rPr>
      </w:pPr>
      <w:r>
        <w:rPr>
          <w:rFonts w:hint="eastAsia" w:ascii="宋体" w:hAnsi="宋体" w:cs="宋体"/>
          <w:sz w:val="24"/>
        </w:rPr>
        <w:t>（9）供应商之间约定部分供应商放弃参与竞争性谈判或者成交；</w:t>
      </w:r>
    </w:p>
    <w:p>
      <w:pPr>
        <w:spacing w:line="360" w:lineRule="auto"/>
        <w:ind w:firstLine="480" w:firstLineChars="200"/>
        <w:rPr>
          <w:rFonts w:ascii="宋体" w:hAnsi="宋体" w:cs="宋体"/>
          <w:sz w:val="24"/>
        </w:rPr>
      </w:pPr>
      <w:r>
        <w:rPr>
          <w:rFonts w:hint="eastAsia" w:ascii="宋体" w:hAnsi="宋体" w:cs="宋体"/>
          <w:sz w:val="24"/>
        </w:rPr>
        <w:t>（10）属于同一集团、协会、商会等组织成员的供应商按照该组织要求协同参与竞争性谈判；</w:t>
      </w:r>
    </w:p>
    <w:p>
      <w:pPr>
        <w:spacing w:line="360" w:lineRule="auto"/>
        <w:ind w:firstLine="480" w:firstLineChars="200"/>
        <w:rPr>
          <w:rFonts w:ascii="宋体" w:hAnsi="宋体" w:cs="宋体"/>
          <w:sz w:val="24"/>
        </w:rPr>
      </w:pPr>
      <w:r>
        <w:rPr>
          <w:rFonts w:hint="eastAsia" w:ascii="宋体" w:hAnsi="宋体" w:cs="宋体"/>
          <w:sz w:val="24"/>
        </w:rPr>
        <w:t>（11）供应商之间为谋取成交或者排斥特定供应商而采取的其他联合行动。</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6</w:t>
      </w:r>
      <w:r>
        <w:rPr>
          <w:rFonts w:hint="eastAsia" w:ascii="宋体" w:hAnsi="宋体" w:cs="宋体"/>
          <w:sz w:val="24"/>
        </w:rPr>
        <w:t>供应商有下列情形之一的，属于恶意串通行为</w:t>
      </w:r>
      <w:bookmarkStart w:id="18" w:name="_Hlk54682620"/>
      <w:r>
        <w:rPr>
          <w:rFonts w:hint="eastAsia" w:ascii="宋体" w:hAnsi="宋体" w:cs="宋体"/>
          <w:sz w:val="24"/>
        </w:rPr>
        <w:t>，将报同级监督管理部门</w:t>
      </w:r>
      <w:bookmarkEnd w:id="18"/>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（3）供应商之间协商报价、技术方案等响应文件或者响应文件的实质性内容；</w:t>
      </w:r>
    </w:p>
    <w:p>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w:t>
      </w:r>
      <w:r>
        <w:rPr>
          <w:rFonts w:hint="eastAsia" w:hAnsi="宋体" w:cs="宋体"/>
          <w:sz w:val="24"/>
        </w:rPr>
        <w:t>竞争性谈判</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pPr>
        <w:spacing w:line="360" w:lineRule="auto"/>
        <w:ind w:firstLine="480" w:firstLineChars="200"/>
        <w:rPr>
          <w:rFonts w:ascii="宋体" w:hAnsi="宋体" w:cs="宋体"/>
          <w:sz w:val="24"/>
        </w:rPr>
      </w:pPr>
      <w:r>
        <w:rPr>
          <w:rFonts w:ascii="宋体" w:hAnsi="宋体" w:cs="宋体"/>
          <w:sz w:val="24"/>
        </w:rPr>
        <w:t>7.7</w:t>
      </w:r>
      <w:r>
        <w:rPr>
          <w:rFonts w:hint="eastAsia" w:ascii="宋体" w:hAnsi="宋体" w:cs="宋体"/>
          <w:sz w:val="24"/>
        </w:rPr>
        <w:t>单一产品采购项目，提供相同品牌产品的不同供应商参加同一合同项下</w:t>
      </w:r>
      <w:r>
        <w:rPr>
          <w:rFonts w:hint="eastAsia" w:hAnsi="宋体" w:cs="宋体"/>
          <w:sz w:val="24"/>
        </w:rPr>
        <w:t>竞争性谈判</w:t>
      </w:r>
      <w:r>
        <w:rPr>
          <w:rFonts w:hint="eastAsia" w:ascii="宋体" w:hAnsi="宋体" w:cs="宋体"/>
          <w:sz w:val="24"/>
        </w:rPr>
        <w:t>的，以其中通过资格审查、符合性审查、谈判且最后报价最低的参加报价评审；最后报价相同的，按照前附表第2</w:t>
      </w:r>
      <w:r>
        <w:rPr>
          <w:rFonts w:ascii="宋体" w:hAnsi="宋体" w:cs="宋体"/>
          <w:sz w:val="24"/>
        </w:rPr>
        <w:t>6</w:t>
      </w:r>
      <w:r>
        <w:rPr>
          <w:rFonts w:hint="eastAsia" w:ascii="宋体" w:hAnsi="宋体" w:cs="宋体"/>
          <w:sz w:val="24"/>
        </w:rPr>
        <w:t>条规定确定一个参加评审的供应商，其他响应文件作无效处理。</w:t>
      </w:r>
    </w:p>
    <w:p>
      <w:pPr>
        <w:spacing w:line="360" w:lineRule="auto"/>
        <w:ind w:firstLine="480" w:firstLineChars="200"/>
        <w:rPr>
          <w:rFonts w:ascii="宋体" w:hAnsi="宋体" w:cs="宋体"/>
          <w:sz w:val="24"/>
        </w:rPr>
      </w:pPr>
      <w:r>
        <w:rPr>
          <w:rFonts w:hint="eastAsia" w:ascii="宋体" w:hAnsi="宋体" w:cs="宋体"/>
          <w:sz w:val="24"/>
        </w:rPr>
        <w:t>非单一产品采购项目，多家供应商提供的核心产品品牌相同的，按前款规定处理；多家供应商提供的所有产品品牌相同，按前款处理。</w:t>
      </w:r>
    </w:p>
    <w:p>
      <w:pPr>
        <w:spacing w:line="360" w:lineRule="auto"/>
        <w:ind w:firstLine="477" w:firstLineChars="199"/>
        <w:jc w:val="center"/>
        <w:rPr>
          <w:rFonts w:ascii="宋体" w:hAnsi="宋体" w:cs="宋体"/>
          <w:sz w:val="24"/>
          <w:szCs w:val="32"/>
        </w:rPr>
      </w:pPr>
      <w:bookmarkStart w:id="19" w:name="_Toc254970675"/>
      <w:bookmarkStart w:id="20" w:name="_Toc254970534"/>
    </w:p>
    <w:p>
      <w:pPr>
        <w:spacing w:line="360" w:lineRule="auto"/>
        <w:jc w:val="center"/>
        <w:rPr>
          <w:rFonts w:ascii="宋体" w:hAnsi="宋体" w:cs="宋体"/>
          <w:b/>
          <w:sz w:val="40"/>
          <w:szCs w:val="40"/>
        </w:rPr>
      </w:pPr>
      <w:r>
        <w:rPr>
          <w:rFonts w:hint="eastAsia" w:ascii="宋体" w:hAnsi="宋体" w:cs="宋体"/>
          <w:b/>
          <w:sz w:val="40"/>
          <w:szCs w:val="40"/>
        </w:rPr>
        <w:t>二、谈判文件</w:t>
      </w:r>
      <w:bookmarkEnd w:id="19"/>
      <w:bookmarkEnd w:id="20"/>
    </w:p>
    <w:p>
      <w:pPr>
        <w:spacing w:line="360" w:lineRule="auto"/>
        <w:jc w:val="center"/>
        <w:rPr>
          <w:rFonts w:ascii="宋体" w:hAnsi="宋体" w:cs="宋体"/>
          <w:sz w:val="24"/>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8.谈判文件的构成</w:t>
      </w:r>
    </w:p>
    <w:p>
      <w:pPr>
        <w:spacing w:line="360" w:lineRule="auto"/>
        <w:ind w:firstLine="480" w:firstLineChars="200"/>
        <w:jc w:val="left"/>
        <w:rPr>
          <w:rFonts w:ascii="宋体" w:hAnsi="宋体" w:cs="宋体"/>
          <w:sz w:val="24"/>
        </w:rPr>
      </w:pPr>
      <w:r>
        <w:rPr>
          <w:rFonts w:hint="eastAsia" w:ascii="宋体" w:hAnsi="宋体" w:cs="宋体"/>
          <w:sz w:val="24"/>
        </w:rPr>
        <w:t>（1）竞争性谈判公告；</w:t>
      </w:r>
    </w:p>
    <w:p>
      <w:pPr>
        <w:spacing w:line="360" w:lineRule="auto"/>
        <w:ind w:firstLine="480" w:firstLineChars="200"/>
        <w:jc w:val="left"/>
        <w:rPr>
          <w:rFonts w:ascii="宋体" w:hAnsi="宋体" w:cs="宋体"/>
          <w:sz w:val="24"/>
        </w:rPr>
      </w:pPr>
      <w:r>
        <w:rPr>
          <w:rFonts w:hint="eastAsia" w:ascii="宋体" w:hAnsi="宋体" w:cs="宋体"/>
          <w:sz w:val="24"/>
        </w:rPr>
        <w:t xml:space="preserve">（2）供应商须知； </w:t>
      </w:r>
    </w:p>
    <w:p>
      <w:pPr>
        <w:spacing w:line="360" w:lineRule="auto"/>
        <w:ind w:firstLine="480" w:firstLineChars="200"/>
        <w:jc w:val="left"/>
        <w:rPr>
          <w:rFonts w:ascii="宋体" w:hAnsi="宋体" w:cs="宋体"/>
          <w:sz w:val="24"/>
        </w:rPr>
      </w:pPr>
      <w:r>
        <w:rPr>
          <w:rFonts w:hint="eastAsia" w:ascii="宋体" w:hAnsi="宋体" w:cs="宋体"/>
          <w:sz w:val="24"/>
        </w:rPr>
        <w:t>（3）采购需求；</w:t>
      </w:r>
    </w:p>
    <w:p>
      <w:pPr>
        <w:spacing w:line="360" w:lineRule="auto"/>
        <w:ind w:firstLine="480" w:firstLineChars="200"/>
        <w:jc w:val="left"/>
        <w:rPr>
          <w:rFonts w:ascii="宋体" w:hAnsi="宋体" w:cs="宋体"/>
          <w:sz w:val="24"/>
        </w:rPr>
      </w:pPr>
      <w:r>
        <w:rPr>
          <w:rFonts w:hint="eastAsia" w:ascii="宋体" w:hAnsi="宋体" w:cs="宋体"/>
          <w:sz w:val="24"/>
        </w:rPr>
        <w:t>（4）响应文件格式；</w:t>
      </w:r>
    </w:p>
    <w:p>
      <w:pPr>
        <w:spacing w:line="360" w:lineRule="auto"/>
        <w:ind w:firstLine="480" w:firstLineChars="200"/>
        <w:jc w:val="left"/>
        <w:rPr>
          <w:rFonts w:ascii="宋体" w:hAnsi="宋体" w:cs="宋体"/>
          <w:sz w:val="24"/>
        </w:rPr>
      </w:pPr>
      <w:r>
        <w:rPr>
          <w:rFonts w:hint="eastAsia" w:ascii="宋体" w:hAnsi="宋体" w:cs="宋体"/>
          <w:sz w:val="24"/>
        </w:rPr>
        <w:t>（5）合同文本；</w:t>
      </w:r>
    </w:p>
    <w:p>
      <w:pPr>
        <w:spacing w:line="360" w:lineRule="auto"/>
        <w:ind w:firstLine="480" w:firstLineChars="200"/>
        <w:jc w:val="left"/>
        <w:rPr>
          <w:rFonts w:ascii="宋体" w:hAnsi="宋体" w:cs="宋体"/>
          <w:sz w:val="24"/>
        </w:rPr>
      </w:pPr>
      <w:r>
        <w:rPr>
          <w:rFonts w:hint="eastAsia" w:ascii="宋体" w:hAnsi="宋体" w:cs="宋体"/>
          <w:sz w:val="24"/>
        </w:rPr>
        <w:t>（6）评审程序和评定成交的标准。</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9.供应商的询问</w:t>
      </w:r>
    </w:p>
    <w:p>
      <w:pPr>
        <w:spacing w:line="360" w:lineRule="auto"/>
        <w:ind w:firstLine="480" w:firstLineChars="200"/>
        <w:rPr>
          <w:rFonts w:ascii="宋体" w:hAnsi="宋体" w:cs="宋体"/>
          <w:sz w:val="24"/>
        </w:rPr>
      </w:pPr>
      <w:r>
        <w:rPr>
          <w:rFonts w:hint="eastAsia" w:ascii="宋体" w:hAnsi="宋体" w:cs="宋体"/>
          <w:sz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10.谈判文件的澄清和修改</w:t>
      </w:r>
    </w:p>
    <w:p>
      <w:pPr>
        <w:spacing w:line="360" w:lineRule="auto"/>
        <w:ind w:firstLine="480" w:firstLineChars="200"/>
        <w:rPr>
          <w:rFonts w:ascii="宋体" w:hAnsi="宋体" w:cs="宋体"/>
          <w:sz w:val="24"/>
        </w:rPr>
      </w:pPr>
      <w:r>
        <w:rPr>
          <w:rFonts w:hint="eastAsia" w:ascii="宋体" w:hAnsi="宋体" w:cs="宋体"/>
          <w:sz w:val="24"/>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w:t>
      </w:r>
      <w:r>
        <w:rPr>
          <w:rFonts w:ascii="宋体" w:hAnsi="宋体" w:cs="宋体"/>
          <w:sz w:val="24"/>
        </w:rPr>
        <w:t>3个工作日前，在原公告发布媒体上发布更正公告</w:t>
      </w:r>
      <w:r>
        <w:rPr>
          <w:rFonts w:hint="eastAsia" w:ascii="宋体" w:hAnsi="宋体" w:cs="宋体"/>
          <w:sz w:val="24"/>
        </w:rPr>
        <w:t>；不足</w:t>
      </w:r>
      <w:r>
        <w:rPr>
          <w:rFonts w:ascii="宋体" w:hAnsi="宋体" w:cs="宋体"/>
          <w:sz w:val="24"/>
        </w:rPr>
        <w:t>3个工作日的，应当顺延提交首次响应文件截止</w:t>
      </w:r>
      <w:r>
        <w:rPr>
          <w:rFonts w:hint="eastAsia" w:ascii="宋体" w:hAnsi="宋体" w:cs="宋体"/>
          <w:sz w:val="24"/>
        </w:rPr>
        <w:t>时间。</w:t>
      </w:r>
    </w:p>
    <w:p>
      <w:pPr>
        <w:spacing w:line="400" w:lineRule="exact"/>
        <w:ind w:firstLine="480" w:firstLineChars="200"/>
        <w:rPr>
          <w:rFonts w:ascii="宋体" w:hAnsi="宋体" w:cs="宋体"/>
          <w:sz w:val="24"/>
        </w:rPr>
      </w:pPr>
      <w:r>
        <w:rPr>
          <w:rFonts w:hint="eastAsia" w:ascii="宋体" w:hAnsi="宋体" w:cs="宋体"/>
          <w:sz w:val="24"/>
          <w:szCs w:val="32"/>
        </w:rPr>
        <w:t>10.2采购人和采购代理机构可以视采购具体情况，变更</w:t>
      </w:r>
      <w:r>
        <w:rPr>
          <w:rFonts w:hint="eastAsia" w:ascii="宋体" w:hAnsi="宋体" w:cs="宋体"/>
          <w:sz w:val="24"/>
        </w:rPr>
        <w:t>首次响应文件提交截止时间</w:t>
      </w:r>
      <w:r>
        <w:rPr>
          <w:rFonts w:hint="eastAsia" w:ascii="宋体" w:hAnsi="宋体" w:cs="宋体"/>
          <w:sz w:val="24"/>
          <w:szCs w:val="32"/>
        </w:rPr>
        <w:t>，并</w:t>
      </w:r>
      <w:r>
        <w:rPr>
          <w:rFonts w:hint="eastAsia" w:ascii="宋体" w:hAnsi="宋体" w:cs="宋体"/>
          <w:sz w:val="24"/>
        </w:rPr>
        <w:t>在原公告发布媒体上发布更正公告。</w:t>
      </w:r>
    </w:p>
    <w:p>
      <w:pPr>
        <w:spacing w:line="360" w:lineRule="auto"/>
        <w:ind w:firstLine="480" w:firstLineChars="200"/>
        <w:rPr>
          <w:rFonts w:ascii="宋体" w:hAnsi="宋体" w:cs="宋体"/>
          <w:sz w:val="24"/>
        </w:rPr>
      </w:pPr>
      <w:r>
        <w:rPr>
          <w:rFonts w:hint="eastAsia" w:ascii="宋体" w:hAnsi="宋体" w:cs="宋体"/>
          <w:sz w:val="24"/>
        </w:rPr>
        <w:t>10.3谈判文件澄清、答复、修改、补充的内容为谈判文件的组成部分。当谈判文件与谈判文件的澄清、答复、修改、补充通知就同一内容的表述不一致时，以最后发出的文件为准。</w:t>
      </w:r>
    </w:p>
    <w:p>
      <w:pPr>
        <w:spacing w:line="360" w:lineRule="auto"/>
        <w:ind w:firstLine="480" w:firstLineChars="200"/>
        <w:rPr>
          <w:rFonts w:ascii="宋体" w:hAnsi="宋体" w:cs="宋体"/>
          <w:sz w:val="24"/>
        </w:rPr>
      </w:pPr>
      <w:r>
        <w:rPr>
          <w:rFonts w:hint="eastAsia" w:ascii="宋体" w:hAnsi="宋体" w:cs="宋体"/>
          <w:sz w:val="24"/>
        </w:rPr>
        <w:t>10.4响应文件未按谈判文件的澄清、修改后的内容编制的，其响应文件作无效响应处理。</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sz w:val="24"/>
        </w:rPr>
      </w:pPr>
      <w:r>
        <w:rPr>
          <w:rFonts w:hint="eastAsia" w:ascii="宋体" w:hAnsi="宋体" w:cs="宋体"/>
          <w:b/>
          <w:sz w:val="40"/>
          <w:szCs w:val="40"/>
        </w:rPr>
        <w:t>三、响应文件的编制</w:t>
      </w:r>
    </w:p>
    <w:p>
      <w:pPr>
        <w:spacing w:line="360" w:lineRule="auto"/>
        <w:rPr>
          <w:rFonts w:ascii="宋体" w:hAnsi="宋体" w:cs="宋体"/>
          <w:sz w:val="24"/>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11.响应文件的编制原则</w:t>
      </w:r>
    </w:p>
    <w:p>
      <w:pPr>
        <w:spacing w:line="360" w:lineRule="auto"/>
        <w:ind w:firstLine="480" w:firstLineChars="200"/>
        <w:rPr>
          <w:rFonts w:ascii="宋体" w:hAnsi="宋体" w:cs="宋体"/>
          <w:sz w:val="24"/>
        </w:rPr>
      </w:pPr>
      <w:r>
        <w:rPr>
          <w:rFonts w:hint="eastAsia" w:ascii="宋体" w:hAnsi="宋体" w:cs="宋体"/>
          <w:sz w:val="24"/>
        </w:rPr>
        <w:t>供应商必须按照谈判文件的要求编制响应文件，并对其提交的响应文件的真实性、合法性承担法律责任。响应文件必须对谈判文件作出实质性响应。</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12.响应文件的组成</w:t>
      </w:r>
    </w:p>
    <w:p>
      <w:pPr>
        <w:spacing w:line="360" w:lineRule="auto"/>
        <w:ind w:firstLine="480" w:firstLineChars="200"/>
        <w:rPr>
          <w:rFonts w:ascii="宋体" w:hAnsi="宋体" w:cs="宋体"/>
          <w:sz w:val="24"/>
        </w:rPr>
      </w:pPr>
      <w:r>
        <w:rPr>
          <w:rFonts w:hint="eastAsia" w:ascii="宋体" w:hAnsi="宋体" w:cs="宋体"/>
          <w:sz w:val="24"/>
        </w:rPr>
        <w:t>12.1响应文件由资格证明文件、报价商务技术文件两部分组成。</w:t>
      </w:r>
    </w:p>
    <w:p>
      <w:pPr>
        <w:spacing w:line="360" w:lineRule="auto"/>
        <w:ind w:firstLine="480" w:firstLineChars="200"/>
        <w:rPr>
          <w:rFonts w:ascii="宋体" w:hAnsi="宋体" w:cs="宋体"/>
          <w:sz w:val="24"/>
        </w:rPr>
      </w:pPr>
      <w:r>
        <w:rPr>
          <w:rFonts w:hint="eastAsia" w:ascii="宋体" w:hAnsi="宋体" w:cs="宋体"/>
          <w:sz w:val="24"/>
        </w:rPr>
        <w:t>12.1.1资格证明文件：详见“供应商须知前附表”</w:t>
      </w:r>
    </w:p>
    <w:p>
      <w:pPr>
        <w:spacing w:line="360" w:lineRule="auto"/>
        <w:ind w:firstLine="480" w:firstLineChars="200"/>
        <w:rPr>
          <w:rFonts w:ascii="宋体" w:hAnsi="宋体" w:cs="宋体"/>
          <w:sz w:val="24"/>
        </w:rPr>
      </w:pPr>
      <w:r>
        <w:rPr>
          <w:rFonts w:hint="eastAsia" w:ascii="宋体" w:hAnsi="宋体" w:cs="宋体"/>
          <w:sz w:val="24"/>
        </w:rPr>
        <w:t>12.1.2报价商务技术文件：详见“供应商须知前附表”</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13.计量单位</w:t>
      </w:r>
    </w:p>
    <w:p>
      <w:pPr>
        <w:spacing w:line="360" w:lineRule="auto"/>
        <w:ind w:firstLine="480" w:firstLineChars="200"/>
        <w:rPr>
          <w:rFonts w:ascii="宋体" w:hAnsi="宋体" w:cs="宋体"/>
          <w:sz w:val="24"/>
        </w:rPr>
      </w:pPr>
      <w:r>
        <w:rPr>
          <w:rFonts w:hint="eastAsia" w:ascii="宋体" w:hAnsi="宋体" w:cs="宋体"/>
          <w:sz w:val="24"/>
        </w:rPr>
        <w:t>谈判文件已有明确规定的，使用谈判文件规定的计量单位；谈判文件没有规定的，应采用中华人民共和国法定计量单位，货币种类为人民币，否则视同未响应。</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14.竞争性谈判的风险</w:t>
      </w:r>
    </w:p>
    <w:p>
      <w:pPr>
        <w:spacing w:line="360" w:lineRule="auto"/>
        <w:ind w:firstLine="480" w:firstLineChars="200"/>
        <w:rPr>
          <w:rFonts w:ascii="宋体" w:hAnsi="宋体" w:cs="宋体"/>
          <w:sz w:val="24"/>
        </w:rPr>
      </w:pPr>
      <w:r>
        <w:rPr>
          <w:rFonts w:hint="eastAsia" w:ascii="宋体" w:hAnsi="宋体" w:cs="宋体"/>
          <w:sz w:val="24"/>
        </w:rPr>
        <w:t>供应商没有按照谈判文件要求提供全部资料，或者供应商没有对谈判文件在各方面作出实质性响应可能导致其响应文件按无效响应处理，是供应商应当考虑的风险。</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15.竞争性谈判报价</w:t>
      </w:r>
    </w:p>
    <w:p>
      <w:pPr>
        <w:spacing w:line="360" w:lineRule="auto"/>
        <w:ind w:firstLine="480" w:firstLineChars="200"/>
        <w:rPr>
          <w:rFonts w:ascii="宋体" w:hAnsi="宋体" w:cs="宋体"/>
          <w:sz w:val="24"/>
        </w:rPr>
      </w:pPr>
      <w:r>
        <w:rPr>
          <w:rFonts w:hint="eastAsia" w:ascii="宋体" w:hAnsi="宋体" w:cs="宋体"/>
          <w:sz w:val="24"/>
        </w:rPr>
        <w:t>15.1</w:t>
      </w:r>
      <w:r>
        <w:rPr>
          <w:rFonts w:hint="eastAsia" w:hAnsi="宋体" w:cs="宋体"/>
          <w:sz w:val="24"/>
        </w:rPr>
        <w:t>竞争性谈判</w:t>
      </w:r>
      <w:r>
        <w:rPr>
          <w:rFonts w:hint="eastAsia" w:ascii="宋体" w:hAnsi="宋体" w:cs="宋体"/>
          <w:sz w:val="24"/>
        </w:rPr>
        <w:t>报价应按谈判文件中“</w:t>
      </w:r>
      <w:r>
        <w:rPr>
          <w:rFonts w:hint="eastAsia" w:hAnsi="宋体" w:cs="宋体"/>
          <w:sz w:val="24"/>
        </w:rPr>
        <w:t>竞争性谈判</w:t>
      </w:r>
      <w:r>
        <w:rPr>
          <w:rFonts w:hint="eastAsia" w:ascii="宋体" w:hAnsi="宋体" w:cs="宋体"/>
          <w:sz w:val="24"/>
        </w:rPr>
        <w:t>报价表”格式填写。</w:t>
      </w:r>
    </w:p>
    <w:p>
      <w:pPr>
        <w:spacing w:line="360" w:lineRule="auto"/>
        <w:ind w:firstLine="480" w:firstLineChars="200"/>
        <w:rPr>
          <w:rFonts w:ascii="宋体" w:hAnsi="宋体" w:cs="宋体"/>
          <w:sz w:val="24"/>
        </w:rPr>
      </w:pPr>
      <w:r>
        <w:rPr>
          <w:rFonts w:hint="eastAsia" w:ascii="宋体" w:hAnsi="宋体" w:cs="宋体"/>
          <w:sz w:val="24"/>
        </w:rPr>
        <w:t>15.2</w:t>
      </w:r>
      <w:r>
        <w:rPr>
          <w:rFonts w:hint="eastAsia" w:hAnsi="宋体" w:cs="宋体"/>
          <w:sz w:val="24"/>
        </w:rPr>
        <w:t>竞争性谈判</w:t>
      </w:r>
      <w:r>
        <w:rPr>
          <w:rFonts w:hint="eastAsia" w:ascii="宋体" w:hAnsi="宋体" w:cs="宋体"/>
          <w:sz w:val="24"/>
        </w:rPr>
        <w:t>报价的内容详见“供应商须知前附表”。</w:t>
      </w:r>
    </w:p>
    <w:p>
      <w:pPr>
        <w:spacing w:line="360" w:lineRule="auto"/>
        <w:ind w:firstLine="480" w:firstLineChars="200"/>
        <w:rPr>
          <w:rFonts w:ascii="宋体" w:hAnsi="宋体" w:cs="宋体"/>
          <w:sz w:val="24"/>
        </w:rPr>
      </w:pPr>
      <w:r>
        <w:rPr>
          <w:rFonts w:hint="eastAsia" w:ascii="宋体" w:hAnsi="宋体" w:cs="宋体"/>
          <w:sz w:val="24"/>
        </w:rPr>
        <w:t>15.3</w:t>
      </w:r>
      <w:r>
        <w:rPr>
          <w:rFonts w:hint="eastAsia" w:hAnsi="宋体" w:cs="宋体"/>
          <w:sz w:val="24"/>
        </w:rPr>
        <w:t>竞争性谈判</w:t>
      </w:r>
      <w:r>
        <w:rPr>
          <w:rFonts w:hint="eastAsia" w:ascii="宋体" w:hAnsi="宋体" w:cs="宋体"/>
          <w:sz w:val="24"/>
        </w:rPr>
        <w:t>报价要求</w:t>
      </w:r>
    </w:p>
    <w:p>
      <w:pPr>
        <w:spacing w:line="360" w:lineRule="auto"/>
        <w:ind w:firstLine="480" w:firstLineChars="200"/>
        <w:rPr>
          <w:rFonts w:ascii="宋体" w:hAnsi="宋体" w:cs="宋体"/>
          <w:sz w:val="24"/>
        </w:rPr>
      </w:pPr>
      <w:r>
        <w:rPr>
          <w:rFonts w:hint="eastAsia" w:ascii="宋体" w:hAnsi="宋体" w:cs="宋体"/>
          <w:sz w:val="24"/>
        </w:rPr>
        <w:t>15.3.1供应商的</w:t>
      </w:r>
      <w:r>
        <w:rPr>
          <w:rFonts w:hint="eastAsia" w:hAnsi="宋体" w:cs="宋体"/>
          <w:sz w:val="24"/>
        </w:rPr>
        <w:t>竞争性谈判</w:t>
      </w:r>
      <w:r>
        <w:rPr>
          <w:rFonts w:hint="eastAsia" w:ascii="宋体" w:hAnsi="宋体" w:cs="宋体"/>
          <w:sz w:val="24"/>
        </w:rPr>
        <w:t>报价应符合以下要求，否则响应文件按无效响应处理：</w:t>
      </w:r>
    </w:p>
    <w:p>
      <w:pPr>
        <w:spacing w:line="360" w:lineRule="auto"/>
        <w:ind w:firstLine="480" w:firstLineChars="200"/>
        <w:rPr>
          <w:rFonts w:ascii="宋体" w:hAnsi="宋体" w:cs="宋体"/>
          <w:sz w:val="24"/>
        </w:rPr>
      </w:pPr>
      <w:r>
        <w:rPr>
          <w:rFonts w:hint="eastAsia" w:ascii="宋体" w:hAnsi="宋体" w:cs="宋体"/>
          <w:sz w:val="24"/>
        </w:rPr>
        <w:t>（1）供应商必须就“采购需求”中所需</w:t>
      </w:r>
      <w:r>
        <w:rPr>
          <w:rFonts w:hint="eastAsia" w:hAnsi="宋体" w:cs="宋体"/>
          <w:sz w:val="24"/>
        </w:rPr>
        <w:t>竞争性谈判</w:t>
      </w:r>
      <w:r>
        <w:rPr>
          <w:rFonts w:hint="eastAsia" w:ascii="宋体" w:hAnsi="宋体" w:cs="宋体"/>
          <w:sz w:val="24"/>
        </w:rPr>
        <w:t>的每个分标的全部内容分别作完整唯一总价报价，不得存在漏项报价；</w:t>
      </w:r>
    </w:p>
    <w:p>
      <w:pPr>
        <w:spacing w:line="360" w:lineRule="auto"/>
        <w:ind w:firstLine="480" w:firstLineChars="200"/>
        <w:rPr>
          <w:rFonts w:ascii="宋体" w:hAnsi="宋体" w:cs="宋体"/>
          <w:sz w:val="24"/>
        </w:rPr>
      </w:pPr>
      <w:r>
        <w:rPr>
          <w:rFonts w:hint="eastAsia" w:ascii="宋体" w:hAnsi="宋体" w:cs="宋体"/>
          <w:sz w:val="24"/>
        </w:rPr>
        <w:t>（2）供应商必须就所需</w:t>
      </w:r>
      <w:r>
        <w:rPr>
          <w:rFonts w:hint="eastAsia" w:hAnsi="宋体" w:cs="宋体"/>
          <w:sz w:val="24"/>
        </w:rPr>
        <w:t>竞争性谈判</w:t>
      </w:r>
      <w:r>
        <w:rPr>
          <w:rFonts w:hint="eastAsia" w:ascii="宋体" w:hAnsi="宋体" w:cs="宋体"/>
          <w:sz w:val="24"/>
        </w:rPr>
        <w:t>的分标的单项内容作唯一报价。</w:t>
      </w:r>
    </w:p>
    <w:p>
      <w:pPr>
        <w:spacing w:line="360" w:lineRule="auto"/>
        <w:ind w:firstLine="480" w:firstLineChars="200"/>
        <w:rPr>
          <w:rFonts w:ascii="宋体" w:hAnsi="宋体" w:cs="宋体"/>
          <w:sz w:val="24"/>
        </w:rPr>
      </w:pPr>
      <w:r>
        <w:rPr>
          <w:rFonts w:hint="eastAsia" w:ascii="宋体" w:hAnsi="宋体" w:cs="宋体"/>
          <w:sz w:val="24"/>
        </w:rPr>
        <w:t>15.3.2</w:t>
      </w:r>
      <w:r>
        <w:rPr>
          <w:rFonts w:hint="eastAsia" w:hAnsi="宋体" w:cs="宋体"/>
          <w:sz w:val="24"/>
        </w:rPr>
        <w:t>竞争性谈判</w:t>
      </w:r>
      <w:r>
        <w:rPr>
          <w:rFonts w:hint="eastAsia" w:ascii="宋体" w:hAnsi="宋体" w:cs="宋体"/>
          <w:sz w:val="24"/>
        </w:rPr>
        <w:t>报价（包含首次报价、最后报价）超过所参与</w:t>
      </w:r>
      <w:r>
        <w:rPr>
          <w:rFonts w:hint="eastAsia" w:hAnsi="宋体" w:cs="宋体"/>
          <w:sz w:val="24"/>
        </w:rPr>
        <w:t>竞争性谈判</w:t>
      </w:r>
      <w:r>
        <w:rPr>
          <w:rFonts w:hint="eastAsia" w:ascii="宋体" w:hAnsi="宋体" w:cs="宋体"/>
          <w:sz w:val="24"/>
        </w:rPr>
        <w:t>分标规定的采购预算金额或者最高限价的，其响应文件将按无效响应处理。</w:t>
      </w:r>
    </w:p>
    <w:p>
      <w:pPr>
        <w:spacing w:line="360" w:lineRule="auto"/>
        <w:ind w:firstLine="480" w:firstLineChars="200"/>
        <w:rPr>
          <w:rFonts w:ascii="宋体" w:hAnsi="宋体" w:cs="宋体"/>
          <w:sz w:val="24"/>
        </w:rPr>
      </w:pPr>
      <w:r>
        <w:rPr>
          <w:rFonts w:ascii="宋体" w:hAnsi="宋体" w:cs="宋体"/>
          <w:sz w:val="24"/>
        </w:rPr>
        <w:t>15.3.3</w:t>
      </w:r>
      <w:r>
        <w:rPr>
          <w:rFonts w:hint="eastAsia" w:hAnsi="宋体" w:cs="宋体"/>
          <w:sz w:val="24"/>
        </w:rPr>
        <w:t>竞争性谈判</w:t>
      </w:r>
      <w:r>
        <w:rPr>
          <w:rFonts w:hint="eastAsia" w:ascii="宋体" w:hAnsi="宋体" w:cs="宋体"/>
          <w:sz w:val="24"/>
        </w:rPr>
        <w:t>报价（包含首次报价、最后报价）超过分项采购预算金额或者最高限价的，其响应文件将作无效处理。</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16.竞争性谈判有效期</w:t>
      </w:r>
    </w:p>
    <w:p>
      <w:pPr>
        <w:spacing w:line="360" w:lineRule="auto"/>
        <w:ind w:firstLine="480" w:firstLineChars="200"/>
        <w:rPr>
          <w:rFonts w:ascii="宋体" w:hAnsi="宋体" w:cs="宋体"/>
          <w:sz w:val="24"/>
        </w:rPr>
      </w:pPr>
      <w:r>
        <w:rPr>
          <w:rFonts w:hint="eastAsia" w:ascii="宋体" w:hAnsi="宋体" w:cs="宋体"/>
          <w:sz w:val="24"/>
        </w:rPr>
        <w:t>16.1</w:t>
      </w:r>
      <w:r>
        <w:rPr>
          <w:rFonts w:hint="eastAsia" w:hAnsi="宋体" w:cs="宋体"/>
          <w:sz w:val="24"/>
        </w:rPr>
        <w:t>竞争性谈判</w:t>
      </w:r>
      <w:r>
        <w:rPr>
          <w:rFonts w:hint="eastAsia" w:ascii="宋体" w:hAnsi="宋体" w:cs="宋体"/>
          <w:sz w:val="24"/>
        </w:rPr>
        <w:t>有效期是指为保证采购人有足够的时间在提交响应文件后完成评审、确定成交供应商、合同签订等工作而要求供应商提交的响应文件在一定时间内保持有效的期限。</w:t>
      </w:r>
    </w:p>
    <w:p>
      <w:pPr>
        <w:spacing w:line="360" w:lineRule="auto"/>
        <w:ind w:firstLine="480" w:firstLineChars="200"/>
        <w:rPr>
          <w:rFonts w:ascii="宋体" w:hAnsi="宋体" w:cs="宋体"/>
          <w:sz w:val="24"/>
        </w:rPr>
      </w:pPr>
      <w:r>
        <w:rPr>
          <w:rFonts w:hint="eastAsia" w:ascii="宋体" w:hAnsi="宋体" w:cs="宋体"/>
          <w:sz w:val="24"/>
        </w:rPr>
        <w:t>16.2</w:t>
      </w:r>
      <w:r>
        <w:rPr>
          <w:rFonts w:hint="eastAsia" w:hAnsi="宋体" w:cs="宋体"/>
          <w:sz w:val="24"/>
        </w:rPr>
        <w:t>竞争性谈判</w:t>
      </w:r>
      <w:r>
        <w:rPr>
          <w:rFonts w:hint="eastAsia" w:ascii="宋体" w:hAnsi="宋体" w:cs="宋体"/>
          <w:sz w:val="24"/>
        </w:rPr>
        <w:t>有效期应由供应商按“供应商须知前附表”规定的期限作出响应。</w:t>
      </w:r>
    </w:p>
    <w:p>
      <w:pPr>
        <w:spacing w:line="360" w:lineRule="auto"/>
        <w:ind w:firstLine="480" w:firstLineChars="200"/>
        <w:rPr>
          <w:rFonts w:ascii="宋体" w:hAnsi="宋体" w:cs="宋体"/>
          <w:sz w:val="24"/>
        </w:rPr>
      </w:pPr>
      <w:r>
        <w:rPr>
          <w:rFonts w:hint="eastAsia" w:ascii="宋体" w:hAnsi="宋体" w:cs="宋体"/>
          <w:sz w:val="24"/>
        </w:rPr>
        <w:t>16.3供应商的响应文件在</w:t>
      </w:r>
      <w:r>
        <w:rPr>
          <w:rFonts w:hint="eastAsia" w:hAnsi="宋体" w:cs="宋体"/>
          <w:sz w:val="24"/>
        </w:rPr>
        <w:t>竞争性谈判</w:t>
      </w:r>
      <w:r>
        <w:rPr>
          <w:rFonts w:hint="eastAsia" w:ascii="宋体" w:hAnsi="宋体" w:cs="宋体"/>
          <w:sz w:val="24"/>
        </w:rPr>
        <w:t>有效期内均保持有效。</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17.谈判保证金</w:t>
      </w:r>
    </w:p>
    <w:p>
      <w:pPr>
        <w:spacing w:line="360" w:lineRule="auto"/>
        <w:ind w:firstLine="480" w:firstLineChars="200"/>
        <w:rPr>
          <w:rFonts w:ascii="宋体" w:hAnsi="宋体" w:cs="宋体"/>
          <w:sz w:val="24"/>
        </w:rPr>
      </w:pPr>
      <w:r>
        <w:rPr>
          <w:rFonts w:hint="eastAsia" w:ascii="宋体" w:hAnsi="宋体" w:cs="宋体"/>
          <w:sz w:val="24"/>
        </w:rPr>
        <w:t>17.1供应商须按“供应商须知前附表”的规定提交谈判保证金。</w:t>
      </w:r>
    </w:p>
    <w:p>
      <w:pPr>
        <w:spacing w:line="360" w:lineRule="auto"/>
        <w:ind w:firstLine="480" w:firstLineChars="200"/>
        <w:rPr>
          <w:rFonts w:ascii="宋体" w:hAnsi="宋体" w:cs="宋体"/>
          <w:sz w:val="24"/>
        </w:rPr>
      </w:pPr>
      <w:r>
        <w:rPr>
          <w:rFonts w:hint="eastAsia" w:ascii="宋体" w:hAnsi="宋体" w:cs="宋体"/>
          <w:sz w:val="24"/>
        </w:rPr>
        <w:t>17.2谈判保证金的退还</w:t>
      </w:r>
    </w:p>
    <w:p>
      <w:pPr>
        <w:spacing w:line="360" w:lineRule="auto"/>
        <w:ind w:firstLine="480" w:firstLineChars="200"/>
        <w:rPr>
          <w:rFonts w:ascii="宋体" w:hAnsi="宋体" w:cs="宋体"/>
          <w:sz w:val="24"/>
        </w:rPr>
      </w:pPr>
      <w:r>
        <w:rPr>
          <w:rFonts w:hint="eastAsia" w:ascii="宋体" w:hAnsi="宋体" w:cs="宋体"/>
          <w:sz w:val="24"/>
        </w:rPr>
        <w:t>未</w:t>
      </w:r>
      <w:r>
        <w:rPr>
          <w:rFonts w:hint="eastAsia" w:ascii="宋体" w:hAnsi="宋体" w:cs="宋体"/>
          <w:spacing w:val="-6"/>
          <w:sz w:val="24"/>
        </w:rPr>
        <w:t>成交</w:t>
      </w:r>
      <w:r>
        <w:rPr>
          <w:rFonts w:hint="eastAsia" w:ascii="宋体" w:hAnsi="宋体" w:cs="宋体"/>
          <w:sz w:val="24"/>
        </w:rPr>
        <w:t xml:space="preserve">供应商的谈判保证金自成交通知书发出之日起4个工作日内退还；成交供应商的谈判保证金自签订合同之日起4个工作日内退还。 </w:t>
      </w:r>
    </w:p>
    <w:p>
      <w:pPr>
        <w:spacing w:line="360" w:lineRule="auto"/>
        <w:ind w:firstLine="480" w:firstLineChars="200"/>
        <w:rPr>
          <w:rFonts w:ascii="宋体" w:hAnsi="宋体" w:cs="宋体"/>
          <w:sz w:val="24"/>
        </w:rPr>
      </w:pPr>
      <w:r>
        <w:rPr>
          <w:rFonts w:hint="eastAsia" w:ascii="宋体" w:hAnsi="宋体" w:cs="宋体"/>
          <w:sz w:val="24"/>
        </w:rPr>
        <w:t>17.3谈判保证金不计息。</w:t>
      </w:r>
    </w:p>
    <w:p>
      <w:pPr>
        <w:spacing w:line="360" w:lineRule="auto"/>
        <w:ind w:firstLine="480" w:firstLineChars="200"/>
        <w:rPr>
          <w:rFonts w:ascii="宋体" w:hAnsi="宋体" w:cs="宋体"/>
          <w:sz w:val="24"/>
        </w:rPr>
      </w:pPr>
      <w:r>
        <w:rPr>
          <w:rFonts w:hint="eastAsia" w:ascii="宋体" w:hAnsi="宋体" w:cs="宋体"/>
          <w:sz w:val="24"/>
        </w:rPr>
        <w:t xml:space="preserve">17.4供应商有下列情形之一的，谈判保证金将不予退还： </w:t>
      </w:r>
    </w:p>
    <w:p>
      <w:pPr>
        <w:spacing w:line="360" w:lineRule="auto"/>
        <w:ind w:firstLine="480" w:firstLineChars="200"/>
        <w:rPr>
          <w:rFonts w:ascii="宋体" w:hAnsi="宋体" w:cs="宋体"/>
          <w:sz w:val="24"/>
        </w:rPr>
      </w:pPr>
      <w:r>
        <w:rPr>
          <w:rFonts w:hint="eastAsia" w:ascii="宋体" w:hAnsi="宋体" w:cs="宋体"/>
          <w:sz w:val="24"/>
        </w:rPr>
        <w:t>（1）供应商在提交首次响应文件截止时间后撤回响应文件的，但在提交最后报价之前退出谈判的情况除外；</w:t>
      </w:r>
    </w:p>
    <w:p>
      <w:pPr>
        <w:spacing w:line="360" w:lineRule="auto"/>
        <w:ind w:firstLine="480" w:firstLineChars="200"/>
        <w:rPr>
          <w:rFonts w:ascii="宋体" w:hAnsi="宋体" w:cs="宋体"/>
          <w:sz w:val="24"/>
        </w:rPr>
      </w:pPr>
      <w:r>
        <w:rPr>
          <w:rFonts w:hint="eastAsia" w:ascii="宋体" w:hAnsi="宋体" w:cs="宋体"/>
          <w:sz w:val="24"/>
        </w:rPr>
        <w:t>（2）未按规定提交履约保证金的；</w:t>
      </w:r>
    </w:p>
    <w:p>
      <w:pPr>
        <w:spacing w:line="360" w:lineRule="auto"/>
        <w:ind w:firstLine="480" w:firstLineChars="200"/>
        <w:rPr>
          <w:rFonts w:ascii="宋体" w:hAnsi="宋体" w:cs="宋体"/>
          <w:sz w:val="24"/>
        </w:rPr>
      </w:pPr>
      <w:r>
        <w:rPr>
          <w:rFonts w:hint="eastAsia" w:ascii="宋体" w:hAnsi="宋体" w:cs="宋体"/>
          <w:sz w:val="24"/>
        </w:rPr>
        <w:t>（3）供应商在响应文件中提供虚假材料的；</w:t>
      </w:r>
    </w:p>
    <w:p>
      <w:pPr>
        <w:spacing w:line="360" w:lineRule="auto"/>
        <w:ind w:firstLine="480" w:firstLineChars="200"/>
        <w:rPr>
          <w:rFonts w:ascii="宋体" w:hAnsi="宋体" w:cs="宋体"/>
          <w:sz w:val="24"/>
        </w:rPr>
      </w:pPr>
      <w:r>
        <w:rPr>
          <w:rFonts w:hint="eastAsia" w:ascii="宋体" w:hAnsi="宋体" w:cs="宋体"/>
          <w:sz w:val="24"/>
        </w:rPr>
        <w:t>（4）除因不可抗力或者谈判文件认可的情形以外，成交供应商不与采购人签订合同的；</w:t>
      </w:r>
    </w:p>
    <w:p>
      <w:pPr>
        <w:spacing w:line="360" w:lineRule="auto"/>
        <w:ind w:firstLine="480" w:firstLineChars="200"/>
        <w:rPr>
          <w:rFonts w:ascii="宋体" w:hAnsi="宋体" w:cs="宋体"/>
          <w:sz w:val="24"/>
        </w:rPr>
      </w:pPr>
      <w:r>
        <w:rPr>
          <w:rFonts w:hint="eastAsia" w:ascii="宋体" w:hAnsi="宋体" w:cs="宋体"/>
          <w:sz w:val="24"/>
        </w:rPr>
        <w:t>（5）供应商与采购人、其他供应商或者采购代理机构恶意串通的；</w:t>
      </w:r>
    </w:p>
    <w:p>
      <w:pPr>
        <w:spacing w:line="360" w:lineRule="auto"/>
        <w:ind w:firstLine="480" w:firstLineChars="200"/>
        <w:rPr>
          <w:rFonts w:ascii="宋体" w:hAnsi="宋体" w:cs="宋体"/>
          <w:sz w:val="24"/>
        </w:rPr>
      </w:pPr>
      <w:r>
        <w:rPr>
          <w:rFonts w:hint="eastAsia" w:ascii="宋体" w:hAnsi="宋体" w:cs="宋体"/>
          <w:sz w:val="24"/>
        </w:rPr>
        <w:t>（6）法律法规规定的其他情形。</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18.响应文件编制的要求</w:t>
      </w:r>
    </w:p>
    <w:p>
      <w:pPr>
        <w:spacing w:line="360" w:lineRule="auto"/>
        <w:ind w:firstLine="480" w:firstLineChars="200"/>
        <w:rPr>
          <w:rFonts w:ascii="宋体" w:hAnsi="宋体" w:cs="宋体"/>
          <w:sz w:val="24"/>
        </w:rPr>
      </w:pPr>
      <w:r>
        <w:rPr>
          <w:rFonts w:hint="eastAsia" w:ascii="宋体" w:hAnsi="宋体" w:cs="宋体"/>
          <w:sz w:val="24"/>
        </w:rPr>
        <w:t>18.1供应商应按本谈判文件规定的格式和顺序编制、装订响应文件并标注页码，响应文件内容</w:t>
      </w:r>
      <w:r>
        <w:rPr>
          <w:rFonts w:hint="eastAsia" w:ascii="宋体" w:hAnsi="宋体" w:cs="宋体"/>
          <w:spacing w:val="-6"/>
          <w:sz w:val="24"/>
        </w:rPr>
        <w:t>不完整、编排混乱导致响应文件被误读、漏读或者查找不到相关内容的，</w:t>
      </w:r>
      <w:r>
        <w:rPr>
          <w:rFonts w:hint="eastAsia" w:ascii="宋体" w:hAnsi="宋体" w:cs="宋体"/>
          <w:sz w:val="24"/>
          <w:szCs w:val="32"/>
        </w:rPr>
        <w:t>由此引发的</w:t>
      </w:r>
      <w:r>
        <w:rPr>
          <w:rFonts w:hint="eastAsia" w:ascii="宋体" w:hAnsi="宋体" w:cs="宋体"/>
          <w:spacing w:val="-6"/>
          <w:sz w:val="24"/>
        </w:rPr>
        <w:t>后果由供应商承担。</w:t>
      </w:r>
    </w:p>
    <w:p>
      <w:pPr>
        <w:spacing w:line="360" w:lineRule="auto"/>
        <w:ind w:firstLine="480" w:firstLineChars="200"/>
        <w:rPr>
          <w:rFonts w:ascii="宋体" w:hAnsi="宋体" w:cs="宋体"/>
          <w:sz w:val="24"/>
        </w:rPr>
      </w:pPr>
      <w:r>
        <w:rPr>
          <w:rFonts w:hint="eastAsia" w:ascii="宋体" w:hAnsi="宋体" w:cs="宋体"/>
          <w:sz w:val="24"/>
        </w:rPr>
        <w:t>18.2响应文件应按资格证明文件、报价商务技术文件分别编制电子文件，</w:t>
      </w:r>
      <w:r>
        <w:rPr>
          <w:rFonts w:hint="eastAsia" w:ascii="宋体" w:hAnsi="宋体" w:cs="宋体"/>
          <w:sz w:val="24"/>
          <w:lang w:bidi="ar"/>
        </w:rPr>
        <w:t>并按“政采云”平台的要求编制、加密、上传。</w:t>
      </w:r>
    </w:p>
    <w:p>
      <w:pPr>
        <w:spacing w:line="360" w:lineRule="auto"/>
        <w:ind w:firstLine="480" w:firstLineChars="200"/>
        <w:rPr>
          <w:rFonts w:ascii="宋体" w:hAnsi="宋体" w:cs="宋体"/>
          <w:sz w:val="24"/>
        </w:rPr>
      </w:pPr>
      <w:r>
        <w:rPr>
          <w:rFonts w:hint="eastAsia" w:ascii="宋体" w:hAnsi="宋体" w:cs="宋体"/>
          <w:sz w:val="24"/>
        </w:rPr>
        <w:t>18.</w:t>
      </w:r>
      <w:bookmarkStart w:id="21" w:name="_Hlk65832699"/>
      <w:r>
        <w:rPr>
          <w:rFonts w:hint="eastAsia" w:ascii="宋体" w:hAnsi="宋体" w:cs="宋体"/>
          <w:sz w:val="24"/>
        </w:rPr>
        <w:t>3响应文件须由供应商在规定位置盖公章并签字</w:t>
      </w:r>
      <w:bookmarkStart w:id="22" w:name="_Hlk65832569"/>
      <w:r>
        <w:rPr>
          <w:rFonts w:hint="eastAsia" w:ascii="宋体" w:hAnsi="宋体" w:cs="宋体"/>
          <w:sz w:val="24"/>
        </w:rPr>
        <w:t>（具体以供应商须知前附表或响应文件格式规定为准）</w:t>
      </w:r>
      <w:bookmarkEnd w:id="21"/>
      <w:bookmarkEnd w:id="22"/>
      <w:r>
        <w:rPr>
          <w:rFonts w:hint="eastAsia" w:ascii="宋体" w:hAnsi="宋体" w:cs="宋体"/>
          <w:sz w:val="24"/>
        </w:rPr>
        <w:t>，否则其响应文件按无效响应处理。</w:t>
      </w:r>
    </w:p>
    <w:p>
      <w:pPr>
        <w:spacing w:line="360" w:lineRule="auto"/>
        <w:ind w:firstLine="480" w:firstLineChars="200"/>
        <w:rPr>
          <w:rFonts w:ascii="宋体" w:hAnsi="宋体" w:cs="宋体"/>
          <w:sz w:val="24"/>
        </w:rPr>
      </w:pPr>
      <w:r>
        <w:rPr>
          <w:rFonts w:hint="eastAsia" w:ascii="宋体" w:hAnsi="宋体" w:cs="宋体"/>
          <w:sz w:val="24"/>
        </w:rPr>
        <w:t>18.4响应文件中标注的供应商名称应与营业执照（事业单位法人证书、执业许可证、自然人身份证）及公章一致，否则其响应文件按无效响应处理。</w:t>
      </w:r>
    </w:p>
    <w:p>
      <w:pPr>
        <w:spacing w:line="360" w:lineRule="auto"/>
        <w:ind w:firstLine="480" w:firstLineChars="200"/>
        <w:rPr>
          <w:rFonts w:ascii="宋体" w:hAnsi="宋体" w:cs="宋体"/>
          <w:sz w:val="24"/>
        </w:rPr>
      </w:pPr>
      <w:r>
        <w:rPr>
          <w:rFonts w:hint="eastAsia" w:ascii="宋体" w:hAnsi="宋体" w:cs="宋体"/>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643" w:firstLineChars="200"/>
        <w:rPr>
          <w:rFonts w:ascii="宋体" w:hAnsi="宋体" w:cs="宋体"/>
          <w:b/>
          <w:bCs/>
          <w:sz w:val="32"/>
          <w:szCs w:val="32"/>
        </w:rPr>
      </w:pPr>
      <w:r>
        <w:rPr>
          <w:rFonts w:hint="eastAsia" w:ascii="宋体" w:hAnsi="宋体" w:cs="宋体"/>
          <w:b/>
          <w:sz w:val="32"/>
          <w:szCs w:val="32"/>
        </w:rPr>
        <w:t>19.响应文件的加密、解密</w:t>
      </w:r>
    </w:p>
    <w:p>
      <w:pPr>
        <w:spacing w:line="360" w:lineRule="auto"/>
        <w:ind w:firstLine="480" w:firstLineChars="200"/>
        <w:rPr>
          <w:rFonts w:ascii="宋体" w:hAnsi="宋体" w:cs="宋体"/>
          <w:sz w:val="24"/>
        </w:rPr>
      </w:pPr>
      <w:r>
        <w:rPr>
          <w:rFonts w:hint="eastAsia" w:ascii="宋体" w:hAnsi="宋体" w:cs="宋体"/>
          <w:sz w:val="24"/>
        </w:rPr>
        <w:t>19.1电子响应文件编制完成后，供应商应按“政采云”平台的要求进行加密，并在规定时间内解密，否则，由此产生的后果由供应商自行负责。</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20.响应文件的提交</w:t>
      </w:r>
    </w:p>
    <w:p>
      <w:pPr>
        <w:widowControl/>
        <w:spacing w:line="360" w:lineRule="auto"/>
        <w:ind w:firstLine="480" w:firstLineChars="200"/>
        <w:rPr>
          <w:rFonts w:ascii="宋体" w:hAnsi="宋体" w:cs="宋体"/>
          <w:sz w:val="24"/>
        </w:rPr>
      </w:pPr>
      <w:r>
        <w:rPr>
          <w:rFonts w:hint="eastAsia" w:ascii="宋体" w:hAnsi="宋体" w:cs="宋体"/>
          <w:sz w:val="24"/>
        </w:rPr>
        <w:t>20.1供应商必须在“供应商须知前附表”规定的时间和地点提交响应文件。</w:t>
      </w:r>
    </w:p>
    <w:p>
      <w:pPr>
        <w:widowControl/>
        <w:spacing w:line="360" w:lineRule="auto"/>
        <w:ind w:firstLine="480" w:firstLineChars="200"/>
        <w:rPr>
          <w:rFonts w:ascii="宋体" w:hAnsi="宋体" w:cs="宋体"/>
          <w:b/>
          <w:sz w:val="24"/>
          <w:lang w:bidi="ar"/>
        </w:rPr>
      </w:pPr>
      <w:r>
        <w:rPr>
          <w:rFonts w:hint="eastAsia" w:ascii="宋体" w:hAnsi="宋体" w:cs="宋体"/>
          <w:sz w:val="24"/>
        </w:rPr>
        <w:t>20.</w:t>
      </w:r>
      <w:r>
        <w:rPr>
          <w:rFonts w:ascii="宋体" w:hAnsi="宋体" w:cs="宋体"/>
          <w:sz w:val="24"/>
        </w:rPr>
        <w:t>2</w:t>
      </w:r>
      <w:r>
        <w:rPr>
          <w:rFonts w:hint="eastAsia" w:ascii="宋体" w:hAnsi="宋体" w:cs="宋体"/>
          <w:sz w:val="24"/>
          <w:lang w:bidi="ar"/>
        </w:rPr>
        <w:t>本项目为全流程电子化政府采购项目，通过“政采云”平台（http：//www.zcygov.cn）实行在线电子竞争性谈判，供应商应先安装“政采云电子交易客户端”（请自行前往“政采云”平台进行下载），并按照本项目竞争性谈判文件和“政采云”平台的要求编制、加密后在首次响应文件提交截止时间前通过网络上传至“政采云”平台，</w:t>
      </w:r>
      <w:r>
        <w:rPr>
          <w:rFonts w:hint="eastAsia" w:ascii="宋体" w:hAnsi="宋体" w:cs="宋体"/>
          <w:b/>
          <w:sz w:val="24"/>
          <w:lang w:bidi="ar"/>
        </w:rPr>
        <w:t>供应商在“政采云”平台提交电子版响应文件时，请填写参加远程开标活动经办人联系方式。</w:t>
      </w:r>
    </w:p>
    <w:p>
      <w:pPr>
        <w:pStyle w:val="6"/>
        <w:keepNext w:val="0"/>
        <w:keepLines w:val="0"/>
        <w:spacing w:before="0" w:after="0" w:line="360" w:lineRule="auto"/>
        <w:ind w:firstLine="480" w:firstLineChars="200"/>
        <w:jc w:val="left"/>
        <w:rPr>
          <w:rFonts w:ascii="宋体" w:hAnsi="宋体" w:cs="宋体"/>
          <w:b w:val="0"/>
          <w:sz w:val="24"/>
          <w:szCs w:val="24"/>
        </w:rPr>
      </w:pPr>
      <w:r>
        <w:rPr>
          <w:rFonts w:hint="eastAsia" w:ascii="宋体" w:hAnsi="宋体" w:cs="宋体"/>
          <w:b w:val="0"/>
          <w:sz w:val="24"/>
          <w:szCs w:val="24"/>
        </w:rPr>
        <w:t>20.</w:t>
      </w:r>
      <w:r>
        <w:rPr>
          <w:rFonts w:ascii="宋体" w:hAnsi="宋体" w:cs="宋体"/>
          <w:b w:val="0"/>
          <w:sz w:val="24"/>
          <w:szCs w:val="24"/>
        </w:rPr>
        <w:t>3</w:t>
      </w:r>
      <w:r>
        <w:rPr>
          <w:rFonts w:hint="eastAsia" w:ascii="宋体" w:hAnsi="宋体" w:cs="宋体"/>
          <w:b w:val="0"/>
          <w:sz w:val="24"/>
          <w:szCs w:val="24"/>
        </w:rPr>
        <w:t>未在规定时间内上传或者未按“政采云”平台的要求编制、加密的电子响应文件，“政采云”平台将拒收。</w:t>
      </w:r>
    </w:p>
    <w:p>
      <w:pPr>
        <w:widowControl/>
        <w:spacing w:line="360" w:lineRule="auto"/>
        <w:ind w:firstLine="480" w:firstLineChars="200"/>
        <w:rPr>
          <w:rFonts w:ascii="宋体" w:hAnsi="宋体" w:cs="宋体"/>
          <w:sz w:val="24"/>
        </w:rPr>
      </w:pPr>
      <w:r>
        <w:rPr>
          <w:rFonts w:hint="eastAsia" w:ascii="宋体" w:hAnsi="宋体" w:cs="宋体"/>
          <w:sz w:val="24"/>
        </w:rPr>
        <w:t>20.</w:t>
      </w:r>
      <w:r>
        <w:rPr>
          <w:rFonts w:ascii="宋体" w:hAnsi="宋体" w:cs="宋体"/>
          <w:sz w:val="24"/>
        </w:rPr>
        <w:t>4</w:t>
      </w:r>
      <w:r>
        <w:rPr>
          <w:rFonts w:hint="eastAsia" w:ascii="宋体" w:hAnsi="宋体" w:cs="宋体"/>
          <w:sz w:val="24"/>
        </w:rPr>
        <w:t>电子响应文件提交方式见“竞争性谈判公告”中“四、响应文件提交”。</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21.首次响应文件的补充、修改与撤回</w:t>
      </w:r>
    </w:p>
    <w:p>
      <w:pPr>
        <w:spacing w:line="360" w:lineRule="auto"/>
        <w:ind w:firstLine="480" w:firstLineChars="200"/>
        <w:rPr>
          <w:rFonts w:ascii="宋体" w:hAnsi="宋体" w:cs="宋体"/>
          <w:sz w:val="24"/>
        </w:rPr>
      </w:pPr>
      <w:r>
        <w:rPr>
          <w:rFonts w:hint="eastAsia" w:ascii="宋体" w:hAnsi="宋体" w:cs="宋体"/>
          <w:bCs/>
          <w:sz w:val="24"/>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22.首次响应文件的退回</w:t>
      </w:r>
    </w:p>
    <w:p>
      <w:pPr>
        <w:spacing w:line="360" w:lineRule="auto"/>
        <w:ind w:firstLine="480" w:firstLineChars="200"/>
        <w:rPr>
          <w:rFonts w:ascii="宋体" w:hAnsi="宋体" w:cs="宋体"/>
          <w:sz w:val="24"/>
        </w:rPr>
      </w:pPr>
      <w:r>
        <w:rPr>
          <w:rFonts w:hint="eastAsia" w:ascii="宋体" w:hAnsi="宋体" w:cs="宋体"/>
          <w:sz w:val="24"/>
        </w:rPr>
        <w:t>22.1在首次响应文件提交截止时间止提交响应文件的供应商不足3家时，采购代理机构将根据“政采云”平台的操作将电子版响应文件退回，除此之外采购人和采购代理机构对已提交的电子响应文件概不退回。</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23.截止时间后的撤回</w:t>
      </w:r>
    </w:p>
    <w:p>
      <w:pPr>
        <w:spacing w:line="360" w:lineRule="auto"/>
        <w:ind w:firstLine="480" w:firstLineChars="200"/>
        <w:rPr>
          <w:rFonts w:ascii="宋体" w:hAnsi="宋体" w:cs="宋体"/>
          <w:sz w:val="24"/>
        </w:rPr>
      </w:pPr>
      <w:r>
        <w:rPr>
          <w:rFonts w:hint="eastAsia" w:ascii="宋体" w:hAnsi="宋体" w:cs="宋体"/>
          <w:sz w:val="24"/>
        </w:rPr>
        <w:t>23.1供应商在首次响应文件提交截止时间后书面通知采购人、采购代理机构书面撤回响应文件的，将根据本须知正文17.4的规定不予退还其谈判保证金。</w:t>
      </w:r>
    </w:p>
    <w:p>
      <w:pPr>
        <w:spacing w:line="360" w:lineRule="auto"/>
        <w:ind w:firstLine="480" w:firstLineChars="200"/>
        <w:rPr>
          <w:rFonts w:ascii="宋体" w:hAnsi="宋体" w:cs="宋体"/>
          <w:sz w:val="24"/>
        </w:rPr>
      </w:pPr>
    </w:p>
    <w:p>
      <w:pPr>
        <w:spacing w:line="360" w:lineRule="auto"/>
        <w:jc w:val="center"/>
        <w:rPr>
          <w:rFonts w:ascii="宋体" w:hAnsi="宋体" w:cs="宋体"/>
          <w:b/>
          <w:sz w:val="40"/>
          <w:szCs w:val="40"/>
        </w:rPr>
      </w:pPr>
      <w:r>
        <w:rPr>
          <w:rFonts w:hint="eastAsia" w:ascii="宋体" w:hAnsi="宋体" w:cs="宋体"/>
          <w:b/>
          <w:sz w:val="40"/>
          <w:szCs w:val="40"/>
        </w:rPr>
        <w:t>四、评审及谈判</w:t>
      </w:r>
    </w:p>
    <w:p>
      <w:pPr>
        <w:spacing w:line="360" w:lineRule="auto"/>
        <w:ind w:firstLine="420"/>
        <w:rPr>
          <w:rFonts w:ascii="宋体" w:hAnsi="宋体" w:cs="宋体"/>
          <w:sz w:val="24"/>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24.谈判小组成立</w:t>
      </w:r>
    </w:p>
    <w:p>
      <w:pPr>
        <w:spacing w:line="360" w:lineRule="auto"/>
        <w:ind w:firstLine="480" w:firstLineChars="200"/>
        <w:rPr>
          <w:rFonts w:ascii="宋体" w:hAnsi="宋体" w:cs="宋体"/>
          <w:sz w:val="24"/>
        </w:rPr>
      </w:pPr>
      <w:r>
        <w:rPr>
          <w:rFonts w:hint="eastAsia" w:ascii="宋体" w:hAnsi="宋体" w:cs="宋体"/>
          <w:sz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80" w:firstLineChars="200"/>
        <w:rPr>
          <w:rFonts w:ascii="宋体" w:hAnsi="宋体" w:cs="宋体"/>
          <w:sz w:val="24"/>
        </w:rPr>
      </w:pPr>
      <w:r>
        <w:rPr>
          <w:rFonts w:hint="eastAsia" w:ascii="宋体" w:hAnsi="宋体" w:cs="宋体"/>
          <w:sz w:val="24"/>
        </w:rPr>
        <w:t>24.2评审专家应当从政府采购评审专家库内相关专业的专家名单中随机抽取。技术复杂、专业性强的竞争性谈判采购项目，通过随机方式难以确定合适的评审专家的，经主管预算单位同意，可以自行选定评审专家。</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25.首次响应文件的开启</w:t>
      </w:r>
    </w:p>
    <w:p>
      <w:pPr>
        <w:spacing w:line="360" w:lineRule="auto"/>
        <w:ind w:firstLine="480" w:firstLineChars="200"/>
        <w:rPr>
          <w:rFonts w:ascii="宋体" w:hAnsi="宋体" w:cs="宋体"/>
          <w:sz w:val="24"/>
        </w:rPr>
      </w:pPr>
      <w:r>
        <w:rPr>
          <w:rFonts w:hint="eastAsia" w:ascii="宋体" w:hAnsi="宋体" w:cs="宋体"/>
          <w:sz w:val="24"/>
        </w:rPr>
        <w:t>25.1首次响应文件由谈判小组或者采购代理机构在“供应商须知前附表”规定的时间开启。</w:t>
      </w:r>
    </w:p>
    <w:p>
      <w:pPr>
        <w:spacing w:line="360" w:lineRule="auto"/>
        <w:ind w:firstLine="480" w:firstLineChars="200"/>
        <w:rPr>
          <w:rFonts w:ascii="宋体" w:hAnsi="宋体" w:cs="宋体"/>
          <w:sz w:val="24"/>
        </w:rPr>
      </w:pPr>
      <w:r>
        <w:rPr>
          <w:rFonts w:hint="eastAsia" w:ascii="宋体" w:hAnsi="宋体" w:cs="宋体"/>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供应商的法定代表人或其委托代理人须携带加密时所用的CA锁按平台提示和采购文件的规定登录到“政采云”平台电子开标大厅签到并在发起解密指令之时起30分钟内完成对电子响应文件在线解密。</w:t>
      </w:r>
      <w:r>
        <w:rPr>
          <w:rFonts w:hint="eastAsia" w:ascii="宋体" w:hAnsi="宋体" w:cs="宋体"/>
          <w:b/>
          <w:bCs/>
          <w:sz w:val="24"/>
        </w:rPr>
        <w:t>响应文件未按时解密的，视为响应文件无效。</w:t>
      </w:r>
      <w:r>
        <w:rPr>
          <w:rFonts w:hint="eastAsia" w:ascii="宋体" w:hAnsi="宋体" w:cs="宋体"/>
          <w:sz w:val="24"/>
        </w:rPr>
        <w:t>（解密异常情况处理：详见本章26.2电子交易活动的中止。）</w:t>
      </w:r>
    </w:p>
    <w:p>
      <w:pPr>
        <w:spacing w:line="360" w:lineRule="auto"/>
        <w:ind w:firstLine="480" w:firstLineChars="200"/>
        <w:rPr>
          <w:rFonts w:ascii="宋体" w:hAnsi="宋体" w:cs="宋体"/>
          <w:sz w:val="24"/>
        </w:rPr>
      </w:pPr>
      <w:r>
        <w:rPr>
          <w:rFonts w:hint="eastAsia" w:ascii="宋体" w:hAnsi="宋体" w:cs="宋体"/>
          <w:sz w:val="24"/>
        </w:rPr>
        <w:t>25.3成功解密响应文件的供应商不足3家的，不得谈判。</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26.评审程序和评定成交的标准</w:t>
      </w:r>
    </w:p>
    <w:p>
      <w:pPr>
        <w:spacing w:line="360" w:lineRule="auto"/>
        <w:ind w:firstLine="480" w:firstLineChars="200"/>
        <w:rPr>
          <w:rFonts w:ascii="宋体" w:hAnsi="宋体" w:cs="宋体"/>
          <w:sz w:val="24"/>
        </w:rPr>
      </w:pPr>
      <w:r>
        <w:rPr>
          <w:rFonts w:hint="eastAsia" w:ascii="宋体" w:hAnsi="宋体" w:cs="宋体"/>
          <w:sz w:val="24"/>
        </w:rPr>
        <w:t>26.1谈判小组按照“第四章  评审程序和评定成交的标准”规定的评审程序对响应文件进行评审，并按照评定成交的标准推荐成交候选供应商。</w:t>
      </w:r>
    </w:p>
    <w:p>
      <w:pPr>
        <w:spacing w:line="360" w:lineRule="auto"/>
        <w:ind w:firstLine="480" w:firstLineChars="200"/>
        <w:rPr>
          <w:rFonts w:ascii="宋体" w:hAnsi="宋体" w:cs="宋体"/>
          <w:sz w:val="24"/>
        </w:rPr>
      </w:pPr>
      <w:r>
        <w:rPr>
          <w:rFonts w:hint="eastAsia" w:ascii="宋体" w:hAnsi="宋体" w:cs="宋体"/>
          <w:sz w:val="24"/>
        </w:rPr>
        <w:t>26.2电子交易活动的中止。采购过程中出现以下情形，导致电子交易平台无法正常运行，或者无法保证电子交易的公平、公正和安全时，采购机构可中止电子交易活动：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）其他无法保证电子交易的公平、公正和安全的情况。</w:t>
      </w:r>
    </w:p>
    <w:p>
      <w:pPr>
        <w:spacing w:line="360" w:lineRule="auto"/>
        <w:ind w:firstLine="480" w:firstLineChars="200"/>
        <w:rPr>
          <w:rFonts w:ascii="宋体" w:hAnsi="宋体" w:cs="宋体"/>
          <w:sz w:val="24"/>
        </w:rPr>
      </w:pPr>
      <w:r>
        <w:rPr>
          <w:rFonts w:hint="eastAsia" w:ascii="宋体" w:hAnsi="宋体" w:cs="宋体"/>
          <w:sz w:val="24"/>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27.确定成交供应商及结果公告</w:t>
      </w:r>
    </w:p>
    <w:p>
      <w:pPr>
        <w:spacing w:line="360" w:lineRule="auto"/>
        <w:ind w:firstLine="480" w:firstLineChars="200"/>
        <w:rPr>
          <w:rFonts w:ascii="宋体" w:hAnsi="宋体" w:cs="宋体"/>
          <w:sz w:val="24"/>
        </w:rPr>
      </w:pPr>
      <w:r>
        <w:rPr>
          <w:rFonts w:hint="eastAsia" w:ascii="宋体" w:hAnsi="宋体" w:cs="宋体"/>
          <w:sz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10"/>
        <w:spacing w:line="360" w:lineRule="auto"/>
        <w:ind w:firstLine="480" w:firstLineChars="200"/>
        <w:jc w:val="both"/>
        <w:rPr>
          <w:rFonts w:ascii="宋体" w:hAnsi="宋体" w:cs="宋体"/>
          <w:kern w:val="0"/>
          <w:sz w:val="24"/>
        </w:rPr>
      </w:pPr>
      <w:r>
        <w:rPr>
          <w:rFonts w:hint="eastAsia" w:ascii="宋体" w:hAnsi="宋体" w:cs="宋体"/>
          <w:kern w:val="0"/>
          <w:sz w:val="24"/>
        </w:rPr>
        <w:t>27.2采购代理机构应当在成交供应商确定后2个工作日内，在省级以上财政部门指定的媒体上公告成交结果，同时向成交供应商发出成交通知书。</w:t>
      </w:r>
      <w:r>
        <w:rPr>
          <w:rFonts w:hint="eastAsia" w:ascii="宋体" w:hAnsi="宋体" w:cs="宋体"/>
          <w:b/>
          <w:kern w:val="0"/>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kern w:val="0"/>
          <w:sz w:val="24"/>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sz w:val="24"/>
        </w:rPr>
        <w:t>成交供应商享受《政府采购促进中小企业发展管理办法》（财库〔2020〕46号）规定的中小企业扶持政策的，采购人、采购代理机构应当随成交结果公开成交供应商的《中小企业声明函》。</w:t>
      </w:r>
    </w:p>
    <w:p>
      <w:pPr>
        <w:pStyle w:val="10"/>
        <w:spacing w:line="360" w:lineRule="auto"/>
        <w:ind w:firstLine="480" w:firstLineChars="200"/>
        <w:jc w:val="both"/>
        <w:rPr>
          <w:rFonts w:ascii="宋体" w:hAnsi="宋体" w:cs="宋体"/>
          <w:sz w:val="24"/>
        </w:rPr>
      </w:pPr>
      <w:r>
        <w:rPr>
          <w:rFonts w:hint="eastAsia" w:ascii="宋体" w:hAnsi="宋体" w:cs="宋体"/>
          <w:sz w:val="24"/>
        </w:rPr>
        <w:t>27.3出现下列情形之一的，采购人或者采购代理机构应当终止竞争性谈判采购活动，发布项目终止公告并说明原因，重新开展采购活动：</w:t>
      </w:r>
    </w:p>
    <w:p>
      <w:pPr>
        <w:pStyle w:val="10"/>
        <w:spacing w:line="360" w:lineRule="auto"/>
        <w:ind w:firstLine="480" w:firstLineChars="200"/>
        <w:jc w:val="both"/>
        <w:rPr>
          <w:rFonts w:ascii="宋体" w:hAnsi="宋体" w:cs="宋体"/>
          <w:sz w:val="24"/>
        </w:rPr>
      </w:pPr>
      <w:r>
        <w:rPr>
          <w:rFonts w:hint="eastAsia" w:ascii="宋体" w:hAnsi="宋体" w:cs="宋体"/>
          <w:sz w:val="24"/>
        </w:rPr>
        <w:t>（一）因情况变化，不再符合规定的竞争性谈判采购方式适用情形的；</w:t>
      </w:r>
    </w:p>
    <w:p>
      <w:pPr>
        <w:pStyle w:val="10"/>
        <w:spacing w:line="360" w:lineRule="auto"/>
        <w:ind w:firstLine="480" w:firstLineChars="200"/>
        <w:jc w:val="both"/>
        <w:rPr>
          <w:rFonts w:ascii="宋体" w:hAnsi="宋体" w:cs="宋体"/>
          <w:sz w:val="24"/>
        </w:rPr>
      </w:pPr>
      <w:r>
        <w:rPr>
          <w:rFonts w:hint="eastAsia" w:ascii="宋体" w:hAnsi="宋体" w:cs="宋体"/>
          <w:sz w:val="24"/>
        </w:rPr>
        <w:t>（二）出现影响采购公正的违法、违规行为的；</w:t>
      </w:r>
    </w:p>
    <w:p>
      <w:pPr>
        <w:pStyle w:val="10"/>
        <w:spacing w:line="360" w:lineRule="auto"/>
        <w:ind w:firstLine="480" w:firstLineChars="200"/>
        <w:jc w:val="both"/>
        <w:rPr>
          <w:rFonts w:ascii="宋体" w:hAnsi="宋体" w:cs="宋体"/>
          <w:sz w:val="24"/>
        </w:rPr>
      </w:pPr>
      <w:r>
        <w:rPr>
          <w:rFonts w:hint="eastAsia" w:ascii="宋体" w:hAnsi="宋体" w:cs="宋体"/>
          <w:sz w:val="24"/>
        </w:rPr>
        <w:t>（三）在采购过程中符合竞争要求的供应商或者报价未超过采购预算的供应商不足3家的，但“第四章 评审程序和评定成交的标准”第3.7条规定的情形除外。</w:t>
      </w:r>
    </w:p>
    <w:p>
      <w:pPr>
        <w:pStyle w:val="10"/>
        <w:spacing w:line="360" w:lineRule="auto"/>
        <w:ind w:firstLine="480" w:firstLineChars="200"/>
        <w:rPr>
          <w:rFonts w:ascii="宋体" w:hAnsi="宋体" w:cs="宋体"/>
          <w:sz w:val="24"/>
        </w:rPr>
      </w:pPr>
      <w:r>
        <w:rPr>
          <w:rFonts w:hint="eastAsia" w:ascii="宋体" w:hAnsi="宋体" w:cs="宋体"/>
          <w:sz w:val="24"/>
        </w:rPr>
        <w:t>27.4在采购活动中因重大变故，采购任务取消的，采购人或者采购代理机构应当终止采购活动，通知所有参加采购活动的供应商。</w:t>
      </w:r>
    </w:p>
    <w:p>
      <w:pPr>
        <w:pStyle w:val="10"/>
        <w:spacing w:line="360" w:lineRule="auto"/>
        <w:ind w:firstLine="480" w:firstLineChars="200"/>
        <w:rPr>
          <w:rFonts w:ascii="宋体" w:hAnsi="宋体" w:cs="宋体"/>
          <w:sz w:val="24"/>
        </w:rPr>
      </w:pPr>
      <w:r>
        <w:rPr>
          <w:rFonts w:hint="eastAsia" w:ascii="宋体" w:hAnsi="宋体" w:cs="宋体"/>
          <w:bCs/>
          <w:sz w:val="24"/>
        </w:rPr>
        <w:t>27.5</w:t>
      </w:r>
      <w:r>
        <w:rPr>
          <w:rFonts w:hint="eastAsia" w:ascii="宋体" w:hAnsi="宋体" w:cs="宋体"/>
          <w:sz w:val="24"/>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pStyle w:val="10"/>
        <w:spacing w:line="360" w:lineRule="auto"/>
        <w:ind w:firstLine="482" w:firstLineChars="200"/>
        <w:rPr>
          <w:rFonts w:ascii="宋体" w:hAnsi="宋体" w:cs="宋体"/>
          <w:b/>
          <w:sz w:val="24"/>
        </w:rPr>
      </w:pPr>
      <w:r>
        <w:rPr>
          <w:rFonts w:hint="eastAsia" w:ascii="宋体" w:hAnsi="宋体" w:cs="宋体"/>
          <w:b/>
          <w:sz w:val="24"/>
        </w:rPr>
        <w:t>除因不可抗力外，成交供应商不与采购人签订合同的，除不予退还其谈判保证金外，若给采购人造成损失，或（并）因此延误采购人教学科研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28.履约保证金</w:t>
      </w:r>
    </w:p>
    <w:p>
      <w:pPr>
        <w:pStyle w:val="10"/>
        <w:spacing w:line="360" w:lineRule="auto"/>
        <w:ind w:firstLine="480" w:firstLineChars="200"/>
        <w:rPr>
          <w:rFonts w:ascii="宋体" w:hAnsi="宋体" w:cs="宋体"/>
          <w:sz w:val="24"/>
          <w:szCs w:val="32"/>
        </w:rPr>
      </w:pPr>
      <w:r>
        <w:rPr>
          <w:rFonts w:hint="eastAsia" w:ascii="宋体" w:hAnsi="宋体" w:cs="宋体"/>
          <w:sz w:val="24"/>
        </w:rPr>
        <w:t>28.1履约保证金的金额、提交方式、退付的时间和条件详见 “供应商须知前附表”。成交供应商未按规定提交履约保证金的，视为拒绝</w:t>
      </w:r>
      <w:r>
        <w:rPr>
          <w:rFonts w:hint="eastAsia" w:ascii="宋体" w:hAnsi="宋体" w:cs="宋体"/>
          <w:sz w:val="24"/>
          <w:szCs w:val="32"/>
        </w:rPr>
        <w:t>与采购人</w:t>
      </w:r>
      <w:r>
        <w:rPr>
          <w:rFonts w:hint="eastAsia" w:ascii="宋体" w:hAnsi="宋体" w:cs="宋体"/>
          <w:sz w:val="24"/>
        </w:rPr>
        <w:t>签订合同。</w:t>
      </w:r>
    </w:p>
    <w:p>
      <w:pPr>
        <w:spacing w:line="360" w:lineRule="auto"/>
        <w:ind w:firstLine="484" w:firstLineChars="202"/>
        <w:rPr>
          <w:rFonts w:ascii="宋体" w:hAnsi="宋体" w:cs="宋体"/>
          <w:sz w:val="24"/>
        </w:rPr>
      </w:pPr>
      <w:r>
        <w:rPr>
          <w:rFonts w:hint="eastAsia" w:ascii="宋体" w:hAnsi="宋体" w:cs="宋体"/>
          <w:sz w:val="24"/>
        </w:rPr>
        <w:t>28.2在履约保证金退还日期前，若成交供应商的开户名称、开户银行、帐号有变动的，请以书面形式通知履约保证金收取单位，否则由此产生的后果由成交供应商自负。</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29.签订合同</w:t>
      </w:r>
    </w:p>
    <w:p>
      <w:pPr>
        <w:spacing w:line="360" w:lineRule="auto"/>
        <w:ind w:firstLine="484" w:firstLineChars="202"/>
        <w:rPr>
          <w:rFonts w:ascii="宋体" w:hAnsi="宋体" w:cs="宋体"/>
          <w:sz w:val="24"/>
        </w:rPr>
      </w:pPr>
      <w:r>
        <w:rPr>
          <w:rFonts w:hint="eastAsia" w:ascii="宋体" w:hAnsi="宋体" w:cs="宋体"/>
          <w:sz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line="360" w:lineRule="auto"/>
        <w:ind w:firstLine="484" w:firstLineChars="202"/>
        <w:rPr>
          <w:rFonts w:ascii="宋体" w:hAnsi="宋体" w:cs="宋体"/>
          <w:sz w:val="24"/>
        </w:rPr>
      </w:pPr>
      <w:r>
        <w:rPr>
          <w:rFonts w:hint="eastAsia" w:ascii="宋体" w:hAnsi="宋体" w:cs="宋体"/>
          <w:sz w:val="24"/>
        </w:rPr>
        <w:t>29.2 签订合同时间：按成交通知书的规定与采购人签订政府采购合同（最长不能超过25日）。</w:t>
      </w:r>
    </w:p>
    <w:p>
      <w:pPr>
        <w:spacing w:line="360" w:lineRule="auto"/>
        <w:ind w:firstLine="484" w:firstLineChars="202"/>
        <w:rPr>
          <w:rFonts w:ascii="宋体" w:hAnsi="宋体" w:cs="宋体"/>
          <w:sz w:val="24"/>
        </w:rPr>
      </w:pPr>
      <w:r>
        <w:rPr>
          <w:rFonts w:hint="eastAsia" w:ascii="宋体" w:hAnsi="宋体" w:cs="宋体"/>
          <w:sz w:val="24"/>
        </w:rPr>
        <w:t>29.3成交供应商拒绝与采购人签订合同的，按照本文件之《供应商须知正文》第27.5条的规定执行。</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30.政府采购合同公告</w:t>
      </w:r>
    </w:p>
    <w:p>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31.询问、质疑和投诉</w:t>
      </w:r>
    </w:p>
    <w:p>
      <w:pPr>
        <w:pStyle w:val="7"/>
        <w:spacing w:line="360" w:lineRule="auto"/>
        <w:rPr>
          <w:rFonts w:ascii="宋体" w:hAnsi="宋体" w:cs="宋体"/>
          <w:sz w:val="24"/>
          <w:szCs w:val="24"/>
        </w:rPr>
      </w:pPr>
      <w:r>
        <w:rPr>
          <w:rFonts w:hint="eastAsia" w:ascii="宋体" w:hAnsi="宋体" w:cs="宋体"/>
          <w:sz w:val="24"/>
          <w:szCs w:val="22"/>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sz w:val="24"/>
          <w:szCs w:val="24"/>
        </w:rPr>
        <w:t>但答复的内容不得涉及商业秘密。</w:t>
      </w:r>
    </w:p>
    <w:p>
      <w:pPr>
        <w:spacing w:line="360" w:lineRule="auto"/>
        <w:ind w:firstLine="480" w:firstLineChars="200"/>
        <w:rPr>
          <w:rFonts w:ascii="宋体" w:hAnsi="宋体" w:cs="宋体"/>
          <w:sz w:val="24"/>
          <w:szCs w:val="32"/>
        </w:rPr>
      </w:pPr>
      <w:r>
        <w:rPr>
          <w:rFonts w:hint="eastAsia" w:ascii="宋体" w:hAnsi="宋体" w:cs="宋体"/>
          <w:sz w:val="24"/>
          <w:szCs w:val="32"/>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sz w:val="24"/>
          <w:szCs w:val="32"/>
          <w:shd w:val="clear" w:color="auto" w:fill="FFFFFF"/>
        </w:rPr>
        <w:t>接收质疑函的方式、联系部门、联系电话和通讯地址等信息</w:t>
      </w:r>
      <w:r>
        <w:rPr>
          <w:rFonts w:hint="eastAsia" w:ascii="宋体" w:hAnsi="宋体" w:cs="宋体"/>
          <w:sz w:val="24"/>
        </w:rPr>
        <w:t>详见“供应商须知前附表”</w:t>
      </w:r>
      <w:r>
        <w:rPr>
          <w:rFonts w:hint="eastAsia" w:ascii="宋体" w:hAnsi="宋体" w:cs="宋体"/>
          <w:sz w:val="24"/>
          <w:szCs w:val="32"/>
        </w:rPr>
        <w:t>。供应商应当在法定质疑期内一次性提出针对同一采购程序环节的质疑。具体质疑起算时间如下：</w:t>
      </w:r>
    </w:p>
    <w:p>
      <w:pPr>
        <w:spacing w:line="360" w:lineRule="auto"/>
        <w:ind w:firstLine="480" w:firstLineChars="200"/>
        <w:rPr>
          <w:rFonts w:ascii="宋体" w:hAnsi="宋体" w:cs="宋体"/>
          <w:sz w:val="24"/>
          <w:szCs w:val="32"/>
        </w:rPr>
      </w:pPr>
      <w:r>
        <w:rPr>
          <w:rFonts w:hint="eastAsia" w:ascii="宋体" w:hAnsi="宋体" w:cs="宋体"/>
          <w:sz w:val="24"/>
          <w:szCs w:val="32"/>
        </w:rPr>
        <w:t>（1）对可以质疑的谈判文件提出质疑的，为获取谈判文件之日；</w:t>
      </w:r>
    </w:p>
    <w:p>
      <w:pPr>
        <w:spacing w:line="360" w:lineRule="auto"/>
        <w:ind w:firstLine="480" w:firstLineChars="200"/>
        <w:rPr>
          <w:rFonts w:ascii="宋体" w:hAnsi="宋体" w:cs="宋体"/>
          <w:sz w:val="24"/>
          <w:szCs w:val="32"/>
        </w:rPr>
      </w:pPr>
      <w:r>
        <w:rPr>
          <w:rFonts w:hint="eastAsia" w:ascii="宋体" w:hAnsi="宋体" w:cs="宋体"/>
          <w:sz w:val="24"/>
          <w:szCs w:val="32"/>
        </w:rPr>
        <w:t>（2）对采购过程提出质疑的，为各采购程序环节结束之日；</w:t>
      </w:r>
    </w:p>
    <w:p>
      <w:pPr>
        <w:spacing w:line="360" w:lineRule="auto"/>
        <w:ind w:firstLine="480" w:firstLineChars="200"/>
        <w:rPr>
          <w:rFonts w:ascii="宋体" w:hAnsi="宋体" w:cs="宋体"/>
          <w:sz w:val="24"/>
          <w:szCs w:val="32"/>
        </w:rPr>
      </w:pPr>
      <w:r>
        <w:rPr>
          <w:rFonts w:hint="eastAsia" w:ascii="宋体" w:hAnsi="宋体" w:cs="宋体"/>
          <w:sz w:val="24"/>
          <w:szCs w:val="32"/>
        </w:rPr>
        <w:t>（3）对成交结果提出质疑的，为成交结果公告期限届满之日。</w:t>
      </w:r>
    </w:p>
    <w:p>
      <w:pPr>
        <w:spacing w:line="360" w:lineRule="auto"/>
        <w:ind w:firstLine="480" w:firstLineChars="200"/>
        <w:rPr>
          <w:rFonts w:ascii="宋体" w:hAnsi="宋体" w:cs="宋体"/>
          <w:sz w:val="24"/>
          <w:szCs w:val="32"/>
        </w:rPr>
      </w:pPr>
      <w:r>
        <w:rPr>
          <w:rFonts w:hint="eastAsia" w:ascii="宋体" w:hAnsi="宋体" w:cs="宋体"/>
          <w:sz w:val="24"/>
          <w:szCs w:val="32"/>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80" w:firstLineChars="200"/>
        <w:rPr>
          <w:rFonts w:ascii="宋体" w:hAnsi="宋体" w:cs="宋体"/>
          <w:sz w:val="24"/>
          <w:szCs w:val="32"/>
        </w:rPr>
      </w:pPr>
      <w:r>
        <w:rPr>
          <w:rFonts w:hint="eastAsia" w:ascii="宋体" w:hAnsi="宋体" w:cs="宋体"/>
          <w:sz w:val="24"/>
          <w:szCs w:val="32"/>
        </w:rPr>
        <w:t>31.4供应商提出质疑应当提交质疑函和必要的证明材料，针对同一采购程序环节的质疑必须在法定质疑期内一次性提出。质疑函应当包括下列内容</w:t>
      </w:r>
      <w:r>
        <w:rPr>
          <w:rFonts w:hint="eastAsia" w:ascii="宋体" w:hAnsi="宋体" w:cs="宋体"/>
          <w:bCs/>
          <w:sz w:val="24"/>
          <w:szCs w:val="32"/>
        </w:rPr>
        <w:t>（质疑函格式后附）</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（1）供应商的姓名或者名称、地址、邮编、联系人及联系电话；</w:t>
      </w:r>
    </w:p>
    <w:p>
      <w:pPr>
        <w:spacing w:line="360" w:lineRule="auto"/>
        <w:ind w:firstLine="480" w:firstLineChars="200"/>
        <w:rPr>
          <w:rFonts w:ascii="宋体" w:hAnsi="宋体" w:cs="宋体"/>
          <w:sz w:val="24"/>
          <w:szCs w:val="32"/>
        </w:rPr>
      </w:pPr>
      <w:r>
        <w:rPr>
          <w:rFonts w:hint="eastAsia" w:ascii="宋体" w:hAnsi="宋体" w:cs="宋体"/>
          <w:sz w:val="24"/>
          <w:szCs w:val="32"/>
        </w:rPr>
        <w:t>（2）质疑项目的名称、编号；</w:t>
      </w:r>
    </w:p>
    <w:p>
      <w:pPr>
        <w:spacing w:line="360" w:lineRule="auto"/>
        <w:ind w:firstLine="480" w:firstLineChars="200"/>
        <w:rPr>
          <w:rFonts w:ascii="宋体" w:hAnsi="宋体" w:cs="宋体"/>
          <w:sz w:val="24"/>
          <w:szCs w:val="32"/>
        </w:rPr>
      </w:pPr>
      <w:r>
        <w:rPr>
          <w:rFonts w:hint="eastAsia" w:ascii="宋体" w:hAnsi="宋体" w:cs="宋体"/>
          <w:sz w:val="24"/>
          <w:szCs w:val="32"/>
        </w:rPr>
        <w:t>（3）具体、明确的质疑事项和与质疑事项相关的请求；</w:t>
      </w:r>
    </w:p>
    <w:p>
      <w:pPr>
        <w:spacing w:line="360" w:lineRule="auto"/>
        <w:ind w:firstLine="480" w:firstLineChars="200"/>
        <w:rPr>
          <w:rFonts w:ascii="宋体" w:hAnsi="宋体" w:cs="宋体"/>
          <w:sz w:val="24"/>
          <w:szCs w:val="32"/>
        </w:rPr>
      </w:pPr>
      <w:r>
        <w:rPr>
          <w:rFonts w:hint="eastAsia" w:ascii="宋体" w:hAnsi="宋体" w:cs="宋体"/>
          <w:sz w:val="24"/>
          <w:szCs w:val="32"/>
        </w:rPr>
        <w:t>（4）事实依据；</w:t>
      </w:r>
    </w:p>
    <w:p>
      <w:pPr>
        <w:spacing w:line="360" w:lineRule="auto"/>
        <w:ind w:firstLine="480" w:firstLineChars="200"/>
        <w:rPr>
          <w:rFonts w:ascii="宋体" w:hAnsi="宋体" w:cs="宋体"/>
          <w:sz w:val="24"/>
          <w:szCs w:val="32"/>
        </w:rPr>
      </w:pPr>
      <w:r>
        <w:rPr>
          <w:rFonts w:hint="eastAsia" w:ascii="宋体" w:hAnsi="宋体" w:cs="宋体"/>
          <w:sz w:val="24"/>
          <w:szCs w:val="32"/>
        </w:rPr>
        <w:t>（5）必要的法律依据；</w:t>
      </w:r>
    </w:p>
    <w:p>
      <w:pPr>
        <w:spacing w:line="360" w:lineRule="auto"/>
        <w:ind w:firstLine="480" w:firstLineChars="200"/>
        <w:rPr>
          <w:rFonts w:ascii="宋体" w:hAnsi="宋体" w:cs="宋体"/>
          <w:sz w:val="24"/>
          <w:szCs w:val="32"/>
        </w:rPr>
      </w:pPr>
      <w:r>
        <w:rPr>
          <w:rFonts w:hint="eastAsia" w:ascii="宋体" w:hAnsi="宋体" w:cs="宋体"/>
          <w:sz w:val="24"/>
          <w:szCs w:val="32"/>
        </w:rPr>
        <w:t>（6）提出质疑的日期。</w:t>
      </w:r>
    </w:p>
    <w:p>
      <w:pPr>
        <w:spacing w:line="360" w:lineRule="auto"/>
        <w:ind w:firstLine="480" w:firstLineChars="200"/>
        <w:rPr>
          <w:rFonts w:ascii="宋体" w:hAnsi="宋体" w:cs="宋体"/>
          <w:sz w:val="24"/>
          <w:szCs w:val="32"/>
        </w:rPr>
      </w:pPr>
      <w:r>
        <w:rPr>
          <w:rFonts w:hint="eastAsia" w:ascii="宋体" w:hAnsi="宋体" w:cs="宋体"/>
          <w:sz w:val="24"/>
          <w:szCs w:val="32"/>
        </w:rPr>
        <w:t>供应商为自然人的，应当由本人签字；供应商为法人或者其他组织的，应当由法定代表人、主要负责人，或者其委托代理人签字或者盖章，并加盖公章。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80" w:firstLineChars="200"/>
        <w:rPr>
          <w:rFonts w:ascii="宋体" w:hAnsi="宋体" w:cs="宋体"/>
          <w:sz w:val="24"/>
          <w:szCs w:val="32"/>
        </w:rPr>
      </w:pPr>
      <w:r>
        <w:rPr>
          <w:rFonts w:hint="eastAsia" w:ascii="宋体" w:hAnsi="宋体" w:cs="宋体"/>
          <w:sz w:val="24"/>
          <w:szCs w:val="32"/>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ascii="宋体" w:hAnsi="宋体" w:cs="宋体"/>
          <w:sz w:val="24"/>
          <w:szCs w:val="32"/>
        </w:rPr>
      </w:pPr>
      <w:r>
        <w:rPr>
          <w:rFonts w:hint="eastAsia" w:ascii="宋体" w:hAnsi="宋体" w:cs="宋体"/>
          <w:sz w:val="24"/>
          <w:szCs w:val="32"/>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80" w:firstLineChars="200"/>
        <w:rPr>
          <w:rFonts w:ascii="宋体" w:hAnsi="宋体" w:cs="宋体"/>
          <w:sz w:val="24"/>
          <w:szCs w:val="32"/>
        </w:rPr>
      </w:pPr>
      <w:r>
        <w:rPr>
          <w:rFonts w:hint="eastAsia" w:ascii="宋体" w:hAnsi="宋体" w:cs="宋体"/>
          <w:sz w:val="24"/>
          <w:szCs w:val="32"/>
        </w:rPr>
        <w:t>质疑答复导致成交结果改变的，采购人或者采购代理机构应当将有关情况书面报告本级财政部门。</w:t>
      </w:r>
    </w:p>
    <w:p>
      <w:pPr>
        <w:spacing w:line="360" w:lineRule="auto"/>
        <w:ind w:firstLine="480" w:firstLineChars="200"/>
        <w:rPr>
          <w:rFonts w:ascii="宋体" w:hAnsi="宋体" w:cs="宋体"/>
          <w:b/>
          <w:bCs/>
          <w:sz w:val="24"/>
        </w:rPr>
      </w:pPr>
      <w:r>
        <w:rPr>
          <w:rFonts w:hint="eastAsia" w:ascii="宋体" w:hAnsi="宋体" w:cs="宋体"/>
          <w:sz w:val="24"/>
          <w:szCs w:val="32"/>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32.其他内容</w:t>
      </w:r>
    </w:p>
    <w:p>
      <w:pPr>
        <w:tabs>
          <w:tab w:val="left" w:pos="2835"/>
        </w:tabs>
        <w:spacing w:line="360" w:lineRule="auto"/>
        <w:ind w:firstLine="480" w:firstLineChars="200"/>
        <w:rPr>
          <w:rFonts w:ascii="宋体" w:hAnsi="宋体" w:cs="宋体"/>
          <w:sz w:val="24"/>
        </w:rPr>
      </w:pPr>
      <w:r>
        <w:rPr>
          <w:rFonts w:hint="eastAsia" w:ascii="宋体" w:hAnsi="宋体" w:cs="宋体"/>
          <w:sz w:val="24"/>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80" w:firstLineChars="200"/>
        <w:rPr>
          <w:rFonts w:ascii="宋体" w:hAnsi="宋体" w:cs="宋体"/>
          <w:sz w:val="24"/>
        </w:rPr>
      </w:pPr>
      <w:r>
        <w:rPr>
          <w:rFonts w:hint="eastAsia" w:ascii="宋体" w:hAnsi="宋体" w:cs="宋体"/>
          <w:sz w:val="24"/>
        </w:rPr>
        <w:t>32.2代理服务费收费计算标准：</w:t>
      </w:r>
    </w:p>
    <w:tbl>
      <w:tblPr>
        <w:tblStyle w:val="28"/>
        <w:tblW w:w="8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sz w:val="24"/>
              </w:rPr>
            </w:pPr>
            <w:r>
              <w:rPr>
                <w:rFonts w:hint="eastAsia" w:ascii="宋体" w:hAnsi="宋体" w:cs="宋体"/>
                <w:sz w:val="24"/>
              </w:rPr>
              <w:t xml:space="preserve">               费率</w:t>
            </w:r>
          </w:p>
          <w:p>
            <w:pPr>
              <w:spacing w:line="360" w:lineRule="auto"/>
              <w:rPr>
                <w:rFonts w:ascii="宋体" w:hAnsi="宋体" w:cs="宋体"/>
                <w:sz w:val="24"/>
              </w:rPr>
            </w:pPr>
            <w:r>
              <w:rPr>
                <w:rFonts w:hint="eastAsia" w:ascii="宋体" w:hAnsi="宋体" w:cs="宋体"/>
                <w:sz w:val="24"/>
              </w:rPr>
              <w:t>金额（人民币）</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货物类</w:t>
            </w:r>
          </w:p>
        </w:tc>
        <w:tc>
          <w:tcPr>
            <w:tcW w:w="1532" w:type="dxa"/>
            <w:vAlign w:val="center"/>
          </w:tcPr>
          <w:p>
            <w:pPr>
              <w:spacing w:line="360" w:lineRule="auto"/>
              <w:jc w:val="center"/>
              <w:rPr>
                <w:rFonts w:ascii="宋体" w:hAnsi="宋体" w:cs="宋体"/>
                <w:sz w:val="24"/>
              </w:rPr>
            </w:pPr>
            <w:r>
              <w:rPr>
                <w:rFonts w:hint="eastAsia" w:ascii="宋体" w:hAnsi="宋体" w:cs="宋体"/>
                <w:sz w:val="24"/>
              </w:rPr>
              <w:t>服务类</w:t>
            </w:r>
          </w:p>
        </w:tc>
        <w:tc>
          <w:tcPr>
            <w:tcW w:w="1546" w:type="dxa"/>
            <w:vAlign w:val="center"/>
          </w:tcPr>
          <w:p>
            <w:pPr>
              <w:spacing w:line="360" w:lineRule="auto"/>
              <w:jc w:val="center"/>
              <w:rPr>
                <w:rFonts w:ascii="宋体" w:hAnsi="宋体" w:cs="宋体"/>
                <w:sz w:val="24"/>
              </w:rPr>
            </w:pPr>
            <w:r>
              <w:rPr>
                <w:rFonts w:hint="eastAsia" w:ascii="宋体" w:hAnsi="宋体" w:cs="宋体"/>
                <w:sz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100万元以下</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1.5%</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1.5%</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100～500万元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1.1%</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0.8%</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500～1000万元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0.8%</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0.45%</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1000～5000万元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0.5%</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0.25%</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5000万元～1亿元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0.25%</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0.1%</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1～5亿元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0.05%</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0.05%</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sz w:val="24"/>
              </w:rPr>
            </w:pPr>
            <w:r>
              <w:rPr>
                <w:rFonts w:hint="eastAsia" w:ascii="宋体" w:hAnsi="宋体" w:cs="宋体"/>
                <w:sz w:val="24"/>
              </w:rPr>
              <w:t>5～10亿元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0.035%</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0.035%</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kern w:val="0"/>
                <w:sz w:val="24"/>
              </w:rPr>
            </w:pPr>
            <w:r>
              <w:rPr>
                <w:rFonts w:hint="eastAsia" w:ascii="宋体" w:hAnsi="宋体" w:cs="宋体"/>
                <w:kern w:val="0"/>
                <w:sz w:val="24"/>
              </w:rPr>
              <w:t>10～50亿元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0.008%</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0.008%</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kern w:val="0"/>
                <w:sz w:val="24"/>
              </w:rPr>
            </w:pPr>
            <w:r>
              <w:rPr>
                <w:rFonts w:hint="eastAsia" w:ascii="宋体" w:hAnsi="宋体" w:cs="宋体"/>
                <w:kern w:val="0"/>
                <w:sz w:val="24"/>
              </w:rPr>
              <w:t>50～100亿元</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 xml:space="preserve"> 0.006%</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0.006%</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kern w:val="0"/>
                <w:sz w:val="24"/>
              </w:rPr>
            </w:pPr>
            <w:r>
              <w:rPr>
                <w:rFonts w:hint="eastAsia" w:ascii="宋体" w:hAnsi="宋体" w:cs="宋体"/>
                <w:kern w:val="0"/>
                <w:sz w:val="24"/>
              </w:rPr>
              <w:t>100亿元以上</w:t>
            </w:r>
          </w:p>
        </w:tc>
        <w:tc>
          <w:tcPr>
            <w:tcW w:w="1659" w:type="dxa"/>
          </w:tcPr>
          <w:p>
            <w:pPr>
              <w:spacing w:line="460" w:lineRule="exact"/>
              <w:jc w:val="center"/>
              <w:rPr>
                <w:rFonts w:ascii="宋体" w:hAnsi="宋体" w:cs="宋体"/>
                <w:kern w:val="0"/>
                <w:sz w:val="24"/>
              </w:rPr>
            </w:pPr>
            <w:r>
              <w:rPr>
                <w:rFonts w:hint="eastAsia" w:ascii="宋体" w:hAnsi="宋体" w:cs="宋体"/>
                <w:kern w:val="0"/>
                <w:sz w:val="24"/>
              </w:rPr>
              <w:t xml:space="preserve"> 0.004%</w:t>
            </w:r>
          </w:p>
        </w:tc>
        <w:tc>
          <w:tcPr>
            <w:tcW w:w="1532" w:type="dxa"/>
          </w:tcPr>
          <w:p>
            <w:pPr>
              <w:spacing w:line="460" w:lineRule="exact"/>
              <w:jc w:val="center"/>
              <w:rPr>
                <w:rFonts w:ascii="宋体" w:hAnsi="宋体" w:cs="宋体"/>
                <w:kern w:val="0"/>
                <w:sz w:val="24"/>
              </w:rPr>
            </w:pPr>
            <w:r>
              <w:rPr>
                <w:rFonts w:hint="eastAsia" w:ascii="宋体" w:hAnsi="宋体" w:cs="宋体"/>
                <w:kern w:val="0"/>
                <w:sz w:val="24"/>
              </w:rPr>
              <w:t>0.004%</w:t>
            </w:r>
          </w:p>
        </w:tc>
        <w:tc>
          <w:tcPr>
            <w:tcW w:w="1546" w:type="dxa"/>
          </w:tcPr>
          <w:p>
            <w:pPr>
              <w:spacing w:line="460" w:lineRule="exact"/>
              <w:jc w:val="center"/>
              <w:rPr>
                <w:rFonts w:ascii="宋体" w:hAnsi="宋体" w:cs="宋体"/>
                <w:kern w:val="0"/>
                <w:sz w:val="24"/>
              </w:rPr>
            </w:pPr>
            <w:r>
              <w:rPr>
                <w:rFonts w:hint="eastAsia" w:ascii="宋体" w:hAnsi="宋体" w:cs="宋体"/>
                <w:kern w:val="0"/>
                <w:sz w:val="24"/>
              </w:rPr>
              <w:t>0.004%</w:t>
            </w:r>
          </w:p>
        </w:tc>
      </w:tr>
    </w:tbl>
    <w:p>
      <w:pPr>
        <w:spacing w:line="360" w:lineRule="auto"/>
        <w:ind w:firstLine="482" w:firstLineChars="200"/>
        <w:contextualSpacing/>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1）按本表费率计算的收费为采购代理的收费基准价格；</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例如：某货物采购代理业务成交金额或者暂定价为</w:t>
      </w:r>
      <w:r>
        <w:rPr>
          <w:rFonts w:ascii="楷体" w:hAnsi="楷体" w:eastAsia="楷体" w:cs="宋体"/>
          <w:sz w:val="24"/>
        </w:rPr>
        <w:t>150万元，计算采购代理收费额如下：</w:t>
      </w:r>
    </w:p>
    <w:p>
      <w:pPr>
        <w:spacing w:line="360" w:lineRule="auto"/>
        <w:ind w:firstLine="480" w:firstLineChars="200"/>
        <w:contextualSpacing/>
        <w:rPr>
          <w:rFonts w:ascii="楷体" w:hAnsi="楷体" w:eastAsia="楷体" w:cs="宋体"/>
          <w:sz w:val="24"/>
        </w:rPr>
      </w:pPr>
      <w:r>
        <w:rPr>
          <w:rFonts w:ascii="楷体" w:hAnsi="楷体" w:eastAsia="楷体" w:cs="宋体"/>
          <w:sz w:val="24"/>
        </w:rPr>
        <w:t xml:space="preserve">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 xml:space="preserve">l.5 %＝ 1.5 </w:t>
      </w:r>
      <w:r>
        <w:rPr>
          <w:rFonts w:hint="eastAsia" w:ascii="楷体" w:hAnsi="楷体" w:eastAsia="楷体" w:cs="宋体"/>
          <w:sz w:val="24"/>
        </w:rPr>
        <w:t>万元</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w:t>
      </w:r>
      <w:r>
        <w:rPr>
          <w:rFonts w:ascii="楷体" w:hAnsi="楷体" w:eastAsia="楷体" w:cs="宋体"/>
          <w:sz w:val="24"/>
        </w:rPr>
        <w:t xml:space="preserve"> 150 </w:t>
      </w:r>
      <w:r>
        <w:rPr>
          <w:rFonts w:hint="eastAsia" w:ascii="楷体" w:hAnsi="楷体" w:eastAsia="楷体" w:cs="宋体"/>
          <w:sz w:val="24"/>
        </w:rPr>
        <w:t>－</w:t>
      </w:r>
      <w:r>
        <w:rPr>
          <w:rFonts w:ascii="楷体" w:hAnsi="楷体" w:eastAsia="楷体" w:cs="宋体"/>
          <w:sz w:val="24"/>
        </w:rPr>
        <w:t xml:space="preserve"> 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 xml:space="preserve">1.1%＝ 0.55 </w:t>
      </w:r>
      <w:r>
        <w:rPr>
          <w:rFonts w:hint="eastAsia" w:ascii="楷体" w:hAnsi="楷体" w:eastAsia="楷体" w:cs="宋体"/>
          <w:sz w:val="24"/>
        </w:rPr>
        <w:t>万元</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合计收费＝</w:t>
      </w:r>
      <w:r>
        <w:rPr>
          <w:rFonts w:ascii="楷体" w:hAnsi="楷体" w:eastAsia="楷体" w:cs="宋体"/>
          <w:sz w:val="24"/>
        </w:rPr>
        <w:t xml:space="preserve"> 1.5 </w:t>
      </w:r>
      <w:r>
        <w:rPr>
          <w:rFonts w:hint="eastAsia" w:ascii="楷体" w:hAnsi="楷体" w:eastAsia="楷体" w:cs="宋体"/>
          <w:sz w:val="24"/>
        </w:rPr>
        <w:t>＋</w:t>
      </w:r>
      <w:r>
        <w:rPr>
          <w:rFonts w:ascii="楷体" w:hAnsi="楷体" w:eastAsia="楷体" w:cs="宋体"/>
          <w:sz w:val="24"/>
        </w:rPr>
        <w:t xml:space="preserve"> 0.55＝ 2.05 </w:t>
      </w:r>
      <w:r>
        <w:rPr>
          <w:rFonts w:hint="eastAsia" w:ascii="楷体" w:hAnsi="楷体" w:eastAsia="楷体" w:cs="宋体"/>
          <w:sz w:val="24"/>
        </w:rPr>
        <w:t>（万元）</w:t>
      </w:r>
    </w:p>
    <w:p>
      <w:pPr>
        <w:spacing w:line="360" w:lineRule="auto"/>
        <w:ind w:firstLine="482" w:firstLineChars="200"/>
        <w:contextualSpacing/>
        <w:rPr>
          <w:rFonts w:ascii="宋体" w:hAnsi="宋体" w:cs="宋体"/>
          <w:b/>
          <w:bCs/>
          <w:sz w:val="24"/>
        </w:rPr>
      </w:pPr>
      <w:r>
        <w:rPr>
          <w:rFonts w:hint="eastAsia" w:ascii="宋体" w:hAnsi="宋体" w:cs="宋体"/>
          <w:b/>
          <w:bCs/>
          <w:sz w:val="24"/>
        </w:rPr>
        <w:t>33.需要补充的其他内容</w:t>
      </w:r>
    </w:p>
    <w:p>
      <w:pPr>
        <w:pStyle w:val="17"/>
        <w:spacing w:line="360" w:lineRule="auto"/>
        <w:ind w:firstLine="480" w:firstLineChars="200"/>
        <w:contextualSpacing/>
        <w:rPr>
          <w:rFonts w:hAnsi="宋体" w:cs="宋体"/>
          <w:sz w:val="24"/>
          <w:szCs w:val="24"/>
        </w:rPr>
      </w:pPr>
      <w:r>
        <w:rPr>
          <w:rFonts w:hint="eastAsia" w:hAnsi="宋体" w:cs="宋体"/>
          <w:sz w:val="24"/>
          <w:szCs w:val="24"/>
        </w:rPr>
        <w:t>33.1本谈判文件解释规则详见“供应商须知前附表”。</w:t>
      </w:r>
    </w:p>
    <w:p>
      <w:pPr>
        <w:spacing w:line="360" w:lineRule="auto"/>
        <w:ind w:firstLine="480" w:firstLineChars="200"/>
        <w:contextualSpacing/>
        <w:rPr>
          <w:rFonts w:ascii="宋体" w:hAnsi="宋体" w:cs="宋体"/>
          <w:sz w:val="24"/>
        </w:rPr>
      </w:pPr>
      <w:r>
        <w:rPr>
          <w:rFonts w:hint="eastAsia" w:ascii="宋体" w:hAnsi="宋体" w:cs="宋体"/>
          <w:kern w:val="0"/>
          <w:sz w:val="24"/>
        </w:rPr>
        <w:t>33.2 其他事</w:t>
      </w:r>
      <w:r>
        <w:rPr>
          <w:rFonts w:hint="eastAsia" w:ascii="宋体" w:hAnsi="宋体" w:cs="宋体"/>
          <w:sz w:val="24"/>
        </w:rPr>
        <w:t>项详见“供应商须知前附表”。</w:t>
      </w:r>
    </w:p>
    <w:p>
      <w:pPr>
        <w:pStyle w:val="17"/>
        <w:spacing w:line="360" w:lineRule="auto"/>
        <w:ind w:firstLine="480" w:firstLineChars="200"/>
        <w:contextualSpacing/>
        <w:rPr>
          <w:rFonts w:hAnsi="宋体" w:cs="宋体"/>
          <w:sz w:val="24"/>
          <w:szCs w:val="24"/>
        </w:rPr>
      </w:pPr>
      <w:r>
        <w:rPr>
          <w:rFonts w:hint="eastAsia" w:hAnsi="宋体" w:cs="宋体"/>
          <w:sz w:val="24"/>
          <w:szCs w:val="24"/>
        </w:rPr>
        <w:t>33.3</w:t>
      </w:r>
      <w:bookmarkStart w:id="23" w:name="_Hlk65857140"/>
      <w:r>
        <w:rPr>
          <w:rFonts w:hint="eastAsia" w:hAnsi="宋体" w:cs="宋体"/>
          <w:sz w:val="24"/>
          <w:szCs w:val="24"/>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pStyle w:val="17"/>
        <w:spacing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pPr>
        <w:pStyle w:val="17"/>
        <w:spacing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pPr>
        <w:pStyle w:val="17"/>
        <w:spacing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pStyle w:val="17"/>
        <w:spacing w:line="360" w:lineRule="auto"/>
        <w:ind w:firstLine="480" w:firstLineChars="200"/>
        <w:contextualSpacing/>
        <w:rPr>
          <w:rFonts w:hAnsi="宋体" w:cs="宋体"/>
          <w:sz w:val="24"/>
          <w:szCs w:val="24"/>
        </w:rPr>
      </w:pPr>
      <w:r>
        <w:rPr>
          <w:rFonts w:hint="eastAsia" w:hAnsi="宋体" w:cs="宋体"/>
          <w:sz w:val="24"/>
          <w:szCs w:val="24"/>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s="宋体"/>
          <w:sz w:val="24"/>
        </w:rPr>
      </w:pPr>
      <w:r>
        <w:rPr>
          <w:rFonts w:hint="eastAsia" w:ascii="宋体" w:hAnsi="宋体" w:cs="宋体"/>
          <w:sz w:val="24"/>
        </w:rPr>
        <w:t>依据本谈判文件规定享受扶持政策获得政府采购合同的，小微企业不得将合同分包给大中型企业，中型企业不得将合同分包给大型企业。</w:t>
      </w:r>
      <w:bookmarkEnd w:id="23"/>
    </w:p>
    <w:p>
      <w:pPr>
        <w:pStyle w:val="3"/>
        <w:spacing w:before="0" w:after="0" w:line="360" w:lineRule="auto"/>
        <w:jc w:val="center"/>
        <w:rPr>
          <w:rFonts w:ascii="宋体" w:hAnsi="宋体" w:cs="宋体"/>
          <w:sz w:val="32"/>
          <w:szCs w:val="32"/>
        </w:rPr>
      </w:pPr>
      <w:r>
        <w:rPr>
          <w:rFonts w:hint="eastAsia" w:ascii="宋体" w:hAnsi="宋体" w:cs="宋体"/>
          <w:bCs w:val="0"/>
          <w:sz w:val="24"/>
          <w:szCs w:val="24"/>
        </w:rPr>
        <w:br w:type="page"/>
      </w:r>
      <w:bookmarkStart w:id="24" w:name="_Toc74322010"/>
      <w:r>
        <w:rPr>
          <w:rFonts w:hint="eastAsia" w:ascii="宋体" w:hAnsi="宋体" w:cs="宋体"/>
        </w:rPr>
        <w:t>第三章 采购需求</w:t>
      </w:r>
      <w:bookmarkEnd w:id="24"/>
    </w:p>
    <w:p>
      <w:pPr>
        <w:spacing w:line="360" w:lineRule="auto"/>
        <w:jc w:val="left"/>
        <w:rPr>
          <w:rFonts w:ascii="宋体" w:hAnsi="宋体" w:cs="宋体"/>
          <w:bCs/>
          <w:sz w:val="24"/>
        </w:rPr>
      </w:pPr>
      <w:bookmarkStart w:id="25" w:name="_Toc74322011"/>
      <w:r>
        <w:rPr>
          <w:rFonts w:hint="eastAsia" w:ascii="宋体" w:hAnsi="宋体" w:cs="宋体"/>
          <w:bCs/>
          <w:sz w:val="24"/>
        </w:rPr>
        <w:t>说明：</w:t>
      </w:r>
    </w:p>
    <w:p>
      <w:pPr>
        <w:spacing w:line="360" w:lineRule="auto"/>
        <w:ind w:left="-10" w:leftChars="-5" w:right="2" w:rightChars="1" w:firstLine="480" w:firstLineChars="200"/>
        <w:rPr>
          <w:bCs/>
          <w:sz w:val="24"/>
        </w:rPr>
      </w:pPr>
      <w:r>
        <w:rPr>
          <w:bCs/>
          <w:sz w:val="24"/>
        </w:rPr>
        <w:t>1</w:t>
      </w:r>
      <w:r>
        <w:rPr>
          <w:rFonts w:hint="eastAsia" w:ascii="宋体" w:hAnsi="宋体" w:cs="宋体"/>
          <w:sz w:val="24"/>
        </w:rPr>
        <w:t>.</w:t>
      </w:r>
      <w:r>
        <w:rPr>
          <w:bCs/>
          <w:sz w:val="24"/>
        </w:rPr>
        <w:t>采购需求中如出现品牌、型号或者生产厂家等均仅起参考作用，不属于指定品牌、型号或者生产厂家的情形，</w:t>
      </w:r>
      <w:r>
        <w:rPr>
          <w:rFonts w:hint="eastAsia"/>
          <w:bCs/>
          <w:sz w:val="24"/>
        </w:rPr>
        <w:t>供应商</w:t>
      </w:r>
      <w:r>
        <w:rPr>
          <w:bCs/>
          <w:sz w:val="24"/>
        </w:rPr>
        <w:t>可参照或者选用其他相当的品牌、型号或者生产供应商替代。但</w:t>
      </w:r>
      <w:r>
        <w:rPr>
          <w:rFonts w:hint="eastAsia"/>
          <w:bCs/>
          <w:sz w:val="24"/>
        </w:rPr>
        <w:t>供应商提供</w:t>
      </w:r>
      <w:r>
        <w:rPr>
          <w:bCs/>
          <w:sz w:val="24"/>
        </w:rPr>
        <w:t>的产品实质上应相当于或优于本</w:t>
      </w:r>
      <w:r>
        <w:rPr>
          <w:rFonts w:hint="eastAsia"/>
          <w:bCs/>
          <w:sz w:val="24"/>
        </w:rPr>
        <w:t>《采购</w:t>
      </w:r>
      <w:r>
        <w:rPr>
          <w:bCs/>
          <w:sz w:val="24"/>
        </w:rPr>
        <w:t>需求</w:t>
      </w:r>
      <w:r>
        <w:rPr>
          <w:rFonts w:hint="eastAsia"/>
          <w:bCs/>
          <w:sz w:val="24"/>
        </w:rPr>
        <w:t>》</w:t>
      </w:r>
      <w:r>
        <w:rPr>
          <w:bCs/>
          <w:sz w:val="24"/>
        </w:rPr>
        <w:t>中的技术要求。</w:t>
      </w:r>
    </w:p>
    <w:p>
      <w:pPr>
        <w:spacing w:line="360" w:lineRule="auto"/>
        <w:ind w:left="-10" w:leftChars="-5" w:right="2" w:rightChars="1" w:firstLine="480" w:firstLineChars="200"/>
        <w:rPr>
          <w:bCs/>
          <w:sz w:val="24"/>
        </w:rPr>
      </w:pPr>
      <w:r>
        <w:rPr>
          <w:bCs/>
          <w:sz w:val="24"/>
        </w:rPr>
        <w:t>2</w:t>
      </w:r>
      <w:r>
        <w:rPr>
          <w:rFonts w:hint="eastAsia" w:ascii="宋体" w:hAnsi="宋体" w:cs="宋体"/>
          <w:sz w:val="24"/>
        </w:rPr>
        <w:t>.</w:t>
      </w:r>
      <w:r>
        <w:rPr>
          <w:bCs/>
          <w:sz w:val="24"/>
        </w:rPr>
        <w:t>凡在“技术要求”中表述为“标配”或“标准配置”的设备，</w:t>
      </w:r>
      <w:r>
        <w:rPr>
          <w:rFonts w:hint="eastAsia"/>
          <w:bCs/>
          <w:sz w:val="24"/>
        </w:rPr>
        <w:t>供应商</w:t>
      </w:r>
      <w:r>
        <w:rPr>
          <w:bCs/>
          <w:sz w:val="24"/>
        </w:rPr>
        <w:t>应在</w:t>
      </w:r>
      <w:r>
        <w:rPr>
          <w:rFonts w:hint="eastAsia" w:ascii="宋体" w:hAnsi="宋体" w:cs="宋体"/>
          <w:sz w:val="24"/>
          <w:lang w:bidi="ar"/>
        </w:rPr>
        <w:t>竞争性谈判</w:t>
      </w:r>
      <w:r>
        <w:rPr>
          <w:bCs/>
          <w:sz w:val="24"/>
        </w:rPr>
        <w:t>设备性能配置清单中将其标配参数详细列明。</w:t>
      </w:r>
    </w:p>
    <w:p>
      <w:pPr>
        <w:spacing w:line="360" w:lineRule="auto"/>
        <w:ind w:left="-10" w:leftChars="-5" w:right="2" w:rightChars="1" w:firstLine="480" w:firstLineChars="200"/>
        <w:rPr>
          <w:bCs/>
          <w:sz w:val="24"/>
        </w:rPr>
      </w:pPr>
      <w:r>
        <w:rPr>
          <w:bCs/>
          <w:sz w:val="24"/>
        </w:rPr>
        <w:t>3</w:t>
      </w:r>
      <w:r>
        <w:rPr>
          <w:rFonts w:hint="eastAsia" w:ascii="宋体" w:hAnsi="宋体" w:cs="宋体"/>
          <w:sz w:val="24"/>
        </w:rPr>
        <w:t>.</w:t>
      </w:r>
      <w:r>
        <w:rPr>
          <w:bCs/>
          <w:sz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sz w:val="24"/>
        </w:rPr>
        <w:t>★</w:t>
      </w:r>
      <w:r>
        <w:rPr>
          <w:bCs/>
          <w:sz w:val="24"/>
        </w:rPr>
        <w:t>”的（详见本章后附的节能产品政府采购品目清单），</w:t>
      </w:r>
      <w:r>
        <w:rPr>
          <w:rFonts w:hint="eastAsia"/>
          <w:bCs/>
          <w:sz w:val="24"/>
        </w:rPr>
        <w:t>供应商参与</w:t>
      </w:r>
      <w:r>
        <w:rPr>
          <w:rFonts w:hint="eastAsia" w:ascii="宋体" w:hAnsi="宋体" w:cs="宋体"/>
          <w:sz w:val="24"/>
          <w:lang w:bidi="ar"/>
        </w:rPr>
        <w:t>竞争性谈判</w:t>
      </w:r>
      <w:r>
        <w:rPr>
          <w:rFonts w:hint="eastAsia"/>
          <w:bCs/>
          <w:sz w:val="24"/>
        </w:rPr>
        <w:t>提供的</w:t>
      </w:r>
      <w:r>
        <w:rPr>
          <w:bCs/>
          <w:sz w:val="24"/>
        </w:rPr>
        <w:t>货物必须使用政府强制采购的节能产品，否则</w:t>
      </w:r>
      <w:r>
        <w:rPr>
          <w:rFonts w:hint="eastAsia"/>
          <w:bCs/>
          <w:sz w:val="24"/>
        </w:rPr>
        <w:t>响应</w:t>
      </w:r>
      <w:r>
        <w:rPr>
          <w:bCs/>
          <w:sz w:val="24"/>
        </w:rPr>
        <w:t>文件作无效处理。</w:t>
      </w:r>
    </w:p>
    <w:p>
      <w:pPr>
        <w:spacing w:line="360" w:lineRule="auto"/>
        <w:ind w:left="-10" w:leftChars="-5" w:right="2" w:rightChars="1" w:firstLine="480" w:firstLineChars="200"/>
        <w:rPr>
          <w:bCs/>
          <w:sz w:val="24"/>
        </w:rPr>
      </w:pPr>
      <w:r>
        <w:rPr>
          <w:bCs/>
          <w:sz w:val="24"/>
        </w:rPr>
        <w:t>4</w:t>
      </w:r>
      <w:r>
        <w:rPr>
          <w:rFonts w:hint="eastAsia" w:ascii="宋体" w:hAnsi="宋体" w:cs="宋体"/>
          <w:sz w:val="24"/>
        </w:rPr>
        <w:t>.</w:t>
      </w:r>
      <w:r>
        <w:rPr>
          <w:bCs/>
          <w:sz w:val="24"/>
        </w:rPr>
        <w:t>如</w:t>
      </w:r>
      <w:r>
        <w:rPr>
          <w:rFonts w:hint="eastAsia"/>
          <w:bCs/>
          <w:sz w:val="24"/>
        </w:rPr>
        <w:t>供应商参与</w:t>
      </w:r>
      <w:r>
        <w:rPr>
          <w:rFonts w:hint="eastAsia" w:ascii="宋体" w:hAnsi="宋体" w:cs="宋体"/>
          <w:sz w:val="24"/>
          <w:lang w:bidi="ar"/>
        </w:rPr>
        <w:t>竞争性谈判提供的</w:t>
      </w:r>
      <w:r>
        <w:rPr>
          <w:bCs/>
          <w:sz w:val="24"/>
        </w:rPr>
        <w:t>产品存在侵犯他人的知识产权或者专利成果行为的，由</w:t>
      </w:r>
      <w:r>
        <w:rPr>
          <w:rFonts w:hint="eastAsia"/>
          <w:bCs/>
          <w:sz w:val="24"/>
        </w:rPr>
        <w:t>供应商</w:t>
      </w:r>
      <w:r>
        <w:rPr>
          <w:bCs/>
          <w:sz w:val="24"/>
        </w:rPr>
        <w:t>自行承担相应法律责任。</w:t>
      </w:r>
    </w:p>
    <w:p>
      <w:pPr>
        <w:spacing w:line="360" w:lineRule="auto"/>
        <w:ind w:left="-10" w:leftChars="-5" w:right="2" w:rightChars="1" w:firstLine="480" w:firstLineChars="200"/>
        <w:rPr>
          <w:bCs/>
          <w:sz w:val="24"/>
        </w:rPr>
      </w:pPr>
      <w:r>
        <w:rPr>
          <w:bCs/>
          <w:sz w:val="24"/>
        </w:rPr>
        <w:t>5</w:t>
      </w:r>
      <w:r>
        <w:rPr>
          <w:rFonts w:hint="eastAsia" w:ascii="宋体" w:hAnsi="宋体" w:cs="宋体"/>
          <w:sz w:val="24"/>
        </w:rPr>
        <w:t>.“</w:t>
      </w:r>
      <w:r>
        <w:rPr>
          <w:bCs/>
          <w:sz w:val="24"/>
        </w:rPr>
        <w:t>实质性要求</w:t>
      </w:r>
      <w:r>
        <w:rPr>
          <w:rFonts w:hint="eastAsia" w:ascii="宋体" w:hAnsi="宋体" w:cs="宋体"/>
          <w:sz w:val="24"/>
        </w:rPr>
        <w:t>”</w:t>
      </w:r>
      <w:r>
        <w:rPr>
          <w:bCs/>
          <w:sz w:val="24"/>
        </w:rPr>
        <w:t>是指</w:t>
      </w:r>
      <w:r>
        <w:rPr>
          <w:rFonts w:hint="eastAsia"/>
          <w:bCs/>
          <w:sz w:val="24"/>
        </w:rPr>
        <w:t>采购文件</w:t>
      </w:r>
      <w:r>
        <w:rPr>
          <w:bCs/>
          <w:sz w:val="24"/>
        </w:rPr>
        <w:t>中已经指明不满足则</w:t>
      </w:r>
      <w:r>
        <w:rPr>
          <w:rFonts w:hint="eastAsia" w:ascii="宋体" w:hAnsi="宋体" w:cs="宋体"/>
          <w:sz w:val="24"/>
          <w:lang w:bidi="ar"/>
        </w:rPr>
        <w:t>竞争性谈判</w:t>
      </w:r>
      <w:r>
        <w:rPr>
          <w:bCs/>
          <w:sz w:val="24"/>
        </w:rPr>
        <w:t>无效的条款，或者不</w:t>
      </w:r>
      <w:r>
        <w:rPr>
          <w:rFonts w:hint="eastAsia"/>
          <w:bCs/>
          <w:sz w:val="24"/>
        </w:rPr>
        <w:t>容许</w:t>
      </w:r>
      <w:r>
        <w:rPr>
          <w:bCs/>
          <w:sz w:val="24"/>
        </w:rPr>
        <w:t>负偏离的条款，或者采购需求中带</w:t>
      </w:r>
      <w:r>
        <w:rPr>
          <w:rFonts w:hint="eastAsia"/>
          <w:bCs/>
          <w:sz w:val="24"/>
        </w:rPr>
        <w:t>“</w:t>
      </w:r>
      <w:r>
        <w:rPr>
          <w:rFonts w:hint="eastAsia" w:ascii="宋体" w:hAnsi="宋体" w:cs="宋体"/>
          <w:szCs w:val="21"/>
        </w:rPr>
        <w:t>▲</w:t>
      </w:r>
      <w:r>
        <w:rPr>
          <w:rFonts w:hint="eastAsia"/>
          <w:bCs/>
          <w:sz w:val="24"/>
        </w:rPr>
        <w:t>”</w:t>
      </w:r>
      <w:r>
        <w:rPr>
          <w:bCs/>
          <w:sz w:val="24"/>
        </w:rPr>
        <w:t>的条款。</w:t>
      </w:r>
      <w:r>
        <w:rPr>
          <w:rFonts w:hint="eastAsia"/>
          <w:bCs/>
          <w:sz w:val="24"/>
        </w:rPr>
        <w:t>未标注“</w:t>
      </w:r>
      <w:r>
        <w:rPr>
          <w:rFonts w:hint="eastAsia" w:ascii="宋体" w:hAnsi="宋体" w:cs="宋体"/>
          <w:szCs w:val="21"/>
        </w:rPr>
        <w:t>▲</w:t>
      </w:r>
      <w:r>
        <w:rPr>
          <w:rFonts w:hint="eastAsia"/>
          <w:bCs/>
          <w:sz w:val="24"/>
        </w:rPr>
        <w:t>”号的非实质性条款要求可允许2项负偏离，</w:t>
      </w:r>
      <w:r>
        <w:rPr>
          <w:bCs/>
          <w:sz w:val="24"/>
        </w:rPr>
        <w:t xml:space="preserve"> </w:t>
      </w:r>
      <w:r>
        <w:rPr>
          <w:rFonts w:hint="eastAsia"/>
          <w:bCs/>
          <w:sz w:val="24"/>
        </w:rPr>
        <w:t>3项以上（含3项）负偏离的</w:t>
      </w:r>
      <w:r>
        <w:rPr>
          <w:rFonts w:hint="eastAsia" w:ascii="宋体" w:hAnsi="宋体" w:cs="宋体"/>
          <w:sz w:val="24"/>
          <w:lang w:bidi="ar"/>
        </w:rPr>
        <w:t>竞争性谈判</w:t>
      </w:r>
      <w:r>
        <w:rPr>
          <w:rFonts w:hint="eastAsia"/>
          <w:bCs/>
          <w:sz w:val="24"/>
        </w:rPr>
        <w:t>无效。</w:t>
      </w:r>
    </w:p>
    <w:p>
      <w:pPr>
        <w:spacing w:line="360" w:lineRule="auto"/>
        <w:ind w:left="-10" w:leftChars="-5" w:right="2" w:rightChars="1" w:firstLine="480" w:firstLineChars="200"/>
        <w:rPr>
          <w:bCs/>
          <w:sz w:val="24"/>
        </w:rPr>
      </w:pPr>
      <w:r>
        <w:rPr>
          <w:bCs/>
          <w:sz w:val="24"/>
        </w:rPr>
        <w:t>项目所属行业：工业</w:t>
      </w:r>
    </w:p>
    <w:tbl>
      <w:tblPr>
        <w:tblStyle w:val="28"/>
        <w:tblW w:w="94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45"/>
        <w:gridCol w:w="22"/>
        <w:gridCol w:w="713"/>
        <w:gridCol w:w="630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项号</w:t>
            </w: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货物名称（标的名称）</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数量</w:t>
            </w:r>
            <w:r>
              <w:rPr>
                <w:rFonts w:hint="eastAsia"/>
                <w:b/>
                <w:szCs w:val="21"/>
              </w:rPr>
              <w:t>及单位</w:t>
            </w:r>
          </w:p>
        </w:tc>
        <w:tc>
          <w:tcPr>
            <w:tcW w:w="63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技术参数及性能（配置）要求</w:t>
            </w:r>
          </w:p>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带“</w:t>
            </w:r>
            <w:r>
              <w:rPr>
                <w:rFonts w:hint="eastAsia" w:ascii="宋体" w:hAnsi="宋体" w:cs="宋体"/>
                <w:szCs w:val="21"/>
              </w:rPr>
              <w:t>▲</w:t>
            </w:r>
            <w:r>
              <w:rPr>
                <w:b/>
                <w:color w:val="000000" w:themeColor="text1"/>
                <w:szCs w:val="21"/>
                <w14:textFill>
                  <w14:solidFill>
                    <w14:schemeClr w14:val="tx1"/>
                  </w14:solidFill>
                </w14:textFill>
              </w:rPr>
              <w:t>”的部分为必须满足的技术条件，竞标参数必须满足或者优于该要求，否则竞标无效</w:t>
            </w:r>
          </w:p>
        </w:tc>
        <w:tc>
          <w:tcPr>
            <w:tcW w:w="9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b/>
                <w:szCs w:val="21"/>
              </w:rPr>
            </w:pPr>
            <w:r>
              <w:rPr>
                <w:rFonts w:hint="eastAsia"/>
                <w:b/>
                <w:szCs w:val="21"/>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Chars="-51" w:right="-107" w:rightChars="-51" w:hanging="107" w:hangingChars="51"/>
              <w:jc w:val="center"/>
              <w:rPr>
                <w:szCs w:val="21"/>
              </w:rPr>
            </w:pPr>
            <w:r>
              <w:rPr>
                <w:szCs w:val="21"/>
              </w:rPr>
              <w:t>1</w:t>
            </w:r>
          </w:p>
        </w:tc>
        <w:tc>
          <w:tcPr>
            <w:tcW w:w="1067" w:type="dxa"/>
            <w:gridSpan w:val="2"/>
            <w:tcBorders>
              <w:top w:val="single" w:color="auto" w:sz="4" w:space="0"/>
              <w:left w:val="single" w:color="auto" w:sz="4" w:space="0"/>
              <w:bottom w:val="nil"/>
              <w:right w:val="single" w:color="auto" w:sz="4" w:space="0"/>
            </w:tcBorders>
            <w:shd w:val="clear" w:color="auto" w:fill="auto"/>
            <w:vAlign w:val="center"/>
          </w:tcPr>
          <w:p>
            <w:pPr>
              <w:spacing w:line="400" w:lineRule="exact"/>
              <w:jc w:val="center"/>
              <w:rPr>
                <w:szCs w:val="21"/>
              </w:rPr>
            </w:pPr>
            <w:r>
              <w:rPr>
                <w:rFonts w:hint="eastAsia" w:ascii="宋体" w:hAnsi="宋体" w:cs="宋体"/>
                <w:szCs w:val="21"/>
              </w:rPr>
              <w:t>半导体光电器件制备与封装系统</w:t>
            </w:r>
          </w:p>
        </w:tc>
        <w:tc>
          <w:tcPr>
            <w:tcW w:w="713" w:type="dxa"/>
            <w:tcBorders>
              <w:top w:val="single" w:color="auto" w:sz="4" w:space="0"/>
              <w:left w:val="nil"/>
              <w:bottom w:val="nil"/>
              <w:right w:val="single" w:color="auto" w:sz="4" w:space="0"/>
            </w:tcBorders>
            <w:shd w:val="clear" w:color="000000" w:fill="FFFFFF"/>
            <w:vAlign w:val="center"/>
          </w:tcPr>
          <w:p>
            <w:pPr>
              <w:spacing w:line="400" w:lineRule="exact"/>
              <w:jc w:val="center"/>
              <w:rPr>
                <w:szCs w:val="21"/>
              </w:rPr>
            </w:pPr>
            <w:r>
              <w:rPr>
                <w:rFonts w:hint="eastAsia" w:ascii="宋体" w:hAnsi="宋体" w:cs="宋体"/>
                <w:szCs w:val="21"/>
              </w:rPr>
              <w:t>1套</w:t>
            </w:r>
          </w:p>
        </w:tc>
        <w:tc>
          <w:tcPr>
            <w:tcW w:w="630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zCs w:val="21"/>
              </w:rPr>
            </w:pPr>
            <w:r>
              <w:rPr>
                <w:rFonts w:hint="eastAsia" w:ascii="宋体" w:hAnsi="宋体" w:cs="仿宋"/>
                <w:color w:val="000000"/>
                <w:szCs w:val="21"/>
              </w:rPr>
              <w:t>▲1．镀膜机真空系统：系统由分子泵抽气速率≥1200L/S、机械泵抽气速率≥30m</w:t>
            </w:r>
            <w:r>
              <w:rPr>
                <w:rFonts w:hint="eastAsia" w:ascii="宋体" w:hAnsi="宋体" w:cs="仿宋"/>
                <w:color w:val="000000"/>
                <w:szCs w:val="21"/>
                <w:vertAlign w:val="superscript"/>
              </w:rPr>
              <w:t>3</w:t>
            </w:r>
            <w:r>
              <w:rPr>
                <w:rFonts w:hint="eastAsia" w:ascii="宋体" w:hAnsi="宋体" w:cs="仿宋"/>
                <w:color w:val="000000"/>
                <w:szCs w:val="21"/>
              </w:rPr>
              <w:t>/h（高真空气动挡板阀、电动充气阀、复合数字真空计测量范围大气---1x10</w:t>
            </w:r>
            <w:r>
              <w:rPr>
                <w:rFonts w:hint="eastAsia" w:ascii="宋体" w:hAnsi="宋体" w:cs="仿宋"/>
                <w:color w:val="000000"/>
                <w:szCs w:val="21"/>
                <w:vertAlign w:val="superscript"/>
              </w:rPr>
              <w:t>-5</w:t>
            </w:r>
            <w:r>
              <w:rPr>
                <w:rFonts w:hint="eastAsia" w:ascii="宋体" w:hAnsi="宋体" w:cs="仿宋"/>
                <w:color w:val="000000"/>
                <w:szCs w:val="21"/>
              </w:rPr>
              <w:t>Pa）等组成，真空腔室极限真空度：≤8×10</w:t>
            </w:r>
            <w:r>
              <w:rPr>
                <w:rFonts w:hint="eastAsia" w:ascii="宋体" w:hAnsi="宋体" w:cs="仿宋"/>
                <w:color w:val="000000"/>
                <w:szCs w:val="21"/>
                <w:vertAlign w:val="superscript"/>
              </w:rPr>
              <w:t>-5</w:t>
            </w:r>
            <w:r>
              <w:rPr>
                <w:rFonts w:hint="eastAsia" w:ascii="宋体" w:hAnsi="宋体" w:cs="仿宋"/>
                <w:color w:val="000000"/>
                <w:szCs w:val="21"/>
              </w:rPr>
              <w:t>Pa；</w:t>
            </w:r>
          </w:p>
          <w:p>
            <w:pPr>
              <w:adjustRightInd w:val="0"/>
              <w:snapToGrid w:val="0"/>
              <w:spacing w:line="346" w:lineRule="exact"/>
              <w:rPr>
                <w:rFonts w:ascii="宋体" w:hAnsi="宋体" w:cs="仿宋"/>
                <w:color w:val="000000"/>
                <w:szCs w:val="21"/>
              </w:rPr>
            </w:pPr>
            <w:r>
              <w:rPr>
                <w:rFonts w:hint="eastAsia" w:ascii="宋体" w:hAnsi="宋体" w:cs="仿宋"/>
                <w:color w:val="000000"/>
                <w:szCs w:val="21"/>
              </w:rPr>
              <w:t>2．真空室：方形腔体，全部采用SUS304不锈钢制成，长宽高尺寸为≥500mm×500mm×650mm；</w:t>
            </w:r>
          </w:p>
          <w:p>
            <w:pPr>
              <w:adjustRightInd w:val="0"/>
              <w:snapToGrid w:val="0"/>
              <w:spacing w:line="346" w:lineRule="exact"/>
              <w:rPr>
                <w:rFonts w:ascii="宋体" w:hAnsi="宋体" w:cs="仿宋"/>
                <w:color w:val="000000"/>
                <w:szCs w:val="21"/>
              </w:rPr>
            </w:pPr>
            <w:r>
              <w:rPr>
                <w:rFonts w:ascii="宋体" w:hAnsi="宋体" w:cs="仿宋"/>
                <w:color w:val="000000"/>
                <w:szCs w:val="21"/>
              </w:rPr>
              <w:t>2.1</w:t>
            </w:r>
            <w:r>
              <w:rPr>
                <w:rFonts w:hint="eastAsia" w:ascii="宋体" w:hAnsi="宋体" w:cs="仿宋"/>
                <w:color w:val="000000"/>
                <w:szCs w:val="21"/>
              </w:rPr>
              <w:t>真空室含两个可完全打开的门，前门为快开门，打开后可以对腔体内部进行维护，配有两个观察窗；后面为推拉门，可以与手套箱连接；</w:t>
            </w:r>
          </w:p>
          <w:p>
            <w:pPr>
              <w:adjustRightInd w:val="0"/>
              <w:snapToGrid w:val="0"/>
              <w:spacing w:line="346" w:lineRule="exact"/>
              <w:rPr>
                <w:rFonts w:ascii="宋体" w:hAnsi="宋体" w:cs="仿宋"/>
                <w:color w:val="000000"/>
                <w:szCs w:val="21"/>
              </w:rPr>
            </w:pPr>
            <w:r>
              <w:rPr>
                <w:rFonts w:ascii="宋体" w:hAnsi="宋体" w:cs="仿宋"/>
                <w:color w:val="000000"/>
                <w:szCs w:val="21"/>
              </w:rPr>
              <w:t>2.2</w:t>
            </w:r>
            <w:r>
              <w:rPr>
                <w:rFonts w:hint="eastAsia" w:ascii="宋体" w:hAnsi="宋体" w:cs="仿宋"/>
                <w:color w:val="000000"/>
                <w:szCs w:val="21"/>
              </w:rPr>
              <w:t>腔体的极限真空度为≤8×10</w:t>
            </w:r>
            <w:r>
              <w:rPr>
                <w:rFonts w:hint="eastAsia" w:ascii="宋体" w:hAnsi="宋体" w:cs="仿宋"/>
                <w:color w:val="000000"/>
                <w:szCs w:val="21"/>
                <w:vertAlign w:val="superscript"/>
              </w:rPr>
              <w:t>-5</w:t>
            </w:r>
            <w:r>
              <w:rPr>
                <w:rFonts w:hint="eastAsia" w:ascii="宋体" w:hAnsi="宋体" w:cs="仿宋"/>
                <w:color w:val="000000"/>
                <w:szCs w:val="21"/>
              </w:rPr>
              <w:t>Pa，在氮气保护下开门装卸基片和更换镀料后，重新抽真空可在15分钟内达到≤5×10</w:t>
            </w:r>
            <w:r>
              <w:rPr>
                <w:rFonts w:hint="eastAsia" w:ascii="宋体" w:hAnsi="宋体" w:cs="仿宋"/>
                <w:color w:val="000000"/>
                <w:szCs w:val="21"/>
                <w:vertAlign w:val="superscript"/>
              </w:rPr>
              <w:t>-4</w:t>
            </w:r>
            <w:r>
              <w:rPr>
                <w:rFonts w:hint="eastAsia" w:ascii="宋体" w:hAnsi="宋体" w:cs="仿宋"/>
                <w:color w:val="000000"/>
                <w:szCs w:val="21"/>
              </w:rPr>
              <w:t>Pa；</w:t>
            </w:r>
          </w:p>
          <w:p>
            <w:pPr>
              <w:rPr>
                <w:rFonts w:ascii="宋体" w:hAnsi="宋体" w:cs="仿宋"/>
                <w:color w:val="000000"/>
                <w:szCs w:val="21"/>
              </w:rPr>
            </w:pPr>
            <w:r>
              <w:rPr>
                <w:rFonts w:hint="eastAsia" w:ascii="宋体" w:hAnsi="宋体" w:cs="仿宋"/>
                <w:color w:val="000000"/>
                <w:szCs w:val="21"/>
              </w:rPr>
              <w:t>▲3．基片装置：磁力传动的旋转基片架可放4个基片，基片与掩膜板间隙为0；</w:t>
            </w:r>
          </w:p>
          <w:p>
            <w:pPr>
              <w:rPr>
                <w:rFonts w:ascii="宋体" w:hAnsi="宋体" w:cs="仿宋"/>
                <w:color w:val="000000"/>
                <w:szCs w:val="21"/>
              </w:rPr>
            </w:pPr>
            <w:r>
              <w:rPr>
                <w:rFonts w:ascii="宋体" w:hAnsi="宋体" w:cs="仿宋"/>
                <w:color w:val="000000"/>
                <w:szCs w:val="21"/>
              </w:rPr>
              <w:t>3.1</w:t>
            </w:r>
            <w:r>
              <w:rPr>
                <w:rFonts w:hint="eastAsia" w:ascii="宋体" w:hAnsi="宋体" w:cs="仿宋"/>
                <w:color w:val="000000"/>
                <w:szCs w:val="21"/>
              </w:rPr>
              <w:t>基片长×宽最大尺寸为31×26mm，可自动识别基片位置；</w:t>
            </w:r>
          </w:p>
          <w:p>
            <w:pPr>
              <w:rPr>
                <w:rFonts w:ascii="宋体" w:hAnsi="宋体" w:cs="仿宋"/>
                <w:color w:val="000000"/>
                <w:szCs w:val="21"/>
              </w:rPr>
            </w:pPr>
            <w:r>
              <w:rPr>
                <w:rFonts w:ascii="宋体" w:hAnsi="宋体" w:cs="仿宋"/>
                <w:color w:val="000000"/>
                <w:szCs w:val="21"/>
              </w:rPr>
              <w:t>3</w:t>
            </w:r>
            <w:r>
              <w:rPr>
                <w:rFonts w:hint="eastAsia" w:ascii="宋体" w:hAnsi="宋体" w:cs="仿宋"/>
                <w:color w:val="000000"/>
                <w:szCs w:val="21"/>
              </w:rPr>
              <w:t>.</w:t>
            </w:r>
            <w:r>
              <w:rPr>
                <w:rFonts w:ascii="宋体" w:hAnsi="宋体" w:cs="仿宋"/>
                <w:color w:val="000000"/>
                <w:szCs w:val="21"/>
              </w:rPr>
              <w:t>2</w:t>
            </w:r>
            <w:r>
              <w:rPr>
                <w:rFonts w:hint="eastAsia" w:ascii="宋体" w:hAnsi="宋体" w:cs="仿宋"/>
                <w:color w:val="000000"/>
                <w:szCs w:val="21"/>
              </w:rPr>
              <w:t>每个基片位置有一组模板库,可放不少于三个不同图形的模板;</w:t>
            </w:r>
          </w:p>
          <w:p>
            <w:pPr>
              <w:rPr>
                <w:rFonts w:ascii="宋体" w:hAnsi="宋体" w:cs="仿宋"/>
                <w:color w:val="000000"/>
                <w:szCs w:val="21"/>
              </w:rPr>
            </w:pPr>
            <w:r>
              <w:rPr>
                <w:rFonts w:ascii="宋体" w:hAnsi="宋体" w:cs="仿宋"/>
                <w:color w:val="000000"/>
                <w:szCs w:val="21"/>
              </w:rPr>
              <w:t>3.3</w:t>
            </w:r>
            <w:r>
              <w:rPr>
                <w:rFonts w:hint="eastAsia" w:ascii="宋体" w:hAnsi="宋体" w:cs="仿宋"/>
                <w:color w:val="000000"/>
                <w:szCs w:val="21"/>
              </w:rPr>
              <w:t>基片架转速为0-30转/分（转速可调）;</w:t>
            </w:r>
          </w:p>
          <w:p>
            <w:pPr>
              <w:rPr>
                <w:rFonts w:ascii="宋体" w:hAnsi="宋体" w:cs="仿宋"/>
                <w:color w:val="000000"/>
                <w:szCs w:val="21"/>
              </w:rPr>
            </w:pPr>
            <w:r>
              <w:rPr>
                <w:rFonts w:ascii="宋体" w:hAnsi="宋体" w:cs="仿宋"/>
                <w:color w:val="000000"/>
                <w:szCs w:val="21"/>
              </w:rPr>
              <w:t>3.4</w:t>
            </w:r>
            <w:r>
              <w:rPr>
                <w:rFonts w:hint="eastAsia" w:ascii="宋体" w:hAnsi="宋体" w:cs="仿宋"/>
                <w:color w:val="000000"/>
                <w:szCs w:val="21"/>
              </w:rPr>
              <w:t>掩膜板在线更换，在一个工作周期里能够蒸镀（有机和金属）不少于4种不同的基片试样,或同时蒸镀不少于10个31*26mm的基片;</w:t>
            </w:r>
          </w:p>
          <w:p>
            <w:pPr>
              <w:rPr>
                <w:rFonts w:ascii="宋体" w:hAnsi="宋体" w:cs="仿宋"/>
                <w:color w:val="000000"/>
                <w:szCs w:val="21"/>
              </w:rPr>
            </w:pPr>
            <w:r>
              <w:rPr>
                <w:rFonts w:hint="eastAsia" w:ascii="宋体" w:hAnsi="宋体" w:cs="仿宋"/>
                <w:color w:val="000000"/>
                <w:szCs w:val="21"/>
              </w:rPr>
              <w:t>▲</w:t>
            </w:r>
            <w:r>
              <w:rPr>
                <w:rFonts w:ascii="宋体" w:hAnsi="宋体" w:cs="仿宋"/>
                <w:color w:val="000000"/>
                <w:szCs w:val="21"/>
              </w:rPr>
              <w:t>3.5</w:t>
            </w:r>
            <w:r>
              <w:rPr>
                <w:rFonts w:hint="eastAsia" w:ascii="宋体" w:hAnsi="宋体" w:cs="仿宋"/>
                <w:color w:val="000000"/>
                <w:szCs w:val="21"/>
              </w:rPr>
              <w:t>蒸镀均匀度优于±3%</w:t>
            </w:r>
            <w:r>
              <w:rPr>
                <w:rFonts w:ascii="宋体" w:hAnsi="宋体" w:cs="仿宋"/>
                <w:color w:val="000000"/>
                <w:szCs w:val="21"/>
              </w:rPr>
              <w:t>;</w:t>
            </w:r>
          </w:p>
          <w:p>
            <w:pPr>
              <w:rPr>
                <w:rFonts w:ascii="宋体" w:hAnsi="宋体" w:cs="仿宋"/>
                <w:color w:val="000000"/>
                <w:szCs w:val="21"/>
              </w:rPr>
            </w:pPr>
            <w:r>
              <w:rPr>
                <w:rFonts w:ascii="宋体" w:hAnsi="宋体" w:cs="仿宋"/>
                <w:color w:val="000000"/>
                <w:szCs w:val="21"/>
              </w:rPr>
              <w:t>3.6</w:t>
            </w:r>
            <w:r>
              <w:rPr>
                <w:rFonts w:hint="eastAsia" w:ascii="宋体" w:hAnsi="宋体" w:cs="仿宋"/>
                <w:color w:val="000000"/>
                <w:szCs w:val="21"/>
              </w:rPr>
              <w:t>镀膜机操作通过触摸屏操作；</w:t>
            </w:r>
          </w:p>
          <w:p>
            <w:pPr>
              <w:rPr>
                <w:rFonts w:ascii="宋体" w:hAnsi="宋体" w:cs="仿宋"/>
                <w:color w:val="000000"/>
                <w:szCs w:val="21"/>
              </w:rPr>
            </w:pPr>
            <w:r>
              <w:rPr>
                <w:rFonts w:hint="eastAsia" w:ascii="宋体" w:hAnsi="宋体" w:cs="仿宋"/>
                <w:color w:val="000000"/>
                <w:szCs w:val="21"/>
              </w:rPr>
              <w:t>4．蒸发源：系统共设不少于9个蒸发源；</w:t>
            </w:r>
          </w:p>
          <w:p>
            <w:pPr>
              <w:rPr>
                <w:rFonts w:ascii="宋体" w:hAnsi="宋体" w:cs="仿宋"/>
                <w:color w:val="000000"/>
                <w:szCs w:val="21"/>
              </w:rPr>
            </w:pPr>
            <w:r>
              <w:rPr>
                <w:rFonts w:hint="eastAsia" w:ascii="宋体" w:hAnsi="宋体" w:cs="仿宋"/>
                <w:color w:val="000000"/>
                <w:szCs w:val="21"/>
              </w:rPr>
              <w:t>4.1束源炉式有机蒸发源不少于6个，采用控温表控温，温度最高可达到800℃，控温精度可达到±1℃，寿命长达1000小时以上；</w:t>
            </w:r>
          </w:p>
          <w:p>
            <w:pPr>
              <w:rPr>
                <w:rFonts w:ascii="宋体" w:hAnsi="宋体" w:cs="仿宋"/>
                <w:color w:val="000000"/>
                <w:szCs w:val="21"/>
              </w:rPr>
            </w:pPr>
            <w:r>
              <w:rPr>
                <w:rFonts w:ascii="宋体" w:hAnsi="宋体" w:cs="仿宋"/>
                <w:color w:val="000000"/>
                <w:szCs w:val="21"/>
              </w:rPr>
              <w:t>4.2</w:t>
            </w:r>
            <w:r>
              <w:rPr>
                <w:rFonts w:hint="eastAsia" w:ascii="宋体" w:hAnsi="宋体" w:cs="仿宋"/>
                <w:color w:val="000000"/>
                <w:szCs w:val="21"/>
              </w:rPr>
              <w:t>电极式金属蒸发源不少于3个，采用水冷电极，蒸发舟尺寸为80-90mm；</w:t>
            </w:r>
          </w:p>
          <w:p>
            <w:pPr>
              <w:rPr>
                <w:rFonts w:ascii="宋体" w:hAnsi="宋体" w:cs="仿宋"/>
                <w:color w:val="000000"/>
                <w:szCs w:val="21"/>
              </w:rPr>
            </w:pPr>
            <w:r>
              <w:rPr>
                <w:rFonts w:ascii="宋体" w:hAnsi="宋体" w:cs="仿宋"/>
                <w:color w:val="000000"/>
                <w:szCs w:val="21"/>
              </w:rPr>
              <w:t>4.3</w:t>
            </w:r>
            <w:r>
              <w:rPr>
                <w:rFonts w:hint="eastAsia" w:ascii="宋体" w:hAnsi="宋体" w:cs="仿宋"/>
                <w:color w:val="000000"/>
                <w:szCs w:val="21"/>
              </w:rPr>
              <w:t>蒸发源都配有独立的电动挡板，可单独打开或关闭，可在触摸屏上完成操作；</w:t>
            </w:r>
          </w:p>
          <w:p>
            <w:pPr>
              <w:rPr>
                <w:rFonts w:ascii="宋体" w:hAnsi="宋体" w:cs="仿宋"/>
                <w:color w:val="000000"/>
                <w:szCs w:val="21"/>
              </w:rPr>
            </w:pPr>
            <w:r>
              <w:rPr>
                <w:rFonts w:hint="eastAsia" w:ascii="宋体" w:hAnsi="宋体" w:cs="仿宋"/>
                <w:color w:val="000000"/>
                <w:szCs w:val="21"/>
              </w:rPr>
              <w:t>▲</w:t>
            </w:r>
            <w:r>
              <w:rPr>
                <w:rFonts w:ascii="宋体" w:hAnsi="宋体" w:cs="仿宋"/>
                <w:color w:val="000000"/>
                <w:szCs w:val="21"/>
              </w:rPr>
              <w:t>4.4</w:t>
            </w:r>
            <w:r>
              <w:rPr>
                <w:rFonts w:hint="eastAsia" w:ascii="宋体" w:hAnsi="宋体" w:cs="仿宋"/>
                <w:color w:val="000000"/>
                <w:szCs w:val="21"/>
              </w:rPr>
              <w:t>每个蒸发源有独立防污罩，防止源与源之间相互污染；</w:t>
            </w:r>
          </w:p>
          <w:p>
            <w:pPr>
              <w:rPr>
                <w:rFonts w:ascii="宋体" w:hAnsi="宋体" w:cs="仿宋"/>
                <w:color w:val="000000"/>
                <w:szCs w:val="21"/>
              </w:rPr>
            </w:pPr>
            <w:r>
              <w:rPr>
                <w:rFonts w:hint="eastAsia" w:ascii="宋体" w:hAnsi="宋体" w:cs="仿宋"/>
                <w:color w:val="000000"/>
                <w:szCs w:val="21"/>
              </w:rPr>
              <w:t>▲5．膜厚仪：两通道膜厚仪1台 频率分辨率：±0.03 MHz at 6 MHz、频率稳定性：±2 ppm、 测量间隔:0.10 s ；</w:t>
            </w:r>
          </w:p>
          <w:p>
            <w:pPr>
              <w:rPr>
                <w:rFonts w:ascii="宋体" w:hAnsi="宋体" w:cs="仿宋"/>
                <w:color w:val="000000"/>
                <w:szCs w:val="21"/>
              </w:rPr>
            </w:pPr>
            <w:r>
              <w:rPr>
                <w:rFonts w:hint="eastAsia" w:ascii="宋体" w:hAnsi="宋体" w:cs="仿宋"/>
                <w:color w:val="000000"/>
                <w:szCs w:val="21"/>
              </w:rPr>
              <w:t>6．水冷膜厚探头：2套，安装在蒸发源上方；</w:t>
            </w:r>
          </w:p>
          <w:p>
            <w:pPr>
              <w:rPr>
                <w:rFonts w:ascii="宋体" w:hAnsi="宋体" w:cs="仿宋"/>
                <w:color w:val="000000"/>
                <w:szCs w:val="21"/>
              </w:rPr>
            </w:pPr>
            <w:r>
              <w:rPr>
                <w:rFonts w:hint="eastAsia" w:ascii="宋体" w:hAnsi="宋体" w:cs="仿宋"/>
                <w:color w:val="000000"/>
                <w:szCs w:val="21"/>
              </w:rPr>
              <w:t>7．控制系统：设备采用PLC触摸屏控制，设备的所有操作可在触摸屏上完成；</w:t>
            </w:r>
          </w:p>
          <w:p>
            <w:pPr>
              <w:rPr>
                <w:rFonts w:ascii="宋体" w:hAnsi="宋体" w:cs="仿宋"/>
                <w:color w:val="000000"/>
                <w:szCs w:val="21"/>
              </w:rPr>
            </w:pPr>
            <w:r>
              <w:rPr>
                <w:rFonts w:ascii="宋体" w:hAnsi="宋体" w:cs="仿宋"/>
                <w:color w:val="000000"/>
                <w:szCs w:val="21"/>
              </w:rPr>
              <w:t>7.1</w:t>
            </w:r>
            <w:r>
              <w:rPr>
                <w:rFonts w:hint="eastAsia" w:ascii="宋体" w:hAnsi="宋体" w:cs="仿宋"/>
                <w:color w:val="000000"/>
                <w:szCs w:val="21"/>
              </w:rPr>
              <w:t>触摸屏尺寸为≥10英寸；</w:t>
            </w:r>
          </w:p>
          <w:p>
            <w:pPr>
              <w:rPr>
                <w:rFonts w:ascii="宋体" w:hAnsi="宋体" w:cs="仿宋"/>
                <w:color w:val="000000"/>
                <w:szCs w:val="21"/>
              </w:rPr>
            </w:pPr>
            <w:r>
              <w:rPr>
                <w:rFonts w:ascii="宋体" w:hAnsi="宋体" w:cs="仿宋"/>
                <w:color w:val="000000"/>
                <w:szCs w:val="21"/>
              </w:rPr>
              <w:t>7.2</w:t>
            </w:r>
            <w:r>
              <w:rPr>
                <w:rFonts w:hint="eastAsia" w:ascii="宋体" w:hAnsi="宋体" w:cs="仿宋"/>
                <w:color w:val="000000"/>
                <w:szCs w:val="21"/>
              </w:rPr>
              <w:t>控制内容包括：机械泵、分子泵、阀的启与停；基片台的旋转；基片的选择；基片总挡板的开关；蒸发源的控制，蒸发源挡板的开关。</w:t>
            </w:r>
          </w:p>
          <w:p>
            <w:pPr>
              <w:rPr>
                <w:rFonts w:ascii="宋体" w:hAnsi="宋体" w:cs="仿宋"/>
                <w:color w:val="000000"/>
                <w:szCs w:val="21"/>
              </w:rPr>
            </w:pPr>
            <w:r>
              <w:rPr>
                <w:rFonts w:hint="eastAsia" w:ascii="宋体" w:hAnsi="宋体" w:cs="仿宋"/>
                <w:color w:val="000000"/>
                <w:szCs w:val="21"/>
              </w:rPr>
              <w:t>8．两个手套箱（1800+1800/750/900）</w:t>
            </w:r>
          </w:p>
          <w:p>
            <w:pPr>
              <w:rPr>
                <w:rFonts w:ascii="宋体" w:hAnsi="宋体" w:cs="仿宋"/>
                <w:color w:val="000000"/>
                <w:szCs w:val="21"/>
              </w:rPr>
            </w:pPr>
            <w:r>
              <w:rPr>
                <w:rFonts w:hint="eastAsia" w:ascii="宋体" w:hAnsi="宋体" w:cs="仿宋"/>
                <w:color w:val="000000"/>
                <w:szCs w:val="21"/>
              </w:rPr>
              <w:t>8</w:t>
            </w:r>
            <w:r>
              <w:rPr>
                <w:rFonts w:ascii="宋体" w:hAnsi="宋体" w:cs="仿宋"/>
                <w:color w:val="000000"/>
                <w:szCs w:val="21"/>
              </w:rPr>
              <w:t>.1</w:t>
            </w:r>
            <w:r>
              <w:rPr>
                <w:rFonts w:hint="eastAsia" w:ascii="宋体" w:hAnsi="宋体" w:cs="仿宋"/>
                <w:color w:val="000000"/>
                <w:szCs w:val="21"/>
              </w:rPr>
              <w:t>水&lt;1ppm，氧&lt;1ppm，泄露率≤0.001vol%/h。包含2中以上的泄露率检测以及自动监控功能。竞争性谈判时需提供证明文件（检测报告或产品彩页或厂家提供的说明均可）。</w:t>
            </w:r>
          </w:p>
          <w:p>
            <w:pPr>
              <w:rPr>
                <w:rFonts w:ascii="宋体" w:hAnsi="宋体" w:cs="仿宋"/>
                <w:color w:val="000000"/>
                <w:szCs w:val="21"/>
              </w:rPr>
            </w:pPr>
            <w:r>
              <w:rPr>
                <w:rFonts w:ascii="宋体" w:hAnsi="宋体" w:cs="仿宋"/>
                <w:color w:val="000000"/>
                <w:szCs w:val="21"/>
              </w:rPr>
              <w:t>8.</w:t>
            </w:r>
            <w:r>
              <w:rPr>
                <w:rFonts w:hint="eastAsia" w:ascii="宋体" w:hAnsi="宋体" w:cs="仿宋"/>
                <w:color w:val="000000"/>
                <w:szCs w:val="21"/>
              </w:rPr>
              <w:t>2手套箱尺寸：两台1800㎜长双工位手套箱通过T型过渡舱连接，304不锈钢材质。箱体底部配有支架，旋转脚轮，可微调水平，配有用于压力调节的脚踏板。</w:t>
            </w:r>
          </w:p>
          <w:p>
            <w:pPr>
              <w:rPr>
                <w:rFonts w:ascii="宋体" w:hAnsi="宋体" w:cs="仿宋"/>
                <w:color w:val="000000"/>
                <w:szCs w:val="21"/>
              </w:rPr>
            </w:pPr>
            <w:r>
              <w:rPr>
                <w:rFonts w:ascii="宋体" w:hAnsi="宋体" w:cs="仿宋"/>
                <w:color w:val="000000"/>
                <w:szCs w:val="21"/>
              </w:rPr>
              <w:t>8.</w:t>
            </w:r>
            <w:r>
              <w:rPr>
                <w:rFonts w:hint="eastAsia" w:ascii="宋体" w:hAnsi="宋体" w:cs="仿宋"/>
                <w:color w:val="000000"/>
                <w:szCs w:val="21"/>
              </w:rPr>
              <w:t>3大、小T型过度舱集成在中间，大、小过渡舱于箱体的连接方式均为可拆卸式法兰连接，不能焊接于箱体侧板。</w:t>
            </w:r>
          </w:p>
          <w:p>
            <w:pPr>
              <w:rPr>
                <w:rFonts w:ascii="宋体" w:hAnsi="宋体" w:cs="仿宋"/>
                <w:color w:val="000000"/>
                <w:szCs w:val="21"/>
              </w:rPr>
            </w:pPr>
            <w:r>
              <w:rPr>
                <w:rFonts w:ascii="宋体" w:hAnsi="宋体" w:cs="仿宋"/>
                <w:color w:val="000000"/>
                <w:szCs w:val="21"/>
              </w:rPr>
              <w:t>8.</w:t>
            </w:r>
            <w:r>
              <w:rPr>
                <w:rFonts w:hint="eastAsia" w:ascii="宋体" w:hAnsi="宋体" w:cs="仿宋"/>
                <w:color w:val="000000"/>
                <w:szCs w:val="21"/>
              </w:rPr>
              <w:t>4手套口铝合金。</w:t>
            </w:r>
          </w:p>
          <w:p>
            <w:pPr>
              <w:rPr>
                <w:rFonts w:ascii="宋体" w:hAnsi="宋体" w:cs="仿宋"/>
                <w:color w:val="000000"/>
                <w:szCs w:val="21"/>
              </w:rPr>
            </w:pPr>
            <w:r>
              <w:rPr>
                <w:rFonts w:ascii="宋体" w:hAnsi="宋体" w:cs="仿宋"/>
                <w:color w:val="000000"/>
                <w:szCs w:val="21"/>
              </w:rPr>
              <w:t>8.</w:t>
            </w:r>
            <w:r>
              <w:rPr>
                <w:rFonts w:hint="eastAsia" w:ascii="宋体" w:hAnsi="宋体" w:cs="仿宋"/>
                <w:color w:val="000000"/>
                <w:szCs w:val="21"/>
              </w:rPr>
              <w:t>5循环能力：集成风机流量≥90m</w:t>
            </w:r>
            <w:r>
              <w:rPr>
                <w:rFonts w:hint="eastAsia" w:ascii="宋体" w:hAnsi="宋体" w:cs="仿宋"/>
                <w:color w:val="000000"/>
                <w:szCs w:val="21"/>
                <w:vertAlign w:val="superscript"/>
              </w:rPr>
              <w:t>3</w:t>
            </w:r>
            <w:r>
              <w:rPr>
                <w:rFonts w:hint="eastAsia" w:ascii="宋体" w:hAnsi="宋体" w:cs="仿宋"/>
                <w:color w:val="000000"/>
                <w:szCs w:val="21"/>
              </w:rPr>
              <w:t>/h，加装变频控制。</w:t>
            </w:r>
          </w:p>
          <w:p>
            <w:pPr>
              <w:rPr>
                <w:rFonts w:ascii="宋体" w:hAnsi="宋体" w:cs="仿宋"/>
                <w:color w:val="000000"/>
                <w:szCs w:val="21"/>
              </w:rPr>
            </w:pPr>
            <w:r>
              <w:rPr>
                <w:rFonts w:ascii="宋体" w:hAnsi="宋体" w:cs="仿宋"/>
                <w:color w:val="000000"/>
                <w:szCs w:val="21"/>
              </w:rPr>
              <w:t>8.</w:t>
            </w:r>
            <w:r>
              <w:rPr>
                <w:rFonts w:hint="eastAsia" w:ascii="宋体" w:hAnsi="宋体" w:cs="仿宋"/>
                <w:color w:val="000000"/>
                <w:szCs w:val="21"/>
              </w:rPr>
              <w:t>6真空泵：可手动或通过PLC启动，流量12m</w:t>
            </w:r>
            <w:r>
              <w:rPr>
                <w:rFonts w:hint="eastAsia" w:ascii="宋体" w:hAnsi="宋体" w:cs="仿宋"/>
                <w:color w:val="000000"/>
                <w:szCs w:val="21"/>
                <w:vertAlign w:val="superscript"/>
              </w:rPr>
              <w:t>3</w:t>
            </w:r>
            <w:r>
              <w:rPr>
                <w:rFonts w:hint="eastAsia" w:ascii="宋体" w:hAnsi="宋体" w:cs="仿宋"/>
                <w:color w:val="000000"/>
                <w:szCs w:val="21"/>
              </w:rPr>
              <w:t>/h，可对过渡舱抽真空，并保持箱体压力平衡，真空泵真空度可达2×10</w:t>
            </w:r>
            <w:r>
              <w:rPr>
                <w:rFonts w:hint="eastAsia" w:ascii="宋体" w:hAnsi="宋体" w:cs="仿宋"/>
                <w:color w:val="000000"/>
                <w:szCs w:val="21"/>
                <w:vertAlign w:val="superscript"/>
              </w:rPr>
              <w:t>-1</w:t>
            </w:r>
            <w:r>
              <w:rPr>
                <w:rFonts w:hint="eastAsia" w:ascii="宋体" w:hAnsi="宋体" w:cs="仿宋"/>
                <w:color w:val="000000"/>
                <w:szCs w:val="21"/>
              </w:rPr>
              <w:t>pa，真空泵配装油雾过滤器和气镇。</w:t>
            </w:r>
          </w:p>
          <w:p>
            <w:pPr>
              <w:rPr>
                <w:rFonts w:ascii="宋体" w:hAnsi="宋体" w:cs="仿宋"/>
                <w:color w:val="000000"/>
                <w:szCs w:val="21"/>
              </w:rPr>
            </w:pPr>
            <w:r>
              <w:rPr>
                <w:rFonts w:ascii="宋体" w:hAnsi="宋体" w:cs="仿宋"/>
                <w:color w:val="000000"/>
                <w:szCs w:val="21"/>
              </w:rPr>
              <w:t>8.</w:t>
            </w:r>
            <w:r>
              <w:rPr>
                <w:rFonts w:hint="eastAsia" w:ascii="宋体" w:hAnsi="宋体" w:cs="仿宋"/>
                <w:color w:val="000000"/>
                <w:szCs w:val="21"/>
              </w:rPr>
              <w:t>7有机溶剂吸附器一个，安装在箱体内部，更换时不影响水氧，填充2kg活性炭。加大有机溶剂吸附柱一个，安装在净化系统中，更换时不影响水氧，填充10KG活性炭</w:t>
            </w:r>
          </w:p>
          <w:p>
            <w:r>
              <w:t>8.</w:t>
            </w:r>
            <w:r>
              <w:rPr>
                <w:rFonts w:hint="eastAsia"/>
              </w:rPr>
              <w:t>8单柱净化系统，净化材料可再生，且再生过程自动控制，自动除水除氧功能。</w:t>
            </w:r>
          </w:p>
          <w:p>
            <w:pPr>
              <w:rPr>
                <w:rFonts w:ascii="宋体" w:hAnsi="宋体"/>
                <w:szCs w:val="21"/>
              </w:rPr>
            </w:pPr>
            <w:r>
              <w:rPr>
                <w:rFonts w:hint="eastAsia" w:ascii="宋体" w:hAnsi="宋体" w:cs="仿宋"/>
                <w:color w:val="000000"/>
                <w:szCs w:val="21"/>
              </w:rPr>
              <w:t>9</w:t>
            </w:r>
            <w:r>
              <w:rPr>
                <w:rFonts w:ascii="宋体" w:hAnsi="宋体" w:cs="仿宋"/>
                <w:color w:val="000000"/>
                <w:szCs w:val="21"/>
              </w:rPr>
              <w:t xml:space="preserve"> 配置：</w:t>
            </w:r>
            <w:r>
              <w:rPr>
                <w:rFonts w:hint="eastAsia" w:ascii="宋体" w:hAnsi="宋体" w:cs="仿宋"/>
                <w:color w:val="000000"/>
                <w:szCs w:val="21"/>
              </w:rPr>
              <w:t>水冷脂润滑分子泵1</w:t>
            </w:r>
            <w:r>
              <w:rPr>
                <w:rFonts w:ascii="宋体" w:hAnsi="宋体" w:cs="仿宋"/>
                <w:color w:val="000000"/>
                <w:szCs w:val="21"/>
              </w:rPr>
              <w:t>台、</w:t>
            </w:r>
            <w:r>
              <w:rPr>
                <w:rFonts w:hint="eastAsia" w:ascii="宋体" w:hAnsi="宋体" w:cs="仿宋"/>
                <w:color w:val="000000"/>
                <w:szCs w:val="21"/>
              </w:rPr>
              <w:t>机械泵1</w:t>
            </w:r>
            <w:r>
              <w:rPr>
                <w:rFonts w:ascii="宋体" w:hAnsi="宋体" w:cs="仿宋"/>
                <w:color w:val="000000"/>
                <w:szCs w:val="21"/>
              </w:rPr>
              <w:t>台</w:t>
            </w:r>
            <w:r>
              <w:rPr>
                <w:rFonts w:hint="eastAsia" w:ascii="宋体" w:hAnsi="宋体" w:cs="仿宋"/>
                <w:color w:val="000000"/>
                <w:szCs w:val="21"/>
              </w:rPr>
              <w:t>、高真空气动挡板阀1</w:t>
            </w:r>
            <w:r>
              <w:rPr>
                <w:rFonts w:ascii="宋体" w:hAnsi="宋体" w:cs="仿宋"/>
                <w:color w:val="000000"/>
                <w:szCs w:val="21"/>
              </w:rPr>
              <w:t>个</w:t>
            </w:r>
            <w:r>
              <w:rPr>
                <w:rFonts w:hint="eastAsia" w:ascii="宋体" w:hAnsi="宋体" w:cs="仿宋"/>
                <w:color w:val="000000"/>
                <w:szCs w:val="21"/>
              </w:rPr>
              <w:t>、电动充气阀2</w:t>
            </w:r>
            <w:r>
              <w:rPr>
                <w:rFonts w:ascii="宋体" w:hAnsi="宋体" w:cs="仿宋"/>
                <w:color w:val="000000"/>
                <w:szCs w:val="21"/>
              </w:rPr>
              <w:t>个</w:t>
            </w:r>
            <w:r>
              <w:rPr>
                <w:rFonts w:hint="eastAsia" w:ascii="宋体" w:hAnsi="宋体" w:cs="仿宋"/>
                <w:color w:val="000000"/>
                <w:szCs w:val="21"/>
              </w:rPr>
              <w:t>、抽气管道1</w:t>
            </w:r>
            <w:r>
              <w:rPr>
                <w:rFonts w:ascii="宋体" w:hAnsi="宋体" w:cs="仿宋"/>
                <w:color w:val="000000"/>
                <w:szCs w:val="21"/>
              </w:rPr>
              <w:t>个</w:t>
            </w:r>
            <w:r>
              <w:rPr>
                <w:rFonts w:hint="eastAsia" w:ascii="宋体" w:hAnsi="宋体" w:cs="仿宋"/>
                <w:color w:val="000000"/>
                <w:szCs w:val="21"/>
              </w:rPr>
              <w:t>、复合数字真空计1</w:t>
            </w:r>
            <w:r>
              <w:rPr>
                <w:rFonts w:ascii="宋体" w:hAnsi="宋体" w:cs="仿宋"/>
                <w:color w:val="000000"/>
                <w:szCs w:val="21"/>
              </w:rPr>
              <w:t>个</w:t>
            </w:r>
            <w:r>
              <w:rPr>
                <w:rFonts w:hint="eastAsia" w:ascii="宋体" w:hAnsi="宋体" w:cs="仿宋"/>
                <w:color w:val="000000"/>
                <w:szCs w:val="21"/>
              </w:rPr>
              <w:t>、真空室1</w:t>
            </w:r>
            <w:r>
              <w:rPr>
                <w:rFonts w:ascii="宋体" w:hAnsi="宋体" w:cs="仿宋"/>
                <w:color w:val="000000"/>
                <w:szCs w:val="21"/>
              </w:rPr>
              <w:t>个</w:t>
            </w:r>
            <w:r>
              <w:rPr>
                <w:rFonts w:hint="eastAsia" w:ascii="宋体" w:hAnsi="宋体" w:cs="仿宋"/>
                <w:color w:val="000000"/>
                <w:szCs w:val="21"/>
              </w:rPr>
              <w:t>、有机蒸发源6</w:t>
            </w:r>
            <w:r>
              <w:rPr>
                <w:rFonts w:ascii="宋体" w:hAnsi="宋体" w:cs="仿宋"/>
                <w:color w:val="000000"/>
                <w:szCs w:val="21"/>
              </w:rPr>
              <w:t>个</w:t>
            </w:r>
            <w:r>
              <w:rPr>
                <w:rFonts w:hint="eastAsia" w:ascii="宋体" w:hAnsi="宋体" w:cs="仿宋"/>
                <w:color w:val="000000"/>
                <w:szCs w:val="21"/>
              </w:rPr>
              <w:t>、有机蒸发源挡板6</w:t>
            </w:r>
            <w:r>
              <w:rPr>
                <w:rFonts w:ascii="宋体" w:hAnsi="宋体" w:cs="仿宋"/>
                <w:color w:val="000000"/>
                <w:szCs w:val="21"/>
              </w:rPr>
              <w:t>个</w:t>
            </w:r>
            <w:r>
              <w:rPr>
                <w:rFonts w:hint="eastAsia" w:ascii="宋体" w:hAnsi="宋体" w:cs="仿宋"/>
                <w:color w:val="000000"/>
                <w:szCs w:val="21"/>
              </w:rPr>
              <w:t>、有机蒸发电源2</w:t>
            </w:r>
            <w:r>
              <w:rPr>
                <w:rFonts w:ascii="宋体" w:hAnsi="宋体" w:cs="仿宋"/>
                <w:color w:val="000000"/>
                <w:szCs w:val="21"/>
              </w:rPr>
              <w:t>个</w:t>
            </w:r>
            <w:r>
              <w:rPr>
                <w:rFonts w:hint="eastAsia" w:ascii="宋体" w:hAnsi="宋体" w:cs="仿宋"/>
                <w:color w:val="000000"/>
                <w:szCs w:val="21"/>
              </w:rPr>
              <w:t>、金属蒸发源3</w:t>
            </w:r>
            <w:r>
              <w:rPr>
                <w:rFonts w:ascii="宋体" w:hAnsi="宋体" w:cs="仿宋"/>
                <w:color w:val="000000"/>
                <w:szCs w:val="21"/>
              </w:rPr>
              <w:t>个</w:t>
            </w:r>
            <w:r>
              <w:rPr>
                <w:rFonts w:hint="eastAsia" w:ascii="宋体" w:hAnsi="宋体" w:cs="仿宋"/>
                <w:color w:val="000000"/>
                <w:szCs w:val="21"/>
              </w:rPr>
              <w:t>、金属蒸发源挡板3</w:t>
            </w:r>
            <w:r>
              <w:rPr>
                <w:rFonts w:ascii="宋体" w:hAnsi="宋体" w:cs="仿宋"/>
                <w:color w:val="000000"/>
                <w:szCs w:val="21"/>
              </w:rPr>
              <w:t>个</w:t>
            </w:r>
            <w:r>
              <w:rPr>
                <w:rFonts w:hint="eastAsia" w:ascii="宋体" w:hAnsi="宋体" w:cs="仿宋"/>
                <w:color w:val="000000"/>
                <w:szCs w:val="21"/>
              </w:rPr>
              <w:t>、金属蒸发电源2</w:t>
            </w:r>
            <w:r>
              <w:rPr>
                <w:rFonts w:ascii="宋体" w:hAnsi="宋体" w:cs="仿宋"/>
                <w:color w:val="000000"/>
                <w:szCs w:val="21"/>
              </w:rPr>
              <w:t>个</w:t>
            </w:r>
            <w:r>
              <w:rPr>
                <w:rFonts w:hint="eastAsia" w:ascii="宋体" w:hAnsi="宋体" w:cs="仿宋"/>
                <w:color w:val="000000"/>
                <w:szCs w:val="21"/>
              </w:rPr>
              <w:t>、基片架及旋转1</w:t>
            </w:r>
            <w:r>
              <w:rPr>
                <w:rFonts w:ascii="宋体" w:hAnsi="宋体" w:cs="仿宋"/>
                <w:color w:val="000000"/>
                <w:szCs w:val="21"/>
              </w:rPr>
              <w:t>个</w:t>
            </w:r>
            <w:r>
              <w:rPr>
                <w:rFonts w:hint="eastAsia" w:ascii="宋体" w:hAnsi="宋体" w:cs="仿宋"/>
                <w:color w:val="000000"/>
                <w:szCs w:val="21"/>
              </w:rPr>
              <w:t>、基片总挡板1</w:t>
            </w:r>
            <w:r>
              <w:rPr>
                <w:rFonts w:ascii="宋体" w:hAnsi="宋体" w:cs="仿宋"/>
                <w:color w:val="000000"/>
                <w:szCs w:val="21"/>
              </w:rPr>
              <w:t>个</w:t>
            </w:r>
            <w:r>
              <w:rPr>
                <w:rFonts w:hint="eastAsia" w:ascii="宋体" w:hAnsi="宋体" w:cs="仿宋"/>
                <w:color w:val="000000"/>
                <w:szCs w:val="21"/>
              </w:rPr>
              <w:t>、真空室衬板2</w:t>
            </w:r>
            <w:r>
              <w:rPr>
                <w:rFonts w:ascii="宋体" w:hAnsi="宋体" w:cs="仿宋"/>
                <w:color w:val="000000"/>
                <w:szCs w:val="21"/>
              </w:rPr>
              <w:t>个</w:t>
            </w:r>
            <w:r>
              <w:rPr>
                <w:rFonts w:hint="eastAsia" w:ascii="宋体" w:hAnsi="宋体" w:cs="仿宋"/>
                <w:color w:val="000000"/>
                <w:szCs w:val="21"/>
              </w:rPr>
              <w:t>、蒸发源隔板1</w:t>
            </w:r>
            <w:r>
              <w:rPr>
                <w:rFonts w:ascii="宋体" w:hAnsi="宋体" w:cs="仿宋"/>
                <w:color w:val="000000"/>
                <w:szCs w:val="21"/>
              </w:rPr>
              <w:t>个</w:t>
            </w:r>
            <w:r>
              <w:rPr>
                <w:rFonts w:hint="eastAsia" w:ascii="宋体" w:hAnsi="宋体" w:cs="仿宋"/>
                <w:color w:val="000000"/>
                <w:szCs w:val="21"/>
              </w:rPr>
              <w:t>、蒸发速率监测水冷探头2</w:t>
            </w:r>
            <w:r>
              <w:rPr>
                <w:rFonts w:ascii="宋体" w:hAnsi="宋体" w:cs="仿宋"/>
                <w:color w:val="000000"/>
                <w:szCs w:val="21"/>
              </w:rPr>
              <w:t>个</w:t>
            </w:r>
            <w:r>
              <w:rPr>
                <w:rFonts w:hint="eastAsia" w:ascii="宋体" w:hAnsi="宋体" w:cs="仿宋"/>
                <w:color w:val="000000"/>
                <w:szCs w:val="21"/>
              </w:rPr>
              <w:t>、照明灯2</w:t>
            </w:r>
            <w:r>
              <w:rPr>
                <w:rFonts w:ascii="宋体" w:hAnsi="宋体" w:cs="仿宋"/>
                <w:color w:val="000000"/>
                <w:szCs w:val="21"/>
              </w:rPr>
              <w:t>个</w:t>
            </w:r>
            <w:r>
              <w:rPr>
                <w:rFonts w:hint="eastAsia" w:ascii="宋体" w:hAnsi="宋体" w:cs="仿宋"/>
                <w:color w:val="000000"/>
                <w:szCs w:val="21"/>
              </w:rPr>
              <w:t>、触摸屏1</w:t>
            </w:r>
            <w:r>
              <w:rPr>
                <w:rFonts w:ascii="宋体" w:hAnsi="宋体" w:cs="仿宋"/>
                <w:color w:val="000000"/>
                <w:szCs w:val="21"/>
              </w:rPr>
              <w:t>块</w:t>
            </w:r>
            <w:r>
              <w:rPr>
                <w:rFonts w:hint="eastAsia" w:ascii="宋体" w:hAnsi="宋体" w:cs="仿宋"/>
                <w:color w:val="000000"/>
                <w:szCs w:val="21"/>
              </w:rPr>
              <w:t>、PLC控制系统1</w:t>
            </w:r>
            <w:r>
              <w:rPr>
                <w:rFonts w:ascii="宋体" w:hAnsi="宋体" w:cs="仿宋"/>
                <w:color w:val="000000"/>
                <w:szCs w:val="21"/>
              </w:rPr>
              <w:t>个</w:t>
            </w:r>
            <w:r>
              <w:rPr>
                <w:rFonts w:hint="eastAsia" w:ascii="宋体" w:hAnsi="宋体" w:cs="仿宋"/>
                <w:color w:val="000000"/>
                <w:szCs w:val="21"/>
              </w:rPr>
              <w:t>、真空室快开门1</w:t>
            </w:r>
            <w:r>
              <w:rPr>
                <w:rFonts w:ascii="宋体" w:hAnsi="宋体" w:cs="仿宋"/>
                <w:color w:val="000000"/>
                <w:szCs w:val="21"/>
              </w:rPr>
              <w:t>个</w:t>
            </w:r>
            <w:r>
              <w:rPr>
                <w:rFonts w:hint="eastAsia" w:ascii="宋体" w:hAnsi="宋体" w:cs="仿宋"/>
                <w:color w:val="000000"/>
                <w:szCs w:val="21"/>
              </w:rPr>
              <w:t>、手套箱连接拉门1</w:t>
            </w:r>
            <w:r>
              <w:rPr>
                <w:rFonts w:ascii="宋体" w:hAnsi="宋体" w:cs="仿宋"/>
                <w:color w:val="000000"/>
                <w:szCs w:val="21"/>
              </w:rPr>
              <w:t>个</w:t>
            </w:r>
            <w:r>
              <w:rPr>
                <w:rFonts w:hint="eastAsia" w:ascii="宋体" w:hAnsi="宋体" w:cs="仿宋"/>
                <w:color w:val="000000"/>
                <w:szCs w:val="21"/>
              </w:rPr>
              <w:t>、冷却水循环机1</w:t>
            </w:r>
            <w:r>
              <w:rPr>
                <w:rFonts w:ascii="宋体" w:hAnsi="宋体" w:cs="仿宋"/>
                <w:color w:val="000000"/>
                <w:szCs w:val="21"/>
              </w:rPr>
              <w:t>台</w:t>
            </w:r>
            <w:r>
              <w:rPr>
                <w:rFonts w:hint="eastAsia" w:ascii="宋体" w:hAnsi="宋体" w:cs="仿宋"/>
                <w:color w:val="000000"/>
                <w:szCs w:val="21"/>
              </w:rPr>
              <w:t>、冷却水路水流控制系统1</w:t>
            </w:r>
            <w:r>
              <w:rPr>
                <w:rFonts w:ascii="宋体" w:hAnsi="宋体" w:cs="仿宋"/>
                <w:color w:val="000000"/>
                <w:szCs w:val="21"/>
              </w:rPr>
              <w:t>个</w:t>
            </w:r>
            <w:r>
              <w:rPr>
                <w:rFonts w:hint="eastAsia" w:ascii="宋体" w:hAnsi="宋体" w:cs="仿宋"/>
                <w:color w:val="000000"/>
                <w:szCs w:val="21"/>
              </w:rPr>
              <w:t>、一体式台架1</w:t>
            </w:r>
            <w:r>
              <w:rPr>
                <w:rFonts w:ascii="宋体" w:hAnsi="宋体" w:cs="仿宋"/>
                <w:color w:val="000000"/>
                <w:szCs w:val="21"/>
              </w:rPr>
              <w:t>个</w:t>
            </w:r>
            <w:r>
              <w:rPr>
                <w:rFonts w:hint="eastAsia" w:ascii="宋体" w:hAnsi="宋体" w:cs="仿宋"/>
                <w:color w:val="000000"/>
                <w:szCs w:val="21"/>
              </w:rPr>
              <w:t>、无油静音空压机1</w:t>
            </w:r>
            <w:r>
              <w:rPr>
                <w:rFonts w:ascii="宋体" w:hAnsi="宋体" w:cs="仿宋"/>
                <w:color w:val="000000"/>
                <w:szCs w:val="21"/>
              </w:rPr>
              <w:t>台</w:t>
            </w:r>
            <w:r>
              <w:rPr>
                <w:rFonts w:hint="eastAsia" w:ascii="宋体" w:hAnsi="宋体" w:cs="仿宋"/>
                <w:color w:val="000000"/>
                <w:szCs w:val="21"/>
              </w:rPr>
              <w:t>、掩膜板1</w:t>
            </w:r>
            <w:r>
              <w:rPr>
                <w:rFonts w:ascii="宋体" w:hAnsi="宋体" w:cs="仿宋"/>
                <w:color w:val="000000"/>
                <w:szCs w:val="21"/>
              </w:rPr>
              <w:t>个</w:t>
            </w:r>
            <w:r>
              <w:rPr>
                <w:rFonts w:hint="eastAsia" w:ascii="宋体" w:hAnsi="宋体" w:cs="仿宋"/>
                <w:color w:val="000000"/>
                <w:szCs w:val="21"/>
              </w:rPr>
              <w:t>、两通道膜厚仪1</w:t>
            </w:r>
            <w:r>
              <w:rPr>
                <w:rFonts w:ascii="宋体" w:hAnsi="宋体" w:cs="仿宋"/>
                <w:color w:val="000000"/>
                <w:szCs w:val="21"/>
              </w:rPr>
              <w:t>台</w:t>
            </w:r>
            <w:r>
              <w:rPr>
                <w:rFonts w:hint="eastAsia" w:ascii="宋体" w:hAnsi="宋体" w:cs="仿宋"/>
                <w:color w:val="000000"/>
                <w:szCs w:val="21"/>
              </w:rPr>
              <w:t>、手套箱2</w:t>
            </w:r>
            <w:r>
              <w:rPr>
                <w:rFonts w:ascii="宋体" w:hAnsi="宋体" w:cs="仿宋"/>
                <w:color w:val="000000"/>
                <w:szCs w:val="21"/>
              </w:rPr>
              <w:t>台</w:t>
            </w:r>
            <w:r>
              <w:rPr>
                <w:rFonts w:hint="eastAsia" w:ascii="宋体" w:hAnsi="宋体" w:cs="仿宋"/>
                <w:color w:val="000000"/>
                <w:szCs w:val="21"/>
              </w:rPr>
              <w:t>。</w:t>
            </w:r>
          </w:p>
        </w:tc>
        <w:tc>
          <w:tcPr>
            <w:tcW w:w="9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ascii="宋体" w:hAnsi="宋体" w:cs="宋体"/>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Chars="-51" w:right="-107" w:rightChars="-51" w:hanging="107" w:hangingChars="51"/>
              <w:jc w:val="center"/>
              <w:rPr>
                <w:rFonts w:eastAsia="Arial"/>
                <w:szCs w:val="21"/>
              </w:rPr>
            </w:pPr>
            <w:r>
              <w:rPr>
                <w:rFonts w:hint="eastAsia"/>
                <w:szCs w:val="21"/>
              </w:rPr>
              <w:t>2</w:t>
            </w:r>
          </w:p>
        </w:tc>
        <w:tc>
          <w:tcPr>
            <w:tcW w:w="1067" w:type="dxa"/>
            <w:gridSpan w:val="2"/>
            <w:tcBorders>
              <w:top w:val="single" w:color="auto" w:sz="4" w:space="0"/>
              <w:left w:val="single" w:color="auto" w:sz="4" w:space="0"/>
              <w:bottom w:val="nil"/>
              <w:right w:val="single" w:color="auto" w:sz="4" w:space="0"/>
            </w:tcBorders>
            <w:shd w:val="clear" w:color="auto" w:fill="auto"/>
            <w:vAlign w:val="center"/>
          </w:tcPr>
          <w:p>
            <w:pPr>
              <w:spacing w:line="400" w:lineRule="exact"/>
              <w:jc w:val="center"/>
              <w:rPr>
                <w:rFonts w:ascii="宋体" w:hAnsi="宋体" w:cs="宋体"/>
                <w:bCs/>
                <w:kern w:val="0"/>
                <w:szCs w:val="21"/>
              </w:rPr>
            </w:pPr>
            <w:r>
              <w:rPr>
                <w:rFonts w:hint="eastAsia" w:ascii="宋体" w:hAnsi="宋体" w:cs="宋体"/>
                <w:szCs w:val="21"/>
              </w:rPr>
              <w:t>半导体光电器件测试系统</w:t>
            </w:r>
          </w:p>
        </w:tc>
        <w:tc>
          <w:tcPr>
            <w:tcW w:w="713" w:type="dxa"/>
            <w:tcBorders>
              <w:top w:val="single" w:color="auto" w:sz="4" w:space="0"/>
              <w:left w:val="nil"/>
              <w:bottom w:val="nil"/>
              <w:right w:val="single" w:color="auto" w:sz="4" w:space="0"/>
            </w:tcBorders>
            <w:shd w:val="clear" w:color="000000" w:fill="FFFFFF"/>
            <w:vAlign w:val="center"/>
          </w:tcPr>
          <w:p>
            <w:pPr>
              <w:spacing w:line="400" w:lineRule="exact"/>
              <w:jc w:val="center"/>
              <w:rPr>
                <w:rFonts w:ascii="宋体" w:hAnsi="宋体" w:cs="宋体"/>
                <w:bCs/>
                <w:szCs w:val="21"/>
              </w:rPr>
            </w:pPr>
            <w:r>
              <w:rPr>
                <w:rFonts w:hint="eastAsia" w:ascii="宋体" w:hAnsi="宋体" w:cs="宋体"/>
                <w:szCs w:val="21"/>
              </w:rPr>
              <w:t>1套</w:t>
            </w:r>
          </w:p>
        </w:tc>
        <w:tc>
          <w:tcPr>
            <w:tcW w:w="630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zCs w:val="21"/>
              </w:rPr>
            </w:pPr>
            <w:r>
              <w:rPr>
                <w:rFonts w:hint="eastAsia" w:ascii="宋体" w:hAnsi="宋体" w:cs="仿宋"/>
                <w:color w:val="000000"/>
                <w:szCs w:val="21"/>
              </w:rPr>
              <w:t>1.效率测量范围：0.1-100%；</w:t>
            </w:r>
          </w:p>
          <w:p>
            <w:pPr>
              <w:rPr>
                <w:rFonts w:ascii="宋体" w:hAnsi="宋体" w:cs="仿宋"/>
                <w:color w:val="000000"/>
                <w:szCs w:val="21"/>
              </w:rPr>
            </w:pPr>
            <w:r>
              <w:rPr>
                <w:rFonts w:hint="eastAsia" w:ascii="宋体" w:hAnsi="宋体" w:cs="仿宋"/>
                <w:color w:val="000000"/>
                <w:szCs w:val="21"/>
              </w:rPr>
              <w:t>2.仪器重复性：&gt;99%；</w:t>
            </w:r>
          </w:p>
          <w:p>
            <w:pPr>
              <w:rPr>
                <w:rFonts w:ascii="宋体" w:hAnsi="宋体" w:cs="仿宋"/>
                <w:color w:val="000000"/>
                <w:szCs w:val="21"/>
              </w:rPr>
            </w:pPr>
            <w:r>
              <w:rPr>
                <w:rFonts w:hint="eastAsia" w:ascii="宋体" w:hAnsi="宋体" w:cs="仿宋"/>
                <w:color w:val="000000"/>
                <w:szCs w:val="21"/>
              </w:rPr>
              <w:t>3.相对误差：&lt;3%；</w:t>
            </w:r>
          </w:p>
          <w:p>
            <w:pPr>
              <w:rPr>
                <w:rFonts w:ascii="宋体" w:hAnsi="宋体" w:cs="仿宋"/>
                <w:color w:val="000000"/>
                <w:szCs w:val="21"/>
              </w:rPr>
            </w:pPr>
            <w:r>
              <w:rPr>
                <w:rFonts w:hint="eastAsia" w:ascii="宋体" w:hAnsi="宋体" w:cs="仿宋"/>
                <w:color w:val="000000"/>
                <w:szCs w:val="21"/>
              </w:rPr>
              <w:t>4.最小亮度：≤0.1cd/m</w:t>
            </w:r>
            <w:r>
              <w:rPr>
                <w:rFonts w:hint="eastAsia" w:ascii="宋体" w:hAnsi="宋体" w:cs="仿宋"/>
                <w:color w:val="000000"/>
                <w:szCs w:val="21"/>
                <w:vertAlign w:val="superscript"/>
              </w:rPr>
              <w:t>2</w:t>
            </w:r>
            <w:r>
              <w:rPr>
                <w:rFonts w:hint="eastAsia" w:ascii="宋体" w:hAnsi="宋体" w:cs="仿宋"/>
                <w:color w:val="000000"/>
                <w:szCs w:val="21"/>
              </w:rPr>
              <w:t>；</w:t>
            </w:r>
          </w:p>
          <w:p>
            <w:pPr>
              <w:rPr>
                <w:rFonts w:ascii="宋体" w:hAnsi="宋体" w:cs="仿宋"/>
                <w:color w:val="000000"/>
                <w:szCs w:val="21"/>
              </w:rPr>
            </w:pPr>
            <w:r>
              <w:rPr>
                <w:rFonts w:ascii="宋体" w:hAnsi="宋体" w:cs="仿宋"/>
                <w:color w:val="000000"/>
                <w:szCs w:val="21"/>
              </w:rPr>
              <w:t>5</w:t>
            </w:r>
            <w:r>
              <w:rPr>
                <w:rFonts w:hint="eastAsia" w:ascii="宋体" w:hAnsi="宋体" w:cs="仿宋"/>
                <w:color w:val="000000"/>
                <w:szCs w:val="21"/>
              </w:rPr>
              <w:t>.EQE光谱范围：350-1100nm；</w:t>
            </w:r>
          </w:p>
          <w:p>
            <w:pPr>
              <w:rPr>
                <w:rFonts w:ascii="宋体" w:hAnsi="宋体" w:cs="仿宋"/>
                <w:color w:val="000000"/>
                <w:szCs w:val="21"/>
              </w:rPr>
            </w:pPr>
            <w:r>
              <w:rPr>
                <w:rFonts w:hint="eastAsia" w:ascii="宋体" w:hAnsi="宋体" w:cs="仿宋"/>
                <w:color w:val="000000"/>
                <w:szCs w:val="21"/>
              </w:rPr>
              <w:t>6.量子效率误差：&lt;3%；</w:t>
            </w:r>
          </w:p>
          <w:p>
            <w:pPr>
              <w:rPr>
                <w:rFonts w:ascii="宋体" w:hAnsi="宋体" w:cs="仿宋"/>
                <w:color w:val="000000"/>
                <w:szCs w:val="21"/>
              </w:rPr>
            </w:pPr>
            <w:r>
              <w:rPr>
                <w:rFonts w:hint="eastAsia" w:ascii="宋体" w:hAnsi="宋体" w:cs="仿宋"/>
                <w:color w:val="000000"/>
                <w:szCs w:val="21"/>
              </w:rPr>
              <w:t>7.积分球：3.3英寸量子效率专用；</w:t>
            </w:r>
          </w:p>
          <w:p>
            <w:pPr>
              <w:rPr>
                <w:rFonts w:ascii="宋体" w:hAnsi="宋体" w:cs="仿宋"/>
                <w:color w:val="000000"/>
                <w:szCs w:val="21"/>
              </w:rPr>
            </w:pPr>
            <w:r>
              <w:rPr>
                <w:rFonts w:hint="eastAsia" w:ascii="宋体" w:hAnsi="宋体" w:cs="仿宋"/>
                <w:color w:val="000000"/>
                <w:szCs w:val="21"/>
              </w:rPr>
              <w:t>8.激发波长：365nm，385nm，405nm，450nm；</w:t>
            </w:r>
          </w:p>
          <w:p>
            <w:pPr>
              <w:rPr>
                <w:rFonts w:ascii="宋体" w:hAnsi="宋体" w:cs="仿宋"/>
                <w:color w:val="000000"/>
                <w:szCs w:val="21"/>
              </w:rPr>
            </w:pPr>
            <w:r>
              <w:rPr>
                <w:rFonts w:hint="eastAsia" w:ascii="宋体" w:hAnsi="宋体" w:cs="仿宋"/>
                <w:color w:val="000000"/>
                <w:szCs w:val="21"/>
              </w:rPr>
              <w:t>9.激发光功率：0-100%可调；</w:t>
            </w:r>
          </w:p>
          <w:p>
            <w:pPr>
              <w:rPr>
                <w:rFonts w:ascii="宋体" w:hAnsi="宋体"/>
              </w:rPr>
            </w:pPr>
            <w:r>
              <w:rPr>
                <w:rFonts w:hint="eastAsia" w:ascii="宋体" w:hAnsi="宋体"/>
              </w:rPr>
              <w:t>1</w:t>
            </w:r>
            <w:r>
              <w:rPr>
                <w:rFonts w:ascii="宋体" w:hAnsi="宋体"/>
              </w:rPr>
              <w:t>0</w:t>
            </w:r>
            <w:r>
              <w:rPr>
                <w:rFonts w:hint="eastAsia" w:ascii="宋体" w:hAnsi="宋体"/>
              </w:rPr>
              <w:t>.半高峰宽：365nm，10nm；385nm,11nm；405nm,15nm；450nm,19nm；</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1</w:t>
            </w:r>
            <w:r>
              <w:rPr>
                <w:rFonts w:hint="eastAsia" w:ascii="宋体" w:hAnsi="宋体" w:cs="仿宋"/>
                <w:color w:val="000000"/>
                <w:szCs w:val="21"/>
              </w:rPr>
              <w:t>.光源稳定性：0.5%（开机预热3分钟后）；</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2</w:t>
            </w:r>
            <w:r>
              <w:rPr>
                <w:rFonts w:hint="eastAsia" w:ascii="宋体" w:hAnsi="宋体" w:cs="仿宋"/>
                <w:color w:val="000000"/>
                <w:szCs w:val="21"/>
              </w:rPr>
              <w:t>.可调PLQY样品台：适用于测量液体、粉末、薄膜、晶体样品；</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3</w:t>
            </w:r>
            <w:r>
              <w:rPr>
                <w:rFonts w:hint="eastAsia" w:ascii="宋体" w:hAnsi="宋体" w:cs="仿宋"/>
                <w:color w:val="000000"/>
                <w:szCs w:val="21"/>
              </w:rPr>
              <w:t>.积分球反射率：&gt;98%（450-1700nm），&gt;95%（200-2500nm）；</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4</w:t>
            </w:r>
            <w:r>
              <w:rPr>
                <w:rFonts w:hint="eastAsia" w:ascii="宋体" w:hAnsi="宋体" w:cs="仿宋"/>
                <w:color w:val="000000"/>
                <w:szCs w:val="21"/>
              </w:rPr>
              <w:t>.电致发光夹具：根据用户提供样品定做；</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5</w:t>
            </w:r>
            <w:r>
              <w:rPr>
                <w:rFonts w:hint="eastAsia" w:ascii="宋体" w:hAnsi="宋体" w:cs="仿宋"/>
                <w:color w:val="000000"/>
                <w:szCs w:val="21"/>
              </w:rPr>
              <w:t>.多通道切换器：软件一键自动测量器件所有点数据；</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6</w:t>
            </w:r>
            <w:r>
              <w:rPr>
                <w:rFonts w:hint="eastAsia" w:ascii="宋体" w:hAnsi="宋体" w:cs="仿宋"/>
                <w:color w:val="000000"/>
                <w:szCs w:val="21"/>
              </w:rPr>
              <w:t>.软件功能： PLQY，光致发光光谱，吸收，发光材料光致发光稳定性，EQE，电致发光光谱，峰值波长，中心波长，半高峰宽，亮度，光效，流明效率，光功率，颜色，器件寿命测量（0-100%L终点设置），适配多种源表（常用2400）等；</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7</w:t>
            </w:r>
            <w:r>
              <w:rPr>
                <w:rFonts w:hint="eastAsia" w:ascii="宋体" w:hAnsi="宋体" w:cs="仿宋"/>
                <w:color w:val="000000"/>
                <w:szCs w:val="21"/>
              </w:rPr>
              <w:t>.进样方式：采用电动升降台方式进样；</w:t>
            </w:r>
          </w:p>
          <w:p>
            <w:pPr>
              <w:rPr>
                <w:rFonts w:ascii="宋体" w:hAnsi="宋体" w:cs="仿宋"/>
                <w:color w:val="000000"/>
                <w:szCs w:val="21"/>
              </w:rPr>
            </w:pPr>
            <w:r>
              <w:rPr>
                <w:rFonts w:ascii="宋体" w:hAnsi="宋体" w:cs="仿宋"/>
                <w:color w:val="000000"/>
                <w:szCs w:val="21"/>
              </w:rPr>
              <w:t>18</w:t>
            </w:r>
            <w:r>
              <w:rPr>
                <w:rFonts w:hint="eastAsia" w:ascii="宋体" w:hAnsi="宋体" w:cs="仿宋"/>
                <w:color w:val="000000"/>
                <w:szCs w:val="21"/>
              </w:rPr>
              <w:t>.电动升降台行程：100mm；</w:t>
            </w:r>
          </w:p>
          <w:p>
            <w:pPr>
              <w:rPr>
                <w:rFonts w:ascii="宋体" w:hAnsi="宋体" w:cs="仿宋"/>
                <w:color w:val="000000"/>
                <w:szCs w:val="21"/>
              </w:rPr>
            </w:pPr>
            <w:r>
              <w:rPr>
                <w:rFonts w:hint="eastAsia" w:ascii="宋体" w:hAnsi="宋体" w:cs="仿宋"/>
                <w:color w:val="000000"/>
                <w:szCs w:val="21"/>
              </w:rPr>
              <w:t>1</w:t>
            </w:r>
            <w:r>
              <w:rPr>
                <w:rFonts w:ascii="宋体" w:hAnsi="宋体" w:cs="仿宋"/>
                <w:color w:val="000000"/>
                <w:szCs w:val="21"/>
              </w:rPr>
              <w:t>9</w:t>
            </w:r>
            <w:r>
              <w:rPr>
                <w:rFonts w:hint="eastAsia" w:ascii="宋体" w:hAnsi="宋体" w:cs="仿宋"/>
                <w:color w:val="000000"/>
                <w:szCs w:val="21"/>
              </w:rPr>
              <w:t>.仪器尺寸：约380mmX270mmX201mm；</w:t>
            </w:r>
          </w:p>
          <w:p>
            <w:pPr>
              <w:rPr>
                <w:rFonts w:ascii="宋体" w:hAnsi="宋体" w:cs="仿宋"/>
                <w:color w:val="000000"/>
                <w:szCs w:val="21"/>
              </w:rPr>
            </w:pPr>
            <w:r>
              <w:rPr>
                <w:rFonts w:hint="eastAsia" w:ascii="宋体" w:hAnsi="宋体" w:cs="仿宋"/>
                <w:color w:val="000000"/>
                <w:szCs w:val="21"/>
              </w:rPr>
              <w:t>2</w:t>
            </w:r>
            <w:r>
              <w:rPr>
                <w:rFonts w:ascii="宋体" w:hAnsi="宋体" w:cs="仿宋"/>
                <w:color w:val="000000"/>
                <w:szCs w:val="21"/>
              </w:rPr>
              <w:t>0</w:t>
            </w:r>
            <w:r>
              <w:rPr>
                <w:rFonts w:hint="eastAsia" w:ascii="宋体" w:hAnsi="宋体" w:cs="仿宋"/>
                <w:color w:val="000000"/>
                <w:szCs w:val="21"/>
              </w:rPr>
              <w:t>.整机一体化设计；</w:t>
            </w:r>
          </w:p>
          <w:p>
            <w:pPr>
              <w:rPr>
                <w:rFonts w:ascii="宋体" w:hAnsi="宋体" w:cs="仿宋"/>
                <w:color w:val="000000"/>
                <w:szCs w:val="21"/>
              </w:rPr>
            </w:pPr>
            <w:r>
              <w:rPr>
                <w:rFonts w:hint="eastAsia" w:ascii="宋体" w:hAnsi="宋体" w:cs="仿宋"/>
                <w:color w:val="000000"/>
                <w:szCs w:val="21"/>
              </w:rPr>
              <w:t>2</w:t>
            </w:r>
            <w:r>
              <w:rPr>
                <w:rFonts w:ascii="宋体" w:hAnsi="宋体" w:cs="仿宋"/>
                <w:color w:val="000000"/>
                <w:szCs w:val="21"/>
              </w:rPr>
              <w:t>1</w:t>
            </w:r>
            <w:r>
              <w:rPr>
                <w:rFonts w:hint="eastAsia" w:ascii="宋体" w:hAnsi="宋体" w:cs="仿宋"/>
                <w:color w:val="000000"/>
                <w:szCs w:val="21"/>
              </w:rPr>
              <w:t>.仪器可直接放入手套箱使用；</w:t>
            </w:r>
          </w:p>
          <w:p>
            <w:pPr>
              <w:rPr>
                <w:rFonts w:ascii="宋体" w:hAnsi="宋体" w:cs="仿宋"/>
                <w:color w:val="000000"/>
                <w:szCs w:val="21"/>
              </w:rPr>
            </w:pPr>
            <w:r>
              <w:rPr>
                <w:rFonts w:ascii="宋体" w:hAnsi="宋体" w:cs="仿宋"/>
                <w:color w:val="000000"/>
                <w:szCs w:val="21"/>
              </w:rPr>
              <w:t>22</w:t>
            </w:r>
            <w:r>
              <w:rPr>
                <w:rFonts w:hint="eastAsia" w:ascii="宋体" w:hAnsi="宋体" w:cs="仿宋"/>
                <w:color w:val="000000"/>
                <w:szCs w:val="21"/>
              </w:rPr>
              <w:t>.可设置任意百分比亮度情况下的器件寿命（T0-100%L）；</w:t>
            </w:r>
          </w:p>
          <w:p>
            <w:pPr>
              <w:rPr>
                <w:rFonts w:ascii="宋体" w:hAnsi="宋体" w:cs="仿宋"/>
                <w:color w:val="000000"/>
                <w:szCs w:val="21"/>
              </w:rPr>
            </w:pPr>
            <w:r>
              <w:rPr>
                <w:rFonts w:hint="eastAsia" w:ascii="宋体" w:hAnsi="宋体" w:cs="仿宋"/>
                <w:color w:val="000000"/>
                <w:szCs w:val="21"/>
              </w:rPr>
              <w:t>2</w:t>
            </w:r>
            <w:r>
              <w:rPr>
                <w:rFonts w:ascii="宋体" w:hAnsi="宋体" w:cs="仿宋"/>
                <w:color w:val="000000"/>
                <w:szCs w:val="21"/>
              </w:rPr>
              <w:t>3</w:t>
            </w:r>
            <w:r>
              <w:rPr>
                <w:rFonts w:hint="eastAsia" w:ascii="宋体" w:hAnsi="宋体" w:cs="仿宋"/>
                <w:color w:val="000000"/>
                <w:szCs w:val="21"/>
              </w:rPr>
              <w:t>.太阳能光模拟器光谱的匹配度、光强的时间稳定度和空间均匀性复合AAA标准。</w:t>
            </w:r>
          </w:p>
          <w:p>
            <w:r>
              <w:rPr>
                <w:rFonts w:hint="eastAsia" w:ascii="宋体" w:hAnsi="宋体" w:cs="仿宋"/>
                <w:color w:val="000000"/>
                <w:szCs w:val="21"/>
              </w:rPr>
              <w:t>2</w:t>
            </w:r>
            <w:r>
              <w:rPr>
                <w:rFonts w:ascii="宋体" w:hAnsi="宋体" w:cs="仿宋"/>
                <w:color w:val="000000"/>
                <w:szCs w:val="21"/>
              </w:rPr>
              <w:t>4</w:t>
            </w:r>
            <w:r>
              <w:rPr>
                <w:rFonts w:hint="eastAsia" w:ascii="宋体" w:hAnsi="宋体" w:cs="仿宋"/>
                <w:color w:val="000000"/>
                <w:szCs w:val="21"/>
              </w:rPr>
              <w:t>、配置：荧光量子效率测量系统1套、紫外LED光源1个、积分球1个、八通道器件切换器1台、</w:t>
            </w:r>
            <w:r>
              <w:rPr>
                <w:rFonts w:ascii="宋体" w:hAnsi="宋体" w:cs="仿宋"/>
                <w:color w:val="000000"/>
                <w:szCs w:val="21"/>
              </w:rPr>
              <w:t>电致发光夹具</w:t>
            </w:r>
            <w:r>
              <w:rPr>
                <w:rFonts w:hint="eastAsia" w:ascii="宋体" w:hAnsi="宋体" w:cs="仿宋"/>
                <w:color w:val="000000"/>
                <w:szCs w:val="21"/>
              </w:rPr>
              <w:t>1个、PLQY样品台1个、太阳光模拟器1台。</w:t>
            </w:r>
          </w:p>
        </w:tc>
        <w:tc>
          <w:tcPr>
            <w:tcW w:w="90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ascii="宋体" w:hAnsi="宋体"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9477" w:type="dxa"/>
            <w:gridSpan w:val="6"/>
            <w:shd w:val="clear" w:color="000000" w:fill="FFFFFF"/>
            <w:vAlign w:val="center"/>
          </w:tcPr>
          <w:p>
            <w:pPr>
              <w:widowControl/>
              <w:spacing w:line="360" w:lineRule="auto"/>
              <w:jc w:val="left"/>
              <w:rPr>
                <w:b/>
                <w:sz w:val="24"/>
              </w:rPr>
            </w:pPr>
            <w:r>
              <w:rPr>
                <w:rFonts w:hint="eastAsia" w:ascii="宋体" w:hAnsi="宋体" w:cs="仿宋"/>
                <w:color w:val="000000"/>
                <w:szCs w:val="21"/>
              </w:rPr>
              <w:t>▲</w:t>
            </w:r>
            <w:r>
              <w:rPr>
                <w:b/>
                <w:sz w:val="24"/>
              </w:rPr>
              <w:t>商务要求表（必须全部满足，否则</w:t>
            </w:r>
            <w:r>
              <w:rPr>
                <w:rFonts w:hint="eastAsia"/>
                <w:b/>
                <w:sz w:val="24"/>
              </w:rPr>
              <w:t>竞争性谈判</w:t>
            </w:r>
            <w:r>
              <w:rPr>
                <w:b/>
                <w:sz w:val="24"/>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gridSpan w:val="2"/>
            <w:shd w:val="clear" w:color="000000" w:fill="FFFFFF"/>
            <w:vAlign w:val="center"/>
          </w:tcPr>
          <w:p>
            <w:pPr>
              <w:widowControl/>
              <w:jc w:val="center"/>
              <w:rPr>
                <w:sz w:val="24"/>
              </w:rPr>
            </w:pPr>
            <w:r>
              <w:rPr>
                <w:rFonts w:hint="eastAsia" w:ascii="宋体" w:hAnsi="宋体" w:cs="宋体"/>
                <w:b/>
                <w:bCs/>
                <w:sz w:val="24"/>
              </w:rPr>
              <w:t>合同签订时间</w:t>
            </w:r>
          </w:p>
        </w:tc>
        <w:tc>
          <w:tcPr>
            <w:tcW w:w="7939" w:type="dxa"/>
            <w:gridSpan w:val="4"/>
            <w:shd w:val="clear" w:color="000000" w:fill="FFFFFF"/>
          </w:tcPr>
          <w:p>
            <w:pPr>
              <w:widowControl/>
              <w:rPr>
                <w:sz w:val="24"/>
              </w:rPr>
            </w:pPr>
            <w:r>
              <w:rPr>
                <w:rFonts w:hint="eastAsia" w:ascii="宋体" w:hAnsi="宋体" w:cs="宋体"/>
                <w:sz w:val="24"/>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gridSpan w:val="2"/>
            <w:shd w:val="clear" w:color="000000" w:fill="FFFFFF"/>
            <w:vAlign w:val="center"/>
          </w:tcPr>
          <w:p>
            <w:pPr>
              <w:jc w:val="center"/>
              <w:rPr>
                <w:sz w:val="24"/>
              </w:rPr>
            </w:pPr>
            <w:r>
              <w:rPr>
                <w:rFonts w:hint="eastAsia" w:ascii="宋体" w:hAnsi="宋体" w:cs="宋体"/>
                <w:b/>
                <w:sz w:val="24"/>
              </w:rPr>
              <w:t>交货时间及地点</w:t>
            </w:r>
          </w:p>
        </w:tc>
        <w:tc>
          <w:tcPr>
            <w:tcW w:w="7939" w:type="dxa"/>
            <w:gridSpan w:val="4"/>
            <w:shd w:val="clear" w:color="000000" w:fill="FFFFFF"/>
          </w:tcPr>
          <w:p>
            <w:pPr>
              <w:tabs>
                <w:tab w:val="left" w:pos="420"/>
              </w:tabs>
              <w:rPr>
                <w:rFonts w:ascii="宋体" w:hAnsi="宋体" w:cs="宋体"/>
                <w:sz w:val="24"/>
              </w:rPr>
            </w:pPr>
            <w:r>
              <w:rPr>
                <w:rFonts w:hint="eastAsia" w:ascii="宋体" w:hAnsi="宋体" w:cs="宋体"/>
                <w:sz w:val="24"/>
              </w:rPr>
              <w:t>交货时间：</w:t>
            </w:r>
            <w:r>
              <w:rPr>
                <w:rFonts w:ascii="宋体" w:hAnsi="宋体" w:cs="宋体"/>
                <w:sz w:val="24"/>
              </w:rPr>
              <w:t>签订合同</w:t>
            </w:r>
            <w:r>
              <w:rPr>
                <w:rFonts w:hint="eastAsia" w:ascii="宋体" w:hAnsi="宋体" w:cs="宋体"/>
                <w:sz w:val="24"/>
              </w:rPr>
              <w:t>90日历日</w:t>
            </w:r>
            <w:r>
              <w:rPr>
                <w:rFonts w:ascii="宋体" w:hAnsi="宋体" w:cs="宋体"/>
                <w:sz w:val="24"/>
              </w:rPr>
              <w:t>内</w:t>
            </w:r>
            <w:r>
              <w:rPr>
                <w:rFonts w:hint="eastAsia" w:ascii="宋体" w:hAnsi="宋体" w:cs="宋体"/>
                <w:sz w:val="24"/>
              </w:rPr>
              <w:t>整体</w:t>
            </w:r>
            <w:r>
              <w:rPr>
                <w:rFonts w:ascii="宋体" w:hAnsi="宋体" w:cs="宋体"/>
                <w:sz w:val="24"/>
              </w:rPr>
              <w:t>完成供货安装调试</w:t>
            </w:r>
            <w:r>
              <w:rPr>
                <w:rFonts w:hint="eastAsia" w:ascii="宋体" w:hAnsi="宋体" w:cs="宋体"/>
                <w:sz w:val="24"/>
              </w:rPr>
              <w:t>。</w:t>
            </w:r>
          </w:p>
          <w:p>
            <w:pPr>
              <w:tabs>
                <w:tab w:val="left" w:pos="420"/>
              </w:tabs>
              <w:rPr>
                <w:sz w:val="24"/>
              </w:rPr>
            </w:pPr>
            <w:r>
              <w:rPr>
                <w:rFonts w:hint="eastAsia" w:ascii="宋体" w:hAnsi="宋体" w:cs="宋体"/>
                <w:sz w:val="24"/>
              </w:rPr>
              <w:t>交货地点：广西大学用户指定地点。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gridSpan w:val="2"/>
            <w:shd w:val="clear" w:color="000000" w:fill="FFFFFF"/>
            <w:vAlign w:val="center"/>
          </w:tcPr>
          <w:p>
            <w:pPr>
              <w:jc w:val="center"/>
              <w:rPr>
                <w:sz w:val="24"/>
              </w:rPr>
            </w:pPr>
            <w:r>
              <w:rPr>
                <w:rFonts w:hint="eastAsia" w:ascii="宋体" w:hAnsi="宋体" w:cs="宋体"/>
                <w:b/>
                <w:bCs/>
                <w:kern w:val="0"/>
                <w:sz w:val="24"/>
              </w:rPr>
              <w:t>货物验收</w:t>
            </w:r>
          </w:p>
        </w:tc>
        <w:tc>
          <w:tcPr>
            <w:tcW w:w="7939" w:type="dxa"/>
            <w:gridSpan w:val="4"/>
            <w:shd w:val="clear" w:color="000000" w:fill="FFFFFF"/>
            <w:vAlign w:val="center"/>
          </w:tcPr>
          <w:p>
            <w:pPr>
              <w:tabs>
                <w:tab w:val="left" w:pos="420"/>
              </w:tabs>
              <w:rPr>
                <w:rFonts w:ascii="宋体" w:hAnsi="宋体" w:cs="宋体"/>
                <w:sz w:val="24"/>
              </w:rPr>
            </w:pPr>
            <w:r>
              <w:rPr>
                <w:rFonts w:hint="eastAsia" w:ascii="宋体" w:hAnsi="宋体" w:cs="宋体"/>
                <w:sz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pPr>
              <w:tabs>
                <w:tab w:val="left" w:pos="420"/>
              </w:tabs>
              <w:rPr>
                <w:rFonts w:ascii="宋体" w:hAnsi="宋体" w:cs="宋体"/>
                <w:sz w:val="24"/>
              </w:rPr>
            </w:pPr>
            <w:r>
              <w:rPr>
                <w:rFonts w:hint="eastAsia" w:ascii="宋体" w:hAnsi="宋体" w:cs="宋体"/>
                <w:sz w:val="24"/>
              </w:rPr>
              <w:t>2.货物经过双方检验认可后，签署验收报告。由成交供应商提供产品保修文件。</w:t>
            </w:r>
          </w:p>
          <w:p>
            <w:pPr>
              <w:tabs>
                <w:tab w:val="left" w:pos="420"/>
              </w:tabs>
              <w:rPr>
                <w:rFonts w:ascii="宋体" w:hAnsi="宋体" w:cs="宋体"/>
                <w:sz w:val="24"/>
              </w:rPr>
            </w:pPr>
            <w:r>
              <w:rPr>
                <w:rFonts w:hint="eastAsia" w:ascii="宋体" w:hAnsi="宋体" w:cs="宋体"/>
                <w:sz w:val="24"/>
              </w:rPr>
              <w:t>3.当满足以下条件时，采购人才向成交供应商签发货物验收报告：</w:t>
            </w:r>
          </w:p>
          <w:p>
            <w:pPr>
              <w:tabs>
                <w:tab w:val="left" w:pos="420"/>
              </w:tabs>
              <w:rPr>
                <w:rFonts w:ascii="宋体" w:hAnsi="宋体" w:cs="宋体"/>
                <w:sz w:val="24"/>
              </w:rPr>
            </w:pPr>
            <w:r>
              <w:rPr>
                <w:rFonts w:hint="eastAsia" w:ascii="宋体" w:hAnsi="宋体" w:cs="宋体"/>
                <w:sz w:val="24"/>
              </w:rPr>
              <w:t>（1）成交供应商已按照合同规定提供了全部产品及完整的技术资料。</w:t>
            </w:r>
          </w:p>
          <w:p>
            <w:pPr>
              <w:tabs>
                <w:tab w:val="left" w:pos="420"/>
              </w:tabs>
              <w:rPr>
                <w:rFonts w:ascii="宋体" w:hAnsi="宋体" w:cs="宋体"/>
                <w:sz w:val="24"/>
              </w:rPr>
            </w:pPr>
            <w:r>
              <w:rPr>
                <w:rFonts w:hint="eastAsia" w:ascii="宋体" w:hAnsi="宋体" w:cs="宋体"/>
                <w:sz w:val="24"/>
              </w:rPr>
              <w:t>（2）货物各项参数完全符合《技术参数及性能（配置）要求》的要求，性能满足要求。</w:t>
            </w:r>
          </w:p>
          <w:p>
            <w:pPr>
              <w:tabs>
                <w:tab w:val="left" w:pos="420"/>
              </w:tabs>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）成交供应商需负责安装、调试（测试），并完成采购人的使用操作培训。</w:t>
            </w:r>
          </w:p>
          <w:p>
            <w:pPr>
              <w:tabs>
                <w:tab w:val="left" w:pos="420"/>
              </w:tabs>
              <w:rPr>
                <w:rFonts w:ascii="宋体" w:hAnsi="宋体" w:cs="宋体"/>
                <w:sz w:val="24"/>
              </w:rPr>
            </w:pPr>
            <w:r>
              <w:rPr>
                <w:rFonts w:hint="eastAsia" w:ascii="宋体" w:hAnsi="宋体" w:cs="宋体"/>
                <w:sz w:val="24"/>
              </w:rPr>
              <w:t>4.验收过程中所产生的一切费用均由成交供应商承担，报价时应考虑相关费用。</w:t>
            </w:r>
          </w:p>
          <w:p>
            <w:pPr>
              <w:tabs>
                <w:tab w:val="left" w:pos="420"/>
              </w:tabs>
              <w:rPr>
                <w:sz w:val="24"/>
              </w:rPr>
            </w:pPr>
            <w:r>
              <w:rPr>
                <w:rFonts w:hint="eastAsia" w:ascii="宋体" w:hAnsi="宋体" w:cs="宋体"/>
                <w:sz w:val="24"/>
              </w:rPr>
              <w:t>5.成交产品不能涉及任何法律纠纷。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gridSpan w:val="2"/>
            <w:shd w:val="clear" w:color="000000" w:fill="FFFFFF"/>
            <w:vAlign w:val="center"/>
          </w:tcPr>
          <w:p>
            <w:pPr>
              <w:jc w:val="center"/>
              <w:rPr>
                <w:b/>
                <w:bCs/>
                <w:sz w:val="24"/>
              </w:rPr>
            </w:pPr>
            <w:r>
              <w:rPr>
                <w:rFonts w:hint="eastAsia" w:ascii="宋体" w:hAnsi="宋体" w:cs="宋体"/>
                <w:b/>
                <w:bCs/>
                <w:sz w:val="24"/>
              </w:rPr>
              <w:t>质量保证要求</w:t>
            </w:r>
          </w:p>
        </w:tc>
        <w:tc>
          <w:tcPr>
            <w:tcW w:w="7939" w:type="dxa"/>
            <w:gridSpan w:val="4"/>
            <w:shd w:val="clear" w:color="000000" w:fill="FFFFFF"/>
          </w:tcPr>
          <w:p>
            <w:pPr>
              <w:tabs>
                <w:tab w:val="left" w:pos="420"/>
              </w:tabs>
              <w:rPr>
                <w:rFonts w:ascii="宋体" w:hAnsi="宋体" w:cs="宋体"/>
                <w:kern w:val="0"/>
                <w:sz w:val="24"/>
              </w:rPr>
            </w:pPr>
            <w:r>
              <w:rPr>
                <w:rFonts w:hint="eastAsia" w:ascii="宋体" w:hAnsi="宋体" w:cs="宋体"/>
                <w:sz w:val="24"/>
              </w:rPr>
              <w:t>1.按国家有关产品“三包”规定执行“三包”政策，质量保证期不少于</w:t>
            </w:r>
            <w:r>
              <w:rPr>
                <w:rFonts w:ascii="宋体" w:hAnsi="宋体" w:cs="宋体"/>
                <w:sz w:val="24"/>
              </w:rPr>
              <w:t>1年（</w:t>
            </w:r>
            <w:r>
              <w:rPr>
                <w:rFonts w:hint="eastAsia" w:ascii="宋体" w:hAnsi="宋体" w:cs="宋体"/>
                <w:sz w:val="24"/>
              </w:rPr>
              <w:t>分项货物或配置有明确要求的按分项要求；</w:t>
            </w:r>
            <w:r>
              <w:rPr>
                <w:rFonts w:ascii="宋体" w:hAnsi="宋体" w:cs="宋体"/>
                <w:sz w:val="24"/>
              </w:rPr>
              <w:t>生产厂家承诺的</w:t>
            </w:r>
            <w:r>
              <w:rPr>
                <w:rFonts w:hint="eastAsia" w:ascii="宋体" w:hAnsi="宋体" w:cs="宋体"/>
                <w:sz w:val="24"/>
              </w:rPr>
              <w:t>质量保证期</w:t>
            </w:r>
            <w:r>
              <w:rPr>
                <w:rFonts w:ascii="宋体" w:hAnsi="宋体" w:cs="宋体"/>
                <w:sz w:val="24"/>
              </w:rPr>
              <w:t>更长的按生产厂家的承诺），交货验收合格之日起计。</w:t>
            </w:r>
          </w:p>
          <w:p>
            <w:pPr>
              <w:tabs>
                <w:tab w:val="left" w:pos="420"/>
              </w:tabs>
              <w:rPr>
                <w:rFonts w:ascii="宋体" w:hAnsi="宋体" w:cs="宋体"/>
                <w:sz w:val="24"/>
              </w:rPr>
            </w:pPr>
            <w:r>
              <w:rPr>
                <w:rFonts w:hint="eastAsia" w:ascii="宋体" w:hAnsi="宋体" w:cs="宋体"/>
                <w:kern w:val="0"/>
                <w:sz w:val="24"/>
              </w:rPr>
              <w:t>2</w:t>
            </w:r>
            <w:r>
              <w:rPr>
                <w:rFonts w:hint="eastAsia" w:ascii="宋体" w:hAnsi="宋体" w:cs="宋体"/>
                <w:sz w:val="24"/>
              </w:rPr>
              <w:t>.</w:t>
            </w:r>
            <w:r>
              <w:rPr>
                <w:rFonts w:hint="eastAsia" w:ascii="宋体" w:hAnsi="宋体" w:cs="宋体"/>
                <w:kern w:val="0"/>
                <w:sz w:val="24"/>
              </w:rPr>
              <w:t>在质量保证期内出现的</w:t>
            </w:r>
            <w:r>
              <w:rPr>
                <w:rFonts w:hint="eastAsia" w:ascii="宋体" w:hAnsi="宋体" w:cs="宋体"/>
                <w:sz w:val="24"/>
              </w:rPr>
              <w:t>任何故障及损失，成交供应商负责维修、更换配件，并负责软件更新升级、系统维护和远程服务。</w:t>
            </w:r>
          </w:p>
          <w:p>
            <w:pPr>
              <w:tabs>
                <w:tab w:val="left" w:pos="420"/>
              </w:tabs>
              <w:rPr>
                <w:sz w:val="24"/>
              </w:rPr>
            </w:pPr>
            <w:r>
              <w:rPr>
                <w:rFonts w:hint="eastAsia" w:ascii="宋体" w:hAnsi="宋体" w:cs="宋体"/>
                <w:sz w:val="24"/>
              </w:rPr>
              <w:t>3</w:t>
            </w:r>
            <w:r>
              <w:rPr>
                <w:rFonts w:ascii="宋体" w:hAnsi="宋体" w:cs="宋体"/>
                <w:sz w:val="24"/>
              </w:rPr>
              <w:t>.</w:t>
            </w:r>
            <w:r>
              <w:rPr>
                <w:rFonts w:hint="eastAsia" w:ascii="宋体" w:hAnsi="宋体" w:cs="宋体"/>
                <w:sz w:val="24"/>
              </w:rPr>
              <w:t>质量保证期满后，终身维护，且以市场最优惠价格提供维修和备件更换、软件更新升级，且承诺为用户提供终身技术咨询服务。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gridSpan w:val="2"/>
            <w:shd w:val="clear" w:color="000000" w:fill="FFFFFF"/>
            <w:vAlign w:val="center"/>
          </w:tcPr>
          <w:p>
            <w:pPr>
              <w:jc w:val="center"/>
              <w:rPr>
                <w:b/>
                <w:bCs/>
                <w:sz w:val="24"/>
              </w:rPr>
            </w:pPr>
            <w:r>
              <w:rPr>
                <w:rFonts w:hint="eastAsia" w:ascii="宋体" w:hAnsi="宋体" w:cs="宋体"/>
                <w:b/>
                <w:bCs/>
                <w:sz w:val="24"/>
              </w:rPr>
              <w:t>售后服务要求</w:t>
            </w:r>
          </w:p>
        </w:tc>
        <w:tc>
          <w:tcPr>
            <w:tcW w:w="7939" w:type="dxa"/>
            <w:gridSpan w:val="4"/>
            <w:shd w:val="clear" w:color="000000" w:fill="FFFFFF"/>
          </w:tcPr>
          <w:p>
            <w:pPr>
              <w:tabs>
                <w:tab w:val="left" w:pos="420"/>
              </w:tabs>
              <w:rPr>
                <w:rFonts w:ascii="宋体" w:hAnsi="宋体" w:cs="宋体"/>
                <w:sz w:val="24"/>
              </w:rPr>
            </w:pPr>
            <w:r>
              <w:rPr>
                <w:rFonts w:hint="eastAsia" w:ascii="宋体" w:hAnsi="宋体" w:cs="宋体"/>
                <w:sz w:val="24"/>
              </w:rPr>
              <w:t>1.负责送货上门、提供产品原厂工程师现场安装、安装调试服务、技术培训和</w:t>
            </w:r>
            <w:r>
              <w:rPr>
                <w:rFonts w:ascii="宋体" w:hAnsi="宋体" w:cs="宋体"/>
                <w:sz w:val="24"/>
              </w:rPr>
              <w:t>12个月远程服务</w:t>
            </w:r>
            <w:r>
              <w:rPr>
                <w:rFonts w:hint="eastAsia" w:ascii="宋体" w:hAnsi="宋体" w:cs="宋体"/>
                <w:sz w:val="24"/>
              </w:rPr>
              <w:t>。</w:t>
            </w:r>
          </w:p>
          <w:p>
            <w:pPr>
              <w:tabs>
                <w:tab w:val="left" w:pos="420"/>
              </w:tabs>
              <w:rPr>
                <w:rFonts w:ascii="宋体" w:hAnsi="宋体" w:cs="宋体"/>
                <w:sz w:val="24"/>
              </w:rPr>
            </w:pPr>
            <w:r>
              <w:rPr>
                <w:rFonts w:ascii="宋体" w:hAnsi="宋体" w:cs="宋体"/>
                <w:sz w:val="24"/>
              </w:rPr>
              <w:t>2.维修响应：售后服务要求7天×8小时工作制，</w:t>
            </w:r>
            <w:r>
              <w:rPr>
                <w:rFonts w:hint="eastAsia" w:ascii="宋体" w:hAnsi="宋体" w:cs="宋体"/>
                <w:sz w:val="24"/>
              </w:rPr>
              <w:t>成交供应商</w:t>
            </w:r>
            <w:r>
              <w:rPr>
                <w:rFonts w:ascii="宋体" w:hAnsi="宋体" w:cs="宋体"/>
                <w:sz w:val="24"/>
              </w:rPr>
              <w:t>在接到用户维修电话后1小时内响应，3小时</w:t>
            </w:r>
            <w:r>
              <w:rPr>
                <w:rFonts w:hint="eastAsia" w:ascii="宋体" w:hAnsi="宋体" w:cs="宋体"/>
                <w:sz w:val="24"/>
              </w:rPr>
              <w:t>内到达现场处理，一般情况下</w:t>
            </w:r>
            <w:r>
              <w:rPr>
                <w:rFonts w:ascii="宋体" w:hAnsi="宋体" w:cs="宋体"/>
                <w:sz w:val="24"/>
              </w:rPr>
              <w:t>24小时内恢复正常使用</w:t>
            </w:r>
            <w:r>
              <w:rPr>
                <w:rFonts w:hint="eastAsia" w:ascii="宋体" w:hAnsi="宋体" w:cs="宋体"/>
                <w:sz w:val="24"/>
              </w:rPr>
              <w:t>。</w:t>
            </w:r>
            <w:r>
              <w:rPr>
                <w:rFonts w:ascii="宋体" w:hAnsi="宋体" w:cs="宋体"/>
                <w:sz w:val="24"/>
              </w:rPr>
              <w:t>若不能修复须有合理应对方案。</w:t>
            </w:r>
          </w:p>
          <w:p>
            <w:pPr>
              <w:pStyle w:val="2"/>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bCs/>
                <w:kern w:val="0"/>
                <w:sz w:val="24"/>
                <w:szCs w:val="24"/>
              </w:rPr>
              <w:t>质量保证期</w:t>
            </w:r>
            <w:r>
              <w:rPr>
                <w:rFonts w:hint="eastAsia" w:ascii="宋体" w:hAnsi="宋体" w:cs="宋体"/>
                <w:sz w:val="24"/>
                <w:szCs w:val="24"/>
              </w:rPr>
              <w:t>内因设备性能故障检修三次仍不能正常使用的，更换新设备。在超出</w:t>
            </w:r>
            <w:r>
              <w:rPr>
                <w:rFonts w:hint="eastAsia" w:ascii="宋体" w:hAnsi="宋体" w:cs="宋体"/>
                <w:bCs/>
                <w:kern w:val="0"/>
                <w:sz w:val="24"/>
                <w:szCs w:val="24"/>
              </w:rPr>
              <w:t>质量保证期</w:t>
            </w:r>
            <w:r>
              <w:rPr>
                <w:rFonts w:hint="eastAsia" w:ascii="宋体" w:hAnsi="宋体" w:cs="宋体"/>
                <w:sz w:val="24"/>
                <w:szCs w:val="24"/>
              </w:rPr>
              <w:t>后，如产品发生故障，可派技术员上门服务；如需更换配件，配件均按市场最优惠价格供应。</w:t>
            </w:r>
          </w:p>
          <w:p>
            <w:pPr>
              <w:rPr>
                <w:sz w:val="24"/>
              </w:rPr>
            </w:pPr>
            <w:r>
              <w:rPr>
                <w:rFonts w:ascii="宋体" w:hAnsi="宋体" w:cs="宋体"/>
                <w:sz w:val="24"/>
              </w:rPr>
              <w:t>4</w:t>
            </w:r>
            <w:r>
              <w:rPr>
                <w:rFonts w:hint="eastAsia" w:ascii="宋体" w:hAnsi="宋体" w:cs="宋体"/>
                <w:sz w:val="24"/>
              </w:rPr>
              <w:t>.终身提供技术协助服务。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1538" w:type="dxa"/>
            <w:gridSpan w:val="2"/>
            <w:tcBorders>
              <w:top w:val="single" w:color="auto" w:sz="4" w:space="0"/>
              <w:bottom w:val="single" w:color="auto" w:sz="4" w:space="0"/>
              <w:right w:val="single" w:color="auto" w:sz="4" w:space="0"/>
            </w:tcBorders>
            <w:vAlign w:val="center"/>
          </w:tcPr>
          <w:p>
            <w:pPr>
              <w:jc w:val="center"/>
              <w:rPr>
                <w:b/>
                <w:bCs/>
                <w:sz w:val="24"/>
              </w:rPr>
            </w:pPr>
            <w:r>
              <w:rPr>
                <w:rFonts w:hint="eastAsia" w:ascii="宋体" w:hAnsi="宋体" w:cs="宋体"/>
                <w:b/>
                <w:bCs/>
                <w:sz w:val="24"/>
              </w:rPr>
              <w:t>履约保证金收取及退付</w:t>
            </w:r>
          </w:p>
        </w:tc>
        <w:tc>
          <w:tcPr>
            <w:tcW w:w="7939" w:type="dxa"/>
            <w:gridSpan w:val="4"/>
            <w:tcBorders>
              <w:top w:val="single" w:color="auto" w:sz="4" w:space="0"/>
              <w:left w:val="single" w:color="auto" w:sz="4" w:space="0"/>
              <w:bottom w:val="single" w:color="auto" w:sz="4" w:space="0"/>
            </w:tcBorders>
          </w:tcPr>
          <w:p>
            <w:pPr>
              <w:pStyle w:val="2"/>
              <w:rPr>
                <w:rFonts w:ascii="宋体" w:hAnsi="宋体" w:cs="宋体"/>
                <w:b/>
                <w:sz w:val="24"/>
                <w:szCs w:val="24"/>
              </w:rPr>
            </w:pPr>
            <w:r>
              <w:rPr>
                <w:rFonts w:hint="eastAsia" w:ascii="宋体" w:hAnsi="宋体" w:cs="宋体"/>
                <w:sz w:val="24"/>
                <w:szCs w:val="24"/>
              </w:rPr>
              <w:t>1.履约保证金金额：成交供应商为</w:t>
            </w:r>
            <w:r>
              <w:rPr>
                <w:rFonts w:hint="eastAsia"/>
                <w:sz w:val="24"/>
                <w:szCs w:val="24"/>
              </w:rPr>
              <w:t>中小微企业的，履约保证金为合同金额的2%，大型企业的履约保证金为合同金额的5%（以响应文件中提交的且被谈判小组认可并在成交公告上公布的中小企业声明函为依据）</w:t>
            </w:r>
            <w:r>
              <w:rPr>
                <w:rFonts w:hint="eastAsia" w:ascii="宋体" w:hAnsi="宋体" w:cs="宋体"/>
                <w:sz w:val="24"/>
                <w:szCs w:val="24"/>
              </w:rPr>
              <w:t>；</w:t>
            </w:r>
            <w:r>
              <w:rPr>
                <w:rFonts w:hint="eastAsia" w:ascii="宋体" w:hAnsi="宋体" w:cs="宋体"/>
                <w:bCs/>
                <w:sz w:val="24"/>
                <w:szCs w:val="24"/>
              </w:rPr>
              <w:t>签订合同前须交至指定账户，否则不予签订合同</w:t>
            </w:r>
            <w:r>
              <w:rPr>
                <w:rFonts w:hint="eastAsia" w:ascii="宋体" w:hAnsi="宋体" w:cs="宋体"/>
                <w:b/>
                <w:sz w:val="24"/>
                <w:szCs w:val="24"/>
              </w:rPr>
              <w:t>。</w:t>
            </w:r>
          </w:p>
          <w:p>
            <w:pPr>
              <w:tabs>
                <w:tab w:val="left" w:pos="420"/>
              </w:tabs>
              <w:rPr>
                <w:rFonts w:ascii="宋体" w:hAnsi="宋体" w:cs="宋体"/>
                <w:sz w:val="24"/>
              </w:rPr>
            </w:pPr>
            <w:r>
              <w:rPr>
                <w:rFonts w:hint="eastAsia" w:ascii="宋体" w:hAnsi="宋体" w:cs="宋体"/>
                <w:sz w:val="24"/>
              </w:rPr>
              <w:t>2.履约保证金递交方式：银行转账、电汇或者银行出具的保函等非现金方式。由成交供应商在签订合同前按规定的金额直接缴入以下采购人账户。凭履约保证金缴纳凭证签订合同。</w:t>
            </w:r>
          </w:p>
          <w:p>
            <w:pPr>
              <w:tabs>
                <w:tab w:val="left" w:pos="420"/>
              </w:tabs>
              <w:rPr>
                <w:rFonts w:ascii="宋体" w:hAnsi="宋体" w:cs="宋体"/>
                <w:sz w:val="24"/>
              </w:rPr>
            </w:pPr>
            <w:r>
              <w:rPr>
                <w:rFonts w:hint="eastAsia" w:ascii="宋体" w:hAnsi="宋体" w:cs="宋体"/>
                <w:sz w:val="24"/>
              </w:rPr>
              <w:t>统一社会信用代码：124500004985009929</w:t>
            </w:r>
          </w:p>
          <w:p>
            <w:pPr>
              <w:tabs>
                <w:tab w:val="left" w:pos="420"/>
              </w:tabs>
              <w:rPr>
                <w:rFonts w:ascii="宋体" w:hAnsi="宋体" w:cs="宋体"/>
                <w:sz w:val="24"/>
              </w:rPr>
            </w:pPr>
            <w:r>
              <w:rPr>
                <w:rFonts w:hint="eastAsia" w:ascii="宋体" w:hAnsi="宋体" w:cs="宋体"/>
                <w:sz w:val="24"/>
              </w:rPr>
              <w:t xml:space="preserve">户名：广西大学   </w:t>
            </w:r>
          </w:p>
          <w:p>
            <w:pPr>
              <w:tabs>
                <w:tab w:val="left" w:pos="420"/>
              </w:tabs>
              <w:rPr>
                <w:rFonts w:ascii="宋体" w:hAnsi="宋体" w:cs="宋体"/>
                <w:sz w:val="24"/>
              </w:rPr>
            </w:pPr>
            <w:r>
              <w:rPr>
                <w:rFonts w:hint="eastAsia" w:ascii="宋体" w:hAnsi="宋体" w:cs="宋体"/>
                <w:sz w:val="24"/>
              </w:rPr>
              <w:t>开户行：中国银行广西南宁市西大支行（行号：104611010324）</w:t>
            </w:r>
          </w:p>
          <w:p>
            <w:pPr>
              <w:tabs>
                <w:tab w:val="left" w:pos="420"/>
              </w:tabs>
              <w:rPr>
                <w:rFonts w:ascii="宋体" w:hAnsi="宋体" w:cs="宋体"/>
                <w:sz w:val="24"/>
              </w:rPr>
            </w:pPr>
            <w:r>
              <w:rPr>
                <w:rFonts w:hint="eastAsia" w:ascii="宋体" w:hAnsi="宋体" w:cs="宋体"/>
                <w:sz w:val="24"/>
              </w:rPr>
              <w:t xml:space="preserve">账号：618 457 484 938 </w:t>
            </w:r>
          </w:p>
          <w:p>
            <w:pPr>
              <w:tabs>
                <w:tab w:val="left" w:pos="420"/>
              </w:tabs>
              <w:rPr>
                <w:rFonts w:ascii="宋体" w:hAnsi="宋体" w:cs="宋体"/>
                <w:sz w:val="24"/>
              </w:rPr>
            </w:pPr>
            <w:r>
              <w:rPr>
                <w:rFonts w:hint="eastAsia" w:ascii="宋体" w:hAnsi="宋体" w:cs="宋体"/>
                <w:sz w:val="24"/>
              </w:rPr>
              <w:t>地址：广西壮族自治区南宁市大学东路100号  电话：0771-3232888</w:t>
            </w:r>
          </w:p>
          <w:p>
            <w:pPr>
              <w:tabs>
                <w:tab w:val="left" w:pos="420"/>
              </w:tabs>
              <w:rPr>
                <w:rFonts w:ascii="宋体" w:hAnsi="宋体" w:cs="宋体"/>
                <w:b/>
                <w:sz w:val="24"/>
              </w:rPr>
            </w:pPr>
            <w:r>
              <w:rPr>
                <w:rFonts w:hint="eastAsia" w:ascii="宋体" w:hAnsi="宋体" w:cs="宋体"/>
                <w:b/>
                <w:sz w:val="24"/>
              </w:rPr>
              <w:t>缴纳履约保证金注明：“项目名称</w:t>
            </w:r>
            <w:r>
              <w:rPr>
                <w:rFonts w:ascii="宋体" w:hAnsi="宋体" w:cs="宋体"/>
                <w:b/>
                <w:sz w:val="24"/>
              </w:rPr>
              <w:t>+项目编号”履约保证金。</w:t>
            </w:r>
          </w:p>
          <w:p>
            <w:pPr>
              <w:tabs>
                <w:tab w:val="left" w:pos="420"/>
              </w:tabs>
              <w:rPr>
                <w:rFonts w:ascii="宋体" w:hAnsi="宋体" w:cs="宋体"/>
                <w:sz w:val="24"/>
              </w:rPr>
            </w:pPr>
            <w:r>
              <w:rPr>
                <w:rFonts w:hint="eastAsia" w:ascii="宋体" w:hAnsi="宋体" w:cs="宋体"/>
                <w:sz w:val="24"/>
              </w:rPr>
              <w:t>3.履约保证金退付方式、时间及条件：成交供应商若不能完全履行合同，履约保证金不予退还；成交供应商若完全履行合同，货物验收合格后，成交供应商凭履约保证金财务凭证到采购人财务部门办理无息退还手续。</w:t>
            </w:r>
          </w:p>
          <w:p>
            <w:pPr>
              <w:tabs>
                <w:tab w:val="left" w:pos="420"/>
              </w:tabs>
              <w:rPr>
                <w:rFonts w:ascii="宋体" w:hAnsi="宋体" w:cs="宋体"/>
                <w:sz w:val="24"/>
              </w:rPr>
            </w:pPr>
            <w:r>
              <w:rPr>
                <w:rFonts w:hint="eastAsia" w:ascii="宋体" w:hAnsi="宋体" w:cs="宋体"/>
                <w:sz w:val="24"/>
              </w:rPr>
              <w:t>4.备注：</w:t>
            </w:r>
          </w:p>
          <w:p>
            <w:pPr>
              <w:tabs>
                <w:tab w:val="left" w:pos="420"/>
              </w:tabs>
              <w:rPr>
                <w:rFonts w:ascii="宋体" w:hAnsi="宋体" w:cs="宋体"/>
                <w:sz w:val="24"/>
              </w:rPr>
            </w:pPr>
            <w:r>
              <w:rPr>
                <w:rFonts w:hint="eastAsia" w:ascii="宋体" w:hAnsi="宋体" w:cs="宋体"/>
                <w:sz w:val="24"/>
              </w:rPr>
              <w:t>（1）履约保证金不足额缴纳的，或银行出具的保函额度不足的或者银行保函有效期低于合同履行期限（即签订采购合同之日起至履行完合同约定的权利及义务之日止）的，不予签订合同。</w:t>
            </w:r>
          </w:p>
          <w:p>
            <w:pPr>
              <w:pStyle w:val="2"/>
              <w:rPr>
                <w:sz w:val="24"/>
                <w:szCs w:val="24"/>
              </w:rPr>
            </w:pPr>
            <w:r>
              <w:rPr>
                <w:rFonts w:hint="eastAsia" w:ascii="宋体" w:hAnsi="宋体" w:cs="宋体"/>
                <w:sz w:val="24"/>
                <w:szCs w:val="24"/>
              </w:rPr>
              <w:t>（2）采用银行出具的保函的，必须为无条件的银行保函，否则不予签订合同。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1538" w:type="dxa"/>
            <w:gridSpan w:val="2"/>
            <w:tcBorders>
              <w:top w:val="single" w:color="auto" w:sz="4" w:space="0"/>
              <w:bottom w:val="single" w:color="auto" w:sz="4" w:space="0"/>
              <w:right w:val="single" w:color="auto" w:sz="4" w:space="0"/>
            </w:tcBorders>
            <w:vAlign w:val="center"/>
          </w:tcPr>
          <w:p>
            <w:pPr>
              <w:jc w:val="center"/>
              <w:rPr>
                <w:b/>
                <w:bCs/>
                <w:sz w:val="24"/>
              </w:rPr>
            </w:pPr>
            <w:r>
              <w:rPr>
                <w:rFonts w:hint="eastAsia" w:ascii="宋体" w:hAnsi="宋体" w:cs="宋体"/>
                <w:b/>
                <w:bCs/>
                <w:sz w:val="24"/>
              </w:rPr>
              <w:t>付款方式</w:t>
            </w:r>
          </w:p>
        </w:tc>
        <w:tc>
          <w:tcPr>
            <w:tcW w:w="7939" w:type="dxa"/>
            <w:gridSpan w:val="4"/>
            <w:tcBorders>
              <w:top w:val="single" w:color="auto" w:sz="4" w:space="0"/>
              <w:left w:val="single" w:color="auto" w:sz="4" w:space="0"/>
              <w:bottom w:val="single" w:color="auto" w:sz="4" w:space="0"/>
            </w:tcBorders>
            <w:vAlign w:val="center"/>
          </w:tcPr>
          <w:p>
            <w:pPr>
              <w:tabs>
                <w:tab w:val="left" w:pos="420"/>
              </w:tabs>
              <w:rPr>
                <w:rFonts w:ascii="宋体" w:hAnsi="宋体" w:cs="宋体"/>
                <w:sz w:val="24"/>
              </w:rPr>
            </w:pPr>
            <w:r>
              <w:rPr>
                <w:rFonts w:hint="eastAsia" w:ascii="宋体" w:hAnsi="宋体" w:cs="宋体"/>
                <w:sz w:val="24"/>
              </w:rPr>
              <w:t>无预付款，成交供应商供货且完成验收后，采购人一次性支付全部合同款（无息），付款前成交供应商开具等额增值税专用发票给采购人。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1538" w:type="dxa"/>
            <w:gridSpan w:val="2"/>
            <w:tcBorders>
              <w:top w:val="single" w:color="auto" w:sz="4" w:space="0"/>
              <w:bottom w:val="single" w:color="auto" w:sz="4" w:space="0"/>
              <w:right w:val="single" w:color="auto" w:sz="4" w:space="0"/>
            </w:tcBorders>
            <w:vAlign w:val="center"/>
          </w:tcPr>
          <w:p>
            <w:pPr>
              <w:spacing w:line="320" w:lineRule="exact"/>
              <w:rPr>
                <w:b/>
                <w:bCs/>
                <w:kern w:val="0"/>
                <w:sz w:val="24"/>
              </w:rPr>
            </w:pPr>
            <w:r>
              <w:rPr>
                <w:rFonts w:hint="eastAsia"/>
                <w:b/>
                <w:bCs/>
                <w:kern w:val="0"/>
                <w:sz w:val="24"/>
              </w:rPr>
              <w:t>产品要求</w:t>
            </w:r>
          </w:p>
        </w:tc>
        <w:tc>
          <w:tcPr>
            <w:tcW w:w="7939" w:type="dxa"/>
            <w:gridSpan w:val="4"/>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ascii="宋体" w:hAnsi="宋体" w:cs="宋体"/>
                <w:sz w:val="24"/>
              </w:rPr>
              <w:t>1.要求供货产品是全新的、未经改装的、合格的、满足本项目技术需求及要求的货物。所有零部件、配件必须是未经使用的全新的并符合国家有关质量安全标准的产品</w:t>
            </w:r>
            <w:r>
              <w:rPr>
                <w:rFonts w:hint="eastAsia" w:asciiTheme="majorEastAsia" w:hAnsiTheme="majorEastAsia" w:eastAsiaTheme="majorEastAsia" w:cstheme="majorEastAsia"/>
                <w:color w:val="000000" w:themeColor="text1"/>
                <w:sz w:val="24"/>
                <w14:textFill>
                  <w14:solidFill>
                    <w14:schemeClr w14:val="tx1"/>
                  </w14:solidFill>
                </w14:textFill>
              </w:rPr>
              <w:t>【如该产品国家实行强制性认证（CCC）则产品必须通过认证】</w:t>
            </w:r>
            <w:r>
              <w:rPr>
                <w:rFonts w:hint="eastAsia" w:ascii="宋体" w:hAnsi="宋体" w:cs="宋体"/>
                <w:sz w:val="24"/>
              </w:rPr>
              <w:t>。提供设备使用培训、操作技能训练等；提供相关设备说明书、管理和配置指南手册、使用手册和故障定位/排除指南手册等。</w:t>
            </w:r>
          </w:p>
          <w:p>
            <w:pPr>
              <w:rPr>
                <w:rFonts w:ascii="宋体" w:hAnsi="宋体" w:cs="宋体"/>
                <w:sz w:val="24"/>
              </w:rPr>
            </w:pPr>
            <w:r>
              <w:rPr>
                <w:rFonts w:hint="eastAsia" w:ascii="宋体" w:hAnsi="宋体" w:cs="宋体"/>
                <w:sz w:val="24"/>
              </w:rPr>
              <w:t>2.本项目实行总价包干制，报价包含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w:t>
            </w:r>
          </w:p>
          <w:p>
            <w:pPr>
              <w:rPr>
                <w:rFonts w:ascii="宋体" w:hAnsi="宋体" w:cs="宋体"/>
                <w:sz w:val="24"/>
              </w:rPr>
            </w:pPr>
            <w:r>
              <w:rPr>
                <w:rFonts w:hint="eastAsia" w:ascii="宋体" w:hAnsi="宋体" w:cs="宋体"/>
                <w:sz w:val="24"/>
              </w:rPr>
              <w:t>3.成交供应商承担货物交付验收前的运输、安装等作业工人人身、设备安全责任。验收前，如果设备丢失、因供应商自身原因及第三方原因导致损坏，成交供应商应自行负责并承担不能交付货物的责任。</w:t>
            </w:r>
          </w:p>
          <w:p>
            <w:pPr>
              <w:rPr>
                <w:sz w:val="24"/>
              </w:rPr>
            </w:pPr>
            <w:r>
              <w:rPr>
                <w:rFonts w:hint="eastAsia" w:ascii="宋体" w:hAnsi="宋体" w:cs="宋体"/>
                <w:sz w:val="24"/>
              </w:rPr>
              <w:t>4.</w:t>
            </w:r>
            <w:r>
              <w:rPr>
                <w:rFonts w:hint="eastAsia"/>
                <w:sz w:val="24"/>
              </w:rPr>
              <w:t>本项目货物</w:t>
            </w:r>
            <w:r>
              <w:rPr>
                <w:rFonts w:hint="eastAsia" w:ascii="宋体" w:hAnsi="宋体" w:cs="宋体"/>
                <w:sz w:val="24"/>
              </w:rPr>
              <w:t>不接受进口产品（即通过中国海关报关验放进入中国境内且产自关境外的产品）参与</w:t>
            </w:r>
            <w:r>
              <w:rPr>
                <w:rFonts w:hint="eastAsia" w:ascii="宋体" w:hAnsi="宋体" w:cs="宋体"/>
                <w:sz w:val="24"/>
                <w:lang w:bidi="ar"/>
              </w:rPr>
              <w:t>竞争性谈判</w:t>
            </w:r>
            <w:r>
              <w:rPr>
                <w:rFonts w:hint="eastAsia" w:ascii="宋体" w:hAnsi="宋体" w:cs="宋体"/>
                <w:sz w:val="24"/>
              </w:rPr>
              <w:t>，如有此类产品参与</w:t>
            </w:r>
            <w:r>
              <w:rPr>
                <w:rFonts w:hint="eastAsia" w:ascii="宋体" w:hAnsi="宋体" w:cs="宋体"/>
                <w:sz w:val="24"/>
                <w:lang w:bidi="ar"/>
              </w:rPr>
              <w:t>竞争性谈判</w:t>
            </w:r>
            <w:r>
              <w:rPr>
                <w:rFonts w:hint="eastAsia" w:ascii="宋体" w:hAnsi="宋体" w:cs="宋体"/>
                <w:sz w:val="24"/>
              </w:rPr>
              <w:t>的按无效响应处理。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477" w:type="dxa"/>
            <w:gridSpan w:val="6"/>
            <w:tcBorders>
              <w:top w:val="single" w:color="auto" w:sz="4" w:space="0"/>
              <w:bottom w:val="single" w:color="auto" w:sz="4" w:space="0"/>
            </w:tcBorders>
            <w:vAlign w:val="center"/>
          </w:tcPr>
          <w:p>
            <w:pPr>
              <w:spacing w:line="380" w:lineRule="exact"/>
              <w:rPr>
                <w:sz w:val="24"/>
              </w:rPr>
            </w:pPr>
            <w:r>
              <w:rPr>
                <w:rFonts w:hint="eastAsia"/>
                <w:b/>
                <w:sz w:val="24"/>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38" w:type="dxa"/>
            <w:gridSpan w:val="2"/>
            <w:tcBorders>
              <w:top w:val="single" w:color="auto" w:sz="4" w:space="0"/>
              <w:bottom w:val="single" w:color="auto" w:sz="4" w:space="0"/>
              <w:right w:val="single" w:color="auto" w:sz="4" w:space="0"/>
            </w:tcBorders>
            <w:vAlign w:val="center"/>
          </w:tcPr>
          <w:p>
            <w:pPr>
              <w:spacing w:line="360" w:lineRule="auto"/>
              <w:rPr>
                <w:rFonts w:ascii="Segoe UI Symbol" w:hAnsi="Segoe UI Symbol" w:cs="Segoe UI Symbol"/>
                <w:sz w:val="24"/>
              </w:rPr>
            </w:pPr>
            <w:r>
              <w:rPr>
                <w:rFonts w:hint="eastAsia" w:ascii="宋体" w:hAnsi="宋体" w:cs="仿宋"/>
                <w:color w:val="000000"/>
                <w:szCs w:val="21"/>
              </w:rPr>
              <w:t>▲</w:t>
            </w:r>
            <w:r>
              <w:rPr>
                <w:rFonts w:hint="eastAsia" w:ascii="宋体" w:hAnsi="宋体" w:cs="宋体"/>
                <w:kern w:val="0"/>
                <w:sz w:val="24"/>
              </w:rPr>
              <w:t>报价要求</w:t>
            </w:r>
          </w:p>
        </w:tc>
        <w:tc>
          <w:tcPr>
            <w:tcW w:w="7939" w:type="dxa"/>
            <w:gridSpan w:val="4"/>
            <w:tcBorders>
              <w:top w:val="single" w:color="auto" w:sz="4" w:space="0"/>
              <w:left w:val="single" w:color="auto" w:sz="4" w:space="0"/>
              <w:bottom w:val="single" w:color="auto" w:sz="4" w:space="0"/>
            </w:tcBorders>
            <w:vAlign w:val="center"/>
          </w:tcPr>
          <w:p>
            <w:pPr>
              <w:autoSpaceDE w:val="0"/>
              <w:autoSpaceDN w:val="0"/>
              <w:snapToGrid w:val="0"/>
              <w:textAlignment w:val="bottom"/>
              <w:rPr>
                <w:sz w:val="24"/>
              </w:rPr>
            </w:pPr>
            <w:r>
              <w:rPr>
                <w:rFonts w:hint="eastAsia"/>
                <w:sz w:val="24"/>
              </w:rPr>
              <w:t>供应商的竞标报价不能超过本项目的预算（100万元整），且各分项的报价也不能超过该分项的预算，否则竞标无效。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38" w:type="dxa"/>
            <w:gridSpan w:val="2"/>
            <w:tcBorders>
              <w:top w:val="single" w:color="auto" w:sz="4" w:space="0"/>
              <w:bottom w:val="single" w:color="auto" w:sz="4" w:space="0"/>
              <w:right w:val="single" w:color="auto" w:sz="4" w:space="0"/>
            </w:tcBorders>
            <w:vAlign w:val="center"/>
          </w:tcPr>
          <w:p>
            <w:pPr>
              <w:spacing w:line="320" w:lineRule="exact"/>
              <w:rPr>
                <w:rFonts w:ascii="宋体" w:hAnsi="宋体" w:cs="宋体"/>
                <w:sz w:val="24"/>
              </w:rPr>
            </w:pPr>
            <w:r>
              <w:rPr>
                <w:rFonts w:hint="eastAsia" w:ascii="宋体" w:hAnsi="宋体" w:cs="宋体"/>
                <w:sz w:val="24"/>
              </w:rPr>
              <w:t>资料要求</w:t>
            </w:r>
          </w:p>
        </w:tc>
        <w:tc>
          <w:tcPr>
            <w:tcW w:w="7939" w:type="dxa"/>
            <w:gridSpan w:val="4"/>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_GB2312" w:hAnsi="仿宋_GB2312"/>
                <w:sz w:val="24"/>
              </w:rPr>
            </w:pPr>
            <w:r>
              <w:rPr>
                <w:rFonts w:hint="eastAsia"/>
                <w:sz w:val="24"/>
              </w:rPr>
              <w:t>竞标时如有可提供设备生产商编写的有性能参数描述的产品说明书或彩页（应有详细的产品技术介绍、技术参数、产品图样照片等）。当响应文件提供的设备性能参数与该设备生产商提供的性能参数不符合时，以生产商出具的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38" w:type="dxa"/>
            <w:gridSpan w:val="2"/>
            <w:tcBorders>
              <w:top w:val="single" w:color="auto" w:sz="4" w:space="0"/>
              <w:bottom w:val="single" w:color="auto" w:sz="4" w:space="0"/>
              <w:right w:val="single" w:color="auto" w:sz="4" w:space="0"/>
            </w:tcBorders>
            <w:vAlign w:val="center"/>
          </w:tcPr>
          <w:p>
            <w:pPr>
              <w:spacing w:line="320" w:lineRule="exact"/>
              <w:rPr>
                <w:rFonts w:ascii="宋体" w:hAnsi="宋体" w:cs="宋体"/>
                <w:sz w:val="24"/>
              </w:rPr>
            </w:pPr>
            <w:r>
              <w:rPr>
                <w:rFonts w:hint="eastAsia" w:ascii="宋体" w:hAnsi="宋体" w:cs="宋体"/>
                <w:sz w:val="24"/>
              </w:rPr>
              <w:t>核心产品</w:t>
            </w:r>
          </w:p>
        </w:tc>
        <w:tc>
          <w:tcPr>
            <w:tcW w:w="7939" w:type="dxa"/>
            <w:gridSpan w:val="4"/>
            <w:tcBorders>
              <w:top w:val="single" w:color="auto" w:sz="4" w:space="0"/>
              <w:left w:val="single" w:color="auto" w:sz="4" w:space="0"/>
              <w:bottom w:val="single" w:color="auto" w:sz="4" w:space="0"/>
            </w:tcBorders>
            <w:vAlign w:val="center"/>
          </w:tcPr>
          <w:p>
            <w:pPr>
              <w:autoSpaceDE w:val="0"/>
              <w:autoSpaceDN w:val="0"/>
              <w:snapToGrid w:val="0"/>
              <w:textAlignment w:val="bottom"/>
              <w:rPr>
                <w:sz w:val="24"/>
              </w:rPr>
            </w:pPr>
            <w:r>
              <w:rPr>
                <w:rFonts w:hint="eastAsia" w:ascii="宋体" w:hAnsi="宋体" w:cs="宋体"/>
                <w:sz w:val="24"/>
              </w:rPr>
              <w:t>半导体光电器件测试系统</w:t>
            </w:r>
          </w:p>
        </w:tc>
      </w:tr>
    </w:tbl>
    <w:p>
      <w:pPr>
        <w:spacing w:line="428" w:lineRule="exact"/>
        <w:ind w:left="119"/>
        <w:rPr>
          <w:rFonts w:ascii="Arial Unicode MS" w:hAnsi="Arial Unicode MS" w:eastAsia="Arial Unicode MS" w:cs="Arial Unicode MS"/>
          <w:sz w:val="32"/>
          <w:szCs w:val="32"/>
        </w:rPr>
      </w:pPr>
      <w:r>
        <w:rPr>
          <w:rFonts w:hint="eastAsia" w:ascii="宋体" w:hAnsi="宋体" w:cs="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before="7"/>
        <w:rPr>
          <w:rFonts w:ascii="Arial Unicode MS" w:hAnsi="Arial Unicode MS" w:eastAsia="Arial Unicode MS" w:cs="Arial Unicode MS"/>
          <w:sz w:val="17"/>
          <w:szCs w:val="17"/>
        </w:rPr>
      </w:pPr>
    </w:p>
    <w:p>
      <w:pPr>
        <w:spacing w:line="528" w:lineRule="exact"/>
        <w:ind w:left="220"/>
        <w:jc w:val="center"/>
        <w:rPr>
          <w:rFonts w:ascii="宋体" w:hAnsi="宋体" w:cs="宋体"/>
          <w:b/>
          <w:bCs/>
          <w:sz w:val="36"/>
          <w:szCs w:val="36"/>
        </w:rPr>
      </w:pPr>
      <w:r>
        <w:rPr>
          <w:rFonts w:hint="eastAsia" w:ascii="宋体" w:hAnsi="宋体" w:cs="宋体"/>
          <w:b/>
          <w:bCs/>
          <w:sz w:val="36"/>
          <w:szCs w:val="36"/>
        </w:rPr>
        <w:t>节能产品政府采购品目清单</w:t>
      </w:r>
    </w:p>
    <w:tbl>
      <w:tblPr>
        <w:tblStyle w:val="28"/>
        <w:tblW w:w="9220" w:type="dxa"/>
        <w:tblInd w:w="93" w:type="dxa"/>
        <w:tblLayout w:type="fixed"/>
        <w:tblCellMar>
          <w:top w:w="0" w:type="dxa"/>
          <w:left w:w="108" w:type="dxa"/>
          <w:bottom w:w="0" w:type="dxa"/>
          <w:right w:w="108" w:type="dxa"/>
        </w:tblCellMar>
      </w:tblPr>
      <w:tblGrid>
        <w:gridCol w:w="642"/>
        <w:gridCol w:w="1078"/>
        <w:gridCol w:w="1536"/>
        <w:gridCol w:w="1613"/>
        <w:gridCol w:w="4351"/>
      </w:tblGrid>
      <w:tr>
        <w:tblPrEx>
          <w:tblLayout w:type="fixed"/>
          <w:tblCellMar>
            <w:top w:w="0" w:type="dxa"/>
            <w:left w:w="108" w:type="dxa"/>
            <w:bottom w:w="0" w:type="dxa"/>
            <w:right w:w="108" w:type="dxa"/>
          </w:tblCellMar>
        </w:tblPrEx>
        <w:trPr>
          <w:trHeight w:val="555" w:hRule="atLeast"/>
        </w:trPr>
        <w:tc>
          <w:tcPr>
            <w:tcW w:w="642" w:type="dxa"/>
            <w:tcBorders>
              <w:top w:val="single" w:color="000000" w:sz="8" w:space="0"/>
              <w:left w:val="single" w:color="000000" w:sz="8" w:space="0"/>
              <w:bottom w:val="nil"/>
              <w:right w:val="single" w:color="000000" w:sz="8" w:space="0"/>
            </w:tcBorders>
          </w:tcPr>
          <w:p>
            <w:pPr>
              <w:widowControl/>
              <w:jc w:val="center"/>
              <w:rPr>
                <w:rFonts w:ascii="宋体" w:hAnsi="宋体" w:cs="宋体"/>
                <w:b/>
                <w:bCs/>
                <w:kern w:val="0"/>
                <w:sz w:val="24"/>
              </w:rPr>
            </w:pPr>
            <w:r>
              <w:rPr>
                <w:rFonts w:hint="eastAsia" w:ascii="宋体" w:hAnsi="宋体" w:cs="宋体"/>
                <w:b/>
                <w:bCs/>
                <w:kern w:val="0"/>
                <w:sz w:val="24"/>
              </w:rPr>
              <w:t>品目序号</w:t>
            </w:r>
          </w:p>
        </w:tc>
        <w:tc>
          <w:tcPr>
            <w:tcW w:w="4227"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4351"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依据的标准</w:t>
            </w:r>
          </w:p>
        </w:tc>
      </w:tr>
      <w:tr>
        <w:tblPrEx>
          <w:tblLayout w:type="fixed"/>
          <w:tblCellMar>
            <w:top w:w="0" w:type="dxa"/>
            <w:left w:w="108" w:type="dxa"/>
            <w:bottom w:w="0" w:type="dxa"/>
            <w:right w:w="108" w:type="dxa"/>
          </w:tblCellMar>
        </w:tblPrEx>
        <w:trPr>
          <w:trHeight w:val="495" w:hRule="atLeast"/>
        </w:trPr>
        <w:tc>
          <w:tcPr>
            <w:tcW w:w="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78"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A020101计算机设备</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★A02010104台式计算机</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★A02010105便携式计算机</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★A02010107平板式微型计算机</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42"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078"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A020106输入输出设备</w:t>
            </w:r>
          </w:p>
        </w:tc>
        <w:tc>
          <w:tcPr>
            <w:tcW w:w="153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A02010601打印设备</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A0201060101喷墨打印机</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★A0201060102激光打印机</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★A0201060104针式打印机</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A02010604显示设备</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★A0201060401液晶显示器</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A02010609图形图像输入设备</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A0201060901扫描仪</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A020202投影仪</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A020204多功能一体机</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078"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A020519泵</w:t>
            </w:r>
          </w:p>
        </w:tc>
        <w:tc>
          <w:tcPr>
            <w:tcW w:w="153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A02051901离心泵</w:t>
            </w:r>
          </w:p>
        </w:tc>
        <w:tc>
          <w:tcPr>
            <w:tcW w:w="1613"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auto" w:sz="4"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A020523制冷空调设备</w:t>
            </w: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★A02052301制冷压缩机</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冷水机组</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水源热泵机组</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溴化锂吸收式冷水机组</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★A02052305空调机组</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多联式空调（热泵）机组(制冷量&gt;14000W)</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单元式空气调节机(制冷量&gt;14000W</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★A02052309专用制冷、空调设备</w:t>
            </w:r>
          </w:p>
        </w:tc>
        <w:tc>
          <w:tcPr>
            <w:tcW w:w="1613"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机房空调</w:t>
            </w:r>
          </w:p>
        </w:tc>
        <w:tc>
          <w:tcPr>
            <w:tcW w:w="4351"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cs="宋体"/>
                <w:kern w:val="0"/>
                <w:sz w:val="24"/>
              </w:rPr>
            </w:pPr>
          </w:p>
        </w:tc>
        <w:tc>
          <w:tcPr>
            <w:tcW w:w="107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A02052399其他制冷空调设备</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冷却塔</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A020601电机</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A020602变压器</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配电变压器</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078"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★A020609镇流器</w:t>
            </w:r>
          </w:p>
        </w:tc>
        <w:tc>
          <w:tcPr>
            <w:tcW w:w="153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管型荧光灯镇流器</w:t>
            </w:r>
          </w:p>
        </w:tc>
        <w:tc>
          <w:tcPr>
            <w:tcW w:w="1613"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auto" w:sz="4"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A020618生活用电器</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A0206180101电冰箱</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★A0206180203空调机</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房间空气调节器</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多联式空调（热泵）机组（制冷量≤ 14000W）</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单元式空气调节机(制冷量≤14000W)</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A0206180301洗衣机</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A02061808热水器</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★电热水器</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燃气热水器</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热泵热水器</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太阳能热水系统</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A020619照明设备</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★普通照明用双端荧光灯</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LED道路/隧道照明产品</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LED筒灯</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普通照明用非定向自镇流LED灯</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★A020910电视设备</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A02091001普通电视设备（电视机）</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★A020911视频设备</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A02091107视频监控设备</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监视器</w:t>
            </w:r>
          </w:p>
        </w:tc>
        <w:tc>
          <w:tcPr>
            <w:tcW w:w="43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42"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14</w:t>
            </w:r>
          </w:p>
        </w:tc>
        <w:tc>
          <w:tcPr>
            <w:tcW w:w="1078"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A031210饮食炊事机械</w:t>
            </w:r>
          </w:p>
        </w:tc>
        <w:tc>
          <w:tcPr>
            <w:tcW w:w="153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商用燃气灶具</w:t>
            </w:r>
          </w:p>
        </w:tc>
        <w:tc>
          <w:tcPr>
            <w:tcW w:w="1613"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42"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15</w:t>
            </w:r>
          </w:p>
        </w:tc>
        <w:tc>
          <w:tcPr>
            <w:tcW w:w="107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★A060805便器</w:t>
            </w:r>
          </w:p>
        </w:tc>
        <w:tc>
          <w:tcPr>
            <w:tcW w:w="153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坐便器</w:t>
            </w:r>
          </w:p>
        </w:tc>
        <w:tc>
          <w:tcPr>
            <w:tcW w:w="1613"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07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53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蹲便器</w:t>
            </w:r>
          </w:p>
        </w:tc>
        <w:tc>
          <w:tcPr>
            <w:tcW w:w="1613"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4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07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53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小便器</w:t>
            </w:r>
          </w:p>
        </w:tc>
        <w:tc>
          <w:tcPr>
            <w:tcW w:w="1613"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16</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★A060806水嘴</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17</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A060807便器冲洗阀</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4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18</w:t>
            </w:r>
          </w:p>
        </w:tc>
        <w:tc>
          <w:tcPr>
            <w:tcW w:w="1078"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A060810淋浴器</w:t>
            </w:r>
          </w:p>
        </w:tc>
        <w:tc>
          <w:tcPr>
            <w:tcW w:w="153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13"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351"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《淋浴器用水效率限定值及用水效率等级》（GB28378）</w:t>
            </w:r>
          </w:p>
        </w:tc>
      </w:tr>
    </w:tbl>
    <w:p>
      <w:pPr>
        <w:widowControl/>
        <w:rPr>
          <w:rFonts w:ascii="宋体" w:hAnsi="宋体" w:cs="宋体"/>
          <w:sz w:val="24"/>
        </w:rPr>
      </w:pPr>
    </w:p>
    <w:p>
      <w:pPr>
        <w:pStyle w:val="12"/>
        <w:rPr>
          <w:rFonts w:ascii="楷体" w:hAnsi="楷体" w:eastAsia="楷体" w:cs="宋体"/>
          <w:b/>
          <w:spacing w:val="-3"/>
        </w:rPr>
      </w:pPr>
      <w:r>
        <w:rPr>
          <w:rFonts w:hint="eastAsia" w:ascii="楷体" w:hAnsi="楷体" w:eastAsia="楷体" w:cs="宋体"/>
          <w:b/>
          <w:spacing w:val="-3"/>
        </w:rPr>
        <w:t>注：</w:t>
      </w:r>
    </w:p>
    <w:p>
      <w:pPr>
        <w:pStyle w:val="12"/>
        <w:ind w:firstLine="408" w:firstLineChars="200"/>
        <w:rPr>
          <w:rFonts w:ascii="楷体" w:hAnsi="楷体" w:eastAsia="楷体" w:cs="宋体"/>
        </w:rPr>
      </w:pPr>
      <w:r>
        <w:rPr>
          <w:rFonts w:hint="eastAsia" w:ascii="楷体" w:hAnsi="楷体" w:eastAsia="楷体" w:cs="宋体"/>
          <w:spacing w:val="-3"/>
        </w:rPr>
        <w:t>1.节能产品认证应依据相关国家标准的最新版本，依据国家标准中二级能效（水效）</w:t>
      </w:r>
      <w:r>
        <w:rPr>
          <w:rFonts w:hint="eastAsia" w:ascii="楷体" w:hAnsi="楷体" w:eastAsia="楷体" w:cs="宋体"/>
        </w:rPr>
        <w:t>指标。</w:t>
      </w:r>
    </w:p>
    <w:p>
      <w:pPr>
        <w:pStyle w:val="12"/>
        <w:ind w:firstLine="420" w:firstLineChars="200"/>
        <w:rPr>
          <w:rFonts w:ascii="楷体" w:hAnsi="楷体" w:eastAsia="楷体" w:cs="宋体"/>
          <w:b/>
          <w:bCs/>
        </w:rPr>
      </w:pPr>
      <w:r>
        <w:rPr>
          <w:rFonts w:hint="eastAsia" w:ascii="楷体" w:hAnsi="楷体" w:eastAsia="楷体" w:cs="宋体"/>
        </w:rPr>
        <w:t>2</w:t>
      </w:r>
      <w:r>
        <w:rPr>
          <w:rFonts w:hint="eastAsia" w:ascii="楷体" w:hAnsi="楷体" w:eastAsia="楷体" w:cs="宋体"/>
          <w:b/>
          <w:bCs/>
        </w:rPr>
        <w:t>.以“★”标注的为政府强制采购产品。</w:t>
      </w:r>
    </w:p>
    <w:p>
      <w:pPr>
        <w:pStyle w:val="17"/>
        <w:jc w:val="left"/>
        <w:rPr>
          <w:rFonts w:hAnsi="宋体" w:cs="宋体"/>
          <w:sz w:val="24"/>
          <w:szCs w:val="24"/>
        </w:rPr>
      </w:pPr>
      <w:r>
        <w:rPr>
          <w:rFonts w:hint="eastAsia" w:hAnsi="宋体" w:cs="宋体"/>
          <w:sz w:val="24"/>
          <w:szCs w:val="24"/>
        </w:rPr>
        <w:t>附件2：</w:t>
      </w:r>
    </w:p>
    <w:p>
      <w:pPr>
        <w:spacing w:line="528" w:lineRule="exact"/>
        <w:ind w:left="220"/>
        <w:jc w:val="center"/>
        <w:rPr>
          <w:rFonts w:ascii="宋体" w:hAnsi="宋体" w:cs="宋体"/>
          <w:b/>
          <w:bCs/>
          <w:sz w:val="36"/>
          <w:szCs w:val="36"/>
        </w:rPr>
      </w:pPr>
      <w:r>
        <w:rPr>
          <w:rFonts w:hint="eastAsia" w:ascii="宋体" w:hAnsi="宋体" w:cs="宋体"/>
          <w:b/>
          <w:bCs/>
          <w:sz w:val="36"/>
          <w:szCs w:val="36"/>
        </w:rPr>
        <w:t>中小微企业划型标准</w:t>
      </w:r>
    </w:p>
    <w:tbl>
      <w:tblPr>
        <w:tblStyle w:val="28"/>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Layout w:type="fixed"/>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微型</w:t>
            </w:r>
          </w:p>
        </w:tc>
      </w:tr>
      <w:tr>
        <w:tblPrEx>
          <w:tblLayout w:type="fixed"/>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Y＜50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Y＜300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6000≤Y＜80000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300≤Y＜6000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Y＜300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5000≤Z＜80000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300≤Z＜5000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Z＜300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5≤X＜20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X＜5</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10≤X＜50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200≤Y＜3000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Y＜200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100≤X＜2000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1000≤Y＜100000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Y＜50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1000≤Y＜200000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5000≤Z＜10000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Y＜2000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1000≤Y＜5000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Y＜500</w:t>
            </w:r>
          </w:p>
        </w:tc>
      </w:tr>
      <w:tr>
        <w:tblPrEx>
          <w:tblLayout w:type="fixed"/>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Layout w:type="fixed"/>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8000≤Z＜120000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100≤Z＜8000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Layout w:type="fixed"/>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bl>
    <w:p>
      <w:pPr>
        <w:spacing w:line="360" w:lineRule="auto"/>
        <w:ind w:firstLine="602" w:firstLineChars="250"/>
        <w:rPr>
          <w:rFonts w:ascii="楷体" w:hAnsi="楷体" w:eastAsia="楷体" w:cs="宋体"/>
          <w:b/>
          <w:sz w:val="24"/>
        </w:rPr>
      </w:pPr>
      <w:r>
        <w:rPr>
          <w:rFonts w:hint="eastAsia" w:ascii="楷体" w:hAnsi="楷体" w:eastAsia="楷体" w:cs="宋体"/>
          <w:b/>
          <w:sz w:val="24"/>
        </w:rPr>
        <w:t>说明：</w:t>
      </w:r>
    </w:p>
    <w:p>
      <w:pPr>
        <w:spacing w:line="360" w:lineRule="auto"/>
        <w:ind w:firstLine="600" w:firstLineChars="250"/>
        <w:rPr>
          <w:rFonts w:ascii="楷体" w:hAnsi="楷体" w:eastAsia="楷体" w:cs="宋体"/>
          <w:sz w:val="24"/>
        </w:rPr>
      </w:pPr>
      <w:r>
        <w:rPr>
          <w:rFonts w:hint="eastAsia" w:ascii="楷体" w:hAnsi="楷体" w:eastAsia="楷体" w:cs="宋体"/>
          <w:sz w:val="24"/>
        </w:rPr>
        <w:t>上述标准参照《关于印发中小企业划型标准规定的通知》（工信部联企业</w:t>
      </w:r>
      <w:r>
        <w:rPr>
          <w:rFonts w:ascii="楷体" w:hAnsi="楷体" w:eastAsia="楷体" w:cs="宋体"/>
          <w:sz w:val="24"/>
        </w:rPr>
        <w:t>[2011]300号），大型、中型和小型企业须同时满足所列指标的下限，否则下划一档；微型企业只须满足所列指标中的一项即可。</w:t>
      </w:r>
    </w:p>
    <w:p>
      <w:pPr>
        <w:widowControl/>
        <w:jc w:val="left"/>
        <w:rPr>
          <w:rFonts w:ascii="宋体" w:hAnsi="宋体" w:cs="宋体"/>
          <w:sz w:val="24"/>
        </w:rPr>
        <w:sectPr>
          <w:footerReference r:id="rId8" w:type="default"/>
          <w:pgSz w:w="11906" w:h="16838"/>
          <w:pgMar w:top="1134" w:right="1134" w:bottom="1134" w:left="1134" w:header="720" w:footer="720" w:gutter="0"/>
          <w:pgNumType w:start="1"/>
          <w:cols w:space="720" w:num="1"/>
          <w:docGrid w:type="lines" w:linePitch="331" w:charSpace="0"/>
        </w:sectPr>
      </w:pPr>
    </w:p>
    <w:p>
      <w:pPr>
        <w:pStyle w:val="3"/>
        <w:spacing w:before="0" w:after="0" w:line="360" w:lineRule="auto"/>
        <w:ind w:firstLine="883" w:firstLineChars="200"/>
        <w:jc w:val="left"/>
        <w:rPr>
          <w:rFonts w:ascii="宋体" w:hAnsi="宋体" w:cs="宋体"/>
        </w:rPr>
      </w:pPr>
      <w:r>
        <w:rPr>
          <w:rFonts w:hint="eastAsia" w:ascii="宋体" w:hAnsi="宋体" w:cs="宋体"/>
        </w:rPr>
        <w:t xml:space="preserve">第四章  </w:t>
      </w:r>
      <w:bookmarkStart w:id="26" w:name="_Hlk68601507"/>
      <w:r>
        <w:rPr>
          <w:rFonts w:hint="eastAsia" w:ascii="宋体" w:hAnsi="宋体" w:cs="宋体"/>
        </w:rPr>
        <w:t>评审程序和评定成交的标准</w:t>
      </w:r>
      <w:bookmarkEnd w:id="25"/>
      <w:bookmarkEnd w:id="26"/>
    </w:p>
    <w:p>
      <w:pPr>
        <w:spacing w:line="360" w:lineRule="auto"/>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一、评审程序</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1.确认谈判文件</w:t>
      </w:r>
    </w:p>
    <w:p>
      <w:pPr>
        <w:spacing w:line="360" w:lineRule="auto"/>
        <w:ind w:firstLine="480" w:firstLineChars="200"/>
        <w:rPr>
          <w:rFonts w:ascii="宋体" w:hAnsi="宋体" w:cs="宋体"/>
          <w:sz w:val="24"/>
        </w:rPr>
      </w:pPr>
      <w:r>
        <w:rPr>
          <w:rFonts w:hint="eastAsia" w:ascii="宋体" w:hAnsi="宋体" w:cs="宋体"/>
          <w:sz w:val="24"/>
        </w:rPr>
        <w:t>由谈判小组确认谈判文件。</w:t>
      </w:r>
    </w:p>
    <w:p>
      <w:pPr>
        <w:spacing w:line="360" w:lineRule="auto"/>
        <w:ind w:firstLine="482" w:firstLineChars="200"/>
        <w:rPr>
          <w:rFonts w:ascii="宋体" w:hAnsi="宋体" w:cs="宋体"/>
          <w:b/>
          <w:bCs/>
          <w:sz w:val="24"/>
        </w:rPr>
      </w:pPr>
      <w:r>
        <w:rPr>
          <w:rFonts w:hint="eastAsia" w:ascii="宋体" w:hAnsi="宋体" w:cs="宋体"/>
          <w:b/>
          <w:bCs/>
          <w:sz w:val="24"/>
        </w:rPr>
        <w:t>2.资格审查</w:t>
      </w:r>
    </w:p>
    <w:p>
      <w:pPr>
        <w:snapToGrid w:val="0"/>
        <w:spacing w:line="360" w:lineRule="auto"/>
        <w:ind w:firstLine="480" w:firstLineChars="200"/>
        <w:rPr>
          <w:rFonts w:ascii="宋体" w:hAnsi="宋体" w:cs="宋体"/>
          <w:sz w:val="24"/>
        </w:rPr>
      </w:pPr>
      <w:r>
        <w:rPr>
          <w:rFonts w:hint="eastAsia" w:ascii="宋体" w:hAnsi="宋体" w:cs="宋体"/>
          <w:sz w:val="24"/>
        </w:rPr>
        <w:t>2.1响应文件开启后，谈判小组依法对供应商的资格证明文件进行审查。</w:t>
      </w:r>
    </w:p>
    <w:p>
      <w:pPr>
        <w:snapToGrid w:val="0"/>
        <w:spacing w:line="360" w:lineRule="auto"/>
        <w:ind w:firstLine="480" w:firstLineChars="200"/>
        <w:rPr>
          <w:rFonts w:ascii="宋体" w:hAnsi="宋体" w:cs="宋体"/>
          <w:sz w:val="24"/>
        </w:rPr>
      </w:pPr>
      <w:r>
        <w:rPr>
          <w:rFonts w:hint="eastAsia" w:ascii="宋体" w:hAnsi="宋体" w:cs="宋体"/>
          <w:sz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（2）信用查询截止时点：资格审查结束前</w:t>
      </w:r>
    </w:p>
    <w:p>
      <w:pPr>
        <w:snapToGrid w:val="0"/>
        <w:spacing w:line="360" w:lineRule="auto"/>
        <w:ind w:firstLine="480" w:firstLineChars="200"/>
        <w:jc w:val="left"/>
        <w:rPr>
          <w:rFonts w:ascii="宋体" w:hAnsi="宋体" w:cs="宋体"/>
          <w:sz w:val="24"/>
        </w:rPr>
      </w:pPr>
      <w:r>
        <w:rPr>
          <w:rFonts w:hint="eastAsia" w:ascii="宋体" w:hAnsi="宋体" w:cs="宋体"/>
          <w:sz w:val="24"/>
        </w:rPr>
        <w:t>（3）查询记录和证据留存方式：将查询网站中的查询记录截图并作为评审资料保存。</w:t>
      </w:r>
    </w:p>
    <w:p>
      <w:pPr>
        <w:snapToGrid w:val="0"/>
        <w:spacing w:line="360" w:lineRule="auto"/>
        <w:ind w:firstLine="480" w:firstLineChars="200"/>
        <w:jc w:val="left"/>
        <w:rPr>
          <w:rFonts w:ascii="宋体" w:hAnsi="宋体" w:cs="宋体"/>
          <w:sz w:val="24"/>
        </w:rPr>
      </w:pPr>
      <w:r>
        <w:rPr>
          <w:rFonts w:hint="eastAsia" w:ascii="宋体" w:hAnsi="宋体" w:cs="宋体"/>
          <w:sz w:val="24"/>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360" w:lineRule="auto"/>
        <w:ind w:firstLine="480" w:firstLineChars="200"/>
        <w:rPr>
          <w:rFonts w:ascii="宋体" w:hAnsi="宋体" w:cs="宋体"/>
          <w:sz w:val="24"/>
        </w:rPr>
      </w:pPr>
      <w:r>
        <w:rPr>
          <w:rFonts w:hint="eastAsia" w:ascii="宋体" w:hAnsi="宋体" w:cs="宋体"/>
          <w:sz w:val="24"/>
        </w:rPr>
        <w:t>2.2资格审查标准为本谈判文件中载明对供应商资格要求的条件。本项目资格审查采用合格制，凡符合谈判文件规定的供应商资格要求的供应商均通过资格审查。</w:t>
      </w:r>
    </w:p>
    <w:p>
      <w:pPr>
        <w:spacing w:line="360" w:lineRule="auto"/>
        <w:ind w:firstLine="480" w:firstLineChars="200"/>
        <w:rPr>
          <w:rFonts w:ascii="宋体" w:hAnsi="宋体" w:cs="宋体"/>
          <w:sz w:val="24"/>
        </w:rPr>
      </w:pPr>
      <w:r>
        <w:rPr>
          <w:rFonts w:hint="eastAsia" w:ascii="宋体" w:hAnsi="宋体" w:cs="宋体"/>
          <w:sz w:val="24"/>
        </w:rPr>
        <w:t>2.3 供应商有下列情形之一的，资格审查不通过，其响应文件按无效响应处理：</w:t>
      </w:r>
    </w:p>
    <w:p>
      <w:pPr>
        <w:snapToGrid w:val="0"/>
        <w:spacing w:line="360" w:lineRule="auto"/>
        <w:ind w:firstLine="480" w:firstLineChars="200"/>
        <w:rPr>
          <w:rFonts w:ascii="宋体" w:hAnsi="宋体" w:cs="宋体"/>
          <w:sz w:val="24"/>
        </w:rPr>
      </w:pPr>
      <w:r>
        <w:rPr>
          <w:rFonts w:hint="eastAsia" w:ascii="宋体" w:hAnsi="宋体" w:cs="宋体"/>
          <w:sz w:val="24"/>
        </w:rPr>
        <w:t>（1）不具备谈判文件中规定的资格要求的；</w:t>
      </w:r>
    </w:p>
    <w:p>
      <w:pPr>
        <w:spacing w:line="360" w:lineRule="auto"/>
        <w:ind w:firstLine="480" w:firstLineChars="200"/>
        <w:contextualSpacing/>
        <w:rPr>
          <w:rFonts w:ascii="宋体" w:hAnsi="宋体" w:cs="宋体"/>
          <w:sz w:val="24"/>
        </w:rPr>
      </w:pPr>
      <w:r>
        <w:rPr>
          <w:rFonts w:hint="eastAsia" w:ascii="宋体" w:hAnsi="宋体" w:cs="宋体"/>
          <w:sz w:val="24"/>
        </w:rPr>
        <w:t>（2）响应文件中的资格证明文件缺少任一项“供应商须知前附表”资格证明文件规定的“必须提供”的文件资料的；</w:t>
      </w:r>
    </w:p>
    <w:p>
      <w:pPr>
        <w:spacing w:line="360" w:lineRule="auto"/>
        <w:ind w:firstLine="480" w:firstLineChars="200"/>
        <w:contextualSpacing/>
        <w:rPr>
          <w:rFonts w:ascii="宋体" w:hAnsi="宋体" w:cs="宋体"/>
          <w:sz w:val="24"/>
        </w:rPr>
      </w:pPr>
      <w:r>
        <w:rPr>
          <w:rFonts w:hint="eastAsia" w:ascii="宋体" w:hAnsi="宋体" w:cs="宋体"/>
          <w:sz w:val="24"/>
        </w:rPr>
        <w:t>（3）响应文件中的资格证明文件出现任一项不符合“供应商须知前附表”资格证明文件规定的“必须提供”的文件资料要求或者无效的；</w:t>
      </w:r>
    </w:p>
    <w:p>
      <w:pPr>
        <w:spacing w:line="360" w:lineRule="auto"/>
        <w:ind w:firstLine="480" w:firstLineChars="200"/>
        <w:rPr>
          <w:rFonts w:ascii="宋体" w:hAnsi="宋体" w:cs="宋体"/>
          <w:sz w:val="24"/>
        </w:rPr>
      </w:pPr>
      <w:r>
        <w:rPr>
          <w:rFonts w:hint="eastAsia" w:ascii="宋体" w:hAnsi="宋体" w:cs="宋体"/>
          <w:sz w:val="24"/>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80" w:firstLineChars="200"/>
        <w:rPr>
          <w:rFonts w:ascii="宋体" w:hAnsi="宋体" w:cs="宋体"/>
          <w:sz w:val="24"/>
        </w:rPr>
      </w:pPr>
      <w:r>
        <w:rPr>
          <w:rFonts w:hint="eastAsia" w:ascii="宋体" w:hAnsi="宋体" w:cs="宋体"/>
          <w:sz w:val="24"/>
        </w:rPr>
        <w:t>2.4通过资格审查的合格供应商不足3家（本章3.7条规定除外）的，不得进入符合性审查环节，应当重新开展采购活动。</w:t>
      </w:r>
    </w:p>
    <w:p>
      <w:pPr>
        <w:spacing w:line="360" w:lineRule="auto"/>
        <w:ind w:firstLine="482" w:firstLineChars="200"/>
        <w:rPr>
          <w:rFonts w:ascii="宋体" w:hAnsi="宋体" w:cs="宋体"/>
          <w:b/>
          <w:bCs/>
          <w:sz w:val="24"/>
        </w:rPr>
      </w:pPr>
      <w:r>
        <w:rPr>
          <w:rFonts w:hint="eastAsia" w:ascii="宋体" w:hAnsi="宋体" w:cs="宋体"/>
          <w:b/>
          <w:bCs/>
          <w:sz w:val="24"/>
        </w:rPr>
        <w:t>3.符合性审查</w:t>
      </w:r>
    </w:p>
    <w:p>
      <w:pPr>
        <w:spacing w:line="360" w:lineRule="auto"/>
        <w:ind w:firstLine="480" w:firstLineChars="200"/>
        <w:rPr>
          <w:rFonts w:ascii="宋体" w:hAnsi="宋体" w:cs="宋体"/>
          <w:sz w:val="24"/>
        </w:rPr>
      </w:pPr>
      <w:r>
        <w:rPr>
          <w:rFonts w:hint="eastAsia" w:ascii="宋体" w:hAnsi="宋体" w:cs="宋体"/>
          <w:sz w:val="24"/>
        </w:rPr>
        <w:t>3.1由谈判小组对资格审查的合格的供应商的响应文件进行</w:t>
      </w:r>
      <w:r>
        <w:rPr>
          <w:rFonts w:hint="eastAsia" w:ascii="宋体" w:hAnsi="宋体" w:cs="宋体"/>
          <w:sz w:val="24"/>
          <w:lang w:bidi="ar"/>
        </w:rPr>
        <w:t>竞争性谈判</w:t>
      </w:r>
      <w:r>
        <w:rPr>
          <w:rFonts w:hint="eastAsia" w:ascii="宋体" w:hAnsi="宋体" w:cs="宋体"/>
          <w:sz w:val="24"/>
        </w:rPr>
        <w:t>报价、商务、技术等实质性要求符合性审查，以确定其是否满足谈判文件的实质性要求。</w:t>
      </w:r>
    </w:p>
    <w:p>
      <w:pPr>
        <w:spacing w:line="360" w:lineRule="auto"/>
        <w:ind w:firstLine="480" w:firstLineChars="200"/>
        <w:rPr>
          <w:rFonts w:ascii="宋体" w:hAnsi="宋体" w:cs="宋体"/>
          <w:sz w:val="24"/>
        </w:rPr>
      </w:pPr>
      <w:r>
        <w:rPr>
          <w:rFonts w:hint="eastAsia" w:ascii="宋体" w:hAnsi="宋体" w:cs="宋体"/>
          <w:sz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pacing w:val="-6"/>
          <w:sz w:val="24"/>
        </w:rPr>
      </w:pPr>
      <w:r>
        <w:rPr>
          <w:rFonts w:hint="eastAsia" w:ascii="宋体" w:hAnsi="宋体" w:cs="宋体"/>
          <w:sz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pPr>
        <w:spacing w:line="360" w:lineRule="auto"/>
        <w:ind w:firstLine="456" w:firstLineChars="200"/>
        <w:rPr>
          <w:rFonts w:ascii="宋体" w:hAnsi="宋体" w:cs="宋体"/>
          <w:sz w:val="24"/>
        </w:rPr>
      </w:pPr>
      <w:r>
        <w:rPr>
          <w:rFonts w:hint="eastAsia" w:ascii="宋体" w:hAnsi="宋体" w:cs="宋体"/>
          <w:spacing w:val="-6"/>
          <w:sz w:val="24"/>
        </w:rPr>
        <w:t>3.4</w:t>
      </w:r>
      <w:r>
        <w:rPr>
          <w:rFonts w:hint="eastAsia" w:ascii="宋体" w:hAnsi="宋体" w:cs="宋体"/>
          <w:sz w:val="24"/>
        </w:rPr>
        <w:t xml:space="preserve">首次响应文件报价出现前后不一致的，按照下列规定修正： </w:t>
      </w:r>
    </w:p>
    <w:p>
      <w:pPr>
        <w:spacing w:line="360" w:lineRule="auto"/>
        <w:ind w:firstLine="480" w:firstLineChars="200"/>
        <w:rPr>
          <w:rFonts w:ascii="宋体" w:hAnsi="宋体" w:cs="宋体"/>
          <w:sz w:val="24"/>
        </w:rPr>
      </w:pPr>
      <w:r>
        <w:rPr>
          <w:rFonts w:hint="eastAsia" w:ascii="宋体" w:hAnsi="宋体" w:cs="宋体"/>
          <w:sz w:val="24"/>
        </w:rPr>
        <w:t>（1）响应文件中报价表内容与响应文件中相应内容不一致的，以报价表为准；</w:t>
      </w:r>
    </w:p>
    <w:p>
      <w:pPr>
        <w:spacing w:line="360" w:lineRule="auto"/>
        <w:ind w:firstLine="480" w:firstLineChars="200"/>
        <w:rPr>
          <w:rFonts w:ascii="宋体" w:hAnsi="宋体" w:cs="宋体"/>
          <w:sz w:val="24"/>
        </w:rPr>
      </w:pPr>
      <w:r>
        <w:rPr>
          <w:rFonts w:hint="eastAsia" w:ascii="宋体" w:hAnsi="宋体" w:cs="宋体"/>
          <w:sz w:val="24"/>
        </w:rPr>
        <w:t>（2）大写金额和小写金额不一致的，以大写金额为准；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pPr>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pPr>
        <w:spacing w:line="360" w:lineRule="auto"/>
        <w:ind w:firstLine="480" w:firstLineChars="200"/>
        <w:rPr>
          <w:rFonts w:ascii="宋体" w:hAnsi="宋体" w:cs="宋体"/>
          <w:sz w:val="24"/>
        </w:rPr>
      </w:pPr>
      <w:r>
        <w:rPr>
          <w:rFonts w:hint="eastAsia" w:ascii="宋体" w:hAnsi="宋体" w:cs="宋体"/>
          <w:sz w:val="24"/>
        </w:rPr>
        <w:t>3.5商务技术报价评审</w:t>
      </w:r>
    </w:p>
    <w:p>
      <w:pPr>
        <w:spacing w:line="360" w:lineRule="auto"/>
        <w:ind w:firstLine="480" w:firstLineChars="200"/>
        <w:rPr>
          <w:rFonts w:ascii="宋体" w:hAnsi="宋体" w:cs="宋体"/>
          <w:sz w:val="24"/>
        </w:rPr>
      </w:pPr>
      <w:r>
        <w:rPr>
          <w:rFonts w:hint="eastAsia" w:ascii="宋体" w:hAnsi="宋体" w:cs="宋体"/>
          <w:sz w:val="24"/>
        </w:rPr>
        <w:t>在评审时，如发现下列情形之一的，将被视为响应文件无效响应处理：</w:t>
      </w:r>
    </w:p>
    <w:p>
      <w:pPr>
        <w:spacing w:line="360" w:lineRule="auto"/>
        <w:ind w:firstLine="480" w:firstLineChars="200"/>
        <w:rPr>
          <w:rFonts w:ascii="宋体" w:hAnsi="宋体" w:cs="宋体"/>
          <w:sz w:val="24"/>
        </w:rPr>
      </w:pPr>
      <w:r>
        <w:rPr>
          <w:rFonts w:hint="eastAsia" w:ascii="宋体" w:hAnsi="宋体" w:cs="宋体"/>
          <w:sz w:val="24"/>
        </w:rPr>
        <w:t>（1）商务技术评审</w:t>
      </w:r>
    </w:p>
    <w:p>
      <w:pPr>
        <w:spacing w:line="360" w:lineRule="auto"/>
        <w:ind w:firstLine="480" w:firstLineChars="200"/>
        <w:rPr>
          <w:rFonts w:ascii="宋体" w:hAnsi="宋体" w:cs="宋体"/>
          <w:sz w:val="24"/>
        </w:rPr>
      </w:pPr>
      <w:r>
        <w:rPr>
          <w:rFonts w:hint="eastAsia" w:ascii="宋体" w:hAnsi="宋体" w:cs="宋体"/>
          <w:sz w:val="24"/>
        </w:rPr>
        <w:t>1）响应文件未按谈判文件要求签署、盖章的；</w:t>
      </w:r>
    </w:p>
    <w:p>
      <w:pPr>
        <w:spacing w:line="360" w:lineRule="auto"/>
        <w:ind w:firstLine="480" w:firstLineChars="200"/>
        <w:rPr>
          <w:rFonts w:ascii="宋体" w:hAnsi="宋体" w:cs="宋体"/>
          <w:sz w:val="24"/>
        </w:rPr>
      </w:pPr>
      <w:r>
        <w:rPr>
          <w:rFonts w:hint="eastAsia" w:ascii="宋体" w:hAnsi="宋体" w:cs="宋体"/>
          <w:sz w:val="24"/>
        </w:rPr>
        <w:t xml:space="preserve">2）委托代理人未能出具有效身份证或者出具的身份证与授权委托书中的信息不符的； </w:t>
      </w:r>
    </w:p>
    <w:p>
      <w:pPr>
        <w:spacing w:line="360" w:lineRule="auto"/>
        <w:ind w:firstLine="480" w:firstLineChars="200"/>
        <w:rPr>
          <w:rFonts w:ascii="宋体" w:hAnsi="宋体" w:cs="宋体"/>
          <w:sz w:val="24"/>
        </w:rPr>
      </w:pPr>
      <w:r>
        <w:rPr>
          <w:rFonts w:hint="eastAsia" w:ascii="宋体" w:hAnsi="宋体" w:cs="宋体"/>
          <w:sz w:val="24"/>
        </w:rPr>
        <w:t>3）提交的谈判保证金无效的或者未按照谈判文件的规定提交谈判保证金；</w:t>
      </w:r>
    </w:p>
    <w:p>
      <w:pPr>
        <w:spacing w:line="360" w:lineRule="auto"/>
        <w:ind w:firstLine="480" w:firstLineChars="200"/>
        <w:rPr>
          <w:rFonts w:ascii="宋体" w:hAnsi="宋体" w:cs="宋体"/>
          <w:sz w:val="24"/>
        </w:rPr>
      </w:pPr>
      <w:r>
        <w:rPr>
          <w:rFonts w:hint="eastAsia" w:ascii="宋体" w:hAnsi="宋体" w:cs="宋体"/>
          <w:sz w:val="24"/>
        </w:rPr>
        <w:t>4）响应文件中的报价商务技术文件出现任一项不符合“供应商须知前附表”中“必须提供”或者“委托时必须提供”文件资料要求的规定或者提供的报价商务技术文件无效；</w:t>
      </w:r>
    </w:p>
    <w:p>
      <w:pPr>
        <w:spacing w:line="360" w:lineRule="auto"/>
        <w:ind w:firstLine="480" w:firstLineChars="200"/>
        <w:rPr>
          <w:rFonts w:ascii="宋体" w:hAnsi="宋体" w:cs="宋体"/>
          <w:sz w:val="24"/>
        </w:rPr>
      </w:pPr>
      <w:r>
        <w:rPr>
          <w:rFonts w:hint="eastAsia" w:ascii="宋体" w:hAnsi="宋体" w:cs="宋体"/>
          <w:sz w:val="24"/>
        </w:rPr>
        <w:t>5）商务条款中标“</w:t>
      </w:r>
      <w:r>
        <w:rPr>
          <w:rFonts w:hint="eastAsia" w:ascii="宋体" w:hAnsi="宋体" w:cs="宋体"/>
          <w:szCs w:val="21"/>
        </w:rPr>
        <w:t>▲</w:t>
      </w:r>
      <w:r>
        <w:rPr>
          <w:rFonts w:hint="eastAsia" w:ascii="宋体" w:hAnsi="宋体" w:cs="宋体"/>
          <w:sz w:val="24"/>
        </w:rPr>
        <w:t>”的条款发生负偏离或者允许负偏离的条款数超过“供应商须知前附表”规定项数的；</w:t>
      </w:r>
    </w:p>
    <w:p>
      <w:pPr>
        <w:spacing w:line="360" w:lineRule="auto"/>
        <w:ind w:firstLine="480" w:firstLineChars="200"/>
        <w:rPr>
          <w:rFonts w:ascii="宋体" w:hAnsi="宋体" w:cs="宋体"/>
          <w:sz w:val="24"/>
        </w:rPr>
      </w:pPr>
      <w:r>
        <w:rPr>
          <w:rFonts w:hint="eastAsia" w:ascii="宋体" w:hAnsi="宋体" w:cs="宋体"/>
          <w:sz w:val="24"/>
        </w:rPr>
        <w:t>6）未对</w:t>
      </w:r>
      <w:r>
        <w:rPr>
          <w:rFonts w:hint="eastAsia" w:ascii="宋体" w:hAnsi="宋体" w:cs="宋体"/>
          <w:sz w:val="24"/>
          <w:lang w:bidi="ar"/>
        </w:rPr>
        <w:t>竞争性谈判</w:t>
      </w:r>
      <w:r>
        <w:rPr>
          <w:rFonts w:hint="eastAsia" w:ascii="宋体" w:hAnsi="宋体" w:cs="宋体"/>
          <w:sz w:val="24"/>
        </w:rPr>
        <w:t>有效期作出响应或者响应文件承诺的</w:t>
      </w:r>
      <w:r>
        <w:rPr>
          <w:rFonts w:hint="eastAsia" w:ascii="宋体" w:hAnsi="宋体" w:cs="宋体"/>
          <w:sz w:val="24"/>
          <w:lang w:bidi="ar"/>
        </w:rPr>
        <w:t>竞争性谈判</w:t>
      </w:r>
      <w:r>
        <w:rPr>
          <w:rFonts w:hint="eastAsia" w:ascii="宋体" w:hAnsi="宋体" w:cs="宋体"/>
          <w:sz w:val="24"/>
        </w:rPr>
        <w:t>有效期不满足谈判文件要求；</w:t>
      </w:r>
    </w:p>
    <w:p>
      <w:pPr>
        <w:spacing w:line="360" w:lineRule="auto"/>
        <w:ind w:firstLine="480" w:firstLineChars="200"/>
        <w:rPr>
          <w:rFonts w:ascii="宋体" w:hAnsi="宋体" w:cs="宋体"/>
          <w:sz w:val="24"/>
        </w:rPr>
      </w:pPr>
      <w:r>
        <w:rPr>
          <w:rFonts w:hint="eastAsia" w:ascii="宋体" w:hAnsi="宋体" w:cs="宋体"/>
          <w:sz w:val="24"/>
        </w:rPr>
        <w:t>7）响应文件的实质性内容未使用中文表述、使用计量单位不符合谈判文件要求的；</w:t>
      </w:r>
    </w:p>
    <w:p>
      <w:pPr>
        <w:spacing w:line="360" w:lineRule="auto"/>
        <w:ind w:firstLine="480" w:firstLineChars="200"/>
        <w:rPr>
          <w:rFonts w:ascii="宋体" w:hAnsi="宋体" w:cs="宋体"/>
          <w:sz w:val="24"/>
        </w:rPr>
      </w:pPr>
      <w:r>
        <w:rPr>
          <w:rFonts w:hint="eastAsia" w:ascii="宋体" w:hAnsi="宋体" w:cs="宋体"/>
          <w:sz w:val="24"/>
        </w:rPr>
        <w:t>8）响应文件中的文件资料因填写不齐全或者内容虚假或者出现其他情形而导致被谈判小组认定无效的；</w:t>
      </w:r>
    </w:p>
    <w:p>
      <w:pPr>
        <w:spacing w:line="360" w:lineRule="auto"/>
        <w:ind w:firstLine="480" w:firstLineChars="200"/>
        <w:rPr>
          <w:rFonts w:ascii="宋体" w:hAnsi="宋体" w:cs="宋体"/>
          <w:sz w:val="24"/>
        </w:rPr>
      </w:pPr>
      <w:r>
        <w:rPr>
          <w:rFonts w:hint="eastAsia" w:ascii="宋体" w:hAnsi="宋体" w:cs="宋体"/>
          <w:sz w:val="24"/>
        </w:rPr>
        <w:t>9）响应文件含有采购人不能接受的附加条件的；</w:t>
      </w:r>
    </w:p>
    <w:p>
      <w:pPr>
        <w:spacing w:line="360" w:lineRule="auto"/>
        <w:ind w:firstLine="480" w:firstLineChars="200"/>
        <w:rPr>
          <w:rFonts w:ascii="宋体" w:hAnsi="宋体" w:cs="宋体"/>
          <w:sz w:val="24"/>
        </w:rPr>
      </w:pPr>
      <w:r>
        <w:rPr>
          <w:rFonts w:hint="eastAsia" w:ascii="宋体" w:hAnsi="宋体" w:cs="宋体"/>
          <w:sz w:val="24"/>
        </w:rPr>
        <w:t>10）属于“供应商须知正文”第7.</w:t>
      </w:r>
      <w:r>
        <w:rPr>
          <w:rFonts w:ascii="宋体" w:hAnsi="宋体" w:cs="宋体"/>
          <w:sz w:val="24"/>
        </w:rPr>
        <w:t>4</w:t>
      </w:r>
      <w:r>
        <w:rPr>
          <w:rFonts w:hint="eastAsia" w:ascii="宋体" w:hAnsi="宋体" w:cs="宋体"/>
          <w:sz w:val="24"/>
        </w:rPr>
        <w:t>条的情形的；</w:t>
      </w:r>
    </w:p>
    <w:p>
      <w:pPr>
        <w:spacing w:line="360" w:lineRule="auto"/>
        <w:ind w:firstLine="480" w:firstLineChars="200"/>
        <w:rPr>
          <w:rFonts w:ascii="宋体" w:hAnsi="宋体" w:cs="宋体"/>
          <w:sz w:val="24"/>
        </w:rPr>
      </w:pPr>
      <w:r>
        <w:rPr>
          <w:rFonts w:hint="eastAsia" w:ascii="宋体" w:hAnsi="宋体" w:cs="宋体"/>
          <w:sz w:val="24"/>
        </w:rPr>
        <w:t>11）技术要求中标“</w:t>
      </w:r>
      <w:r>
        <w:rPr>
          <w:rFonts w:hint="eastAsia" w:ascii="宋体" w:hAnsi="宋体" w:cs="宋体"/>
          <w:szCs w:val="21"/>
        </w:rPr>
        <w:t>▲</w:t>
      </w:r>
      <w:r>
        <w:rPr>
          <w:rFonts w:hint="eastAsia" w:ascii="宋体" w:hAnsi="宋体" w:cs="宋体"/>
          <w:sz w:val="24"/>
        </w:rPr>
        <w:t>”的条款发生负偏离或允许负偏离的条款数超过“供应商须知前附表”规定项数的；</w:t>
      </w:r>
    </w:p>
    <w:p>
      <w:pPr>
        <w:spacing w:line="360" w:lineRule="auto"/>
        <w:ind w:firstLine="480" w:firstLineChars="200"/>
        <w:rPr>
          <w:rFonts w:ascii="宋体" w:hAnsi="宋体" w:cs="宋体"/>
          <w:sz w:val="24"/>
        </w:rPr>
      </w:pPr>
      <w:r>
        <w:rPr>
          <w:rFonts w:hint="eastAsia" w:ascii="宋体" w:hAnsi="宋体" w:cs="宋体"/>
          <w:sz w:val="24"/>
        </w:rPr>
        <w:t>12）虚假响应，或者出现其他情形而导致被谈判小组认定无效的；</w:t>
      </w:r>
    </w:p>
    <w:p>
      <w:pPr>
        <w:spacing w:line="360" w:lineRule="auto"/>
        <w:ind w:firstLine="480" w:firstLineChars="200"/>
        <w:rPr>
          <w:rFonts w:ascii="宋体" w:hAnsi="宋体" w:cs="宋体"/>
          <w:sz w:val="24"/>
        </w:rPr>
      </w:pPr>
      <w:r>
        <w:rPr>
          <w:rFonts w:hint="eastAsia" w:ascii="宋体" w:hAnsi="宋体" w:cs="宋体"/>
          <w:sz w:val="24"/>
        </w:rPr>
        <w:t>13）</w:t>
      </w:r>
      <w:bookmarkStart w:id="27" w:name="_Hlk71704147"/>
      <w:r>
        <w:rPr>
          <w:rFonts w:hint="eastAsia" w:ascii="宋体" w:hAnsi="宋体" w:cs="宋体"/>
          <w:sz w:val="24"/>
        </w:rPr>
        <w:t>谈判文件未载明允许提供备选（替代）响应方案或明确不允许提供备选（替代）响应方案时，供应商提供了备选（替代）响应方案的；</w:t>
      </w:r>
      <w:bookmarkEnd w:id="27"/>
    </w:p>
    <w:p>
      <w:pPr>
        <w:spacing w:line="360" w:lineRule="auto"/>
        <w:ind w:firstLine="480" w:firstLineChars="200"/>
        <w:rPr>
          <w:rFonts w:ascii="宋体" w:hAnsi="宋体" w:cs="宋体"/>
          <w:sz w:val="24"/>
        </w:rPr>
      </w:pPr>
      <w:r>
        <w:rPr>
          <w:rFonts w:hint="eastAsia" w:ascii="宋体" w:hAnsi="宋体" w:cs="宋体"/>
          <w:sz w:val="24"/>
        </w:rPr>
        <w:t>14）响应文件标注的项目名称或者项目编号与谈判文件标注的项目名称或者项目编号不一致的；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b/>
          <w:sz w:val="24"/>
        </w:rPr>
        <w:t>谈判文件明确不允许分包，响应文件拟分包的；</w:t>
      </w:r>
    </w:p>
    <w:p>
      <w:pPr>
        <w:spacing w:line="360" w:lineRule="auto"/>
        <w:ind w:firstLine="480" w:firstLineChars="200"/>
        <w:rPr>
          <w:rFonts w:ascii="宋体" w:hAnsi="宋体" w:cs="宋体"/>
          <w:sz w:val="24"/>
        </w:rPr>
      </w:pPr>
      <w:r>
        <w:rPr>
          <w:rFonts w:hint="eastAsia" w:ascii="宋体" w:hAnsi="宋体" w:cs="宋体"/>
          <w:sz w:val="24"/>
        </w:rPr>
        <w:t>16）未响应谈判文件实质性要求；</w:t>
      </w:r>
    </w:p>
    <w:p>
      <w:pPr>
        <w:spacing w:line="360" w:lineRule="auto"/>
        <w:ind w:firstLine="480" w:firstLineChars="200"/>
        <w:rPr>
          <w:rFonts w:ascii="宋体" w:hAnsi="宋体" w:cs="宋体"/>
          <w:sz w:val="24"/>
        </w:rPr>
      </w:pPr>
      <w:r>
        <w:rPr>
          <w:rFonts w:hint="eastAsia" w:ascii="宋体" w:hAnsi="宋体" w:cs="宋体"/>
          <w:sz w:val="24"/>
        </w:rPr>
        <w:t>17）法律、法规和谈判文件规定的其他无效情形。</w:t>
      </w:r>
    </w:p>
    <w:p>
      <w:pPr>
        <w:spacing w:line="360" w:lineRule="auto"/>
        <w:ind w:firstLine="480" w:firstLineChars="200"/>
        <w:rPr>
          <w:rFonts w:ascii="宋体" w:hAnsi="宋体" w:cs="宋体"/>
          <w:sz w:val="24"/>
        </w:rPr>
      </w:pPr>
      <w:r>
        <w:rPr>
          <w:rFonts w:hint="eastAsia" w:ascii="宋体" w:hAnsi="宋体" w:cs="宋体"/>
          <w:sz w:val="24"/>
        </w:rPr>
        <w:t>（2）报价评审</w:t>
      </w:r>
    </w:p>
    <w:p>
      <w:pPr>
        <w:spacing w:line="360" w:lineRule="auto"/>
        <w:ind w:firstLine="480" w:firstLineChars="200"/>
        <w:rPr>
          <w:rFonts w:ascii="宋体" w:hAnsi="宋体" w:cs="宋体"/>
          <w:sz w:val="24"/>
        </w:rPr>
      </w:pPr>
      <w:r>
        <w:rPr>
          <w:rFonts w:hint="eastAsia" w:ascii="宋体" w:hAnsi="宋体" w:cs="宋体"/>
          <w:sz w:val="24"/>
        </w:rPr>
        <w:t>1）响应文件未提供“供应商须知前附表” 报价商务技术文件中规定的“</w:t>
      </w:r>
      <w:r>
        <w:rPr>
          <w:rFonts w:hint="eastAsia" w:ascii="宋体" w:hAnsi="宋体" w:cs="宋体"/>
          <w:sz w:val="24"/>
          <w:lang w:bidi="ar"/>
        </w:rPr>
        <w:t>竞争性谈判</w:t>
      </w:r>
      <w:r>
        <w:rPr>
          <w:rFonts w:hint="eastAsia" w:ascii="宋体" w:hAnsi="宋体" w:cs="宋体"/>
          <w:sz w:val="24"/>
        </w:rPr>
        <w:t>报价表”的；</w:t>
      </w:r>
    </w:p>
    <w:p>
      <w:pPr>
        <w:spacing w:line="360" w:lineRule="auto"/>
        <w:ind w:firstLine="480" w:firstLineChars="200"/>
        <w:rPr>
          <w:rFonts w:ascii="宋体" w:hAnsi="宋体" w:cs="宋体"/>
          <w:sz w:val="24"/>
        </w:rPr>
      </w:pPr>
      <w:r>
        <w:rPr>
          <w:rFonts w:hint="eastAsia" w:ascii="宋体" w:hAnsi="宋体" w:cs="宋体"/>
          <w:sz w:val="24"/>
        </w:rPr>
        <w:t>2）未采用人民币报价或者未按照谈判文件标明的币种报价的；</w:t>
      </w:r>
    </w:p>
    <w:p>
      <w:pPr>
        <w:spacing w:line="360" w:lineRule="auto"/>
        <w:ind w:firstLine="480" w:firstLineChars="200"/>
        <w:rPr>
          <w:rFonts w:ascii="宋体" w:hAnsi="宋体" w:cs="宋体"/>
          <w:sz w:val="24"/>
        </w:rPr>
      </w:pPr>
      <w:r>
        <w:rPr>
          <w:rFonts w:hint="eastAsia" w:ascii="宋体" w:hAnsi="宋体" w:cs="宋体"/>
          <w:sz w:val="24"/>
        </w:rPr>
        <w:t>3）供应商未就所参与</w:t>
      </w:r>
      <w:r>
        <w:rPr>
          <w:rFonts w:hint="eastAsia" w:ascii="宋体" w:hAnsi="宋体" w:cs="宋体"/>
          <w:sz w:val="24"/>
          <w:lang w:bidi="ar"/>
        </w:rPr>
        <w:t>竞争性谈判</w:t>
      </w:r>
      <w:r>
        <w:rPr>
          <w:rFonts w:hint="eastAsia" w:ascii="宋体" w:hAnsi="宋体" w:cs="宋体"/>
          <w:sz w:val="24"/>
        </w:rPr>
        <w:t>分标进行报价或者存在漏项报价的；供应商未就所参与</w:t>
      </w:r>
      <w:r>
        <w:rPr>
          <w:rFonts w:hint="eastAsia" w:ascii="宋体" w:hAnsi="宋体" w:cs="宋体"/>
          <w:sz w:val="24"/>
          <w:lang w:bidi="ar"/>
        </w:rPr>
        <w:t>竞争性谈判</w:t>
      </w:r>
      <w:r>
        <w:rPr>
          <w:rFonts w:hint="eastAsia" w:ascii="宋体" w:hAnsi="宋体" w:cs="宋体"/>
          <w:sz w:val="24"/>
        </w:rPr>
        <w:t>分标的单项内容作唯一报价的；供应商未就所参与</w:t>
      </w:r>
      <w:r>
        <w:rPr>
          <w:rFonts w:hint="eastAsia" w:ascii="宋体" w:hAnsi="宋体" w:cs="宋体"/>
          <w:sz w:val="24"/>
          <w:lang w:bidi="ar"/>
        </w:rPr>
        <w:t>竞争性谈判</w:t>
      </w:r>
      <w:r>
        <w:rPr>
          <w:rFonts w:hint="eastAsia" w:ascii="宋体" w:hAnsi="宋体" w:cs="宋体"/>
          <w:sz w:val="24"/>
        </w:rPr>
        <w:t>分标的全部内容作完整唯一总价报价的；供应商响应文件中存在有选择、有条件报价的（谈判文件允许有备选方案或者其他约定的除外）；</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bidi="ar"/>
        </w:rPr>
        <w:t>竞争性谈判</w:t>
      </w:r>
      <w:r>
        <w:rPr>
          <w:rFonts w:hint="eastAsia" w:ascii="宋体" w:hAnsi="宋体" w:cs="宋体"/>
          <w:sz w:val="24"/>
        </w:rPr>
        <w:t>报价（包含首次报价、最后报价）超过所参与</w:t>
      </w:r>
      <w:r>
        <w:rPr>
          <w:rFonts w:hint="eastAsia" w:ascii="宋体" w:hAnsi="宋体" w:cs="宋体"/>
          <w:sz w:val="24"/>
          <w:lang w:bidi="ar"/>
        </w:rPr>
        <w:t>竞争性谈判</w:t>
      </w:r>
      <w:r>
        <w:rPr>
          <w:rFonts w:hint="eastAsia" w:ascii="宋体" w:hAnsi="宋体" w:cs="宋体"/>
          <w:sz w:val="24"/>
        </w:rPr>
        <w:t>分标规定的采购预算金额或者最高限价的；</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bidi="ar"/>
        </w:rPr>
        <w:t>竞争性谈判</w:t>
      </w:r>
      <w:r>
        <w:rPr>
          <w:rFonts w:hint="eastAsia" w:ascii="宋体" w:hAnsi="宋体" w:cs="宋体"/>
          <w:sz w:val="24"/>
        </w:rPr>
        <w:t>报价（包含首次报价、最后报价）超过分项采购预算金额或者最高限价的，其响应文件将作无效处理；</w:t>
      </w:r>
    </w:p>
    <w:p>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）修正后的报价，供应商不确认的；或者经供应商确认修正后的最后报价超过所参与</w:t>
      </w:r>
      <w:r>
        <w:rPr>
          <w:rFonts w:hint="eastAsia" w:ascii="宋体" w:hAnsi="宋体" w:cs="宋体"/>
          <w:sz w:val="24"/>
          <w:lang w:bidi="ar"/>
        </w:rPr>
        <w:t>竞争性谈判</w:t>
      </w:r>
      <w:r>
        <w:rPr>
          <w:rFonts w:hint="eastAsia" w:ascii="宋体" w:hAnsi="宋体" w:cs="宋体"/>
          <w:sz w:val="24"/>
        </w:rPr>
        <w:t>分标规定的采购预算金额或者最高限价（如本项目公布了最高限价）；</w:t>
      </w:r>
    </w:p>
    <w:p>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）响应文件响应的标的数量及单位与竞争性谈判采购文件要求实质性不一致的。</w:t>
      </w:r>
    </w:p>
    <w:p>
      <w:pPr>
        <w:spacing w:line="360" w:lineRule="auto"/>
        <w:ind w:firstLine="480" w:firstLineChars="200"/>
        <w:rPr>
          <w:rFonts w:ascii="宋体" w:hAnsi="宋体" w:cs="宋体"/>
          <w:sz w:val="24"/>
        </w:rPr>
      </w:pPr>
      <w:r>
        <w:rPr>
          <w:rFonts w:hint="eastAsia" w:ascii="宋体" w:hAnsi="宋体" w:cs="宋体"/>
          <w:sz w:val="24"/>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pPr>
        <w:spacing w:line="360" w:lineRule="auto"/>
        <w:ind w:firstLine="480" w:firstLineChars="200"/>
        <w:rPr>
          <w:rFonts w:ascii="宋体" w:hAnsi="宋体" w:cs="宋体"/>
          <w:sz w:val="24"/>
        </w:rPr>
      </w:pPr>
      <w:r>
        <w:rPr>
          <w:rFonts w:hint="eastAsia" w:ascii="宋体" w:hAnsi="宋体" w:cs="宋体"/>
          <w:sz w:val="24"/>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Pr>
          <w:rFonts w:hint="eastAsia" w:ascii="宋体" w:hAnsi="宋体" w:cs="宋体"/>
          <w:sz w:val="24"/>
          <w:lang w:bidi="ar"/>
        </w:rPr>
        <w:t>竞争性谈判</w:t>
      </w:r>
      <w:r>
        <w:rPr>
          <w:rFonts w:hint="eastAsia" w:ascii="宋体" w:hAnsi="宋体" w:cs="宋体"/>
          <w:sz w:val="24"/>
        </w:rPr>
        <w:t>文件中的采购需求编制谈判文件，成立谈判小组，由谈判小组对谈判文件进行确认。</w:t>
      </w:r>
    </w:p>
    <w:p>
      <w:pPr>
        <w:spacing w:line="360" w:lineRule="auto"/>
        <w:ind w:firstLine="480" w:firstLineChars="200"/>
        <w:rPr>
          <w:rFonts w:ascii="宋体" w:hAnsi="宋体" w:cs="宋体"/>
          <w:sz w:val="24"/>
        </w:rPr>
      </w:pPr>
      <w:r>
        <w:rPr>
          <w:rFonts w:hint="eastAsia" w:ascii="宋体" w:hAnsi="宋体" w:cs="宋体"/>
          <w:sz w:val="24"/>
        </w:rPr>
        <w:t>3.8通过符合性审查的合格供应商不足3家的，不得进入谈判环节，应当重新开展采购活动。</w:t>
      </w:r>
    </w:p>
    <w:p>
      <w:pPr>
        <w:spacing w:line="360" w:lineRule="auto"/>
        <w:ind w:firstLine="482" w:firstLineChars="200"/>
        <w:rPr>
          <w:rFonts w:ascii="宋体" w:hAnsi="宋体" w:cs="宋体"/>
          <w:b/>
          <w:bCs/>
          <w:sz w:val="24"/>
        </w:rPr>
      </w:pPr>
      <w:r>
        <w:rPr>
          <w:rFonts w:hint="eastAsia" w:ascii="宋体" w:hAnsi="宋体" w:cs="宋体"/>
          <w:b/>
          <w:bCs/>
          <w:sz w:val="24"/>
        </w:rPr>
        <w:t>4.谈判程序</w:t>
      </w:r>
    </w:p>
    <w:p>
      <w:pPr>
        <w:spacing w:line="360" w:lineRule="auto"/>
        <w:ind w:firstLine="480" w:firstLineChars="200"/>
        <w:rPr>
          <w:rFonts w:ascii="宋体" w:hAnsi="宋体" w:cs="宋体"/>
          <w:sz w:val="24"/>
        </w:rPr>
      </w:pPr>
      <w:r>
        <w:rPr>
          <w:rFonts w:hint="eastAsia" w:ascii="宋体" w:hAnsi="宋体" w:cs="宋体"/>
          <w:kern w:val="0"/>
          <w:sz w:val="24"/>
        </w:rPr>
        <w:t>4.1谈判小组按照“供应商须知前附表”第26条确定的</w:t>
      </w:r>
      <w:r>
        <w:rPr>
          <w:rFonts w:hint="eastAsia" w:ascii="宋体" w:hAnsi="宋体" w:cs="宋体"/>
          <w:sz w:val="24"/>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ascii="宋体" w:hAnsi="宋体" w:cs="宋体"/>
          <w:sz w:val="24"/>
        </w:rPr>
      </w:pPr>
      <w:r>
        <w:rPr>
          <w:rFonts w:hint="eastAsia" w:ascii="宋体" w:hAnsi="宋体" w:cs="宋体"/>
          <w:sz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80" w:firstLineChars="200"/>
        <w:rPr>
          <w:rFonts w:ascii="宋体" w:hAnsi="宋体" w:cs="宋体"/>
          <w:sz w:val="24"/>
        </w:rPr>
      </w:pPr>
      <w:r>
        <w:rPr>
          <w:rFonts w:hint="eastAsia" w:ascii="宋体" w:hAnsi="宋体" w:cs="宋体"/>
          <w:sz w:val="24"/>
        </w:rPr>
        <w:t>4.3对谈判文件作出的实质性变动是谈判文件的有效组成部分，谈判小组应当及时以电子谈判记录形式同时通知所有参加谈判的供应商。</w:t>
      </w:r>
    </w:p>
    <w:p>
      <w:pPr>
        <w:spacing w:line="360" w:lineRule="auto"/>
        <w:ind w:firstLine="480" w:firstLineChars="200"/>
        <w:rPr>
          <w:rFonts w:ascii="宋体" w:hAnsi="宋体" w:cs="宋体"/>
          <w:sz w:val="24"/>
        </w:rPr>
      </w:pPr>
      <w:r>
        <w:rPr>
          <w:rFonts w:hint="eastAsia" w:ascii="宋体" w:hAnsi="宋体" w:cs="宋体"/>
          <w:sz w:val="24"/>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cs="宋体"/>
          <w:bCs/>
          <w:sz w:val="24"/>
        </w:rPr>
        <w:t>若委托代理人不是响应文件中授权的委托代理人时，必须同时出示有效的授权委托书原件</w:t>
      </w:r>
      <w:r>
        <w:rPr>
          <w:rFonts w:hint="eastAsia" w:ascii="宋体" w:hAnsi="宋体" w:cs="宋体"/>
          <w:sz w:val="24"/>
        </w:rPr>
        <w:t>。供应商为自然人的，必须由本人签字并附身份证明。参加谈判的供应商未在规定时间内以电子回函的形式重新提交响应文件的，视同退出谈判，其响应文件按无效响应处理。</w:t>
      </w:r>
    </w:p>
    <w:p>
      <w:pPr>
        <w:spacing w:line="360" w:lineRule="auto"/>
        <w:ind w:firstLine="480" w:firstLineChars="200"/>
        <w:rPr>
          <w:rFonts w:ascii="宋体" w:hAnsi="宋体" w:cs="宋体"/>
          <w:sz w:val="24"/>
        </w:rPr>
      </w:pPr>
      <w:r>
        <w:rPr>
          <w:rFonts w:hint="eastAsia" w:ascii="宋体" w:hAnsi="宋体" w:cs="宋体"/>
          <w:sz w:val="24"/>
        </w:rPr>
        <w:t>4.5谈判中，谈判的任何一方不得透露与谈判有关的其他供应商的技术资料、价格和其他信息。</w:t>
      </w:r>
    </w:p>
    <w:p>
      <w:pPr>
        <w:tabs>
          <w:tab w:val="left" w:pos="2835"/>
        </w:tabs>
        <w:spacing w:line="360" w:lineRule="auto"/>
        <w:ind w:firstLine="480" w:firstLineChars="200"/>
        <w:rPr>
          <w:rFonts w:ascii="宋体" w:hAnsi="宋体" w:cs="宋体"/>
          <w:sz w:val="24"/>
        </w:rPr>
      </w:pPr>
      <w:r>
        <w:rPr>
          <w:rFonts w:hint="eastAsia" w:ascii="宋体" w:hAnsi="宋体" w:cs="宋体"/>
          <w:sz w:val="24"/>
        </w:rPr>
        <w:t>4.6对谈判过程提交的响应文件进行有效性、完整性和响应程度审查，通过审查的合格供应商不足3家的，采购人或者采购代理机构应当重新开展采购活动。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b/>
          <w:bCs/>
          <w:sz w:val="24"/>
        </w:rPr>
      </w:pPr>
      <w:r>
        <w:rPr>
          <w:rFonts w:hint="eastAsia" w:ascii="宋体" w:hAnsi="宋体" w:cs="宋体"/>
          <w:b/>
          <w:bCs/>
          <w:sz w:val="24"/>
        </w:rPr>
        <w:t>5.最后报价</w:t>
      </w:r>
    </w:p>
    <w:p>
      <w:pPr>
        <w:spacing w:line="360" w:lineRule="auto"/>
        <w:ind w:firstLine="480" w:firstLineChars="200"/>
        <w:rPr>
          <w:rFonts w:ascii="宋体" w:hAnsi="宋体" w:cs="宋体"/>
          <w:sz w:val="24"/>
        </w:rPr>
      </w:pPr>
      <w:r>
        <w:rPr>
          <w:rFonts w:hint="eastAsia" w:ascii="宋体" w:hAnsi="宋体" w:cs="宋体"/>
          <w:sz w:val="24"/>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pPr>
        <w:spacing w:line="360" w:lineRule="auto"/>
        <w:ind w:firstLine="480" w:firstLineChars="200"/>
        <w:rPr>
          <w:rFonts w:ascii="宋体" w:hAnsi="宋体" w:cs="宋体"/>
          <w:sz w:val="24"/>
        </w:rPr>
      </w:pPr>
      <w:r>
        <w:rPr>
          <w:rFonts w:hint="eastAsia" w:ascii="宋体" w:hAnsi="宋体" w:cs="宋体"/>
          <w:sz w:val="24"/>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pPr>
        <w:spacing w:line="360" w:lineRule="auto"/>
        <w:ind w:firstLine="480" w:firstLineChars="200"/>
        <w:rPr>
          <w:rFonts w:ascii="宋体" w:hAnsi="宋体" w:cs="宋体"/>
          <w:sz w:val="24"/>
        </w:rPr>
      </w:pPr>
      <w:r>
        <w:rPr>
          <w:rFonts w:hint="eastAsia" w:ascii="宋体" w:hAnsi="宋体" w:cs="宋体"/>
          <w:sz w:val="24"/>
        </w:rPr>
        <w:t>5.3最后报价是供应商响应文件的有效组成部分。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5.4已经提交响应文件的供应商，在提交最后报价之前，可以根据谈判情况退出谈判。采购人、采购代理机构将退还退出谈判的供应商的保证金。</w:t>
      </w:r>
    </w:p>
    <w:p>
      <w:pPr>
        <w:spacing w:line="360" w:lineRule="auto"/>
        <w:ind w:firstLine="480" w:firstLineChars="200"/>
        <w:rPr>
          <w:rFonts w:ascii="宋体" w:hAnsi="宋体" w:cs="宋体"/>
          <w:sz w:val="24"/>
        </w:rPr>
      </w:pPr>
      <w:r>
        <w:rPr>
          <w:rFonts w:hint="eastAsia" w:ascii="宋体" w:hAnsi="宋体" w:cs="宋体"/>
          <w:sz w:val="24"/>
        </w:rPr>
        <w:t>5.5供应商未在规定时间内提交最后报价的，视为退出谈判，其响应文件按无效响应处理。</w:t>
      </w:r>
    </w:p>
    <w:p>
      <w:pPr>
        <w:spacing w:line="360" w:lineRule="auto"/>
        <w:ind w:firstLine="480" w:firstLineChars="200"/>
        <w:rPr>
          <w:rFonts w:ascii="宋体" w:hAnsi="宋体" w:cs="宋体"/>
          <w:sz w:val="24"/>
        </w:rPr>
      </w:pPr>
      <w:r>
        <w:rPr>
          <w:rFonts w:hint="eastAsia" w:ascii="宋体" w:hAnsi="宋体" w:cs="宋体"/>
          <w:sz w:val="24"/>
        </w:rPr>
        <w:t>5.6谈判小组收齐某一分标最后报价后或达到规定时间后统一开启，谈判小组对最后报价进行有效性、完整性和响应程度的审查。</w:t>
      </w:r>
    </w:p>
    <w:p>
      <w:pPr>
        <w:spacing w:line="360" w:lineRule="auto"/>
        <w:ind w:firstLine="480" w:firstLineChars="200"/>
        <w:rPr>
          <w:rFonts w:ascii="宋体" w:hAnsi="宋体" w:cs="宋体"/>
          <w:sz w:val="24"/>
        </w:rPr>
      </w:pPr>
      <w:r>
        <w:rPr>
          <w:rFonts w:hint="eastAsia" w:ascii="宋体" w:hAnsi="宋体" w:cs="宋体"/>
          <w:sz w:val="24"/>
        </w:rPr>
        <w:t xml:space="preserve">5.7响应文件首次及最后报价出现前后不一致的，按照本章第3.4条的规定修正。 </w:t>
      </w:r>
    </w:p>
    <w:p>
      <w:pPr>
        <w:spacing w:line="360" w:lineRule="auto"/>
        <w:ind w:firstLine="480" w:firstLineChars="200"/>
        <w:rPr>
          <w:rFonts w:ascii="宋体" w:hAnsi="宋体" w:cs="宋体"/>
          <w:sz w:val="24"/>
        </w:rPr>
      </w:pPr>
      <w:r>
        <w:rPr>
          <w:rFonts w:hint="eastAsia" w:ascii="宋体" w:hAnsi="宋体" w:cs="宋体"/>
          <w:sz w:val="24"/>
        </w:rPr>
        <w:t>5.8经供应商确认修正后的最后报价作为评审及签订合同的依据。</w:t>
      </w:r>
    </w:p>
    <w:p>
      <w:pPr>
        <w:spacing w:line="360" w:lineRule="auto"/>
        <w:ind w:firstLine="480" w:firstLineChars="200"/>
        <w:rPr>
          <w:rFonts w:ascii="宋体" w:hAnsi="宋体" w:cs="宋体"/>
          <w:sz w:val="24"/>
        </w:rPr>
      </w:pPr>
      <w:r>
        <w:rPr>
          <w:rFonts w:hint="eastAsia" w:ascii="宋体" w:hAnsi="宋体" w:cs="宋体"/>
          <w:sz w:val="24"/>
        </w:rPr>
        <w:t>5.9供应商出现最后报价按无效响应处理或者响应文件按无效响应处理时，谈判小组应当告知有关供应商。</w:t>
      </w:r>
    </w:p>
    <w:p>
      <w:pPr>
        <w:spacing w:line="360" w:lineRule="auto"/>
        <w:ind w:firstLine="480" w:firstLineChars="200"/>
        <w:rPr>
          <w:rFonts w:ascii="宋体" w:hAnsi="宋体" w:cs="宋体"/>
          <w:sz w:val="24"/>
        </w:rPr>
      </w:pPr>
      <w:r>
        <w:rPr>
          <w:rFonts w:hint="eastAsia" w:ascii="宋体" w:hAnsi="宋体" w:cs="宋体"/>
          <w:sz w:val="24"/>
        </w:rPr>
        <w:t>5.10最后报价结束后，谈判小组不得再与供应商进行任何形式的商谈。</w:t>
      </w:r>
    </w:p>
    <w:p>
      <w:pPr>
        <w:spacing w:line="360" w:lineRule="auto"/>
        <w:ind w:firstLine="472" w:firstLineChars="196"/>
        <w:rPr>
          <w:rFonts w:ascii="宋体" w:hAnsi="宋体" w:cs="宋体"/>
          <w:b/>
          <w:bCs/>
          <w:sz w:val="24"/>
        </w:rPr>
      </w:pPr>
      <w:r>
        <w:rPr>
          <w:rFonts w:hint="eastAsia" w:ascii="宋体" w:hAnsi="宋体" w:cs="宋体"/>
          <w:b/>
          <w:bCs/>
          <w:sz w:val="24"/>
        </w:rPr>
        <w:t>6.最后报价政府采购政策性扣除</w:t>
      </w:r>
    </w:p>
    <w:p>
      <w:pPr>
        <w:spacing w:line="360" w:lineRule="auto"/>
        <w:ind w:firstLine="480" w:firstLineChars="200"/>
        <w:rPr>
          <w:rFonts w:ascii="宋体" w:hAnsi="宋体" w:cs="宋体"/>
          <w:sz w:val="24"/>
        </w:rPr>
      </w:pPr>
      <w:r>
        <w:rPr>
          <w:rFonts w:hint="eastAsia" w:ascii="宋体" w:hAnsi="宋体" w:cs="宋体"/>
          <w:sz w:val="24"/>
        </w:rPr>
        <w:t>6.1评标价为供应商的最后报价进行政策性扣除后的价格，评标价只是作为评审时使用。最终成交供应商的成交金额等于最后报价（如有修正，以确认修正后的最后报价为准）。</w:t>
      </w:r>
    </w:p>
    <w:p>
      <w:pPr>
        <w:spacing w:line="360" w:lineRule="auto"/>
        <w:ind w:firstLine="480" w:firstLineChars="200"/>
        <w:rPr>
          <w:rFonts w:ascii="宋体" w:hAnsi="宋体" w:cs="宋体"/>
          <w:sz w:val="24"/>
        </w:rPr>
      </w:pPr>
      <w:r>
        <w:rPr>
          <w:rFonts w:hint="eastAsia" w:ascii="宋体" w:hAnsi="宋体" w:cs="宋体"/>
          <w:sz w:val="24"/>
        </w:rPr>
        <w:t>6.2政策性扣除计算方法。</w:t>
      </w:r>
    </w:p>
    <w:p>
      <w:pPr>
        <w:spacing w:line="360" w:lineRule="auto"/>
        <w:ind w:firstLine="480" w:firstLineChars="200"/>
        <w:rPr>
          <w:rFonts w:ascii="宋体" w:hAnsi="宋体" w:cs="宋体"/>
          <w:sz w:val="24"/>
        </w:rPr>
      </w:pPr>
      <w:r>
        <w:rPr>
          <w:rFonts w:hint="eastAsia" w:ascii="宋体" w:hAnsi="宋体" w:cs="宋体"/>
          <w:sz w:val="24"/>
        </w:rPr>
        <w:t>根据《政府采购促进中小企业发展管理办法》</w:t>
      </w:r>
      <w:r>
        <w:rPr>
          <w:rFonts w:hint="eastAsia" w:hAnsi="宋体" w:cs="宋体"/>
          <w:bCs/>
          <w:sz w:val="24"/>
        </w:rPr>
        <w:t>及《关于进一步加大政府采购支持中小企业力度的通知》</w:t>
      </w:r>
      <w:r>
        <w:rPr>
          <w:rFonts w:hint="eastAsia" w:ascii="宋体" w:hAnsi="宋体" w:cs="宋体"/>
          <w:sz w:val="24"/>
        </w:rPr>
        <w:t>的规定，</w:t>
      </w:r>
      <w:r>
        <w:rPr>
          <w:rFonts w:hint="eastAsia" w:hAnsi="宋体" w:cs="宋体"/>
          <w:bCs/>
          <w:sz w:val="24"/>
        </w:rPr>
        <w:t>调整对小微企业的价格评审优惠幅度</w:t>
      </w:r>
      <w:r>
        <w:rPr>
          <w:rFonts w:hint="eastAsia" w:ascii="宋体" w:hAnsi="宋体" w:cs="宋体"/>
          <w:sz w:val="24"/>
        </w:rPr>
        <w:t>，供应商属于《政府采购促进中小企业发展管理办法》规定的小微企业的（供应商在其响应文件中提供《中小企业声明函》，且其提供的货物全部由符合政策要求的小型、微型企业制造，即货物由小型、微型企业生产且使用该小型、微型企业商号或者注册商标），对</w:t>
      </w:r>
      <w:r>
        <w:rPr>
          <w:rFonts w:hint="eastAsia" w:ascii="宋体" w:hAnsi="宋体" w:cs="宋体"/>
          <w:sz w:val="24"/>
          <w:lang w:bidi="ar"/>
        </w:rPr>
        <w:t>竞争性谈判</w:t>
      </w:r>
      <w:r>
        <w:rPr>
          <w:rFonts w:hint="eastAsia" w:ascii="宋体" w:hAnsi="宋体" w:cs="宋体"/>
          <w:sz w:val="24"/>
        </w:rPr>
        <w:t>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pPr>
        <w:spacing w:line="360" w:lineRule="auto"/>
        <w:ind w:firstLine="480" w:firstLineChars="200"/>
        <w:rPr>
          <w:rFonts w:ascii="宋体" w:hAnsi="宋体" w:cs="宋体"/>
          <w:sz w:val="24"/>
        </w:rPr>
      </w:pPr>
      <w:r>
        <w:rPr>
          <w:rFonts w:hint="eastAsia" w:ascii="宋体" w:hAnsi="宋体" w:cs="宋体"/>
          <w:sz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80" w:firstLineChars="200"/>
        <w:rPr>
          <w:rFonts w:ascii="宋体" w:hAnsi="宋体" w:cs="宋体"/>
          <w:sz w:val="24"/>
        </w:rPr>
      </w:pPr>
      <w:r>
        <w:rPr>
          <w:rFonts w:hint="eastAsia" w:ascii="宋体" w:hAnsi="宋体" w:cs="宋体"/>
          <w:sz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80" w:firstLineChars="200"/>
        <w:rPr>
          <w:rFonts w:ascii="宋体" w:hAnsi="宋体" w:cs="宋体"/>
          <w:sz w:val="24"/>
        </w:rPr>
      </w:pPr>
      <w:r>
        <w:rPr>
          <w:rFonts w:hint="eastAsia" w:ascii="宋体" w:hAnsi="宋体" w:cs="宋体"/>
          <w:sz w:val="24"/>
        </w:rPr>
        <w:t>6.5除上述情况外，评标价＝最后报价。</w:t>
      </w:r>
    </w:p>
    <w:p>
      <w:pPr>
        <w:spacing w:line="360" w:lineRule="auto"/>
        <w:ind w:firstLine="480" w:firstLineChars="200"/>
        <w:rPr>
          <w:rFonts w:ascii="宋体" w:hAnsi="宋体" w:cs="宋体"/>
          <w:sz w:val="24"/>
        </w:rPr>
      </w:pPr>
    </w:p>
    <w:p>
      <w:pPr>
        <w:spacing w:line="360" w:lineRule="auto"/>
        <w:jc w:val="center"/>
        <w:rPr>
          <w:rFonts w:ascii="宋体" w:hAnsi="宋体" w:cs="宋体"/>
          <w:b/>
          <w:sz w:val="24"/>
        </w:rPr>
      </w:pPr>
    </w:p>
    <w:p>
      <w:pPr>
        <w:spacing w:line="360" w:lineRule="auto"/>
        <w:jc w:val="center"/>
        <w:rPr>
          <w:rFonts w:ascii="宋体" w:hAnsi="宋体" w:cs="宋体"/>
          <w:b/>
          <w:sz w:val="32"/>
          <w:szCs w:val="32"/>
        </w:rPr>
      </w:pPr>
      <w:r>
        <w:rPr>
          <w:rFonts w:hint="eastAsia" w:ascii="宋体" w:hAnsi="宋体" w:cs="宋体"/>
          <w:b/>
          <w:sz w:val="32"/>
          <w:szCs w:val="32"/>
        </w:rPr>
        <w:t>二、评定成交的标准</w:t>
      </w:r>
    </w:p>
    <w:p>
      <w:pPr>
        <w:spacing w:line="360" w:lineRule="auto"/>
        <w:ind w:firstLine="482" w:firstLineChars="200"/>
        <w:rPr>
          <w:rFonts w:ascii="宋体" w:hAnsi="宋体" w:cs="宋体"/>
          <w:b/>
          <w:bCs/>
          <w:sz w:val="24"/>
        </w:rPr>
      </w:pPr>
      <w:r>
        <w:rPr>
          <w:rFonts w:hint="eastAsia" w:ascii="宋体" w:hAnsi="宋体" w:cs="宋体"/>
          <w:b/>
          <w:bCs/>
          <w:sz w:val="24"/>
        </w:rPr>
        <w:t>7.成交候选人推荐原则</w:t>
      </w:r>
    </w:p>
    <w:p>
      <w:pPr>
        <w:spacing w:line="360" w:lineRule="auto"/>
        <w:ind w:firstLine="480" w:firstLineChars="200"/>
        <w:rPr>
          <w:rFonts w:ascii="宋体" w:hAnsi="宋体" w:cs="宋体"/>
          <w:sz w:val="24"/>
        </w:rPr>
      </w:pPr>
      <w:r>
        <w:rPr>
          <w:rFonts w:hint="eastAsia" w:ascii="宋体" w:hAnsi="宋体" w:cs="宋体"/>
          <w:sz w:val="24"/>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pPr>
        <w:pStyle w:val="3"/>
        <w:spacing w:before="0" w:after="0" w:line="360" w:lineRule="auto"/>
        <w:jc w:val="center"/>
        <w:rPr>
          <w:rFonts w:ascii="宋体" w:hAnsi="宋体" w:cs="宋体"/>
        </w:rPr>
      </w:pPr>
      <w:r>
        <w:rPr>
          <w:rFonts w:hint="eastAsia" w:ascii="宋体" w:hAnsi="宋体" w:cs="宋体"/>
          <w:sz w:val="24"/>
          <w:szCs w:val="24"/>
        </w:rPr>
        <w:br w:type="page"/>
      </w:r>
    </w:p>
    <w:p>
      <w:pPr>
        <w:rPr>
          <w:rFonts w:ascii="宋体" w:hAnsi="宋体" w:cs="宋体"/>
        </w:rPr>
      </w:pPr>
    </w:p>
    <w:p>
      <w:pPr>
        <w:pStyle w:val="3"/>
        <w:spacing w:before="0" w:after="0"/>
        <w:jc w:val="center"/>
        <w:rPr>
          <w:rFonts w:ascii="宋体" w:hAnsi="宋体" w:cs="宋体"/>
        </w:rPr>
      </w:pPr>
      <w:bookmarkStart w:id="28" w:name="_Toc74322012"/>
      <w:r>
        <w:rPr>
          <w:rFonts w:hint="eastAsia" w:ascii="宋体" w:hAnsi="宋体" w:cs="宋体"/>
        </w:rPr>
        <w:t>第五章 响应文件格式</w:t>
      </w:r>
      <w:bookmarkEnd w:id="28"/>
    </w:p>
    <w:p>
      <w:pPr>
        <w:spacing w:line="240" w:lineRule="atLeast"/>
        <w:rPr>
          <w:rFonts w:ascii="宋体" w:hAnsi="宋体" w:cs="宋体"/>
          <w:b/>
          <w:sz w:val="32"/>
          <w:szCs w:val="32"/>
        </w:rPr>
      </w:pPr>
    </w:p>
    <w:p>
      <w:pPr>
        <w:spacing w:line="240" w:lineRule="atLeast"/>
        <w:rPr>
          <w:rFonts w:ascii="宋体" w:hAnsi="宋体" w:cs="宋体"/>
          <w:b/>
          <w:sz w:val="32"/>
          <w:szCs w:val="32"/>
        </w:rPr>
      </w:pPr>
    </w:p>
    <w:p>
      <w:pPr>
        <w:spacing w:line="360" w:lineRule="auto"/>
        <w:rPr>
          <w:rFonts w:ascii="宋体" w:hAnsi="宋体" w:cs="宋体"/>
          <w:b/>
          <w:sz w:val="32"/>
          <w:szCs w:val="32"/>
        </w:rPr>
      </w:pPr>
      <w:bookmarkStart w:id="29" w:name="_Toc71365382"/>
      <w:bookmarkStart w:id="30" w:name="_Toc71366060"/>
      <w:r>
        <w:rPr>
          <w:rFonts w:hint="eastAsia" w:ascii="宋体" w:hAnsi="宋体" w:cs="宋体"/>
          <w:b/>
          <w:sz w:val="32"/>
          <w:szCs w:val="32"/>
        </w:rPr>
        <w:t>一、资格证明文件格式</w:t>
      </w:r>
      <w:bookmarkEnd w:id="29"/>
      <w:bookmarkEnd w:id="30"/>
    </w:p>
    <w:p>
      <w:pPr>
        <w:snapToGrid w:val="0"/>
        <w:spacing w:line="360" w:lineRule="auto"/>
        <w:jc w:val="left"/>
        <w:rPr>
          <w:rFonts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pPr>
        <w:snapToGrid w:val="0"/>
        <w:spacing w:line="360" w:lineRule="auto"/>
        <w:rPr>
          <w:rFonts w:ascii="宋体" w:hAnsi="宋体" w:cs="宋体"/>
          <w:bCs/>
          <w:sz w:val="32"/>
          <w:szCs w:val="20"/>
        </w:rPr>
      </w:pPr>
      <w:r>
        <w:rPr>
          <w:rFonts w:hint="eastAsia" w:ascii="宋体" w:hAnsi="宋体" w:cs="宋体"/>
          <w:sz w:val="24"/>
        </w:rPr>
        <w:t xml:space="preserve">                                                  </w:t>
      </w:r>
    </w:p>
    <w:p>
      <w:pPr>
        <w:snapToGrid w:val="0"/>
        <w:spacing w:line="360" w:lineRule="auto"/>
        <w:jc w:val="center"/>
        <w:rPr>
          <w:rFonts w:ascii="宋体" w:hAnsi="宋体" w:cs="宋体"/>
          <w:bCs/>
          <w:sz w:val="44"/>
          <w:szCs w:val="44"/>
        </w:rPr>
      </w:pPr>
    </w:p>
    <w:p>
      <w:pPr>
        <w:snapToGrid w:val="0"/>
        <w:spacing w:line="360" w:lineRule="auto"/>
        <w:jc w:val="center"/>
        <w:rPr>
          <w:rFonts w:ascii="宋体" w:hAnsi="宋体" w:cs="宋体"/>
          <w:bCs/>
          <w:sz w:val="84"/>
          <w:szCs w:val="84"/>
        </w:rPr>
      </w:pPr>
      <w:r>
        <w:rPr>
          <w:rFonts w:hint="eastAsia" w:ascii="宋体" w:hAnsi="宋体" w:cs="宋体"/>
          <w:bCs/>
          <w:sz w:val="84"/>
          <w:szCs w:val="84"/>
        </w:rPr>
        <w:t>响  应  文  件</w:t>
      </w:r>
    </w:p>
    <w:p>
      <w:pPr>
        <w:snapToGrid w:val="0"/>
        <w:spacing w:line="360" w:lineRule="auto"/>
        <w:rPr>
          <w:rFonts w:ascii="宋体" w:hAnsi="宋体" w:cs="宋体"/>
          <w:sz w:val="24"/>
          <w:szCs w:val="20"/>
        </w:rPr>
      </w:pPr>
    </w:p>
    <w:p>
      <w:pPr>
        <w:snapToGrid w:val="0"/>
        <w:spacing w:line="360" w:lineRule="auto"/>
        <w:jc w:val="center"/>
        <w:rPr>
          <w:rFonts w:ascii="宋体" w:hAnsi="宋体" w:cs="宋体"/>
          <w:bCs/>
          <w:sz w:val="32"/>
          <w:szCs w:val="32"/>
        </w:rPr>
      </w:pPr>
      <w:r>
        <w:rPr>
          <w:rFonts w:hint="eastAsia" w:ascii="宋体" w:hAnsi="宋体" w:cs="宋体"/>
          <w:bCs/>
          <w:sz w:val="32"/>
          <w:szCs w:val="32"/>
        </w:rPr>
        <w:t>资  格  证  明  文  件</w:t>
      </w:r>
    </w:p>
    <w:p>
      <w:pPr>
        <w:snapToGrid w:val="0"/>
        <w:spacing w:line="360" w:lineRule="auto"/>
        <w:rPr>
          <w:rFonts w:ascii="宋体" w:hAnsi="宋体" w:cs="宋体"/>
          <w:bCs/>
          <w:sz w:val="24"/>
          <w:szCs w:val="20"/>
        </w:rPr>
      </w:pPr>
    </w:p>
    <w:p>
      <w:pPr>
        <w:snapToGrid w:val="0"/>
        <w:spacing w:line="360" w:lineRule="auto"/>
        <w:rPr>
          <w:rFonts w:ascii="宋体" w:hAnsi="宋体" w:cs="宋体"/>
          <w:bCs/>
          <w:sz w:val="24"/>
          <w:szCs w:val="20"/>
        </w:rPr>
      </w:pPr>
    </w:p>
    <w:p>
      <w:pPr>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项目名称：</w:t>
      </w:r>
    </w:p>
    <w:p>
      <w:pPr>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 xml:space="preserve">项目编号： </w:t>
      </w:r>
    </w:p>
    <w:p>
      <w:pPr>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所竞分标（如有）：</w:t>
      </w:r>
    </w:p>
    <w:p>
      <w:pPr>
        <w:pStyle w:val="7"/>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供应商名称：</w:t>
      </w:r>
    </w:p>
    <w:p>
      <w:pPr>
        <w:pStyle w:val="7"/>
        <w:snapToGrid w:val="0"/>
        <w:spacing w:line="360" w:lineRule="auto"/>
        <w:ind w:firstLine="0"/>
        <w:rPr>
          <w:rFonts w:ascii="宋体" w:hAnsi="宋体" w:cs="宋体"/>
          <w:bCs/>
          <w:sz w:val="32"/>
          <w:szCs w:val="32"/>
        </w:rPr>
      </w:pPr>
    </w:p>
    <w:p>
      <w:pPr>
        <w:pStyle w:val="7"/>
        <w:snapToGrid w:val="0"/>
        <w:spacing w:line="360" w:lineRule="auto"/>
        <w:ind w:firstLine="1280" w:firstLineChars="400"/>
        <w:rPr>
          <w:rFonts w:ascii="宋体" w:hAnsi="宋体" w:cs="宋体"/>
          <w:bCs/>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年    月    日</w:t>
      </w:r>
    </w:p>
    <w:p>
      <w:pPr>
        <w:snapToGrid w:val="0"/>
        <w:spacing w:line="360" w:lineRule="auto"/>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pPr>
        <w:snapToGrid w:val="0"/>
        <w:spacing w:line="360" w:lineRule="auto"/>
        <w:ind w:firstLine="645"/>
        <w:rPr>
          <w:rFonts w:ascii="宋体" w:hAnsi="宋体" w:cs="宋体"/>
          <w:sz w:val="32"/>
          <w:szCs w:val="32"/>
        </w:rPr>
      </w:pPr>
      <w:r>
        <w:rPr>
          <w:rFonts w:hint="eastAsia" w:ascii="宋体" w:hAnsi="宋体" w:cs="宋体"/>
          <w:sz w:val="32"/>
          <w:szCs w:val="32"/>
        </w:rPr>
        <w:t>根据谈判文件规定及供应商提供的材料自行编写目录（部分格式后附）。</w:t>
      </w:r>
    </w:p>
    <w:p>
      <w:pPr>
        <w:snapToGrid w:val="0"/>
        <w:spacing w:line="360" w:lineRule="auto"/>
        <w:rPr>
          <w:rFonts w:ascii="宋体" w:hAnsi="宋体" w:cs="宋体"/>
          <w:sz w:val="24"/>
          <w:szCs w:val="20"/>
        </w:rPr>
      </w:pPr>
      <w:r>
        <w:rPr>
          <w:rFonts w:hint="eastAsia" w:ascii="宋体" w:hAnsi="宋体" w:cs="宋体"/>
          <w:sz w:val="24"/>
          <w:szCs w:val="20"/>
        </w:rPr>
        <w:t xml:space="preserve">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left"/>
        <w:rPr>
          <w:rFonts w:ascii="宋体" w:hAnsi="宋体" w:cs="宋体"/>
          <w:szCs w:val="21"/>
        </w:rPr>
      </w:pPr>
    </w:p>
    <w:p>
      <w:pPr>
        <w:snapToGrid w:val="0"/>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3.供应商直接控股、管理关系信息表</w:t>
      </w:r>
    </w:p>
    <w:p>
      <w:pPr>
        <w:snapToGrid w:val="0"/>
        <w:spacing w:line="360" w:lineRule="auto"/>
        <w:jc w:val="center"/>
        <w:rPr>
          <w:rFonts w:ascii="宋体" w:hAnsi="宋体" w:cs="宋体"/>
          <w:b/>
          <w:sz w:val="32"/>
          <w:szCs w:val="32"/>
        </w:rPr>
      </w:pPr>
    </w:p>
    <w:p>
      <w:pPr>
        <w:snapToGrid w:val="0"/>
        <w:spacing w:line="360" w:lineRule="auto"/>
        <w:jc w:val="center"/>
        <w:rPr>
          <w:rFonts w:ascii="宋体" w:hAnsi="宋体" w:cs="宋体"/>
          <w:b/>
          <w:sz w:val="32"/>
          <w:szCs w:val="32"/>
        </w:rPr>
      </w:pPr>
      <w:r>
        <w:rPr>
          <w:rFonts w:hint="eastAsia" w:ascii="宋体" w:hAnsi="宋体" w:cs="宋体"/>
          <w:b/>
          <w:sz w:val="32"/>
          <w:szCs w:val="32"/>
        </w:rPr>
        <w:t>供应商直接控股股东信息表</w:t>
      </w:r>
    </w:p>
    <w:p>
      <w:pPr>
        <w:snapToGrid w:val="0"/>
        <w:spacing w:line="360" w:lineRule="auto"/>
        <w:jc w:val="center"/>
        <w:rPr>
          <w:rFonts w:ascii="宋体" w:hAnsi="宋体" w:cs="宋体"/>
          <w:b/>
          <w:sz w:val="32"/>
          <w:szCs w:val="32"/>
        </w:rPr>
      </w:pPr>
    </w:p>
    <w:tbl>
      <w:tblPr>
        <w:tblStyle w:val="28"/>
        <w:tblW w:w="9318"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3503"/>
        <w:gridCol w:w="825"/>
      </w:tblGrid>
      <w:tr>
        <w:tblPrEx>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exact"/>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exact"/>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exact"/>
              <w:jc w:val="center"/>
              <w:rPr>
                <w:rFonts w:ascii="宋体" w:hAnsi="宋体" w:cs="宋体"/>
                <w:b/>
                <w:bCs/>
                <w:kern w:val="0"/>
                <w:sz w:val="28"/>
                <w:szCs w:val="28"/>
              </w:rPr>
            </w:pPr>
            <w:r>
              <w:rPr>
                <w:rFonts w:hint="eastAsia" w:ascii="宋体" w:hAnsi="宋体" w:cs="宋体"/>
                <w:b/>
                <w:bCs/>
                <w:kern w:val="0"/>
                <w:sz w:val="28"/>
                <w:szCs w:val="28"/>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exact"/>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exact"/>
              <w:jc w:val="center"/>
              <w:rPr>
                <w:rFonts w:ascii="宋体" w:hAnsi="宋体" w:cs="宋体"/>
                <w:b/>
                <w:bCs/>
                <w:kern w:val="0"/>
                <w:sz w:val="28"/>
                <w:szCs w:val="28"/>
              </w:rPr>
            </w:pPr>
            <w:r>
              <w:rPr>
                <w:rFonts w:hint="eastAsia" w:ascii="宋体" w:hAnsi="宋体" w:cs="宋体"/>
                <w:b/>
                <w:bCs/>
                <w:kern w:val="0"/>
                <w:sz w:val="28"/>
                <w:szCs w:val="28"/>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bl>
    <w:p>
      <w:pPr>
        <w:spacing w:line="360" w:lineRule="auto"/>
        <w:contextualSpacing/>
        <w:jc w:val="left"/>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3.供应商不存在直接控股股东的，则填“无”。</w:t>
      </w:r>
    </w:p>
    <w:p>
      <w:pPr>
        <w:spacing w:line="360" w:lineRule="auto"/>
        <w:ind w:firstLine="420" w:firstLineChars="200"/>
        <w:contextualSpacing/>
        <w:jc w:val="left"/>
        <w:rPr>
          <w:rFonts w:ascii="宋体" w:hAnsi="宋体" w:cs="宋体"/>
          <w:szCs w:val="21"/>
        </w:rPr>
      </w:pPr>
    </w:p>
    <w:p>
      <w:pPr>
        <w:spacing w:line="360" w:lineRule="auto"/>
        <w:ind w:firstLine="560" w:firstLineChars="200"/>
        <w:contextualSpacing/>
        <w:jc w:val="left"/>
        <w:rPr>
          <w:rFonts w:ascii="宋体" w:hAnsi="宋体" w:cs="宋体"/>
          <w:sz w:val="28"/>
          <w:szCs w:val="28"/>
        </w:rPr>
      </w:pPr>
    </w:p>
    <w:p>
      <w:pPr>
        <w:spacing w:line="360" w:lineRule="auto"/>
        <w:contextualSpacing/>
        <w:jc w:val="center"/>
        <w:rPr>
          <w:rFonts w:ascii="宋体" w:hAnsi="宋体" w:cs="宋体"/>
          <w:sz w:val="24"/>
          <w:u w:val="single"/>
        </w:rPr>
      </w:pPr>
      <w:r>
        <w:rPr>
          <w:rFonts w:hint="eastAsia" w:ascii="宋体" w:hAnsi="宋体" w:cs="宋体"/>
          <w:sz w:val="24"/>
        </w:rPr>
        <w:t xml:space="preserve">        法定代表人或者委托代理人签字：</w:t>
      </w:r>
      <w:r>
        <w:rPr>
          <w:rFonts w:hint="eastAsia" w:ascii="宋体" w:hAnsi="宋体" w:cs="宋体"/>
          <w:sz w:val="24"/>
          <w:u w:val="single"/>
        </w:rPr>
        <w:t xml:space="preserve">                    </w:t>
      </w:r>
    </w:p>
    <w:p>
      <w:pPr>
        <w:spacing w:line="360" w:lineRule="auto"/>
        <w:ind w:firstLine="3120" w:firstLineChars="1300"/>
        <w:contextualSpacing/>
        <w:rPr>
          <w:rFonts w:ascii="宋体" w:hAnsi="宋体" w:cs="宋体"/>
          <w:sz w:val="24"/>
          <w:u w:val="single"/>
        </w:rPr>
      </w:pPr>
      <w:r>
        <w:rPr>
          <w:rFonts w:hint="eastAsia" w:ascii="宋体" w:hAnsi="宋体" w:cs="宋体"/>
          <w:sz w:val="24"/>
        </w:rPr>
        <w:t xml:space="preserve">供应商（公章 ）： </w:t>
      </w:r>
      <w:r>
        <w:rPr>
          <w:rFonts w:hint="eastAsia" w:ascii="宋体" w:hAnsi="宋体" w:cs="宋体"/>
          <w:sz w:val="24"/>
          <w:u w:val="single"/>
        </w:rPr>
        <w:t xml:space="preserve">                              </w:t>
      </w:r>
    </w:p>
    <w:p>
      <w:pPr>
        <w:spacing w:line="360" w:lineRule="auto"/>
        <w:ind w:firstLine="3120" w:firstLineChars="1300"/>
        <w:contextualSpacing/>
        <w:rPr>
          <w:rFonts w:ascii="宋体" w:hAnsi="宋体" w:cs="宋体"/>
          <w:b/>
          <w:sz w:val="28"/>
          <w:szCs w:val="28"/>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ascii="宋体" w:hAnsi="宋体" w:cs="宋体"/>
          <w:b/>
          <w:sz w:val="28"/>
          <w:szCs w:val="28"/>
        </w:rPr>
        <w:br w:type="page"/>
      </w:r>
    </w:p>
    <w:p>
      <w:pPr>
        <w:snapToGrid w:val="0"/>
        <w:spacing w:line="360" w:lineRule="auto"/>
        <w:jc w:val="center"/>
        <w:rPr>
          <w:rFonts w:ascii="宋体" w:hAnsi="宋体" w:cs="宋体"/>
          <w:b/>
          <w:sz w:val="32"/>
          <w:szCs w:val="32"/>
        </w:rPr>
      </w:pPr>
      <w:r>
        <w:rPr>
          <w:rFonts w:hint="eastAsia" w:ascii="宋体" w:hAnsi="宋体" w:cs="宋体"/>
          <w:b/>
          <w:sz w:val="32"/>
          <w:szCs w:val="32"/>
        </w:rPr>
        <w:t>供应商直接管理关系信息表</w:t>
      </w:r>
    </w:p>
    <w:p>
      <w:pPr>
        <w:snapToGrid w:val="0"/>
        <w:spacing w:line="360" w:lineRule="auto"/>
        <w:jc w:val="center"/>
        <w:rPr>
          <w:rFonts w:ascii="宋体" w:hAnsi="宋体" w:cs="宋体"/>
          <w:b/>
          <w:sz w:val="32"/>
          <w:szCs w:val="32"/>
        </w:rPr>
      </w:pPr>
    </w:p>
    <w:tbl>
      <w:tblPr>
        <w:tblStyle w:val="28"/>
        <w:tblW w:w="894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979"/>
      </w:tblGrid>
      <w:tr>
        <w:tblPrEx>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kern w:val="0"/>
                <w:sz w:val="28"/>
                <w:szCs w:val="28"/>
              </w:rPr>
            </w:pPr>
          </w:p>
        </w:tc>
      </w:tr>
    </w:tbl>
    <w:p>
      <w:pPr>
        <w:spacing w:line="360" w:lineRule="auto"/>
        <w:contextualSpacing/>
        <w:jc w:val="left"/>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3.供应商不存在直接管理关系的，则填“无”。</w:t>
      </w:r>
    </w:p>
    <w:p>
      <w:pPr>
        <w:spacing w:line="360" w:lineRule="auto"/>
        <w:contextualSpacing/>
        <w:jc w:val="left"/>
        <w:rPr>
          <w:rFonts w:ascii="宋体" w:hAnsi="宋体" w:cs="宋体"/>
          <w:sz w:val="28"/>
          <w:szCs w:val="28"/>
        </w:rPr>
      </w:pPr>
    </w:p>
    <w:p>
      <w:pPr>
        <w:spacing w:line="360" w:lineRule="auto"/>
        <w:contextualSpacing/>
        <w:jc w:val="left"/>
        <w:rPr>
          <w:rFonts w:ascii="宋体" w:hAnsi="宋体" w:cs="宋体"/>
          <w:sz w:val="28"/>
          <w:szCs w:val="28"/>
        </w:rPr>
      </w:pPr>
    </w:p>
    <w:p>
      <w:pPr>
        <w:spacing w:line="360" w:lineRule="auto"/>
        <w:contextualSpacing/>
        <w:jc w:val="left"/>
        <w:rPr>
          <w:rFonts w:ascii="宋体" w:hAnsi="宋体" w:cs="宋体"/>
          <w:sz w:val="28"/>
          <w:szCs w:val="28"/>
        </w:rPr>
      </w:pPr>
    </w:p>
    <w:p>
      <w:pPr>
        <w:spacing w:line="360" w:lineRule="auto"/>
        <w:contextualSpacing/>
        <w:jc w:val="left"/>
        <w:rPr>
          <w:rFonts w:ascii="宋体" w:hAnsi="宋体" w:cs="宋体"/>
          <w:sz w:val="28"/>
          <w:szCs w:val="28"/>
        </w:rPr>
      </w:pPr>
    </w:p>
    <w:p>
      <w:pPr>
        <w:spacing w:line="360" w:lineRule="auto"/>
        <w:contextualSpacing/>
        <w:jc w:val="left"/>
        <w:rPr>
          <w:rFonts w:ascii="宋体" w:hAnsi="宋体" w:cs="宋体"/>
          <w:sz w:val="28"/>
          <w:szCs w:val="28"/>
        </w:rPr>
      </w:pPr>
    </w:p>
    <w:p>
      <w:pPr>
        <w:spacing w:line="360" w:lineRule="auto"/>
        <w:contextualSpacing/>
        <w:jc w:val="left"/>
        <w:rPr>
          <w:rFonts w:ascii="宋体" w:hAnsi="宋体" w:cs="宋体"/>
          <w:sz w:val="28"/>
          <w:szCs w:val="28"/>
        </w:rPr>
      </w:pPr>
    </w:p>
    <w:p>
      <w:pPr>
        <w:spacing w:line="360" w:lineRule="auto"/>
        <w:contextualSpacing/>
        <w:jc w:val="center"/>
        <w:rPr>
          <w:rFonts w:ascii="宋体" w:hAnsi="宋体" w:cs="宋体"/>
          <w:sz w:val="24"/>
          <w:u w:val="single"/>
        </w:rPr>
      </w:pPr>
      <w:r>
        <w:rPr>
          <w:rFonts w:hint="eastAsia" w:ascii="宋体" w:hAnsi="宋体" w:cs="宋体"/>
          <w:sz w:val="24"/>
        </w:rPr>
        <w:t xml:space="preserve">              法定代表人或者委托代理人签字：</w:t>
      </w:r>
      <w:r>
        <w:rPr>
          <w:rFonts w:hint="eastAsia" w:ascii="宋体" w:hAnsi="宋体" w:cs="宋体"/>
          <w:sz w:val="24"/>
          <w:u w:val="single"/>
        </w:rPr>
        <w:t xml:space="preserve">                   </w:t>
      </w:r>
    </w:p>
    <w:p>
      <w:pPr>
        <w:spacing w:line="360" w:lineRule="auto"/>
        <w:ind w:firstLine="3600" w:firstLineChars="15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240" w:firstLineChars="100"/>
        <w:contextualSpacing/>
        <w:jc w:val="center"/>
        <w:rPr>
          <w:rFonts w:ascii="宋体" w:hAnsi="宋体" w:cs="宋体"/>
          <w:sz w:val="28"/>
          <w:szCs w:val="28"/>
        </w:rPr>
      </w:pPr>
      <w:r>
        <w:rPr>
          <w:rFonts w:hint="eastAsia" w:ascii="宋体" w:hAnsi="宋体" w:cs="宋体"/>
          <w:sz w:val="24"/>
        </w:rPr>
        <w:t xml:space="preserve">        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参与竞争性谈判声明</w:t>
      </w:r>
    </w:p>
    <w:p>
      <w:pPr>
        <w:spacing w:line="360" w:lineRule="auto"/>
        <w:jc w:val="center"/>
        <w:rPr>
          <w:rFonts w:ascii="宋体" w:hAnsi="宋体" w:cs="宋体"/>
          <w:sz w:val="24"/>
          <w:szCs w:val="20"/>
        </w:rPr>
      </w:pPr>
    </w:p>
    <w:p>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w:t>
      </w:r>
      <w:r>
        <w:rPr>
          <w:rFonts w:hint="eastAsia" w:ascii="宋体" w:hAnsi="宋体" w:cs="宋体"/>
          <w:sz w:val="24"/>
          <w:lang w:bidi="ar"/>
        </w:rPr>
        <w:t>竞争性谈判</w:t>
      </w:r>
      <w:r>
        <w:rPr>
          <w:rFonts w:hint="eastAsia" w:ascii="宋体" w:hAnsi="宋体" w:cs="宋体"/>
          <w:sz w:val="24"/>
        </w:rPr>
        <w:t>，为便于贵方公正、择优地确定成交供应商及其参与</w:t>
      </w:r>
      <w:r>
        <w:rPr>
          <w:rFonts w:hint="eastAsia" w:ascii="宋体" w:hAnsi="宋体" w:cs="宋体"/>
          <w:sz w:val="24"/>
          <w:lang w:bidi="ar"/>
        </w:rPr>
        <w:t>竞争性谈判的</w:t>
      </w:r>
      <w:r>
        <w:rPr>
          <w:rFonts w:hint="eastAsia" w:ascii="宋体" w:hAnsi="宋体" w:cs="宋体"/>
          <w:sz w:val="24"/>
        </w:rPr>
        <w:t>产品和服务，我方就本次参与</w:t>
      </w:r>
      <w:r>
        <w:rPr>
          <w:rFonts w:hint="eastAsia" w:ascii="宋体" w:hAnsi="宋体" w:cs="宋体"/>
          <w:sz w:val="24"/>
          <w:lang w:bidi="ar"/>
        </w:rPr>
        <w:t>竞争性谈判</w:t>
      </w:r>
      <w:r>
        <w:rPr>
          <w:rFonts w:hint="eastAsia" w:ascii="宋体" w:hAnsi="宋体" w:cs="宋体"/>
          <w:sz w:val="24"/>
        </w:rPr>
        <w:t>有关事项郑重声明如下：</w:t>
      </w:r>
    </w:p>
    <w:p>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pPr>
        <w:spacing w:line="360" w:lineRule="auto"/>
        <w:ind w:firstLine="480" w:firstLineChars="200"/>
        <w:contextualSpacing/>
        <w:rPr>
          <w:rFonts w:ascii="宋体" w:hAnsi="宋体" w:cs="宋体"/>
          <w:sz w:val="24"/>
        </w:rPr>
      </w:pPr>
      <w:r>
        <w:rPr>
          <w:rFonts w:hint="eastAsia" w:ascii="宋体" w:hAnsi="宋体" w:cs="宋体"/>
          <w:sz w:val="24"/>
        </w:rPr>
        <w:t>（1）将按谈判文件的约定履行合同责任和义务；</w:t>
      </w:r>
    </w:p>
    <w:p>
      <w:pPr>
        <w:spacing w:line="360" w:lineRule="auto"/>
        <w:ind w:firstLine="480" w:firstLineChars="200"/>
        <w:contextualSpacing/>
        <w:rPr>
          <w:rFonts w:ascii="宋体" w:hAnsi="宋体" w:cs="宋体"/>
          <w:sz w:val="24"/>
        </w:rPr>
      </w:pPr>
      <w:r>
        <w:rPr>
          <w:rFonts w:hint="eastAsia" w:ascii="宋体" w:hAnsi="宋体" w:cs="宋体"/>
          <w:sz w:val="24"/>
        </w:rPr>
        <w:t>（2）已详细审查全部谈判文件，包括补遗文件（如有）；</w:t>
      </w:r>
    </w:p>
    <w:p>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（3）同意提供按照贵方可能要求的与谈判有关的一切数据或者资料；</w:t>
      </w:r>
    </w:p>
    <w:p>
      <w:pPr>
        <w:spacing w:line="360" w:lineRule="auto"/>
        <w:ind w:firstLine="480" w:firstLineChars="200"/>
        <w:contextualSpacing/>
        <w:rPr>
          <w:rFonts w:ascii="宋体" w:hAnsi="宋体" w:cs="宋体"/>
          <w:sz w:val="24"/>
        </w:rPr>
      </w:pPr>
      <w:r>
        <w:rPr>
          <w:rFonts w:hint="eastAsia" w:ascii="宋体" w:hAnsi="宋体" w:cs="宋体"/>
          <w:sz w:val="24"/>
        </w:rPr>
        <w:t>（4）响应谈判文件规定的</w:t>
      </w:r>
      <w:r>
        <w:rPr>
          <w:rFonts w:hint="eastAsia" w:ascii="宋体" w:hAnsi="宋体" w:cs="宋体"/>
          <w:sz w:val="24"/>
          <w:lang w:bidi="ar"/>
        </w:rPr>
        <w:t>竞争性谈判</w:t>
      </w:r>
      <w:r>
        <w:rPr>
          <w:rFonts w:hint="eastAsia" w:ascii="宋体" w:hAnsi="宋体" w:cs="宋体"/>
          <w:sz w:val="24"/>
        </w:rPr>
        <w:t>有效期。</w:t>
      </w:r>
    </w:p>
    <w:p>
      <w:pPr>
        <w:spacing w:line="360" w:lineRule="auto"/>
        <w:ind w:firstLine="480" w:firstLineChars="200"/>
        <w:contextualSpacing/>
        <w:rPr>
          <w:rFonts w:ascii="宋体" w:hAnsi="宋体" w:cs="宋体"/>
          <w:sz w:val="24"/>
        </w:rPr>
      </w:pPr>
      <w:r>
        <w:rPr>
          <w:rFonts w:hint="eastAsia" w:ascii="宋体" w:hAnsi="宋体" w:cs="宋体"/>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sz w:val="24"/>
        </w:rPr>
      </w:pPr>
      <w:r>
        <w:rPr>
          <w:rFonts w:hint="eastAsia" w:ascii="宋体" w:hAnsi="宋体" w:cs="宋体"/>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pStyle w:val="17"/>
        <w:spacing w:line="360" w:lineRule="auto"/>
        <w:ind w:firstLine="480" w:firstLineChars="200"/>
        <w:contextualSpacing/>
        <w:rPr>
          <w:rFonts w:hAnsi="宋体" w:cs="宋体"/>
          <w:sz w:val="24"/>
          <w:szCs w:val="24"/>
          <w:u w:val="single"/>
        </w:rPr>
      </w:pPr>
      <w:r>
        <w:rPr>
          <w:rFonts w:hint="eastAsia" w:hAnsi="宋体" w:cs="宋体"/>
          <w:sz w:val="24"/>
          <w:szCs w:val="24"/>
        </w:rPr>
        <w:t>6.与本谈判有关的一切正式往来信函请寄：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pPr>
        <w:pStyle w:val="17"/>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pPr>
        <w:pStyle w:val="15"/>
        <w:tabs>
          <w:tab w:val="left" w:pos="939"/>
        </w:tabs>
        <w:spacing w:line="360" w:lineRule="auto"/>
        <w:ind w:left="0" w:leftChars="0" w:firstLine="360" w:firstLineChars="15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帐号/行号：</w:t>
      </w:r>
      <w:r>
        <w:rPr>
          <w:rFonts w:hint="eastAsia" w:ascii="宋体" w:hAnsi="宋体" w:cs="宋体"/>
          <w:sz w:val="24"/>
          <w:u w:val="single"/>
        </w:rPr>
        <w:t xml:space="preserve">           </w:t>
      </w:r>
    </w:p>
    <w:p>
      <w:pPr>
        <w:pStyle w:val="15"/>
        <w:tabs>
          <w:tab w:val="left" w:pos="939"/>
        </w:tabs>
        <w:spacing w:line="360" w:lineRule="auto"/>
        <w:ind w:left="0" w:leftChars="0" w:firstLine="360" w:firstLineChars="150"/>
        <w:rPr>
          <w:rFonts w:ascii="宋体" w:hAnsi="宋体" w:cs="宋体"/>
          <w:sz w:val="24"/>
        </w:rPr>
      </w:pPr>
      <w:r>
        <w:rPr>
          <w:rFonts w:hint="eastAsia" w:ascii="宋体" w:hAnsi="宋体" w:cs="宋体"/>
          <w:sz w:val="24"/>
        </w:rPr>
        <w:t>7.</w:t>
      </w:r>
      <w:r>
        <w:rPr>
          <w:rFonts w:ascii="宋体" w:hAnsi="宋体" w:cs="宋体"/>
          <w:sz w:val="24"/>
        </w:rPr>
        <w:t>我方若</w:t>
      </w:r>
      <w:r>
        <w:rPr>
          <w:rFonts w:hint="eastAsia" w:ascii="宋体" w:hAnsi="宋体" w:cs="宋体"/>
          <w:sz w:val="24"/>
        </w:rPr>
        <w:t>参与</w:t>
      </w:r>
      <w:r>
        <w:rPr>
          <w:rFonts w:hint="eastAsia" w:ascii="宋体" w:hAnsi="宋体" w:cs="宋体"/>
          <w:sz w:val="24"/>
          <w:lang w:bidi="ar"/>
        </w:rPr>
        <w:t>竞争性谈判</w:t>
      </w:r>
      <w:r>
        <w:rPr>
          <w:rFonts w:hint="eastAsia" w:ascii="宋体" w:hAnsi="宋体" w:cs="宋体"/>
          <w:sz w:val="24"/>
        </w:rPr>
        <w:t>成功</w:t>
      </w:r>
      <w:r>
        <w:rPr>
          <w:rFonts w:ascii="宋体" w:hAnsi="宋体" w:cs="宋体"/>
          <w:sz w:val="24"/>
        </w:rPr>
        <w:t>，将采取</w:t>
      </w:r>
      <w:r>
        <w:rPr>
          <w:rFonts w:ascii="宋体" w:hAnsi="宋体" w:cs="宋体"/>
          <w:sz w:val="24"/>
          <w:u w:val="single"/>
        </w:rPr>
        <w:t>      </w:t>
      </w:r>
      <w:r>
        <w:rPr>
          <w:rFonts w:ascii="宋体" w:hAnsi="宋体" w:cs="宋体"/>
          <w:sz w:val="24"/>
        </w:rPr>
        <w:t>（</w:t>
      </w:r>
      <w:r>
        <w:rPr>
          <w:rFonts w:hint="eastAsia" w:ascii="宋体" w:hAnsi="宋体" w:cs="宋体"/>
          <w:sz w:val="24"/>
        </w:rPr>
        <w:t>汽车、火车、飞机等</w:t>
      </w:r>
      <w:r>
        <w:rPr>
          <w:rFonts w:ascii="宋体" w:hAnsi="宋体" w:cs="宋体"/>
          <w:sz w:val="24"/>
        </w:rPr>
        <w:t>）方式运输货物。</w:t>
      </w:r>
    </w:p>
    <w:p>
      <w:pPr>
        <w:pStyle w:val="15"/>
        <w:tabs>
          <w:tab w:val="left" w:pos="939"/>
        </w:tabs>
        <w:spacing w:line="360" w:lineRule="auto"/>
        <w:ind w:left="0" w:leftChars="0" w:firstLine="360" w:firstLineChars="15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我方若参与</w:t>
      </w:r>
      <w:r>
        <w:rPr>
          <w:rFonts w:hint="eastAsia" w:ascii="宋体" w:hAnsi="宋体" w:cs="宋体"/>
          <w:sz w:val="24"/>
          <w:lang w:bidi="ar"/>
        </w:rPr>
        <w:t>竞争性谈判</w:t>
      </w:r>
      <w:r>
        <w:rPr>
          <w:rFonts w:hint="eastAsia" w:ascii="宋体" w:hAnsi="宋体" w:cs="宋体"/>
          <w:sz w:val="24"/>
        </w:rPr>
        <w:t>成功，除非发生不可抗力，承诺与采购人及时签订《合同书》。如果放弃，自愿按照本文件之《供应商须知正文》第2</w:t>
      </w:r>
      <w:r>
        <w:rPr>
          <w:rFonts w:ascii="宋体" w:hAnsi="宋体" w:cs="宋体"/>
          <w:sz w:val="24"/>
        </w:rPr>
        <w:t>7.5</w:t>
      </w:r>
      <w:r>
        <w:rPr>
          <w:rFonts w:hint="eastAsia" w:ascii="宋体" w:hAnsi="宋体" w:cs="宋体"/>
          <w:sz w:val="24"/>
        </w:rPr>
        <w:t>条的要求承担法律责任和失信惩戒。</w:t>
      </w:r>
    </w:p>
    <w:p>
      <w:pPr>
        <w:pStyle w:val="15"/>
        <w:tabs>
          <w:tab w:val="left" w:pos="939"/>
        </w:tabs>
        <w:spacing w:line="360" w:lineRule="auto"/>
        <w:ind w:left="0" w:leftChars="0" w:firstLine="360" w:firstLineChars="150"/>
        <w:rPr>
          <w:rFonts w:ascii="宋体" w:hAnsi="宋体" w:cs="宋体"/>
          <w:sz w:val="24"/>
        </w:rPr>
      </w:pPr>
      <w:r>
        <w:rPr>
          <w:rFonts w:hint="eastAsia" w:ascii="宋体" w:hAnsi="宋体" w:cs="宋体"/>
          <w:sz w:val="24"/>
        </w:rPr>
        <w:t>9.以上事项如有虚假或者隐瞒，我方愿意承担一切后果，并不再寻求任何旨在减轻或者免除法律责任的辩解。</w:t>
      </w:r>
    </w:p>
    <w:p>
      <w:pPr>
        <w:pStyle w:val="15"/>
        <w:tabs>
          <w:tab w:val="left" w:pos="939"/>
        </w:tabs>
        <w:spacing w:line="360" w:lineRule="auto"/>
        <w:ind w:left="0" w:leftChars="0" w:firstLine="360" w:firstLineChars="150"/>
        <w:rPr>
          <w:rFonts w:ascii="宋体" w:hAnsi="宋体" w:cs="宋体"/>
          <w:szCs w:val="21"/>
        </w:rPr>
      </w:pPr>
      <w:r>
        <w:rPr>
          <w:rFonts w:hint="eastAsia" w:ascii="宋体" w:hAnsi="宋体" w:cs="宋体"/>
          <w:sz w:val="24"/>
        </w:rPr>
        <w:t>特此承诺。</w:t>
      </w:r>
    </w:p>
    <w:p>
      <w:pPr>
        <w:spacing w:line="360" w:lineRule="auto"/>
        <w:contextualSpacing/>
        <w:jc w:val="left"/>
        <w:rPr>
          <w:rFonts w:ascii="楷体" w:hAnsi="楷体" w:eastAsia="楷体" w:cs="宋体"/>
          <w:b/>
          <w:sz w:val="24"/>
        </w:rPr>
      </w:pPr>
      <w:r>
        <w:rPr>
          <w:rFonts w:hint="eastAsia" w:ascii="宋体" w:hAnsi="宋体" w:cs="宋体"/>
          <w:b/>
          <w:sz w:val="24"/>
        </w:rPr>
        <w:t xml:space="preserve">   </w:t>
      </w:r>
      <w:r>
        <w:rPr>
          <w:rFonts w:hint="eastAsia" w:ascii="楷体" w:hAnsi="楷体" w:eastAsia="楷体" w:cs="宋体"/>
          <w:b/>
          <w:sz w:val="24"/>
        </w:rPr>
        <w:t xml:space="preserve"> 注：如为联合体参与</w:t>
      </w:r>
      <w:r>
        <w:rPr>
          <w:rFonts w:hint="eastAsia" w:ascii="楷体" w:hAnsi="楷体" w:eastAsia="楷体" w:cs="宋体"/>
          <w:b/>
          <w:sz w:val="24"/>
          <w:lang w:bidi="ar"/>
        </w:rPr>
        <w:t>竞争性谈判</w:t>
      </w:r>
      <w:r>
        <w:rPr>
          <w:rFonts w:hint="eastAsia" w:ascii="楷体" w:hAnsi="楷体" w:eastAsia="楷体" w:cs="宋体"/>
          <w:b/>
          <w:sz w:val="24"/>
        </w:rPr>
        <w:t>，盖章处须加盖联合体各方公章并由联合体各方法定代表人分别签署，否则响应文件按无效响应处理。</w:t>
      </w:r>
    </w:p>
    <w:p>
      <w:pPr>
        <w:spacing w:line="360" w:lineRule="auto"/>
        <w:contextualSpacing/>
        <w:jc w:val="left"/>
        <w:rPr>
          <w:rFonts w:ascii="宋体" w:hAnsi="宋体" w:cs="宋体"/>
          <w:szCs w:val="21"/>
        </w:rPr>
      </w:pPr>
    </w:p>
    <w:p>
      <w:pPr>
        <w:spacing w:line="360" w:lineRule="auto"/>
        <w:ind w:firstLine="4320" w:firstLineChars="1800"/>
        <w:contextualSpacing/>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20" w:firstLineChars="18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240" w:firstLineChars="100"/>
        <w:contextualSpacing/>
        <w:jc w:val="center"/>
        <w:rPr>
          <w:rFonts w:ascii="宋体" w:hAnsi="宋体" w:cs="宋体"/>
          <w:b/>
          <w:sz w:val="32"/>
          <w:szCs w:val="32"/>
        </w:rPr>
      </w:pPr>
      <w:r>
        <w:rPr>
          <w:rFonts w:hint="eastAsia" w:ascii="宋体" w:hAnsi="宋体" w:cs="宋体"/>
          <w:sz w:val="24"/>
        </w:rPr>
        <w:t xml:space="preserve">                      日 </w:t>
      </w:r>
      <w:r>
        <w:rPr>
          <w:rFonts w:ascii="宋体" w:hAnsi="宋体" w:cs="宋体"/>
          <w:sz w:val="24"/>
        </w:rPr>
        <w:t xml:space="preserve"> </w:t>
      </w:r>
      <w:r>
        <w:rPr>
          <w:rFonts w:hint="eastAsia" w:ascii="宋体" w:hAnsi="宋体" w:cs="宋体"/>
          <w:sz w:val="24"/>
        </w:rPr>
        <w:t xml:space="preserve">期： </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ascii="宋体" w:hAnsi="宋体" w:cs="宋体"/>
          <w:sz w:val="32"/>
          <w:szCs w:val="32"/>
        </w:rPr>
        <w:br w:type="page"/>
      </w:r>
      <w:r>
        <w:rPr>
          <w:rFonts w:hint="eastAsia" w:ascii="宋体" w:hAnsi="宋体" w:cs="宋体"/>
          <w:b/>
          <w:sz w:val="32"/>
          <w:szCs w:val="32"/>
        </w:rPr>
        <w:t>联合体参与竞争性谈判协议书</w:t>
      </w:r>
    </w:p>
    <w:p>
      <w:pPr>
        <w:pStyle w:val="7"/>
        <w:overflowPunct w:val="0"/>
        <w:spacing w:line="360" w:lineRule="auto"/>
        <w:ind w:firstLine="0"/>
        <w:contextualSpacing/>
        <w:rPr>
          <w:rFonts w:ascii="宋体" w:hAnsi="宋体" w:cs="宋体"/>
          <w:sz w:val="24"/>
          <w:szCs w:val="24"/>
        </w:rPr>
      </w:pP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w:t>
      </w:r>
      <w:r>
        <w:rPr>
          <w:rFonts w:hint="eastAsia" w:ascii="宋体" w:hAnsi="宋体" w:cs="宋体"/>
          <w:sz w:val="24"/>
          <w:lang w:bidi="ar"/>
        </w:rPr>
        <w:t>竞争性谈判</w:t>
      </w:r>
      <w:r>
        <w:rPr>
          <w:rFonts w:hint="eastAsia" w:ascii="宋体" w:hAnsi="宋体" w:cs="宋体"/>
          <w:sz w:val="24"/>
          <w:szCs w:val="24"/>
        </w:rPr>
        <w:t>。现就联合体参与</w:t>
      </w:r>
      <w:r>
        <w:rPr>
          <w:rFonts w:hint="eastAsia" w:ascii="宋体" w:hAnsi="宋体" w:cs="宋体"/>
          <w:sz w:val="24"/>
          <w:lang w:bidi="ar"/>
        </w:rPr>
        <w:t>竞争性谈判</w:t>
      </w:r>
      <w:r>
        <w:rPr>
          <w:rFonts w:hint="eastAsia" w:ascii="宋体" w:hAnsi="宋体" w:cs="宋体"/>
          <w:sz w:val="24"/>
          <w:szCs w:val="24"/>
        </w:rPr>
        <w:t>事宜订立如下协议。</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2.联合体各成员授权牵头人代表联合体参加</w:t>
      </w:r>
      <w:r>
        <w:rPr>
          <w:rFonts w:hint="eastAsia" w:ascii="宋体" w:hAnsi="宋体" w:cs="宋体"/>
          <w:sz w:val="24"/>
          <w:lang w:bidi="ar"/>
        </w:rPr>
        <w:t>竞争性谈判</w:t>
      </w:r>
      <w:r>
        <w:rPr>
          <w:rFonts w:hint="eastAsia" w:ascii="宋体" w:hAnsi="宋体" w:cs="宋体"/>
          <w:sz w:val="24"/>
          <w:szCs w:val="24"/>
        </w:rPr>
        <w:t>活动，签署文件及对文件的盖章，提交和接收相关的资料、信息及指示，进行合同谈判活动，负责合同实施阶段的组织和协调工作，以及处理与本</w:t>
      </w:r>
      <w:r>
        <w:rPr>
          <w:rFonts w:hint="eastAsia" w:ascii="宋体" w:hAnsi="宋体" w:cs="宋体"/>
          <w:sz w:val="24"/>
          <w:lang w:bidi="ar"/>
        </w:rPr>
        <w:t>竞争性谈判</w:t>
      </w:r>
      <w:r>
        <w:rPr>
          <w:rFonts w:hint="eastAsia" w:ascii="宋体" w:hAnsi="宋体" w:cs="宋体"/>
          <w:sz w:val="24"/>
          <w:szCs w:val="24"/>
        </w:rPr>
        <w:t>项目有关的一切事宜。</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协议书自所有成员单位法定代表人或者其委托代理人签字或者盖单位章之日起生效，合同履行完毕后自动失效。</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份，联合体成员和采购人各执壹份。</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注：本协议书由法定代表人签字的，应附法定代表人身份证明；由委托代理人签字的，应附联合体协议签订授权委托书（格式自拟）。</w:t>
      </w:r>
    </w:p>
    <w:p>
      <w:pPr>
        <w:pStyle w:val="7"/>
        <w:overflowPunct w:val="0"/>
        <w:spacing w:line="360" w:lineRule="auto"/>
        <w:ind w:firstLineChars="175"/>
        <w:contextualSpacing/>
        <w:rPr>
          <w:rFonts w:ascii="宋体" w:hAnsi="宋体" w:cs="宋体"/>
          <w:sz w:val="24"/>
          <w:szCs w:val="24"/>
        </w:rPr>
      </w:pP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联合体牵头人名称（公章）：</w:t>
      </w: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法定代表人或者其委托代理人（签字）：</w:t>
      </w:r>
    </w:p>
    <w:p>
      <w:pPr>
        <w:pStyle w:val="7"/>
        <w:overflowPunct w:val="0"/>
        <w:spacing w:line="360" w:lineRule="auto"/>
        <w:ind w:firstLine="0"/>
        <w:contextualSpacing/>
        <w:rPr>
          <w:rFonts w:ascii="宋体" w:hAnsi="宋体" w:cs="宋体"/>
          <w:sz w:val="24"/>
          <w:szCs w:val="24"/>
        </w:rPr>
      </w:pP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联合体成员名称（公章）：</w:t>
      </w: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法定代表人或者其委托代理人（签字）：</w:t>
      </w:r>
    </w:p>
    <w:p>
      <w:pPr>
        <w:pStyle w:val="7"/>
        <w:overflowPunct w:val="0"/>
        <w:spacing w:line="360" w:lineRule="auto"/>
        <w:ind w:firstLine="0"/>
        <w:contextualSpacing/>
        <w:rPr>
          <w:rFonts w:ascii="宋体" w:hAnsi="宋体" w:cs="宋体"/>
          <w:sz w:val="24"/>
          <w:szCs w:val="24"/>
        </w:rPr>
      </w:pP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联合体成员名称（公章）：</w:t>
      </w: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法定代表人或者其委托代理人（签字）：</w:t>
      </w:r>
    </w:p>
    <w:p>
      <w:pPr>
        <w:pStyle w:val="7"/>
        <w:overflowPunct w:val="0"/>
        <w:spacing w:line="360" w:lineRule="auto"/>
        <w:ind w:firstLine="0"/>
        <w:contextualSpacing/>
        <w:rPr>
          <w:rFonts w:ascii="宋体" w:hAnsi="宋体" w:cs="宋体"/>
          <w:sz w:val="24"/>
          <w:szCs w:val="24"/>
        </w:rPr>
      </w:pPr>
      <w:r>
        <w:rPr>
          <w:rFonts w:hint="eastAsia" w:ascii="宋体" w:hAnsi="宋体" w:cs="宋体"/>
          <w:sz w:val="24"/>
          <w:szCs w:val="24"/>
        </w:rPr>
        <w:t>……</w:t>
      </w:r>
    </w:p>
    <w:p>
      <w:pPr>
        <w:spacing w:line="360" w:lineRule="auto"/>
        <w:contextualSpacing/>
        <w:jc w:val="right"/>
        <w:rPr>
          <w:rFonts w:ascii="宋体" w:hAnsi="宋体" w:cs="宋体"/>
          <w:sz w:val="24"/>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ascii="宋体" w:hAnsi="宋体" w:cs="宋体"/>
          <w:sz w:val="32"/>
          <w:szCs w:val="32"/>
        </w:rPr>
        <w:t xml:space="preserve"> </w:t>
      </w:r>
    </w:p>
    <w:p>
      <w:pPr>
        <w:spacing w:line="360" w:lineRule="auto"/>
        <w:contextualSpacing/>
        <w:jc w:val="left"/>
        <w:rPr>
          <w:rFonts w:ascii="宋体" w:hAnsi="宋体" w:cs="宋体"/>
          <w:b/>
          <w:sz w:val="32"/>
          <w:szCs w:val="32"/>
        </w:rPr>
      </w:pPr>
      <w:r>
        <w:rPr>
          <w:rFonts w:hint="eastAsia" w:ascii="宋体" w:hAnsi="宋体" w:cs="宋体"/>
          <w:szCs w:val="21"/>
        </w:rPr>
        <w:br w:type="page"/>
      </w:r>
      <w:r>
        <w:rPr>
          <w:rFonts w:hint="eastAsia" w:ascii="宋体" w:hAnsi="宋体" w:cs="宋体"/>
          <w:b/>
          <w:bCs/>
          <w:sz w:val="32"/>
          <w:szCs w:val="32"/>
        </w:rPr>
        <w:t>二、</w:t>
      </w:r>
      <w:r>
        <w:rPr>
          <w:rFonts w:hint="eastAsia" w:ascii="宋体" w:hAnsi="宋体" w:cs="宋体"/>
          <w:b/>
          <w:sz w:val="32"/>
          <w:szCs w:val="32"/>
        </w:rPr>
        <w:t xml:space="preserve">报价商务技术文件格式 </w:t>
      </w:r>
    </w:p>
    <w:p>
      <w:pPr>
        <w:snapToGrid w:val="0"/>
        <w:spacing w:line="360" w:lineRule="auto"/>
        <w:jc w:val="left"/>
        <w:rPr>
          <w:rFonts w:ascii="宋体" w:hAnsi="宋体" w:cs="宋体"/>
          <w:b/>
          <w:sz w:val="32"/>
          <w:szCs w:val="32"/>
        </w:rPr>
      </w:pPr>
      <w:r>
        <w:rPr>
          <w:rFonts w:hint="eastAsia" w:ascii="宋体" w:hAnsi="宋体" w:cs="宋体"/>
          <w:b/>
          <w:sz w:val="32"/>
          <w:szCs w:val="32"/>
        </w:rPr>
        <w:t>1.报价商务技术文件封面格式</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p>
    <w:p>
      <w:pPr>
        <w:snapToGrid w:val="0"/>
        <w:spacing w:line="360" w:lineRule="auto"/>
        <w:rPr>
          <w:rFonts w:ascii="宋体" w:hAnsi="宋体" w:cs="宋体"/>
          <w:sz w:val="24"/>
          <w:szCs w:val="20"/>
        </w:rPr>
      </w:pPr>
    </w:p>
    <w:p>
      <w:pPr>
        <w:snapToGrid w:val="0"/>
        <w:spacing w:line="360" w:lineRule="auto"/>
        <w:jc w:val="center"/>
        <w:rPr>
          <w:rFonts w:ascii="宋体" w:hAnsi="宋体" w:cs="宋体"/>
          <w:bCs/>
          <w:sz w:val="84"/>
          <w:szCs w:val="84"/>
        </w:rPr>
      </w:pPr>
      <w:r>
        <w:rPr>
          <w:rFonts w:hint="eastAsia" w:ascii="宋体" w:hAnsi="宋体" w:cs="宋体"/>
          <w:b/>
          <w:sz w:val="84"/>
          <w:szCs w:val="84"/>
        </w:rPr>
        <w:t>响  应  文  件</w:t>
      </w:r>
    </w:p>
    <w:p>
      <w:pPr>
        <w:snapToGrid w:val="0"/>
        <w:spacing w:line="360" w:lineRule="auto"/>
        <w:rPr>
          <w:rFonts w:ascii="宋体" w:hAnsi="宋体" w:cs="宋体"/>
          <w:sz w:val="24"/>
          <w:szCs w:val="20"/>
        </w:rPr>
      </w:pPr>
    </w:p>
    <w:p>
      <w:pPr>
        <w:snapToGrid w:val="0"/>
        <w:spacing w:line="360" w:lineRule="auto"/>
        <w:jc w:val="center"/>
        <w:rPr>
          <w:rFonts w:ascii="宋体" w:hAnsi="宋体" w:cs="宋体"/>
          <w:bCs/>
          <w:sz w:val="32"/>
          <w:szCs w:val="32"/>
        </w:rPr>
      </w:pPr>
      <w:r>
        <w:rPr>
          <w:rFonts w:hint="eastAsia" w:ascii="宋体" w:hAnsi="宋体" w:cs="宋体"/>
          <w:bCs/>
          <w:sz w:val="32"/>
          <w:szCs w:val="32"/>
        </w:rPr>
        <w:t>报价商务技术文件</w:t>
      </w:r>
    </w:p>
    <w:p>
      <w:pPr>
        <w:snapToGrid w:val="0"/>
        <w:spacing w:line="360" w:lineRule="auto"/>
        <w:rPr>
          <w:rFonts w:ascii="宋体" w:hAnsi="宋体" w:cs="宋体"/>
          <w:bCs/>
          <w:sz w:val="28"/>
          <w:szCs w:val="28"/>
        </w:rPr>
      </w:pPr>
    </w:p>
    <w:p>
      <w:pPr>
        <w:snapToGrid w:val="0"/>
        <w:spacing w:line="360" w:lineRule="auto"/>
        <w:rPr>
          <w:rFonts w:ascii="宋体" w:hAnsi="宋体" w:cs="宋体"/>
          <w:bCs/>
          <w:sz w:val="28"/>
          <w:szCs w:val="28"/>
        </w:rPr>
      </w:pPr>
    </w:p>
    <w:p>
      <w:pPr>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项目名称：</w:t>
      </w:r>
    </w:p>
    <w:p>
      <w:pPr>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 xml:space="preserve">项目编号： </w:t>
      </w:r>
    </w:p>
    <w:p>
      <w:pPr>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所竞分标（如有）：</w:t>
      </w:r>
    </w:p>
    <w:p>
      <w:pPr>
        <w:pStyle w:val="7"/>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供应商名称：</w:t>
      </w:r>
    </w:p>
    <w:p>
      <w:pPr>
        <w:pStyle w:val="7"/>
        <w:snapToGrid w:val="0"/>
        <w:spacing w:line="360" w:lineRule="auto"/>
        <w:ind w:firstLine="1680" w:firstLineChars="600"/>
        <w:rPr>
          <w:rFonts w:ascii="宋体" w:hAnsi="宋体" w:cs="宋体"/>
          <w:bCs/>
          <w:sz w:val="28"/>
          <w:szCs w:val="28"/>
        </w:rPr>
      </w:pPr>
    </w:p>
    <w:p>
      <w:pPr>
        <w:snapToGrid w:val="0"/>
        <w:spacing w:line="360" w:lineRule="auto"/>
        <w:jc w:val="center"/>
        <w:rPr>
          <w:rFonts w:ascii="宋体" w:hAnsi="宋体" w:cs="宋体"/>
          <w:sz w:val="28"/>
          <w:szCs w:val="28"/>
        </w:rPr>
      </w:pPr>
      <w:r>
        <w:rPr>
          <w:rFonts w:hint="eastAsia" w:ascii="宋体" w:hAnsi="宋体" w:cs="宋体"/>
          <w:sz w:val="28"/>
          <w:szCs w:val="28"/>
        </w:rPr>
        <w:t>年    月    日</w:t>
      </w:r>
    </w:p>
    <w:p>
      <w:pPr>
        <w:snapToGrid w:val="0"/>
        <w:spacing w:line="360" w:lineRule="auto"/>
        <w:jc w:val="left"/>
        <w:rPr>
          <w:rFonts w:ascii="宋体" w:hAnsi="宋体" w:cs="宋体"/>
          <w:b/>
          <w:bCs/>
          <w:sz w:val="24"/>
        </w:rPr>
      </w:pPr>
      <w:r>
        <w:rPr>
          <w:rFonts w:hint="eastAsia" w:ascii="宋体" w:hAnsi="宋体" w:cs="宋体"/>
          <w:sz w:val="28"/>
          <w:szCs w:val="28"/>
        </w:rPr>
        <w:br w:type="page"/>
      </w:r>
      <w:r>
        <w:rPr>
          <w:rFonts w:hint="eastAsia" w:ascii="宋体" w:hAnsi="宋体" w:cs="宋体"/>
          <w:b/>
          <w:bCs/>
          <w:sz w:val="32"/>
          <w:szCs w:val="32"/>
        </w:rPr>
        <w:t>2.报价商务技术文件目录</w:t>
      </w:r>
    </w:p>
    <w:p>
      <w:pPr>
        <w:snapToGrid w:val="0"/>
        <w:spacing w:line="360" w:lineRule="auto"/>
        <w:ind w:firstLine="480" w:firstLineChars="200"/>
        <w:rPr>
          <w:rFonts w:ascii="宋体" w:hAnsi="宋体" w:cs="宋体"/>
          <w:sz w:val="24"/>
        </w:rPr>
      </w:pPr>
      <w:r>
        <w:rPr>
          <w:rFonts w:hint="eastAsia" w:ascii="宋体" w:hAnsi="宋体" w:cs="宋体"/>
          <w:sz w:val="24"/>
        </w:rPr>
        <w:t>根据谈判文件规定及供应商提供的材料自行编写目录（部分格式后附）。</w:t>
      </w:r>
    </w:p>
    <w:p>
      <w:pPr>
        <w:spacing w:line="360" w:lineRule="auto"/>
        <w:rPr>
          <w:rFonts w:ascii="宋体" w:hAnsi="宋体" w:cs="宋体"/>
          <w:sz w:val="32"/>
          <w:szCs w:val="32"/>
        </w:rPr>
      </w:pPr>
    </w:p>
    <w:p>
      <w:pPr>
        <w:spacing w:line="360" w:lineRule="auto"/>
        <w:jc w:val="center"/>
        <w:rPr>
          <w:rFonts w:ascii="宋体" w:hAnsi="宋体" w:cs="宋体"/>
          <w:b/>
          <w:sz w:val="32"/>
          <w:szCs w:val="32"/>
        </w:rPr>
      </w:pPr>
      <w:r>
        <w:rPr>
          <w:rFonts w:hint="eastAsia" w:ascii="宋体" w:hAnsi="宋体" w:cs="宋体"/>
          <w:sz w:val="44"/>
          <w:szCs w:val="44"/>
        </w:rPr>
        <w:br w:type="page"/>
      </w:r>
      <w:r>
        <w:rPr>
          <w:rFonts w:hint="eastAsia" w:ascii="宋体" w:hAnsi="宋体" w:cs="宋体"/>
          <w:b/>
          <w:sz w:val="44"/>
          <w:szCs w:val="44"/>
        </w:rPr>
        <w:t>无串通参与竞争性谈判行为的承诺函</w:t>
      </w:r>
    </w:p>
    <w:p>
      <w:pPr>
        <w:spacing w:line="360" w:lineRule="auto"/>
        <w:ind w:firstLine="640" w:firstLineChars="200"/>
        <w:contextualSpacing/>
        <w:rPr>
          <w:rFonts w:ascii="宋体" w:hAnsi="宋体" w:cs="宋体"/>
          <w:sz w:val="32"/>
          <w:szCs w:val="32"/>
        </w:rPr>
      </w:pPr>
    </w:p>
    <w:p>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一、我方承诺无下列相互串通参与</w:t>
      </w:r>
      <w:r>
        <w:rPr>
          <w:rFonts w:hint="eastAsia" w:ascii="宋体" w:hAnsi="宋体" w:cs="宋体"/>
          <w:b/>
          <w:sz w:val="24"/>
          <w:lang w:bidi="ar"/>
        </w:rPr>
        <w:t>竞争性谈判</w:t>
      </w:r>
      <w:r>
        <w:rPr>
          <w:rFonts w:hint="eastAsia" w:ascii="宋体" w:hAnsi="宋体" w:cs="宋体"/>
          <w:b/>
          <w:bCs/>
          <w:sz w:val="24"/>
        </w:rPr>
        <w:t>的情形：</w:t>
      </w:r>
    </w:p>
    <w:p>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2.不同供应商委托同一单位或者个人办理参与</w:t>
      </w:r>
      <w:r>
        <w:rPr>
          <w:rFonts w:hint="eastAsia" w:ascii="宋体" w:hAnsi="宋体" w:cs="宋体"/>
          <w:sz w:val="24"/>
          <w:lang w:bidi="ar"/>
        </w:rPr>
        <w:t>竞争性谈判</w:t>
      </w:r>
      <w:r>
        <w:rPr>
          <w:rFonts w:hint="eastAsia" w:ascii="宋体" w:hAnsi="宋体" w:cs="宋体"/>
          <w:sz w:val="24"/>
        </w:rPr>
        <w:t>事宜；</w:t>
      </w:r>
    </w:p>
    <w:p>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同供应商的响应文件异常一致或者参与</w:t>
      </w:r>
      <w:r>
        <w:rPr>
          <w:rFonts w:hint="eastAsia" w:ascii="宋体" w:hAnsi="宋体" w:cs="宋体"/>
          <w:sz w:val="24"/>
          <w:lang w:bidi="ar"/>
        </w:rPr>
        <w:t>竞争性谈判的</w:t>
      </w:r>
      <w:r>
        <w:rPr>
          <w:rFonts w:hint="eastAsia" w:ascii="宋体" w:hAnsi="宋体" w:cs="宋体"/>
          <w:spacing w:val="-6"/>
          <w:sz w:val="24"/>
        </w:rPr>
        <w:t>报价呈规律性差异；</w:t>
      </w:r>
    </w:p>
    <w:p>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pPr>
        <w:spacing w:line="360" w:lineRule="auto"/>
        <w:ind w:firstLine="480" w:firstLineChars="200"/>
        <w:contextualSpacing/>
        <w:rPr>
          <w:rFonts w:ascii="宋体" w:hAnsi="宋体" w:cs="宋体"/>
          <w:sz w:val="24"/>
        </w:rPr>
      </w:pPr>
      <w:r>
        <w:rPr>
          <w:rFonts w:hint="eastAsia" w:ascii="宋体" w:hAnsi="宋体" w:cs="宋体"/>
          <w:sz w:val="24"/>
        </w:rPr>
        <w:t>6.不同供应商的谈判保证金从同一单位或者个人账户转出。</w:t>
      </w:r>
    </w:p>
    <w:p>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w:t>
      </w:r>
      <w:r>
        <w:rPr>
          <w:rFonts w:hint="eastAsia" w:ascii="宋体" w:hAnsi="宋体" w:cs="宋体"/>
          <w:sz w:val="24"/>
          <w:lang w:bidi="ar"/>
        </w:rPr>
        <w:t>竞争性谈判</w:t>
      </w:r>
      <w:r>
        <w:rPr>
          <w:rFonts w:hint="eastAsia" w:ascii="宋体" w:hAnsi="宋体" w:cs="宋体"/>
          <w:sz w:val="24"/>
        </w:rPr>
        <w:t>报价,或者在竞争性谈判项目中事先约定轮流以高价位或者低价位成交,或者事先约定由某一特定供应商成交,然后再参加</w:t>
      </w:r>
      <w:r>
        <w:rPr>
          <w:rFonts w:hint="eastAsia" w:ascii="宋体" w:hAnsi="宋体" w:cs="宋体"/>
          <w:sz w:val="24"/>
          <w:lang w:bidi="ar"/>
        </w:rPr>
        <w:t>竞争性谈判</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pPr>
        <w:spacing w:line="360" w:lineRule="auto"/>
        <w:ind w:firstLine="480" w:firstLineChars="200"/>
        <w:contextualSpacing/>
        <w:rPr>
          <w:rFonts w:ascii="宋体" w:hAnsi="宋体" w:cs="宋体"/>
          <w:sz w:val="24"/>
        </w:rPr>
      </w:pPr>
    </w:p>
    <w:p>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pPr>
        <w:spacing w:line="360" w:lineRule="auto"/>
        <w:ind w:firstLine="480" w:firstLineChars="200"/>
        <w:contextualSpacing/>
        <w:rPr>
          <w:rFonts w:ascii="宋体" w:hAnsi="宋体" w:cs="宋体"/>
          <w:sz w:val="24"/>
        </w:rPr>
      </w:pPr>
    </w:p>
    <w:p>
      <w:pPr>
        <w:spacing w:line="360" w:lineRule="auto"/>
        <w:ind w:firstLine="5040" w:firstLineChars="2100"/>
        <w:contextualSpacing/>
        <w:rPr>
          <w:rFonts w:ascii="宋体" w:hAnsi="宋体" w:cs="宋体"/>
          <w:sz w:val="24"/>
        </w:rPr>
      </w:pPr>
      <w:r>
        <w:rPr>
          <w:rFonts w:hint="eastAsia" w:ascii="宋体" w:hAnsi="宋体" w:cs="宋体"/>
          <w:sz w:val="24"/>
        </w:rPr>
        <w:t>供应商（公章 ）：</w:t>
      </w:r>
    </w:p>
    <w:p>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日 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tabs>
          <w:tab w:val="left" w:pos="3479"/>
        </w:tabs>
        <w:spacing w:line="360" w:lineRule="auto"/>
        <w:jc w:val="center"/>
        <w:rPr>
          <w:rFonts w:ascii="宋体" w:hAnsi="宋体" w:cs="宋体"/>
          <w:b/>
          <w:bCs/>
          <w:sz w:val="32"/>
          <w:szCs w:val="32"/>
        </w:rPr>
      </w:pPr>
      <w:r>
        <w:rPr>
          <w:rFonts w:hint="eastAsia" w:ascii="宋体" w:hAnsi="宋体" w:cs="宋体"/>
          <w:b/>
          <w:bCs/>
          <w:sz w:val="44"/>
          <w:szCs w:val="44"/>
        </w:rPr>
        <w:t>竞争性谈判报价表</w:t>
      </w:r>
    </w:p>
    <w:p>
      <w:pPr>
        <w:spacing w:line="360" w:lineRule="auto"/>
        <w:jc w:val="center"/>
        <w:rPr>
          <w:rFonts w:ascii="宋体" w:hAnsi="宋体" w:cs="宋体"/>
          <w:bCs/>
          <w:sz w:val="24"/>
        </w:rPr>
      </w:pPr>
    </w:p>
    <w:p>
      <w:pPr>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分标（如有）：</w:t>
      </w:r>
      <w:r>
        <w:rPr>
          <w:rFonts w:hint="eastAsia" w:ascii="宋体" w:hAnsi="宋体" w:cs="宋体"/>
          <w:sz w:val="24"/>
          <w:u w:val="single"/>
        </w:rPr>
        <w:t xml:space="preserve">            </w:t>
      </w:r>
    </w:p>
    <w:p>
      <w:pPr>
        <w:snapToGrid w:val="0"/>
        <w:spacing w:line="360" w:lineRule="auto"/>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5520" w:firstLineChars="2300"/>
        <w:rPr>
          <w:rFonts w:ascii="宋体" w:hAnsi="宋体" w:cs="宋体"/>
          <w:sz w:val="24"/>
        </w:rPr>
      </w:pPr>
      <w:r>
        <w:rPr>
          <w:rFonts w:hint="eastAsia" w:ascii="宋体" w:hAnsi="宋体" w:cs="宋体"/>
          <w:sz w:val="24"/>
        </w:rPr>
        <w:t>货币单位：人民币元</w:t>
      </w:r>
    </w:p>
    <w:tbl>
      <w:tblPr>
        <w:tblStyle w:val="28"/>
        <w:tblW w:w="10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0"/>
        <w:gridCol w:w="810"/>
        <w:gridCol w:w="1440"/>
        <w:gridCol w:w="1095"/>
        <w:gridCol w:w="795"/>
        <w:gridCol w:w="945"/>
        <w:gridCol w:w="885"/>
        <w:gridCol w:w="109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320" w:lineRule="exact"/>
              <w:jc w:val="center"/>
              <w:rPr>
                <w:rFonts w:ascii="宋体" w:hAnsi="宋体" w:cs="宋体"/>
                <w:sz w:val="24"/>
              </w:rPr>
            </w:pPr>
            <w:r>
              <w:rPr>
                <w:rFonts w:hint="eastAsia" w:ascii="宋体" w:hAnsi="宋体" w:cs="宋体"/>
                <w:sz w:val="24"/>
              </w:rPr>
              <w:t>序号</w:t>
            </w:r>
          </w:p>
        </w:tc>
        <w:tc>
          <w:tcPr>
            <w:tcW w:w="1550" w:type="dxa"/>
            <w:vAlign w:val="center"/>
          </w:tcPr>
          <w:p>
            <w:pPr>
              <w:snapToGrid w:val="0"/>
              <w:spacing w:line="320" w:lineRule="exact"/>
              <w:jc w:val="center"/>
              <w:rPr>
                <w:rFonts w:ascii="宋体" w:hAnsi="宋体" w:cs="宋体"/>
                <w:sz w:val="24"/>
              </w:rPr>
            </w:pPr>
            <w:r>
              <w:rPr>
                <w:rFonts w:hint="eastAsia" w:ascii="宋体" w:hAnsi="宋体" w:cs="宋体"/>
                <w:sz w:val="24"/>
              </w:rPr>
              <w:t>货物名称（标的名称）</w:t>
            </w:r>
          </w:p>
        </w:tc>
        <w:tc>
          <w:tcPr>
            <w:tcW w:w="810" w:type="dxa"/>
            <w:vAlign w:val="center"/>
          </w:tcPr>
          <w:p>
            <w:pPr>
              <w:snapToGrid w:val="0"/>
              <w:spacing w:line="320" w:lineRule="exact"/>
              <w:jc w:val="center"/>
              <w:rPr>
                <w:rFonts w:ascii="宋体" w:hAnsi="宋体" w:cs="宋体"/>
                <w:sz w:val="24"/>
              </w:rPr>
            </w:pPr>
            <w:r>
              <w:rPr>
                <w:rFonts w:hint="eastAsia" w:ascii="宋体" w:hAnsi="宋体" w:cs="宋体"/>
                <w:sz w:val="24"/>
              </w:rPr>
              <w:t>品牌</w:t>
            </w:r>
          </w:p>
        </w:tc>
        <w:tc>
          <w:tcPr>
            <w:tcW w:w="1440" w:type="dxa"/>
            <w:vAlign w:val="center"/>
          </w:tcPr>
          <w:p>
            <w:pPr>
              <w:snapToGrid w:val="0"/>
              <w:spacing w:line="320" w:lineRule="exact"/>
              <w:jc w:val="center"/>
              <w:rPr>
                <w:rFonts w:ascii="宋体" w:hAnsi="宋体" w:cs="宋体"/>
                <w:sz w:val="24"/>
              </w:rPr>
            </w:pPr>
            <w:r>
              <w:rPr>
                <w:rFonts w:hint="eastAsia" w:ascii="宋体" w:hAnsi="宋体" w:cs="宋体"/>
                <w:sz w:val="24"/>
              </w:rPr>
              <w:t>型号（与铭牌一致）</w:t>
            </w:r>
          </w:p>
        </w:tc>
        <w:tc>
          <w:tcPr>
            <w:tcW w:w="1095" w:type="dxa"/>
            <w:vAlign w:val="center"/>
          </w:tcPr>
          <w:p>
            <w:pPr>
              <w:snapToGrid w:val="0"/>
              <w:spacing w:line="320" w:lineRule="exact"/>
              <w:jc w:val="center"/>
              <w:rPr>
                <w:rFonts w:ascii="宋体" w:hAnsi="宋体" w:cs="宋体"/>
                <w:sz w:val="24"/>
              </w:rPr>
            </w:pPr>
            <w:r>
              <w:rPr>
                <w:rFonts w:hint="eastAsia" w:ascii="宋体" w:hAnsi="宋体" w:cs="宋体"/>
                <w:sz w:val="24"/>
              </w:rPr>
              <w:t>生产厂家</w:t>
            </w:r>
          </w:p>
        </w:tc>
        <w:tc>
          <w:tcPr>
            <w:tcW w:w="795" w:type="dxa"/>
            <w:vAlign w:val="center"/>
          </w:tcPr>
          <w:p>
            <w:pPr>
              <w:snapToGrid w:val="0"/>
              <w:spacing w:line="320" w:lineRule="exact"/>
              <w:jc w:val="center"/>
              <w:rPr>
                <w:rFonts w:ascii="宋体" w:hAnsi="宋体" w:cs="宋体"/>
                <w:sz w:val="24"/>
              </w:rPr>
            </w:pPr>
            <w:r>
              <w:rPr>
                <w:rFonts w:hint="eastAsia" w:ascii="宋体" w:hAnsi="宋体" w:cs="宋体"/>
                <w:sz w:val="24"/>
              </w:rPr>
              <w:t>产地</w:t>
            </w:r>
          </w:p>
        </w:tc>
        <w:tc>
          <w:tcPr>
            <w:tcW w:w="945" w:type="dxa"/>
            <w:vAlign w:val="center"/>
          </w:tcPr>
          <w:p>
            <w:pPr>
              <w:snapToGrid w:val="0"/>
              <w:spacing w:line="320" w:lineRule="exact"/>
              <w:jc w:val="center"/>
              <w:rPr>
                <w:rFonts w:ascii="宋体" w:hAnsi="宋体" w:cs="宋体"/>
                <w:sz w:val="24"/>
              </w:rPr>
            </w:pPr>
            <w:r>
              <w:rPr>
                <w:rFonts w:hint="eastAsia" w:ascii="宋体" w:hAnsi="宋体" w:cs="宋体"/>
                <w:sz w:val="24"/>
              </w:rPr>
              <w:t>数  量①</w:t>
            </w:r>
          </w:p>
        </w:tc>
        <w:tc>
          <w:tcPr>
            <w:tcW w:w="885" w:type="dxa"/>
            <w:vAlign w:val="center"/>
          </w:tcPr>
          <w:p>
            <w:pPr>
              <w:snapToGrid w:val="0"/>
              <w:spacing w:line="320" w:lineRule="exact"/>
              <w:jc w:val="center"/>
              <w:rPr>
                <w:rFonts w:ascii="宋体" w:hAnsi="宋体" w:cs="宋体"/>
                <w:sz w:val="24"/>
              </w:rPr>
            </w:pPr>
            <w:r>
              <w:rPr>
                <w:rFonts w:hint="eastAsia" w:ascii="宋体" w:hAnsi="宋体" w:cs="宋体"/>
                <w:sz w:val="24"/>
              </w:rPr>
              <w:t>单位</w:t>
            </w:r>
          </w:p>
        </w:tc>
        <w:tc>
          <w:tcPr>
            <w:tcW w:w="1095" w:type="dxa"/>
            <w:vAlign w:val="center"/>
          </w:tcPr>
          <w:p>
            <w:pPr>
              <w:snapToGrid w:val="0"/>
              <w:spacing w:line="320" w:lineRule="exact"/>
              <w:jc w:val="center"/>
              <w:rPr>
                <w:rFonts w:ascii="宋体" w:hAnsi="宋体" w:cs="宋体"/>
                <w:sz w:val="24"/>
              </w:rPr>
            </w:pPr>
            <w:r>
              <w:rPr>
                <w:rFonts w:hint="eastAsia" w:ascii="宋体" w:hAnsi="宋体" w:cs="宋体"/>
                <w:sz w:val="24"/>
              </w:rPr>
              <w:t>单  价</w:t>
            </w:r>
          </w:p>
          <w:p>
            <w:pPr>
              <w:snapToGrid w:val="0"/>
              <w:spacing w:line="320" w:lineRule="exact"/>
              <w:jc w:val="center"/>
              <w:rPr>
                <w:rFonts w:ascii="宋体" w:hAnsi="宋体" w:cs="宋体"/>
                <w:sz w:val="24"/>
              </w:rPr>
            </w:pPr>
            <w:r>
              <w:rPr>
                <w:rFonts w:hint="eastAsia" w:ascii="宋体" w:hAnsi="宋体" w:cs="宋体"/>
                <w:sz w:val="24"/>
              </w:rPr>
              <w:t>②</w:t>
            </w:r>
          </w:p>
        </w:tc>
        <w:tc>
          <w:tcPr>
            <w:tcW w:w="1492" w:type="dxa"/>
            <w:vAlign w:val="center"/>
          </w:tcPr>
          <w:p>
            <w:pPr>
              <w:snapToGrid w:val="0"/>
              <w:spacing w:before="50" w:after="50" w:line="320" w:lineRule="exact"/>
              <w:jc w:val="center"/>
              <w:rPr>
                <w:rFonts w:ascii="宋体" w:hAnsi="宋体" w:cs="宋体"/>
                <w:sz w:val="24"/>
              </w:rPr>
            </w:pPr>
            <w:r>
              <w:rPr>
                <w:rFonts w:hint="eastAsia" w:ascii="宋体" w:hAnsi="宋体" w:cs="宋体"/>
                <w:sz w:val="24"/>
                <w:lang w:bidi="ar"/>
              </w:rPr>
              <w:t>竞争性谈判</w:t>
            </w:r>
            <w:r>
              <w:rPr>
                <w:rFonts w:hint="eastAsia" w:ascii="宋体" w:hAnsi="宋体" w:cs="宋体"/>
                <w:sz w:val="24"/>
              </w:rPr>
              <w:t>报价</w:t>
            </w:r>
          </w:p>
          <w:p>
            <w:pPr>
              <w:snapToGrid w:val="0"/>
              <w:spacing w:line="320" w:lineRule="exact"/>
              <w:jc w:val="center"/>
              <w:rPr>
                <w:rFonts w:ascii="宋体" w:hAnsi="宋体" w:cs="宋体"/>
                <w:sz w:val="24"/>
              </w:rPr>
            </w:pPr>
            <w:r>
              <w:rPr>
                <w:rFonts w:hint="eastAsia" w:ascii="宋体" w:hAnsi="宋体" w:cs="宋体"/>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ascii="宋体" w:hAnsi="宋体" w:cs="宋体"/>
                <w:sz w:val="24"/>
              </w:rPr>
            </w:pPr>
            <w:r>
              <w:rPr>
                <w:rFonts w:hint="eastAsia" w:ascii="宋体" w:hAnsi="宋体" w:cs="宋体"/>
                <w:sz w:val="24"/>
              </w:rPr>
              <w:t>1</w:t>
            </w:r>
          </w:p>
        </w:tc>
        <w:tc>
          <w:tcPr>
            <w:tcW w:w="1550" w:type="dxa"/>
            <w:vAlign w:val="center"/>
          </w:tcPr>
          <w:p>
            <w:pPr>
              <w:snapToGrid w:val="0"/>
              <w:spacing w:line="460" w:lineRule="exact"/>
              <w:jc w:val="center"/>
              <w:rPr>
                <w:rFonts w:ascii="宋体" w:hAnsi="宋体" w:cs="宋体"/>
                <w:sz w:val="24"/>
              </w:rPr>
            </w:pPr>
          </w:p>
        </w:tc>
        <w:tc>
          <w:tcPr>
            <w:tcW w:w="810" w:type="dxa"/>
            <w:vAlign w:val="center"/>
          </w:tcPr>
          <w:p>
            <w:pPr>
              <w:snapToGrid w:val="0"/>
              <w:spacing w:line="460" w:lineRule="exact"/>
              <w:jc w:val="center"/>
              <w:rPr>
                <w:rFonts w:ascii="宋体" w:hAnsi="宋体" w:cs="宋体"/>
                <w:sz w:val="24"/>
              </w:rPr>
            </w:pPr>
          </w:p>
        </w:tc>
        <w:tc>
          <w:tcPr>
            <w:tcW w:w="1440" w:type="dxa"/>
            <w:vAlign w:val="center"/>
          </w:tcPr>
          <w:p>
            <w:pPr>
              <w:snapToGrid w:val="0"/>
              <w:spacing w:line="460" w:lineRule="exact"/>
              <w:jc w:val="center"/>
              <w:rPr>
                <w:rFonts w:ascii="宋体" w:hAnsi="宋体" w:cs="宋体"/>
                <w:sz w:val="24"/>
              </w:rPr>
            </w:pPr>
          </w:p>
        </w:tc>
        <w:tc>
          <w:tcPr>
            <w:tcW w:w="1095" w:type="dxa"/>
          </w:tcPr>
          <w:p>
            <w:pPr>
              <w:snapToGrid w:val="0"/>
              <w:spacing w:line="460" w:lineRule="exact"/>
              <w:jc w:val="center"/>
              <w:rPr>
                <w:rFonts w:ascii="宋体" w:hAnsi="宋体" w:cs="宋体"/>
                <w:sz w:val="24"/>
              </w:rPr>
            </w:pPr>
          </w:p>
        </w:tc>
        <w:tc>
          <w:tcPr>
            <w:tcW w:w="795" w:type="dxa"/>
            <w:vAlign w:val="center"/>
          </w:tcPr>
          <w:p>
            <w:pPr>
              <w:snapToGrid w:val="0"/>
              <w:spacing w:line="460" w:lineRule="exact"/>
              <w:jc w:val="center"/>
              <w:rPr>
                <w:rFonts w:ascii="宋体" w:hAnsi="宋体" w:cs="宋体"/>
                <w:sz w:val="24"/>
              </w:rPr>
            </w:pPr>
          </w:p>
        </w:tc>
        <w:tc>
          <w:tcPr>
            <w:tcW w:w="945" w:type="dxa"/>
            <w:vAlign w:val="center"/>
          </w:tcPr>
          <w:p>
            <w:pPr>
              <w:pStyle w:val="72"/>
              <w:snapToGrid w:val="0"/>
              <w:spacing w:line="460" w:lineRule="exact"/>
              <w:ind w:left="360" w:firstLine="0" w:firstLineChars="0"/>
              <w:rPr>
                <w:rFonts w:ascii="宋体" w:hAnsi="宋体" w:cs="宋体"/>
                <w:sz w:val="24"/>
              </w:rPr>
            </w:pPr>
          </w:p>
        </w:tc>
        <w:tc>
          <w:tcPr>
            <w:tcW w:w="885" w:type="dxa"/>
          </w:tcPr>
          <w:p>
            <w:pPr>
              <w:snapToGrid w:val="0"/>
              <w:spacing w:line="460" w:lineRule="exact"/>
              <w:jc w:val="center"/>
              <w:rPr>
                <w:rFonts w:ascii="宋体" w:hAnsi="宋体" w:cs="宋体"/>
                <w:sz w:val="24"/>
              </w:rPr>
            </w:pPr>
          </w:p>
        </w:tc>
        <w:tc>
          <w:tcPr>
            <w:tcW w:w="1095" w:type="dxa"/>
            <w:vAlign w:val="center"/>
          </w:tcPr>
          <w:p>
            <w:pPr>
              <w:pStyle w:val="72"/>
              <w:snapToGrid w:val="0"/>
              <w:spacing w:line="460" w:lineRule="exact"/>
              <w:ind w:left="360" w:firstLine="0" w:firstLineChars="0"/>
              <w:rPr>
                <w:rFonts w:ascii="宋体" w:hAnsi="宋体" w:cs="宋体"/>
                <w:sz w:val="24"/>
              </w:rPr>
            </w:pPr>
          </w:p>
        </w:tc>
        <w:tc>
          <w:tcPr>
            <w:tcW w:w="1492" w:type="dxa"/>
          </w:tcPr>
          <w:p>
            <w:pPr>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u w:val="single"/>
              </w:rPr>
              <w:t>元整</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0816" w:type="dxa"/>
            <w:gridSpan w:val="10"/>
          </w:tcPr>
          <w:p>
            <w:pPr>
              <w:snapToGrid w:val="0"/>
              <w:spacing w:line="460" w:lineRule="exact"/>
              <w:jc w:val="left"/>
              <w:rPr>
                <w:rFonts w:ascii="宋体" w:hAnsi="宋体" w:cs="宋体"/>
                <w:sz w:val="24"/>
              </w:rPr>
            </w:pPr>
            <w:r>
              <w:rPr>
                <w:rFonts w:hint="eastAsia" w:ascii="宋体" w:hAnsi="宋体" w:cs="宋体"/>
                <w:sz w:val="24"/>
              </w:rPr>
              <w:t>交付时间：国产设备自签订合同之日起</w:t>
            </w:r>
            <w:r>
              <w:rPr>
                <w:rFonts w:ascii="宋体" w:hAnsi="宋体" w:cs="宋体"/>
                <w:sz w:val="24"/>
                <w:u w:val="single"/>
              </w:rPr>
              <w:t xml:space="preserve">   </w:t>
            </w:r>
            <w:r>
              <w:rPr>
                <w:rFonts w:hint="eastAsia" w:ascii="宋体" w:hAnsi="宋体" w:cs="宋体"/>
                <w:sz w:val="24"/>
              </w:rPr>
              <w:t>日历天内到货安装调试完成并通过验收。进口设备自签订合同之日起</w:t>
            </w:r>
            <w:r>
              <w:rPr>
                <w:rFonts w:ascii="宋体" w:hAnsi="宋体" w:cs="宋体"/>
                <w:sz w:val="24"/>
                <w:u w:val="single"/>
              </w:rPr>
              <w:t xml:space="preserve">    </w:t>
            </w:r>
            <w:r>
              <w:rPr>
                <w:rFonts w:hint="eastAsia" w:ascii="宋体" w:hAnsi="宋体" w:cs="宋体"/>
                <w:sz w:val="24"/>
              </w:rPr>
              <w:t>日历天内到货安装调试完成并通过验收。</w:t>
            </w:r>
          </w:p>
        </w:tc>
      </w:tr>
    </w:tbl>
    <w:p>
      <w:pPr>
        <w:pStyle w:val="2"/>
      </w:pPr>
    </w:p>
    <w:p>
      <w:pPr>
        <w:contextualSpacing/>
        <w:jc w:val="left"/>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pPr>
        <w:ind w:firstLine="480" w:firstLineChars="200"/>
        <w:contextualSpacing/>
        <w:jc w:val="left"/>
        <w:rPr>
          <w:rFonts w:ascii="楷体" w:hAnsi="楷体" w:eastAsia="楷体" w:cs="宋体"/>
          <w:b/>
          <w:sz w:val="24"/>
        </w:rPr>
      </w:pPr>
      <w:r>
        <w:rPr>
          <w:rFonts w:ascii="楷体" w:hAnsi="楷体" w:eastAsia="楷体" w:cs="宋体"/>
          <w:sz w:val="24"/>
        </w:rPr>
        <w:t>1.</w:t>
      </w:r>
      <w:r>
        <w:rPr>
          <w:rFonts w:hint="eastAsia" w:ascii="楷体" w:hAnsi="楷体" w:eastAsia="楷体" w:cs="宋体"/>
          <w:sz w:val="24"/>
        </w:rPr>
        <w:t>竞争性谈判报价表中“货物名称、数量、单位、品牌、型号、生产厂家、产地”必须如实填写完整，定制产品在型号栏中填写“定制”。</w:t>
      </w:r>
      <w:r>
        <w:rPr>
          <w:rFonts w:hint="eastAsia" w:ascii="楷体" w:hAnsi="楷体" w:eastAsia="楷体" w:cs="宋体"/>
          <w:b/>
          <w:sz w:val="24"/>
        </w:rPr>
        <w:t>填写有缺漏</w:t>
      </w:r>
      <w:r>
        <w:rPr>
          <w:rFonts w:hint="eastAsia" w:ascii="楷体" w:hAnsi="楷体" w:eastAsia="楷体" w:cs="宋体"/>
          <w:b/>
          <w:bCs/>
          <w:sz w:val="24"/>
        </w:rPr>
        <w:t>的，</w:t>
      </w:r>
      <w:r>
        <w:rPr>
          <w:rFonts w:hint="eastAsia" w:ascii="楷体" w:hAnsi="楷体" w:eastAsia="楷体" w:cs="宋体"/>
          <w:b/>
          <w:sz w:val="24"/>
        </w:rPr>
        <w:t>其响应文件按无效响应处理。</w:t>
      </w:r>
    </w:p>
    <w:p>
      <w:pPr>
        <w:snapToGrid w:val="0"/>
        <w:spacing w:before="50" w:after="50"/>
        <w:ind w:firstLine="482" w:firstLineChars="200"/>
        <w:jc w:val="left"/>
        <w:rPr>
          <w:rFonts w:ascii="楷体" w:hAnsi="楷体" w:eastAsia="楷体"/>
        </w:rPr>
      </w:pPr>
      <w:r>
        <w:rPr>
          <w:rFonts w:ascii="楷体" w:hAnsi="楷体" w:eastAsia="楷体" w:cs="宋体"/>
          <w:b/>
          <w:sz w:val="24"/>
        </w:rPr>
        <w:t>2.所填写的型号与货物铭牌一致。</w:t>
      </w:r>
    </w:p>
    <w:p>
      <w:pPr>
        <w:ind w:firstLine="480" w:firstLineChars="200"/>
        <w:contextualSpacing/>
        <w:jc w:val="left"/>
        <w:rPr>
          <w:rFonts w:ascii="楷体" w:hAnsi="楷体" w:eastAsia="楷体" w:cs="宋体"/>
          <w:sz w:val="24"/>
        </w:rPr>
      </w:pPr>
      <w:r>
        <w:rPr>
          <w:rFonts w:ascii="楷体" w:hAnsi="楷体" w:eastAsia="楷体" w:cs="宋体"/>
          <w:sz w:val="24"/>
        </w:rPr>
        <w:t>3.供应商的报价表必须加盖供应商公章并由法定代表人或者委托代理人签字，</w:t>
      </w:r>
      <w:r>
        <w:rPr>
          <w:rFonts w:hint="eastAsia" w:ascii="楷体" w:hAnsi="楷体" w:eastAsia="楷体" w:cs="宋体"/>
          <w:b/>
          <w:sz w:val="24"/>
        </w:rPr>
        <w:t>否则其响应文件按无效响应处理</w:t>
      </w:r>
      <w:r>
        <w:rPr>
          <w:rFonts w:hint="eastAsia" w:ascii="楷体" w:hAnsi="楷体" w:eastAsia="楷体" w:cs="宋体"/>
          <w:sz w:val="24"/>
        </w:rPr>
        <w:t>。</w:t>
      </w:r>
    </w:p>
    <w:p>
      <w:pPr>
        <w:ind w:firstLine="480" w:firstLineChars="200"/>
        <w:contextualSpacing/>
        <w:jc w:val="left"/>
        <w:rPr>
          <w:rFonts w:ascii="楷体" w:hAnsi="楷体" w:eastAsia="楷体" w:cs="宋体"/>
          <w:b/>
          <w:sz w:val="24"/>
        </w:rPr>
      </w:pPr>
      <w:r>
        <w:rPr>
          <w:rFonts w:ascii="楷体" w:hAnsi="楷体" w:eastAsia="楷体" w:cs="宋体"/>
          <w:bCs/>
          <w:sz w:val="24"/>
        </w:rPr>
        <w:t>4.</w:t>
      </w:r>
      <w:r>
        <w:rPr>
          <w:rFonts w:hint="eastAsia" w:ascii="楷体" w:hAnsi="楷体" w:eastAsia="楷体" w:cs="宋体"/>
          <w:sz w:val="24"/>
        </w:rPr>
        <w:t>报价一经涂改，应在涂改处加盖供应商公章或者由法定代表人或者授权委托人签字或者盖章</w:t>
      </w:r>
      <w:r>
        <w:rPr>
          <w:rFonts w:hint="eastAsia" w:ascii="楷体" w:hAnsi="楷体" w:eastAsia="楷体" w:cs="宋体"/>
          <w:b/>
          <w:sz w:val="24"/>
        </w:rPr>
        <w:t>，否则其响应文件按无效响应处理。</w:t>
      </w:r>
    </w:p>
    <w:p>
      <w:pPr>
        <w:ind w:firstLine="480" w:firstLineChars="200"/>
        <w:contextualSpacing/>
        <w:jc w:val="left"/>
        <w:rPr>
          <w:rFonts w:ascii="楷体" w:hAnsi="楷体" w:eastAsia="楷体" w:cs="宋体"/>
          <w:sz w:val="24"/>
        </w:rPr>
      </w:pPr>
      <w:r>
        <w:rPr>
          <w:rFonts w:ascii="楷体" w:hAnsi="楷体" w:eastAsia="楷体" w:cs="宋体"/>
          <w:sz w:val="24"/>
        </w:rPr>
        <w:t>5.谈判文件中列明采购专用耗材的，应按谈判文件规定的耗材量或者按耗材的常规</w:t>
      </w:r>
      <w:r>
        <w:rPr>
          <w:rFonts w:hint="eastAsia" w:ascii="楷体" w:hAnsi="楷体" w:eastAsia="楷体" w:cs="宋体"/>
          <w:sz w:val="24"/>
        </w:rPr>
        <w:t>使用量提供报价。</w:t>
      </w:r>
    </w:p>
    <w:p>
      <w:pPr>
        <w:ind w:firstLine="480" w:firstLineChars="200"/>
        <w:contextualSpacing/>
        <w:jc w:val="left"/>
        <w:rPr>
          <w:rFonts w:ascii="楷体" w:hAnsi="楷体" w:eastAsia="楷体" w:cs="宋体"/>
          <w:sz w:val="24"/>
        </w:rPr>
      </w:pPr>
      <w:r>
        <w:rPr>
          <w:rFonts w:ascii="楷体" w:hAnsi="楷体" w:eastAsia="楷体" w:cs="宋体"/>
          <w:sz w:val="24"/>
        </w:rPr>
        <w:t>6.如为联合体</w:t>
      </w:r>
      <w:r>
        <w:rPr>
          <w:rFonts w:hint="eastAsia" w:ascii="楷体" w:hAnsi="楷体" w:eastAsia="楷体" w:cs="宋体"/>
          <w:sz w:val="24"/>
        </w:rPr>
        <w:t>参与竞争性谈判</w:t>
      </w:r>
      <w:r>
        <w:rPr>
          <w:rFonts w:ascii="楷体" w:hAnsi="楷体" w:eastAsia="楷体" w:cs="宋体"/>
          <w:sz w:val="24"/>
        </w:rPr>
        <w:t>,“供应商名称”处必须列明联合体各方名称，标注联合体牵头人名称，</w:t>
      </w:r>
      <w:r>
        <w:rPr>
          <w:rFonts w:hint="eastAsia" w:ascii="楷体" w:hAnsi="楷体" w:eastAsia="楷体" w:cs="宋体"/>
          <w:b/>
          <w:sz w:val="24"/>
        </w:rPr>
        <w:t>否则其响应文件按无效响应处理。（采购人可根据项目情况自行修改是否需要联合体各方签字盖章）</w:t>
      </w:r>
    </w:p>
    <w:p>
      <w:pPr>
        <w:ind w:firstLine="480" w:firstLineChars="200"/>
        <w:contextualSpacing/>
        <w:jc w:val="left"/>
        <w:rPr>
          <w:rFonts w:ascii="楷体" w:hAnsi="楷体" w:eastAsia="楷体" w:cs="宋体"/>
          <w:sz w:val="24"/>
        </w:rPr>
      </w:pPr>
      <w:r>
        <w:rPr>
          <w:rFonts w:ascii="楷体" w:hAnsi="楷体" w:eastAsia="楷体" w:cs="宋体"/>
          <w:sz w:val="24"/>
        </w:rPr>
        <w:t>7.如为联合体</w:t>
      </w:r>
      <w:r>
        <w:rPr>
          <w:rFonts w:hint="eastAsia" w:ascii="楷体" w:hAnsi="楷体" w:eastAsia="楷体" w:cs="宋体"/>
          <w:sz w:val="24"/>
        </w:rPr>
        <w:t>参与竞争性谈判</w:t>
      </w:r>
      <w:r>
        <w:rPr>
          <w:rFonts w:ascii="楷体" w:hAnsi="楷体" w:eastAsia="楷体" w:cs="宋体"/>
          <w:sz w:val="24"/>
        </w:rPr>
        <w:t>,盖章处须加盖联合体各方公章，</w:t>
      </w:r>
      <w:r>
        <w:rPr>
          <w:rFonts w:hint="eastAsia" w:ascii="楷体" w:hAnsi="楷体" w:eastAsia="楷体" w:cs="宋体"/>
          <w:b/>
          <w:sz w:val="24"/>
        </w:rPr>
        <w:t>否则其响应文件按无效响应处理。</w:t>
      </w:r>
    </w:p>
    <w:p>
      <w:pPr>
        <w:ind w:firstLine="480" w:firstLineChars="200"/>
        <w:contextualSpacing/>
        <w:rPr>
          <w:rFonts w:ascii="楷体" w:hAnsi="楷体" w:eastAsia="楷体" w:cs="宋体"/>
          <w:b/>
          <w:sz w:val="24"/>
        </w:rPr>
      </w:pPr>
      <w:r>
        <w:rPr>
          <w:rFonts w:ascii="楷体" w:hAnsi="楷体" w:eastAsia="楷体" w:cs="宋体"/>
          <w:sz w:val="24"/>
        </w:rPr>
        <w:t>8.</w:t>
      </w:r>
      <w:r>
        <w:rPr>
          <w:rFonts w:hint="eastAsia" w:ascii="楷体" w:hAnsi="楷体" w:eastAsia="楷体" w:cs="宋体"/>
          <w:spacing w:val="-6"/>
          <w:sz w:val="24"/>
        </w:rPr>
        <w:t>如有多分标，分别列明各分标的报价表，</w:t>
      </w:r>
      <w:r>
        <w:rPr>
          <w:rFonts w:hint="eastAsia" w:ascii="楷体" w:hAnsi="楷体" w:eastAsia="楷体" w:cs="宋体"/>
          <w:b/>
          <w:spacing w:val="-6"/>
          <w:sz w:val="24"/>
        </w:rPr>
        <w:t>否则其响应文件按无效响应处理。</w:t>
      </w:r>
      <w:r>
        <w:rPr>
          <w:rFonts w:hint="eastAsia" w:ascii="楷体" w:hAnsi="楷体" w:eastAsia="楷体" w:cs="宋体"/>
          <w:b/>
          <w:sz w:val="24"/>
        </w:rPr>
        <w:t>（采购人可根据项目情况自行修改是否需要联合体各方签字盖章）</w:t>
      </w:r>
    </w:p>
    <w:p>
      <w:pPr>
        <w:pStyle w:val="2"/>
        <w:rPr>
          <w:rFonts w:hint="eastAsia" w:ascii="楷体" w:hAnsi="楷体" w:eastAsia="楷体" w:cs="宋体"/>
          <w:b/>
          <w:sz w:val="24"/>
        </w:rPr>
      </w:pPr>
    </w:p>
    <w:p>
      <w:pPr>
        <w:spacing w:line="360" w:lineRule="auto"/>
        <w:ind w:firstLine="2640" w:firstLineChars="1100"/>
        <w:contextualSpacing/>
        <w:rPr>
          <w:rFonts w:ascii="宋体" w:hAnsi="宋体" w:cs="宋体"/>
          <w:sz w:val="24"/>
        </w:rPr>
      </w:pPr>
      <w:r>
        <w:rPr>
          <w:rFonts w:hint="eastAsia" w:ascii="宋体" w:hAnsi="宋体" w:cs="宋体"/>
          <w:sz w:val="24"/>
        </w:rPr>
        <w:t xml:space="preserve">法定代表人或者委托代理人（签字）：                    </w:t>
      </w:r>
    </w:p>
    <w:p>
      <w:pPr>
        <w:spacing w:line="360" w:lineRule="auto"/>
        <w:ind w:firstLine="2640" w:firstLineChars="1100"/>
        <w:contextualSpacing/>
        <w:rPr>
          <w:rFonts w:ascii="宋体" w:hAnsi="宋体" w:cs="宋体"/>
          <w:sz w:val="24"/>
        </w:rPr>
      </w:pPr>
      <w:r>
        <w:rPr>
          <w:rFonts w:hint="eastAsia" w:ascii="宋体" w:hAnsi="宋体" w:cs="宋体"/>
          <w:sz w:val="24"/>
        </w:rPr>
        <w:t xml:space="preserve">供应商（公章）：    </w:t>
      </w:r>
    </w:p>
    <w:p>
      <w:pPr>
        <w:spacing w:line="360" w:lineRule="auto"/>
        <w:ind w:firstLine="2640" w:firstLineChars="1100"/>
        <w:contextualSpacing/>
        <w:rPr>
          <w:rFonts w:ascii="宋体" w:hAnsi="宋体" w:cs="宋体"/>
          <w:b/>
          <w:sz w:val="24"/>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bCs/>
          <w:sz w:val="44"/>
          <w:szCs w:val="44"/>
        </w:rPr>
        <w:t>法定代表人身份证明</w:t>
      </w:r>
    </w:p>
    <w:p>
      <w:pPr>
        <w:spacing w:line="360" w:lineRule="auto"/>
        <w:contextualSpacing/>
        <w:rPr>
          <w:rFonts w:ascii="宋体" w:hAnsi="宋体" w:cs="宋体"/>
          <w:sz w:val="32"/>
          <w:szCs w:val="32"/>
        </w:rPr>
      </w:pPr>
    </w:p>
    <w:p>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pPr>
        <w:spacing w:line="360" w:lineRule="auto"/>
        <w:contextualSpacing/>
        <w:rPr>
          <w:rFonts w:ascii="宋体" w:hAnsi="宋体" w:cs="宋体"/>
          <w:sz w:val="24"/>
        </w:rPr>
      </w:pPr>
      <w:r>
        <w:rPr>
          <w:rFonts w:hint="eastAsia" w:ascii="宋体" w:hAnsi="宋体" w:cs="宋体"/>
          <w:sz w:val="24"/>
        </w:rPr>
        <w:t>特此证明。</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r>
        <w:rPr>
          <w:rFonts w:hint="eastAsia" w:ascii="宋体" w:hAnsi="宋体" w:cs="宋体"/>
          <w:sz w:val="24"/>
        </w:rPr>
        <w:t>附件：法定代表人有效身份证正反面复印件</w:t>
      </w:r>
    </w:p>
    <w:p>
      <w:pPr>
        <w:spacing w:line="360" w:lineRule="auto"/>
        <w:contextualSpacing/>
        <w:rPr>
          <w:rFonts w:ascii="宋体" w:hAnsi="宋体" w:cs="宋体"/>
          <w:sz w:val="24"/>
        </w:rPr>
      </w:pPr>
    </w:p>
    <w:p>
      <w:pPr>
        <w:spacing w:line="360" w:lineRule="auto"/>
        <w:ind w:right="960" w:firstLine="5040" w:firstLineChars="2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5040" w:firstLineChars="2100"/>
        <w:contextualSpacing/>
        <w:rPr>
          <w:rFonts w:ascii="宋体" w:hAnsi="宋体" w:cs="宋体"/>
          <w:sz w:val="24"/>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contextualSpacing/>
        <w:jc w:val="center"/>
        <w:rPr>
          <w:rFonts w:ascii="宋体" w:hAnsi="宋体" w:cs="宋体"/>
          <w:b/>
          <w:sz w:val="24"/>
        </w:rPr>
      </w:pPr>
    </w:p>
    <w:p>
      <w:pPr>
        <w:spacing w:line="360" w:lineRule="auto"/>
        <w:contextualSpacing/>
        <w:jc w:val="left"/>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jc w:val="left"/>
        <w:rPr>
          <w:rFonts w:ascii="楷体" w:hAnsi="楷体" w:eastAsia="楷体" w:cs="宋体"/>
          <w:sz w:val="24"/>
        </w:rPr>
      </w:pPr>
      <w:r>
        <w:rPr>
          <w:rFonts w:hint="eastAsia" w:ascii="楷体" w:hAnsi="楷体" w:eastAsia="楷体" w:cs="宋体"/>
          <w:sz w:val="24"/>
        </w:rPr>
        <w:t>自然人参与</w:t>
      </w:r>
      <w:r>
        <w:rPr>
          <w:rFonts w:hint="eastAsia" w:ascii="楷体" w:hAnsi="楷体" w:eastAsia="楷体" w:cs="宋体"/>
          <w:sz w:val="24"/>
          <w:lang w:bidi="ar"/>
        </w:rPr>
        <w:t>竞争性谈判</w:t>
      </w:r>
      <w:r>
        <w:rPr>
          <w:rFonts w:hint="eastAsia" w:ascii="楷体" w:hAnsi="楷体" w:eastAsia="楷体" w:cs="宋体"/>
          <w:sz w:val="24"/>
        </w:rPr>
        <w:t>的无需提供，联合体参与</w:t>
      </w:r>
      <w:r>
        <w:rPr>
          <w:rFonts w:hint="eastAsia" w:ascii="楷体" w:hAnsi="楷体" w:eastAsia="楷体" w:cs="宋体"/>
          <w:sz w:val="24"/>
          <w:lang w:bidi="ar"/>
        </w:rPr>
        <w:t>竞争性谈判</w:t>
      </w:r>
      <w:r>
        <w:rPr>
          <w:rFonts w:hint="eastAsia" w:ascii="楷体" w:hAnsi="楷体" w:eastAsia="楷体" w:cs="宋体"/>
          <w:sz w:val="24"/>
        </w:rPr>
        <w:t>的只需牵头人出具。</w:t>
      </w:r>
    </w:p>
    <w:p>
      <w:pPr>
        <w:adjustRightInd w:val="0"/>
        <w:snapToGrid w:val="0"/>
        <w:spacing w:line="360" w:lineRule="auto"/>
        <w:jc w:val="left"/>
        <w:rPr>
          <w:rFonts w:ascii="楷体" w:hAnsi="楷体" w:eastAsia="楷体" w:cs="宋体"/>
          <w:b/>
          <w:szCs w:val="21"/>
        </w:rPr>
      </w:pPr>
    </w:p>
    <w:p>
      <w:pPr>
        <w:spacing w:line="360" w:lineRule="auto"/>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授权委托书</w:t>
      </w:r>
    </w:p>
    <w:p>
      <w:pPr>
        <w:spacing w:line="360" w:lineRule="auto"/>
        <w:jc w:val="center"/>
        <w:rPr>
          <w:rFonts w:ascii="宋体" w:hAnsi="宋体" w:cs="宋体"/>
          <w:sz w:val="28"/>
          <w:szCs w:val="28"/>
        </w:rPr>
      </w:pPr>
      <w:r>
        <w:rPr>
          <w:rFonts w:hint="eastAsia" w:ascii="宋体" w:hAnsi="宋体" w:cs="宋体"/>
          <w:sz w:val="28"/>
          <w:szCs w:val="28"/>
        </w:rPr>
        <w:t>（非联合体参与竞争性谈判格式）</w:t>
      </w:r>
    </w:p>
    <w:p>
      <w:pPr>
        <w:spacing w:line="360" w:lineRule="auto"/>
        <w:jc w:val="center"/>
        <w:rPr>
          <w:rFonts w:ascii="宋体" w:hAnsi="宋体" w:cs="宋体"/>
          <w:sz w:val="28"/>
          <w:szCs w:val="28"/>
        </w:rPr>
      </w:pPr>
      <w:r>
        <w:rPr>
          <w:rFonts w:hint="eastAsia" w:ascii="宋体" w:hAnsi="宋体" w:cs="宋体"/>
          <w:sz w:val="28"/>
          <w:szCs w:val="28"/>
        </w:rPr>
        <w:t>（如有委托时）</w:t>
      </w:r>
    </w:p>
    <w:p>
      <w:pPr>
        <w:spacing w:line="360" w:lineRule="auto"/>
        <w:contextualSpacing/>
        <w:rPr>
          <w:rFonts w:ascii="宋体" w:hAnsi="宋体" w:cs="宋体"/>
          <w:sz w:val="32"/>
          <w:szCs w:val="32"/>
        </w:rPr>
      </w:pPr>
    </w:p>
    <w:p>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w:t>
      </w:r>
      <w:r>
        <w:rPr>
          <w:rFonts w:hint="eastAsia" w:ascii="宋体" w:hAnsi="宋体" w:cs="宋体"/>
          <w:sz w:val="24"/>
          <w:lang w:bidi="ar"/>
        </w:rPr>
        <w:t>竞争性谈判</w:t>
      </w:r>
      <w:r>
        <w:rPr>
          <w:rFonts w:hint="eastAsia" w:ascii="宋体" w:hAnsi="宋体" w:cs="宋体"/>
          <w:sz w:val="24"/>
        </w:rPr>
        <w:t>活动，并代表我方全权办理针对上述项目的所有采购程序和环节的具体事务和签署相关文件。</w:t>
      </w:r>
    </w:p>
    <w:p>
      <w:pPr>
        <w:spacing w:line="360" w:lineRule="auto"/>
        <w:contextualSpacing/>
        <w:rPr>
          <w:rFonts w:ascii="宋体" w:hAnsi="宋体" w:cs="宋体"/>
          <w:sz w:val="24"/>
        </w:rPr>
      </w:pPr>
      <w:r>
        <w:rPr>
          <w:rFonts w:hint="eastAsia" w:ascii="宋体" w:hAnsi="宋体" w:cs="宋体"/>
          <w:sz w:val="24"/>
        </w:rPr>
        <w:t xml:space="preserve">    我方对委托代理人的签字事项负全部责任。</w:t>
      </w:r>
    </w:p>
    <w:p>
      <w:pPr>
        <w:spacing w:line="360" w:lineRule="auto"/>
        <w:ind w:firstLine="480" w:firstLineChars="200"/>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宋体"/>
          <w:sz w:val="24"/>
        </w:rPr>
      </w:pPr>
      <w:r>
        <w:rPr>
          <w:rFonts w:hint="eastAsia" w:ascii="宋体" w:hAnsi="宋体" w:cs="宋体"/>
          <w:sz w:val="24"/>
        </w:rPr>
        <w:t>委托代理人无转委托权，特此委托。</w:t>
      </w:r>
    </w:p>
    <w:p>
      <w:pPr>
        <w:spacing w:line="360" w:lineRule="auto"/>
        <w:ind w:firstLine="480" w:firstLineChars="200"/>
        <w:contextualSpacing/>
        <w:rPr>
          <w:rFonts w:ascii="宋体" w:hAnsi="宋体" w:cs="宋体"/>
          <w:sz w:val="24"/>
        </w:rPr>
      </w:pPr>
      <w:r>
        <w:rPr>
          <w:rFonts w:hint="eastAsia" w:ascii="宋体" w:hAnsi="宋体" w:cs="宋体"/>
          <w:sz w:val="24"/>
        </w:rPr>
        <w:t>附：法定代表人身份证明及委托代理人有效身份证正反面复印件</w:t>
      </w:r>
    </w:p>
    <w:p>
      <w:pPr>
        <w:spacing w:line="360" w:lineRule="auto"/>
        <w:contextualSpacing/>
        <w:rPr>
          <w:rFonts w:ascii="宋体" w:hAnsi="宋体" w:cs="宋体"/>
          <w:sz w:val="24"/>
        </w:rPr>
      </w:pPr>
    </w:p>
    <w:p>
      <w:pPr>
        <w:spacing w:line="360" w:lineRule="auto"/>
        <w:contextualSpacing/>
        <w:rPr>
          <w:rFonts w:ascii="宋体" w:hAnsi="宋体" w:cs="宋体"/>
          <w:sz w:val="24"/>
        </w:rPr>
      </w:pPr>
      <w:r>
        <w:rPr>
          <w:rFonts w:hint="eastAsia" w:ascii="宋体" w:hAnsi="宋体" w:cs="宋体"/>
          <w:sz w:val="24"/>
        </w:rPr>
        <w:t xml:space="preserve">委托代理人（签字）：         法定代表人（签字）：                    </w:t>
      </w:r>
    </w:p>
    <w:p>
      <w:pPr>
        <w:spacing w:line="360" w:lineRule="auto"/>
        <w:contextualSpacing/>
        <w:rPr>
          <w:rFonts w:ascii="宋体" w:hAnsi="宋体" w:cs="宋体"/>
          <w:sz w:val="24"/>
        </w:rPr>
      </w:pPr>
      <w:r>
        <w:rPr>
          <w:rFonts w:hint="eastAsia" w:ascii="宋体" w:hAnsi="宋体" w:cs="宋体"/>
          <w:sz w:val="24"/>
        </w:rPr>
        <w:t xml:space="preserve">委托代理人身份证号码：                              </w:t>
      </w:r>
    </w:p>
    <w:p>
      <w:pPr>
        <w:spacing w:line="360" w:lineRule="auto"/>
        <w:contextualSpacing/>
        <w:rPr>
          <w:rFonts w:ascii="宋体" w:hAnsi="宋体" w:cs="宋体"/>
          <w:sz w:val="24"/>
        </w:rPr>
      </w:pPr>
      <w:r>
        <w:rPr>
          <w:rFonts w:hint="eastAsia" w:ascii="宋体" w:hAnsi="宋体" w:cs="宋体"/>
          <w:sz w:val="24"/>
        </w:rPr>
        <w:t xml:space="preserve">                                </w:t>
      </w:r>
    </w:p>
    <w:p>
      <w:pPr>
        <w:spacing w:line="360" w:lineRule="auto"/>
        <w:contextualSpacing/>
        <w:rPr>
          <w:rFonts w:ascii="宋体" w:hAnsi="宋体" w:cs="宋体"/>
          <w:sz w:val="24"/>
        </w:rPr>
      </w:pPr>
      <w:r>
        <w:rPr>
          <w:rFonts w:hint="eastAsia" w:ascii="宋体" w:hAnsi="宋体" w:cs="宋体"/>
          <w:sz w:val="24"/>
        </w:rPr>
        <w:t xml:space="preserve">                         供应商（公章）：                      </w:t>
      </w:r>
    </w:p>
    <w:p>
      <w:pPr>
        <w:spacing w:line="360" w:lineRule="auto"/>
        <w:contextualSpacing/>
        <w:rPr>
          <w:rFonts w:ascii="宋体" w:hAnsi="宋体" w:cs="宋体"/>
          <w:sz w:val="24"/>
        </w:rPr>
      </w:pPr>
      <w:r>
        <w:rPr>
          <w:rFonts w:hint="eastAsia" w:ascii="宋体" w:hAnsi="宋体" w:cs="宋体"/>
          <w:sz w:val="24"/>
        </w:rPr>
        <w:t xml:space="preserve">                         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contextualSpacing/>
        <w:rPr>
          <w:rFonts w:ascii="宋体" w:hAnsi="宋体" w:cs="宋体"/>
          <w:sz w:val="24"/>
        </w:rPr>
      </w:pPr>
    </w:p>
    <w:p>
      <w:pPr>
        <w:spacing w:line="360" w:lineRule="auto"/>
        <w:contextualSpacing/>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ascii="楷体" w:hAnsi="楷体" w:eastAsia="楷体" w:cs="宋体"/>
          <w:sz w:val="24"/>
        </w:rPr>
      </w:pPr>
      <w:r>
        <w:rPr>
          <w:rFonts w:ascii="楷体" w:hAnsi="楷体" w:eastAsia="楷体" w:cs="宋体"/>
          <w:sz w:val="24"/>
        </w:rPr>
        <w:t>1.</w:t>
      </w:r>
      <w:r>
        <w:rPr>
          <w:rFonts w:hint="eastAsia" w:ascii="楷体" w:hAnsi="楷体" w:eastAsia="楷体" w:cs="宋体"/>
          <w:sz w:val="24"/>
        </w:rPr>
        <w:t>法定代表人必须在授权委托书上亲笔签字或者盖章，委托代理人必须在授权委托书上亲笔签字，</w:t>
      </w:r>
      <w:r>
        <w:rPr>
          <w:rFonts w:hint="eastAsia" w:ascii="楷体" w:hAnsi="楷体" w:eastAsia="楷体" w:cs="宋体"/>
          <w:b/>
          <w:sz w:val="24"/>
        </w:rPr>
        <w:t>否则其响应文件按无效响应处理。</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2.法人、其他组织</w:t>
      </w:r>
      <w:r>
        <w:rPr>
          <w:rFonts w:hint="eastAsia" w:ascii="楷体" w:hAnsi="楷体" w:eastAsia="楷体" w:cs="宋体"/>
          <w:sz w:val="24"/>
        </w:rPr>
        <w:t>参与</w:t>
      </w:r>
      <w:r>
        <w:rPr>
          <w:rFonts w:hint="eastAsia" w:ascii="楷体" w:hAnsi="楷体" w:eastAsia="楷体" w:cs="宋体"/>
          <w:sz w:val="24"/>
          <w:lang w:bidi="ar"/>
        </w:rPr>
        <w:t>竞争性谈判</w:t>
      </w:r>
      <w:r>
        <w:rPr>
          <w:rFonts w:hint="eastAsia" w:ascii="楷体" w:hAnsi="楷体" w:eastAsia="楷体" w:cs="宋体"/>
          <w:sz w:val="24"/>
        </w:rPr>
        <w:t>时“我方”是指“我单位”，自然人参与</w:t>
      </w:r>
      <w:r>
        <w:rPr>
          <w:rFonts w:hint="eastAsia" w:ascii="楷体" w:hAnsi="楷体" w:eastAsia="楷体" w:cs="宋体"/>
          <w:sz w:val="24"/>
          <w:lang w:bidi="ar"/>
        </w:rPr>
        <w:t>竞争性谈判</w:t>
      </w:r>
      <w:r>
        <w:rPr>
          <w:rFonts w:hint="eastAsia" w:ascii="楷体" w:hAnsi="楷体" w:eastAsia="楷体" w:cs="宋体"/>
          <w:sz w:val="24"/>
        </w:rPr>
        <w:t>时“我方”是指“本人”。</w:t>
      </w:r>
    </w:p>
    <w:p>
      <w:pPr>
        <w:spacing w:line="360" w:lineRule="auto"/>
        <w:ind w:firstLine="420" w:firstLineChars="200"/>
        <w:contextualSpacing/>
        <w:jc w:val="left"/>
        <w:rPr>
          <w:rFonts w:ascii="宋体" w:hAnsi="宋体" w:cs="宋体"/>
          <w:szCs w:val="21"/>
        </w:rPr>
      </w:pPr>
    </w:p>
    <w:p>
      <w:pPr>
        <w:spacing w:line="360" w:lineRule="auto"/>
        <w:contextualSpacing/>
        <w:jc w:val="center"/>
        <w:rPr>
          <w:rFonts w:ascii="宋体" w:hAnsi="宋体" w:cs="宋体"/>
          <w:b/>
          <w:sz w:val="44"/>
          <w:szCs w:val="44"/>
        </w:rPr>
      </w:pPr>
      <w:r>
        <w:rPr>
          <w:rFonts w:hint="eastAsia" w:ascii="宋体" w:hAnsi="宋体" w:cs="宋体"/>
          <w:szCs w:val="21"/>
        </w:rPr>
        <w:br w:type="page"/>
      </w:r>
      <w:r>
        <w:rPr>
          <w:rFonts w:hint="eastAsia" w:ascii="宋体" w:hAnsi="宋体" w:cs="宋体"/>
          <w:b/>
          <w:sz w:val="44"/>
          <w:szCs w:val="44"/>
        </w:rPr>
        <w:t>授权委托书</w:t>
      </w:r>
    </w:p>
    <w:p>
      <w:pPr>
        <w:spacing w:line="360" w:lineRule="auto"/>
        <w:contextualSpacing/>
        <w:jc w:val="center"/>
        <w:rPr>
          <w:rFonts w:ascii="宋体" w:hAnsi="宋体" w:cs="宋体"/>
          <w:sz w:val="28"/>
          <w:szCs w:val="28"/>
        </w:rPr>
      </w:pPr>
      <w:r>
        <w:rPr>
          <w:rFonts w:hint="eastAsia" w:ascii="宋体" w:hAnsi="宋体" w:cs="宋体"/>
          <w:sz w:val="28"/>
          <w:szCs w:val="28"/>
        </w:rPr>
        <w:t>（联合体参与竞争性谈判格式）</w:t>
      </w:r>
    </w:p>
    <w:p>
      <w:pPr>
        <w:spacing w:line="360" w:lineRule="auto"/>
        <w:contextualSpacing/>
        <w:jc w:val="center"/>
        <w:rPr>
          <w:rFonts w:ascii="宋体" w:hAnsi="宋体" w:cs="宋体"/>
          <w:sz w:val="28"/>
          <w:szCs w:val="28"/>
        </w:rPr>
      </w:pPr>
      <w:r>
        <w:rPr>
          <w:rFonts w:hint="eastAsia" w:ascii="宋体" w:hAnsi="宋体" w:cs="宋体"/>
          <w:sz w:val="28"/>
          <w:szCs w:val="28"/>
        </w:rPr>
        <w:t>（如有委托时）</w:t>
      </w:r>
    </w:p>
    <w:p>
      <w:pPr>
        <w:spacing w:line="360" w:lineRule="auto"/>
        <w:contextualSpacing/>
        <w:rPr>
          <w:rFonts w:ascii="宋体" w:hAnsi="宋体" w:cs="宋体"/>
          <w:sz w:val="32"/>
          <w:szCs w:val="32"/>
        </w:rPr>
      </w:pPr>
    </w:p>
    <w:p>
      <w:pPr>
        <w:spacing w:line="360" w:lineRule="auto"/>
        <w:ind w:firstLine="480" w:firstLineChars="200"/>
        <w:contextualSpacing/>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（联合体其他成员名称）签订的《联合体参与竞争性谈判协议书》的内容，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宋体"/>
          <w:sz w:val="24"/>
        </w:rPr>
      </w:pPr>
      <w:r>
        <w:rPr>
          <w:rFonts w:hint="eastAsia" w:ascii="宋体" w:hAnsi="宋体" w:cs="宋体"/>
          <w:sz w:val="24"/>
        </w:rPr>
        <w:t>我方对委托代理人的签字事项负全部责任。</w:t>
      </w:r>
    </w:p>
    <w:p>
      <w:pPr>
        <w:spacing w:line="360" w:lineRule="auto"/>
        <w:ind w:firstLine="480" w:firstLineChars="200"/>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宋体"/>
          <w:sz w:val="24"/>
        </w:rPr>
      </w:pPr>
      <w:r>
        <w:rPr>
          <w:rFonts w:hint="eastAsia" w:ascii="宋体" w:hAnsi="宋体" w:cs="宋体"/>
          <w:sz w:val="24"/>
        </w:rPr>
        <w:t>委托代理人无转委托权，特此委托。</w:t>
      </w:r>
    </w:p>
    <w:p>
      <w:pPr>
        <w:spacing w:line="360" w:lineRule="auto"/>
        <w:ind w:firstLine="480"/>
        <w:contextualSpacing/>
        <w:rPr>
          <w:rFonts w:ascii="宋体" w:hAnsi="宋体" w:cs="宋体"/>
          <w:sz w:val="24"/>
        </w:rPr>
      </w:pPr>
      <w:r>
        <w:rPr>
          <w:rFonts w:hint="eastAsia" w:ascii="宋体" w:hAnsi="宋体" w:cs="宋体"/>
          <w:sz w:val="24"/>
        </w:rPr>
        <w:t>附：法定代表人身份证明及委托代理人有效身份证正反面复印件</w:t>
      </w:r>
    </w:p>
    <w:p>
      <w:pPr>
        <w:pStyle w:val="2"/>
        <w:ind w:firstLine="480"/>
        <w:rPr>
          <w:rFonts w:hint="eastAsia" w:ascii="宋体" w:hAnsi="宋体" w:cs="宋体"/>
          <w:sz w:val="24"/>
        </w:rPr>
      </w:pPr>
    </w:p>
    <w:p>
      <w:pPr>
        <w:spacing w:line="360" w:lineRule="auto"/>
        <w:ind w:firstLine="3120" w:firstLineChars="1300"/>
        <w:contextualSpacing/>
        <w:rPr>
          <w:rFonts w:ascii="宋体" w:hAnsi="宋体" w:cs="宋体"/>
          <w:sz w:val="24"/>
        </w:rPr>
      </w:pPr>
      <w:r>
        <w:rPr>
          <w:rFonts w:hint="eastAsia" w:ascii="宋体" w:hAnsi="宋体" w:cs="宋体"/>
          <w:sz w:val="24"/>
        </w:rPr>
        <w:t>牵头人法定代表人（签字）：</w:t>
      </w:r>
    </w:p>
    <w:p>
      <w:pPr>
        <w:spacing w:line="360" w:lineRule="auto"/>
        <w:ind w:firstLine="3120" w:firstLineChars="1300"/>
        <w:contextualSpacing/>
        <w:rPr>
          <w:rFonts w:ascii="宋体" w:hAnsi="宋体" w:cs="宋体"/>
          <w:sz w:val="24"/>
        </w:rPr>
      </w:pPr>
      <w:r>
        <w:rPr>
          <w:rFonts w:hint="eastAsia" w:ascii="宋体" w:hAnsi="宋体" w:cs="宋体"/>
          <w:sz w:val="24"/>
        </w:rPr>
        <w:t>牵头人（公章）：</w:t>
      </w:r>
    </w:p>
    <w:p>
      <w:pPr>
        <w:spacing w:line="360" w:lineRule="auto"/>
        <w:ind w:firstLine="3840" w:firstLineChars="1600"/>
        <w:contextualSpacing/>
        <w:rPr>
          <w:rFonts w:ascii="宋体" w:hAnsi="宋体" w:cs="宋体"/>
          <w:sz w:val="24"/>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contextualSpacing/>
        <w:rPr>
          <w:rFonts w:ascii="宋体" w:hAnsi="宋体" w:cs="宋体"/>
          <w:sz w:val="24"/>
        </w:rPr>
      </w:pPr>
    </w:p>
    <w:p>
      <w:pPr>
        <w:spacing w:line="360" w:lineRule="auto"/>
        <w:ind w:firstLine="3120" w:firstLineChars="1300"/>
        <w:contextualSpacing/>
        <w:rPr>
          <w:rFonts w:ascii="宋体" w:hAnsi="宋体" w:cs="宋体"/>
          <w:sz w:val="24"/>
        </w:rPr>
      </w:pPr>
      <w:r>
        <w:rPr>
          <w:rFonts w:hint="eastAsia" w:ascii="宋体" w:hAnsi="宋体" w:cs="宋体"/>
          <w:sz w:val="24"/>
        </w:rPr>
        <w:t>被授权人（签字）：</w:t>
      </w:r>
    </w:p>
    <w:p>
      <w:pPr>
        <w:spacing w:line="360" w:lineRule="auto"/>
        <w:ind w:firstLine="3840" w:firstLineChars="1600"/>
        <w:contextualSpacing/>
        <w:rPr>
          <w:rFonts w:ascii="宋体" w:hAnsi="宋体" w:cs="宋体"/>
          <w:sz w:val="24"/>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contextualSpacing/>
        <w:rPr>
          <w:rFonts w:ascii="宋体" w:hAnsi="宋体" w:cs="宋体"/>
          <w:sz w:val="24"/>
        </w:rPr>
      </w:pPr>
    </w:p>
    <w:p>
      <w:pPr>
        <w:spacing w:line="360" w:lineRule="auto"/>
        <w:contextualSpacing/>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ascii="楷体" w:hAnsi="楷体" w:eastAsia="楷体" w:cs="宋体"/>
          <w:sz w:val="24"/>
        </w:rPr>
      </w:pPr>
      <w:r>
        <w:rPr>
          <w:rFonts w:ascii="楷体" w:hAnsi="楷体" w:eastAsia="楷体" w:cs="宋体"/>
          <w:sz w:val="24"/>
        </w:rPr>
        <w:t>1.</w:t>
      </w:r>
      <w:r>
        <w:rPr>
          <w:rFonts w:hint="eastAsia" w:ascii="楷体" w:hAnsi="楷体" w:eastAsia="楷体" w:cs="宋体"/>
          <w:sz w:val="24"/>
        </w:rPr>
        <w:t>法定代表人必须在授权委托书上亲笔签字或者盖章，委托代理人必须在授权委托书上亲笔签字，</w:t>
      </w:r>
      <w:r>
        <w:rPr>
          <w:rFonts w:hint="eastAsia" w:ascii="楷体" w:hAnsi="楷体" w:eastAsia="楷体" w:cs="宋体"/>
          <w:b/>
          <w:bCs/>
          <w:sz w:val="24"/>
        </w:rPr>
        <w:t>否</w:t>
      </w:r>
      <w:r>
        <w:rPr>
          <w:rFonts w:hint="eastAsia" w:ascii="楷体" w:hAnsi="楷体" w:eastAsia="楷体" w:cs="宋体"/>
          <w:b/>
          <w:sz w:val="24"/>
        </w:rPr>
        <w:t>则其响应文件按无效响应处理。</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2.本授权委托书应由联合体牵头人的法定代表人按上述规定签署。</w:t>
      </w:r>
    </w:p>
    <w:p>
      <w:pPr>
        <w:spacing w:line="360" w:lineRule="auto"/>
        <w:ind w:firstLine="480" w:firstLineChars="200"/>
        <w:contextualSpacing/>
        <w:jc w:val="left"/>
        <w:rPr>
          <w:rFonts w:ascii="楷体" w:hAnsi="楷体" w:eastAsia="楷体" w:cs="宋体"/>
          <w:szCs w:val="21"/>
        </w:rPr>
      </w:pPr>
      <w:r>
        <w:rPr>
          <w:rFonts w:ascii="楷体" w:hAnsi="楷体" w:eastAsia="楷体" w:cs="宋体"/>
          <w:sz w:val="24"/>
        </w:rPr>
        <w:t>3.法人、其他组织</w:t>
      </w:r>
      <w:r>
        <w:rPr>
          <w:rFonts w:hint="eastAsia" w:ascii="楷体" w:hAnsi="楷体" w:eastAsia="楷体" w:cs="宋体"/>
          <w:sz w:val="24"/>
        </w:rPr>
        <w:t>参与竞争性谈判时“我方”是指“我单位”，自然人参与竞争性谈判时“我方”是指“本人”。</w:t>
      </w:r>
    </w:p>
    <w:p>
      <w:pPr>
        <w:spacing w:line="360" w:lineRule="auto"/>
        <w:jc w:val="center"/>
        <w:rPr>
          <w:rFonts w:ascii="宋体" w:hAnsi="宋体" w:cs="宋体"/>
          <w:b/>
          <w:bCs/>
          <w:sz w:val="44"/>
          <w:szCs w:val="44"/>
        </w:rPr>
      </w:pPr>
      <w:r>
        <w:rPr>
          <w:rFonts w:hint="eastAsia" w:ascii="宋体" w:hAnsi="宋体" w:cs="宋体"/>
          <w:sz w:val="32"/>
          <w:szCs w:val="32"/>
        </w:rPr>
        <w:br w:type="page"/>
      </w:r>
      <w:r>
        <w:rPr>
          <w:rFonts w:hint="eastAsia" w:ascii="宋体" w:hAnsi="宋体" w:cs="宋体"/>
          <w:b/>
          <w:bCs/>
          <w:sz w:val="44"/>
          <w:szCs w:val="44"/>
        </w:rPr>
        <w:t>商务要求偏离表格式</w:t>
      </w:r>
    </w:p>
    <w:p>
      <w:pPr>
        <w:spacing w:line="360" w:lineRule="auto"/>
        <w:jc w:val="center"/>
        <w:rPr>
          <w:rFonts w:ascii="宋体" w:hAnsi="宋体" w:cs="宋体"/>
          <w:b/>
          <w:sz w:val="28"/>
          <w:szCs w:val="28"/>
        </w:rPr>
      </w:pPr>
      <w:r>
        <w:rPr>
          <w:rFonts w:hint="eastAsia" w:ascii="宋体" w:hAnsi="宋体" w:cs="宋体"/>
          <w:bCs/>
          <w:sz w:val="28"/>
          <w:szCs w:val="28"/>
        </w:rPr>
        <w:t>（注：按采购需求具体条款修改）</w:t>
      </w:r>
    </w:p>
    <w:p>
      <w:pPr>
        <w:snapToGrid w:val="0"/>
        <w:spacing w:line="360" w:lineRule="auto"/>
        <w:jc w:val="left"/>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28"/>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rPr>
            </w:pPr>
          </w:p>
        </w:tc>
      </w:tr>
    </w:tbl>
    <w:p>
      <w:pPr>
        <w:pStyle w:val="11"/>
        <w:spacing w:after="0"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pPr>
        <w:pStyle w:val="11"/>
        <w:spacing w:after="0"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 xml:space="preserve">1.说明：应对照谈判文件“第三章 </w:t>
      </w:r>
      <w:r>
        <w:rPr>
          <w:rFonts w:hint="eastAsia" w:ascii="楷体" w:hAnsi="楷体" w:eastAsia="楷体" w:cs="宋体"/>
          <w:kern w:val="0"/>
          <w:sz w:val="24"/>
          <w:szCs w:val="24"/>
        </w:rPr>
        <w:t>采购需求”中的“商务要求表”逐条明确响应，并作出偏离说明。</w:t>
      </w:r>
    </w:p>
    <w:p>
      <w:pPr>
        <w:pStyle w:val="11"/>
        <w:spacing w:after="0"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2.供应商应根据自身的承诺，对照谈判文件要求在“偏离说明”中注明“正偏离”、“负偏离”或者“无偏离”。既不属于“正偏离”也不属于“负偏离”即为“无偏离”。</w:t>
      </w:r>
    </w:p>
    <w:p>
      <w:pPr>
        <w:spacing w:line="360" w:lineRule="auto"/>
        <w:contextualSpacing/>
        <w:jc w:val="left"/>
        <w:rPr>
          <w:rFonts w:ascii="宋体" w:hAnsi="宋体" w:cs="宋体"/>
          <w:sz w:val="24"/>
          <w:u w:val="single"/>
        </w:rPr>
      </w:pPr>
    </w:p>
    <w:p>
      <w:pPr>
        <w:spacing w:line="360" w:lineRule="auto"/>
        <w:contextualSpacing/>
        <w:jc w:val="left"/>
        <w:rPr>
          <w:rFonts w:ascii="宋体" w:hAnsi="宋体" w:cs="宋体"/>
          <w:sz w:val="24"/>
          <w:u w:val="single"/>
        </w:rPr>
      </w:pPr>
    </w:p>
    <w:p>
      <w:pPr>
        <w:spacing w:line="360" w:lineRule="auto"/>
        <w:contextualSpacing/>
        <w:rPr>
          <w:rFonts w:ascii="宋体" w:hAnsi="宋体" w:cs="宋体"/>
          <w:sz w:val="24"/>
        </w:rPr>
      </w:pPr>
    </w:p>
    <w:p>
      <w:pPr>
        <w:spacing w:line="360" w:lineRule="auto"/>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p>
    <w:p>
      <w:pPr>
        <w:spacing w:line="360" w:lineRule="auto"/>
        <w:ind w:firstLine="3240" w:firstLineChars="1350"/>
        <w:contextualSpacing/>
        <w:rPr>
          <w:rFonts w:ascii="宋体" w:hAnsi="宋体" w:cs="宋体"/>
          <w:sz w:val="24"/>
        </w:rPr>
      </w:pPr>
      <w:r>
        <w:rPr>
          <w:rFonts w:hint="eastAsia" w:ascii="宋体" w:hAnsi="宋体" w:cs="宋体"/>
          <w:sz w:val="24"/>
        </w:rPr>
        <w:t xml:space="preserve">供应商（公章）：      </w:t>
      </w:r>
    </w:p>
    <w:p>
      <w:pPr>
        <w:spacing w:line="360" w:lineRule="auto"/>
        <w:ind w:firstLine="3240" w:firstLineChars="1350"/>
        <w:contextualSpacing/>
        <w:rPr>
          <w:rFonts w:ascii="宋体" w:hAnsi="宋体" w:cs="宋体"/>
          <w:sz w:val="24"/>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adjustRightInd w:val="0"/>
        <w:snapToGrid w:val="0"/>
        <w:spacing w:line="360" w:lineRule="auto"/>
        <w:ind w:firstLine="7040" w:firstLineChars="1600"/>
        <w:jc w:val="center"/>
        <w:rPr>
          <w:rFonts w:ascii="宋体" w:hAnsi="宋体" w:cs="宋体"/>
          <w:bCs/>
          <w:sz w:val="44"/>
          <w:szCs w:val="44"/>
        </w:rPr>
      </w:pPr>
    </w:p>
    <w:p>
      <w:pPr>
        <w:adjustRightInd w:val="0"/>
        <w:snapToGrid w:val="0"/>
        <w:spacing w:line="360" w:lineRule="auto"/>
        <w:jc w:val="center"/>
        <w:rPr>
          <w:rFonts w:ascii="宋体" w:hAnsi="宋体" w:cs="宋体"/>
          <w:b/>
          <w:sz w:val="32"/>
          <w:szCs w:val="32"/>
        </w:rPr>
      </w:pPr>
      <w:r>
        <w:rPr>
          <w:rFonts w:hint="eastAsia" w:ascii="宋体" w:hAnsi="宋体" w:cs="宋体"/>
          <w:bCs/>
          <w:sz w:val="44"/>
          <w:szCs w:val="44"/>
        </w:rPr>
        <w:br w:type="page"/>
      </w:r>
      <w:r>
        <w:rPr>
          <w:rFonts w:hint="eastAsia" w:ascii="宋体" w:hAnsi="宋体" w:cs="宋体"/>
          <w:b/>
          <w:bCs/>
          <w:sz w:val="44"/>
          <w:szCs w:val="44"/>
        </w:rPr>
        <w:t>货物配置清单</w:t>
      </w:r>
    </w:p>
    <w:p>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所竞分标（如有）：</w:t>
      </w:r>
      <w:r>
        <w:rPr>
          <w:rFonts w:hint="eastAsia" w:ascii="宋体" w:hAnsi="宋体" w:cs="宋体"/>
          <w:sz w:val="24"/>
          <w:u w:val="single"/>
        </w:rPr>
        <w:t xml:space="preserve">                 </w:t>
      </w:r>
    </w:p>
    <w:tbl>
      <w:tblPr>
        <w:tblStyle w:val="28"/>
        <w:tblW w:w="108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货物名称</w:t>
            </w: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bl>
    <w:p>
      <w:pPr>
        <w:spacing w:line="360" w:lineRule="auto"/>
        <w:contextualSpacing/>
        <w:rPr>
          <w:rFonts w:ascii="楷体" w:hAnsi="楷体" w:eastAsia="楷体" w:cs="宋体"/>
          <w:b/>
          <w:sz w:val="24"/>
        </w:rPr>
      </w:pPr>
      <w:r>
        <w:rPr>
          <w:rFonts w:hint="eastAsia" w:ascii="楷体" w:hAnsi="楷体" w:eastAsia="楷体" w:cs="宋体"/>
          <w:b/>
          <w:sz w:val="24"/>
        </w:rPr>
        <w:t>备注：</w:t>
      </w:r>
    </w:p>
    <w:p>
      <w:pPr>
        <w:tabs>
          <w:tab w:val="left" w:pos="1065"/>
        </w:tabs>
        <w:adjustRightInd w:val="0"/>
        <w:spacing w:line="360" w:lineRule="auto"/>
        <w:ind w:firstLine="482" w:firstLineChars="200"/>
        <w:contextualSpacing/>
        <w:rPr>
          <w:rFonts w:ascii="楷体" w:hAnsi="楷体" w:eastAsia="楷体" w:cs="宋体"/>
          <w:sz w:val="24"/>
        </w:rPr>
      </w:pPr>
      <w:r>
        <w:rPr>
          <w:rFonts w:hint="eastAsia" w:ascii="楷体" w:hAnsi="楷体" w:eastAsia="楷体" w:cs="宋体"/>
          <w:b/>
          <w:bCs/>
          <w:sz w:val="24"/>
        </w:rPr>
        <w:t>以上货物配置清单中“货物名称、数量、单位、品牌、型号、生产厂家、产地、参数性能、指标及配置”必须如实填写完整，定制产品在型号栏中填写“定制”。填写有缺漏的，响应文件按无效响应处理</w:t>
      </w:r>
      <w:r>
        <w:rPr>
          <w:rFonts w:hint="eastAsia" w:ascii="楷体" w:hAnsi="楷体" w:eastAsia="楷体" w:cs="宋体"/>
          <w:b/>
          <w:sz w:val="24"/>
        </w:rPr>
        <w:t>。</w:t>
      </w:r>
      <w:r>
        <w:rPr>
          <w:rFonts w:hint="eastAsia" w:ascii="楷体" w:hAnsi="楷体" w:eastAsia="楷体" w:cs="宋体"/>
          <w:sz w:val="24"/>
        </w:rPr>
        <w:t>货物名称、数量、单位、品牌等必须与“</w:t>
      </w:r>
      <w:r>
        <w:rPr>
          <w:rFonts w:hint="eastAsia" w:ascii="楷体" w:hAnsi="楷体" w:eastAsia="楷体" w:cs="宋体"/>
          <w:sz w:val="24"/>
          <w:lang w:bidi="ar"/>
        </w:rPr>
        <w:t>竞争性谈判</w:t>
      </w:r>
      <w:r>
        <w:rPr>
          <w:rFonts w:hint="eastAsia" w:ascii="楷体" w:hAnsi="楷体" w:eastAsia="楷体" w:cs="宋体"/>
          <w:sz w:val="24"/>
        </w:rPr>
        <w:t>报价表”一致，</w:t>
      </w:r>
      <w:r>
        <w:rPr>
          <w:rFonts w:hint="eastAsia" w:ascii="楷体" w:hAnsi="楷体" w:eastAsia="楷体" w:cs="宋体"/>
          <w:bCs/>
          <w:sz w:val="24"/>
        </w:rPr>
        <w:t>否则响应文件按无效响应处理</w:t>
      </w:r>
      <w:r>
        <w:rPr>
          <w:rFonts w:hint="eastAsia" w:ascii="楷体" w:hAnsi="楷体" w:eastAsia="楷体" w:cs="宋体"/>
          <w:b/>
          <w:sz w:val="24"/>
        </w:rPr>
        <w:t>。</w:t>
      </w:r>
      <w:r>
        <w:rPr>
          <w:rFonts w:ascii="楷体" w:hAnsi="楷体" w:eastAsia="楷体" w:cs="宋体"/>
          <w:sz w:val="24"/>
        </w:rPr>
        <w:tab/>
      </w:r>
    </w:p>
    <w:p>
      <w:pPr>
        <w:adjustRightInd w:val="0"/>
        <w:spacing w:line="360" w:lineRule="auto"/>
        <w:contextualSpacing/>
        <w:jc w:val="left"/>
        <w:rPr>
          <w:rFonts w:ascii="宋体" w:hAnsi="宋体" w:cs="宋体"/>
          <w:sz w:val="24"/>
        </w:rPr>
      </w:pPr>
    </w:p>
    <w:p>
      <w:pPr>
        <w:adjustRightInd w:val="0"/>
        <w:spacing w:line="360" w:lineRule="auto"/>
        <w:contextualSpacing/>
        <w:jc w:val="left"/>
        <w:rPr>
          <w:rFonts w:ascii="宋体" w:hAnsi="宋体" w:cs="宋体"/>
          <w:sz w:val="24"/>
        </w:rPr>
      </w:pPr>
    </w:p>
    <w:p>
      <w:pPr>
        <w:adjustRightInd w:val="0"/>
        <w:spacing w:line="360" w:lineRule="auto"/>
        <w:contextualSpacing/>
        <w:jc w:val="left"/>
        <w:rPr>
          <w:rFonts w:ascii="宋体" w:hAnsi="宋体" w:cs="宋体"/>
          <w:sz w:val="24"/>
        </w:rPr>
      </w:pPr>
    </w:p>
    <w:p>
      <w:pPr>
        <w:spacing w:line="360" w:lineRule="auto"/>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p>
    <w:p>
      <w:pPr>
        <w:spacing w:line="360" w:lineRule="auto"/>
        <w:ind w:firstLine="3240" w:firstLineChars="1350"/>
        <w:contextualSpacing/>
        <w:rPr>
          <w:rFonts w:ascii="宋体" w:hAnsi="宋体" w:cs="宋体"/>
          <w:sz w:val="24"/>
        </w:rPr>
      </w:pPr>
      <w:r>
        <w:rPr>
          <w:rFonts w:hint="eastAsia" w:ascii="宋体" w:hAnsi="宋体" w:cs="宋体"/>
          <w:sz w:val="24"/>
        </w:rPr>
        <w:t xml:space="preserve">供应商（公章）：      </w:t>
      </w:r>
    </w:p>
    <w:p>
      <w:pPr>
        <w:spacing w:line="360" w:lineRule="auto"/>
        <w:ind w:firstLine="3240" w:firstLineChars="1350"/>
        <w:contextualSpacing/>
        <w:rPr>
          <w:rFonts w:ascii="宋体" w:hAnsi="宋体" w:cs="宋体"/>
          <w:szCs w:val="21"/>
          <w:u w:val="single"/>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jc w:val="center"/>
        <w:rPr>
          <w:rFonts w:ascii="宋体" w:hAnsi="宋体" w:cs="宋体"/>
          <w:b/>
          <w:bCs/>
          <w:sz w:val="44"/>
          <w:szCs w:val="44"/>
        </w:rPr>
      </w:pPr>
      <w:r>
        <w:rPr>
          <w:rFonts w:hint="eastAsia" w:ascii="宋体" w:hAnsi="宋体" w:cs="宋体"/>
          <w:bCs/>
          <w:sz w:val="44"/>
          <w:szCs w:val="44"/>
        </w:rPr>
        <w:br w:type="page"/>
      </w:r>
      <w:r>
        <w:rPr>
          <w:rFonts w:hint="eastAsia" w:ascii="宋体" w:hAnsi="宋体" w:cs="宋体"/>
          <w:b/>
          <w:bCs/>
          <w:sz w:val="44"/>
          <w:szCs w:val="44"/>
        </w:rPr>
        <w:t>技术要求偏离表</w:t>
      </w:r>
    </w:p>
    <w:p>
      <w:pPr>
        <w:spacing w:line="360" w:lineRule="auto"/>
        <w:rPr>
          <w:rFonts w:ascii="宋体" w:hAnsi="宋体" w:cs="宋体"/>
          <w:sz w:val="32"/>
          <w:szCs w:val="32"/>
        </w:rPr>
      </w:pPr>
      <w:r>
        <w:rPr>
          <w:rFonts w:hint="eastAsia" w:ascii="宋体" w:hAnsi="宋体" w:cs="宋体"/>
          <w:sz w:val="24"/>
        </w:rPr>
        <w:t>采购项目名称：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采购项目编号：</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28"/>
        <w:tblW w:w="928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933"/>
        <w:gridCol w:w="3104"/>
        <w:gridCol w:w="2794"/>
        <w:gridCol w:w="1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33"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933" w:type="dxa"/>
            <w:tcBorders>
              <w:righ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货物名称</w:t>
            </w:r>
          </w:p>
        </w:tc>
        <w:tc>
          <w:tcPr>
            <w:tcW w:w="3104" w:type="dxa"/>
            <w:tcBorders>
              <w:lef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技术要求</w:t>
            </w:r>
          </w:p>
        </w:tc>
        <w:tc>
          <w:tcPr>
            <w:tcW w:w="2794"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竞争性谈判响应</w:t>
            </w:r>
          </w:p>
        </w:tc>
        <w:tc>
          <w:tcPr>
            <w:tcW w:w="1523"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33"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1</w:t>
            </w:r>
          </w:p>
        </w:tc>
        <w:tc>
          <w:tcPr>
            <w:tcW w:w="933" w:type="dxa"/>
            <w:tcBorders>
              <w:righ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3104" w:type="dxa"/>
            <w:tcBorders>
              <w:lef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2794" w:type="dxa"/>
            <w:vAlign w:val="center"/>
          </w:tcPr>
          <w:p>
            <w:pPr>
              <w:pStyle w:val="14"/>
              <w:spacing w:line="500" w:lineRule="exact"/>
              <w:ind w:firstLine="0" w:firstLineChars="0"/>
              <w:jc w:val="center"/>
              <w:rPr>
                <w:rFonts w:ascii="宋体" w:hAnsi="宋体" w:eastAsia="宋体" w:cs="宋体"/>
                <w:kern w:val="2"/>
                <w:sz w:val="24"/>
                <w:szCs w:val="24"/>
              </w:rPr>
            </w:pPr>
          </w:p>
        </w:tc>
        <w:tc>
          <w:tcPr>
            <w:tcW w:w="1523" w:type="dxa"/>
            <w:vAlign w:val="center"/>
          </w:tcPr>
          <w:p>
            <w:pPr>
              <w:pStyle w:val="14"/>
              <w:spacing w:line="500" w:lineRule="exact"/>
              <w:ind w:firstLine="0" w:firstLineChars="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33"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w:t>
            </w:r>
          </w:p>
        </w:tc>
        <w:tc>
          <w:tcPr>
            <w:tcW w:w="933" w:type="dxa"/>
            <w:tcBorders>
              <w:righ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3104" w:type="dxa"/>
            <w:tcBorders>
              <w:lef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2794" w:type="dxa"/>
            <w:vAlign w:val="center"/>
          </w:tcPr>
          <w:p>
            <w:pPr>
              <w:pStyle w:val="14"/>
              <w:spacing w:line="500" w:lineRule="exact"/>
              <w:ind w:firstLine="0" w:firstLineChars="0"/>
              <w:jc w:val="center"/>
              <w:rPr>
                <w:rFonts w:ascii="宋体" w:hAnsi="宋体" w:eastAsia="宋体" w:cs="宋体"/>
                <w:kern w:val="2"/>
                <w:sz w:val="24"/>
                <w:szCs w:val="24"/>
              </w:rPr>
            </w:pPr>
          </w:p>
        </w:tc>
        <w:tc>
          <w:tcPr>
            <w:tcW w:w="1523" w:type="dxa"/>
            <w:vAlign w:val="center"/>
          </w:tcPr>
          <w:p>
            <w:pPr>
              <w:pStyle w:val="14"/>
              <w:spacing w:line="500" w:lineRule="exact"/>
              <w:ind w:firstLine="0" w:firstLineChars="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33"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3</w:t>
            </w:r>
          </w:p>
        </w:tc>
        <w:tc>
          <w:tcPr>
            <w:tcW w:w="933" w:type="dxa"/>
            <w:tcBorders>
              <w:righ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3104" w:type="dxa"/>
            <w:tcBorders>
              <w:lef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2794" w:type="dxa"/>
            <w:vAlign w:val="center"/>
          </w:tcPr>
          <w:p>
            <w:pPr>
              <w:pStyle w:val="14"/>
              <w:spacing w:line="500" w:lineRule="exact"/>
              <w:ind w:firstLine="0" w:firstLineChars="0"/>
              <w:jc w:val="center"/>
              <w:rPr>
                <w:rFonts w:ascii="宋体" w:hAnsi="宋体" w:eastAsia="宋体" w:cs="宋体"/>
                <w:kern w:val="2"/>
                <w:sz w:val="24"/>
                <w:szCs w:val="24"/>
              </w:rPr>
            </w:pPr>
          </w:p>
        </w:tc>
        <w:tc>
          <w:tcPr>
            <w:tcW w:w="1523" w:type="dxa"/>
            <w:vAlign w:val="center"/>
          </w:tcPr>
          <w:p>
            <w:pPr>
              <w:pStyle w:val="14"/>
              <w:spacing w:line="500" w:lineRule="exact"/>
              <w:ind w:firstLine="0" w:firstLineChars="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933" w:type="dxa"/>
            <w:vAlign w:val="center"/>
          </w:tcPr>
          <w:p>
            <w:pPr>
              <w:pStyle w:val="14"/>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w:t>
            </w:r>
          </w:p>
        </w:tc>
        <w:tc>
          <w:tcPr>
            <w:tcW w:w="933" w:type="dxa"/>
            <w:tcBorders>
              <w:righ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3104" w:type="dxa"/>
            <w:tcBorders>
              <w:lef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c>
          <w:tcPr>
            <w:tcW w:w="2794" w:type="dxa"/>
            <w:vAlign w:val="center"/>
          </w:tcPr>
          <w:p>
            <w:pPr>
              <w:pStyle w:val="14"/>
              <w:spacing w:line="500" w:lineRule="exact"/>
              <w:ind w:firstLine="0" w:firstLineChars="0"/>
              <w:jc w:val="center"/>
              <w:rPr>
                <w:rFonts w:ascii="宋体" w:hAnsi="宋体" w:eastAsia="宋体" w:cs="宋体"/>
                <w:kern w:val="2"/>
                <w:sz w:val="24"/>
                <w:szCs w:val="24"/>
              </w:rPr>
            </w:pPr>
          </w:p>
        </w:tc>
        <w:tc>
          <w:tcPr>
            <w:tcW w:w="1523" w:type="dxa"/>
            <w:tcBorders>
              <w:right w:val="single" w:color="auto" w:sz="4" w:space="0"/>
            </w:tcBorders>
            <w:vAlign w:val="center"/>
          </w:tcPr>
          <w:p>
            <w:pPr>
              <w:pStyle w:val="14"/>
              <w:spacing w:line="500" w:lineRule="exact"/>
              <w:ind w:firstLine="0" w:firstLineChars="0"/>
              <w:jc w:val="center"/>
              <w:rPr>
                <w:rFonts w:ascii="宋体" w:hAnsi="宋体" w:eastAsia="宋体" w:cs="宋体"/>
                <w:kern w:val="2"/>
                <w:sz w:val="24"/>
                <w:szCs w:val="24"/>
              </w:rPr>
            </w:pPr>
          </w:p>
        </w:tc>
      </w:tr>
    </w:tbl>
    <w:p>
      <w:pPr>
        <w:pStyle w:val="14"/>
        <w:spacing w:line="360" w:lineRule="auto"/>
        <w:ind w:firstLine="0" w:firstLineChars="0"/>
        <w:contextualSpacing/>
        <w:rPr>
          <w:rFonts w:ascii="楷体" w:hAnsi="楷体" w:eastAsia="楷体" w:cs="宋体"/>
          <w:b/>
          <w:sz w:val="24"/>
          <w:szCs w:val="24"/>
        </w:rPr>
      </w:pPr>
      <w:r>
        <w:rPr>
          <w:rFonts w:hint="eastAsia" w:ascii="楷体" w:hAnsi="楷体" w:eastAsia="楷体" w:cs="宋体"/>
          <w:b/>
          <w:sz w:val="24"/>
          <w:szCs w:val="24"/>
        </w:rPr>
        <w:t>注：</w:t>
      </w:r>
    </w:p>
    <w:p>
      <w:pPr>
        <w:pStyle w:val="14"/>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1.</w:t>
      </w:r>
      <w:r>
        <w:rPr>
          <w:rFonts w:hint="eastAsia" w:ascii="楷体" w:hAnsi="楷体" w:eastAsia="楷体" w:cs="宋体"/>
          <w:sz w:val="24"/>
          <w:szCs w:val="24"/>
        </w:rPr>
        <w:t>说明：应对照谈判文件“第三章</w:t>
      </w:r>
      <w:r>
        <w:rPr>
          <w:rFonts w:ascii="楷体" w:hAnsi="楷体" w:eastAsia="楷体" w:cs="宋体"/>
          <w:sz w:val="24"/>
          <w:szCs w:val="24"/>
        </w:rPr>
        <w:t xml:space="preserve"> </w:t>
      </w:r>
      <w:r>
        <w:rPr>
          <w:rFonts w:hint="eastAsia" w:ascii="楷体" w:hAnsi="楷体" w:eastAsia="楷体" w:cs="宋体"/>
          <w:sz w:val="24"/>
          <w:szCs w:val="24"/>
        </w:rPr>
        <w:t>采购需求”中的“技术参数及性能（配置）要求”逐条实质性响应，并作出偏离说明。</w:t>
      </w:r>
    </w:p>
    <w:p>
      <w:pPr>
        <w:pStyle w:val="14"/>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2.供应商应根据</w:t>
      </w:r>
      <w:r>
        <w:rPr>
          <w:rFonts w:hint="eastAsia" w:ascii="楷体" w:hAnsi="楷体" w:eastAsia="楷体" w:cs="宋体"/>
          <w:sz w:val="24"/>
          <w:szCs w:val="24"/>
        </w:rPr>
        <w:t>其参与</w:t>
      </w:r>
      <w:r>
        <w:rPr>
          <w:rFonts w:hint="eastAsia" w:ascii="楷体" w:hAnsi="楷体" w:eastAsia="楷体" w:cs="宋体"/>
          <w:sz w:val="24"/>
          <w:lang w:bidi="ar"/>
        </w:rPr>
        <w:t>竞争性谈判</w:t>
      </w:r>
      <w:r>
        <w:rPr>
          <w:rFonts w:hint="eastAsia" w:ascii="楷体" w:hAnsi="楷体" w:eastAsia="楷体" w:cs="宋体"/>
          <w:sz w:val="24"/>
          <w:szCs w:val="24"/>
        </w:rPr>
        <w:t>设备的性能指标，对照谈判文件要求，在“偏离说明”中注明“正偏离”、“负偏离”或者“无偏离”。既不属于“正偏离”也不属于“负偏离”即为“无偏离”。</w:t>
      </w:r>
    </w:p>
    <w:p>
      <w:pPr>
        <w:pStyle w:val="14"/>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3.供应商认为其</w:t>
      </w:r>
      <w:r>
        <w:rPr>
          <w:rFonts w:hint="eastAsia" w:ascii="楷体" w:hAnsi="楷体" w:eastAsia="楷体" w:cs="宋体"/>
          <w:sz w:val="24"/>
          <w:lang w:bidi="ar"/>
        </w:rPr>
        <w:t>竞争性谈判</w:t>
      </w:r>
      <w:r>
        <w:rPr>
          <w:rFonts w:hint="eastAsia" w:ascii="楷体" w:hAnsi="楷体" w:eastAsia="楷体" w:cs="宋体"/>
          <w:sz w:val="24"/>
          <w:szCs w:val="24"/>
        </w:rPr>
        <w:t>响应有正偏离的，请在技术偏离表中列明，且在响应文件中提供参与</w:t>
      </w:r>
      <w:r>
        <w:rPr>
          <w:rFonts w:hint="eastAsia" w:ascii="楷体" w:hAnsi="楷体" w:eastAsia="楷体" w:cs="宋体"/>
          <w:sz w:val="24"/>
          <w:lang w:bidi="ar"/>
        </w:rPr>
        <w:t>竞争性谈判</w:t>
      </w:r>
      <w:r>
        <w:rPr>
          <w:rFonts w:hint="eastAsia" w:ascii="楷体" w:hAnsi="楷体" w:eastAsia="楷体" w:cs="宋体"/>
          <w:sz w:val="24"/>
          <w:szCs w:val="24"/>
        </w:rPr>
        <w:t>产品的彩页或国家认可有资质的第三方检测机构出具的检测报告复印件或产品生产厂家出具的技术参数说明证明作为佐证，以上佐证材料均需加盖生产厂家或代理商（附生产厂家授权资料）公章。</w:t>
      </w:r>
    </w:p>
    <w:p>
      <w:pPr>
        <w:pStyle w:val="14"/>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4.</w:t>
      </w:r>
      <w:r>
        <w:rPr>
          <w:rFonts w:hint="eastAsia" w:ascii="楷体" w:hAnsi="楷体" w:eastAsia="楷体" w:cs="宋体"/>
          <w:sz w:val="24"/>
          <w:szCs w:val="24"/>
        </w:rPr>
        <w:t>如技术偏离表中的</w:t>
      </w:r>
      <w:r>
        <w:rPr>
          <w:rFonts w:hint="eastAsia" w:ascii="楷体" w:hAnsi="楷体" w:eastAsia="楷体" w:cs="宋体"/>
          <w:sz w:val="24"/>
          <w:lang w:bidi="ar"/>
        </w:rPr>
        <w:t>竞争性谈判</w:t>
      </w:r>
      <w:r>
        <w:rPr>
          <w:rFonts w:hint="eastAsia" w:ascii="楷体" w:hAnsi="楷体" w:eastAsia="楷体" w:cs="宋体"/>
          <w:sz w:val="24"/>
          <w:szCs w:val="24"/>
        </w:rPr>
        <w:t>响应与佐证材料不一致的，以佐证材料为准。</w:t>
      </w:r>
    </w:p>
    <w:p>
      <w:pPr>
        <w:pStyle w:val="14"/>
        <w:spacing w:line="360" w:lineRule="auto"/>
        <w:ind w:firstLine="0" w:firstLineChars="0"/>
        <w:contextualSpacing/>
        <w:rPr>
          <w:rFonts w:ascii="宋体" w:hAnsi="宋体" w:eastAsia="宋体" w:cs="宋体"/>
          <w:sz w:val="24"/>
          <w:szCs w:val="24"/>
        </w:rPr>
      </w:pPr>
    </w:p>
    <w:p>
      <w:pPr>
        <w:spacing w:line="360" w:lineRule="auto"/>
        <w:contextualSpacing/>
        <w:rPr>
          <w:rFonts w:ascii="宋体" w:hAnsi="宋体" w:cs="宋体"/>
          <w:sz w:val="24"/>
        </w:rPr>
      </w:pPr>
    </w:p>
    <w:p>
      <w:pPr>
        <w:spacing w:line="360" w:lineRule="auto"/>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p>
    <w:p>
      <w:pPr>
        <w:spacing w:line="360" w:lineRule="auto"/>
        <w:ind w:firstLine="2880" w:firstLineChars="1200"/>
        <w:contextualSpacing/>
        <w:rPr>
          <w:rFonts w:ascii="宋体" w:hAnsi="宋体" w:cs="宋体"/>
          <w:sz w:val="24"/>
        </w:rPr>
      </w:pPr>
      <w:r>
        <w:rPr>
          <w:rFonts w:hint="eastAsia" w:ascii="宋体" w:hAnsi="宋体" w:cs="宋体"/>
          <w:sz w:val="24"/>
        </w:rPr>
        <w:t xml:space="preserve">供应商（公章）：      </w:t>
      </w:r>
    </w:p>
    <w:p>
      <w:pPr>
        <w:spacing w:line="360" w:lineRule="auto"/>
        <w:ind w:firstLine="2880" w:firstLineChars="1200"/>
        <w:contextualSpacing/>
        <w:rPr>
          <w:rFonts w:ascii="宋体" w:hAnsi="宋体" w:cs="宋体"/>
          <w:sz w:val="32"/>
          <w:szCs w:val="32"/>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rPr>
          <w:rFonts w:ascii="宋体" w:hAnsi="宋体" w:cs="宋体"/>
          <w:szCs w:val="21"/>
        </w:rPr>
      </w:pPr>
      <w:r>
        <w:rPr>
          <w:rFonts w:hint="eastAsia" w:ascii="宋体" w:hAnsi="宋体" w:cs="宋体"/>
          <w:b/>
          <w:bCs/>
          <w:sz w:val="24"/>
        </w:rPr>
        <w:br w:type="page"/>
      </w:r>
      <w:r>
        <w:rPr>
          <w:rFonts w:hint="eastAsia" w:ascii="宋体" w:hAnsi="宋体" w:cs="宋体"/>
          <w:b/>
          <w:bCs/>
          <w:sz w:val="24"/>
        </w:rPr>
        <w:t>其他文书、文件格式</w:t>
      </w:r>
    </w:p>
    <w:p>
      <w:pPr>
        <w:adjustRightInd w:val="0"/>
        <w:snapToGrid w:val="0"/>
        <w:spacing w:line="360" w:lineRule="auto"/>
        <w:jc w:val="center"/>
        <w:rPr>
          <w:rFonts w:ascii="宋体" w:hAnsi="宋体" w:cs="宋体"/>
          <w:b/>
          <w:bCs/>
          <w:sz w:val="44"/>
          <w:szCs w:val="44"/>
        </w:rPr>
      </w:pPr>
      <w:bookmarkStart w:id="31" w:name="_Toc71366061"/>
      <w:bookmarkStart w:id="32" w:name="_Toc71365383"/>
      <w:r>
        <w:rPr>
          <w:rFonts w:hint="eastAsia" w:ascii="宋体" w:hAnsi="宋体" w:cs="宋体"/>
          <w:b/>
          <w:bCs/>
          <w:sz w:val="44"/>
          <w:szCs w:val="44"/>
        </w:rPr>
        <w:t>中小企业声明函（货物）</w:t>
      </w:r>
      <w:bookmarkEnd w:id="31"/>
      <w:bookmarkEnd w:id="32"/>
    </w:p>
    <w:p>
      <w:pPr>
        <w:spacing w:line="360" w:lineRule="auto"/>
        <w:rPr>
          <w:rFonts w:ascii="宋体" w:hAnsi="宋体" w:cs="宋体"/>
        </w:rPr>
      </w:pPr>
    </w:p>
    <w:p>
      <w:pPr>
        <w:pStyle w:val="12"/>
        <w:spacing w:after="0" w:line="360" w:lineRule="auto"/>
        <w:ind w:firstLine="64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（广西大学）</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firstLine="655"/>
        <w:contextualSpacing/>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tabs>
          <w:tab w:val="left" w:pos="1065"/>
          <w:tab w:val="left" w:pos="6477"/>
        </w:tabs>
        <w:spacing w:line="360" w:lineRule="auto"/>
        <w:ind w:firstLine="655"/>
        <w:contextualSpacing/>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pStyle w:val="12"/>
        <w:spacing w:after="0" w:line="360" w:lineRule="auto"/>
        <w:contextualSpacing/>
        <w:rPr>
          <w:rFonts w:ascii="宋体" w:hAnsi="宋体" w:cs="宋体"/>
          <w:sz w:val="24"/>
        </w:rPr>
      </w:pPr>
      <w:r>
        <w:rPr>
          <w:rFonts w:hint="eastAsia" w:ascii="宋体" w:hAnsi="宋体" w:cs="宋体"/>
          <w:sz w:val="24"/>
        </w:rPr>
        <w:t xml:space="preserve">…… </w:t>
      </w:r>
    </w:p>
    <w:p>
      <w:pPr>
        <w:pStyle w:val="12"/>
        <w:spacing w:after="0" w:line="360" w:lineRule="auto"/>
        <w:ind w:firstLine="453" w:firstLineChars="189"/>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12"/>
        <w:spacing w:after="0" w:line="360" w:lineRule="auto"/>
        <w:ind w:firstLine="567"/>
        <w:contextualSpacing/>
        <w:rPr>
          <w:rFonts w:ascii="宋体" w:hAnsi="宋体" w:cs="宋体"/>
          <w:sz w:val="24"/>
        </w:rPr>
      </w:pPr>
      <w:r>
        <w:rPr>
          <w:rFonts w:hint="eastAsia" w:ascii="宋体" w:hAnsi="宋体" w:cs="宋体"/>
          <w:sz w:val="24"/>
        </w:rPr>
        <w:t>本企业对上述声明内容的真实性负责。如有虚假，将依法承担相应责任。</w:t>
      </w:r>
    </w:p>
    <w:p>
      <w:pPr>
        <w:pStyle w:val="12"/>
        <w:spacing w:after="0" w:line="360" w:lineRule="auto"/>
        <w:contextualSpacing/>
        <w:rPr>
          <w:rFonts w:ascii="宋体" w:hAnsi="宋体" w:cs="宋体"/>
          <w:sz w:val="24"/>
        </w:rPr>
      </w:pPr>
    </w:p>
    <w:p>
      <w:pPr>
        <w:pStyle w:val="12"/>
        <w:spacing w:after="0" w:line="360" w:lineRule="auto"/>
        <w:ind w:firstLine="3360" w:firstLineChars="1400"/>
        <w:contextualSpacing/>
        <w:rPr>
          <w:rFonts w:ascii="宋体" w:hAnsi="宋体" w:cs="宋体"/>
          <w:sz w:val="24"/>
        </w:rPr>
      </w:pPr>
      <w:r>
        <w:rPr>
          <w:rFonts w:hint="eastAsia" w:ascii="宋体" w:hAnsi="宋体" w:cs="宋体"/>
          <w:sz w:val="24"/>
        </w:rPr>
        <w:t xml:space="preserve">企业名称（公章）： </w:t>
      </w:r>
    </w:p>
    <w:p>
      <w:pPr>
        <w:pStyle w:val="12"/>
        <w:spacing w:after="0" w:line="360" w:lineRule="auto"/>
        <w:ind w:firstLine="3360" w:firstLineChars="1400"/>
        <w:contextualSpacing/>
        <w:rPr>
          <w:rFonts w:ascii="宋体" w:hAnsi="宋体" w:cs="宋体"/>
          <w:sz w:val="24"/>
        </w:rPr>
      </w:pPr>
      <w:r>
        <w:rPr>
          <w:rFonts w:hint="eastAsia" w:ascii="宋体" w:hAnsi="宋体" w:cs="宋体"/>
          <w:sz w:val="24"/>
        </w:rPr>
        <w:t>日 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pStyle w:val="12"/>
        <w:spacing w:after="0" w:line="360" w:lineRule="auto"/>
        <w:contextualSpacing/>
        <w:rPr>
          <w:rFonts w:ascii="宋体" w:hAnsi="宋体" w:cs="宋体"/>
        </w:rPr>
      </w:pPr>
    </w:p>
    <w:p>
      <w:pPr>
        <w:spacing w:line="360" w:lineRule="auto"/>
        <w:contextualSpacing/>
        <w:jc w:val="left"/>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jc w:val="left"/>
        <w:rPr>
          <w:rFonts w:ascii="楷体" w:hAnsi="楷体" w:eastAsia="楷体" w:cs="宋体"/>
          <w:sz w:val="24"/>
        </w:rPr>
      </w:pPr>
      <w:r>
        <w:rPr>
          <w:rFonts w:hint="eastAsia" w:ascii="楷体" w:hAnsi="楷体" w:eastAsia="楷体" w:cs="宋体"/>
          <w:sz w:val="24"/>
        </w:rPr>
        <w:t>享受《政府采购促进中小企业发展管理办法》（财库〔</w:t>
      </w:r>
      <w:r>
        <w:rPr>
          <w:rFonts w:ascii="楷体" w:hAnsi="楷体" w:eastAsia="楷体" w:cs="宋体"/>
          <w:sz w:val="24"/>
        </w:rPr>
        <w:t>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宋体" w:hAnsi="宋体" w:cs="宋体"/>
          <w:sz w:val="24"/>
        </w:rPr>
      </w:pPr>
    </w:p>
    <w:p>
      <w:pPr>
        <w:spacing w:line="360" w:lineRule="auto"/>
        <w:contextualSpacing/>
        <w:jc w:val="center"/>
        <w:rPr>
          <w:rFonts w:ascii="宋体" w:hAnsi="宋体" w:cs="宋体"/>
          <w:sz w:val="24"/>
        </w:rPr>
      </w:pPr>
    </w:p>
    <w:p>
      <w:pPr>
        <w:spacing w:line="360" w:lineRule="auto"/>
        <w:ind w:firstLine="800" w:firstLineChars="250"/>
        <w:jc w:val="center"/>
        <w:rPr>
          <w:rFonts w:ascii="宋体" w:hAnsi="宋体" w:cs="宋体"/>
          <w:b/>
          <w:sz w:val="32"/>
          <w:szCs w:val="32"/>
        </w:rPr>
      </w:pPr>
      <w:r>
        <w:rPr>
          <w:rFonts w:hint="eastAsia" w:hAnsi="宋体" w:cs="宋体"/>
          <w:sz w:val="32"/>
          <w:szCs w:val="32"/>
        </w:rPr>
        <w:br w:type="page"/>
      </w:r>
      <w:r>
        <w:rPr>
          <w:rFonts w:hint="eastAsia" w:ascii="宋体" w:hAnsi="宋体" w:cs="宋体"/>
          <w:b/>
          <w:sz w:val="44"/>
          <w:szCs w:val="44"/>
        </w:rPr>
        <w:t>残疾人福利性单位声明函</w:t>
      </w:r>
    </w:p>
    <w:p>
      <w:pPr>
        <w:spacing w:line="360" w:lineRule="auto"/>
        <w:rPr>
          <w:rFonts w:ascii="宋体" w:hAnsi="宋体" w:cs="宋体"/>
          <w:sz w:val="32"/>
          <w:szCs w:val="32"/>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ind w:firstLine="3600" w:firstLineChars="1500"/>
        <w:contextualSpacing/>
        <w:rPr>
          <w:rFonts w:ascii="宋体" w:hAnsi="宋体" w:cs="宋体"/>
          <w:sz w:val="24"/>
        </w:rPr>
      </w:pPr>
      <w:r>
        <w:rPr>
          <w:rFonts w:hint="eastAsia" w:ascii="宋体" w:hAnsi="宋体" w:cs="宋体"/>
          <w:sz w:val="24"/>
        </w:rPr>
        <w:t>单位名称（公章）：</w:t>
      </w:r>
    </w:p>
    <w:p>
      <w:pPr>
        <w:spacing w:line="360" w:lineRule="auto"/>
        <w:ind w:firstLine="3600" w:firstLineChars="1500"/>
        <w:contextualSpacing/>
        <w:rPr>
          <w:rFonts w:ascii="宋体" w:hAnsi="宋体" w:cs="宋体"/>
          <w:sz w:val="24"/>
        </w:rPr>
      </w:pPr>
      <w:r>
        <w:rPr>
          <w:rFonts w:hint="eastAsia" w:ascii="宋体" w:hAnsi="宋体" w:cs="宋体"/>
          <w:sz w:val="24"/>
        </w:rPr>
        <w:t>日  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sz w:val="32"/>
          <w:szCs w:val="32"/>
        </w:rPr>
      </w:pPr>
      <w:r>
        <w:rPr>
          <w:rFonts w:hint="eastAsia" w:ascii="宋体" w:hAnsi="宋体" w:cs="宋体"/>
          <w:sz w:val="24"/>
        </w:rPr>
        <w:br w:type="page"/>
      </w:r>
      <w:r>
        <w:rPr>
          <w:rFonts w:hint="eastAsia" w:ascii="宋体" w:hAnsi="宋体" w:cs="宋体"/>
          <w:b/>
          <w:sz w:val="44"/>
          <w:szCs w:val="44"/>
        </w:rPr>
        <w:t>质疑函</w:t>
      </w:r>
      <w:r>
        <w:rPr>
          <w:rFonts w:hint="eastAsia" w:ascii="宋体" w:hAnsi="宋体" w:cs="宋体"/>
          <w:sz w:val="28"/>
          <w:szCs w:val="28"/>
        </w:rPr>
        <w:t>（格式）</w:t>
      </w:r>
    </w:p>
    <w:p>
      <w:pPr>
        <w:spacing w:line="360" w:lineRule="auto"/>
        <w:jc w:val="center"/>
        <w:rPr>
          <w:rFonts w:ascii="宋体" w:hAnsi="宋体" w:cs="宋体"/>
          <w:b/>
          <w:bCs/>
          <w:sz w:val="32"/>
          <w:szCs w:val="32"/>
        </w:rPr>
      </w:pPr>
    </w:p>
    <w:p>
      <w:pPr>
        <w:pStyle w:val="17"/>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pPr>
        <w:pStyle w:val="17"/>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pPr>
        <w:pStyle w:val="17"/>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7"/>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7"/>
        <w:spacing w:line="360" w:lineRule="auto"/>
        <w:ind w:firstLine="480" w:firstLineChars="200"/>
        <w:contextualSpacing/>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7"/>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7"/>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pPr>
        <w:pStyle w:val="17"/>
        <w:spacing w:line="360" w:lineRule="auto"/>
        <w:ind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pPr>
        <w:pStyle w:val="17"/>
        <w:spacing w:line="360" w:lineRule="auto"/>
        <w:ind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pPr>
        <w:pStyle w:val="17"/>
        <w:spacing w:line="360" w:lineRule="auto"/>
        <w:ind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pPr>
        <w:pStyle w:val="17"/>
        <w:spacing w:line="360" w:lineRule="auto"/>
        <w:ind w:firstLine="472" w:firstLineChars="197"/>
        <w:contextualSpacing/>
        <w:rPr>
          <w:rFonts w:hAnsi="宋体" w:cs="宋体"/>
          <w:sz w:val="24"/>
          <w:szCs w:val="24"/>
        </w:rPr>
      </w:pPr>
      <w:r>
        <w:rPr>
          <w:rFonts w:hint="eastAsia" w:hAnsi="宋体" w:cs="宋体"/>
          <w:sz w:val="24"/>
          <w:szCs w:val="24"/>
        </w:rPr>
        <w:t>质疑事项：</w:t>
      </w:r>
    </w:p>
    <w:p>
      <w:pPr>
        <w:pStyle w:val="17"/>
        <w:spacing w:line="360" w:lineRule="auto"/>
        <w:ind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pPr>
        <w:pStyle w:val="17"/>
        <w:spacing w:line="360" w:lineRule="auto"/>
        <w:ind w:firstLine="352" w:firstLineChars="147"/>
        <w:contextualSpacing/>
        <w:rPr>
          <w:rFonts w:hAnsi="宋体" w:cs="宋体"/>
          <w:sz w:val="24"/>
          <w:szCs w:val="24"/>
        </w:rPr>
      </w:pPr>
      <w:r>
        <w:rPr>
          <w:rFonts w:hint="eastAsia" w:hAnsi="宋体" w:cs="宋体"/>
          <w:sz w:val="24"/>
          <w:szCs w:val="24"/>
        </w:rPr>
        <w:t xml:space="preserve">□采购过程   </w:t>
      </w:r>
    </w:p>
    <w:p>
      <w:pPr>
        <w:pStyle w:val="17"/>
        <w:spacing w:line="360" w:lineRule="auto"/>
        <w:ind w:firstLine="352" w:firstLineChars="147"/>
        <w:contextualSpacing/>
        <w:rPr>
          <w:rFonts w:hAnsi="宋体" w:cs="宋体"/>
          <w:bCs/>
          <w:sz w:val="24"/>
          <w:szCs w:val="24"/>
          <w:u w:val="single"/>
        </w:rPr>
      </w:pPr>
      <w:r>
        <w:rPr>
          <w:rFonts w:hint="eastAsia" w:hAnsi="宋体" w:cs="宋体"/>
          <w:sz w:val="24"/>
          <w:szCs w:val="24"/>
        </w:rPr>
        <w:t xml:space="preserve">□成交结果   </w:t>
      </w:r>
    </w:p>
    <w:p>
      <w:pPr>
        <w:pStyle w:val="17"/>
        <w:spacing w:line="360" w:lineRule="auto"/>
        <w:ind w:firstLine="472" w:firstLineChars="196"/>
        <w:contextualSpacing/>
        <w:rPr>
          <w:rFonts w:hAnsi="宋体" w:cs="宋体"/>
          <w:b/>
          <w:sz w:val="24"/>
          <w:szCs w:val="24"/>
        </w:rPr>
      </w:pPr>
      <w:r>
        <w:rPr>
          <w:rFonts w:hint="eastAsia" w:hAnsi="宋体" w:cs="宋体"/>
          <w:b/>
          <w:sz w:val="24"/>
          <w:szCs w:val="24"/>
        </w:rPr>
        <w:t>三、质疑事项具体内容</w:t>
      </w:r>
    </w:p>
    <w:p>
      <w:pPr>
        <w:pStyle w:val="17"/>
        <w:spacing w:line="360" w:lineRule="auto"/>
        <w:ind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pPr>
        <w:pStyle w:val="17"/>
        <w:spacing w:line="360" w:lineRule="auto"/>
        <w:ind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pPr>
        <w:pStyle w:val="17"/>
        <w:spacing w:line="360" w:lineRule="auto"/>
        <w:ind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pPr>
        <w:pStyle w:val="17"/>
        <w:spacing w:line="360" w:lineRule="auto"/>
        <w:ind w:firstLine="472" w:firstLineChars="197"/>
        <w:contextualSpacing/>
        <w:rPr>
          <w:rFonts w:hAnsi="宋体" w:cs="宋体"/>
          <w:sz w:val="24"/>
          <w:szCs w:val="24"/>
        </w:rPr>
      </w:pPr>
      <w:r>
        <w:rPr>
          <w:rFonts w:hint="eastAsia" w:hAnsi="宋体" w:cs="宋体"/>
          <w:sz w:val="24"/>
          <w:szCs w:val="24"/>
        </w:rPr>
        <w:t>质疑事项2</w:t>
      </w:r>
    </w:p>
    <w:p>
      <w:pPr>
        <w:pStyle w:val="17"/>
        <w:spacing w:line="360" w:lineRule="auto"/>
        <w:ind w:firstLine="472" w:firstLineChars="197"/>
        <w:contextualSpacing/>
        <w:rPr>
          <w:rFonts w:hAnsi="宋体" w:cs="宋体"/>
          <w:sz w:val="24"/>
          <w:szCs w:val="24"/>
        </w:rPr>
      </w:pPr>
      <w:r>
        <w:rPr>
          <w:rFonts w:hint="eastAsia" w:hAnsi="宋体" w:cs="宋体"/>
          <w:sz w:val="24"/>
          <w:szCs w:val="24"/>
        </w:rPr>
        <w:t>……</w:t>
      </w:r>
    </w:p>
    <w:p>
      <w:pPr>
        <w:pStyle w:val="17"/>
        <w:spacing w:line="360" w:lineRule="auto"/>
        <w:ind w:firstLine="472" w:firstLineChars="197"/>
        <w:contextualSpacing/>
        <w:rPr>
          <w:rFonts w:hAnsi="宋体" w:cs="宋体"/>
          <w:sz w:val="24"/>
          <w:szCs w:val="24"/>
        </w:rPr>
      </w:pPr>
      <w:r>
        <w:rPr>
          <w:rFonts w:hint="eastAsia" w:hAnsi="宋体" w:cs="宋体"/>
          <w:sz w:val="24"/>
          <w:szCs w:val="24"/>
        </w:rPr>
        <w:t>四、与质疑事项相关的质疑请求：</w:t>
      </w:r>
    </w:p>
    <w:p>
      <w:pPr>
        <w:pStyle w:val="17"/>
        <w:spacing w:line="360" w:lineRule="auto"/>
        <w:ind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17"/>
        <w:spacing w:line="360" w:lineRule="auto"/>
        <w:ind w:firstLine="352" w:firstLineChars="147"/>
        <w:contextualSpacing/>
        <w:rPr>
          <w:rFonts w:hAnsi="宋体" w:cs="宋体"/>
          <w:sz w:val="24"/>
          <w:szCs w:val="24"/>
        </w:rPr>
      </w:pPr>
    </w:p>
    <w:p>
      <w:pPr>
        <w:pStyle w:val="17"/>
        <w:spacing w:line="360" w:lineRule="auto"/>
        <w:ind w:firstLine="3832" w:firstLineChars="1597"/>
        <w:contextualSpacing/>
        <w:rPr>
          <w:rFonts w:hAnsi="宋体" w:cs="宋体"/>
          <w:sz w:val="24"/>
          <w:szCs w:val="24"/>
        </w:rPr>
      </w:pPr>
      <w:r>
        <w:rPr>
          <w:rFonts w:hint="eastAsia" w:hAnsi="宋体" w:cs="宋体"/>
          <w:sz w:val="24"/>
          <w:szCs w:val="24"/>
        </w:rPr>
        <w:t xml:space="preserve">签字（签章）：                                       </w:t>
      </w:r>
    </w:p>
    <w:p>
      <w:pPr>
        <w:pStyle w:val="17"/>
        <w:spacing w:line="360" w:lineRule="auto"/>
        <w:ind w:firstLine="3832" w:firstLineChars="1597"/>
        <w:contextualSpacing/>
        <w:rPr>
          <w:rFonts w:hAnsi="宋体" w:cs="宋体"/>
          <w:sz w:val="24"/>
          <w:szCs w:val="24"/>
        </w:rPr>
      </w:pPr>
      <w:r>
        <w:rPr>
          <w:rFonts w:hint="eastAsia" w:hAnsi="宋体" w:cs="宋体"/>
          <w:sz w:val="24"/>
          <w:szCs w:val="24"/>
        </w:rPr>
        <w:t>公章：</w:t>
      </w:r>
    </w:p>
    <w:p>
      <w:pPr>
        <w:pStyle w:val="17"/>
        <w:spacing w:line="360" w:lineRule="auto"/>
        <w:ind w:firstLine="3832" w:firstLineChars="1597"/>
        <w:contextualSpacing/>
        <w:rPr>
          <w:rFonts w:hAnsi="宋体" w:cs="宋体"/>
          <w:sz w:val="24"/>
          <w:szCs w:val="24"/>
        </w:rPr>
      </w:pPr>
      <w:r>
        <w:rPr>
          <w:rFonts w:hint="eastAsia" w:hAnsi="宋体" w:cs="宋体"/>
          <w:sz w:val="24"/>
          <w:szCs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pPr>
        <w:pStyle w:val="17"/>
        <w:spacing w:line="360" w:lineRule="auto"/>
        <w:contextualSpacing/>
        <w:rPr>
          <w:rFonts w:hAnsi="宋体" w:cs="宋体"/>
          <w:b/>
          <w:sz w:val="24"/>
          <w:szCs w:val="24"/>
        </w:rPr>
      </w:pPr>
    </w:p>
    <w:p>
      <w:pPr>
        <w:pStyle w:val="17"/>
        <w:spacing w:line="360" w:lineRule="auto"/>
        <w:contextualSpacing/>
        <w:rPr>
          <w:rFonts w:ascii="楷体" w:hAnsi="楷体" w:eastAsia="楷体" w:cs="宋体"/>
          <w:b/>
          <w:sz w:val="24"/>
          <w:szCs w:val="24"/>
        </w:rPr>
      </w:pPr>
      <w:r>
        <w:rPr>
          <w:rFonts w:hint="eastAsia" w:ascii="楷体" w:hAnsi="楷体" w:eastAsia="楷体" w:cs="宋体"/>
          <w:b/>
          <w:sz w:val="24"/>
          <w:szCs w:val="24"/>
        </w:rPr>
        <w:t>说明：</w:t>
      </w:r>
    </w:p>
    <w:p>
      <w:pPr>
        <w:pStyle w:val="17"/>
        <w:spacing w:line="360" w:lineRule="auto"/>
        <w:ind w:firstLine="354" w:firstLineChars="147"/>
        <w:contextualSpacing/>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pPr>
        <w:pStyle w:val="17"/>
        <w:spacing w:line="360" w:lineRule="auto"/>
        <w:ind w:firstLine="354" w:firstLineChars="147"/>
        <w:contextualSpacing/>
        <w:rPr>
          <w:rFonts w:ascii="楷体" w:hAnsi="楷体" w:eastAsia="楷体" w:cs="宋体"/>
          <w:b/>
          <w:sz w:val="24"/>
          <w:szCs w:val="24"/>
        </w:rPr>
      </w:pPr>
      <w:r>
        <w:rPr>
          <w:rFonts w:ascii="楷体" w:hAnsi="楷体" w:eastAsia="楷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firstLine="354" w:firstLineChars="147"/>
        <w:contextualSpacing/>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pPr>
        <w:pStyle w:val="17"/>
        <w:spacing w:line="360" w:lineRule="auto"/>
        <w:ind w:firstLine="354" w:firstLineChars="147"/>
        <w:contextualSpacing/>
        <w:rPr>
          <w:rFonts w:ascii="楷体" w:hAnsi="楷体" w:eastAsia="楷体" w:cs="宋体"/>
          <w:b/>
          <w:sz w:val="24"/>
          <w:szCs w:val="24"/>
        </w:rPr>
      </w:pPr>
      <w:r>
        <w:rPr>
          <w:rFonts w:ascii="楷体" w:hAnsi="楷体" w:eastAsia="楷体" w:cs="宋体"/>
          <w:b/>
          <w:sz w:val="24"/>
          <w:szCs w:val="24"/>
        </w:rPr>
        <w:t>4.质疑函的质疑请求应与质疑事项相关。</w:t>
      </w:r>
    </w:p>
    <w:p>
      <w:pPr>
        <w:pStyle w:val="17"/>
        <w:spacing w:line="360" w:lineRule="auto"/>
        <w:ind w:firstLine="354" w:firstLineChars="147"/>
        <w:contextualSpacing/>
        <w:rPr>
          <w:rFonts w:ascii="楷体" w:hAnsi="楷体" w:eastAsia="楷体" w:cs="宋体"/>
          <w:b/>
        </w:rPr>
      </w:pPr>
      <w:r>
        <w:rPr>
          <w:rFonts w:ascii="楷体" w:hAnsi="楷体" w:eastAsia="楷体" w:cs="宋体"/>
          <w:b/>
          <w:sz w:val="24"/>
          <w:szCs w:val="24"/>
        </w:rPr>
        <w:t>5.质疑供应商为法人或者其他组织的，质疑函应由法定代表人、主要负责人，或者其授权代表签字或者盖章，并加盖公章。</w:t>
      </w:r>
    </w:p>
    <w:p>
      <w:pPr>
        <w:pStyle w:val="17"/>
        <w:snapToGrid w:val="0"/>
        <w:spacing w:line="360" w:lineRule="auto"/>
        <w:rPr>
          <w:rFonts w:hAnsi="宋体" w:cs="宋体"/>
          <w:b/>
          <w:sz w:val="24"/>
          <w:szCs w:val="24"/>
        </w:rPr>
      </w:pPr>
    </w:p>
    <w:p>
      <w:pPr>
        <w:spacing w:line="360" w:lineRule="auto"/>
        <w:rPr>
          <w:rFonts w:ascii="宋体" w:hAnsi="宋体" w:cs="宋体"/>
        </w:rPr>
      </w:pPr>
      <w:r>
        <w:rPr>
          <w:rFonts w:hint="eastAsia" w:ascii="宋体" w:hAnsi="宋体" w:cs="宋体"/>
        </w:rPr>
        <w:br w:type="page"/>
      </w:r>
    </w:p>
    <w:p>
      <w:pPr>
        <w:spacing w:line="360" w:lineRule="auto"/>
        <w:jc w:val="center"/>
        <w:rPr>
          <w:rFonts w:ascii="宋体" w:hAnsi="宋体" w:cs="宋体"/>
          <w:sz w:val="44"/>
          <w:szCs w:val="44"/>
        </w:rPr>
      </w:pPr>
      <w:r>
        <w:rPr>
          <w:rFonts w:hint="eastAsia" w:ascii="宋体" w:hAnsi="宋体" w:cs="宋体"/>
          <w:b/>
          <w:sz w:val="44"/>
          <w:szCs w:val="44"/>
        </w:rPr>
        <w:t>投诉书</w:t>
      </w:r>
      <w:r>
        <w:rPr>
          <w:rFonts w:hint="eastAsia" w:ascii="宋体" w:hAnsi="宋体" w:cs="宋体"/>
          <w:sz w:val="28"/>
          <w:szCs w:val="28"/>
        </w:rPr>
        <w:t>（格式）</w:t>
      </w:r>
    </w:p>
    <w:p>
      <w:pPr>
        <w:pStyle w:val="17"/>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被投诉人1：</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被投诉人2：</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pPr>
        <w:pStyle w:val="17"/>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pPr>
        <w:pStyle w:val="17"/>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pPr>
        <w:pStyle w:val="17"/>
        <w:spacing w:line="360" w:lineRule="auto"/>
        <w:ind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pPr>
        <w:pStyle w:val="17"/>
        <w:spacing w:line="360" w:lineRule="auto"/>
        <w:ind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pPr>
        <w:pStyle w:val="17"/>
        <w:spacing w:line="360" w:lineRule="auto"/>
        <w:ind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pPr>
        <w:pStyle w:val="17"/>
        <w:spacing w:line="360" w:lineRule="auto"/>
        <w:ind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pPr>
        <w:pStyle w:val="17"/>
        <w:spacing w:line="360" w:lineRule="auto"/>
        <w:ind w:firstLine="472" w:firstLineChars="197"/>
        <w:rPr>
          <w:rFonts w:hAnsi="宋体" w:cs="宋体"/>
          <w:bCs/>
          <w:sz w:val="24"/>
          <w:szCs w:val="24"/>
          <w:u w:val="single"/>
        </w:rPr>
      </w:pPr>
      <w:r>
        <w:rPr>
          <w:rFonts w:hint="eastAsia" w:hAnsi="宋体" w:cs="宋体"/>
          <w:bCs/>
          <w:sz w:val="24"/>
          <w:szCs w:val="24"/>
        </w:rPr>
        <w:t>采购文件公告：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17"/>
        <w:spacing w:line="360" w:lineRule="auto"/>
        <w:ind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17"/>
        <w:spacing w:line="360" w:lineRule="auto"/>
        <w:ind w:firstLine="472" w:firstLineChars="196"/>
        <w:rPr>
          <w:rFonts w:hAnsi="宋体" w:cs="宋体"/>
          <w:b/>
          <w:sz w:val="24"/>
          <w:szCs w:val="24"/>
        </w:rPr>
      </w:pPr>
      <w:r>
        <w:rPr>
          <w:rFonts w:hint="eastAsia" w:hAnsi="宋体" w:cs="宋体"/>
          <w:b/>
          <w:sz w:val="24"/>
          <w:szCs w:val="24"/>
        </w:rPr>
        <w:t>三、质疑基本情况</w:t>
      </w:r>
    </w:p>
    <w:p>
      <w:pPr>
        <w:pStyle w:val="17"/>
        <w:spacing w:line="360" w:lineRule="auto"/>
        <w:ind w:left="479" w:leftChars="228" w:firstLine="60" w:firstLineChars="25"/>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pPr>
        <w:pStyle w:val="17"/>
        <w:spacing w:line="360" w:lineRule="auto"/>
        <w:ind w:firstLine="540" w:firstLineChars="225"/>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pPr>
        <w:pStyle w:val="17"/>
        <w:spacing w:line="360" w:lineRule="auto"/>
        <w:ind w:firstLine="540" w:firstLineChars="225"/>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17"/>
        <w:spacing w:line="360" w:lineRule="auto"/>
        <w:ind w:firstLine="540" w:firstLineChars="225"/>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pPr>
        <w:pStyle w:val="17"/>
        <w:spacing w:line="360" w:lineRule="auto"/>
        <w:ind w:firstLine="472" w:firstLineChars="196"/>
        <w:rPr>
          <w:rFonts w:hAnsi="宋体" w:cs="宋体"/>
          <w:b/>
          <w:sz w:val="24"/>
          <w:szCs w:val="24"/>
        </w:rPr>
      </w:pPr>
      <w:r>
        <w:rPr>
          <w:rFonts w:hint="eastAsia" w:hAnsi="宋体" w:cs="宋体"/>
          <w:b/>
          <w:sz w:val="24"/>
          <w:szCs w:val="24"/>
        </w:rPr>
        <w:t>四、投诉事项具体内容</w:t>
      </w:r>
    </w:p>
    <w:p>
      <w:pPr>
        <w:pStyle w:val="17"/>
        <w:spacing w:line="360" w:lineRule="auto"/>
        <w:ind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pPr>
        <w:pStyle w:val="17"/>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pPr>
        <w:pStyle w:val="17"/>
        <w:spacing w:line="360" w:lineRule="auto"/>
        <w:ind w:firstLine="472" w:firstLineChars="197"/>
        <w:rPr>
          <w:rFonts w:hAnsi="宋体" w:cs="宋体"/>
          <w:sz w:val="24"/>
          <w:szCs w:val="24"/>
        </w:rPr>
      </w:pPr>
      <w:r>
        <w:rPr>
          <w:rFonts w:hint="eastAsia" w:hAnsi="宋体" w:cs="宋体"/>
          <w:bCs/>
          <w:sz w:val="24"/>
          <w:szCs w:val="24"/>
          <w:u w:val="single"/>
        </w:rPr>
        <w:t xml:space="preserve">                                                                                        </w:t>
      </w:r>
    </w:p>
    <w:p>
      <w:pPr>
        <w:pStyle w:val="17"/>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pPr>
        <w:pStyle w:val="17"/>
        <w:spacing w:line="360" w:lineRule="auto"/>
        <w:ind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17"/>
        <w:spacing w:line="360" w:lineRule="auto"/>
        <w:ind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pPr>
        <w:pStyle w:val="17"/>
        <w:spacing w:line="360" w:lineRule="auto"/>
        <w:ind w:firstLine="472" w:firstLineChars="197"/>
        <w:rPr>
          <w:rFonts w:hAnsi="宋体" w:cs="宋体"/>
          <w:bCs/>
          <w:sz w:val="24"/>
          <w:szCs w:val="24"/>
        </w:rPr>
      </w:pPr>
      <w:r>
        <w:rPr>
          <w:rFonts w:hint="eastAsia" w:hAnsi="宋体" w:cs="宋体"/>
          <w:bCs/>
          <w:sz w:val="24"/>
          <w:szCs w:val="24"/>
        </w:rPr>
        <w:t>……</w:t>
      </w:r>
    </w:p>
    <w:p>
      <w:pPr>
        <w:pStyle w:val="17"/>
        <w:spacing w:line="360" w:lineRule="auto"/>
        <w:ind w:firstLine="472" w:firstLineChars="196"/>
        <w:rPr>
          <w:rFonts w:hAnsi="宋体" w:cs="宋体"/>
          <w:b/>
          <w:sz w:val="24"/>
          <w:szCs w:val="24"/>
        </w:rPr>
      </w:pPr>
      <w:r>
        <w:rPr>
          <w:rFonts w:hint="eastAsia" w:hAnsi="宋体" w:cs="宋体"/>
          <w:b/>
          <w:sz w:val="24"/>
          <w:szCs w:val="24"/>
        </w:rPr>
        <w:t>五、与投诉事项相关的投诉请求：</w:t>
      </w:r>
    </w:p>
    <w:p>
      <w:pPr>
        <w:pStyle w:val="17"/>
        <w:spacing w:line="360" w:lineRule="auto"/>
        <w:ind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17"/>
        <w:spacing w:line="360" w:lineRule="auto"/>
        <w:ind w:firstLine="352" w:firstLineChars="147"/>
        <w:rPr>
          <w:rFonts w:hAnsi="宋体" w:cs="宋体"/>
          <w:sz w:val="24"/>
          <w:szCs w:val="24"/>
        </w:rPr>
      </w:pPr>
    </w:p>
    <w:p>
      <w:pPr>
        <w:pStyle w:val="17"/>
        <w:spacing w:line="360" w:lineRule="auto"/>
        <w:ind w:firstLine="3592" w:firstLineChars="1497"/>
        <w:rPr>
          <w:rFonts w:hAnsi="宋体" w:cs="宋体"/>
          <w:sz w:val="24"/>
          <w:szCs w:val="24"/>
        </w:rPr>
      </w:pPr>
      <w:r>
        <w:rPr>
          <w:rFonts w:hint="eastAsia" w:hAnsi="宋体" w:cs="宋体"/>
          <w:sz w:val="24"/>
          <w:szCs w:val="24"/>
        </w:rPr>
        <w:t xml:space="preserve">签字（签章）：                                       </w:t>
      </w:r>
    </w:p>
    <w:p>
      <w:pPr>
        <w:pStyle w:val="17"/>
        <w:spacing w:line="360" w:lineRule="auto"/>
        <w:ind w:firstLine="3592" w:firstLineChars="1497"/>
        <w:rPr>
          <w:rFonts w:hAnsi="宋体" w:cs="宋体"/>
          <w:sz w:val="24"/>
          <w:szCs w:val="24"/>
        </w:rPr>
      </w:pPr>
      <w:r>
        <w:rPr>
          <w:rFonts w:hint="eastAsia" w:hAnsi="宋体" w:cs="宋体"/>
          <w:sz w:val="24"/>
          <w:szCs w:val="24"/>
        </w:rPr>
        <w:t>公章：</w:t>
      </w:r>
    </w:p>
    <w:p>
      <w:pPr>
        <w:pStyle w:val="17"/>
        <w:spacing w:line="360" w:lineRule="auto"/>
        <w:ind w:firstLine="3592" w:firstLineChars="1497"/>
        <w:rPr>
          <w:rFonts w:hAnsi="宋体" w:cs="宋体"/>
          <w:sz w:val="24"/>
          <w:szCs w:val="24"/>
        </w:rPr>
      </w:pPr>
      <w:r>
        <w:rPr>
          <w:rFonts w:hint="eastAsia" w:hAnsi="宋体" w:cs="宋体"/>
          <w:sz w:val="24"/>
          <w:szCs w:val="24"/>
        </w:rPr>
        <w:t>日期：</w:t>
      </w:r>
      <w:r>
        <w:rPr>
          <w:rFonts w:hint="eastAsia" w:hAnsi="宋体" w:cs="宋体"/>
          <w:bCs/>
          <w:sz w:val="24"/>
          <w:szCs w:val="24"/>
        </w:rPr>
        <w:t xml:space="preserve">    </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cs="宋体" w:asciiTheme="minorEastAsia" w:hAnsiTheme="minorEastAsia" w:eastAsiaTheme="minorEastAsia"/>
          <w:bCs/>
          <w:sz w:val="24"/>
          <w:szCs w:val="24"/>
        </w:rPr>
        <w:t xml:space="preserve"> </w:t>
      </w:r>
      <w:r>
        <w:rPr>
          <w:rFonts w:hint="eastAsia" w:hAnsi="宋体" w:cs="宋体"/>
          <w:bCs/>
          <w:sz w:val="24"/>
          <w:szCs w:val="24"/>
        </w:rPr>
        <w:t xml:space="preserve">                                                        </w:t>
      </w:r>
    </w:p>
    <w:p>
      <w:pPr>
        <w:pStyle w:val="17"/>
        <w:snapToGrid w:val="0"/>
        <w:spacing w:line="360" w:lineRule="auto"/>
        <w:rPr>
          <w:rFonts w:hAnsi="宋体" w:cs="宋体"/>
          <w:b/>
          <w:sz w:val="24"/>
          <w:szCs w:val="24"/>
        </w:rPr>
      </w:pPr>
    </w:p>
    <w:p>
      <w:pPr>
        <w:pStyle w:val="17"/>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pPr>
        <w:pStyle w:val="17"/>
        <w:spacing w:line="360" w:lineRule="auto"/>
        <w:ind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pPr>
        <w:pStyle w:val="17"/>
        <w:spacing w:line="360" w:lineRule="auto"/>
        <w:ind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7"/>
        <w:spacing w:line="360" w:lineRule="auto"/>
        <w:ind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pPr>
        <w:pStyle w:val="17"/>
        <w:spacing w:line="360" w:lineRule="auto"/>
        <w:ind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pPr>
        <w:pStyle w:val="17"/>
        <w:spacing w:line="360" w:lineRule="auto"/>
        <w:ind w:firstLine="354" w:firstLineChars="147"/>
        <w:rPr>
          <w:rFonts w:ascii="楷体" w:hAnsi="楷体" w:eastAsia="楷体" w:cs="宋体"/>
          <w:b/>
          <w:sz w:val="24"/>
          <w:szCs w:val="24"/>
        </w:rPr>
      </w:pPr>
      <w:r>
        <w:rPr>
          <w:rFonts w:ascii="楷体" w:hAnsi="楷体" w:eastAsia="楷体" w:cs="宋体"/>
          <w:b/>
          <w:sz w:val="24"/>
          <w:szCs w:val="24"/>
        </w:rPr>
        <w:t>5.投诉书的投诉请求应与投诉事项相关。</w:t>
      </w:r>
    </w:p>
    <w:p>
      <w:pPr>
        <w:pStyle w:val="17"/>
        <w:spacing w:line="360" w:lineRule="auto"/>
        <w:ind w:firstLine="354" w:firstLineChars="147"/>
        <w:rPr>
          <w:rFonts w:ascii="楷体" w:hAnsi="楷体" w:eastAsia="楷体" w:cs="宋体"/>
          <w:b/>
          <w:sz w:val="24"/>
          <w:szCs w:val="24"/>
        </w:rPr>
      </w:pPr>
      <w:r>
        <w:rPr>
          <w:rFonts w:ascii="楷体" w:hAnsi="楷体" w:eastAsia="楷体" w:cs="宋体"/>
          <w:b/>
          <w:sz w:val="24"/>
          <w:szCs w:val="24"/>
        </w:rPr>
        <w:t>6.投诉人为法人或者其他组织的，投诉书应由法定代表人、主要负责人，或者其授权代表签字或者盖章，并加盖公章。</w:t>
      </w:r>
    </w:p>
    <w:p>
      <w:pPr>
        <w:pStyle w:val="3"/>
        <w:spacing w:before="0" w:after="0" w:line="360" w:lineRule="auto"/>
        <w:jc w:val="center"/>
        <w:rPr>
          <w:rFonts w:ascii="宋体" w:hAnsi="宋体" w:cs="宋体"/>
        </w:rPr>
      </w:pPr>
      <w:bookmarkStart w:id="33" w:name="_Toc74322013"/>
      <w:r>
        <w:rPr>
          <w:rFonts w:hint="eastAsia" w:ascii="宋体" w:hAnsi="宋体" w:cs="宋体"/>
        </w:rPr>
        <w:t>第六章 合同文本</w:t>
      </w:r>
      <w:bookmarkEnd w:id="33"/>
    </w:p>
    <w:p>
      <w:pPr>
        <w:adjustRightInd w:val="0"/>
        <w:snapToGrid w:val="0"/>
        <w:spacing w:line="360" w:lineRule="auto"/>
        <w:ind w:firstLine="420" w:firstLineChars="200"/>
        <w:rPr>
          <w:rFonts w:ascii="宋体" w:hAnsi="宋体" w:cs="宋体"/>
          <w:szCs w:val="21"/>
        </w:rPr>
      </w:pPr>
    </w:p>
    <w:p>
      <w:pPr>
        <w:spacing w:line="360" w:lineRule="auto"/>
        <w:rPr>
          <w:rFonts w:ascii="宋体" w:hAnsi="宋体" w:cs="宋体"/>
          <w:b/>
          <w:sz w:val="32"/>
          <w:szCs w:val="32"/>
        </w:rPr>
      </w:pPr>
      <w:r>
        <w:rPr>
          <w:rFonts w:hint="eastAsia" w:ascii="宋体" w:hAnsi="宋体" w:cs="宋体"/>
          <w:b/>
          <w:sz w:val="32"/>
          <w:szCs w:val="32"/>
        </w:rPr>
        <w:t>一般货物类</w:t>
      </w:r>
    </w:p>
    <w:p>
      <w:pPr>
        <w:spacing w:line="440" w:lineRule="exact"/>
        <w:rPr>
          <w:rFonts w:ascii="宋体" w:hAnsi="宋体" w:cs="宋体"/>
          <w:sz w:val="24"/>
        </w:rPr>
      </w:pPr>
      <w:r>
        <w:rPr>
          <w:rFonts w:hint="eastAsia" w:ascii="宋体" w:hAnsi="宋体" w:cs="宋体"/>
          <w:sz w:val="24"/>
        </w:rPr>
        <w:t>项目名称：</w:t>
      </w:r>
    </w:p>
    <w:p>
      <w:pPr>
        <w:spacing w:line="440" w:lineRule="exact"/>
        <w:rPr>
          <w:rFonts w:hint="default" w:ascii="宋体" w:hAnsi="宋体" w:eastAsia="宋体" w:cs="宋体"/>
          <w:sz w:val="24"/>
          <w:lang w:val="en-US" w:eastAsia="zh-CN"/>
        </w:rPr>
      </w:pPr>
      <w:r>
        <w:rPr>
          <w:rFonts w:hint="eastAsia" w:ascii="宋体" w:hAnsi="宋体" w:cs="宋体"/>
          <w:sz w:val="24"/>
        </w:rPr>
        <w:t>合同编号：GXZC2023-J1-00</w:t>
      </w:r>
      <w:r>
        <w:rPr>
          <w:rFonts w:hint="eastAsia" w:ascii="宋体" w:hAnsi="宋体" w:cs="宋体"/>
          <w:sz w:val="24"/>
          <w:lang w:val="en-US" w:eastAsia="zh-CN"/>
        </w:rPr>
        <w:t>4656</w:t>
      </w:r>
      <w:r>
        <w:rPr>
          <w:rFonts w:ascii="宋体" w:hAnsi="宋体" w:cs="宋体"/>
          <w:sz w:val="24"/>
        </w:rPr>
        <w:t>-</w:t>
      </w:r>
      <w:r>
        <w:rPr>
          <w:rFonts w:hint="eastAsia" w:ascii="宋体" w:hAnsi="宋体" w:cs="宋体"/>
          <w:sz w:val="24"/>
          <w:lang w:val="en-US" w:eastAsia="zh-CN"/>
        </w:rPr>
        <w:t>KLZB</w:t>
      </w:r>
    </w:p>
    <w:p>
      <w:pPr>
        <w:spacing w:line="440" w:lineRule="exact"/>
        <w:rPr>
          <w:rFonts w:ascii="宋体" w:hAnsi="宋体" w:cs="宋体"/>
          <w:sz w:val="24"/>
        </w:rPr>
      </w:pPr>
      <w:r>
        <w:rPr>
          <w:rFonts w:hint="eastAsia" w:ascii="宋体" w:hAnsi="宋体" w:cs="宋体"/>
          <w:sz w:val="24"/>
        </w:rPr>
        <w:t xml:space="preserve">采购人（甲方）：广西大学                      </w:t>
      </w:r>
    </w:p>
    <w:p>
      <w:pPr>
        <w:spacing w:line="440" w:lineRule="exact"/>
        <w:rPr>
          <w:rFonts w:ascii="宋体" w:hAnsi="宋体" w:cs="宋体"/>
          <w:sz w:val="24"/>
        </w:rPr>
      </w:pPr>
      <w:r>
        <w:rPr>
          <w:rFonts w:hint="eastAsia" w:ascii="宋体" w:hAnsi="宋体" w:cs="宋体"/>
          <w:sz w:val="24"/>
        </w:rPr>
        <w:t xml:space="preserve">供应商（乙方）：   </w:t>
      </w:r>
    </w:p>
    <w:p>
      <w:pPr>
        <w:spacing w:line="440" w:lineRule="exact"/>
        <w:rPr>
          <w:rFonts w:ascii="宋体" w:hAnsi="宋体" w:cs="宋体"/>
          <w:sz w:val="24"/>
        </w:rPr>
      </w:pPr>
      <w:r>
        <w:rPr>
          <w:rFonts w:hint="eastAsia" w:ascii="宋体" w:hAnsi="宋体" w:cs="宋体"/>
          <w:sz w:val="24"/>
        </w:rPr>
        <w:t>项目编号：</w:t>
      </w:r>
      <w:r>
        <w:rPr>
          <w:rFonts w:ascii="宋体" w:hAnsi="宋体" w:cs="宋体"/>
          <w:sz w:val="24"/>
          <w:u w:val="single"/>
        </w:rPr>
        <w:t>GXZC20</w:t>
      </w:r>
      <w:r>
        <w:rPr>
          <w:rFonts w:ascii="宋体" w:hAnsi="宋体" w:cs="宋体"/>
          <w:sz w:val="24"/>
          <w:u w:val="none"/>
        </w:rPr>
        <w:t>23-J1-</w:t>
      </w:r>
      <w:r>
        <w:rPr>
          <w:rFonts w:hint="eastAsia" w:ascii="宋体" w:hAnsi="宋体" w:cs="宋体"/>
          <w:sz w:val="24"/>
          <w:u w:val="none"/>
        </w:rPr>
        <w:t>00</w:t>
      </w:r>
      <w:r>
        <w:rPr>
          <w:rFonts w:hint="eastAsia" w:ascii="宋体" w:hAnsi="宋体" w:cs="宋体"/>
          <w:sz w:val="24"/>
          <w:u w:val="none"/>
          <w:lang w:val="en-US" w:eastAsia="zh-CN"/>
        </w:rPr>
        <w:t>4656</w:t>
      </w:r>
      <w:r>
        <w:rPr>
          <w:rFonts w:ascii="宋体" w:hAnsi="宋体" w:cs="宋体"/>
          <w:sz w:val="24"/>
          <w:u w:val="none"/>
        </w:rPr>
        <w:t>-</w:t>
      </w:r>
      <w:r>
        <w:rPr>
          <w:rFonts w:hint="eastAsia" w:ascii="宋体" w:hAnsi="宋体" w:cs="宋体"/>
          <w:sz w:val="24"/>
          <w:u w:val="none"/>
          <w:lang w:val="en-US" w:eastAsia="zh-CN"/>
        </w:rPr>
        <w:t>KLZB</w:t>
      </w:r>
    </w:p>
    <w:p>
      <w:pPr>
        <w:spacing w:line="440" w:lineRule="exact"/>
        <w:rPr>
          <w:rFonts w:ascii="宋体" w:hAnsi="宋体" w:cs="宋体"/>
          <w:sz w:val="24"/>
        </w:rPr>
      </w:pPr>
      <w:r>
        <w:rPr>
          <w:rFonts w:hint="eastAsia" w:ascii="宋体" w:hAnsi="宋体" w:cs="宋体"/>
          <w:sz w:val="24"/>
        </w:rPr>
        <w:t>签订地点：</w:t>
      </w:r>
      <w:r>
        <w:rPr>
          <w:rFonts w:hint="eastAsia" w:ascii="宋体" w:hAnsi="宋体" w:cs="宋体"/>
          <w:sz w:val="24"/>
          <w:u w:val="single"/>
        </w:rPr>
        <w:t>广西壮族自治区南宁市西乡塘区</w:t>
      </w:r>
      <w:r>
        <w:rPr>
          <w:rFonts w:hint="eastAsia" w:ascii="宋体" w:hAnsi="宋体" w:cs="宋体"/>
          <w:sz w:val="24"/>
        </w:rPr>
        <w:t xml:space="preserve">  </w:t>
      </w:r>
    </w:p>
    <w:p>
      <w:pPr>
        <w:snapToGrid w:val="0"/>
        <w:spacing w:line="460" w:lineRule="exact"/>
        <w:rPr>
          <w:rFonts w:ascii="宋体" w:hAnsi="宋体" w:cs="宋体"/>
          <w:sz w:val="24"/>
        </w:rPr>
      </w:pPr>
      <w:r>
        <w:rPr>
          <w:rFonts w:hint="eastAsia" w:ascii="宋体" w:hAnsi="宋体" w:cs="宋体"/>
          <w:sz w:val="24"/>
        </w:rPr>
        <w:t>本合同为中小企业预留合同：（是</w:t>
      </w:r>
      <w:r>
        <w:rPr>
          <w:rFonts w:hint="eastAsia" w:ascii="黑体" w:hAnsi="黑体" w:eastAsia="黑体" w:cs="宋体"/>
          <w:b/>
          <w:sz w:val="24"/>
        </w:rPr>
        <w:t>□</w:t>
      </w:r>
      <w:r>
        <w:rPr>
          <w:rFonts w:hint="eastAsia" w:ascii="宋体" w:hAnsi="宋体" w:cs="宋体"/>
          <w:sz w:val="24"/>
        </w:rPr>
        <w:t>/否</w:t>
      </w:r>
      <w:r>
        <w:rPr>
          <w:rFonts w:hint="eastAsia" w:ascii="黑体" w:hAnsi="黑体" w:eastAsia="黑体" w:cs="宋体"/>
          <w:b/>
          <w:sz w:val="24"/>
        </w:rPr>
        <w:t>☑</w:t>
      </w:r>
      <w:r>
        <w:rPr>
          <w:rFonts w:hint="eastAsia" w:ascii="宋体" w:hAnsi="宋体" w:cs="宋体"/>
          <w:sz w:val="24"/>
        </w:rPr>
        <w:t>）</w:t>
      </w:r>
    </w:p>
    <w:p>
      <w:pPr>
        <w:pStyle w:val="2"/>
      </w:pPr>
    </w:p>
    <w:p>
      <w:pPr>
        <w:snapToGrid w:val="0"/>
        <w:spacing w:line="360" w:lineRule="auto"/>
        <w:ind w:firstLine="480" w:firstLineChars="200"/>
        <w:rPr>
          <w:rFonts w:ascii="宋体" w:hAnsi="宋体" w:cs="宋体"/>
          <w:sz w:val="24"/>
        </w:rPr>
      </w:pPr>
      <w:bookmarkStart w:id="34" w:name="_Hlk55381736"/>
    </w:p>
    <w:p>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根据《中华人民共和国政府采购法》《中华人民共和国民法典》等法律、法规规定，按照竞争性谈判采购文件规定条款和成交供应商承诺，甲乙双方签订本合同。</w:t>
      </w:r>
    </w:p>
    <w:p>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pPr>
        <w:snapToGrid w:val="0"/>
        <w:spacing w:line="360" w:lineRule="auto"/>
        <w:ind w:firstLine="480" w:firstLineChars="200"/>
        <w:rPr>
          <w:rFonts w:ascii="宋体" w:hAnsi="宋体" w:cs="宋体"/>
          <w:b/>
          <w:sz w:val="24"/>
        </w:rPr>
      </w:pPr>
      <w:r>
        <w:rPr>
          <w:rFonts w:hint="eastAsia" w:ascii="宋体" w:hAnsi="宋体" w:cs="宋体"/>
          <w:sz w:val="24"/>
        </w:rPr>
        <w:t>1</w:t>
      </w:r>
      <w:r>
        <w:rPr>
          <w:rFonts w:ascii="宋体" w:hAnsi="宋体" w:cs="宋体"/>
          <w:sz w:val="24"/>
        </w:rPr>
        <w:t>.</w:t>
      </w:r>
      <w:r>
        <w:rPr>
          <w:rFonts w:hint="eastAsia" w:ascii="宋体" w:hAnsi="宋体" w:cs="宋体"/>
          <w:sz w:val="24"/>
        </w:rPr>
        <w:t>供货一览表</w:t>
      </w:r>
    </w:p>
    <w:tbl>
      <w:tblPr>
        <w:tblStyle w:val="28"/>
        <w:tblW w:w="10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ascii="宋体" w:hAnsi="宋体" w:cs="宋体"/>
                <w:sz w:val="24"/>
              </w:rPr>
            </w:pPr>
            <w:r>
              <w:rPr>
                <w:rFonts w:hint="eastAsia" w:ascii="宋体" w:hAnsi="宋体" w:cs="宋体"/>
                <w:sz w:val="24"/>
              </w:rPr>
              <w:t>序号</w:t>
            </w:r>
          </w:p>
        </w:tc>
        <w:tc>
          <w:tcPr>
            <w:tcW w:w="1034" w:type="dxa"/>
            <w:vAlign w:val="center"/>
          </w:tcPr>
          <w:p>
            <w:pPr>
              <w:snapToGrid w:val="0"/>
              <w:spacing w:line="460" w:lineRule="exact"/>
              <w:jc w:val="center"/>
              <w:rPr>
                <w:rFonts w:ascii="宋体" w:hAnsi="宋体" w:cs="宋体"/>
                <w:sz w:val="24"/>
              </w:rPr>
            </w:pPr>
            <w:r>
              <w:rPr>
                <w:rFonts w:hint="eastAsia" w:ascii="宋体" w:hAnsi="宋体" w:cs="宋体"/>
                <w:sz w:val="24"/>
              </w:rPr>
              <w:t>货物名称</w:t>
            </w:r>
          </w:p>
        </w:tc>
        <w:tc>
          <w:tcPr>
            <w:tcW w:w="1134" w:type="dxa"/>
            <w:vAlign w:val="center"/>
          </w:tcPr>
          <w:p>
            <w:pPr>
              <w:snapToGrid w:val="0"/>
              <w:spacing w:line="460" w:lineRule="exact"/>
              <w:jc w:val="center"/>
              <w:rPr>
                <w:rFonts w:ascii="宋体" w:hAnsi="宋体" w:cs="宋体"/>
                <w:sz w:val="24"/>
              </w:rPr>
            </w:pPr>
            <w:r>
              <w:rPr>
                <w:rFonts w:hint="eastAsia" w:ascii="宋体" w:hAnsi="宋体" w:cs="宋体"/>
                <w:sz w:val="24"/>
              </w:rPr>
              <w:t>商标品牌</w:t>
            </w:r>
          </w:p>
        </w:tc>
        <w:tc>
          <w:tcPr>
            <w:tcW w:w="1276" w:type="dxa"/>
            <w:vAlign w:val="center"/>
          </w:tcPr>
          <w:p>
            <w:pPr>
              <w:snapToGrid w:val="0"/>
              <w:spacing w:line="460" w:lineRule="exact"/>
              <w:jc w:val="center"/>
              <w:rPr>
                <w:rFonts w:ascii="宋体" w:hAnsi="宋体" w:cs="宋体"/>
                <w:sz w:val="24"/>
              </w:rPr>
            </w:pPr>
            <w:r>
              <w:rPr>
                <w:rFonts w:hint="eastAsia" w:ascii="宋体" w:hAnsi="宋体" w:cs="宋体"/>
                <w:sz w:val="24"/>
              </w:rPr>
              <w:t>规格型号</w:t>
            </w:r>
          </w:p>
        </w:tc>
        <w:tc>
          <w:tcPr>
            <w:tcW w:w="1134" w:type="dxa"/>
            <w:vAlign w:val="center"/>
          </w:tcPr>
          <w:p>
            <w:pPr>
              <w:snapToGrid w:val="0"/>
              <w:jc w:val="center"/>
              <w:rPr>
                <w:rFonts w:ascii="宋体" w:hAnsi="宋体" w:cs="宋体"/>
                <w:sz w:val="24"/>
              </w:rPr>
            </w:pPr>
            <w:r>
              <w:rPr>
                <w:rFonts w:hint="eastAsia" w:ascii="宋体" w:hAnsi="宋体" w:cs="宋体"/>
                <w:sz w:val="24"/>
              </w:rPr>
              <w:t>生产厂家</w:t>
            </w:r>
          </w:p>
        </w:tc>
        <w:tc>
          <w:tcPr>
            <w:tcW w:w="992" w:type="dxa"/>
            <w:vAlign w:val="center"/>
          </w:tcPr>
          <w:p>
            <w:pPr>
              <w:snapToGrid w:val="0"/>
              <w:jc w:val="center"/>
              <w:rPr>
                <w:rFonts w:ascii="宋体" w:hAnsi="宋体" w:cs="宋体"/>
                <w:sz w:val="24"/>
              </w:rPr>
            </w:pPr>
            <w:r>
              <w:rPr>
                <w:rFonts w:hint="eastAsia" w:ascii="宋体" w:hAnsi="宋体" w:cs="宋体"/>
                <w:sz w:val="24"/>
              </w:rPr>
              <w:t>产地</w:t>
            </w:r>
          </w:p>
        </w:tc>
        <w:tc>
          <w:tcPr>
            <w:tcW w:w="709" w:type="dxa"/>
            <w:vAlign w:val="center"/>
          </w:tcPr>
          <w:p>
            <w:pPr>
              <w:snapToGrid w:val="0"/>
              <w:jc w:val="center"/>
              <w:rPr>
                <w:rFonts w:ascii="宋体" w:hAnsi="宋体" w:cs="宋体"/>
                <w:sz w:val="24"/>
              </w:rPr>
            </w:pPr>
            <w:r>
              <w:rPr>
                <w:rFonts w:hint="eastAsia" w:ascii="宋体" w:hAnsi="宋体" w:cs="宋体"/>
                <w:sz w:val="24"/>
              </w:rPr>
              <w:t>数  量</w:t>
            </w:r>
          </w:p>
        </w:tc>
        <w:tc>
          <w:tcPr>
            <w:tcW w:w="830" w:type="dxa"/>
            <w:vAlign w:val="center"/>
          </w:tcPr>
          <w:p>
            <w:pPr>
              <w:snapToGrid w:val="0"/>
              <w:jc w:val="center"/>
              <w:rPr>
                <w:rFonts w:ascii="宋体" w:hAnsi="宋体" w:cs="宋体"/>
                <w:sz w:val="24"/>
              </w:rPr>
            </w:pPr>
            <w:r>
              <w:rPr>
                <w:rFonts w:hint="eastAsia" w:ascii="宋体" w:hAnsi="宋体" w:cs="宋体"/>
                <w:sz w:val="24"/>
              </w:rPr>
              <w:t>单位</w:t>
            </w:r>
          </w:p>
        </w:tc>
        <w:tc>
          <w:tcPr>
            <w:tcW w:w="1722" w:type="dxa"/>
            <w:vAlign w:val="center"/>
          </w:tcPr>
          <w:p>
            <w:pPr>
              <w:snapToGrid w:val="0"/>
              <w:jc w:val="center"/>
              <w:rPr>
                <w:rFonts w:ascii="宋体" w:hAnsi="宋体" w:cs="宋体"/>
                <w:sz w:val="24"/>
              </w:rPr>
            </w:pPr>
            <w:r>
              <w:rPr>
                <w:rFonts w:hint="eastAsia" w:ascii="宋体" w:hAnsi="宋体" w:cs="宋体"/>
                <w:sz w:val="24"/>
              </w:rPr>
              <w:t>单  价</w:t>
            </w:r>
          </w:p>
          <w:p>
            <w:pPr>
              <w:snapToGrid w:val="0"/>
              <w:jc w:val="center"/>
              <w:rPr>
                <w:rFonts w:ascii="宋体" w:hAnsi="宋体" w:cs="宋体"/>
                <w:sz w:val="24"/>
              </w:rPr>
            </w:pPr>
            <w:r>
              <w:rPr>
                <w:rFonts w:hint="eastAsia" w:ascii="宋体" w:hAnsi="宋体" w:cs="宋体"/>
                <w:sz w:val="24"/>
              </w:rPr>
              <w:t>（元/人民币）</w:t>
            </w:r>
          </w:p>
        </w:tc>
        <w:tc>
          <w:tcPr>
            <w:tcW w:w="1276" w:type="dxa"/>
            <w:vAlign w:val="center"/>
          </w:tcPr>
          <w:p>
            <w:pPr>
              <w:snapToGrid w:val="0"/>
              <w:jc w:val="center"/>
              <w:rPr>
                <w:rFonts w:ascii="宋体" w:hAnsi="宋体" w:cs="宋体"/>
                <w:sz w:val="24"/>
              </w:rPr>
            </w:pPr>
            <w:r>
              <w:rPr>
                <w:rFonts w:hint="eastAsia" w:ascii="宋体" w:hAnsi="宋体" w:cs="宋体"/>
                <w:sz w:val="24"/>
              </w:rPr>
              <w:t>单项合计</w:t>
            </w:r>
            <w:r>
              <w:rPr>
                <w:rFonts w:hint="eastAsia" w:ascii="宋体" w:hAnsi="宋体" w:cs="宋体"/>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ascii="宋体" w:hAnsi="宋体" w:cs="宋体"/>
                <w:sz w:val="24"/>
              </w:rPr>
            </w:pPr>
            <w:r>
              <w:rPr>
                <w:rFonts w:hint="eastAsia" w:ascii="宋体" w:hAnsi="宋体" w:cs="宋体"/>
                <w:sz w:val="24"/>
              </w:rPr>
              <w:t>1</w:t>
            </w:r>
          </w:p>
        </w:tc>
        <w:tc>
          <w:tcPr>
            <w:tcW w:w="1034" w:type="dxa"/>
            <w:vAlign w:val="center"/>
          </w:tcPr>
          <w:p>
            <w:pPr>
              <w:snapToGrid w:val="0"/>
              <w:spacing w:line="460" w:lineRule="exact"/>
              <w:jc w:val="center"/>
              <w:rPr>
                <w:rFonts w:ascii="宋体" w:hAnsi="宋体" w:cs="宋体"/>
                <w:sz w:val="24"/>
              </w:rPr>
            </w:pPr>
          </w:p>
        </w:tc>
        <w:tc>
          <w:tcPr>
            <w:tcW w:w="1134" w:type="dxa"/>
            <w:vAlign w:val="center"/>
          </w:tcPr>
          <w:p>
            <w:pPr>
              <w:snapToGrid w:val="0"/>
              <w:spacing w:line="460" w:lineRule="exact"/>
              <w:jc w:val="center"/>
              <w:rPr>
                <w:rFonts w:ascii="宋体" w:hAnsi="宋体" w:cs="宋体"/>
                <w:sz w:val="24"/>
              </w:rPr>
            </w:pPr>
          </w:p>
        </w:tc>
        <w:tc>
          <w:tcPr>
            <w:tcW w:w="1276" w:type="dxa"/>
            <w:vAlign w:val="center"/>
          </w:tcPr>
          <w:p>
            <w:pPr>
              <w:snapToGrid w:val="0"/>
              <w:spacing w:line="460" w:lineRule="exact"/>
              <w:jc w:val="center"/>
              <w:rPr>
                <w:rFonts w:ascii="宋体" w:hAnsi="宋体" w:cs="宋体"/>
                <w:sz w:val="24"/>
              </w:rPr>
            </w:pPr>
          </w:p>
        </w:tc>
        <w:tc>
          <w:tcPr>
            <w:tcW w:w="1134" w:type="dxa"/>
          </w:tcPr>
          <w:p>
            <w:pPr>
              <w:snapToGrid w:val="0"/>
              <w:spacing w:line="460" w:lineRule="exact"/>
              <w:jc w:val="center"/>
              <w:rPr>
                <w:rFonts w:ascii="宋体" w:hAnsi="宋体" w:cs="宋体"/>
                <w:sz w:val="24"/>
              </w:rPr>
            </w:pPr>
          </w:p>
        </w:tc>
        <w:tc>
          <w:tcPr>
            <w:tcW w:w="992" w:type="dxa"/>
            <w:vAlign w:val="center"/>
          </w:tcPr>
          <w:p>
            <w:pPr>
              <w:snapToGrid w:val="0"/>
              <w:spacing w:line="460" w:lineRule="exact"/>
              <w:jc w:val="center"/>
              <w:rPr>
                <w:rFonts w:ascii="宋体" w:hAnsi="宋体" w:cs="宋体"/>
                <w:sz w:val="24"/>
              </w:rPr>
            </w:pPr>
          </w:p>
        </w:tc>
        <w:tc>
          <w:tcPr>
            <w:tcW w:w="709" w:type="dxa"/>
            <w:vAlign w:val="center"/>
          </w:tcPr>
          <w:p>
            <w:pPr>
              <w:snapToGrid w:val="0"/>
              <w:spacing w:line="460" w:lineRule="exact"/>
              <w:jc w:val="center"/>
              <w:rPr>
                <w:rFonts w:ascii="宋体" w:hAnsi="宋体" w:cs="宋体"/>
                <w:sz w:val="24"/>
              </w:rPr>
            </w:pPr>
          </w:p>
        </w:tc>
        <w:tc>
          <w:tcPr>
            <w:tcW w:w="830" w:type="dxa"/>
          </w:tcPr>
          <w:p>
            <w:pPr>
              <w:snapToGrid w:val="0"/>
              <w:spacing w:line="460" w:lineRule="exact"/>
              <w:jc w:val="center"/>
              <w:rPr>
                <w:rFonts w:ascii="宋体" w:hAnsi="宋体" w:cs="宋体"/>
                <w:sz w:val="24"/>
              </w:rPr>
            </w:pPr>
          </w:p>
        </w:tc>
        <w:tc>
          <w:tcPr>
            <w:tcW w:w="1722" w:type="dxa"/>
            <w:vAlign w:val="center"/>
          </w:tcPr>
          <w:p>
            <w:pPr>
              <w:snapToGrid w:val="0"/>
              <w:spacing w:line="460" w:lineRule="exact"/>
              <w:jc w:val="center"/>
              <w:rPr>
                <w:rFonts w:ascii="宋体" w:hAnsi="宋体" w:cs="宋体"/>
                <w:sz w:val="24"/>
              </w:rPr>
            </w:pPr>
          </w:p>
        </w:tc>
        <w:tc>
          <w:tcPr>
            <w:tcW w:w="1276" w:type="dxa"/>
          </w:tcPr>
          <w:p>
            <w:pPr>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ascii="宋体" w:hAnsi="宋体" w:cs="宋体"/>
                <w:sz w:val="24"/>
              </w:rPr>
            </w:pPr>
          </w:p>
        </w:tc>
        <w:tc>
          <w:tcPr>
            <w:tcW w:w="1034" w:type="dxa"/>
            <w:vAlign w:val="center"/>
          </w:tcPr>
          <w:p>
            <w:pPr>
              <w:snapToGrid w:val="0"/>
              <w:spacing w:line="460" w:lineRule="exact"/>
              <w:jc w:val="center"/>
              <w:rPr>
                <w:rFonts w:ascii="宋体" w:hAnsi="宋体" w:cs="宋体"/>
                <w:sz w:val="24"/>
              </w:rPr>
            </w:pPr>
          </w:p>
        </w:tc>
        <w:tc>
          <w:tcPr>
            <w:tcW w:w="1134" w:type="dxa"/>
            <w:vAlign w:val="center"/>
          </w:tcPr>
          <w:p>
            <w:pPr>
              <w:snapToGrid w:val="0"/>
              <w:spacing w:line="460" w:lineRule="exact"/>
              <w:jc w:val="center"/>
              <w:rPr>
                <w:rFonts w:ascii="宋体" w:hAnsi="宋体" w:cs="宋体"/>
                <w:sz w:val="24"/>
              </w:rPr>
            </w:pPr>
          </w:p>
        </w:tc>
        <w:tc>
          <w:tcPr>
            <w:tcW w:w="1276" w:type="dxa"/>
            <w:vAlign w:val="center"/>
          </w:tcPr>
          <w:p>
            <w:pPr>
              <w:snapToGrid w:val="0"/>
              <w:spacing w:line="460" w:lineRule="exact"/>
              <w:jc w:val="center"/>
              <w:rPr>
                <w:rFonts w:ascii="宋体" w:hAnsi="宋体" w:cs="宋体"/>
                <w:sz w:val="24"/>
              </w:rPr>
            </w:pPr>
          </w:p>
        </w:tc>
        <w:tc>
          <w:tcPr>
            <w:tcW w:w="1134" w:type="dxa"/>
          </w:tcPr>
          <w:p>
            <w:pPr>
              <w:snapToGrid w:val="0"/>
              <w:spacing w:line="460" w:lineRule="exact"/>
              <w:jc w:val="center"/>
              <w:rPr>
                <w:rFonts w:ascii="宋体" w:hAnsi="宋体" w:cs="宋体"/>
                <w:sz w:val="24"/>
              </w:rPr>
            </w:pPr>
          </w:p>
        </w:tc>
        <w:tc>
          <w:tcPr>
            <w:tcW w:w="992" w:type="dxa"/>
            <w:vAlign w:val="center"/>
          </w:tcPr>
          <w:p>
            <w:pPr>
              <w:snapToGrid w:val="0"/>
              <w:spacing w:line="460" w:lineRule="exact"/>
              <w:jc w:val="center"/>
              <w:rPr>
                <w:rFonts w:ascii="宋体" w:hAnsi="宋体" w:cs="宋体"/>
                <w:sz w:val="24"/>
              </w:rPr>
            </w:pPr>
          </w:p>
        </w:tc>
        <w:tc>
          <w:tcPr>
            <w:tcW w:w="709" w:type="dxa"/>
            <w:vAlign w:val="center"/>
          </w:tcPr>
          <w:p>
            <w:pPr>
              <w:snapToGrid w:val="0"/>
              <w:spacing w:line="460" w:lineRule="exact"/>
              <w:jc w:val="center"/>
              <w:rPr>
                <w:rFonts w:ascii="宋体" w:hAnsi="宋体" w:cs="宋体"/>
                <w:sz w:val="24"/>
              </w:rPr>
            </w:pPr>
          </w:p>
        </w:tc>
        <w:tc>
          <w:tcPr>
            <w:tcW w:w="830" w:type="dxa"/>
          </w:tcPr>
          <w:p>
            <w:pPr>
              <w:snapToGrid w:val="0"/>
              <w:spacing w:line="460" w:lineRule="exact"/>
              <w:jc w:val="center"/>
              <w:rPr>
                <w:rFonts w:ascii="宋体" w:hAnsi="宋体" w:cs="宋体"/>
                <w:sz w:val="24"/>
              </w:rPr>
            </w:pPr>
          </w:p>
        </w:tc>
        <w:tc>
          <w:tcPr>
            <w:tcW w:w="1722" w:type="dxa"/>
            <w:vAlign w:val="center"/>
          </w:tcPr>
          <w:p>
            <w:pPr>
              <w:snapToGrid w:val="0"/>
              <w:spacing w:line="460" w:lineRule="exact"/>
              <w:jc w:val="center"/>
              <w:rPr>
                <w:rFonts w:ascii="宋体" w:hAnsi="宋体" w:cs="宋体"/>
                <w:sz w:val="24"/>
              </w:rPr>
            </w:pPr>
          </w:p>
        </w:tc>
        <w:tc>
          <w:tcPr>
            <w:tcW w:w="1276" w:type="dxa"/>
          </w:tcPr>
          <w:p>
            <w:pPr>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ascii="宋体" w:hAnsi="宋体" w:cs="宋体"/>
                <w:sz w:val="24"/>
              </w:rPr>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ascii="宋体" w:hAnsi="宋体" w:cs="宋体"/>
                <w:bCs/>
                <w:sz w:val="24"/>
                <w:u w:val="single"/>
              </w:rPr>
              <w:t xml:space="preserve"> </w:t>
            </w:r>
            <w:r>
              <w:rPr>
                <w:rFonts w:hint="eastAsia" w:ascii="宋体" w:hAnsi="宋体" w:cs="宋体"/>
                <w:bCs/>
                <w:sz w:val="24"/>
                <w:u w:val="single"/>
              </w:rPr>
              <w:t>元整</w:t>
            </w:r>
            <w:r>
              <w:rPr>
                <w:rFonts w:ascii="宋体" w:hAnsi="宋体" w:cs="宋体"/>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bl>
    <w:p>
      <w:pPr>
        <w:snapToGrid w:val="0"/>
        <w:spacing w:line="460" w:lineRule="exact"/>
        <w:ind w:firstLine="480" w:firstLineChars="200"/>
        <w:rPr>
          <w:rFonts w:ascii="宋体" w:hAnsi="宋体" w:cs="宋体"/>
          <w:sz w:val="24"/>
        </w:rPr>
      </w:pPr>
      <w:r>
        <w:rPr>
          <w:rFonts w:hint="eastAsia" w:ascii="宋体" w:hAnsi="宋体" w:cs="宋体"/>
          <w:sz w:val="24"/>
        </w:rPr>
        <w:t>2.合同合计金额包括货物价款、配套软件、标准附件、备品备件、专用工具、包装、运输、装卸、货到就位、安装、调试、检验、技术培训、技术资料、质量保证期内服务、售后服务、保险、竞争性谈判费用、一切税金等全部费用，甲方不再支付合同合计金额以外的其他费用。</w:t>
      </w:r>
    </w:p>
    <w:p>
      <w:pPr>
        <w:snapToGrid w:val="0"/>
        <w:spacing w:line="460" w:lineRule="exact"/>
        <w:ind w:firstLine="482" w:firstLineChars="200"/>
        <w:rPr>
          <w:rFonts w:ascii="宋体" w:hAnsi="宋体" w:cs="宋体"/>
          <w:sz w:val="24"/>
        </w:rPr>
      </w:pPr>
      <w:r>
        <w:rPr>
          <w:rFonts w:hint="eastAsia" w:ascii="宋体" w:hAnsi="宋体" w:cs="宋体"/>
          <w:b/>
          <w:sz w:val="24"/>
        </w:rPr>
        <w:t>第二条　质量要求</w:t>
      </w:r>
    </w:p>
    <w:p>
      <w:pPr>
        <w:snapToGrid w:val="0"/>
        <w:spacing w:line="460" w:lineRule="exact"/>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1.乙方所提供的产品名称、商标品牌、生产厂家、规格型号、技术参数等质量必须与采购文件规定及响应文件承诺相一致。乙方提供的节能和环保产品必须是列入政府采购品目清单的产品。</w:t>
      </w:r>
    </w:p>
    <w:p>
      <w:pPr>
        <w:snapToGrid w:val="0"/>
        <w:spacing w:line="460" w:lineRule="exact"/>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2.乙方所提供的货物必须是全新、未使用的原装产品，且在正常安装、使用和保养条件下，其使用寿命期内各项指标均达到采购文件规定或者响应文件承诺的质量要求。</w:t>
      </w:r>
    </w:p>
    <w:p>
      <w:pPr>
        <w:snapToGrid w:val="0"/>
        <w:spacing w:line="460" w:lineRule="exact"/>
        <w:ind w:firstLine="482" w:firstLineChars="200"/>
        <w:rPr>
          <w:rFonts w:ascii="宋体" w:hAnsi="宋体" w:cs="宋体"/>
          <w:sz w:val="24"/>
        </w:rPr>
      </w:pPr>
      <w:r>
        <w:rPr>
          <w:rFonts w:hint="eastAsia" w:ascii="宋体" w:hAnsi="宋体" w:cs="宋体"/>
          <w:b/>
          <w:sz w:val="24"/>
        </w:rPr>
        <w:t>第三条　权利保证</w:t>
      </w:r>
    </w:p>
    <w:p>
      <w:pPr>
        <w:snapToGrid w:val="0"/>
        <w:spacing w:line="460" w:lineRule="exact"/>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w:t>
      </w:r>
    </w:p>
    <w:p>
      <w:pPr>
        <w:snapToGrid w:val="0"/>
        <w:spacing w:line="460" w:lineRule="exact"/>
        <w:ind w:firstLine="480" w:firstLineChars="200"/>
        <w:rPr>
          <w:rFonts w:ascii="宋体" w:hAnsi="宋体" w:cs="宋体"/>
          <w:sz w:val="24"/>
        </w:rPr>
      </w:pPr>
      <w:r>
        <w:rPr>
          <w:rFonts w:hint="eastAsia" w:ascii="宋体" w:hAnsi="宋体" w:cs="宋体"/>
          <w:sz w:val="24"/>
        </w:rPr>
        <w:t>2.乙方应按采购文件规定或者响应文件承诺的时间向甲方提供使用货物的有关技术资料。</w:t>
      </w:r>
    </w:p>
    <w:p>
      <w:pPr>
        <w:snapToGrid w:val="0"/>
        <w:spacing w:line="460" w:lineRule="exact"/>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w:t>
      </w:r>
    </w:p>
    <w:p>
      <w:pPr>
        <w:snapToGrid w:val="0"/>
        <w:spacing w:line="460" w:lineRule="exact"/>
        <w:ind w:firstLine="482" w:firstLineChars="200"/>
        <w:rPr>
          <w:rFonts w:ascii="宋体" w:hAnsi="宋体" w:cs="宋体"/>
          <w:b/>
          <w:sz w:val="24"/>
        </w:rPr>
      </w:pPr>
      <w:r>
        <w:rPr>
          <w:rFonts w:hint="eastAsia" w:ascii="宋体" w:hAnsi="宋体" w:cs="宋体"/>
          <w:b/>
          <w:sz w:val="24"/>
        </w:rPr>
        <w:t>第四条　包装、运输和签收</w:t>
      </w:r>
    </w:p>
    <w:p>
      <w:pPr>
        <w:snapToGrid w:val="0"/>
        <w:spacing w:line="460" w:lineRule="exact"/>
        <w:ind w:firstLine="480" w:firstLineChars="200"/>
        <w:rPr>
          <w:rFonts w:ascii="宋体" w:hAnsi="宋体" w:cs="宋体"/>
          <w:sz w:val="24"/>
        </w:rPr>
      </w:pPr>
      <w:r>
        <w:rPr>
          <w:rFonts w:hint="eastAsia" w:ascii="宋体" w:hAnsi="宋体" w:cs="宋体"/>
          <w:sz w:val="24"/>
        </w:rPr>
        <w:t>1.乙方提供的货物均应包装完整，每一包装单元内应附详细的装箱单和质量合格证。</w:t>
      </w:r>
    </w:p>
    <w:p>
      <w:pPr>
        <w:pStyle w:val="17"/>
        <w:snapToGrid w:val="0"/>
        <w:spacing w:line="440" w:lineRule="exact"/>
        <w:ind w:firstLine="480" w:firstLineChars="200"/>
        <w:rPr>
          <w:rFonts w:hAnsi="宋体" w:cs="宋体"/>
          <w:sz w:val="24"/>
          <w:szCs w:val="24"/>
        </w:rPr>
      </w:pPr>
      <w:r>
        <w:rPr>
          <w:rFonts w:hint="eastAsia" w:hAnsi="宋体" w:cs="宋体"/>
          <w:sz w:val="24"/>
          <w:szCs w:val="24"/>
        </w:rPr>
        <w:t>2.货物的运输：</w:t>
      </w:r>
      <w:r>
        <w:rPr>
          <w:rFonts w:hAnsi="宋体" w:cs="宋体"/>
          <w:sz w:val="24"/>
          <w:szCs w:val="24"/>
          <w:u w:val="single"/>
        </w:rPr>
        <w:t xml:space="preserve"> 。</w:t>
      </w:r>
    </w:p>
    <w:p>
      <w:pPr>
        <w:pStyle w:val="17"/>
        <w:snapToGrid w:val="0"/>
        <w:spacing w:line="440" w:lineRule="exact"/>
        <w:ind w:firstLine="480" w:firstLineChars="200"/>
        <w:rPr>
          <w:rFonts w:hAnsi="宋体" w:cs="宋体"/>
          <w:sz w:val="24"/>
          <w:szCs w:val="24"/>
        </w:rPr>
      </w:pPr>
      <w:r>
        <w:rPr>
          <w:rFonts w:hint="eastAsia" w:hAnsi="宋体" w:cs="宋体"/>
          <w:sz w:val="24"/>
          <w:szCs w:val="24"/>
        </w:rPr>
        <w:t>3. 乙方负责货物运输，货物运输合理损耗及计算方法：</w:t>
      </w:r>
      <w:r>
        <w:rPr>
          <w:rFonts w:hint="eastAsia" w:hAnsi="宋体" w:cs="宋体"/>
          <w:sz w:val="24"/>
          <w:szCs w:val="24"/>
          <w:u w:val="single"/>
        </w:rPr>
        <w:t>甲方不接受损耗。</w:t>
      </w:r>
    </w:p>
    <w:p>
      <w:pPr>
        <w:pStyle w:val="17"/>
        <w:snapToGrid w:val="0"/>
        <w:spacing w:line="440" w:lineRule="exact"/>
        <w:ind w:firstLine="480" w:firstLineChars="200"/>
        <w:rPr>
          <w:rFonts w:hAnsi="宋体" w:cs="宋体"/>
          <w:sz w:val="24"/>
          <w:szCs w:val="24"/>
        </w:rPr>
      </w:pPr>
      <w:r>
        <w:rPr>
          <w:rFonts w:hAnsi="宋体" w:cs="宋体"/>
          <w:sz w:val="24"/>
          <w:szCs w:val="24"/>
        </w:rPr>
        <w:t>4.</w:t>
      </w:r>
      <w:r>
        <w:rPr>
          <w:rFonts w:hint="eastAsia" w:hAnsi="宋体" w:cs="宋体"/>
          <w:sz w:val="24"/>
          <w:szCs w:val="24"/>
        </w:rPr>
        <w:t>乙方应在货物发运前对其进行满足运输距离、防潮、防震、防锈和防破损装卸等要求包装，以保证货物安全运达甲方指定地点。</w:t>
      </w:r>
    </w:p>
    <w:p>
      <w:pPr>
        <w:pStyle w:val="17"/>
        <w:snapToGrid w:val="0"/>
        <w:spacing w:line="44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 xml:space="preserve"> 使用说明书（货物属于进口产品的，供货时应同时附上中文使用说明书）、质量检验证明书、随配附件和工具以及清单一并附于货物内。</w:t>
      </w:r>
    </w:p>
    <w:p>
      <w:pPr>
        <w:pStyle w:val="17"/>
        <w:snapToGrid w:val="0"/>
        <w:spacing w:line="440" w:lineRule="exact"/>
        <w:ind w:firstLine="480" w:firstLineChars="200"/>
        <w:rPr>
          <w:rFonts w:hAnsi="宋体" w:cs="宋体"/>
          <w:sz w:val="24"/>
          <w:szCs w:val="24"/>
        </w:rPr>
      </w:pPr>
      <w:r>
        <w:rPr>
          <w:rFonts w:hAnsi="宋体" w:cs="宋体"/>
          <w:sz w:val="24"/>
          <w:szCs w:val="24"/>
        </w:rPr>
        <w:t>6</w:t>
      </w:r>
      <w:r>
        <w:rPr>
          <w:rFonts w:hint="eastAsia" w:hAnsi="宋体" w:cs="宋体"/>
          <w:sz w:val="24"/>
          <w:szCs w:val="24"/>
        </w:rPr>
        <w:t>.乙方在货物发运手续办理完毕后2</w:t>
      </w:r>
      <w:r>
        <w:rPr>
          <w:rFonts w:hAnsi="宋体" w:cs="宋体"/>
          <w:sz w:val="24"/>
          <w:szCs w:val="24"/>
        </w:rPr>
        <w:t>4</w:t>
      </w:r>
      <w:r>
        <w:rPr>
          <w:rFonts w:hint="eastAsia" w:hAnsi="宋体" w:cs="宋体"/>
          <w:sz w:val="24"/>
          <w:szCs w:val="24"/>
        </w:rPr>
        <w:t>小时内或者货到甲方4</w:t>
      </w:r>
      <w:r>
        <w:rPr>
          <w:rFonts w:hAnsi="宋体" w:cs="宋体"/>
          <w:sz w:val="24"/>
          <w:szCs w:val="24"/>
        </w:rPr>
        <w:t>8</w:t>
      </w:r>
      <w:r>
        <w:rPr>
          <w:rFonts w:hint="eastAsia" w:hAnsi="宋体" w:cs="宋体"/>
          <w:sz w:val="24"/>
          <w:szCs w:val="24"/>
        </w:rPr>
        <w:t>小时前通知甲方，以准备接货。</w:t>
      </w:r>
    </w:p>
    <w:p>
      <w:pPr>
        <w:pStyle w:val="17"/>
        <w:snapToGrid w:val="0"/>
        <w:spacing w:line="440" w:lineRule="exact"/>
        <w:ind w:firstLine="480" w:firstLineChars="200"/>
        <w:rPr>
          <w:rFonts w:hAnsi="宋体" w:cs="宋体"/>
          <w:sz w:val="24"/>
          <w:szCs w:val="24"/>
        </w:rPr>
      </w:pPr>
      <w:r>
        <w:rPr>
          <w:rFonts w:hAnsi="宋体" w:cs="宋体"/>
          <w:sz w:val="24"/>
          <w:szCs w:val="24"/>
        </w:rPr>
        <w:t>7</w:t>
      </w:r>
      <w:r>
        <w:rPr>
          <w:rFonts w:hint="eastAsia" w:hAnsi="宋体" w:cs="宋体"/>
          <w:sz w:val="24"/>
          <w:szCs w:val="24"/>
        </w:rPr>
        <w:t>.货物在规定的交付期限内由乙方送达甲方指定的地点，乙方同时需通知甲方货物已送达，甲方清点货物后签收，货物签收不作为最终验收合格的依据。</w:t>
      </w:r>
    </w:p>
    <w:p>
      <w:pPr>
        <w:snapToGrid w:val="0"/>
        <w:spacing w:line="460" w:lineRule="exact"/>
        <w:ind w:firstLine="482" w:firstLineChars="200"/>
        <w:rPr>
          <w:rFonts w:hAnsi="宋体" w:cs="宋体"/>
          <w:b/>
          <w:sz w:val="24"/>
        </w:rPr>
      </w:pPr>
      <w:r>
        <w:rPr>
          <w:rFonts w:hint="eastAsia" w:ascii="宋体" w:hAnsi="宋体" w:cs="宋体"/>
          <w:b/>
          <w:sz w:val="24"/>
        </w:rPr>
        <w:t>第五条　</w:t>
      </w:r>
      <w:r>
        <w:rPr>
          <w:rFonts w:hint="eastAsia" w:hAnsi="宋体" w:cs="宋体"/>
          <w:b/>
          <w:sz w:val="24"/>
        </w:rPr>
        <w:t>安装和培训</w:t>
      </w:r>
    </w:p>
    <w:p>
      <w:pPr>
        <w:snapToGrid w:val="0"/>
        <w:spacing w:line="460" w:lineRule="exact"/>
        <w:ind w:firstLine="480" w:firstLineChars="200"/>
        <w:rPr>
          <w:rFonts w:ascii="宋体" w:hAnsi="宋体" w:cs="宋体"/>
          <w:sz w:val="24"/>
        </w:rPr>
      </w:pPr>
      <w:r>
        <w:rPr>
          <w:rFonts w:hint="eastAsia" w:ascii="宋体" w:hAnsi="宋体" w:cs="宋体"/>
          <w:sz w:val="24"/>
        </w:rPr>
        <w:t>1.甲方应提供必要安装条件（如场地、电源、水源等）。</w:t>
      </w:r>
    </w:p>
    <w:p>
      <w:pPr>
        <w:snapToGrid w:val="0"/>
        <w:spacing w:line="460" w:lineRule="exact"/>
        <w:ind w:firstLine="480" w:firstLineChars="200"/>
        <w:rPr>
          <w:rFonts w:ascii="宋体" w:hAnsi="宋体" w:cs="宋体"/>
          <w:sz w:val="24"/>
          <w:u w:val="single"/>
        </w:rPr>
      </w:pPr>
      <w:r>
        <w:rPr>
          <w:rFonts w:hint="eastAsia" w:ascii="宋体" w:hAnsi="宋体" w:cs="宋体"/>
          <w:sz w:val="24"/>
        </w:rPr>
        <w:t>2.乙方响应文件承诺负责甲方有关人员的培训：</w:t>
      </w:r>
      <w:r>
        <w:rPr>
          <w:rFonts w:hint="eastAsia" w:ascii="宋体" w:hAnsi="宋体" w:cs="宋体"/>
          <w:sz w:val="24"/>
          <w:u w:val="single"/>
        </w:rPr>
        <w:t>根据甲方要求开展。</w:t>
      </w:r>
    </w:p>
    <w:p>
      <w:pPr>
        <w:snapToGrid w:val="0"/>
        <w:spacing w:line="460" w:lineRule="exact"/>
        <w:ind w:firstLine="480" w:firstLineChars="200"/>
      </w:pPr>
      <w:r>
        <w:rPr>
          <w:rFonts w:hint="eastAsia" w:ascii="宋体" w:hAnsi="宋体" w:cs="宋体"/>
          <w:sz w:val="24"/>
        </w:rPr>
        <w:t>3.培训时间、地点：</w:t>
      </w:r>
      <w:r>
        <w:rPr>
          <w:rFonts w:hint="eastAsia" w:ascii="宋体" w:hAnsi="宋体" w:cs="宋体"/>
          <w:sz w:val="24"/>
          <w:u w:val="single"/>
        </w:rPr>
        <w:t>甲方指定。</w:t>
      </w:r>
    </w:p>
    <w:p>
      <w:pPr>
        <w:snapToGrid w:val="0"/>
        <w:spacing w:line="460" w:lineRule="exact"/>
        <w:ind w:firstLine="482" w:firstLineChars="200"/>
        <w:rPr>
          <w:rFonts w:ascii="宋体" w:hAnsi="宋体" w:cs="宋体"/>
          <w:sz w:val="24"/>
        </w:rPr>
      </w:pPr>
      <w:r>
        <w:rPr>
          <w:rFonts w:hint="eastAsia" w:ascii="宋体" w:hAnsi="宋体" w:cs="宋体"/>
          <w:b/>
          <w:sz w:val="24"/>
        </w:rPr>
        <w:t>第六条　调试、交付和验收</w:t>
      </w:r>
    </w:p>
    <w:p>
      <w:pPr>
        <w:snapToGrid w:val="0"/>
        <w:spacing w:line="460" w:lineRule="exact"/>
        <w:ind w:firstLine="480" w:firstLineChars="200"/>
        <w:rPr>
          <w:rFonts w:ascii="宋体" w:hAnsi="宋体" w:cs="宋体"/>
          <w:sz w:val="24"/>
          <w:u w:val="single"/>
        </w:rPr>
      </w:pPr>
      <w:r>
        <w:rPr>
          <w:rFonts w:hint="eastAsia" w:ascii="宋体" w:hAnsi="宋体" w:cs="宋体"/>
          <w:sz w:val="24"/>
        </w:rPr>
        <w:t>1.交付时间：国产设备自签订合同之日起</w:t>
      </w:r>
      <w:r>
        <w:rPr>
          <w:rFonts w:ascii="宋体" w:hAnsi="宋体" w:cs="宋体"/>
          <w:sz w:val="24"/>
        </w:rPr>
        <w:t>**</w:t>
      </w:r>
      <w:r>
        <w:rPr>
          <w:rFonts w:hint="eastAsia" w:ascii="宋体" w:hAnsi="宋体" w:cs="宋体"/>
          <w:sz w:val="24"/>
        </w:rPr>
        <w:t>日历天内到货安装调试完成并通过验收。进口设备</w:t>
      </w:r>
      <w:r>
        <w:rPr>
          <w:rFonts w:ascii="宋体" w:hAnsi="宋体" w:cs="宋体"/>
          <w:sz w:val="24"/>
        </w:rPr>
        <w:t>签</w:t>
      </w:r>
      <w:r>
        <w:rPr>
          <w:rFonts w:hint="eastAsia" w:ascii="宋体" w:hAnsi="宋体" w:cs="宋体"/>
          <w:sz w:val="24"/>
        </w:rPr>
        <w:t>自签订合同之日起</w:t>
      </w:r>
      <w:r>
        <w:rPr>
          <w:rFonts w:ascii="宋体" w:hAnsi="宋体" w:cs="宋体"/>
          <w:sz w:val="24"/>
        </w:rPr>
        <w:t>**</w:t>
      </w:r>
      <w:r>
        <w:rPr>
          <w:rFonts w:hint="eastAsia" w:ascii="宋体" w:hAnsi="宋体" w:cs="宋体"/>
          <w:sz w:val="24"/>
        </w:rPr>
        <w:t>日历天内到货安装调试完成并通过验收。交付地点：</w:t>
      </w:r>
      <w:r>
        <w:rPr>
          <w:rFonts w:hint="eastAsia" w:ascii="宋体" w:hAnsi="宋体" w:cs="宋体"/>
          <w:sz w:val="24"/>
          <w:u w:val="single"/>
        </w:rPr>
        <w:t>甲方指定地点。</w:t>
      </w:r>
    </w:p>
    <w:p>
      <w:pPr>
        <w:snapToGrid w:val="0"/>
        <w:spacing w:line="460" w:lineRule="exact"/>
        <w:ind w:firstLine="480" w:firstLineChars="200"/>
        <w:rPr>
          <w:rFonts w:ascii="宋体" w:hAnsi="宋体" w:cs="宋体"/>
          <w:sz w:val="24"/>
        </w:rPr>
      </w:pPr>
      <w:r>
        <w:rPr>
          <w:rFonts w:hint="eastAsia" w:ascii="宋体" w:hAnsi="宋体" w:cs="宋体"/>
          <w:sz w:val="24"/>
        </w:rPr>
        <w:t>2.乙方提供不符合采购文件规定或者响应文件承诺的和本合同规定的货物，甲方有权拒绝接受。</w:t>
      </w:r>
    </w:p>
    <w:p>
      <w:pPr>
        <w:snapToGrid w:val="0"/>
        <w:spacing w:line="360" w:lineRule="auto"/>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ascii="宋体" w:hAnsi="宋体" w:cs="宋体"/>
          <w:sz w:val="24"/>
        </w:rPr>
      </w:pPr>
      <w:r>
        <w:rPr>
          <w:rFonts w:ascii="宋体" w:hAnsi="宋体"/>
          <w:sz w:val="24"/>
        </w:rPr>
        <w:t>4.</w:t>
      </w:r>
      <w:r>
        <w:rPr>
          <w:rFonts w:hint="eastAsia" w:ascii="宋体" w:hAnsi="宋体" w:cs="宋体"/>
          <w:sz w:val="24"/>
        </w:rPr>
        <w:t>乙方应对产品作出全面检查和对验收文件进行整理，并列出清单，作为甲方验收和使用的技术条件依据，检验的结果应随货物交甲方。</w:t>
      </w:r>
    </w:p>
    <w:p>
      <w:pPr>
        <w:pStyle w:val="17"/>
        <w:snapToGrid w:val="0"/>
        <w:spacing w:line="360" w:lineRule="auto"/>
        <w:ind w:firstLine="480" w:firstLineChars="200"/>
        <w:rPr>
          <w:rFonts w:hAnsi="宋体" w:cs="宋体"/>
          <w:sz w:val="24"/>
          <w:szCs w:val="24"/>
        </w:rPr>
      </w:pPr>
      <w:r>
        <w:rPr>
          <w:rFonts w:hAnsi="宋体"/>
          <w:sz w:val="24"/>
          <w:szCs w:val="24"/>
        </w:rPr>
        <w:t>5.</w:t>
      </w: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乙方应当在到货并安装、调试完毕后，达到验收条件时以书面形式提请甲方进行验收，甲方应在收到验收请求后</w:t>
      </w:r>
      <w:r>
        <w:rPr>
          <w:rFonts w:ascii="宋体" w:hAnsi="宋体" w:cs="宋体"/>
          <w:sz w:val="24"/>
        </w:rPr>
        <w:t>5</w:t>
      </w:r>
      <w:r>
        <w:rPr>
          <w:rFonts w:hint="eastAsia" w:ascii="宋体" w:hAnsi="宋体" w:cs="宋体"/>
          <w:sz w:val="24"/>
        </w:rPr>
        <w:t>个工作日内组织开展履约验收。验收合格后由甲乙双方签署货物验收单并加盖甲方公章，甲乙双方各执壹份。</w:t>
      </w:r>
    </w:p>
    <w:p>
      <w:pPr>
        <w:pStyle w:val="17"/>
        <w:snapToGrid w:val="0"/>
        <w:spacing w:line="360" w:lineRule="auto"/>
        <w:ind w:firstLine="480" w:firstLineChars="200"/>
        <w:rPr>
          <w:rFonts w:hAnsi="宋体" w:cs="宋体"/>
          <w:sz w:val="24"/>
          <w:szCs w:val="24"/>
        </w:rPr>
      </w:pPr>
      <w:r>
        <w:rPr>
          <w:rFonts w:hAnsi="宋体"/>
          <w:sz w:val="24"/>
          <w:szCs w:val="24"/>
        </w:rPr>
        <w:t>7.</w:t>
      </w:r>
      <w:r>
        <w:rPr>
          <w:rFonts w:hint="eastAsia" w:hAnsi="宋体" w:cs="宋体"/>
          <w:sz w:val="24"/>
          <w:szCs w:val="24"/>
        </w:rPr>
        <w:t>对技术复杂的货物，甲方可请国家认可的专业检测机构参与初步验收及最终验收，并由其出具质量检测报告。</w:t>
      </w:r>
    </w:p>
    <w:p>
      <w:pPr>
        <w:snapToGrid w:val="0"/>
        <w:spacing w:line="360" w:lineRule="auto"/>
        <w:ind w:firstLine="480" w:firstLineChars="200"/>
        <w:rPr>
          <w:rFonts w:ascii="宋体" w:hAnsi="宋体" w:cs="宋体"/>
          <w:sz w:val="24"/>
        </w:rPr>
      </w:pPr>
      <w:r>
        <w:rPr>
          <w:rFonts w:ascii="宋体" w:hAnsi="宋体" w:cs="宋体"/>
          <w:sz w:val="24"/>
        </w:rPr>
        <w:t>8.</w:t>
      </w:r>
      <w:r>
        <w:rPr>
          <w:rFonts w:hint="eastAsia" w:ascii="宋体" w:hAnsi="宋体" w:cs="宋体"/>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ascii="宋体" w:hAnsi="宋体" w:cs="宋体"/>
          <w:sz w:val="24"/>
          <w:u w:val="single"/>
        </w:rPr>
      </w:pPr>
      <w:r>
        <w:rPr>
          <w:rFonts w:ascii="宋体" w:hAnsi="宋体" w:cs="宋体"/>
          <w:sz w:val="24"/>
        </w:rPr>
        <w:t>9.</w:t>
      </w:r>
      <w:r>
        <w:rPr>
          <w:rFonts w:hint="eastAsia" w:ascii="宋体" w:hAnsi="宋体" w:cs="宋体"/>
          <w:sz w:val="24"/>
        </w:rPr>
        <w:t>甲方对验收有异议的，在验收后</w:t>
      </w:r>
      <w:r>
        <w:rPr>
          <w:rFonts w:ascii="宋体" w:hAnsi="宋体" w:cs="宋体"/>
          <w:sz w:val="24"/>
        </w:rPr>
        <w:t>5</w:t>
      </w:r>
      <w:r>
        <w:rPr>
          <w:rFonts w:hint="eastAsia" w:ascii="宋体" w:hAnsi="宋体" w:cs="宋体"/>
          <w:sz w:val="24"/>
        </w:rPr>
        <w:t>个工作日内以书面形式向乙方提出，乙方应自收到甲方书面异议后</w:t>
      </w:r>
      <w:r>
        <w:rPr>
          <w:rFonts w:ascii="宋体" w:hAnsi="宋体" w:cs="宋体"/>
          <w:sz w:val="24"/>
        </w:rPr>
        <w:t>7</w:t>
      </w:r>
      <w:r>
        <w:rPr>
          <w:rFonts w:hint="eastAsia" w:ascii="宋体" w:hAnsi="宋体" w:cs="宋体"/>
          <w:sz w:val="24"/>
        </w:rPr>
        <w:t>日内及时予以解决。</w:t>
      </w:r>
    </w:p>
    <w:p>
      <w:pPr>
        <w:snapToGrid w:val="0"/>
        <w:spacing w:line="360" w:lineRule="auto"/>
        <w:ind w:left="-61" w:firstLine="514"/>
        <w:rPr>
          <w:rFonts w:ascii="宋体" w:hAnsi="宋体" w:cs="宋体"/>
          <w:sz w:val="24"/>
        </w:rPr>
      </w:pPr>
      <w:r>
        <w:rPr>
          <w:rFonts w:ascii="宋体" w:hAnsi="宋体" w:cs="宋体"/>
          <w:sz w:val="24"/>
        </w:rPr>
        <w:t>10.</w:t>
      </w:r>
      <w:r>
        <w:rPr>
          <w:rFonts w:hint="eastAsia" w:ascii="宋体" w:hAnsi="宋体" w:cs="宋体"/>
          <w:sz w:val="24"/>
        </w:rPr>
        <w:t>验收时乙方必须在现场，验收完毕后作出验收结果报告；验收过程所产生的一切费用均由乙方承担。</w:t>
      </w:r>
    </w:p>
    <w:p>
      <w:pPr>
        <w:snapToGrid w:val="0"/>
        <w:spacing w:line="360" w:lineRule="auto"/>
        <w:ind w:left="-61" w:firstLine="514"/>
        <w:rPr>
          <w:rFonts w:hAnsi="宋体" w:cs="宋体"/>
          <w:sz w:val="24"/>
        </w:rPr>
      </w:pPr>
      <w:r>
        <w:rPr>
          <w:rFonts w:ascii="宋体" w:hAnsi="宋体" w:cs="宋体"/>
          <w:sz w:val="24"/>
        </w:rPr>
        <w:t>11.</w:t>
      </w:r>
      <w:r>
        <w:rPr>
          <w:rFonts w:hint="eastAsia" w:ascii="宋体" w:hAnsi="宋体" w:cs="宋体"/>
          <w:sz w:val="24"/>
        </w:rPr>
        <w:t>货物在交付甲方前发生的风险均由乙方负责。</w:t>
      </w:r>
    </w:p>
    <w:p>
      <w:pPr>
        <w:pStyle w:val="12"/>
        <w:ind w:firstLine="480" w:firstLineChars="200"/>
      </w:pPr>
      <w:r>
        <w:rPr>
          <w:rFonts w:ascii="宋体" w:hAnsi="宋体" w:cs="宋体"/>
          <w:sz w:val="24"/>
        </w:rPr>
        <w:t>12.</w:t>
      </w:r>
      <w:r>
        <w:rPr>
          <w:rFonts w:hint="eastAsia" w:ascii="宋体" w:hAnsi="宋体" w:cs="宋体"/>
          <w:sz w:val="24"/>
        </w:rPr>
        <w:t>本合同的验收条款与采购需求商务条款中的货物验收条款互为补充。</w:t>
      </w:r>
    </w:p>
    <w:p>
      <w:pPr>
        <w:snapToGrid w:val="0"/>
        <w:spacing w:line="360" w:lineRule="auto"/>
        <w:ind w:left="-61" w:firstLine="514"/>
        <w:rPr>
          <w:rFonts w:ascii="宋体" w:hAnsi="宋体" w:cs="宋体"/>
          <w:b/>
          <w:sz w:val="24"/>
        </w:rPr>
      </w:pPr>
      <w:r>
        <w:rPr>
          <w:rFonts w:hint="eastAsia" w:ascii="宋体" w:hAnsi="宋体" w:cs="宋体"/>
          <w:b/>
          <w:sz w:val="24"/>
        </w:rPr>
        <w:t>第七条　付款方式</w:t>
      </w:r>
    </w:p>
    <w:p>
      <w:pPr>
        <w:snapToGrid w:val="0"/>
        <w:spacing w:line="360" w:lineRule="auto"/>
        <w:ind w:left="-61" w:firstLine="514"/>
        <w:rPr>
          <w:rFonts w:ascii="宋体" w:hAnsi="宋体" w:cs="宋体"/>
          <w:sz w:val="24"/>
        </w:rPr>
      </w:pPr>
      <w:r>
        <w:rPr>
          <w:rFonts w:hint="eastAsia" w:ascii="宋体" w:hAnsi="宋体" w:cs="宋体"/>
          <w:sz w:val="24"/>
        </w:rPr>
        <w:t>无预付款，乙方供货且完成验收后，甲方一次性支付全部合同款（无息），付款前乙方开具等额增值税专用发票给甲方。</w:t>
      </w:r>
    </w:p>
    <w:p>
      <w:pPr>
        <w:snapToGrid w:val="0"/>
        <w:spacing w:line="460" w:lineRule="exact"/>
        <w:ind w:firstLine="482" w:firstLineChars="200"/>
        <w:rPr>
          <w:rFonts w:ascii="宋体" w:hAnsi="宋体" w:cs="宋体"/>
          <w:b/>
          <w:sz w:val="24"/>
        </w:rPr>
      </w:pPr>
      <w:r>
        <w:rPr>
          <w:rFonts w:hint="eastAsia" w:ascii="宋体" w:hAnsi="宋体" w:cs="宋体"/>
          <w:b/>
          <w:sz w:val="24"/>
        </w:rPr>
        <w:t>第八条　履约保证金</w:t>
      </w:r>
    </w:p>
    <w:p>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合同金额的</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整；</w:t>
      </w:r>
      <w:r>
        <w:rPr>
          <w:rFonts w:hint="eastAsia" w:ascii="宋体" w:hAnsi="宋体" w:cs="宋体"/>
          <w:sz w:val="24"/>
        </w:rPr>
        <w:t>乙方在签订合同前交至指定账户，否则不予签订合同（履约保证金缴纳时须备注项目编号及项目名称：</w:t>
      </w:r>
      <w:r>
        <w:rPr>
          <w:rFonts w:hint="eastAsia" w:ascii="宋体" w:hAnsi="宋体" w:cs="宋体"/>
          <w:sz w:val="24"/>
          <w:u w:val="single"/>
        </w:rPr>
        <w:t>GXZC2023-</w:t>
      </w:r>
      <w:r>
        <w:rPr>
          <w:rFonts w:hint="eastAsia" w:ascii="宋体" w:hAnsi="宋体" w:cs="宋体"/>
          <w:sz w:val="24"/>
          <w:u w:val="single"/>
          <w:lang w:val="en-US" w:eastAsia="zh-CN"/>
        </w:rPr>
        <w:t>J1</w:t>
      </w:r>
      <w:r>
        <w:rPr>
          <w:rFonts w:hint="eastAsia" w:ascii="宋体" w:hAnsi="宋体" w:cs="宋体"/>
          <w:sz w:val="24"/>
          <w:u w:val="single"/>
        </w:rPr>
        <w:t>-00</w:t>
      </w:r>
      <w:r>
        <w:rPr>
          <w:rFonts w:hint="eastAsia" w:ascii="宋体" w:hAnsi="宋体" w:cs="宋体"/>
          <w:sz w:val="24"/>
          <w:u w:val="single"/>
          <w:lang w:val="en-US" w:eastAsia="zh-CN"/>
        </w:rPr>
        <w:t>4656</w:t>
      </w:r>
      <w:r>
        <w:rPr>
          <w:rFonts w:hint="eastAsia" w:ascii="宋体" w:hAnsi="宋体" w:cs="宋体"/>
          <w:sz w:val="24"/>
          <w:u w:val="single"/>
        </w:rPr>
        <w:t>-</w:t>
      </w:r>
      <w:r>
        <w:rPr>
          <w:rFonts w:hint="eastAsia" w:ascii="宋体" w:hAnsi="宋体" w:cs="宋体"/>
          <w:sz w:val="24"/>
          <w:u w:val="single"/>
          <w:lang w:val="en-US" w:eastAsia="zh-CN"/>
        </w:rPr>
        <w:t>KLZB</w:t>
      </w:r>
      <w:r>
        <w:rPr>
          <w:rFonts w:hint="eastAsia" w:ascii="宋体" w:hAnsi="宋体" w:cs="宋体"/>
          <w:sz w:val="24"/>
          <w:u w:val="single"/>
        </w:rPr>
        <w:t>（项目名称 ）</w:t>
      </w:r>
      <w:r>
        <w:rPr>
          <w:rFonts w:hint="eastAsia" w:ascii="宋体" w:hAnsi="宋体" w:cs="宋体"/>
          <w:sz w:val="24"/>
        </w:rPr>
        <w:t>履约保证金。）</w:t>
      </w:r>
    </w:p>
    <w:p>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2.履约保证金递交方式：银行转账、电汇或者银行出具的保函等非现金方式。由乙方在签订合同前按规定的金额直接缴入以下甲方账户。凭履约保证金缴纳凭证签订合同。</w:t>
      </w:r>
    </w:p>
    <w:p>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货物验收合格后，乙方凭履约保证金缴款凭证、退付意见书到甲方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pPr>
        <w:snapToGrid w:val="0"/>
        <w:spacing w:line="460" w:lineRule="exact"/>
        <w:ind w:firstLine="480" w:firstLineChars="200"/>
        <w:rPr>
          <w:rFonts w:ascii="宋体" w:hAnsi="宋体" w:cs="宋体"/>
          <w:sz w:val="24"/>
        </w:rPr>
      </w:pPr>
      <w:r>
        <w:rPr>
          <w:rFonts w:hint="eastAsia" w:ascii="宋体" w:hAnsi="宋体" w:cs="宋体"/>
          <w:sz w:val="24"/>
        </w:rPr>
        <w:t>4.备注：</w:t>
      </w:r>
    </w:p>
    <w:p>
      <w:pPr>
        <w:snapToGrid w:val="0"/>
        <w:spacing w:line="460" w:lineRule="exact"/>
        <w:ind w:firstLine="480" w:firstLineChars="200"/>
        <w:rPr>
          <w:rFonts w:ascii="宋体" w:hAnsi="宋体" w:cs="宋体"/>
          <w:sz w:val="24"/>
        </w:rPr>
      </w:pPr>
      <w:r>
        <w:rPr>
          <w:rFonts w:hint="eastAsia" w:ascii="宋体" w:hAnsi="宋体" w:cs="宋体"/>
          <w:sz w:val="24"/>
        </w:rPr>
        <w:t>（1）履约保证金不足额缴纳的，或银行出具的保函额度不足的或者银行保函有效期低于合同履行期限（即签订采购合同之日起至履行完合同约定的权利及义务之日止）的，不予签订合同。</w:t>
      </w:r>
    </w:p>
    <w:p>
      <w:pPr>
        <w:snapToGrid w:val="0"/>
        <w:spacing w:line="460" w:lineRule="exact"/>
        <w:ind w:firstLine="480" w:firstLineChars="200"/>
        <w:rPr>
          <w:rFonts w:ascii="宋体" w:hAnsi="宋体" w:cs="宋体"/>
          <w:sz w:val="24"/>
        </w:rPr>
      </w:pPr>
      <w:r>
        <w:rPr>
          <w:rFonts w:hint="eastAsia" w:ascii="宋体" w:hAnsi="宋体" w:cs="宋体"/>
          <w:sz w:val="24"/>
        </w:rPr>
        <w:t>（2）采用银行出具的保函的，必须为无条件的银行保函，否则不予签订合同。</w:t>
      </w:r>
    </w:p>
    <w:p>
      <w:pPr>
        <w:snapToGrid w:val="0"/>
        <w:spacing w:line="460" w:lineRule="exact"/>
        <w:ind w:firstLine="482" w:firstLineChars="200"/>
        <w:rPr>
          <w:rFonts w:ascii="宋体" w:hAnsi="宋体" w:cs="宋体"/>
          <w:b/>
          <w:sz w:val="24"/>
        </w:rPr>
      </w:pPr>
      <w:r>
        <w:rPr>
          <w:rFonts w:hint="eastAsia" w:ascii="宋体" w:hAnsi="宋体" w:cs="宋体"/>
          <w:b/>
          <w:sz w:val="24"/>
        </w:rPr>
        <w:t>（3）</w:t>
      </w:r>
      <w:r>
        <w:rPr>
          <w:rFonts w:ascii="宋体" w:hAnsi="宋体" w:cs="宋体"/>
          <w:b/>
          <w:sz w:val="24"/>
        </w:rPr>
        <w:t>履约保证金缴纳时须明确备注项目</w:t>
      </w:r>
      <w:r>
        <w:rPr>
          <w:rFonts w:hint="eastAsia" w:ascii="宋体" w:hAnsi="宋体" w:cs="宋体"/>
          <w:b/>
          <w:sz w:val="24"/>
        </w:rPr>
        <w:t>名称（编号）：</w:t>
      </w:r>
      <w:r>
        <w:rPr>
          <w:rFonts w:ascii="宋体" w:hAnsi="宋体" w:cs="宋体"/>
          <w:b/>
          <w:sz w:val="24"/>
          <w:u w:val="single"/>
        </w:rPr>
        <w:t>*********</w:t>
      </w:r>
      <w:r>
        <w:rPr>
          <w:rFonts w:hint="eastAsia" w:ascii="宋体" w:hAnsi="宋体" w:cs="宋体"/>
          <w:b/>
          <w:sz w:val="24"/>
        </w:rPr>
        <w:t>（</w:t>
      </w:r>
      <w:r>
        <w:rPr>
          <w:rFonts w:ascii="宋体" w:hAnsi="宋体" w:cs="宋体"/>
          <w:b/>
          <w:sz w:val="24"/>
        </w:rPr>
        <w:t>GXZC2023-</w:t>
      </w:r>
      <w:r>
        <w:rPr>
          <w:rFonts w:hint="eastAsia" w:ascii="宋体" w:hAnsi="宋体" w:cs="宋体"/>
          <w:b/>
          <w:sz w:val="24"/>
          <w:lang w:val="en-US" w:eastAsia="zh-CN"/>
        </w:rPr>
        <w:t>J1</w:t>
      </w:r>
      <w:r>
        <w:rPr>
          <w:rFonts w:ascii="宋体" w:hAnsi="宋体" w:cs="宋体"/>
          <w:b/>
          <w:sz w:val="24"/>
        </w:rPr>
        <w:t>-00</w:t>
      </w:r>
      <w:r>
        <w:rPr>
          <w:rFonts w:hint="eastAsia" w:ascii="宋体" w:hAnsi="宋体" w:cs="宋体"/>
          <w:b/>
          <w:sz w:val="24"/>
          <w:lang w:val="en-US" w:eastAsia="zh-CN"/>
        </w:rPr>
        <w:t>4656</w:t>
      </w:r>
      <w:r>
        <w:rPr>
          <w:rFonts w:ascii="宋体" w:hAnsi="宋体" w:cs="宋体"/>
          <w:b/>
          <w:sz w:val="24"/>
        </w:rPr>
        <w:t>-</w:t>
      </w:r>
      <w:r>
        <w:rPr>
          <w:rFonts w:hint="eastAsia" w:ascii="宋体" w:hAnsi="宋体" w:cs="宋体"/>
          <w:b/>
          <w:sz w:val="24"/>
          <w:lang w:val="en-US" w:eastAsia="zh-CN"/>
        </w:rPr>
        <w:t>KLZB</w:t>
      </w:r>
      <w:r>
        <w:rPr>
          <w:rFonts w:hint="eastAsia" w:ascii="宋体" w:hAnsi="宋体" w:cs="宋体"/>
          <w:b/>
          <w:sz w:val="24"/>
        </w:rPr>
        <w:t>）履约保证金。</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pPr>
        <w:snapToGrid w:val="0"/>
        <w:spacing w:line="460" w:lineRule="exact"/>
        <w:ind w:firstLine="514"/>
        <w:rPr>
          <w:rFonts w:ascii="宋体" w:hAnsi="宋体" w:cs="宋体"/>
          <w:b/>
          <w:sz w:val="24"/>
        </w:rPr>
      </w:pPr>
      <w:r>
        <w:rPr>
          <w:rFonts w:hint="eastAsia" w:ascii="宋体" w:hAnsi="宋体" w:cs="宋体"/>
          <w:b/>
          <w:sz w:val="24"/>
        </w:rPr>
        <w:t>第九条  税费</w:t>
      </w:r>
    </w:p>
    <w:p>
      <w:pPr>
        <w:snapToGrid w:val="0"/>
        <w:spacing w:line="460" w:lineRule="exact"/>
        <w:ind w:firstLine="514"/>
        <w:rPr>
          <w:rFonts w:ascii="宋体" w:hAnsi="宋体" w:cs="宋体"/>
          <w:sz w:val="24"/>
        </w:rPr>
      </w:pPr>
      <w:r>
        <w:rPr>
          <w:rFonts w:hint="eastAsia" w:ascii="宋体" w:hAnsi="宋体" w:cs="宋体"/>
          <w:sz w:val="24"/>
        </w:rPr>
        <w:t>本合同执行中相关的一切税费均由乙方负担，合同另有约定的除外。</w:t>
      </w:r>
    </w:p>
    <w:p>
      <w:pPr>
        <w:snapToGrid w:val="0"/>
        <w:spacing w:line="460" w:lineRule="exact"/>
        <w:ind w:firstLine="514"/>
        <w:rPr>
          <w:rFonts w:ascii="宋体" w:hAnsi="宋体" w:cs="宋体"/>
          <w:sz w:val="24"/>
        </w:rPr>
      </w:pPr>
      <w:r>
        <w:rPr>
          <w:rFonts w:hint="eastAsia" w:ascii="宋体" w:hAnsi="宋体" w:cs="宋体"/>
          <w:b/>
          <w:sz w:val="24"/>
        </w:rPr>
        <w:t>第十条  质量保证、售后服务</w:t>
      </w:r>
    </w:p>
    <w:p>
      <w:pPr>
        <w:snapToGrid w:val="0"/>
        <w:spacing w:line="460" w:lineRule="exact"/>
        <w:ind w:firstLine="480" w:firstLineChars="200"/>
        <w:rPr>
          <w:rFonts w:ascii="宋体" w:hAnsi="宋体" w:cs="宋体"/>
          <w:bCs/>
          <w:kern w:val="0"/>
          <w:sz w:val="24"/>
        </w:rPr>
      </w:pPr>
      <w:r>
        <w:rPr>
          <w:rFonts w:hint="eastAsia" w:hAnsi="宋体" w:cs="宋体"/>
          <w:sz w:val="24"/>
        </w:rPr>
        <w:t>1</w:t>
      </w:r>
      <w:r>
        <w:rPr>
          <w:rFonts w:hint="eastAsia" w:ascii="宋体" w:hAnsi="宋体" w:cs="宋体"/>
          <w:bCs/>
          <w:kern w:val="0"/>
          <w:sz w:val="24"/>
        </w:rPr>
        <w:t>.乙方应按照国家有关法律法规和“三包”规定以及采购文件要求、响应文件承诺和本合同所附的《售后服务承诺》，为甲方提供售后服务。</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2.乙方应按采购文件规定的设备和软件性能、技术要求、质量标准向甲方提供未经使用的全新产品。对达不到要求者，根据实际情况，经双方协商，可按以下办法处理：</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（1）更换：由乙方承担所发生的全部费用。</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（2）贬值处理：由甲乙双方合议定价。</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（3）退货处理：乙方应退还甲方支付的合同款，同时应承担该货物的直接费用（运输、保险、检验、货款利息及银行手续费等）。</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如果双方不能就上述第（1）、（2）项达成协议，则甲方有权单方选择第（3）项方式。</w:t>
      </w:r>
    </w:p>
    <w:p>
      <w:pPr>
        <w:snapToGrid w:val="0"/>
        <w:spacing w:line="460" w:lineRule="exact"/>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.乙方提供的服务承诺和售后服务及质量保证期责任等其他具体约定事项（见合同附件）。</w:t>
      </w:r>
    </w:p>
    <w:p>
      <w:pPr>
        <w:snapToGrid w:val="0"/>
        <w:spacing w:line="460" w:lineRule="exact"/>
        <w:ind w:firstLine="480" w:firstLineChars="200"/>
        <w:rPr>
          <w:rFonts w:ascii="宋体" w:hAnsi="宋体" w:cs="宋体"/>
          <w:bCs/>
          <w:kern w:val="0"/>
          <w:sz w:val="24"/>
        </w:rPr>
      </w:pPr>
      <w:r>
        <w:rPr>
          <w:rFonts w:hAnsi="宋体" w:cs="宋体"/>
          <w:sz w:val="24"/>
        </w:rPr>
        <w:t>4</w:t>
      </w:r>
      <w:r>
        <w:rPr>
          <w:rFonts w:hint="eastAsia" w:ascii="宋体" w:hAnsi="宋体" w:cs="宋体"/>
          <w:bCs/>
          <w:kern w:val="0"/>
          <w:sz w:val="24"/>
        </w:rPr>
        <w:t>.乙方除承担运输、安装、调试、验收与培训等义务外，还将为甲方提供技术支持，包括质量保证期外的技术指导。</w:t>
      </w:r>
    </w:p>
    <w:p>
      <w:pPr>
        <w:snapToGrid w:val="0"/>
        <w:spacing w:line="460" w:lineRule="exact"/>
        <w:ind w:firstLine="480" w:firstLineChars="200"/>
        <w:rPr>
          <w:rFonts w:ascii="宋体" w:hAnsi="宋体" w:cs="宋体"/>
          <w:bCs/>
          <w:kern w:val="0"/>
          <w:sz w:val="24"/>
        </w:rPr>
      </w:pPr>
      <w:r>
        <w:rPr>
          <w:rFonts w:hAnsi="宋体" w:cs="宋体"/>
          <w:sz w:val="24"/>
        </w:rPr>
        <w:t>5</w:t>
      </w:r>
      <w:r>
        <w:rPr>
          <w:rFonts w:hint="eastAsia" w:ascii="宋体" w:hAnsi="宋体" w:cs="宋体"/>
          <w:bCs/>
          <w:kern w:val="0"/>
          <w:sz w:val="24"/>
        </w:rPr>
        <w:t>.在质保期内，乙方应对货物出现的质量及安全问题负责处理解决并承担一切费用。</w:t>
      </w:r>
    </w:p>
    <w:p>
      <w:pPr>
        <w:snapToGrid w:val="0"/>
        <w:spacing w:line="460" w:lineRule="exact"/>
        <w:ind w:firstLine="480" w:firstLineChars="200"/>
        <w:rPr>
          <w:rFonts w:ascii="宋体" w:hAnsi="宋体" w:cs="宋体"/>
          <w:bCs/>
          <w:kern w:val="0"/>
          <w:sz w:val="24"/>
        </w:rPr>
      </w:pPr>
      <w:r>
        <w:rPr>
          <w:rFonts w:hAnsi="宋体" w:cs="宋体"/>
          <w:sz w:val="24"/>
        </w:rPr>
        <w:t>6</w:t>
      </w:r>
      <w:r>
        <w:rPr>
          <w:rFonts w:hint="eastAsia" w:ascii="宋体" w:hAnsi="宋体" w:cs="宋体"/>
          <w:bCs/>
          <w:kern w:val="0"/>
          <w:sz w:val="24"/>
        </w:rPr>
        <w:t>.超过质量保证期的机器设备，终身维修，维修时只收部件成本费。</w:t>
      </w:r>
    </w:p>
    <w:p>
      <w:pPr>
        <w:snapToGrid w:val="0"/>
        <w:spacing w:line="460" w:lineRule="exact"/>
        <w:ind w:firstLine="480" w:firstLineChars="200"/>
        <w:rPr>
          <w:rFonts w:ascii="宋体" w:hAnsi="宋体" w:cs="宋体"/>
          <w:sz w:val="24"/>
        </w:rPr>
      </w:pPr>
      <w:r>
        <w:rPr>
          <w:rFonts w:hAnsi="宋体" w:cs="宋体"/>
          <w:sz w:val="24"/>
        </w:rPr>
        <w:t>7</w:t>
      </w:r>
      <w:r>
        <w:rPr>
          <w:rFonts w:hint="eastAsia" w:ascii="宋体" w:hAnsi="宋体" w:cs="宋体"/>
          <w:bCs/>
          <w:kern w:val="0"/>
          <w:sz w:val="24"/>
        </w:rPr>
        <w:t>.货物质量保证期：</w:t>
      </w:r>
      <w:r>
        <w:rPr>
          <w:rFonts w:hint="eastAsia" w:ascii="宋体" w:hAnsi="宋体" w:cs="宋体"/>
          <w:sz w:val="24"/>
          <w:u w:val="single"/>
        </w:rPr>
        <w:t>按国家有关产品“三包”规定执行“三包”，质量保证期不少于</w:t>
      </w:r>
      <w:r>
        <w:rPr>
          <w:rFonts w:ascii="宋体" w:hAnsi="宋体" w:cs="宋体"/>
          <w:sz w:val="24"/>
          <w:u w:val="single"/>
        </w:rPr>
        <w:t>*</w:t>
      </w:r>
      <w:r>
        <w:rPr>
          <w:rFonts w:hint="eastAsia" w:ascii="宋体" w:hAnsi="宋体" w:cs="宋体"/>
          <w:sz w:val="24"/>
          <w:u w:val="single"/>
        </w:rPr>
        <w:t>年（质量保证期自货物验收合格之日起计。分项货物或配置有明确要求的按分项要求；生产厂家承诺的</w:t>
      </w:r>
      <w:r>
        <w:rPr>
          <w:rFonts w:hint="eastAsia" w:ascii="宋体" w:hAnsi="宋体" w:cs="宋体"/>
          <w:bCs/>
          <w:kern w:val="0"/>
          <w:sz w:val="24"/>
          <w:u w:val="single"/>
        </w:rPr>
        <w:t>质量保证期</w:t>
      </w:r>
      <w:r>
        <w:rPr>
          <w:rFonts w:hint="eastAsia" w:ascii="宋体" w:hAnsi="宋体" w:cs="宋体"/>
          <w:sz w:val="24"/>
          <w:u w:val="single"/>
        </w:rPr>
        <w:t>更长的按生产厂家的承诺；</w:t>
      </w:r>
      <w:r>
        <w:rPr>
          <w:rFonts w:hint="eastAsia" w:ascii="宋体" w:hAnsi="宋体" w:cs="宋体"/>
          <w:bCs/>
          <w:kern w:val="0"/>
          <w:sz w:val="24"/>
          <w:u w:val="single"/>
        </w:rPr>
        <w:t>乙方响应文件承诺更优的，以乙方响应文件承诺为准</w:t>
      </w:r>
      <w:r>
        <w:rPr>
          <w:rFonts w:hint="eastAsia" w:ascii="宋体" w:hAnsi="宋体" w:cs="宋体"/>
          <w:sz w:val="24"/>
          <w:u w:val="single"/>
        </w:rPr>
        <w:t>）</w:t>
      </w:r>
      <w:r>
        <w:rPr>
          <w:rFonts w:hint="eastAsia" w:ascii="宋体" w:hAnsi="宋体" w:cs="宋体"/>
          <w:bCs/>
          <w:kern w:val="0"/>
          <w:sz w:val="24"/>
          <w:u w:val="single"/>
        </w:rPr>
        <w:t>。</w:t>
      </w:r>
    </w:p>
    <w:p>
      <w:pPr>
        <w:snapToGrid w:val="0"/>
        <w:spacing w:line="460" w:lineRule="exact"/>
        <w:ind w:firstLine="482" w:firstLineChars="200"/>
        <w:rPr>
          <w:rFonts w:ascii="宋体" w:hAnsi="宋体" w:cs="宋体"/>
          <w:b/>
          <w:sz w:val="24"/>
        </w:rPr>
      </w:pPr>
      <w:r>
        <w:rPr>
          <w:rFonts w:hint="eastAsia" w:ascii="宋体" w:hAnsi="宋体" w:cs="宋体"/>
          <w:b/>
          <w:sz w:val="24"/>
        </w:rPr>
        <w:t>第十一条　违约责任</w:t>
      </w:r>
    </w:p>
    <w:p>
      <w:pPr>
        <w:pStyle w:val="17"/>
        <w:snapToGrid w:val="0"/>
        <w:spacing w:line="460" w:lineRule="exact"/>
        <w:ind w:firstLine="470" w:firstLineChars="196"/>
        <w:rPr>
          <w:rFonts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向甲方支付违约货款额 5%违约金并赔偿甲方经济损失。                                       </w:t>
      </w:r>
    </w:p>
    <w:p>
      <w:pPr>
        <w:pStyle w:val="17"/>
        <w:snapToGrid w:val="0"/>
        <w:spacing w:line="460" w:lineRule="exact"/>
        <w:ind w:firstLine="470" w:firstLineChars="196"/>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pPr>
        <w:pStyle w:val="17"/>
        <w:snapToGrid w:val="0"/>
        <w:spacing w:line="460" w:lineRule="exact"/>
        <w:ind w:firstLine="470" w:firstLineChars="196"/>
        <w:rPr>
          <w:rFonts w:hAnsi="宋体" w:cs="宋体"/>
          <w:sz w:val="24"/>
          <w:szCs w:val="24"/>
        </w:rPr>
      </w:pPr>
      <w:r>
        <w:rPr>
          <w:rFonts w:hint="eastAsia" w:hAnsi="宋体" w:cs="宋体"/>
          <w:sz w:val="24"/>
          <w:szCs w:val="24"/>
        </w:rPr>
        <w:t>3.因包装、运输引起的货物损坏，按质量不合格处理。</w:t>
      </w:r>
    </w:p>
    <w:p>
      <w:pPr>
        <w:pStyle w:val="17"/>
        <w:snapToGrid w:val="0"/>
        <w:spacing w:line="460" w:lineRule="exact"/>
        <w:ind w:firstLine="470" w:firstLineChars="196"/>
        <w:rPr>
          <w:rFonts w:hAnsi="宋体" w:cs="宋体"/>
          <w:sz w:val="24"/>
          <w:szCs w:val="24"/>
        </w:rPr>
      </w:pPr>
      <w:r>
        <w:rPr>
          <w:rFonts w:hint="eastAsia" w:hAnsi="宋体" w:cs="宋体"/>
          <w:sz w:val="24"/>
          <w:szCs w:val="24"/>
        </w:rPr>
        <w:t>4.合同一方不履行合同义务、履行合同义务不符合约定或者违反合同项下所作保证的，应向对方承担继续履行、采取修理、更换、退货等补救措施或者赔偿损失等违约责任。</w:t>
      </w:r>
    </w:p>
    <w:p>
      <w:pPr>
        <w:pStyle w:val="17"/>
        <w:snapToGrid w:val="0"/>
        <w:spacing w:line="460" w:lineRule="exact"/>
        <w:ind w:firstLine="470" w:firstLineChars="196"/>
        <w:rPr>
          <w:rFonts w:hAnsi="宋体" w:cs="宋体"/>
          <w:sz w:val="24"/>
          <w:szCs w:val="24"/>
        </w:rPr>
      </w:pPr>
      <w:r>
        <w:rPr>
          <w:rFonts w:hint="eastAsia" w:hAnsi="宋体" w:cs="宋体"/>
          <w:sz w:val="24"/>
          <w:szCs w:val="24"/>
        </w:rPr>
        <w:t>5.乙方未能按时交付货物的，应向甲方支付迟延交付违约金。迟延交付违约金的计算方法如下：</w:t>
      </w:r>
    </w:p>
    <w:p>
      <w:pPr>
        <w:pStyle w:val="17"/>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日，每日迟延交付违约金为合同总价的 1.5‰；</w:t>
      </w:r>
    </w:p>
    <w:p>
      <w:pPr>
        <w:pStyle w:val="17"/>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到第6</w:t>
      </w:r>
      <w:r>
        <w:rPr>
          <w:rFonts w:hAnsi="宋体" w:cs="宋体"/>
          <w:sz w:val="24"/>
          <w:szCs w:val="24"/>
        </w:rPr>
        <w:t>0</w:t>
      </w:r>
      <w:r>
        <w:rPr>
          <w:rFonts w:hint="eastAsia" w:hAnsi="宋体" w:cs="宋体"/>
          <w:sz w:val="24"/>
          <w:szCs w:val="24"/>
        </w:rPr>
        <w:t>日，每日迟延交付违约金为合同总价的 3‰；</w:t>
      </w:r>
    </w:p>
    <w:p>
      <w:pPr>
        <w:pStyle w:val="17"/>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日起，每日迟延交付违约金为合同总价的5‰。</w:t>
      </w:r>
    </w:p>
    <w:p>
      <w:pPr>
        <w:pStyle w:val="17"/>
        <w:snapToGrid w:val="0"/>
        <w:spacing w:line="460" w:lineRule="exact"/>
        <w:ind w:firstLine="470" w:firstLineChars="196"/>
        <w:rPr>
          <w:rFonts w:hAnsi="宋体" w:cs="宋体"/>
          <w:sz w:val="24"/>
          <w:szCs w:val="24"/>
        </w:rPr>
      </w:pPr>
      <w:r>
        <w:rPr>
          <w:rFonts w:hint="eastAsia" w:hAnsi="宋体" w:cs="宋体"/>
          <w:sz w:val="24"/>
          <w:szCs w:val="24"/>
        </w:rPr>
        <w:t>（4）迟延交付违约金的总额不得超过合同总价的30%。迟延交付违约金的支付不能免除乙方继续交付相关合同货物的义务，但如迟延交付必然导致合同货物安装、调试、验收等工作推迟的，相关工作应相应顺延。</w:t>
      </w:r>
    </w:p>
    <w:p>
      <w:pPr>
        <w:pStyle w:val="17"/>
        <w:snapToGrid w:val="0"/>
        <w:spacing w:line="460" w:lineRule="exact"/>
        <w:ind w:firstLine="470" w:firstLineChars="196"/>
        <w:rPr>
          <w:rFonts w:hAnsi="宋体" w:cs="宋体"/>
          <w:sz w:val="24"/>
          <w:szCs w:val="24"/>
        </w:rPr>
      </w:pPr>
      <w:r>
        <w:rPr>
          <w:rFonts w:hint="eastAsia" w:hAnsi="宋体" w:cs="宋体"/>
          <w:sz w:val="24"/>
          <w:szCs w:val="24"/>
        </w:rPr>
        <w:t>6.甲方未能按合同约定支付合同价款的，应向乙方支付延迟付款违约金。迟延付款违约金的计算方法如下：</w:t>
      </w:r>
    </w:p>
    <w:p>
      <w:pPr>
        <w:pStyle w:val="17"/>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日，每日迟延付款违约金为迟延付款金额的1.5‰；</w:t>
      </w:r>
    </w:p>
    <w:p>
      <w:pPr>
        <w:pStyle w:val="17"/>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日到第60日，每日迟延付款违约金为迟延付款金额的3‰；</w:t>
      </w:r>
    </w:p>
    <w:p>
      <w:pPr>
        <w:pStyle w:val="17"/>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日起，每日迟延付款违约金为迟延付款金额的 5‰。迟延付款违约金的总额不得超过迟延付款金额的30% 。</w:t>
      </w:r>
    </w:p>
    <w:p>
      <w:pPr>
        <w:pStyle w:val="17"/>
        <w:snapToGrid w:val="0"/>
        <w:spacing w:line="460" w:lineRule="exact"/>
        <w:ind w:firstLine="470" w:firstLineChars="196"/>
        <w:rPr>
          <w:rFonts w:hAnsi="宋体" w:cs="宋体"/>
          <w:sz w:val="24"/>
          <w:szCs w:val="24"/>
        </w:rPr>
      </w:pPr>
      <w:r>
        <w:rPr>
          <w:rFonts w:hint="eastAsia" w:hAnsi="宋体" w:cs="宋体"/>
          <w:sz w:val="24"/>
          <w:szCs w:val="24"/>
        </w:rPr>
        <w:t>7.乙方未按本合同和响应文件承诺提供售后服务的，乙方应按本合同总价的5%向甲方支付违约金。</w:t>
      </w:r>
    </w:p>
    <w:p>
      <w:pPr>
        <w:pStyle w:val="17"/>
        <w:snapToGrid w:val="0"/>
        <w:spacing w:line="440" w:lineRule="exact"/>
        <w:ind w:firstLine="480" w:firstLineChars="200"/>
        <w:rPr>
          <w:rFonts w:cs="宋体"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乙方违约，甲方对本合同享有单方解除权。</w:t>
      </w:r>
    </w:p>
    <w:p>
      <w:pPr>
        <w:pStyle w:val="17"/>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.因某一方</w:t>
      </w:r>
      <w:r>
        <w:rPr>
          <w:rFonts w:hint="eastAsia" w:asciiTheme="minorEastAsia" w:hAnsiTheme="minorEastAsia" w:eastAsiaTheme="minorEastAsia"/>
          <w:bCs/>
          <w:sz w:val="24"/>
          <w:shd w:val="clear" w:color="auto" w:fill="FFFFFF"/>
        </w:rPr>
        <w:t>单方面</w:t>
      </w:r>
      <w:r>
        <w:rPr>
          <w:rFonts w:hint="eastAsia" w:cs="宋体" w:asciiTheme="minorEastAsia" w:hAnsiTheme="minorEastAsia" w:eastAsiaTheme="minorEastAsia"/>
          <w:sz w:val="24"/>
          <w:szCs w:val="24"/>
        </w:rPr>
        <w:t>原因导致变更、中止或者终止</w:t>
      </w:r>
      <w:bookmarkStart w:id="35" w:name="_Hlk123747227"/>
      <w:r>
        <w:rPr>
          <w:rFonts w:hint="eastAsia" w:asciiTheme="minorEastAsia" w:hAnsiTheme="minorEastAsia" w:eastAsiaTheme="minorEastAsia"/>
          <w:bCs/>
          <w:sz w:val="24"/>
          <w:shd w:val="clear" w:color="auto" w:fill="FFFFFF"/>
        </w:rPr>
        <w:t>本</w:t>
      </w:r>
      <w:bookmarkEnd w:id="35"/>
      <w:r>
        <w:rPr>
          <w:rFonts w:hint="eastAsia" w:cs="宋体" w:asciiTheme="minorEastAsia" w:hAnsiTheme="minorEastAsia" w:eastAsiaTheme="minorEastAsia"/>
          <w:sz w:val="24"/>
          <w:szCs w:val="24"/>
        </w:rPr>
        <w:t>合同的，该方应当对另一方</w:t>
      </w:r>
      <w:r>
        <w:rPr>
          <w:rFonts w:hint="eastAsia" w:asciiTheme="minorEastAsia" w:hAnsiTheme="minorEastAsia" w:eastAsiaTheme="minorEastAsia"/>
          <w:bCs/>
          <w:sz w:val="24"/>
          <w:shd w:val="clear" w:color="auto" w:fill="FFFFFF"/>
        </w:rPr>
        <w:t>因此</w:t>
      </w:r>
      <w:r>
        <w:rPr>
          <w:rFonts w:hint="eastAsia" w:cs="宋体" w:asciiTheme="minorEastAsia" w:hAnsiTheme="minorEastAsia" w:eastAsiaTheme="minorEastAsia"/>
          <w:sz w:val="24"/>
          <w:szCs w:val="24"/>
        </w:rPr>
        <w:t>受到的损失予以赔偿或者补偿。</w:t>
      </w:r>
    </w:p>
    <w:p>
      <w:pPr>
        <w:pStyle w:val="17"/>
        <w:snapToGrid w:val="0"/>
        <w:spacing w:line="440" w:lineRule="exact"/>
        <w:ind w:firstLine="480" w:firstLineChars="200"/>
        <w:rPr>
          <w:rFonts w:hAnsi="宋体" w:cs="宋体"/>
          <w:sz w:val="24"/>
          <w:szCs w:val="24"/>
        </w:rPr>
      </w:pPr>
      <w:r>
        <w:rPr>
          <w:rFonts w:hAnsi="宋体" w:cs="宋体"/>
          <w:sz w:val="24"/>
          <w:szCs w:val="24"/>
        </w:rPr>
        <w:t>10</w:t>
      </w:r>
      <w:r>
        <w:rPr>
          <w:rFonts w:hint="eastAsia" w:hAnsi="宋体" w:cs="宋体"/>
          <w:sz w:val="24"/>
          <w:szCs w:val="24"/>
        </w:rPr>
        <w:t>.乙方提供的货物在质量保证期内，因设计、工艺或者材料的缺陷和其它质量原因造成的问题，由乙方负责，费用从余款或者履约保证金中扣除，不足另补。</w:t>
      </w:r>
    </w:p>
    <w:p>
      <w:pPr>
        <w:pStyle w:val="17"/>
        <w:snapToGrid w:val="0"/>
        <w:spacing w:line="44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1</w:t>
      </w:r>
      <w:r>
        <w:rPr>
          <w:rFonts w:hint="eastAsia" w:hAnsi="宋体" w:cs="宋体"/>
          <w:sz w:val="24"/>
          <w:szCs w:val="24"/>
        </w:rPr>
        <w:t>.甲乙双方有其他违约行为的，由违约方向对方支付违约货款额的5%，违约货款额的5%不足以赔偿经济损失的按实际损失赔偿。</w:t>
      </w:r>
    </w:p>
    <w:p>
      <w:pPr>
        <w:pStyle w:val="17"/>
        <w:snapToGrid w:val="0"/>
        <w:spacing w:line="440" w:lineRule="exact"/>
        <w:ind w:firstLine="470" w:firstLineChars="196"/>
        <w:rPr>
          <w:rFonts w:hAnsi="宋体" w:cs="宋体"/>
          <w:sz w:val="24"/>
          <w:szCs w:val="24"/>
        </w:rPr>
      </w:pPr>
      <w:r>
        <w:rPr>
          <w:rFonts w:hint="eastAsia" w:hAnsi="宋体" w:cs="宋体"/>
          <w:sz w:val="24"/>
          <w:szCs w:val="24"/>
        </w:rPr>
        <w:t>1</w:t>
      </w:r>
      <w:r>
        <w:rPr>
          <w:rFonts w:hAnsi="宋体" w:cs="宋体"/>
          <w:sz w:val="24"/>
          <w:szCs w:val="24"/>
        </w:rPr>
        <w:t>2</w:t>
      </w:r>
      <w:r>
        <w:rPr>
          <w:rFonts w:hint="eastAsia" w:hAnsi="宋体" w:cs="宋体"/>
          <w:sz w:val="24"/>
          <w:szCs w:val="24"/>
        </w:rPr>
        <w:t>.其他违约责任按《中华人民共和国民法典》处理。</w:t>
      </w:r>
    </w:p>
    <w:p>
      <w:pPr>
        <w:pStyle w:val="17"/>
        <w:snapToGrid w:val="0"/>
        <w:spacing w:line="460" w:lineRule="exact"/>
        <w:ind w:firstLine="472" w:firstLineChars="196"/>
        <w:rPr>
          <w:rFonts w:hAnsi="宋体" w:cs="宋体"/>
          <w:b/>
          <w:bCs/>
          <w:sz w:val="24"/>
          <w:szCs w:val="24"/>
        </w:rPr>
      </w:pPr>
      <w:r>
        <w:rPr>
          <w:rFonts w:hint="eastAsia" w:hAnsi="宋体" w:cs="宋体"/>
          <w:b/>
          <w:bCs/>
          <w:sz w:val="24"/>
          <w:szCs w:val="24"/>
        </w:rPr>
        <w:t>第十二条  不可抗力事件处理</w:t>
      </w:r>
    </w:p>
    <w:p>
      <w:pPr>
        <w:pStyle w:val="17"/>
        <w:snapToGrid w:val="0"/>
        <w:spacing w:line="460" w:lineRule="exact"/>
        <w:ind w:firstLine="470" w:firstLineChars="196"/>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pPr>
        <w:pStyle w:val="17"/>
        <w:snapToGrid w:val="0"/>
        <w:spacing w:line="460" w:lineRule="exact"/>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pPr>
        <w:snapToGrid w:val="0"/>
        <w:spacing w:line="460" w:lineRule="exact"/>
        <w:ind w:firstLine="480" w:firstLineChars="200"/>
        <w:rPr>
          <w:rFonts w:ascii="宋体" w:hAnsi="宋体" w:cs="宋体"/>
          <w:sz w:val="24"/>
        </w:rPr>
      </w:pPr>
      <w:r>
        <w:rPr>
          <w:rFonts w:hint="eastAsia" w:ascii="宋体" w:hAnsi="宋体" w:cs="宋体"/>
          <w:sz w:val="24"/>
        </w:rPr>
        <w:t>3.不可抗力事件延续</w:t>
      </w:r>
      <w:r>
        <w:rPr>
          <w:rFonts w:ascii="宋体" w:hAnsi="宋体" w:cs="宋体"/>
          <w:sz w:val="24"/>
        </w:rPr>
        <w:t>60</w:t>
      </w:r>
      <w:r>
        <w:rPr>
          <w:rFonts w:hint="eastAsia" w:ascii="宋体" w:hAnsi="宋体" w:cs="宋体"/>
          <w:sz w:val="24"/>
        </w:rPr>
        <w:t>天以上，双方应通过友好协商，确定是否继续履行合同。</w:t>
      </w:r>
    </w:p>
    <w:p>
      <w:pPr>
        <w:snapToGrid w:val="0"/>
        <w:spacing w:line="460" w:lineRule="exact"/>
        <w:ind w:firstLine="482" w:firstLineChars="200"/>
        <w:rPr>
          <w:rFonts w:ascii="宋体" w:hAnsi="宋体" w:cs="宋体"/>
          <w:sz w:val="24"/>
        </w:rPr>
      </w:pPr>
      <w:r>
        <w:rPr>
          <w:rFonts w:hint="eastAsia" w:ascii="宋体" w:hAnsi="宋体" w:cs="宋体"/>
          <w:b/>
          <w:sz w:val="24"/>
        </w:rPr>
        <w:t>第十三条  合同争议解决</w:t>
      </w:r>
    </w:p>
    <w:p>
      <w:pPr>
        <w:snapToGrid w:val="0"/>
        <w:spacing w:line="460" w:lineRule="exact"/>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2.因履行本合同引起的或者与本合同有关的争议，甲乙双方应首先通过友好协商解决，如果协商不能解决，任何一方可向甲方所在地有管辖权的人民法院提起诉讼。</w:t>
      </w:r>
    </w:p>
    <w:p>
      <w:pPr>
        <w:snapToGrid w:val="0"/>
        <w:spacing w:line="460" w:lineRule="exact"/>
        <w:ind w:firstLine="514"/>
        <w:rPr>
          <w:rFonts w:ascii="宋体" w:hAnsi="宋体" w:cs="宋体"/>
          <w:sz w:val="24"/>
        </w:rPr>
      </w:pPr>
      <w:r>
        <w:rPr>
          <w:rFonts w:hint="eastAsia" w:ascii="宋体" w:hAnsi="宋体" w:cs="宋体"/>
          <w:sz w:val="24"/>
        </w:rPr>
        <w:t>3.诉讼期间，本合同无争议部分须继续履行。</w:t>
      </w:r>
    </w:p>
    <w:p>
      <w:pPr>
        <w:pStyle w:val="17"/>
        <w:snapToGrid w:val="0"/>
        <w:spacing w:line="460" w:lineRule="exact"/>
        <w:ind w:firstLine="472" w:firstLineChars="196"/>
        <w:rPr>
          <w:rFonts w:hAnsi="宋体" w:cs="宋体"/>
          <w:b/>
          <w:sz w:val="24"/>
          <w:szCs w:val="24"/>
        </w:rPr>
      </w:pPr>
      <w:r>
        <w:rPr>
          <w:rFonts w:hint="eastAsia" w:hAnsi="宋体" w:cs="宋体"/>
          <w:b/>
          <w:sz w:val="24"/>
          <w:szCs w:val="24"/>
        </w:rPr>
        <w:t>第十四条  合同生效及其他</w:t>
      </w:r>
    </w:p>
    <w:p>
      <w:pPr>
        <w:pStyle w:val="17"/>
        <w:snapToGrid w:val="0"/>
        <w:spacing w:line="460" w:lineRule="exact"/>
        <w:ind w:firstLine="480" w:firstLineChars="200"/>
        <w:rPr>
          <w:rFonts w:hAnsi="宋体" w:cs="宋体"/>
          <w:kern w:val="2"/>
          <w:sz w:val="24"/>
          <w:szCs w:val="24"/>
        </w:rPr>
      </w:pPr>
      <w:r>
        <w:rPr>
          <w:rFonts w:hint="eastAsia" w:hAnsi="宋体" w:cs="宋体"/>
          <w:kern w:val="2"/>
          <w:sz w:val="24"/>
          <w:szCs w:val="24"/>
        </w:rPr>
        <w:t>1.合同经双方法定代表人或者委托代理人签字并加盖单位公章后生效（委托代理人签字的需后附授权委托书，格式自拟）。</w:t>
      </w:r>
    </w:p>
    <w:p>
      <w:pPr>
        <w:pStyle w:val="17"/>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pPr>
        <w:pStyle w:val="17"/>
        <w:snapToGrid w:val="0"/>
        <w:spacing w:line="460" w:lineRule="exact"/>
        <w:ind w:firstLine="480" w:firstLineChars="200"/>
        <w:rPr>
          <w:rFonts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napToGrid w:val="0"/>
        <w:spacing w:line="460" w:lineRule="exact"/>
        <w:ind w:firstLine="482" w:firstLineChars="200"/>
        <w:rPr>
          <w:rFonts w:ascii="宋体" w:hAnsi="宋体" w:cs="宋体"/>
          <w:b/>
          <w:sz w:val="24"/>
        </w:rPr>
      </w:pPr>
      <w:r>
        <w:rPr>
          <w:rFonts w:hint="eastAsia" w:ascii="宋体" w:hAnsi="宋体" w:cs="宋体"/>
          <w:b/>
          <w:sz w:val="24"/>
        </w:rPr>
        <w:t>第十五条　合同的变更、终止与转让</w:t>
      </w:r>
    </w:p>
    <w:p>
      <w:pPr>
        <w:snapToGrid w:val="0"/>
        <w:spacing w:line="460" w:lineRule="exact"/>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pPr>
        <w:snapToGrid w:val="0"/>
        <w:spacing w:line="460" w:lineRule="exact"/>
        <w:ind w:firstLine="514"/>
        <w:rPr>
          <w:rFonts w:ascii="宋体" w:hAnsi="宋体" w:cs="宋体"/>
          <w:sz w:val="24"/>
        </w:rPr>
      </w:pPr>
      <w:r>
        <w:rPr>
          <w:rFonts w:hint="eastAsia" w:ascii="宋体" w:hAnsi="宋体" w:cs="宋体"/>
          <w:sz w:val="24"/>
        </w:rPr>
        <w:t>2.乙方不得擅自转让其应履行的合同义务。</w:t>
      </w:r>
    </w:p>
    <w:p>
      <w:pPr>
        <w:pStyle w:val="17"/>
        <w:snapToGrid w:val="0"/>
        <w:spacing w:line="460" w:lineRule="exact"/>
        <w:ind w:firstLine="472" w:firstLineChars="196"/>
        <w:rPr>
          <w:rFonts w:hAnsi="宋体" w:cs="宋体"/>
          <w:sz w:val="24"/>
          <w:szCs w:val="24"/>
        </w:rPr>
      </w:pPr>
      <w:r>
        <w:rPr>
          <w:rFonts w:hint="eastAsia" w:hAnsi="宋体" w:cs="宋体"/>
          <w:b/>
          <w:sz w:val="24"/>
          <w:szCs w:val="24"/>
        </w:rPr>
        <w:t>第十六条　</w:t>
      </w:r>
      <w:r>
        <w:rPr>
          <w:rFonts w:hint="eastAsia" w:hAnsi="宋体" w:cs="宋体"/>
          <w:spacing w:val="-2"/>
          <w:sz w:val="24"/>
          <w:szCs w:val="24"/>
        </w:rPr>
        <w:t>本</w:t>
      </w:r>
      <w:r>
        <w:rPr>
          <w:rFonts w:hint="eastAsia" w:hAnsi="宋体" w:cs="宋体"/>
          <w:sz w:val="24"/>
          <w:szCs w:val="24"/>
        </w:rPr>
        <w:t>合同书</w:t>
      </w:r>
      <w:r>
        <w:rPr>
          <w:rFonts w:hint="eastAsia" w:hAnsi="宋体" w:cs="宋体"/>
          <w:spacing w:val="-2"/>
          <w:sz w:val="24"/>
          <w:szCs w:val="24"/>
        </w:rPr>
        <w:t>与</w:t>
      </w:r>
      <w:r>
        <w:rPr>
          <w:rFonts w:hint="eastAsia" w:hAnsi="宋体" w:cs="宋体"/>
          <w:sz w:val="24"/>
          <w:szCs w:val="24"/>
        </w:rPr>
        <w:t>下</w:t>
      </w:r>
      <w:r>
        <w:rPr>
          <w:rFonts w:hint="eastAsia" w:hAnsi="宋体" w:cs="宋体"/>
          <w:spacing w:val="-2"/>
          <w:sz w:val="24"/>
          <w:szCs w:val="24"/>
        </w:rPr>
        <w:t>列</w:t>
      </w:r>
      <w:r>
        <w:rPr>
          <w:rFonts w:hint="eastAsia" w:hAnsi="宋体" w:cs="宋体"/>
          <w:sz w:val="24"/>
          <w:szCs w:val="24"/>
        </w:rPr>
        <w:t>文</w:t>
      </w:r>
      <w:r>
        <w:rPr>
          <w:rFonts w:hint="eastAsia" w:hAnsi="宋体" w:cs="宋体"/>
          <w:spacing w:val="-2"/>
          <w:sz w:val="24"/>
          <w:szCs w:val="24"/>
        </w:rPr>
        <w:t>件一</w:t>
      </w:r>
      <w:r>
        <w:rPr>
          <w:rFonts w:hint="eastAsia" w:hAnsi="宋体" w:cs="宋体"/>
          <w:sz w:val="24"/>
          <w:szCs w:val="24"/>
        </w:rPr>
        <w:t>起构</w:t>
      </w:r>
      <w:r>
        <w:rPr>
          <w:rFonts w:hint="eastAsia" w:hAnsi="宋体" w:cs="宋体"/>
          <w:spacing w:val="-2"/>
          <w:sz w:val="24"/>
          <w:szCs w:val="24"/>
        </w:rPr>
        <w:t>成</w:t>
      </w:r>
      <w:r>
        <w:rPr>
          <w:rFonts w:hint="eastAsia" w:hAnsi="宋体" w:cs="宋体"/>
          <w:sz w:val="24"/>
          <w:szCs w:val="24"/>
        </w:rPr>
        <w:t>合</w:t>
      </w:r>
      <w:r>
        <w:rPr>
          <w:rFonts w:hint="eastAsia" w:hAnsi="宋体" w:cs="宋体"/>
          <w:spacing w:val="-2"/>
          <w:sz w:val="24"/>
          <w:szCs w:val="24"/>
        </w:rPr>
        <w:t>同</w:t>
      </w:r>
      <w:r>
        <w:rPr>
          <w:rFonts w:hint="eastAsia" w:hAnsi="宋体" w:cs="宋体"/>
          <w:sz w:val="24"/>
          <w:szCs w:val="24"/>
        </w:rPr>
        <w:t>文</w:t>
      </w:r>
      <w:r>
        <w:rPr>
          <w:rFonts w:hint="eastAsia" w:hAnsi="宋体" w:cs="宋体"/>
          <w:spacing w:val="-2"/>
          <w:sz w:val="24"/>
          <w:szCs w:val="24"/>
        </w:rPr>
        <w:t>件</w:t>
      </w:r>
    </w:p>
    <w:p>
      <w:pPr>
        <w:pStyle w:val="17"/>
        <w:snapToGrid w:val="0"/>
        <w:spacing w:line="460" w:lineRule="exact"/>
        <w:ind w:firstLine="470" w:firstLineChars="196"/>
        <w:rPr>
          <w:rFonts w:hAnsi="宋体" w:cs="宋体"/>
          <w:sz w:val="24"/>
          <w:szCs w:val="24"/>
        </w:rPr>
      </w:pPr>
      <w:r>
        <w:rPr>
          <w:rFonts w:hint="eastAsia" w:hAnsi="宋体" w:cs="宋体"/>
          <w:sz w:val="24"/>
          <w:szCs w:val="24"/>
        </w:rPr>
        <w:t>1.成交通知书</w:t>
      </w:r>
    </w:p>
    <w:p>
      <w:pPr>
        <w:pStyle w:val="17"/>
        <w:snapToGrid w:val="0"/>
        <w:spacing w:line="460" w:lineRule="exact"/>
        <w:ind w:firstLine="470" w:firstLineChars="196"/>
        <w:rPr>
          <w:rFonts w:hAnsi="宋体" w:cs="宋体"/>
          <w:sz w:val="24"/>
          <w:szCs w:val="24"/>
        </w:rPr>
      </w:pPr>
      <w:r>
        <w:rPr>
          <w:rFonts w:hint="eastAsia" w:hAnsi="宋体" w:cs="宋体"/>
          <w:sz w:val="24"/>
          <w:szCs w:val="24"/>
        </w:rPr>
        <w:t>2.采购需求</w:t>
      </w:r>
    </w:p>
    <w:p>
      <w:pPr>
        <w:pStyle w:val="17"/>
        <w:snapToGrid w:val="0"/>
        <w:spacing w:line="460" w:lineRule="exact"/>
        <w:ind w:firstLine="470" w:firstLineChars="196"/>
        <w:rPr>
          <w:rFonts w:hAnsi="宋体" w:cs="宋体"/>
          <w:sz w:val="24"/>
          <w:szCs w:val="24"/>
        </w:rPr>
      </w:pPr>
      <w:r>
        <w:rPr>
          <w:rFonts w:hint="eastAsia" w:hAnsi="宋体" w:cs="宋体"/>
          <w:sz w:val="24"/>
          <w:szCs w:val="24"/>
        </w:rPr>
        <w:t>3.</w:t>
      </w:r>
      <w:r>
        <w:rPr>
          <w:rFonts w:hint="eastAsia" w:hAnsi="宋体" w:cs="宋体"/>
          <w:sz w:val="24"/>
        </w:rPr>
        <w:t>参与竞争性谈判</w:t>
      </w:r>
      <w:r>
        <w:rPr>
          <w:rFonts w:hint="eastAsia" w:hAnsi="宋体" w:cs="宋体"/>
          <w:sz w:val="24"/>
          <w:szCs w:val="24"/>
        </w:rPr>
        <w:t>声明函</w:t>
      </w:r>
    </w:p>
    <w:p>
      <w:pPr>
        <w:pStyle w:val="17"/>
        <w:snapToGrid w:val="0"/>
        <w:spacing w:line="460" w:lineRule="exact"/>
        <w:ind w:firstLine="470" w:firstLineChars="196"/>
        <w:rPr>
          <w:rFonts w:hAnsi="宋体" w:cs="宋体"/>
          <w:sz w:val="24"/>
          <w:szCs w:val="24"/>
        </w:rPr>
      </w:pPr>
      <w:r>
        <w:rPr>
          <w:rFonts w:hint="eastAsia" w:hAnsi="宋体" w:cs="宋体"/>
          <w:sz w:val="24"/>
          <w:szCs w:val="24"/>
        </w:rPr>
        <w:t>4.</w:t>
      </w:r>
      <w:r>
        <w:rPr>
          <w:rFonts w:hint="eastAsia" w:hAnsi="宋体" w:cs="宋体"/>
          <w:sz w:val="24"/>
        </w:rPr>
        <w:t>竞争性谈判</w:t>
      </w:r>
      <w:r>
        <w:rPr>
          <w:rFonts w:hint="eastAsia" w:hAnsi="宋体" w:cs="宋体"/>
          <w:sz w:val="24"/>
          <w:szCs w:val="24"/>
        </w:rPr>
        <w:t>报价表及货物配置清单</w:t>
      </w:r>
    </w:p>
    <w:p>
      <w:pPr>
        <w:pStyle w:val="17"/>
        <w:snapToGrid w:val="0"/>
        <w:spacing w:line="460" w:lineRule="exact"/>
        <w:ind w:firstLine="470" w:firstLineChars="196"/>
        <w:rPr>
          <w:rFonts w:hAnsi="宋体" w:cs="宋体"/>
          <w:sz w:val="24"/>
          <w:szCs w:val="24"/>
        </w:rPr>
      </w:pPr>
      <w:r>
        <w:rPr>
          <w:rFonts w:hint="eastAsia" w:hAnsi="宋体" w:cs="宋体"/>
          <w:sz w:val="24"/>
          <w:szCs w:val="24"/>
        </w:rPr>
        <w:t>5.商务要求偏离表和技术要求偏离表</w:t>
      </w:r>
    </w:p>
    <w:p>
      <w:pPr>
        <w:pStyle w:val="17"/>
        <w:snapToGrid w:val="0"/>
        <w:spacing w:line="460" w:lineRule="exact"/>
        <w:ind w:firstLine="470" w:firstLineChars="196"/>
        <w:rPr>
          <w:rFonts w:hAnsi="宋体" w:cs="宋体"/>
          <w:sz w:val="24"/>
          <w:szCs w:val="24"/>
        </w:rPr>
      </w:pPr>
      <w:r>
        <w:rPr>
          <w:rFonts w:hint="eastAsia" w:hAnsi="宋体" w:cs="宋体"/>
          <w:sz w:val="24"/>
          <w:szCs w:val="24"/>
        </w:rPr>
        <w:t>6.售后服务承诺</w:t>
      </w:r>
    </w:p>
    <w:p>
      <w:pPr>
        <w:pStyle w:val="17"/>
        <w:snapToGrid w:val="0"/>
        <w:spacing w:line="460" w:lineRule="exact"/>
        <w:ind w:firstLine="470" w:firstLineChars="196"/>
        <w:rPr>
          <w:rFonts w:hAnsi="宋体" w:cs="宋体"/>
          <w:sz w:val="24"/>
          <w:szCs w:val="24"/>
        </w:rPr>
      </w:pPr>
      <w:r>
        <w:rPr>
          <w:rFonts w:hint="eastAsia" w:hAnsi="宋体" w:cs="宋体"/>
          <w:sz w:val="24"/>
          <w:szCs w:val="24"/>
        </w:rPr>
        <w:t>7.其他合同文件</w:t>
      </w:r>
    </w:p>
    <w:p>
      <w:pPr>
        <w:pStyle w:val="17"/>
        <w:snapToGrid w:val="0"/>
        <w:spacing w:line="460" w:lineRule="exact"/>
        <w:ind w:firstLine="470" w:firstLineChars="196"/>
        <w:rPr>
          <w:rFonts w:hAnsi="宋体" w:cs="宋体"/>
          <w:sz w:val="24"/>
          <w:szCs w:val="24"/>
        </w:rPr>
      </w:pPr>
      <w:r>
        <w:rPr>
          <w:rFonts w:hint="eastAsia" w:hAnsi="宋体" w:cs="宋体"/>
          <w:sz w:val="24"/>
          <w:szCs w:val="24"/>
        </w:rPr>
        <w:t>上述合同文件互相补充和解释。如果合同文件之间存在矛盾或者不一致之处，以上述文件的排列顺序在先者为准。</w:t>
      </w:r>
    </w:p>
    <w:p>
      <w:pPr>
        <w:pStyle w:val="17"/>
        <w:snapToGrid w:val="0"/>
        <w:spacing w:line="460" w:lineRule="exact"/>
        <w:ind w:firstLine="472" w:firstLineChars="196"/>
        <w:rPr>
          <w:rFonts w:hAnsi="宋体" w:cs="宋体"/>
          <w:sz w:val="24"/>
        </w:rPr>
      </w:pPr>
      <w:r>
        <w:rPr>
          <w:rFonts w:hint="eastAsia" w:hAnsi="宋体" w:cs="宋体"/>
          <w:b/>
          <w:sz w:val="24"/>
        </w:rPr>
        <w:t>第十七条　</w:t>
      </w:r>
      <w:r>
        <w:rPr>
          <w:rFonts w:hint="eastAsia" w:hAnsi="宋体" w:cs="宋体"/>
          <w:sz w:val="24"/>
          <w:szCs w:val="24"/>
        </w:rPr>
        <w:t>本合同一式柒份，具有同等法律效力，甲方伍份，乙方壹份，采购代理机构壹份。</w:t>
      </w:r>
    </w:p>
    <w:p>
      <w:pPr>
        <w:pStyle w:val="17"/>
        <w:snapToGrid w:val="0"/>
        <w:spacing w:line="460" w:lineRule="exact"/>
        <w:ind w:firstLine="470" w:firstLineChars="196"/>
        <w:rPr>
          <w:rFonts w:hAnsi="宋体" w:cs="宋体"/>
          <w:sz w:val="24"/>
          <w:szCs w:val="24"/>
        </w:rPr>
      </w:pPr>
      <w:r>
        <w:rPr>
          <w:rFonts w:hint="eastAsia" w:hAnsi="宋体" w:cs="宋体"/>
          <w:sz w:val="24"/>
          <w:szCs w:val="24"/>
        </w:rPr>
        <w:t>（以下无正文）</w:t>
      </w:r>
    </w:p>
    <w:p>
      <w:pPr>
        <w:pStyle w:val="17"/>
        <w:snapToGrid w:val="0"/>
        <w:spacing w:line="460" w:lineRule="exact"/>
        <w:ind w:firstLine="470" w:firstLineChars="196"/>
        <w:rPr>
          <w:rFonts w:hAnsi="宋体" w:cs="宋体"/>
          <w:sz w:val="24"/>
        </w:rPr>
      </w:pPr>
    </w:p>
    <w:bookmarkEnd w:id="34"/>
    <w:tbl>
      <w:tblPr>
        <w:tblStyle w:val="28"/>
        <w:tblW w:w="8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 xml:space="preserve">甲方（章）           </w:t>
            </w:r>
          </w:p>
          <w:p>
            <w:pPr>
              <w:snapToGrid w:val="0"/>
              <w:spacing w:line="460" w:lineRule="exact"/>
              <w:jc w:val="center"/>
              <w:rPr>
                <w:rFonts w:ascii="宋体" w:hAnsi="宋体" w:cs="宋体"/>
                <w:sz w:val="24"/>
              </w:rPr>
            </w:pPr>
            <w:r>
              <w:rPr>
                <w:rFonts w:hint="eastAsia" w:ascii="宋体" w:hAnsi="宋体" w:cs="宋体"/>
                <w:sz w:val="24"/>
              </w:rPr>
              <w:t>广西大学</w:t>
            </w:r>
          </w:p>
          <w:p>
            <w:pPr>
              <w:snapToGrid w:val="0"/>
              <w:spacing w:line="460" w:lineRule="exact"/>
              <w:ind w:firstLine="1080" w:firstLineChars="450"/>
              <w:jc w:val="right"/>
              <w:rPr>
                <w:rFonts w:ascii="宋体" w:hAnsi="宋体" w:cs="宋体"/>
                <w:sz w:val="24"/>
              </w:rPr>
            </w:pPr>
            <w:r>
              <w:rPr>
                <w:rFonts w:hint="eastAsia" w:ascii="宋体" w:hAnsi="宋体" w:cs="宋体"/>
                <w:sz w:val="24"/>
              </w:rPr>
              <w:t>年   月   日</w:t>
            </w:r>
          </w:p>
        </w:tc>
        <w:tc>
          <w:tcPr>
            <w:tcW w:w="4360" w:type="dxa"/>
            <w:vAlign w:val="center"/>
          </w:tcPr>
          <w:p>
            <w:pPr>
              <w:snapToGrid w:val="0"/>
              <w:spacing w:line="460" w:lineRule="exact"/>
              <w:rPr>
                <w:rFonts w:ascii="宋体" w:hAnsi="宋体" w:cs="宋体"/>
                <w:sz w:val="24"/>
              </w:rPr>
            </w:pPr>
            <w:r>
              <w:rPr>
                <w:rFonts w:hint="eastAsia" w:ascii="宋体" w:hAnsi="宋体" w:cs="宋体"/>
                <w:sz w:val="24"/>
              </w:rPr>
              <w:t xml:space="preserve">乙方（章）              </w:t>
            </w:r>
          </w:p>
          <w:p>
            <w:pPr>
              <w:snapToGrid w:val="0"/>
              <w:spacing w:line="460" w:lineRule="exact"/>
              <w:jc w:val="righ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单位地址：广西壮族自治区南宁市大学东路100号</w:t>
            </w:r>
          </w:p>
        </w:tc>
        <w:tc>
          <w:tcPr>
            <w:tcW w:w="4360" w:type="dxa"/>
            <w:vAlign w:val="center"/>
          </w:tcPr>
          <w:p>
            <w:pPr>
              <w:pStyle w:val="25"/>
              <w:widowControl/>
              <w:spacing w:line="460" w:lineRule="exact"/>
              <w:rPr>
                <w:rFonts w:ascii="宋体" w:hAns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法定代表人（签字）：</w:t>
            </w:r>
          </w:p>
        </w:tc>
        <w:tc>
          <w:tcPr>
            <w:tcW w:w="4360" w:type="dxa"/>
            <w:vAlign w:val="center"/>
          </w:tcPr>
          <w:p>
            <w:pPr>
              <w:snapToGrid w:val="0"/>
              <w:spacing w:line="460" w:lineRule="exact"/>
              <w:rPr>
                <w:rFonts w:ascii="宋体" w:hAnsi="宋体" w:cs="宋体"/>
                <w:sz w:val="24"/>
              </w:rPr>
            </w:pPr>
            <w:r>
              <w:rPr>
                <w:rFonts w:hint="eastAsia" w:ascii="宋体" w:hAnsi="宋体" w:cs="宋体"/>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委托代理人（签字）：</w:t>
            </w:r>
          </w:p>
        </w:tc>
        <w:tc>
          <w:tcPr>
            <w:tcW w:w="4360" w:type="dxa"/>
            <w:vAlign w:val="center"/>
          </w:tcPr>
          <w:p>
            <w:pPr>
              <w:snapToGrid w:val="0"/>
              <w:spacing w:line="460" w:lineRule="exact"/>
              <w:rPr>
                <w:rFonts w:ascii="宋体" w:hAnsi="宋体" w:cs="宋体"/>
                <w:sz w:val="24"/>
              </w:rPr>
            </w:pPr>
            <w:r>
              <w:rPr>
                <w:rFonts w:hint="eastAsia" w:ascii="宋体" w:hAnsi="宋体" w:cs="宋体"/>
                <w:sz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电话：</w:t>
            </w:r>
            <w:r>
              <w:rPr>
                <w:rFonts w:ascii="宋体" w:hAnsi="宋体" w:cs="宋体"/>
                <w:sz w:val="24"/>
              </w:rPr>
              <w:t>0771-*******</w:t>
            </w:r>
          </w:p>
        </w:tc>
        <w:tc>
          <w:tcPr>
            <w:tcW w:w="4360" w:type="dxa"/>
            <w:vAlign w:val="center"/>
          </w:tcPr>
          <w:p>
            <w:pPr>
              <w:widowControl/>
              <w:spacing w:line="460" w:lineRule="exact"/>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cs="宋体"/>
                <w:kern w:val="0"/>
                <w:sz w:val="24"/>
              </w:rPr>
            </w:pPr>
            <w:r>
              <w:rPr>
                <w:rFonts w:hint="eastAsia" w:ascii="宋体" w:hAnsi="宋体" w:cs="宋体"/>
                <w:kern w:val="0"/>
                <w:sz w:val="24"/>
              </w:rPr>
              <w:t>电子邮箱：gxdxsbk@163.com</w:t>
            </w:r>
          </w:p>
        </w:tc>
        <w:tc>
          <w:tcPr>
            <w:tcW w:w="4360" w:type="dxa"/>
            <w:vAlign w:val="center"/>
          </w:tcPr>
          <w:p>
            <w:pPr>
              <w:snapToGrid w:val="0"/>
              <w:spacing w:line="460" w:lineRule="exact"/>
              <w:rPr>
                <w:rFonts w:ascii="宋体" w:hAnsi="宋体" w:cs="宋体"/>
                <w:kern w:val="0"/>
                <w:sz w:val="24"/>
              </w:rPr>
            </w:pPr>
            <w:r>
              <w:rPr>
                <w:rFonts w:hint="eastAsia" w:ascii="宋体" w:hAnsi="宋体" w:cs="宋体"/>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cs="宋体"/>
                <w:kern w:val="0"/>
                <w:sz w:val="24"/>
              </w:rPr>
            </w:pPr>
            <w:r>
              <w:rPr>
                <w:rFonts w:hint="eastAsia" w:ascii="宋体" w:hAnsi="宋体" w:cs="宋体"/>
                <w:kern w:val="0"/>
                <w:sz w:val="24"/>
              </w:rPr>
              <w:t>开户银行：中国银行广西南宁市西大支行</w:t>
            </w:r>
          </w:p>
        </w:tc>
        <w:tc>
          <w:tcPr>
            <w:tcW w:w="4360" w:type="dxa"/>
            <w:vAlign w:val="center"/>
          </w:tcPr>
          <w:p>
            <w:pPr>
              <w:widowControl/>
              <w:spacing w:line="460" w:lineRule="exact"/>
              <w:jc w:val="left"/>
              <w:rPr>
                <w:rFonts w:ascii="宋体" w:hAnsi="宋体" w:cs="宋体"/>
                <w:kern w:val="0"/>
                <w:sz w:val="24"/>
              </w:rPr>
            </w:pPr>
            <w:r>
              <w:rPr>
                <w:rFonts w:hint="eastAsia" w:ascii="宋体" w:hAnsi="宋体" w:cs="宋体"/>
                <w:kern w:val="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4359" w:type="dxa"/>
            <w:vAlign w:val="center"/>
          </w:tcPr>
          <w:p>
            <w:pPr>
              <w:pStyle w:val="25"/>
              <w:widowControl/>
              <w:rPr>
                <w:rFonts w:ascii="宋体" w:hAnsi="宋体" w:cs="宋体"/>
              </w:rPr>
            </w:pPr>
            <w:r>
              <w:rPr>
                <w:rFonts w:hint="eastAsia" w:ascii="宋体" w:hAnsi="宋体" w:cs="宋体"/>
              </w:rPr>
              <w:t>账号：6184 5748 4938</w:t>
            </w:r>
          </w:p>
        </w:tc>
        <w:tc>
          <w:tcPr>
            <w:tcW w:w="4360" w:type="dxa"/>
            <w:vAlign w:val="center"/>
          </w:tcPr>
          <w:p>
            <w:pPr>
              <w:widowControl/>
              <w:spacing w:line="460" w:lineRule="exact"/>
              <w:jc w:val="left"/>
              <w:rPr>
                <w:rFonts w:ascii="宋体" w:hAns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4359" w:type="dxa"/>
            <w:vAlign w:val="center"/>
          </w:tcPr>
          <w:p>
            <w:pPr>
              <w:pStyle w:val="25"/>
              <w:widowControl/>
              <w:rPr>
                <w:rFonts w:ascii="宋体" w:hAnsi="宋体" w:cs="宋体"/>
              </w:rPr>
            </w:pPr>
            <w:r>
              <w:rPr>
                <w:rFonts w:hint="eastAsia" w:ascii="宋体" w:hAnsi="宋体" w:cs="宋体"/>
              </w:rPr>
              <w:t>邮政编码：530004</w:t>
            </w:r>
          </w:p>
        </w:tc>
        <w:tc>
          <w:tcPr>
            <w:tcW w:w="4360" w:type="dxa"/>
            <w:vAlign w:val="center"/>
          </w:tcPr>
          <w:p>
            <w:pPr>
              <w:widowControl/>
              <w:spacing w:line="460" w:lineRule="exact"/>
              <w:jc w:val="left"/>
              <w:rPr>
                <w:rFonts w:ascii="宋体" w:hAnsi="宋体" w:cs="宋体"/>
                <w:kern w:val="0"/>
                <w:sz w:val="24"/>
              </w:rPr>
            </w:pPr>
            <w:r>
              <w:rPr>
                <w:rFonts w:hint="eastAsia" w:ascii="宋体" w:hAnsi="宋体" w:cs="宋体"/>
                <w:kern w:val="0"/>
                <w:sz w:val="24"/>
              </w:rPr>
              <w:t>邮政编码：</w:t>
            </w:r>
          </w:p>
        </w:tc>
      </w:tr>
    </w:tbl>
    <w:p>
      <w:pPr>
        <w:spacing w:line="460" w:lineRule="exact"/>
        <w:rPr>
          <w:rFonts w:ascii="宋体" w:hAnsi="宋体" w:cs="宋体"/>
          <w:b/>
          <w:bCs/>
          <w:kern w:val="0"/>
          <w:sz w:val="24"/>
        </w:rPr>
      </w:pPr>
      <w:r>
        <w:rPr>
          <w:rFonts w:hint="eastAsia" w:ascii="宋体" w:hAnsi="宋体" w:cs="宋体"/>
          <w:b/>
          <w:bCs/>
          <w:kern w:val="0"/>
          <w:sz w:val="24"/>
        </w:rPr>
        <w:br w:type="page"/>
      </w:r>
    </w:p>
    <w:p>
      <w:pPr>
        <w:jc w:val="center"/>
        <w:rPr>
          <w:rFonts w:ascii="宋体" w:hAnsi="宋体" w:cs="宋体"/>
          <w:sz w:val="32"/>
          <w:szCs w:val="32"/>
        </w:rPr>
      </w:pPr>
      <w:r>
        <w:rPr>
          <w:rFonts w:hint="eastAsia" w:ascii="宋体" w:hAnsi="宋体" w:cs="宋体"/>
          <w:b/>
          <w:bCs/>
          <w:kern w:val="0"/>
          <w:sz w:val="32"/>
          <w:szCs w:val="32"/>
        </w:rPr>
        <w:t>广西大学采购项目履约保证金退付意见书</w:t>
      </w:r>
    </w:p>
    <w:tbl>
      <w:tblPr>
        <w:tblStyle w:val="28"/>
        <w:tblW w:w="89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30" w:type="dxa"/>
            <w:vMerge w:val="restart"/>
            <w:vAlign w:val="center"/>
          </w:tcPr>
          <w:p>
            <w:pPr>
              <w:jc w:val="center"/>
              <w:rPr>
                <w:rFonts w:ascii="宋体" w:hAnsi="宋体"/>
                <w:sz w:val="24"/>
              </w:rPr>
            </w:pPr>
            <w:r>
              <w:rPr>
                <w:rFonts w:hint="eastAsia" w:ascii="宋体" w:hAnsi="宋体"/>
                <w:sz w:val="24"/>
              </w:rPr>
              <w:t>供应商申请</w:t>
            </w:r>
          </w:p>
        </w:tc>
        <w:tc>
          <w:tcPr>
            <w:tcW w:w="7174" w:type="dxa"/>
            <w:vAlign w:val="center"/>
          </w:tcPr>
          <w:p>
            <w:pPr>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730" w:type="dxa"/>
            <w:vMerge w:val="continue"/>
          </w:tcPr>
          <w:p>
            <w:pPr>
              <w:rPr>
                <w:rFonts w:ascii="宋体" w:hAnsi="宋体"/>
                <w:sz w:val="24"/>
              </w:rPr>
            </w:pPr>
          </w:p>
        </w:tc>
        <w:tc>
          <w:tcPr>
            <w:tcW w:w="7174" w:type="dxa"/>
            <w:vAlign w:val="center"/>
          </w:tcPr>
          <w:p>
            <w:pPr>
              <w:rPr>
                <w:rFonts w:ascii="宋体" w:hAnsi="宋体"/>
                <w:sz w:val="24"/>
              </w:rPr>
            </w:pPr>
            <w:r>
              <w:rPr>
                <w:rFonts w:hint="eastAsia" w:ascii="宋体" w:hAnsi="宋体"/>
                <w:sz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5" w:hRule="atLeast"/>
        </w:trPr>
        <w:tc>
          <w:tcPr>
            <w:tcW w:w="1730" w:type="dxa"/>
            <w:vMerge w:val="continue"/>
          </w:tcPr>
          <w:p>
            <w:pPr>
              <w:rPr>
                <w:rFonts w:ascii="宋体" w:hAnsi="宋体"/>
                <w:sz w:val="24"/>
              </w:rPr>
            </w:pPr>
          </w:p>
        </w:tc>
        <w:tc>
          <w:tcPr>
            <w:tcW w:w="7174" w:type="dxa"/>
          </w:tcPr>
          <w:p>
            <w:pPr>
              <w:rPr>
                <w:rFonts w:ascii="宋体" w:hAnsi="宋体"/>
                <w:sz w:val="24"/>
              </w:rPr>
            </w:pPr>
          </w:p>
          <w:p>
            <w:pPr>
              <w:ind w:firstLine="600" w:firstLineChars="250"/>
              <w:rPr>
                <w:rFonts w:ascii="宋体" w:hAnsi="宋体"/>
                <w:sz w:val="24"/>
              </w:rPr>
            </w:pPr>
            <w:r>
              <w:rPr>
                <w:rFonts w:hint="eastAsia" w:ascii="宋体" w:hAnsi="宋体"/>
                <w:sz w:val="24"/>
              </w:rPr>
              <w:t>该项目已于   年    月   日按合同要求履约完成。根据合同规定，可将履约保证金（大写）人民币</w:t>
            </w:r>
            <w:r>
              <w:rPr>
                <w:rFonts w:hint="eastAsia" w:ascii="宋体" w:hAnsi="宋体"/>
                <w:sz w:val="24"/>
                <w:u w:val="single"/>
              </w:rPr>
              <w:t xml:space="preserve">                  </w:t>
            </w:r>
            <w:r>
              <w:rPr>
                <w:rFonts w:hint="eastAsia" w:ascii="宋体" w:hAnsi="宋体"/>
                <w:sz w:val="24"/>
              </w:rPr>
              <w:t>元整（小写）￥</w:t>
            </w:r>
            <w:r>
              <w:rPr>
                <w:rFonts w:hint="eastAsia" w:ascii="宋体" w:hAnsi="宋体"/>
                <w:sz w:val="24"/>
                <w:u w:val="single"/>
              </w:rPr>
              <w:t xml:space="preserve">              </w:t>
            </w:r>
            <w:r>
              <w:rPr>
                <w:rFonts w:hint="eastAsia" w:ascii="宋体" w:hAnsi="宋体"/>
                <w:sz w:val="24"/>
              </w:rPr>
              <w:t>退付到达以下帐户：</w:t>
            </w:r>
          </w:p>
          <w:p>
            <w:pPr>
              <w:rPr>
                <w:rFonts w:ascii="宋体" w:hAnsi="宋体"/>
                <w:sz w:val="24"/>
              </w:rPr>
            </w:pPr>
          </w:p>
          <w:p>
            <w:pPr>
              <w:spacing w:line="420" w:lineRule="exact"/>
              <w:rPr>
                <w:rFonts w:ascii="宋体" w:hAnsi="宋体"/>
                <w:sz w:val="24"/>
              </w:rPr>
            </w:pPr>
            <w:r>
              <w:rPr>
                <w:rFonts w:hint="eastAsia" w:ascii="宋体" w:hAnsi="宋体"/>
                <w:sz w:val="24"/>
              </w:rPr>
              <w:t>单位名称：</w:t>
            </w:r>
          </w:p>
          <w:p>
            <w:pPr>
              <w:spacing w:line="420" w:lineRule="exact"/>
              <w:rPr>
                <w:rFonts w:ascii="宋体" w:hAnsi="宋体"/>
                <w:sz w:val="24"/>
              </w:rPr>
            </w:pPr>
            <w:r>
              <w:rPr>
                <w:rFonts w:hint="eastAsia" w:ascii="宋体" w:hAnsi="宋体"/>
                <w:sz w:val="24"/>
              </w:rPr>
              <w:t>开户银行：</w:t>
            </w:r>
          </w:p>
          <w:p>
            <w:pPr>
              <w:spacing w:line="420" w:lineRule="exact"/>
              <w:rPr>
                <w:rFonts w:ascii="宋体" w:hAnsi="宋体"/>
                <w:sz w:val="24"/>
              </w:rPr>
            </w:pPr>
            <w:r>
              <w:rPr>
                <w:rFonts w:hint="eastAsia" w:ascii="宋体" w:hAnsi="宋体"/>
                <w:sz w:val="24"/>
              </w:rPr>
              <w:t>银行帐号：</w:t>
            </w:r>
          </w:p>
          <w:p>
            <w:pPr>
              <w:rPr>
                <w:rFonts w:ascii="宋体" w:hAnsi="宋体"/>
                <w:sz w:val="24"/>
              </w:rPr>
            </w:pPr>
          </w:p>
          <w:p>
            <w:pPr>
              <w:spacing w:line="420" w:lineRule="exact"/>
              <w:rPr>
                <w:rFonts w:ascii="宋体" w:hAnsi="宋体"/>
                <w:sz w:val="24"/>
              </w:rPr>
            </w:pPr>
            <w:r>
              <w:rPr>
                <w:rFonts w:hint="eastAsia" w:ascii="宋体" w:hAnsi="宋体"/>
                <w:sz w:val="24"/>
              </w:rPr>
              <w:t>联系人：</w:t>
            </w:r>
          </w:p>
          <w:p>
            <w:pPr>
              <w:spacing w:line="420" w:lineRule="exact"/>
              <w:rPr>
                <w:rFonts w:ascii="宋体" w:hAnsi="宋体"/>
                <w:sz w:val="24"/>
              </w:rPr>
            </w:pPr>
            <w:r>
              <w:rPr>
                <w:rFonts w:hint="eastAsia" w:ascii="宋体" w:hAnsi="宋体"/>
                <w:sz w:val="24"/>
              </w:rPr>
              <w:t>联系电话：</w:t>
            </w:r>
          </w:p>
          <w:p>
            <w:pPr>
              <w:rPr>
                <w:rFonts w:ascii="宋体" w:hAnsi="宋体"/>
                <w:sz w:val="24"/>
              </w:rPr>
            </w:pPr>
          </w:p>
          <w:p>
            <w:pPr>
              <w:spacing w:line="420" w:lineRule="exact"/>
              <w:rPr>
                <w:rFonts w:ascii="宋体" w:hAnsi="宋体"/>
                <w:sz w:val="24"/>
              </w:rPr>
            </w:pPr>
            <w:r>
              <w:rPr>
                <w:rFonts w:hint="eastAsia" w:ascii="宋体" w:hAnsi="宋体"/>
                <w:sz w:val="24"/>
              </w:rPr>
              <w:t xml:space="preserve">                                       供应商签章</w:t>
            </w:r>
          </w:p>
          <w:p>
            <w:pPr>
              <w:spacing w:line="420" w:lineRule="exact"/>
              <w:rPr>
                <w:rFonts w:ascii="宋体" w:hAnsi="宋体"/>
                <w:sz w:val="24"/>
              </w:rPr>
            </w:pPr>
            <w:r>
              <w:rPr>
                <w:rFonts w:hint="eastAsia" w:ascii="宋体" w:hAnsi="宋体"/>
                <w:sz w:val="24"/>
              </w:rPr>
              <w:t xml:space="preserve">                                     年     月    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30" w:type="dxa"/>
            <w:vAlign w:val="center"/>
          </w:tcPr>
          <w:p>
            <w:pPr>
              <w:jc w:val="center"/>
              <w:rPr>
                <w:rFonts w:ascii="宋体" w:hAnsi="宋体"/>
                <w:sz w:val="24"/>
              </w:rPr>
            </w:pPr>
            <w:r>
              <w:rPr>
                <w:rFonts w:hint="eastAsia" w:ascii="宋体" w:hAnsi="宋体"/>
                <w:sz w:val="24"/>
              </w:rPr>
              <w:t>使用单位</w:t>
            </w:r>
          </w:p>
          <w:p>
            <w:pPr>
              <w:jc w:val="center"/>
              <w:rPr>
                <w:rFonts w:ascii="宋体" w:hAnsi="宋体"/>
                <w:sz w:val="24"/>
              </w:rPr>
            </w:pPr>
            <w:r>
              <w:rPr>
                <w:rFonts w:hint="eastAsia" w:ascii="宋体" w:hAnsi="宋体"/>
                <w:sz w:val="24"/>
              </w:rPr>
              <w:t>意见</w:t>
            </w:r>
          </w:p>
        </w:tc>
        <w:tc>
          <w:tcPr>
            <w:tcW w:w="7174" w:type="dxa"/>
          </w:tcPr>
          <w:p>
            <w:pPr>
              <w:rPr>
                <w:rFonts w:ascii="宋体" w:hAnsi="宋体"/>
                <w:sz w:val="24"/>
              </w:rPr>
            </w:pPr>
            <w:r>
              <w:rPr>
                <w:rFonts w:hint="eastAsia" w:ascii="宋体" w:hAnsi="宋体"/>
                <w:sz w:val="24"/>
              </w:rPr>
              <w:t>（退付意见：是否同意退付履约保证金）</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项目负责人意见：</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联系人：</w:t>
            </w:r>
          </w:p>
          <w:p>
            <w:pPr>
              <w:spacing w:line="420" w:lineRule="exact"/>
              <w:rPr>
                <w:rFonts w:ascii="宋体" w:hAnsi="宋体"/>
                <w:sz w:val="24"/>
              </w:rPr>
            </w:pPr>
            <w:r>
              <w:rPr>
                <w:rFonts w:hint="eastAsia" w:ascii="宋体" w:hAnsi="宋体"/>
                <w:sz w:val="24"/>
              </w:rPr>
              <w:t>联系电话：</w:t>
            </w:r>
          </w:p>
          <w:p>
            <w:pPr>
              <w:rPr>
                <w:rFonts w:ascii="宋体" w:hAnsi="宋体"/>
                <w:sz w:val="24"/>
              </w:rPr>
            </w:pPr>
          </w:p>
          <w:p>
            <w:pPr>
              <w:rPr>
                <w:rFonts w:ascii="宋体" w:hAnsi="宋体"/>
                <w:sz w:val="24"/>
              </w:rPr>
            </w:pPr>
            <w:r>
              <w:rPr>
                <w:rFonts w:hint="eastAsia" w:ascii="宋体" w:hAnsi="宋体"/>
                <w:sz w:val="24"/>
              </w:rPr>
              <w:t xml:space="preserve">                                         单位签章</w:t>
            </w:r>
          </w:p>
          <w:p>
            <w:pPr>
              <w:spacing w:line="420" w:lineRule="exac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30" w:type="dxa"/>
            <w:vAlign w:val="center"/>
          </w:tcPr>
          <w:p>
            <w:pPr>
              <w:jc w:val="center"/>
              <w:rPr>
                <w:rFonts w:ascii="宋体" w:hAnsi="宋体"/>
                <w:sz w:val="24"/>
              </w:rPr>
            </w:pPr>
            <w:r>
              <w:rPr>
                <w:rFonts w:hint="eastAsia" w:ascii="宋体" w:hAnsi="宋体"/>
                <w:sz w:val="24"/>
              </w:rPr>
              <w:t>国有资产与实验室管理处（招标与采购管理中心）意见</w:t>
            </w:r>
          </w:p>
        </w:tc>
        <w:tc>
          <w:tcPr>
            <w:tcW w:w="7174"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w:t>
            </w:r>
          </w:p>
          <w:p>
            <w:pPr>
              <w:rPr>
                <w:rFonts w:ascii="宋体" w:hAnsi="宋体"/>
                <w:sz w:val="24"/>
              </w:rPr>
            </w:pPr>
          </w:p>
          <w:p>
            <w:pPr>
              <w:ind w:firstLine="4800" w:firstLineChars="2000"/>
              <w:rPr>
                <w:rFonts w:ascii="宋体" w:hAnsi="宋体"/>
                <w:sz w:val="24"/>
              </w:rPr>
            </w:pPr>
            <w:r>
              <w:rPr>
                <w:rFonts w:hint="eastAsia" w:ascii="宋体" w:hAnsi="宋体"/>
                <w:sz w:val="24"/>
              </w:rPr>
              <w:t>单位签章</w:t>
            </w:r>
          </w:p>
          <w:p>
            <w:pPr>
              <w:rPr>
                <w:rFonts w:ascii="宋体" w:hAnsi="宋体"/>
                <w:sz w:val="24"/>
              </w:rPr>
            </w:pPr>
            <w:r>
              <w:rPr>
                <w:rFonts w:hint="eastAsia" w:ascii="宋体" w:hAnsi="宋体"/>
                <w:sz w:val="24"/>
              </w:rPr>
              <w:t xml:space="preserve">                                      年     月    日</w:t>
            </w:r>
          </w:p>
        </w:tc>
      </w:tr>
    </w:tbl>
    <w:p>
      <w:pPr>
        <w:snapToGrid w:val="0"/>
        <w:spacing w:line="360" w:lineRule="auto"/>
        <w:rPr>
          <w:rFonts w:ascii="宋体" w:hAnsi="宋体" w:cs="宋体"/>
          <w:sz w:val="24"/>
        </w:rPr>
      </w:pPr>
    </w:p>
    <w:sectPr>
      <w:footerReference r:id="rId9" w:type="first"/>
      <w:pgSz w:w="11905" w:h="16838"/>
      <w:pgMar w:top="1417" w:right="1417" w:bottom="1417" w:left="1417" w:header="850" w:footer="992"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86"/>
    <w:family w:val="auto"/>
    <w:pitch w:val="default"/>
    <w:sig w:usb0="00000000" w:usb1="00000000" w:usb2="00082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27</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28</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EpsWUOqAQAAQgMAAA4A&#10;AAAAAAAAAQAgAAAAHgEAAGRycy9lMm9Eb2MueG1sUEsFBgAAAAAGAAYAWQEAADo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F1AE8"/>
    <w:multiLevelType w:val="multilevel"/>
    <w:tmpl w:val="61BF1AE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00F34B14"/>
    <w:rsid w:val="00000672"/>
    <w:rsid w:val="00001799"/>
    <w:rsid w:val="000022D9"/>
    <w:rsid w:val="00002D29"/>
    <w:rsid w:val="000040C5"/>
    <w:rsid w:val="000045C6"/>
    <w:rsid w:val="00004A8A"/>
    <w:rsid w:val="0000574C"/>
    <w:rsid w:val="00005B07"/>
    <w:rsid w:val="00005E55"/>
    <w:rsid w:val="00005FDF"/>
    <w:rsid w:val="00006586"/>
    <w:rsid w:val="000065BA"/>
    <w:rsid w:val="0001045D"/>
    <w:rsid w:val="00010D39"/>
    <w:rsid w:val="000112BB"/>
    <w:rsid w:val="0001149B"/>
    <w:rsid w:val="0001172C"/>
    <w:rsid w:val="00012854"/>
    <w:rsid w:val="00012E50"/>
    <w:rsid w:val="00012EA6"/>
    <w:rsid w:val="000139DC"/>
    <w:rsid w:val="00013D8C"/>
    <w:rsid w:val="00013DFE"/>
    <w:rsid w:val="00013F03"/>
    <w:rsid w:val="000141EA"/>
    <w:rsid w:val="00014385"/>
    <w:rsid w:val="000159F6"/>
    <w:rsid w:val="00016960"/>
    <w:rsid w:val="00017396"/>
    <w:rsid w:val="000177DB"/>
    <w:rsid w:val="00020227"/>
    <w:rsid w:val="000203E4"/>
    <w:rsid w:val="00020455"/>
    <w:rsid w:val="00020CCE"/>
    <w:rsid w:val="00022731"/>
    <w:rsid w:val="00022792"/>
    <w:rsid w:val="00022A07"/>
    <w:rsid w:val="000242CE"/>
    <w:rsid w:val="00025382"/>
    <w:rsid w:val="00025636"/>
    <w:rsid w:val="00025E36"/>
    <w:rsid w:val="00026627"/>
    <w:rsid w:val="00026886"/>
    <w:rsid w:val="0002793A"/>
    <w:rsid w:val="00030496"/>
    <w:rsid w:val="000329E0"/>
    <w:rsid w:val="000333A0"/>
    <w:rsid w:val="00034060"/>
    <w:rsid w:val="000352E9"/>
    <w:rsid w:val="00036A07"/>
    <w:rsid w:val="00036E33"/>
    <w:rsid w:val="00036FAD"/>
    <w:rsid w:val="00037363"/>
    <w:rsid w:val="00037E2D"/>
    <w:rsid w:val="00040571"/>
    <w:rsid w:val="0004156E"/>
    <w:rsid w:val="00041597"/>
    <w:rsid w:val="00041800"/>
    <w:rsid w:val="0004440C"/>
    <w:rsid w:val="00045880"/>
    <w:rsid w:val="000462CB"/>
    <w:rsid w:val="00046B5E"/>
    <w:rsid w:val="0004783A"/>
    <w:rsid w:val="000509D9"/>
    <w:rsid w:val="0005398D"/>
    <w:rsid w:val="000552A6"/>
    <w:rsid w:val="00055D41"/>
    <w:rsid w:val="000569C7"/>
    <w:rsid w:val="00057CEC"/>
    <w:rsid w:val="00060DCE"/>
    <w:rsid w:val="00061A5A"/>
    <w:rsid w:val="000623B4"/>
    <w:rsid w:val="000634A3"/>
    <w:rsid w:val="000634A7"/>
    <w:rsid w:val="00063E85"/>
    <w:rsid w:val="00063F81"/>
    <w:rsid w:val="00064847"/>
    <w:rsid w:val="0006484B"/>
    <w:rsid w:val="000673E2"/>
    <w:rsid w:val="000703B6"/>
    <w:rsid w:val="000711E4"/>
    <w:rsid w:val="000719F9"/>
    <w:rsid w:val="0007228C"/>
    <w:rsid w:val="000722D1"/>
    <w:rsid w:val="00072AED"/>
    <w:rsid w:val="00073F47"/>
    <w:rsid w:val="00075B7E"/>
    <w:rsid w:val="00077C70"/>
    <w:rsid w:val="00080B57"/>
    <w:rsid w:val="00081BA3"/>
    <w:rsid w:val="00081D2E"/>
    <w:rsid w:val="00081E30"/>
    <w:rsid w:val="0008267B"/>
    <w:rsid w:val="00082D02"/>
    <w:rsid w:val="000833E9"/>
    <w:rsid w:val="00083B91"/>
    <w:rsid w:val="0008520B"/>
    <w:rsid w:val="000871B8"/>
    <w:rsid w:val="00087DB6"/>
    <w:rsid w:val="000913BE"/>
    <w:rsid w:val="000918F8"/>
    <w:rsid w:val="00092442"/>
    <w:rsid w:val="00094183"/>
    <w:rsid w:val="00095233"/>
    <w:rsid w:val="0009588E"/>
    <w:rsid w:val="000959EE"/>
    <w:rsid w:val="00095B51"/>
    <w:rsid w:val="00097DA0"/>
    <w:rsid w:val="000A0D6B"/>
    <w:rsid w:val="000A1389"/>
    <w:rsid w:val="000A166E"/>
    <w:rsid w:val="000A2B0E"/>
    <w:rsid w:val="000A398F"/>
    <w:rsid w:val="000A509C"/>
    <w:rsid w:val="000A5516"/>
    <w:rsid w:val="000A6007"/>
    <w:rsid w:val="000A65A6"/>
    <w:rsid w:val="000A7275"/>
    <w:rsid w:val="000A7A12"/>
    <w:rsid w:val="000A7CA5"/>
    <w:rsid w:val="000B039A"/>
    <w:rsid w:val="000B1801"/>
    <w:rsid w:val="000B1D0C"/>
    <w:rsid w:val="000B2D03"/>
    <w:rsid w:val="000B3815"/>
    <w:rsid w:val="000B3C7B"/>
    <w:rsid w:val="000B6C95"/>
    <w:rsid w:val="000C06D3"/>
    <w:rsid w:val="000C0C58"/>
    <w:rsid w:val="000C1679"/>
    <w:rsid w:val="000C2F89"/>
    <w:rsid w:val="000C30BB"/>
    <w:rsid w:val="000C366E"/>
    <w:rsid w:val="000C3B94"/>
    <w:rsid w:val="000C4635"/>
    <w:rsid w:val="000C548E"/>
    <w:rsid w:val="000C5698"/>
    <w:rsid w:val="000C6DE4"/>
    <w:rsid w:val="000C716B"/>
    <w:rsid w:val="000C7C12"/>
    <w:rsid w:val="000D01EB"/>
    <w:rsid w:val="000D056E"/>
    <w:rsid w:val="000D0675"/>
    <w:rsid w:val="000D0A89"/>
    <w:rsid w:val="000D1389"/>
    <w:rsid w:val="000D1798"/>
    <w:rsid w:val="000D1A2A"/>
    <w:rsid w:val="000D1A53"/>
    <w:rsid w:val="000D2626"/>
    <w:rsid w:val="000D2B7D"/>
    <w:rsid w:val="000D4A06"/>
    <w:rsid w:val="000D73DD"/>
    <w:rsid w:val="000D7D9B"/>
    <w:rsid w:val="000E18E2"/>
    <w:rsid w:val="000E28AB"/>
    <w:rsid w:val="000E28C1"/>
    <w:rsid w:val="000E2E3E"/>
    <w:rsid w:val="000E33C5"/>
    <w:rsid w:val="000E3583"/>
    <w:rsid w:val="000E3AF0"/>
    <w:rsid w:val="000E3D53"/>
    <w:rsid w:val="000E4E04"/>
    <w:rsid w:val="000E684C"/>
    <w:rsid w:val="000E6EC9"/>
    <w:rsid w:val="000E70B4"/>
    <w:rsid w:val="000F06FC"/>
    <w:rsid w:val="000F0742"/>
    <w:rsid w:val="000F3281"/>
    <w:rsid w:val="000F3733"/>
    <w:rsid w:val="000F4D88"/>
    <w:rsid w:val="000F4FC9"/>
    <w:rsid w:val="000F64AA"/>
    <w:rsid w:val="000F7AF4"/>
    <w:rsid w:val="000F7C33"/>
    <w:rsid w:val="000F7F0C"/>
    <w:rsid w:val="00100246"/>
    <w:rsid w:val="001004D6"/>
    <w:rsid w:val="00100D90"/>
    <w:rsid w:val="00102309"/>
    <w:rsid w:val="00102ECA"/>
    <w:rsid w:val="00103918"/>
    <w:rsid w:val="00104889"/>
    <w:rsid w:val="00104897"/>
    <w:rsid w:val="00104D7E"/>
    <w:rsid w:val="00104EDE"/>
    <w:rsid w:val="00105AA1"/>
    <w:rsid w:val="00105FAC"/>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378B"/>
    <w:rsid w:val="00123B26"/>
    <w:rsid w:val="00125004"/>
    <w:rsid w:val="001263B8"/>
    <w:rsid w:val="00126763"/>
    <w:rsid w:val="00130217"/>
    <w:rsid w:val="00130783"/>
    <w:rsid w:val="00130990"/>
    <w:rsid w:val="001312CB"/>
    <w:rsid w:val="00132B47"/>
    <w:rsid w:val="00132E64"/>
    <w:rsid w:val="00134816"/>
    <w:rsid w:val="001351CB"/>
    <w:rsid w:val="001359A2"/>
    <w:rsid w:val="00135E37"/>
    <w:rsid w:val="00136020"/>
    <w:rsid w:val="00136445"/>
    <w:rsid w:val="0013746E"/>
    <w:rsid w:val="001374F3"/>
    <w:rsid w:val="00140132"/>
    <w:rsid w:val="00141C9C"/>
    <w:rsid w:val="00142668"/>
    <w:rsid w:val="001434BE"/>
    <w:rsid w:val="00144275"/>
    <w:rsid w:val="0014479F"/>
    <w:rsid w:val="001452B4"/>
    <w:rsid w:val="00146EC6"/>
    <w:rsid w:val="001478D2"/>
    <w:rsid w:val="00151C48"/>
    <w:rsid w:val="00152A87"/>
    <w:rsid w:val="00154486"/>
    <w:rsid w:val="00154663"/>
    <w:rsid w:val="00156D0E"/>
    <w:rsid w:val="00156DD9"/>
    <w:rsid w:val="0016086E"/>
    <w:rsid w:val="00160D0C"/>
    <w:rsid w:val="00161172"/>
    <w:rsid w:val="0016139E"/>
    <w:rsid w:val="00161E65"/>
    <w:rsid w:val="00162597"/>
    <w:rsid w:val="001629AF"/>
    <w:rsid w:val="00162C1D"/>
    <w:rsid w:val="001633A3"/>
    <w:rsid w:val="0016428A"/>
    <w:rsid w:val="001647C9"/>
    <w:rsid w:val="00164837"/>
    <w:rsid w:val="001661A3"/>
    <w:rsid w:val="0016782B"/>
    <w:rsid w:val="00170B05"/>
    <w:rsid w:val="00173256"/>
    <w:rsid w:val="001733E1"/>
    <w:rsid w:val="00173F74"/>
    <w:rsid w:val="00175086"/>
    <w:rsid w:val="00175BA6"/>
    <w:rsid w:val="0017617F"/>
    <w:rsid w:val="00176CA7"/>
    <w:rsid w:val="001778C5"/>
    <w:rsid w:val="00177E56"/>
    <w:rsid w:val="00177F0A"/>
    <w:rsid w:val="00185617"/>
    <w:rsid w:val="00186ADE"/>
    <w:rsid w:val="00187F35"/>
    <w:rsid w:val="0019171E"/>
    <w:rsid w:val="0019220F"/>
    <w:rsid w:val="001928B1"/>
    <w:rsid w:val="00194ED5"/>
    <w:rsid w:val="00195424"/>
    <w:rsid w:val="001955FF"/>
    <w:rsid w:val="0019692F"/>
    <w:rsid w:val="00197EDD"/>
    <w:rsid w:val="00197F70"/>
    <w:rsid w:val="001A02B3"/>
    <w:rsid w:val="001A0322"/>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38B0"/>
    <w:rsid w:val="001C4287"/>
    <w:rsid w:val="001C4479"/>
    <w:rsid w:val="001C76B7"/>
    <w:rsid w:val="001C76FB"/>
    <w:rsid w:val="001D1165"/>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1F33"/>
    <w:rsid w:val="001E2B9F"/>
    <w:rsid w:val="001E30C0"/>
    <w:rsid w:val="001E3221"/>
    <w:rsid w:val="001E33BA"/>
    <w:rsid w:val="001E4A8D"/>
    <w:rsid w:val="001E5A94"/>
    <w:rsid w:val="001E7648"/>
    <w:rsid w:val="001F127B"/>
    <w:rsid w:val="001F15A8"/>
    <w:rsid w:val="001F2A2E"/>
    <w:rsid w:val="001F3B72"/>
    <w:rsid w:val="001F3C63"/>
    <w:rsid w:val="001F4460"/>
    <w:rsid w:val="001F5DAF"/>
    <w:rsid w:val="001F637C"/>
    <w:rsid w:val="001F6B6C"/>
    <w:rsid w:val="001F711A"/>
    <w:rsid w:val="001F75B0"/>
    <w:rsid w:val="001F7686"/>
    <w:rsid w:val="0020035F"/>
    <w:rsid w:val="0020072B"/>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7BD"/>
    <w:rsid w:val="00217861"/>
    <w:rsid w:val="0022054D"/>
    <w:rsid w:val="00220949"/>
    <w:rsid w:val="002225FA"/>
    <w:rsid w:val="0022413B"/>
    <w:rsid w:val="00224DE1"/>
    <w:rsid w:val="002255B2"/>
    <w:rsid w:val="00225664"/>
    <w:rsid w:val="00226463"/>
    <w:rsid w:val="002269DC"/>
    <w:rsid w:val="00227F2D"/>
    <w:rsid w:val="00231851"/>
    <w:rsid w:val="002319FB"/>
    <w:rsid w:val="00231B89"/>
    <w:rsid w:val="00231B8E"/>
    <w:rsid w:val="00233727"/>
    <w:rsid w:val="002355BE"/>
    <w:rsid w:val="00236D82"/>
    <w:rsid w:val="00236DE9"/>
    <w:rsid w:val="00237D5A"/>
    <w:rsid w:val="00241300"/>
    <w:rsid w:val="00241D3C"/>
    <w:rsid w:val="002439AB"/>
    <w:rsid w:val="002442F6"/>
    <w:rsid w:val="002450D5"/>
    <w:rsid w:val="00245587"/>
    <w:rsid w:val="002458A7"/>
    <w:rsid w:val="00245F2B"/>
    <w:rsid w:val="00246F95"/>
    <w:rsid w:val="0024703E"/>
    <w:rsid w:val="00247676"/>
    <w:rsid w:val="00247F3A"/>
    <w:rsid w:val="00250122"/>
    <w:rsid w:val="00250755"/>
    <w:rsid w:val="00250AE3"/>
    <w:rsid w:val="00251C4A"/>
    <w:rsid w:val="0025271C"/>
    <w:rsid w:val="00252A91"/>
    <w:rsid w:val="00252C5C"/>
    <w:rsid w:val="002533CD"/>
    <w:rsid w:val="002544C1"/>
    <w:rsid w:val="00254EAB"/>
    <w:rsid w:val="002557AF"/>
    <w:rsid w:val="00256474"/>
    <w:rsid w:val="002566B1"/>
    <w:rsid w:val="002575E3"/>
    <w:rsid w:val="002603C1"/>
    <w:rsid w:val="002609A1"/>
    <w:rsid w:val="002612B1"/>
    <w:rsid w:val="0026327C"/>
    <w:rsid w:val="00265600"/>
    <w:rsid w:val="00266165"/>
    <w:rsid w:val="0026782A"/>
    <w:rsid w:val="002708B3"/>
    <w:rsid w:val="0027125E"/>
    <w:rsid w:val="00271767"/>
    <w:rsid w:val="002719C1"/>
    <w:rsid w:val="00272293"/>
    <w:rsid w:val="002723C8"/>
    <w:rsid w:val="00273CBE"/>
    <w:rsid w:val="00277F24"/>
    <w:rsid w:val="00280240"/>
    <w:rsid w:val="002802D7"/>
    <w:rsid w:val="0028232C"/>
    <w:rsid w:val="002827F1"/>
    <w:rsid w:val="00282EC3"/>
    <w:rsid w:val="002835B0"/>
    <w:rsid w:val="0028407E"/>
    <w:rsid w:val="0028410F"/>
    <w:rsid w:val="002854BF"/>
    <w:rsid w:val="00286603"/>
    <w:rsid w:val="00286A98"/>
    <w:rsid w:val="00286FB5"/>
    <w:rsid w:val="00287763"/>
    <w:rsid w:val="00290606"/>
    <w:rsid w:val="00290F9D"/>
    <w:rsid w:val="002918A7"/>
    <w:rsid w:val="00291D6D"/>
    <w:rsid w:val="00291FF1"/>
    <w:rsid w:val="002923F6"/>
    <w:rsid w:val="00293361"/>
    <w:rsid w:val="00294AE8"/>
    <w:rsid w:val="00295137"/>
    <w:rsid w:val="00295287"/>
    <w:rsid w:val="002952B1"/>
    <w:rsid w:val="00295D11"/>
    <w:rsid w:val="00295FA0"/>
    <w:rsid w:val="00297626"/>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6FA5"/>
    <w:rsid w:val="002B7169"/>
    <w:rsid w:val="002C0C1C"/>
    <w:rsid w:val="002C0F5A"/>
    <w:rsid w:val="002C184E"/>
    <w:rsid w:val="002C28F5"/>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D7AB7"/>
    <w:rsid w:val="002E109C"/>
    <w:rsid w:val="002E115E"/>
    <w:rsid w:val="002E1439"/>
    <w:rsid w:val="002E193E"/>
    <w:rsid w:val="002E1D76"/>
    <w:rsid w:val="002E243C"/>
    <w:rsid w:val="002E26C4"/>
    <w:rsid w:val="002E30B3"/>
    <w:rsid w:val="002E33E9"/>
    <w:rsid w:val="002E4B37"/>
    <w:rsid w:val="002E4BF9"/>
    <w:rsid w:val="002E6F5B"/>
    <w:rsid w:val="002F16DD"/>
    <w:rsid w:val="002F199D"/>
    <w:rsid w:val="002F23B2"/>
    <w:rsid w:val="002F2558"/>
    <w:rsid w:val="002F4084"/>
    <w:rsid w:val="002F4672"/>
    <w:rsid w:val="002F4A08"/>
    <w:rsid w:val="002F4ADB"/>
    <w:rsid w:val="002F531E"/>
    <w:rsid w:val="002F5ACC"/>
    <w:rsid w:val="002F6C2C"/>
    <w:rsid w:val="002F704B"/>
    <w:rsid w:val="002F72C3"/>
    <w:rsid w:val="002F768C"/>
    <w:rsid w:val="002F7D1E"/>
    <w:rsid w:val="00301839"/>
    <w:rsid w:val="003026AF"/>
    <w:rsid w:val="00302929"/>
    <w:rsid w:val="00302F0F"/>
    <w:rsid w:val="00303243"/>
    <w:rsid w:val="00303BCC"/>
    <w:rsid w:val="00303F2B"/>
    <w:rsid w:val="00303F8D"/>
    <w:rsid w:val="00304541"/>
    <w:rsid w:val="00304580"/>
    <w:rsid w:val="0030586A"/>
    <w:rsid w:val="003074C5"/>
    <w:rsid w:val="00307A3C"/>
    <w:rsid w:val="00307FA4"/>
    <w:rsid w:val="00310CC1"/>
    <w:rsid w:val="00313026"/>
    <w:rsid w:val="00313213"/>
    <w:rsid w:val="00313C14"/>
    <w:rsid w:val="0031421F"/>
    <w:rsid w:val="00314B31"/>
    <w:rsid w:val="00314B36"/>
    <w:rsid w:val="00315158"/>
    <w:rsid w:val="00315346"/>
    <w:rsid w:val="00315A65"/>
    <w:rsid w:val="00316E85"/>
    <w:rsid w:val="00317BA7"/>
    <w:rsid w:val="00320BE2"/>
    <w:rsid w:val="00321886"/>
    <w:rsid w:val="00321902"/>
    <w:rsid w:val="00323694"/>
    <w:rsid w:val="00324D63"/>
    <w:rsid w:val="003255AF"/>
    <w:rsid w:val="003256EB"/>
    <w:rsid w:val="003259DB"/>
    <w:rsid w:val="00325F20"/>
    <w:rsid w:val="00326039"/>
    <w:rsid w:val="003267F2"/>
    <w:rsid w:val="003300EA"/>
    <w:rsid w:val="00331A48"/>
    <w:rsid w:val="003330C9"/>
    <w:rsid w:val="0033364C"/>
    <w:rsid w:val="00334415"/>
    <w:rsid w:val="00335460"/>
    <w:rsid w:val="0033591B"/>
    <w:rsid w:val="0033691E"/>
    <w:rsid w:val="00336CCB"/>
    <w:rsid w:val="0033745F"/>
    <w:rsid w:val="00337631"/>
    <w:rsid w:val="00337F44"/>
    <w:rsid w:val="003401AC"/>
    <w:rsid w:val="003411D1"/>
    <w:rsid w:val="003416BA"/>
    <w:rsid w:val="00341BD6"/>
    <w:rsid w:val="00342A8A"/>
    <w:rsid w:val="00342F99"/>
    <w:rsid w:val="0034339D"/>
    <w:rsid w:val="00344726"/>
    <w:rsid w:val="003454A4"/>
    <w:rsid w:val="00345988"/>
    <w:rsid w:val="00350E6C"/>
    <w:rsid w:val="003518A6"/>
    <w:rsid w:val="00351E7F"/>
    <w:rsid w:val="003526FD"/>
    <w:rsid w:val="00352953"/>
    <w:rsid w:val="00354062"/>
    <w:rsid w:val="003542B0"/>
    <w:rsid w:val="00355C0D"/>
    <w:rsid w:val="0035622C"/>
    <w:rsid w:val="003566A9"/>
    <w:rsid w:val="00356988"/>
    <w:rsid w:val="00356B20"/>
    <w:rsid w:val="00357128"/>
    <w:rsid w:val="0035755E"/>
    <w:rsid w:val="00357A80"/>
    <w:rsid w:val="00361B8B"/>
    <w:rsid w:val="00363F39"/>
    <w:rsid w:val="003643C6"/>
    <w:rsid w:val="00364AB0"/>
    <w:rsid w:val="00365A6E"/>
    <w:rsid w:val="003664B8"/>
    <w:rsid w:val="003667B0"/>
    <w:rsid w:val="003667DD"/>
    <w:rsid w:val="00366842"/>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5C"/>
    <w:rsid w:val="00380BBE"/>
    <w:rsid w:val="00381D70"/>
    <w:rsid w:val="00382128"/>
    <w:rsid w:val="0038235E"/>
    <w:rsid w:val="003829D0"/>
    <w:rsid w:val="00382FBA"/>
    <w:rsid w:val="0038444F"/>
    <w:rsid w:val="00384E83"/>
    <w:rsid w:val="00385C34"/>
    <w:rsid w:val="00386B36"/>
    <w:rsid w:val="00387051"/>
    <w:rsid w:val="00387ECF"/>
    <w:rsid w:val="0039021B"/>
    <w:rsid w:val="00390429"/>
    <w:rsid w:val="0039327C"/>
    <w:rsid w:val="003933A2"/>
    <w:rsid w:val="0039366C"/>
    <w:rsid w:val="003938F3"/>
    <w:rsid w:val="00393C4B"/>
    <w:rsid w:val="00393DE7"/>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659"/>
    <w:rsid w:val="003B7733"/>
    <w:rsid w:val="003B7BC8"/>
    <w:rsid w:val="003C0166"/>
    <w:rsid w:val="003C21AA"/>
    <w:rsid w:val="003C2B79"/>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114"/>
    <w:rsid w:val="003E285E"/>
    <w:rsid w:val="003E3300"/>
    <w:rsid w:val="003E5B89"/>
    <w:rsid w:val="003E6340"/>
    <w:rsid w:val="003E65AC"/>
    <w:rsid w:val="003E6948"/>
    <w:rsid w:val="003E6E24"/>
    <w:rsid w:val="003E72B9"/>
    <w:rsid w:val="003E755C"/>
    <w:rsid w:val="003E7ED4"/>
    <w:rsid w:val="003F0E52"/>
    <w:rsid w:val="003F0EF2"/>
    <w:rsid w:val="003F0F6B"/>
    <w:rsid w:val="003F1F40"/>
    <w:rsid w:val="003F1FE3"/>
    <w:rsid w:val="003F3865"/>
    <w:rsid w:val="003F3A0A"/>
    <w:rsid w:val="003F4632"/>
    <w:rsid w:val="003F47BA"/>
    <w:rsid w:val="003F5DA1"/>
    <w:rsid w:val="003F6617"/>
    <w:rsid w:val="0040063B"/>
    <w:rsid w:val="00401070"/>
    <w:rsid w:val="00402332"/>
    <w:rsid w:val="004025C2"/>
    <w:rsid w:val="00403E55"/>
    <w:rsid w:val="00404532"/>
    <w:rsid w:val="00404681"/>
    <w:rsid w:val="0040496D"/>
    <w:rsid w:val="00405010"/>
    <w:rsid w:val="0040595A"/>
    <w:rsid w:val="00406923"/>
    <w:rsid w:val="0040713A"/>
    <w:rsid w:val="0040763D"/>
    <w:rsid w:val="004105B0"/>
    <w:rsid w:val="00410DC1"/>
    <w:rsid w:val="00410EC5"/>
    <w:rsid w:val="00411B1F"/>
    <w:rsid w:val="004133A8"/>
    <w:rsid w:val="00413821"/>
    <w:rsid w:val="00413D43"/>
    <w:rsid w:val="004141A3"/>
    <w:rsid w:val="004143E9"/>
    <w:rsid w:val="00414909"/>
    <w:rsid w:val="00415E66"/>
    <w:rsid w:val="00416112"/>
    <w:rsid w:val="00416DF0"/>
    <w:rsid w:val="00417AE0"/>
    <w:rsid w:val="00417BAA"/>
    <w:rsid w:val="00420BA9"/>
    <w:rsid w:val="00420D7A"/>
    <w:rsid w:val="00420D9E"/>
    <w:rsid w:val="004223DE"/>
    <w:rsid w:val="00422718"/>
    <w:rsid w:val="0042293E"/>
    <w:rsid w:val="00422A10"/>
    <w:rsid w:val="00424D17"/>
    <w:rsid w:val="00425DFD"/>
    <w:rsid w:val="004263A3"/>
    <w:rsid w:val="00426903"/>
    <w:rsid w:val="00427713"/>
    <w:rsid w:val="00427CCC"/>
    <w:rsid w:val="00427D54"/>
    <w:rsid w:val="00427DB8"/>
    <w:rsid w:val="0043013A"/>
    <w:rsid w:val="00430421"/>
    <w:rsid w:val="00430B4F"/>
    <w:rsid w:val="004314B1"/>
    <w:rsid w:val="00431AD0"/>
    <w:rsid w:val="00431E65"/>
    <w:rsid w:val="00432589"/>
    <w:rsid w:val="00432A94"/>
    <w:rsid w:val="00433827"/>
    <w:rsid w:val="00435041"/>
    <w:rsid w:val="004360C8"/>
    <w:rsid w:val="0044006B"/>
    <w:rsid w:val="0044033F"/>
    <w:rsid w:val="00440630"/>
    <w:rsid w:val="00441123"/>
    <w:rsid w:val="0044127B"/>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6F2B"/>
    <w:rsid w:val="004578EB"/>
    <w:rsid w:val="00460303"/>
    <w:rsid w:val="00460697"/>
    <w:rsid w:val="004609AB"/>
    <w:rsid w:val="0046247F"/>
    <w:rsid w:val="00462593"/>
    <w:rsid w:val="00465EEF"/>
    <w:rsid w:val="00466D03"/>
    <w:rsid w:val="0046711B"/>
    <w:rsid w:val="00467312"/>
    <w:rsid w:val="00471156"/>
    <w:rsid w:val="00472429"/>
    <w:rsid w:val="004725E5"/>
    <w:rsid w:val="004726FE"/>
    <w:rsid w:val="00472751"/>
    <w:rsid w:val="00473128"/>
    <w:rsid w:val="0047470A"/>
    <w:rsid w:val="00475078"/>
    <w:rsid w:val="00475226"/>
    <w:rsid w:val="004777F1"/>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51C8"/>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29E3"/>
    <w:rsid w:val="004B35DF"/>
    <w:rsid w:val="004B3627"/>
    <w:rsid w:val="004B3F3A"/>
    <w:rsid w:val="004B4779"/>
    <w:rsid w:val="004B4922"/>
    <w:rsid w:val="004B57DF"/>
    <w:rsid w:val="004C0238"/>
    <w:rsid w:val="004C03A0"/>
    <w:rsid w:val="004C2138"/>
    <w:rsid w:val="004C2ED0"/>
    <w:rsid w:val="004C32D4"/>
    <w:rsid w:val="004C3940"/>
    <w:rsid w:val="004C51FD"/>
    <w:rsid w:val="004C65A8"/>
    <w:rsid w:val="004C786C"/>
    <w:rsid w:val="004C7963"/>
    <w:rsid w:val="004D2314"/>
    <w:rsid w:val="004D2F63"/>
    <w:rsid w:val="004D35BA"/>
    <w:rsid w:val="004D45B8"/>
    <w:rsid w:val="004D4701"/>
    <w:rsid w:val="004D47C7"/>
    <w:rsid w:val="004D618D"/>
    <w:rsid w:val="004D6202"/>
    <w:rsid w:val="004D62A9"/>
    <w:rsid w:val="004D6FC3"/>
    <w:rsid w:val="004D7476"/>
    <w:rsid w:val="004E0306"/>
    <w:rsid w:val="004E0572"/>
    <w:rsid w:val="004E0C97"/>
    <w:rsid w:val="004E25A8"/>
    <w:rsid w:val="004E2AA0"/>
    <w:rsid w:val="004E3930"/>
    <w:rsid w:val="004E3ED9"/>
    <w:rsid w:val="004E5866"/>
    <w:rsid w:val="004E6097"/>
    <w:rsid w:val="004E61EF"/>
    <w:rsid w:val="004E6772"/>
    <w:rsid w:val="004E76A7"/>
    <w:rsid w:val="004E7736"/>
    <w:rsid w:val="004E7B03"/>
    <w:rsid w:val="004F0064"/>
    <w:rsid w:val="004F069F"/>
    <w:rsid w:val="004F06AC"/>
    <w:rsid w:val="004F1AE6"/>
    <w:rsid w:val="004F243F"/>
    <w:rsid w:val="004F3E0C"/>
    <w:rsid w:val="004F6929"/>
    <w:rsid w:val="004F6A2D"/>
    <w:rsid w:val="004F7160"/>
    <w:rsid w:val="00500258"/>
    <w:rsid w:val="0050175E"/>
    <w:rsid w:val="00501A99"/>
    <w:rsid w:val="00502CF3"/>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210F7"/>
    <w:rsid w:val="00521753"/>
    <w:rsid w:val="00521A44"/>
    <w:rsid w:val="00521D16"/>
    <w:rsid w:val="005222BE"/>
    <w:rsid w:val="005224EE"/>
    <w:rsid w:val="00523BB1"/>
    <w:rsid w:val="00524401"/>
    <w:rsid w:val="0052451A"/>
    <w:rsid w:val="00524737"/>
    <w:rsid w:val="005253E7"/>
    <w:rsid w:val="005258DF"/>
    <w:rsid w:val="00526265"/>
    <w:rsid w:val="0052652D"/>
    <w:rsid w:val="0052655D"/>
    <w:rsid w:val="005265E0"/>
    <w:rsid w:val="00526930"/>
    <w:rsid w:val="00526BC3"/>
    <w:rsid w:val="00530F9E"/>
    <w:rsid w:val="00531A72"/>
    <w:rsid w:val="0053274E"/>
    <w:rsid w:val="0053358A"/>
    <w:rsid w:val="00534668"/>
    <w:rsid w:val="00534D38"/>
    <w:rsid w:val="00534DDD"/>
    <w:rsid w:val="00535291"/>
    <w:rsid w:val="00535A94"/>
    <w:rsid w:val="00537874"/>
    <w:rsid w:val="00537909"/>
    <w:rsid w:val="00540204"/>
    <w:rsid w:val="00540578"/>
    <w:rsid w:val="005407D2"/>
    <w:rsid w:val="00540808"/>
    <w:rsid w:val="0054080E"/>
    <w:rsid w:val="005408B4"/>
    <w:rsid w:val="00540EA1"/>
    <w:rsid w:val="005423B1"/>
    <w:rsid w:val="0054358E"/>
    <w:rsid w:val="00543AF4"/>
    <w:rsid w:val="00544191"/>
    <w:rsid w:val="00544F39"/>
    <w:rsid w:val="00547EFB"/>
    <w:rsid w:val="005531DF"/>
    <w:rsid w:val="00553874"/>
    <w:rsid w:val="00553ACC"/>
    <w:rsid w:val="00554AD8"/>
    <w:rsid w:val="00554F78"/>
    <w:rsid w:val="005556A5"/>
    <w:rsid w:val="005561F0"/>
    <w:rsid w:val="00556BF7"/>
    <w:rsid w:val="00560838"/>
    <w:rsid w:val="00560DB5"/>
    <w:rsid w:val="00562149"/>
    <w:rsid w:val="005630D8"/>
    <w:rsid w:val="00563FFD"/>
    <w:rsid w:val="00565855"/>
    <w:rsid w:val="005677CE"/>
    <w:rsid w:val="00567B5D"/>
    <w:rsid w:val="00570445"/>
    <w:rsid w:val="00572E9A"/>
    <w:rsid w:val="00573733"/>
    <w:rsid w:val="005739F5"/>
    <w:rsid w:val="00574554"/>
    <w:rsid w:val="00576089"/>
    <w:rsid w:val="005764B1"/>
    <w:rsid w:val="00576A0D"/>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2B6"/>
    <w:rsid w:val="005A3341"/>
    <w:rsid w:val="005A46EC"/>
    <w:rsid w:val="005A4847"/>
    <w:rsid w:val="005A494F"/>
    <w:rsid w:val="005B0160"/>
    <w:rsid w:val="005B0185"/>
    <w:rsid w:val="005B07EC"/>
    <w:rsid w:val="005B09D8"/>
    <w:rsid w:val="005B24F3"/>
    <w:rsid w:val="005B28A1"/>
    <w:rsid w:val="005B2B11"/>
    <w:rsid w:val="005B2E00"/>
    <w:rsid w:val="005B370E"/>
    <w:rsid w:val="005B4DA3"/>
    <w:rsid w:val="005B5B71"/>
    <w:rsid w:val="005B5BEE"/>
    <w:rsid w:val="005B7784"/>
    <w:rsid w:val="005B77D2"/>
    <w:rsid w:val="005B79BF"/>
    <w:rsid w:val="005C019B"/>
    <w:rsid w:val="005C144E"/>
    <w:rsid w:val="005C1625"/>
    <w:rsid w:val="005C2D0A"/>
    <w:rsid w:val="005C30F5"/>
    <w:rsid w:val="005C357E"/>
    <w:rsid w:val="005C3604"/>
    <w:rsid w:val="005C51A5"/>
    <w:rsid w:val="005C5403"/>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3711"/>
    <w:rsid w:val="005E3AF9"/>
    <w:rsid w:val="005E5099"/>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2EA4"/>
    <w:rsid w:val="00603EFD"/>
    <w:rsid w:val="006041DF"/>
    <w:rsid w:val="0060475B"/>
    <w:rsid w:val="00604FB6"/>
    <w:rsid w:val="00604FD6"/>
    <w:rsid w:val="00605387"/>
    <w:rsid w:val="00606302"/>
    <w:rsid w:val="006072EF"/>
    <w:rsid w:val="006076FD"/>
    <w:rsid w:val="00607BA3"/>
    <w:rsid w:val="00610CAA"/>
    <w:rsid w:val="0061143F"/>
    <w:rsid w:val="006114D8"/>
    <w:rsid w:val="00611585"/>
    <w:rsid w:val="00612931"/>
    <w:rsid w:val="00613601"/>
    <w:rsid w:val="00613791"/>
    <w:rsid w:val="00613AAB"/>
    <w:rsid w:val="006148C7"/>
    <w:rsid w:val="006150D6"/>
    <w:rsid w:val="006166A3"/>
    <w:rsid w:val="00617EEE"/>
    <w:rsid w:val="006210FE"/>
    <w:rsid w:val="00622811"/>
    <w:rsid w:val="00622894"/>
    <w:rsid w:val="00622BB7"/>
    <w:rsid w:val="00622F3B"/>
    <w:rsid w:val="00623130"/>
    <w:rsid w:val="00623389"/>
    <w:rsid w:val="0062352A"/>
    <w:rsid w:val="00625E45"/>
    <w:rsid w:val="006265C4"/>
    <w:rsid w:val="00627383"/>
    <w:rsid w:val="00627733"/>
    <w:rsid w:val="006301BB"/>
    <w:rsid w:val="00632605"/>
    <w:rsid w:val="00633F8D"/>
    <w:rsid w:val="006341EF"/>
    <w:rsid w:val="00634BED"/>
    <w:rsid w:val="00635A4A"/>
    <w:rsid w:val="00635F1C"/>
    <w:rsid w:val="00635FB9"/>
    <w:rsid w:val="00637774"/>
    <w:rsid w:val="0064024C"/>
    <w:rsid w:val="00640291"/>
    <w:rsid w:val="00641FAC"/>
    <w:rsid w:val="006432A5"/>
    <w:rsid w:val="00643664"/>
    <w:rsid w:val="00643CAA"/>
    <w:rsid w:val="0064448B"/>
    <w:rsid w:val="00652137"/>
    <w:rsid w:val="00652680"/>
    <w:rsid w:val="00652A09"/>
    <w:rsid w:val="006530A1"/>
    <w:rsid w:val="0065371D"/>
    <w:rsid w:val="00653CDE"/>
    <w:rsid w:val="006540B4"/>
    <w:rsid w:val="0065636A"/>
    <w:rsid w:val="00656C3C"/>
    <w:rsid w:val="00657003"/>
    <w:rsid w:val="00657126"/>
    <w:rsid w:val="006572C1"/>
    <w:rsid w:val="00660238"/>
    <w:rsid w:val="006602EF"/>
    <w:rsid w:val="00661277"/>
    <w:rsid w:val="006616FE"/>
    <w:rsid w:val="00661717"/>
    <w:rsid w:val="006619D1"/>
    <w:rsid w:val="006628AD"/>
    <w:rsid w:val="00663FEA"/>
    <w:rsid w:val="00664253"/>
    <w:rsid w:val="00664803"/>
    <w:rsid w:val="006661A4"/>
    <w:rsid w:val="006670E0"/>
    <w:rsid w:val="00667532"/>
    <w:rsid w:val="006704FD"/>
    <w:rsid w:val="00670F3A"/>
    <w:rsid w:val="006715E6"/>
    <w:rsid w:val="0067294B"/>
    <w:rsid w:val="00673AA4"/>
    <w:rsid w:val="00674066"/>
    <w:rsid w:val="00674187"/>
    <w:rsid w:val="0067508F"/>
    <w:rsid w:val="00675349"/>
    <w:rsid w:val="00675E7E"/>
    <w:rsid w:val="0068051E"/>
    <w:rsid w:val="00680B9D"/>
    <w:rsid w:val="00681F13"/>
    <w:rsid w:val="0068231C"/>
    <w:rsid w:val="00682344"/>
    <w:rsid w:val="00682E78"/>
    <w:rsid w:val="00682F28"/>
    <w:rsid w:val="00684842"/>
    <w:rsid w:val="00685BD6"/>
    <w:rsid w:val="006878A6"/>
    <w:rsid w:val="00690437"/>
    <w:rsid w:val="00690E65"/>
    <w:rsid w:val="0069188E"/>
    <w:rsid w:val="00691974"/>
    <w:rsid w:val="00691A3F"/>
    <w:rsid w:val="00692CE6"/>
    <w:rsid w:val="00692DA8"/>
    <w:rsid w:val="00693B6C"/>
    <w:rsid w:val="006942AE"/>
    <w:rsid w:val="0069483C"/>
    <w:rsid w:val="00695421"/>
    <w:rsid w:val="00695AE4"/>
    <w:rsid w:val="00696D4B"/>
    <w:rsid w:val="00697BD3"/>
    <w:rsid w:val="00697DFA"/>
    <w:rsid w:val="006A10F3"/>
    <w:rsid w:val="006A16D5"/>
    <w:rsid w:val="006A1772"/>
    <w:rsid w:val="006A1780"/>
    <w:rsid w:val="006A25A5"/>
    <w:rsid w:val="006A2790"/>
    <w:rsid w:val="006A3CEC"/>
    <w:rsid w:val="006A3F75"/>
    <w:rsid w:val="006A4838"/>
    <w:rsid w:val="006A4FB3"/>
    <w:rsid w:val="006A5A3E"/>
    <w:rsid w:val="006A5BAB"/>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0FCC"/>
    <w:rsid w:val="006C2D83"/>
    <w:rsid w:val="006C32F4"/>
    <w:rsid w:val="006C3382"/>
    <w:rsid w:val="006C3C54"/>
    <w:rsid w:val="006C40F4"/>
    <w:rsid w:val="006C427B"/>
    <w:rsid w:val="006C4F9F"/>
    <w:rsid w:val="006C5778"/>
    <w:rsid w:val="006C61AB"/>
    <w:rsid w:val="006C650D"/>
    <w:rsid w:val="006C686A"/>
    <w:rsid w:val="006C7479"/>
    <w:rsid w:val="006C748D"/>
    <w:rsid w:val="006D0C1D"/>
    <w:rsid w:val="006D0CE1"/>
    <w:rsid w:val="006D2004"/>
    <w:rsid w:val="006D2A8C"/>
    <w:rsid w:val="006D2E9D"/>
    <w:rsid w:val="006D32EB"/>
    <w:rsid w:val="006D4C1E"/>
    <w:rsid w:val="006D4C42"/>
    <w:rsid w:val="006D5809"/>
    <w:rsid w:val="006D630A"/>
    <w:rsid w:val="006D668D"/>
    <w:rsid w:val="006D7363"/>
    <w:rsid w:val="006D74F2"/>
    <w:rsid w:val="006E04C8"/>
    <w:rsid w:val="006E061F"/>
    <w:rsid w:val="006E0712"/>
    <w:rsid w:val="006E0754"/>
    <w:rsid w:val="006E2668"/>
    <w:rsid w:val="006E2D39"/>
    <w:rsid w:val="006E32B0"/>
    <w:rsid w:val="006E36D8"/>
    <w:rsid w:val="006E396A"/>
    <w:rsid w:val="006E3A73"/>
    <w:rsid w:val="006E5DD8"/>
    <w:rsid w:val="006E5EA1"/>
    <w:rsid w:val="006E6A4C"/>
    <w:rsid w:val="006E7ABC"/>
    <w:rsid w:val="006F0760"/>
    <w:rsid w:val="006F0FF1"/>
    <w:rsid w:val="006F11E2"/>
    <w:rsid w:val="006F12F5"/>
    <w:rsid w:val="006F2574"/>
    <w:rsid w:val="006F3231"/>
    <w:rsid w:val="006F3582"/>
    <w:rsid w:val="006F3DE3"/>
    <w:rsid w:val="006F4C05"/>
    <w:rsid w:val="006F511F"/>
    <w:rsid w:val="006F61D8"/>
    <w:rsid w:val="006F62B7"/>
    <w:rsid w:val="006F70BC"/>
    <w:rsid w:val="006F713A"/>
    <w:rsid w:val="006F76BF"/>
    <w:rsid w:val="006F7C48"/>
    <w:rsid w:val="00705161"/>
    <w:rsid w:val="007066A4"/>
    <w:rsid w:val="00706F37"/>
    <w:rsid w:val="00707D09"/>
    <w:rsid w:val="00710760"/>
    <w:rsid w:val="0071209F"/>
    <w:rsid w:val="007125A2"/>
    <w:rsid w:val="00713F79"/>
    <w:rsid w:val="007148A8"/>
    <w:rsid w:val="00715A9B"/>
    <w:rsid w:val="00716C9F"/>
    <w:rsid w:val="007171E0"/>
    <w:rsid w:val="00717C40"/>
    <w:rsid w:val="0072033C"/>
    <w:rsid w:val="00720B1B"/>
    <w:rsid w:val="00721062"/>
    <w:rsid w:val="00721A4E"/>
    <w:rsid w:val="00721E5D"/>
    <w:rsid w:val="007229D4"/>
    <w:rsid w:val="007230F8"/>
    <w:rsid w:val="007233F4"/>
    <w:rsid w:val="00723646"/>
    <w:rsid w:val="00724044"/>
    <w:rsid w:val="007244E1"/>
    <w:rsid w:val="007248D3"/>
    <w:rsid w:val="00725137"/>
    <w:rsid w:val="00725C63"/>
    <w:rsid w:val="007263ED"/>
    <w:rsid w:val="0072653B"/>
    <w:rsid w:val="00726C9E"/>
    <w:rsid w:val="00727A43"/>
    <w:rsid w:val="00727FF2"/>
    <w:rsid w:val="007323E0"/>
    <w:rsid w:val="007324ED"/>
    <w:rsid w:val="00733791"/>
    <w:rsid w:val="00733857"/>
    <w:rsid w:val="00733DE2"/>
    <w:rsid w:val="007346E7"/>
    <w:rsid w:val="007352EA"/>
    <w:rsid w:val="00736032"/>
    <w:rsid w:val="007364E5"/>
    <w:rsid w:val="0073792F"/>
    <w:rsid w:val="00737C48"/>
    <w:rsid w:val="007409CA"/>
    <w:rsid w:val="00740DA6"/>
    <w:rsid w:val="00741A0E"/>
    <w:rsid w:val="00741D1E"/>
    <w:rsid w:val="00741EE2"/>
    <w:rsid w:val="00742367"/>
    <w:rsid w:val="00742EAA"/>
    <w:rsid w:val="00743818"/>
    <w:rsid w:val="007439E2"/>
    <w:rsid w:val="00743E9C"/>
    <w:rsid w:val="007441FB"/>
    <w:rsid w:val="00744517"/>
    <w:rsid w:val="00744810"/>
    <w:rsid w:val="00747079"/>
    <w:rsid w:val="00747DD4"/>
    <w:rsid w:val="00747DE2"/>
    <w:rsid w:val="007504BF"/>
    <w:rsid w:val="007506CD"/>
    <w:rsid w:val="007525DB"/>
    <w:rsid w:val="0075267F"/>
    <w:rsid w:val="007526EC"/>
    <w:rsid w:val="0075310C"/>
    <w:rsid w:val="00753347"/>
    <w:rsid w:val="00753C48"/>
    <w:rsid w:val="007545C1"/>
    <w:rsid w:val="00754C97"/>
    <w:rsid w:val="00754FE4"/>
    <w:rsid w:val="00755538"/>
    <w:rsid w:val="00755971"/>
    <w:rsid w:val="00756236"/>
    <w:rsid w:val="00756271"/>
    <w:rsid w:val="00756521"/>
    <w:rsid w:val="00756AB7"/>
    <w:rsid w:val="0075745C"/>
    <w:rsid w:val="00760477"/>
    <w:rsid w:val="00761AF4"/>
    <w:rsid w:val="00762071"/>
    <w:rsid w:val="007623FB"/>
    <w:rsid w:val="0076376A"/>
    <w:rsid w:val="0076500F"/>
    <w:rsid w:val="0076504E"/>
    <w:rsid w:val="00765D24"/>
    <w:rsid w:val="00765E6A"/>
    <w:rsid w:val="007664E0"/>
    <w:rsid w:val="00767EA0"/>
    <w:rsid w:val="0077068F"/>
    <w:rsid w:val="007711EA"/>
    <w:rsid w:val="00771870"/>
    <w:rsid w:val="0077408D"/>
    <w:rsid w:val="007741CF"/>
    <w:rsid w:val="00774270"/>
    <w:rsid w:val="00775679"/>
    <w:rsid w:val="00775803"/>
    <w:rsid w:val="00777B32"/>
    <w:rsid w:val="0078051E"/>
    <w:rsid w:val="00781FDD"/>
    <w:rsid w:val="00782A9F"/>
    <w:rsid w:val="0078508A"/>
    <w:rsid w:val="00786D5C"/>
    <w:rsid w:val="00786E96"/>
    <w:rsid w:val="00787F93"/>
    <w:rsid w:val="00790684"/>
    <w:rsid w:val="007907CA"/>
    <w:rsid w:val="00791170"/>
    <w:rsid w:val="00791E6D"/>
    <w:rsid w:val="007928DC"/>
    <w:rsid w:val="00792E53"/>
    <w:rsid w:val="007933DF"/>
    <w:rsid w:val="0079384D"/>
    <w:rsid w:val="007939CC"/>
    <w:rsid w:val="00796FB8"/>
    <w:rsid w:val="007A11C2"/>
    <w:rsid w:val="007A2367"/>
    <w:rsid w:val="007A41BF"/>
    <w:rsid w:val="007A490A"/>
    <w:rsid w:val="007A581D"/>
    <w:rsid w:val="007A7B95"/>
    <w:rsid w:val="007B0297"/>
    <w:rsid w:val="007B0F53"/>
    <w:rsid w:val="007B1DD8"/>
    <w:rsid w:val="007B21AE"/>
    <w:rsid w:val="007B2570"/>
    <w:rsid w:val="007B2C31"/>
    <w:rsid w:val="007B3113"/>
    <w:rsid w:val="007B3304"/>
    <w:rsid w:val="007B332B"/>
    <w:rsid w:val="007B394D"/>
    <w:rsid w:val="007B53FA"/>
    <w:rsid w:val="007B6423"/>
    <w:rsid w:val="007B7490"/>
    <w:rsid w:val="007B774A"/>
    <w:rsid w:val="007C0525"/>
    <w:rsid w:val="007C0B56"/>
    <w:rsid w:val="007C13F7"/>
    <w:rsid w:val="007C218D"/>
    <w:rsid w:val="007C2D28"/>
    <w:rsid w:val="007C3E22"/>
    <w:rsid w:val="007C67C6"/>
    <w:rsid w:val="007C707A"/>
    <w:rsid w:val="007C7E59"/>
    <w:rsid w:val="007D0A39"/>
    <w:rsid w:val="007D0B91"/>
    <w:rsid w:val="007D1452"/>
    <w:rsid w:val="007D1E29"/>
    <w:rsid w:val="007D460C"/>
    <w:rsid w:val="007D484A"/>
    <w:rsid w:val="007D4AD3"/>
    <w:rsid w:val="007D4C8D"/>
    <w:rsid w:val="007D5D19"/>
    <w:rsid w:val="007D5FDC"/>
    <w:rsid w:val="007D6D68"/>
    <w:rsid w:val="007E01DA"/>
    <w:rsid w:val="007E0ADB"/>
    <w:rsid w:val="007E1603"/>
    <w:rsid w:val="007E2E85"/>
    <w:rsid w:val="007E32DA"/>
    <w:rsid w:val="007E3FFB"/>
    <w:rsid w:val="007E4998"/>
    <w:rsid w:val="007E4A9C"/>
    <w:rsid w:val="007E4B2B"/>
    <w:rsid w:val="007E6914"/>
    <w:rsid w:val="007E7F78"/>
    <w:rsid w:val="007F0C8B"/>
    <w:rsid w:val="007F1517"/>
    <w:rsid w:val="007F1D44"/>
    <w:rsid w:val="007F23A5"/>
    <w:rsid w:val="007F2C13"/>
    <w:rsid w:val="007F2CEC"/>
    <w:rsid w:val="007F4949"/>
    <w:rsid w:val="007F55DE"/>
    <w:rsid w:val="007F5605"/>
    <w:rsid w:val="007F6147"/>
    <w:rsid w:val="007F78FF"/>
    <w:rsid w:val="00800F6C"/>
    <w:rsid w:val="008025BE"/>
    <w:rsid w:val="00804C86"/>
    <w:rsid w:val="008051FC"/>
    <w:rsid w:val="008055A9"/>
    <w:rsid w:val="008070EB"/>
    <w:rsid w:val="00807376"/>
    <w:rsid w:val="00810B0E"/>
    <w:rsid w:val="00810E8E"/>
    <w:rsid w:val="0081142D"/>
    <w:rsid w:val="00812462"/>
    <w:rsid w:val="008126E2"/>
    <w:rsid w:val="008133A5"/>
    <w:rsid w:val="0081481D"/>
    <w:rsid w:val="00814BE8"/>
    <w:rsid w:val="00814F6E"/>
    <w:rsid w:val="0081565F"/>
    <w:rsid w:val="00815B84"/>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0517"/>
    <w:rsid w:val="00831758"/>
    <w:rsid w:val="00831977"/>
    <w:rsid w:val="0083279F"/>
    <w:rsid w:val="00833B7F"/>
    <w:rsid w:val="00834906"/>
    <w:rsid w:val="00835A99"/>
    <w:rsid w:val="00836075"/>
    <w:rsid w:val="00836417"/>
    <w:rsid w:val="008377F7"/>
    <w:rsid w:val="008411F9"/>
    <w:rsid w:val="008413AB"/>
    <w:rsid w:val="00842D10"/>
    <w:rsid w:val="0084322B"/>
    <w:rsid w:val="00843B93"/>
    <w:rsid w:val="00843C08"/>
    <w:rsid w:val="00843F81"/>
    <w:rsid w:val="00844087"/>
    <w:rsid w:val="0084519E"/>
    <w:rsid w:val="00846370"/>
    <w:rsid w:val="00847C2B"/>
    <w:rsid w:val="00851256"/>
    <w:rsid w:val="00851A7C"/>
    <w:rsid w:val="00852438"/>
    <w:rsid w:val="0085270D"/>
    <w:rsid w:val="008532BF"/>
    <w:rsid w:val="00853BF4"/>
    <w:rsid w:val="00854294"/>
    <w:rsid w:val="008555FB"/>
    <w:rsid w:val="0085788B"/>
    <w:rsid w:val="00857941"/>
    <w:rsid w:val="00857A9E"/>
    <w:rsid w:val="00857DE2"/>
    <w:rsid w:val="00863E7D"/>
    <w:rsid w:val="0086407F"/>
    <w:rsid w:val="00864548"/>
    <w:rsid w:val="00864D9C"/>
    <w:rsid w:val="00864E79"/>
    <w:rsid w:val="00866111"/>
    <w:rsid w:val="0086661F"/>
    <w:rsid w:val="00866A0D"/>
    <w:rsid w:val="00866DB5"/>
    <w:rsid w:val="0086784E"/>
    <w:rsid w:val="00867AF1"/>
    <w:rsid w:val="008720B3"/>
    <w:rsid w:val="00872118"/>
    <w:rsid w:val="008727CE"/>
    <w:rsid w:val="00872827"/>
    <w:rsid w:val="00872A32"/>
    <w:rsid w:val="00874ECA"/>
    <w:rsid w:val="00875D0E"/>
    <w:rsid w:val="00876EAE"/>
    <w:rsid w:val="00880F95"/>
    <w:rsid w:val="00881F68"/>
    <w:rsid w:val="00882B44"/>
    <w:rsid w:val="00882FE5"/>
    <w:rsid w:val="00886138"/>
    <w:rsid w:val="00886E66"/>
    <w:rsid w:val="008871B0"/>
    <w:rsid w:val="008912F5"/>
    <w:rsid w:val="008915A7"/>
    <w:rsid w:val="0089217C"/>
    <w:rsid w:val="008928A1"/>
    <w:rsid w:val="00893671"/>
    <w:rsid w:val="00895838"/>
    <w:rsid w:val="00895A72"/>
    <w:rsid w:val="00895CDF"/>
    <w:rsid w:val="008968C7"/>
    <w:rsid w:val="00896AFD"/>
    <w:rsid w:val="00897A55"/>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7CB"/>
    <w:rsid w:val="008B6A63"/>
    <w:rsid w:val="008B6AFE"/>
    <w:rsid w:val="008B6B83"/>
    <w:rsid w:val="008B7034"/>
    <w:rsid w:val="008B7227"/>
    <w:rsid w:val="008C03DD"/>
    <w:rsid w:val="008C191C"/>
    <w:rsid w:val="008C1DA4"/>
    <w:rsid w:val="008C2CD5"/>
    <w:rsid w:val="008C2E29"/>
    <w:rsid w:val="008C32B7"/>
    <w:rsid w:val="008C360C"/>
    <w:rsid w:val="008C3618"/>
    <w:rsid w:val="008C3F20"/>
    <w:rsid w:val="008C43AD"/>
    <w:rsid w:val="008C4B6C"/>
    <w:rsid w:val="008C59FB"/>
    <w:rsid w:val="008C619E"/>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238C"/>
    <w:rsid w:val="008D566C"/>
    <w:rsid w:val="008D58D9"/>
    <w:rsid w:val="008D64F5"/>
    <w:rsid w:val="008D66EA"/>
    <w:rsid w:val="008D6E59"/>
    <w:rsid w:val="008D6F92"/>
    <w:rsid w:val="008D7155"/>
    <w:rsid w:val="008D7DE4"/>
    <w:rsid w:val="008E09B3"/>
    <w:rsid w:val="008E141A"/>
    <w:rsid w:val="008E1A44"/>
    <w:rsid w:val="008E28E6"/>
    <w:rsid w:val="008E2B60"/>
    <w:rsid w:val="008E3232"/>
    <w:rsid w:val="008E3674"/>
    <w:rsid w:val="008E3B6C"/>
    <w:rsid w:val="008E41A8"/>
    <w:rsid w:val="008E688C"/>
    <w:rsid w:val="008E68BB"/>
    <w:rsid w:val="008E6C9B"/>
    <w:rsid w:val="008E77D4"/>
    <w:rsid w:val="008F0981"/>
    <w:rsid w:val="008F0AFD"/>
    <w:rsid w:val="008F1287"/>
    <w:rsid w:val="008F17B2"/>
    <w:rsid w:val="008F28EE"/>
    <w:rsid w:val="008F357B"/>
    <w:rsid w:val="008F44CA"/>
    <w:rsid w:val="008F49B9"/>
    <w:rsid w:val="008F49D3"/>
    <w:rsid w:val="008F5081"/>
    <w:rsid w:val="008F6519"/>
    <w:rsid w:val="008F68DC"/>
    <w:rsid w:val="008F7012"/>
    <w:rsid w:val="008F7B17"/>
    <w:rsid w:val="00900042"/>
    <w:rsid w:val="0090034B"/>
    <w:rsid w:val="00902623"/>
    <w:rsid w:val="00902890"/>
    <w:rsid w:val="00904778"/>
    <w:rsid w:val="00904BE4"/>
    <w:rsid w:val="0090504A"/>
    <w:rsid w:val="00905D7E"/>
    <w:rsid w:val="009063B7"/>
    <w:rsid w:val="00907037"/>
    <w:rsid w:val="0091160A"/>
    <w:rsid w:val="00912838"/>
    <w:rsid w:val="00913258"/>
    <w:rsid w:val="00913883"/>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065F"/>
    <w:rsid w:val="00931215"/>
    <w:rsid w:val="009313DD"/>
    <w:rsid w:val="00931BDE"/>
    <w:rsid w:val="009321B1"/>
    <w:rsid w:val="00932ED7"/>
    <w:rsid w:val="0093357E"/>
    <w:rsid w:val="0093422D"/>
    <w:rsid w:val="00934DD7"/>
    <w:rsid w:val="009369A9"/>
    <w:rsid w:val="00936CF7"/>
    <w:rsid w:val="00937201"/>
    <w:rsid w:val="0093734A"/>
    <w:rsid w:val="00937783"/>
    <w:rsid w:val="009377C3"/>
    <w:rsid w:val="00937D89"/>
    <w:rsid w:val="00940515"/>
    <w:rsid w:val="0094059D"/>
    <w:rsid w:val="009409B4"/>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233"/>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D00"/>
    <w:rsid w:val="00962EB1"/>
    <w:rsid w:val="0096612A"/>
    <w:rsid w:val="00966522"/>
    <w:rsid w:val="00967D3F"/>
    <w:rsid w:val="00967E78"/>
    <w:rsid w:val="00970D7E"/>
    <w:rsid w:val="00970F18"/>
    <w:rsid w:val="00971CF1"/>
    <w:rsid w:val="009721E9"/>
    <w:rsid w:val="00972A58"/>
    <w:rsid w:val="00973772"/>
    <w:rsid w:val="0097451E"/>
    <w:rsid w:val="00975598"/>
    <w:rsid w:val="00975E1E"/>
    <w:rsid w:val="00975E70"/>
    <w:rsid w:val="00977B8F"/>
    <w:rsid w:val="00977CD6"/>
    <w:rsid w:val="00980162"/>
    <w:rsid w:val="00981D18"/>
    <w:rsid w:val="00982481"/>
    <w:rsid w:val="00982D26"/>
    <w:rsid w:val="0098330E"/>
    <w:rsid w:val="009849E9"/>
    <w:rsid w:val="00987812"/>
    <w:rsid w:val="00990225"/>
    <w:rsid w:val="00990DF5"/>
    <w:rsid w:val="00991622"/>
    <w:rsid w:val="0099244B"/>
    <w:rsid w:val="009947B6"/>
    <w:rsid w:val="00995150"/>
    <w:rsid w:val="009957F3"/>
    <w:rsid w:val="00995D67"/>
    <w:rsid w:val="009970BF"/>
    <w:rsid w:val="009A013B"/>
    <w:rsid w:val="009A02F4"/>
    <w:rsid w:val="009A1F12"/>
    <w:rsid w:val="009A2494"/>
    <w:rsid w:val="009A26CA"/>
    <w:rsid w:val="009A36F2"/>
    <w:rsid w:val="009A47CC"/>
    <w:rsid w:val="009A5749"/>
    <w:rsid w:val="009A57D0"/>
    <w:rsid w:val="009A6559"/>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2B6"/>
    <w:rsid w:val="009C7547"/>
    <w:rsid w:val="009D1678"/>
    <w:rsid w:val="009D1693"/>
    <w:rsid w:val="009D1C49"/>
    <w:rsid w:val="009D2721"/>
    <w:rsid w:val="009D2F60"/>
    <w:rsid w:val="009D3299"/>
    <w:rsid w:val="009D338C"/>
    <w:rsid w:val="009D3D0D"/>
    <w:rsid w:val="009D4944"/>
    <w:rsid w:val="009D5BAC"/>
    <w:rsid w:val="009D64BD"/>
    <w:rsid w:val="009D7B2F"/>
    <w:rsid w:val="009D7B6C"/>
    <w:rsid w:val="009D7F83"/>
    <w:rsid w:val="009E0D0A"/>
    <w:rsid w:val="009E0D1A"/>
    <w:rsid w:val="009E153F"/>
    <w:rsid w:val="009E2D6C"/>
    <w:rsid w:val="009E388B"/>
    <w:rsid w:val="009E393E"/>
    <w:rsid w:val="009E444E"/>
    <w:rsid w:val="009E4968"/>
    <w:rsid w:val="009E52F1"/>
    <w:rsid w:val="009E663C"/>
    <w:rsid w:val="009E6BB1"/>
    <w:rsid w:val="009F0092"/>
    <w:rsid w:val="009F0CD9"/>
    <w:rsid w:val="009F1A79"/>
    <w:rsid w:val="009F1F57"/>
    <w:rsid w:val="009F2E26"/>
    <w:rsid w:val="009F4FCF"/>
    <w:rsid w:val="009F5DE2"/>
    <w:rsid w:val="009F65F4"/>
    <w:rsid w:val="009F676B"/>
    <w:rsid w:val="009F74FE"/>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080F"/>
    <w:rsid w:val="00A11042"/>
    <w:rsid w:val="00A133D8"/>
    <w:rsid w:val="00A14E97"/>
    <w:rsid w:val="00A17A9D"/>
    <w:rsid w:val="00A20069"/>
    <w:rsid w:val="00A20280"/>
    <w:rsid w:val="00A2163F"/>
    <w:rsid w:val="00A2244D"/>
    <w:rsid w:val="00A2253D"/>
    <w:rsid w:val="00A22AEC"/>
    <w:rsid w:val="00A2418A"/>
    <w:rsid w:val="00A247B8"/>
    <w:rsid w:val="00A24D39"/>
    <w:rsid w:val="00A24D8F"/>
    <w:rsid w:val="00A25B8B"/>
    <w:rsid w:val="00A269C3"/>
    <w:rsid w:val="00A26ECA"/>
    <w:rsid w:val="00A27374"/>
    <w:rsid w:val="00A309F1"/>
    <w:rsid w:val="00A317A5"/>
    <w:rsid w:val="00A324C1"/>
    <w:rsid w:val="00A337DB"/>
    <w:rsid w:val="00A3467F"/>
    <w:rsid w:val="00A34D34"/>
    <w:rsid w:val="00A3551A"/>
    <w:rsid w:val="00A373F4"/>
    <w:rsid w:val="00A376E8"/>
    <w:rsid w:val="00A37E69"/>
    <w:rsid w:val="00A37F8E"/>
    <w:rsid w:val="00A41737"/>
    <w:rsid w:val="00A42B8F"/>
    <w:rsid w:val="00A43254"/>
    <w:rsid w:val="00A43896"/>
    <w:rsid w:val="00A43A26"/>
    <w:rsid w:val="00A447A0"/>
    <w:rsid w:val="00A457B2"/>
    <w:rsid w:val="00A459F5"/>
    <w:rsid w:val="00A45FC0"/>
    <w:rsid w:val="00A46B32"/>
    <w:rsid w:val="00A46EB8"/>
    <w:rsid w:val="00A478D2"/>
    <w:rsid w:val="00A47ECC"/>
    <w:rsid w:val="00A5008C"/>
    <w:rsid w:val="00A50171"/>
    <w:rsid w:val="00A5102E"/>
    <w:rsid w:val="00A51083"/>
    <w:rsid w:val="00A5132E"/>
    <w:rsid w:val="00A51533"/>
    <w:rsid w:val="00A51A4D"/>
    <w:rsid w:val="00A51E68"/>
    <w:rsid w:val="00A52F3B"/>
    <w:rsid w:val="00A531D4"/>
    <w:rsid w:val="00A55ACD"/>
    <w:rsid w:val="00A55CFA"/>
    <w:rsid w:val="00A5613B"/>
    <w:rsid w:val="00A575B8"/>
    <w:rsid w:val="00A647B1"/>
    <w:rsid w:val="00A64DEF"/>
    <w:rsid w:val="00A64F9E"/>
    <w:rsid w:val="00A657E1"/>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27C"/>
    <w:rsid w:val="00A76BC9"/>
    <w:rsid w:val="00A77566"/>
    <w:rsid w:val="00A77956"/>
    <w:rsid w:val="00A80563"/>
    <w:rsid w:val="00A8311C"/>
    <w:rsid w:val="00A84BC8"/>
    <w:rsid w:val="00A84C5F"/>
    <w:rsid w:val="00A85D91"/>
    <w:rsid w:val="00A86973"/>
    <w:rsid w:val="00A8721F"/>
    <w:rsid w:val="00A8740B"/>
    <w:rsid w:val="00A87519"/>
    <w:rsid w:val="00A905A2"/>
    <w:rsid w:val="00A9246D"/>
    <w:rsid w:val="00A93644"/>
    <w:rsid w:val="00A93BD0"/>
    <w:rsid w:val="00A944A1"/>
    <w:rsid w:val="00A95D69"/>
    <w:rsid w:val="00A97122"/>
    <w:rsid w:val="00A975A4"/>
    <w:rsid w:val="00A977B3"/>
    <w:rsid w:val="00A97DC8"/>
    <w:rsid w:val="00AA1418"/>
    <w:rsid w:val="00AA2001"/>
    <w:rsid w:val="00AA2B5C"/>
    <w:rsid w:val="00AA4E59"/>
    <w:rsid w:val="00AA5328"/>
    <w:rsid w:val="00AA5393"/>
    <w:rsid w:val="00AA63D4"/>
    <w:rsid w:val="00AA6767"/>
    <w:rsid w:val="00AA790B"/>
    <w:rsid w:val="00AB03FD"/>
    <w:rsid w:val="00AB1412"/>
    <w:rsid w:val="00AB38CB"/>
    <w:rsid w:val="00AB3BEC"/>
    <w:rsid w:val="00AB44E4"/>
    <w:rsid w:val="00AB4AEB"/>
    <w:rsid w:val="00AB5352"/>
    <w:rsid w:val="00AB56AE"/>
    <w:rsid w:val="00AB62D5"/>
    <w:rsid w:val="00AB65B5"/>
    <w:rsid w:val="00AB6DCD"/>
    <w:rsid w:val="00AB6EE0"/>
    <w:rsid w:val="00AB7579"/>
    <w:rsid w:val="00AC2DFD"/>
    <w:rsid w:val="00AC352D"/>
    <w:rsid w:val="00AC40B7"/>
    <w:rsid w:val="00AC5122"/>
    <w:rsid w:val="00AC531F"/>
    <w:rsid w:val="00AC6121"/>
    <w:rsid w:val="00AC626D"/>
    <w:rsid w:val="00AC6CB1"/>
    <w:rsid w:val="00AC79DA"/>
    <w:rsid w:val="00AD0091"/>
    <w:rsid w:val="00AD0843"/>
    <w:rsid w:val="00AD23D8"/>
    <w:rsid w:val="00AD23EF"/>
    <w:rsid w:val="00AD2F0F"/>
    <w:rsid w:val="00AD307B"/>
    <w:rsid w:val="00AD31F9"/>
    <w:rsid w:val="00AD41B3"/>
    <w:rsid w:val="00AD456B"/>
    <w:rsid w:val="00AD4B31"/>
    <w:rsid w:val="00AD4C48"/>
    <w:rsid w:val="00AD57AF"/>
    <w:rsid w:val="00AD6267"/>
    <w:rsid w:val="00AD6292"/>
    <w:rsid w:val="00AD7317"/>
    <w:rsid w:val="00AD754C"/>
    <w:rsid w:val="00AE01A8"/>
    <w:rsid w:val="00AE069F"/>
    <w:rsid w:val="00AE0789"/>
    <w:rsid w:val="00AE0CBD"/>
    <w:rsid w:val="00AE123A"/>
    <w:rsid w:val="00AE1A1E"/>
    <w:rsid w:val="00AE2591"/>
    <w:rsid w:val="00AE28A7"/>
    <w:rsid w:val="00AE33A6"/>
    <w:rsid w:val="00AE36D5"/>
    <w:rsid w:val="00AE3715"/>
    <w:rsid w:val="00AE3729"/>
    <w:rsid w:val="00AE55B2"/>
    <w:rsid w:val="00AE5C6A"/>
    <w:rsid w:val="00AE65F7"/>
    <w:rsid w:val="00AE7280"/>
    <w:rsid w:val="00AF033A"/>
    <w:rsid w:val="00AF1699"/>
    <w:rsid w:val="00AF3896"/>
    <w:rsid w:val="00AF3CEE"/>
    <w:rsid w:val="00AF5706"/>
    <w:rsid w:val="00AF6479"/>
    <w:rsid w:val="00AF6C33"/>
    <w:rsid w:val="00B0098A"/>
    <w:rsid w:val="00B00A5F"/>
    <w:rsid w:val="00B0225F"/>
    <w:rsid w:val="00B029B8"/>
    <w:rsid w:val="00B02F60"/>
    <w:rsid w:val="00B032B8"/>
    <w:rsid w:val="00B03ABB"/>
    <w:rsid w:val="00B04B46"/>
    <w:rsid w:val="00B05050"/>
    <w:rsid w:val="00B0534D"/>
    <w:rsid w:val="00B06368"/>
    <w:rsid w:val="00B06FC6"/>
    <w:rsid w:val="00B07163"/>
    <w:rsid w:val="00B07429"/>
    <w:rsid w:val="00B11847"/>
    <w:rsid w:val="00B12FE6"/>
    <w:rsid w:val="00B1303F"/>
    <w:rsid w:val="00B1364A"/>
    <w:rsid w:val="00B13D3C"/>
    <w:rsid w:val="00B1525C"/>
    <w:rsid w:val="00B16715"/>
    <w:rsid w:val="00B17910"/>
    <w:rsid w:val="00B2041B"/>
    <w:rsid w:val="00B20F18"/>
    <w:rsid w:val="00B21516"/>
    <w:rsid w:val="00B22CE0"/>
    <w:rsid w:val="00B23738"/>
    <w:rsid w:val="00B23BEF"/>
    <w:rsid w:val="00B247BB"/>
    <w:rsid w:val="00B25C11"/>
    <w:rsid w:val="00B25EDF"/>
    <w:rsid w:val="00B25EE6"/>
    <w:rsid w:val="00B27BC0"/>
    <w:rsid w:val="00B3115A"/>
    <w:rsid w:val="00B31A5C"/>
    <w:rsid w:val="00B33C19"/>
    <w:rsid w:val="00B33F84"/>
    <w:rsid w:val="00B3433E"/>
    <w:rsid w:val="00B34861"/>
    <w:rsid w:val="00B34B77"/>
    <w:rsid w:val="00B363BD"/>
    <w:rsid w:val="00B36844"/>
    <w:rsid w:val="00B369F7"/>
    <w:rsid w:val="00B36A99"/>
    <w:rsid w:val="00B37537"/>
    <w:rsid w:val="00B41B81"/>
    <w:rsid w:val="00B42980"/>
    <w:rsid w:val="00B434B2"/>
    <w:rsid w:val="00B434C7"/>
    <w:rsid w:val="00B43580"/>
    <w:rsid w:val="00B43D45"/>
    <w:rsid w:val="00B44771"/>
    <w:rsid w:val="00B4650E"/>
    <w:rsid w:val="00B468F2"/>
    <w:rsid w:val="00B46B45"/>
    <w:rsid w:val="00B46D3D"/>
    <w:rsid w:val="00B46F6B"/>
    <w:rsid w:val="00B47286"/>
    <w:rsid w:val="00B47894"/>
    <w:rsid w:val="00B47DDE"/>
    <w:rsid w:val="00B50234"/>
    <w:rsid w:val="00B51BF4"/>
    <w:rsid w:val="00B51F4B"/>
    <w:rsid w:val="00B52C68"/>
    <w:rsid w:val="00B542FE"/>
    <w:rsid w:val="00B551CE"/>
    <w:rsid w:val="00B55A1B"/>
    <w:rsid w:val="00B561DB"/>
    <w:rsid w:val="00B57494"/>
    <w:rsid w:val="00B61DCE"/>
    <w:rsid w:val="00B62188"/>
    <w:rsid w:val="00B62467"/>
    <w:rsid w:val="00B62F79"/>
    <w:rsid w:val="00B62F82"/>
    <w:rsid w:val="00B648FA"/>
    <w:rsid w:val="00B662FF"/>
    <w:rsid w:val="00B708C2"/>
    <w:rsid w:val="00B72C80"/>
    <w:rsid w:val="00B730B4"/>
    <w:rsid w:val="00B74340"/>
    <w:rsid w:val="00B744E0"/>
    <w:rsid w:val="00B7481A"/>
    <w:rsid w:val="00B74F2F"/>
    <w:rsid w:val="00B756FB"/>
    <w:rsid w:val="00B762CA"/>
    <w:rsid w:val="00B769BC"/>
    <w:rsid w:val="00B77349"/>
    <w:rsid w:val="00B7761E"/>
    <w:rsid w:val="00B80A37"/>
    <w:rsid w:val="00B80A3D"/>
    <w:rsid w:val="00B81902"/>
    <w:rsid w:val="00B823E0"/>
    <w:rsid w:val="00B82B78"/>
    <w:rsid w:val="00B84662"/>
    <w:rsid w:val="00B85402"/>
    <w:rsid w:val="00B864A3"/>
    <w:rsid w:val="00B86C2A"/>
    <w:rsid w:val="00B877F1"/>
    <w:rsid w:val="00B902A5"/>
    <w:rsid w:val="00B90420"/>
    <w:rsid w:val="00B913E4"/>
    <w:rsid w:val="00B91DB9"/>
    <w:rsid w:val="00B93487"/>
    <w:rsid w:val="00B93EFE"/>
    <w:rsid w:val="00B94956"/>
    <w:rsid w:val="00B94C7F"/>
    <w:rsid w:val="00B956B5"/>
    <w:rsid w:val="00B95C3A"/>
    <w:rsid w:val="00B95FCE"/>
    <w:rsid w:val="00BA0D44"/>
    <w:rsid w:val="00BA0E26"/>
    <w:rsid w:val="00BA31BF"/>
    <w:rsid w:val="00BA3EBF"/>
    <w:rsid w:val="00BA43FC"/>
    <w:rsid w:val="00BA478B"/>
    <w:rsid w:val="00BA5224"/>
    <w:rsid w:val="00BA70B3"/>
    <w:rsid w:val="00BA7B27"/>
    <w:rsid w:val="00BA7E3B"/>
    <w:rsid w:val="00BB079C"/>
    <w:rsid w:val="00BB2B56"/>
    <w:rsid w:val="00BB39C1"/>
    <w:rsid w:val="00BB4901"/>
    <w:rsid w:val="00BB5D16"/>
    <w:rsid w:val="00BB6180"/>
    <w:rsid w:val="00BB69E6"/>
    <w:rsid w:val="00BB7D2A"/>
    <w:rsid w:val="00BC0760"/>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C49"/>
    <w:rsid w:val="00C0508D"/>
    <w:rsid w:val="00C058AF"/>
    <w:rsid w:val="00C11AAA"/>
    <w:rsid w:val="00C124C1"/>
    <w:rsid w:val="00C128AE"/>
    <w:rsid w:val="00C1300C"/>
    <w:rsid w:val="00C136D6"/>
    <w:rsid w:val="00C13D5B"/>
    <w:rsid w:val="00C16047"/>
    <w:rsid w:val="00C17AE2"/>
    <w:rsid w:val="00C20F27"/>
    <w:rsid w:val="00C214D1"/>
    <w:rsid w:val="00C215CF"/>
    <w:rsid w:val="00C223F8"/>
    <w:rsid w:val="00C2244B"/>
    <w:rsid w:val="00C22B0D"/>
    <w:rsid w:val="00C22F55"/>
    <w:rsid w:val="00C23FCB"/>
    <w:rsid w:val="00C240C1"/>
    <w:rsid w:val="00C250D0"/>
    <w:rsid w:val="00C252AC"/>
    <w:rsid w:val="00C255AB"/>
    <w:rsid w:val="00C264F0"/>
    <w:rsid w:val="00C27214"/>
    <w:rsid w:val="00C27597"/>
    <w:rsid w:val="00C30382"/>
    <w:rsid w:val="00C30D6F"/>
    <w:rsid w:val="00C31063"/>
    <w:rsid w:val="00C31B7E"/>
    <w:rsid w:val="00C32217"/>
    <w:rsid w:val="00C3242A"/>
    <w:rsid w:val="00C32AE2"/>
    <w:rsid w:val="00C33201"/>
    <w:rsid w:val="00C332C4"/>
    <w:rsid w:val="00C33C3C"/>
    <w:rsid w:val="00C35857"/>
    <w:rsid w:val="00C360B3"/>
    <w:rsid w:val="00C3679B"/>
    <w:rsid w:val="00C37027"/>
    <w:rsid w:val="00C3778D"/>
    <w:rsid w:val="00C405A3"/>
    <w:rsid w:val="00C42752"/>
    <w:rsid w:val="00C42973"/>
    <w:rsid w:val="00C44F9C"/>
    <w:rsid w:val="00C4730E"/>
    <w:rsid w:val="00C47ED3"/>
    <w:rsid w:val="00C5019C"/>
    <w:rsid w:val="00C5034F"/>
    <w:rsid w:val="00C52479"/>
    <w:rsid w:val="00C5291F"/>
    <w:rsid w:val="00C52C59"/>
    <w:rsid w:val="00C5349E"/>
    <w:rsid w:val="00C5354B"/>
    <w:rsid w:val="00C54467"/>
    <w:rsid w:val="00C54D3D"/>
    <w:rsid w:val="00C55116"/>
    <w:rsid w:val="00C55A30"/>
    <w:rsid w:val="00C57C58"/>
    <w:rsid w:val="00C6028F"/>
    <w:rsid w:val="00C6046F"/>
    <w:rsid w:val="00C608F1"/>
    <w:rsid w:val="00C631E1"/>
    <w:rsid w:val="00C637E8"/>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4FDF"/>
    <w:rsid w:val="00C85209"/>
    <w:rsid w:val="00C8618F"/>
    <w:rsid w:val="00C90372"/>
    <w:rsid w:val="00C9041F"/>
    <w:rsid w:val="00C90AD1"/>
    <w:rsid w:val="00C9138F"/>
    <w:rsid w:val="00C91A45"/>
    <w:rsid w:val="00C91ED2"/>
    <w:rsid w:val="00C91FB4"/>
    <w:rsid w:val="00C95745"/>
    <w:rsid w:val="00C962E3"/>
    <w:rsid w:val="00C965BD"/>
    <w:rsid w:val="00C97997"/>
    <w:rsid w:val="00CA08FE"/>
    <w:rsid w:val="00CA0FAC"/>
    <w:rsid w:val="00CA25C0"/>
    <w:rsid w:val="00CA2697"/>
    <w:rsid w:val="00CA3451"/>
    <w:rsid w:val="00CA4948"/>
    <w:rsid w:val="00CA52F9"/>
    <w:rsid w:val="00CA568B"/>
    <w:rsid w:val="00CA74D4"/>
    <w:rsid w:val="00CA7500"/>
    <w:rsid w:val="00CB1239"/>
    <w:rsid w:val="00CB178B"/>
    <w:rsid w:val="00CB19FE"/>
    <w:rsid w:val="00CB23C2"/>
    <w:rsid w:val="00CB304C"/>
    <w:rsid w:val="00CB53E8"/>
    <w:rsid w:val="00CB593E"/>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33D"/>
    <w:rsid w:val="00CD29D4"/>
    <w:rsid w:val="00CD38F5"/>
    <w:rsid w:val="00CD3ABE"/>
    <w:rsid w:val="00CD400F"/>
    <w:rsid w:val="00CD437E"/>
    <w:rsid w:val="00CD572E"/>
    <w:rsid w:val="00CD5A89"/>
    <w:rsid w:val="00CD5DAD"/>
    <w:rsid w:val="00CD72C5"/>
    <w:rsid w:val="00CD77A2"/>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3839"/>
    <w:rsid w:val="00CF55F9"/>
    <w:rsid w:val="00CF56F1"/>
    <w:rsid w:val="00CF59DF"/>
    <w:rsid w:val="00CF71A6"/>
    <w:rsid w:val="00CF7495"/>
    <w:rsid w:val="00CF7671"/>
    <w:rsid w:val="00D01CF9"/>
    <w:rsid w:val="00D0334D"/>
    <w:rsid w:val="00D0374D"/>
    <w:rsid w:val="00D05A76"/>
    <w:rsid w:val="00D075F8"/>
    <w:rsid w:val="00D07F1D"/>
    <w:rsid w:val="00D10558"/>
    <w:rsid w:val="00D1203E"/>
    <w:rsid w:val="00D12886"/>
    <w:rsid w:val="00D13D03"/>
    <w:rsid w:val="00D13E70"/>
    <w:rsid w:val="00D140B5"/>
    <w:rsid w:val="00D16136"/>
    <w:rsid w:val="00D16C58"/>
    <w:rsid w:val="00D17019"/>
    <w:rsid w:val="00D170C1"/>
    <w:rsid w:val="00D21168"/>
    <w:rsid w:val="00D235C8"/>
    <w:rsid w:val="00D2438C"/>
    <w:rsid w:val="00D25264"/>
    <w:rsid w:val="00D25DFA"/>
    <w:rsid w:val="00D26C3F"/>
    <w:rsid w:val="00D27185"/>
    <w:rsid w:val="00D278A6"/>
    <w:rsid w:val="00D27C40"/>
    <w:rsid w:val="00D31E78"/>
    <w:rsid w:val="00D32B84"/>
    <w:rsid w:val="00D337AE"/>
    <w:rsid w:val="00D33AB3"/>
    <w:rsid w:val="00D33F24"/>
    <w:rsid w:val="00D346B7"/>
    <w:rsid w:val="00D346B8"/>
    <w:rsid w:val="00D35AC8"/>
    <w:rsid w:val="00D35D34"/>
    <w:rsid w:val="00D36F87"/>
    <w:rsid w:val="00D37E4E"/>
    <w:rsid w:val="00D426F4"/>
    <w:rsid w:val="00D42E6C"/>
    <w:rsid w:val="00D43218"/>
    <w:rsid w:val="00D43B80"/>
    <w:rsid w:val="00D44236"/>
    <w:rsid w:val="00D442B9"/>
    <w:rsid w:val="00D45B1E"/>
    <w:rsid w:val="00D45BA4"/>
    <w:rsid w:val="00D46CA8"/>
    <w:rsid w:val="00D46E77"/>
    <w:rsid w:val="00D471AF"/>
    <w:rsid w:val="00D4724F"/>
    <w:rsid w:val="00D50519"/>
    <w:rsid w:val="00D516A5"/>
    <w:rsid w:val="00D5264C"/>
    <w:rsid w:val="00D5289A"/>
    <w:rsid w:val="00D537FE"/>
    <w:rsid w:val="00D538F0"/>
    <w:rsid w:val="00D54A6A"/>
    <w:rsid w:val="00D54BF8"/>
    <w:rsid w:val="00D54D7C"/>
    <w:rsid w:val="00D55951"/>
    <w:rsid w:val="00D56316"/>
    <w:rsid w:val="00D572BE"/>
    <w:rsid w:val="00D57EB6"/>
    <w:rsid w:val="00D60ED7"/>
    <w:rsid w:val="00D62B20"/>
    <w:rsid w:val="00D63586"/>
    <w:rsid w:val="00D664BF"/>
    <w:rsid w:val="00D66D8B"/>
    <w:rsid w:val="00D72A1C"/>
    <w:rsid w:val="00D73580"/>
    <w:rsid w:val="00D73802"/>
    <w:rsid w:val="00D73868"/>
    <w:rsid w:val="00D73C2C"/>
    <w:rsid w:val="00D73D52"/>
    <w:rsid w:val="00D742A0"/>
    <w:rsid w:val="00D745E7"/>
    <w:rsid w:val="00D75FF0"/>
    <w:rsid w:val="00D77495"/>
    <w:rsid w:val="00D774ED"/>
    <w:rsid w:val="00D7778F"/>
    <w:rsid w:val="00D777F6"/>
    <w:rsid w:val="00D77F88"/>
    <w:rsid w:val="00D8044C"/>
    <w:rsid w:val="00D81EAA"/>
    <w:rsid w:val="00D8259F"/>
    <w:rsid w:val="00D825F2"/>
    <w:rsid w:val="00D828B1"/>
    <w:rsid w:val="00D84461"/>
    <w:rsid w:val="00D84F27"/>
    <w:rsid w:val="00D850D4"/>
    <w:rsid w:val="00D862D1"/>
    <w:rsid w:val="00D873C6"/>
    <w:rsid w:val="00D91027"/>
    <w:rsid w:val="00D937E0"/>
    <w:rsid w:val="00D94C7D"/>
    <w:rsid w:val="00D94CA4"/>
    <w:rsid w:val="00D94FB4"/>
    <w:rsid w:val="00D95E99"/>
    <w:rsid w:val="00DA098C"/>
    <w:rsid w:val="00DA0BF8"/>
    <w:rsid w:val="00DA0FFB"/>
    <w:rsid w:val="00DA1A3A"/>
    <w:rsid w:val="00DA2C65"/>
    <w:rsid w:val="00DA395D"/>
    <w:rsid w:val="00DA44EB"/>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D132B"/>
    <w:rsid w:val="00DD1725"/>
    <w:rsid w:val="00DD21B9"/>
    <w:rsid w:val="00DD2427"/>
    <w:rsid w:val="00DD2A18"/>
    <w:rsid w:val="00DD377A"/>
    <w:rsid w:val="00DD3ECA"/>
    <w:rsid w:val="00DD5AB3"/>
    <w:rsid w:val="00DD5B1A"/>
    <w:rsid w:val="00DD61E8"/>
    <w:rsid w:val="00DD62C0"/>
    <w:rsid w:val="00DD6773"/>
    <w:rsid w:val="00DD7859"/>
    <w:rsid w:val="00DE03AC"/>
    <w:rsid w:val="00DE0A1D"/>
    <w:rsid w:val="00DE15B2"/>
    <w:rsid w:val="00DE1826"/>
    <w:rsid w:val="00DE1A9A"/>
    <w:rsid w:val="00DE2494"/>
    <w:rsid w:val="00DE3D2C"/>
    <w:rsid w:val="00DE43D0"/>
    <w:rsid w:val="00DE5E82"/>
    <w:rsid w:val="00DE5FA6"/>
    <w:rsid w:val="00DE6494"/>
    <w:rsid w:val="00DE6AA1"/>
    <w:rsid w:val="00DE6C57"/>
    <w:rsid w:val="00DE74D7"/>
    <w:rsid w:val="00DE7DCC"/>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3E9"/>
    <w:rsid w:val="00E046A9"/>
    <w:rsid w:val="00E04C0F"/>
    <w:rsid w:val="00E0570B"/>
    <w:rsid w:val="00E057B2"/>
    <w:rsid w:val="00E05996"/>
    <w:rsid w:val="00E10B87"/>
    <w:rsid w:val="00E1445D"/>
    <w:rsid w:val="00E1478B"/>
    <w:rsid w:val="00E14FAC"/>
    <w:rsid w:val="00E15007"/>
    <w:rsid w:val="00E16EC7"/>
    <w:rsid w:val="00E1714F"/>
    <w:rsid w:val="00E2026B"/>
    <w:rsid w:val="00E21576"/>
    <w:rsid w:val="00E219CE"/>
    <w:rsid w:val="00E21CAB"/>
    <w:rsid w:val="00E21E23"/>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36F0C"/>
    <w:rsid w:val="00E405F1"/>
    <w:rsid w:val="00E43054"/>
    <w:rsid w:val="00E434C4"/>
    <w:rsid w:val="00E44FE4"/>
    <w:rsid w:val="00E453FC"/>
    <w:rsid w:val="00E45D30"/>
    <w:rsid w:val="00E46013"/>
    <w:rsid w:val="00E4654B"/>
    <w:rsid w:val="00E477C3"/>
    <w:rsid w:val="00E50148"/>
    <w:rsid w:val="00E5048D"/>
    <w:rsid w:val="00E504BB"/>
    <w:rsid w:val="00E50AC4"/>
    <w:rsid w:val="00E50E2C"/>
    <w:rsid w:val="00E51077"/>
    <w:rsid w:val="00E5132D"/>
    <w:rsid w:val="00E51741"/>
    <w:rsid w:val="00E51E16"/>
    <w:rsid w:val="00E52151"/>
    <w:rsid w:val="00E53730"/>
    <w:rsid w:val="00E53C46"/>
    <w:rsid w:val="00E54511"/>
    <w:rsid w:val="00E55DC3"/>
    <w:rsid w:val="00E55E88"/>
    <w:rsid w:val="00E57577"/>
    <w:rsid w:val="00E601DE"/>
    <w:rsid w:val="00E62043"/>
    <w:rsid w:val="00E626B9"/>
    <w:rsid w:val="00E627C9"/>
    <w:rsid w:val="00E630F3"/>
    <w:rsid w:val="00E650E0"/>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2FBC"/>
    <w:rsid w:val="00E8395F"/>
    <w:rsid w:val="00E8473F"/>
    <w:rsid w:val="00E84DD1"/>
    <w:rsid w:val="00E85E41"/>
    <w:rsid w:val="00E85EA1"/>
    <w:rsid w:val="00E91044"/>
    <w:rsid w:val="00E910D3"/>
    <w:rsid w:val="00E923CF"/>
    <w:rsid w:val="00E9335F"/>
    <w:rsid w:val="00E95111"/>
    <w:rsid w:val="00E9760C"/>
    <w:rsid w:val="00EA048D"/>
    <w:rsid w:val="00EA061E"/>
    <w:rsid w:val="00EA08DE"/>
    <w:rsid w:val="00EA14C8"/>
    <w:rsid w:val="00EA19D3"/>
    <w:rsid w:val="00EA2296"/>
    <w:rsid w:val="00EA6649"/>
    <w:rsid w:val="00EB05D0"/>
    <w:rsid w:val="00EB07C5"/>
    <w:rsid w:val="00EB1D49"/>
    <w:rsid w:val="00EB42DD"/>
    <w:rsid w:val="00EB559F"/>
    <w:rsid w:val="00EB5F3D"/>
    <w:rsid w:val="00EB6900"/>
    <w:rsid w:val="00EB6EC2"/>
    <w:rsid w:val="00EC1CEB"/>
    <w:rsid w:val="00EC21A7"/>
    <w:rsid w:val="00EC268C"/>
    <w:rsid w:val="00EC3747"/>
    <w:rsid w:val="00EC3753"/>
    <w:rsid w:val="00EC3CB8"/>
    <w:rsid w:val="00EC3D46"/>
    <w:rsid w:val="00EC4E71"/>
    <w:rsid w:val="00EC6667"/>
    <w:rsid w:val="00EC783E"/>
    <w:rsid w:val="00ED0365"/>
    <w:rsid w:val="00ED0865"/>
    <w:rsid w:val="00ED094F"/>
    <w:rsid w:val="00ED16B6"/>
    <w:rsid w:val="00ED1C60"/>
    <w:rsid w:val="00ED2EB9"/>
    <w:rsid w:val="00ED4469"/>
    <w:rsid w:val="00ED5F23"/>
    <w:rsid w:val="00ED675F"/>
    <w:rsid w:val="00ED6DC0"/>
    <w:rsid w:val="00ED79CE"/>
    <w:rsid w:val="00ED7A7A"/>
    <w:rsid w:val="00EE038C"/>
    <w:rsid w:val="00EE040B"/>
    <w:rsid w:val="00EE168A"/>
    <w:rsid w:val="00EE47C5"/>
    <w:rsid w:val="00EE490C"/>
    <w:rsid w:val="00EE613B"/>
    <w:rsid w:val="00EE7E17"/>
    <w:rsid w:val="00EF2C8E"/>
    <w:rsid w:val="00EF3174"/>
    <w:rsid w:val="00EF3303"/>
    <w:rsid w:val="00EF37AB"/>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267E"/>
    <w:rsid w:val="00F02686"/>
    <w:rsid w:val="00F03D99"/>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B17"/>
    <w:rsid w:val="00F40CCA"/>
    <w:rsid w:val="00F41521"/>
    <w:rsid w:val="00F42D97"/>
    <w:rsid w:val="00F43F09"/>
    <w:rsid w:val="00F45A72"/>
    <w:rsid w:val="00F46723"/>
    <w:rsid w:val="00F46EB9"/>
    <w:rsid w:val="00F50016"/>
    <w:rsid w:val="00F50647"/>
    <w:rsid w:val="00F5118A"/>
    <w:rsid w:val="00F5165C"/>
    <w:rsid w:val="00F51A21"/>
    <w:rsid w:val="00F5276E"/>
    <w:rsid w:val="00F529F9"/>
    <w:rsid w:val="00F52E9F"/>
    <w:rsid w:val="00F53304"/>
    <w:rsid w:val="00F53D37"/>
    <w:rsid w:val="00F53D40"/>
    <w:rsid w:val="00F545ED"/>
    <w:rsid w:val="00F5687F"/>
    <w:rsid w:val="00F56FA5"/>
    <w:rsid w:val="00F5727D"/>
    <w:rsid w:val="00F575C7"/>
    <w:rsid w:val="00F60305"/>
    <w:rsid w:val="00F61B12"/>
    <w:rsid w:val="00F620C5"/>
    <w:rsid w:val="00F62398"/>
    <w:rsid w:val="00F626C5"/>
    <w:rsid w:val="00F631E8"/>
    <w:rsid w:val="00F63223"/>
    <w:rsid w:val="00F63264"/>
    <w:rsid w:val="00F6379E"/>
    <w:rsid w:val="00F676EC"/>
    <w:rsid w:val="00F70799"/>
    <w:rsid w:val="00F70906"/>
    <w:rsid w:val="00F70A8B"/>
    <w:rsid w:val="00F724FB"/>
    <w:rsid w:val="00F72578"/>
    <w:rsid w:val="00F72A26"/>
    <w:rsid w:val="00F733C3"/>
    <w:rsid w:val="00F756DD"/>
    <w:rsid w:val="00F75DB3"/>
    <w:rsid w:val="00F77C37"/>
    <w:rsid w:val="00F80047"/>
    <w:rsid w:val="00F8104D"/>
    <w:rsid w:val="00F81587"/>
    <w:rsid w:val="00F82571"/>
    <w:rsid w:val="00F85258"/>
    <w:rsid w:val="00F85B72"/>
    <w:rsid w:val="00F8766F"/>
    <w:rsid w:val="00F9104C"/>
    <w:rsid w:val="00F91082"/>
    <w:rsid w:val="00F91A9A"/>
    <w:rsid w:val="00F93ABB"/>
    <w:rsid w:val="00F94D79"/>
    <w:rsid w:val="00F971DD"/>
    <w:rsid w:val="00F975D3"/>
    <w:rsid w:val="00FA118A"/>
    <w:rsid w:val="00FA11CD"/>
    <w:rsid w:val="00FA31C7"/>
    <w:rsid w:val="00FA472D"/>
    <w:rsid w:val="00FA7254"/>
    <w:rsid w:val="00FB0214"/>
    <w:rsid w:val="00FB080C"/>
    <w:rsid w:val="00FB18F6"/>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6590"/>
    <w:rsid w:val="00FC7523"/>
    <w:rsid w:val="00FC75AC"/>
    <w:rsid w:val="00FC75CB"/>
    <w:rsid w:val="00FD01BF"/>
    <w:rsid w:val="00FD0525"/>
    <w:rsid w:val="00FD0D4F"/>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7F8"/>
    <w:rsid w:val="00FF78E5"/>
    <w:rsid w:val="01246403"/>
    <w:rsid w:val="01DF6ED8"/>
    <w:rsid w:val="02511F9D"/>
    <w:rsid w:val="02AB4E64"/>
    <w:rsid w:val="03056ED3"/>
    <w:rsid w:val="0334104D"/>
    <w:rsid w:val="034E5B8A"/>
    <w:rsid w:val="03A314B8"/>
    <w:rsid w:val="03D82B98"/>
    <w:rsid w:val="03F83E8B"/>
    <w:rsid w:val="05B257EC"/>
    <w:rsid w:val="06AE10AC"/>
    <w:rsid w:val="07AB1DBE"/>
    <w:rsid w:val="07B72767"/>
    <w:rsid w:val="08077E72"/>
    <w:rsid w:val="09AB1EA0"/>
    <w:rsid w:val="09CC2AAC"/>
    <w:rsid w:val="09D820EE"/>
    <w:rsid w:val="0A652D3E"/>
    <w:rsid w:val="0B0A4571"/>
    <w:rsid w:val="0B3A48F0"/>
    <w:rsid w:val="0BF64F69"/>
    <w:rsid w:val="0C5C56D6"/>
    <w:rsid w:val="0C92213C"/>
    <w:rsid w:val="0CBA2804"/>
    <w:rsid w:val="0D3B1B72"/>
    <w:rsid w:val="0D4F221D"/>
    <w:rsid w:val="0D84032B"/>
    <w:rsid w:val="0E121122"/>
    <w:rsid w:val="0F011985"/>
    <w:rsid w:val="0F4F4353"/>
    <w:rsid w:val="0FDC6CEF"/>
    <w:rsid w:val="10A27F31"/>
    <w:rsid w:val="10CA487C"/>
    <w:rsid w:val="11927058"/>
    <w:rsid w:val="12133FB0"/>
    <w:rsid w:val="12176643"/>
    <w:rsid w:val="12510966"/>
    <w:rsid w:val="12A055F5"/>
    <w:rsid w:val="12A5223C"/>
    <w:rsid w:val="12A604D9"/>
    <w:rsid w:val="130D4243"/>
    <w:rsid w:val="1387148A"/>
    <w:rsid w:val="13AF4F03"/>
    <w:rsid w:val="145E6EE8"/>
    <w:rsid w:val="14736E66"/>
    <w:rsid w:val="148937C0"/>
    <w:rsid w:val="149B6AC2"/>
    <w:rsid w:val="15264037"/>
    <w:rsid w:val="15293653"/>
    <w:rsid w:val="1534169A"/>
    <w:rsid w:val="15C03E03"/>
    <w:rsid w:val="162A25EB"/>
    <w:rsid w:val="16964761"/>
    <w:rsid w:val="16FD2A55"/>
    <w:rsid w:val="17366761"/>
    <w:rsid w:val="174F1720"/>
    <w:rsid w:val="177C01F0"/>
    <w:rsid w:val="17CE6630"/>
    <w:rsid w:val="19304EC9"/>
    <w:rsid w:val="19431066"/>
    <w:rsid w:val="19820BA0"/>
    <w:rsid w:val="1AFA16D5"/>
    <w:rsid w:val="1B4F19F8"/>
    <w:rsid w:val="1BD92184"/>
    <w:rsid w:val="1C5170A2"/>
    <w:rsid w:val="1D23361F"/>
    <w:rsid w:val="1D4061A8"/>
    <w:rsid w:val="1E4A2E9F"/>
    <w:rsid w:val="1E9B4F4B"/>
    <w:rsid w:val="1EEE23EF"/>
    <w:rsid w:val="1F063325"/>
    <w:rsid w:val="1FA2402F"/>
    <w:rsid w:val="1FBC5DF5"/>
    <w:rsid w:val="1FC55574"/>
    <w:rsid w:val="203D099C"/>
    <w:rsid w:val="20781442"/>
    <w:rsid w:val="21B83F86"/>
    <w:rsid w:val="21E55E66"/>
    <w:rsid w:val="221178A8"/>
    <w:rsid w:val="221213CF"/>
    <w:rsid w:val="22327A92"/>
    <w:rsid w:val="22501E48"/>
    <w:rsid w:val="22965435"/>
    <w:rsid w:val="22BD6F35"/>
    <w:rsid w:val="231D53A2"/>
    <w:rsid w:val="238C500C"/>
    <w:rsid w:val="23B7504C"/>
    <w:rsid w:val="24571307"/>
    <w:rsid w:val="24BA2984"/>
    <w:rsid w:val="25126E09"/>
    <w:rsid w:val="25246333"/>
    <w:rsid w:val="25C14636"/>
    <w:rsid w:val="26446DE3"/>
    <w:rsid w:val="264D165B"/>
    <w:rsid w:val="265F3538"/>
    <w:rsid w:val="26835926"/>
    <w:rsid w:val="26CD1617"/>
    <w:rsid w:val="26D7699F"/>
    <w:rsid w:val="27234AD7"/>
    <w:rsid w:val="274A5E17"/>
    <w:rsid w:val="279A2132"/>
    <w:rsid w:val="284D08E4"/>
    <w:rsid w:val="2912495F"/>
    <w:rsid w:val="29531C35"/>
    <w:rsid w:val="29E17ECF"/>
    <w:rsid w:val="2A2D3BAD"/>
    <w:rsid w:val="2A5A691B"/>
    <w:rsid w:val="2B09065E"/>
    <w:rsid w:val="2B774624"/>
    <w:rsid w:val="2C7A72BE"/>
    <w:rsid w:val="2CE1294E"/>
    <w:rsid w:val="2E3777C8"/>
    <w:rsid w:val="2EEB5D26"/>
    <w:rsid w:val="2F013AAD"/>
    <w:rsid w:val="2F401D3C"/>
    <w:rsid w:val="2F436F36"/>
    <w:rsid w:val="2F70241B"/>
    <w:rsid w:val="2FA95C88"/>
    <w:rsid w:val="3041370F"/>
    <w:rsid w:val="308D3B08"/>
    <w:rsid w:val="30F06C49"/>
    <w:rsid w:val="31083A05"/>
    <w:rsid w:val="3180356E"/>
    <w:rsid w:val="32453A27"/>
    <w:rsid w:val="3263064A"/>
    <w:rsid w:val="328F570C"/>
    <w:rsid w:val="32AC0C06"/>
    <w:rsid w:val="33FA1CBC"/>
    <w:rsid w:val="342866FA"/>
    <w:rsid w:val="34CA3F9D"/>
    <w:rsid w:val="34FA3FC3"/>
    <w:rsid w:val="35304278"/>
    <w:rsid w:val="3537750C"/>
    <w:rsid w:val="3537798C"/>
    <w:rsid w:val="357F7ED5"/>
    <w:rsid w:val="35C13FC9"/>
    <w:rsid w:val="362E6D87"/>
    <w:rsid w:val="364257B6"/>
    <w:rsid w:val="367B3D86"/>
    <w:rsid w:val="36F834D1"/>
    <w:rsid w:val="374264D3"/>
    <w:rsid w:val="37C1661D"/>
    <w:rsid w:val="37DB7874"/>
    <w:rsid w:val="37E961A0"/>
    <w:rsid w:val="37EA5922"/>
    <w:rsid w:val="3809405A"/>
    <w:rsid w:val="38276B93"/>
    <w:rsid w:val="388F7B77"/>
    <w:rsid w:val="3A0B64A7"/>
    <w:rsid w:val="3A1611DB"/>
    <w:rsid w:val="3A4A48F1"/>
    <w:rsid w:val="3A7038BB"/>
    <w:rsid w:val="3AF74C02"/>
    <w:rsid w:val="3BC6658C"/>
    <w:rsid w:val="3C0059A5"/>
    <w:rsid w:val="3C134E78"/>
    <w:rsid w:val="3C301B5F"/>
    <w:rsid w:val="3CAB1AFC"/>
    <w:rsid w:val="3D05582A"/>
    <w:rsid w:val="3DF6345D"/>
    <w:rsid w:val="3EE13701"/>
    <w:rsid w:val="3EFA9C1A"/>
    <w:rsid w:val="3F1A4BB3"/>
    <w:rsid w:val="40192BA6"/>
    <w:rsid w:val="409C1193"/>
    <w:rsid w:val="42550A18"/>
    <w:rsid w:val="425600A9"/>
    <w:rsid w:val="42D114D2"/>
    <w:rsid w:val="42F473A1"/>
    <w:rsid w:val="432D04A7"/>
    <w:rsid w:val="441E62C0"/>
    <w:rsid w:val="44274ACD"/>
    <w:rsid w:val="44A25BB4"/>
    <w:rsid w:val="45811C7C"/>
    <w:rsid w:val="45AA78B4"/>
    <w:rsid w:val="468B3EFB"/>
    <w:rsid w:val="46F851C7"/>
    <w:rsid w:val="46F9547C"/>
    <w:rsid w:val="470A6193"/>
    <w:rsid w:val="47AA339A"/>
    <w:rsid w:val="47DC4F5C"/>
    <w:rsid w:val="48A04659"/>
    <w:rsid w:val="48B40671"/>
    <w:rsid w:val="499B5738"/>
    <w:rsid w:val="499F244D"/>
    <w:rsid w:val="49E634D1"/>
    <w:rsid w:val="4A8F58C2"/>
    <w:rsid w:val="4AF96BC7"/>
    <w:rsid w:val="4B842132"/>
    <w:rsid w:val="4BFB4050"/>
    <w:rsid w:val="4CEF36E2"/>
    <w:rsid w:val="4D3B1120"/>
    <w:rsid w:val="4DAF4CC1"/>
    <w:rsid w:val="4E676345"/>
    <w:rsid w:val="4EE911C5"/>
    <w:rsid w:val="4F372FFB"/>
    <w:rsid w:val="4FA76FA4"/>
    <w:rsid w:val="5044725D"/>
    <w:rsid w:val="513F391C"/>
    <w:rsid w:val="51564E44"/>
    <w:rsid w:val="52282C57"/>
    <w:rsid w:val="52C10D75"/>
    <w:rsid w:val="53C125EB"/>
    <w:rsid w:val="54C53DC5"/>
    <w:rsid w:val="550C4BD7"/>
    <w:rsid w:val="55572986"/>
    <w:rsid w:val="55A14ACC"/>
    <w:rsid w:val="562B20BF"/>
    <w:rsid w:val="56CE2309"/>
    <w:rsid w:val="56D04C17"/>
    <w:rsid w:val="5884764A"/>
    <w:rsid w:val="5A3D4CF5"/>
    <w:rsid w:val="5A957D93"/>
    <w:rsid w:val="5AFD311B"/>
    <w:rsid w:val="5B3760D9"/>
    <w:rsid w:val="5B86261A"/>
    <w:rsid w:val="5BE014E5"/>
    <w:rsid w:val="5BEC760C"/>
    <w:rsid w:val="5E1B2389"/>
    <w:rsid w:val="5EC1512D"/>
    <w:rsid w:val="5F12674D"/>
    <w:rsid w:val="5F80710D"/>
    <w:rsid w:val="5FDF74DA"/>
    <w:rsid w:val="606007BB"/>
    <w:rsid w:val="60A7347D"/>
    <w:rsid w:val="60AC7F66"/>
    <w:rsid w:val="618835DC"/>
    <w:rsid w:val="61BF10D9"/>
    <w:rsid w:val="629F7BDB"/>
    <w:rsid w:val="631928DF"/>
    <w:rsid w:val="640C7C21"/>
    <w:rsid w:val="64E45EF7"/>
    <w:rsid w:val="655A9E13"/>
    <w:rsid w:val="65777EA0"/>
    <w:rsid w:val="66A575B3"/>
    <w:rsid w:val="66A57729"/>
    <w:rsid w:val="670F748C"/>
    <w:rsid w:val="6736338C"/>
    <w:rsid w:val="677435B2"/>
    <w:rsid w:val="67EF75F1"/>
    <w:rsid w:val="681B6A95"/>
    <w:rsid w:val="681C76FB"/>
    <w:rsid w:val="68774BE5"/>
    <w:rsid w:val="68B87030"/>
    <w:rsid w:val="69124F16"/>
    <w:rsid w:val="69C64B0E"/>
    <w:rsid w:val="69CD5C14"/>
    <w:rsid w:val="69CF0D33"/>
    <w:rsid w:val="6AB24495"/>
    <w:rsid w:val="6B9946B3"/>
    <w:rsid w:val="6C310D11"/>
    <w:rsid w:val="6C921AAA"/>
    <w:rsid w:val="6D1837C6"/>
    <w:rsid w:val="6DE76850"/>
    <w:rsid w:val="6E336FB7"/>
    <w:rsid w:val="6E3B7F3B"/>
    <w:rsid w:val="6E9A1018"/>
    <w:rsid w:val="6FB20BD4"/>
    <w:rsid w:val="6FBA59BE"/>
    <w:rsid w:val="70296B3E"/>
    <w:rsid w:val="70611204"/>
    <w:rsid w:val="706937DE"/>
    <w:rsid w:val="70F17BCE"/>
    <w:rsid w:val="71C75AD2"/>
    <w:rsid w:val="7234593E"/>
    <w:rsid w:val="72983CD3"/>
    <w:rsid w:val="72EF4CB6"/>
    <w:rsid w:val="743B2F14"/>
    <w:rsid w:val="746A24BE"/>
    <w:rsid w:val="749F1040"/>
    <w:rsid w:val="74FA2C30"/>
    <w:rsid w:val="76250197"/>
    <w:rsid w:val="76BC49EB"/>
    <w:rsid w:val="77000DA2"/>
    <w:rsid w:val="781E69D1"/>
    <w:rsid w:val="78340059"/>
    <w:rsid w:val="79BE1CAB"/>
    <w:rsid w:val="7ADD0453"/>
    <w:rsid w:val="7AF46346"/>
    <w:rsid w:val="7B0F5EBF"/>
    <w:rsid w:val="7B130FB9"/>
    <w:rsid w:val="7BDE0625"/>
    <w:rsid w:val="7BF64EDE"/>
    <w:rsid w:val="7C400C1E"/>
    <w:rsid w:val="7C6C6CCE"/>
    <w:rsid w:val="7C773348"/>
    <w:rsid w:val="7CB0484C"/>
    <w:rsid w:val="7D422E99"/>
    <w:rsid w:val="7DD11708"/>
    <w:rsid w:val="7DD83ECB"/>
    <w:rsid w:val="7DF46F4A"/>
    <w:rsid w:val="7E3D4C74"/>
    <w:rsid w:val="7EBC46EA"/>
    <w:rsid w:val="7EC167BD"/>
    <w:rsid w:val="7FCA72CB"/>
    <w:rsid w:val="7FCB062D"/>
    <w:rsid w:val="7FF82C26"/>
    <w:rsid w:val="EF6DC4F0"/>
    <w:rsid w:val="FFF6D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36"/>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37"/>
    <w:qFormat/>
    <w:uiPriority w:val="0"/>
    <w:pPr>
      <w:jc w:val="left"/>
    </w:pPr>
  </w:style>
  <w:style w:type="paragraph" w:styleId="11">
    <w:name w:val="Body Text 3"/>
    <w:basedOn w:val="1"/>
    <w:link w:val="38"/>
    <w:unhideWhenUsed/>
    <w:qFormat/>
    <w:uiPriority w:val="99"/>
    <w:pPr>
      <w:spacing w:after="120"/>
    </w:pPr>
    <w:rPr>
      <w:sz w:val="16"/>
      <w:szCs w:val="16"/>
    </w:rPr>
  </w:style>
  <w:style w:type="paragraph" w:styleId="12">
    <w:name w:val="Body Text"/>
    <w:basedOn w:val="1"/>
    <w:next w:val="13"/>
    <w:link w:val="39"/>
    <w:unhideWhenUsed/>
    <w:qFormat/>
    <w:uiPriority w:val="0"/>
    <w:pPr>
      <w:spacing w:after="120"/>
    </w:pPr>
  </w:style>
  <w:style w:type="paragraph" w:styleId="13">
    <w:name w:val="Body Text First Indent"/>
    <w:basedOn w:val="12"/>
    <w:next w:val="1"/>
    <w:qFormat/>
    <w:uiPriority w:val="0"/>
    <w:pPr>
      <w:ind w:firstLine="420" w:firstLineChars="100"/>
    </w:pPr>
  </w:style>
  <w:style w:type="paragraph" w:styleId="14">
    <w:name w:val="Body Text Indent"/>
    <w:basedOn w:val="1"/>
    <w:link w:val="40"/>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7">
    <w:name w:val="Plain Text"/>
    <w:basedOn w:val="1"/>
    <w:next w:val="8"/>
    <w:link w:val="41"/>
    <w:qFormat/>
    <w:uiPriority w:val="0"/>
    <w:rPr>
      <w:rFonts w:ascii="宋体" w:hAnsi="Courier New"/>
      <w:kern w:val="0"/>
      <w:sz w:val="20"/>
      <w:szCs w:val="21"/>
    </w:rPr>
  </w:style>
  <w:style w:type="paragraph" w:styleId="18">
    <w:name w:val="Date"/>
    <w:basedOn w:val="1"/>
    <w:next w:val="1"/>
    <w:link w:val="42"/>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43"/>
    <w:unhideWhenUsed/>
    <w:qFormat/>
    <w:uiPriority w:val="99"/>
    <w:pPr>
      <w:tabs>
        <w:tab w:val="center" w:pos="4153"/>
        <w:tab w:val="right" w:pos="8306"/>
      </w:tabs>
      <w:snapToGrid w:val="0"/>
      <w:jc w:val="left"/>
    </w:pPr>
    <w:rPr>
      <w:kern w:val="0"/>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25">
    <w:name w:val="Normal (Web)"/>
    <w:basedOn w:val="1"/>
    <w:unhideWhenUsed/>
    <w:qFormat/>
    <w:uiPriority w:val="99"/>
    <w:rPr>
      <w:rFonts w:ascii="Calibri" w:hAnsi="Calibri"/>
      <w:kern w:val="0"/>
      <w:sz w:val="24"/>
    </w:rPr>
  </w:style>
  <w:style w:type="paragraph" w:styleId="26">
    <w:name w:val="annotation subject"/>
    <w:basedOn w:val="10"/>
    <w:next w:val="10"/>
    <w:link w:val="45"/>
    <w:qFormat/>
    <w:uiPriority w:val="99"/>
    <w:rPr>
      <w:b/>
      <w:bCs/>
    </w:rPr>
  </w:style>
  <w:style w:type="paragraph" w:styleId="27">
    <w:name w:val="Body Text First Indent 2"/>
    <w:basedOn w:val="14"/>
    <w:next w:val="1"/>
    <w:qFormat/>
    <w:uiPriority w:val="0"/>
    <w:pPr>
      <w:spacing w:after="120"/>
      <w:ind w:left="420" w:leftChars="200" w:firstLine="420" w:firstLineChars="200"/>
    </w:pPr>
    <w:rPr>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1">
    <w:name w:val="page number"/>
    <w:qFormat/>
    <w:uiPriority w:val="0"/>
  </w:style>
  <w:style w:type="character" w:styleId="32">
    <w:name w:val="Hyperlink"/>
    <w:unhideWhenUsed/>
    <w:qFormat/>
    <w:uiPriority w:val="99"/>
    <w:rPr>
      <w:color w:val="0000FF"/>
      <w:u w:val="single"/>
    </w:rPr>
  </w:style>
  <w:style w:type="character" w:styleId="33">
    <w:name w:val="annotation reference"/>
    <w:basedOn w:val="30"/>
    <w:qFormat/>
    <w:uiPriority w:val="0"/>
    <w:rPr>
      <w:sz w:val="21"/>
      <w:szCs w:val="21"/>
    </w:rPr>
  </w:style>
  <w:style w:type="character" w:customStyle="1" w:styleId="34">
    <w:name w:val="标题 1 字符1"/>
    <w:link w:val="3"/>
    <w:qFormat/>
    <w:uiPriority w:val="0"/>
    <w:rPr>
      <w:b/>
      <w:bCs/>
      <w:kern w:val="44"/>
      <w:sz w:val="44"/>
      <w:szCs w:val="44"/>
    </w:rPr>
  </w:style>
  <w:style w:type="character" w:customStyle="1" w:styleId="35">
    <w:name w:val="标题 2 字符"/>
    <w:link w:val="4"/>
    <w:qFormat/>
    <w:uiPriority w:val="9"/>
    <w:rPr>
      <w:rFonts w:ascii="Cambria" w:hAnsi="Cambria" w:eastAsia="宋体" w:cs="Times New Roman"/>
      <w:b/>
      <w:bCs/>
      <w:kern w:val="2"/>
      <w:sz w:val="32"/>
      <w:szCs w:val="32"/>
    </w:rPr>
  </w:style>
  <w:style w:type="character" w:customStyle="1" w:styleId="36">
    <w:name w:val="标题 5 字符"/>
    <w:link w:val="6"/>
    <w:semiHidden/>
    <w:qFormat/>
    <w:uiPriority w:val="9"/>
    <w:rPr>
      <w:rFonts w:ascii="Times New Roman" w:hAnsi="Times New Roman"/>
      <w:b/>
      <w:bCs/>
      <w:kern w:val="2"/>
      <w:sz w:val="28"/>
      <w:szCs w:val="28"/>
    </w:rPr>
  </w:style>
  <w:style w:type="character" w:customStyle="1" w:styleId="37">
    <w:name w:val="批注文字 字符"/>
    <w:link w:val="10"/>
    <w:qFormat/>
    <w:uiPriority w:val="0"/>
    <w:rPr>
      <w:rFonts w:ascii="Times New Roman" w:hAnsi="Times New Roman"/>
      <w:kern w:val="2"/>
      <w:sz w:val="21"/>
      <w:szCs w:val="24"/>
    </w:rPr>
  </w:style>
  <w:style w:type="character" w:customStyle="1" w:styleId="38">
    <w:name w:val="正文文本 3 字符"/>
    <w:link w:val="11"/>
    <w:semiHidden/>
    <w:qFormat/>
    <w:uiPriority w:val="99"/>
    <w:rPr>
      <w:rFonts w:ascii="Times New Roman" w:hAnsi="Times New Roman"/>
      <w:kern w:val="2"/>
      <w:sz w:val="16"/>
      <w:szCs w:val="16"/>
    </w:rPr>
  </w:style>
  <w:style w:type="character" w:customStyle="1" w:styleId="39">
    <w:name w:val="正文文本 字符"/>
    <w:link w:val="12"/>
    <w:qFormat/>
    <w:uiPriority w:val="0"/>
    <w:rPr>
      <w:rFonts w:ascii="Times New Roman" w:hAnsi="Times New Roman"/>
      <w:kern w:val="2"/>
      <w:sz w:val="21"/>
      <w:szCs w:val="24"/>
    </w:rPr>
  </w:style>
  <w:style w:type="character" w:customStyle="1" w:styleId="40">
    <w:name w:val="正文文本缩进 字符"/>
    <w:link w:val="14"/>
    <w:qFormat/>
    <w:uiPriority w:val="0"/>
    <w:rPr>
      <w:rFonts w:ascii="仿宋_GB2312" w:hAnsi="Times New Roman" w:eastAsia="仿宋_GB2312" w:cs="Times New Roman"/>
      <w:sz w:val="32"/>
      <w:szCs w:val="20"/>
    </w:rPr>
  </w:style>
  <w:style w:type="character" w:customStyle="1" w:styleId="41">
    <w:name w:val="纯文本 字符"/>
    <w:link w:val="17"/>
    <w:qFormat/>
    <w:uiPriority w:val="0"/>
    <w:rPr>
      <w:rFonts w:ascii="宋体" w:hAnsi="Courier New" w:eastAsia="宋体" w:cs="Courier New"/>
      <w:szCs w:val="21"/>
    </w:rPr>
  </w:style>
  <w:style w:type="character" w:customStyle="1" w:styleId="42">
    <w:name w:val="日期 字符"/>
    <w:link w:val="18"/>
    <w:semiHidden/>
    <w:qFormat/>
    <w:uiPriority w:val="99"/>
    <w:rPr>
      <w:rFonts w:ascii="Times New Roman" w:hAnsi="Times New Roman"/>
      <w:kern w:val="2"/>
      <w:sz w:val="21"/>
      <w:szCs w:val="24"/>
    </w:rPr>
  </w:style>
  <w:style w:type="character" w:customStyle="1" w:styleId="43">
    <w:name w:val="页脚 字符"/>
    <w:link w:val="20"/>
    <w:qFormat/>
    <w:uiPriority w:val="99"/>
    <w:rPr>
      <w:sz w:val="18"/>
      <w:szCs w:val="18"/>
    </w:rPr>
  </w:style>
  <w:style w:type="character" w:customStyle="1" w:styleId="44">
    <w:name w:val="页眉 字符"/>
    <w:link w:val="21"/>
    <w:qFormat/>
    <w:uiPriority w:val="99"/>
    <w:rPr>
      <w:sz w:val="18"/>
      <w:szCs w:val="18"/>
    </w:rPr>
  </w:style>
  <w:style w:type="character" w:customStyle="1" w:styleId="45">
    <w:name w:val="批注主题 字符"/>
    <w:link w:val="26"/>
    <w:qFormat/>
    <w:uiPriority w:val="99"/>
    <w:rPr>
      <w:rFonts w:ascii="Times New Roman" w:hAnsi="Times New Roman"/>
      <w:b/>
      <w:bCs/>
      <w:kern w:val="2"/>
      <w:sz w:val="21"/>
      <w:szCs w:val="24"/>
    </w:rPr>
  </w:style>
  <w:style w:type="character" w:customStyle="1" w:styleId="46">
    <w:name w:val="正文文本缩进 字符1"/>
    <w:qFormat/>
    <w:uiPriority w:val="0"/>
    <w:rPr>
      <w:rFonts w:ascii="仿宋_GB2312" w:hAnsi="Times New Roman" w:eastAsia="仿宋_GB2312" w:cs="Times New Roman"/>
      <w:sz w:val="32"/>
      <w:szCs w:val="20"/>
    </w:rPr>
  </w:style>
  <w:style w:type="character" w:customStyle="1" w:styleId="47">
    <w:name w:val="apple-style-span"/>
    <w:qFormat/>
    <w:uiPriority w:val="0"/>
  </w:style>
  <w:style w:type="character" w:customStyle="1" w:styleId="48">
    <w:name w:val="标题 1 字符"/>
    <w:qFormat/>
    <w:uiPriority w:val="9"/>
    <w:rPr>
      <w:b/>
      <w:bCs/>
      <w:kern w:val="44"/>
      <w:sz w:val="44"/>
      <w:szCs w:val="44"/>
    </w:rPr>
  </w:style>
  <w:style w:type="character" w:customStyle="1" w:styleId="49">
    <w:name w:val="textcontents"/>
    <w:qFormat/>
    <w:uiPriority w:val="0"/>
  </w:style>
  <w:style w:type="character" w:customStyle="1" w:styleId="50">
    <w:name w:val="纯文本 字符1"/>
    <w:qFormat/>
    <w:uiPriority w:val="0"/>
    <w:rPr>
      <w:rFonts w:ascii="宋体" w:hAnsi="Courier New"/>
    </w:rPr>
  </w:style>
  <w:style w:type="character" w:customStyle="1" w:styleId="51">
    <w:name w:val="批注文字 字符1"/>
    <w:qFormat/>
    <w:uiPriority w:val="0"/>
    <w:rPr>
      <w:kern w:val="2"/>
      <w:sz w:val="21"/>
      <w:szCs w:val="24"/>
    </w:rPr>
  </w:style>
  <w:style w:type="character" w:customStyle="1" w:styleId="52">
    <w:name w:val="纯文本 字符2"/>
    <w:qFormat/>
    <w:uiPriority w:val="0"/>
    <w:rPr>
      <w:rFonts w:ascii="宋体" w:hAnsi="Courier New" w:eastAsia="宋体" w:cs="Courier New"/>
      <w:szCs w:val="21"/>
    </w:rPr>
  </w:style>
  <w:style w:type="character" w:customStyle="1" w:styleId="53">
    <w:name w:val="页脚 Char"/>
    <w:qFormat/>
    <w:uiPriority w:val="99"/>
    <w:rPr>
      <w:lang w:eastAsia="zh-CN"/>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paragraph" w:customStyle="1" w:styleId="5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6">
    <w:name w:val="列出段落1"/>
    <w:basedOn w:val="1"/>
    <w:qFormat/>
    <w:uiPriority w:val="34"/>
    <w:pPr>
      <w:ind w:firstLine="420" w:firstLineChars="200"/>
    </w:pPr>
  </w:style>
  <w:style w:type="paragraph" w:customStyle="1" w:styleId="57">
    <w:name w:val="Table Paragraph"/>
    <w:basedOn w:val="1"/>
    <w:qFormat/>
    <w:uiPriority w:val="1"/>
    <w:pPr>
      <w:jc w:val="left"/>
    </w:pPr>
    <w:rPr>
      <w:rFonts w:ascii="Calibri" w:hAnsi="Calibri"/>
      <w:kern w:val="0"/>
      <w:sz w:val="22"/>
      <w:szCs w:val="22"/>
      <w:lang w:eastAsia="en-US"/>
    </w:rPr>
  </w:style>
  <w:style w:type="character" w:customStyle="1" w:styleId="58">
    <w:name w:val="批注文字 Char1"/>
    <w:qFormat/>
    <w:uiPriority w:val="0"/>
    <w:rPr>
      <w:rFonts w:ascii="Times New Roman" w:hAnsi="Times New Roman"/>
      <w:kern w:val="2"/>
      <w:sz w:val="21"/>
      <w:szCs w:val="24"/>
    </w:rPr>
  </w:style>
  <w:style w:type="character" w:customStyle="1" w:styleId="59">
    <w:name w:val="批注文字 字符2"/>
    <w:qFormat/>
    <w:uiPriority w:val="0"/>
    <w:rPr>
      <w:rFonts w:ascii="Times New Roman" w:hAnsi="Times New Roman"/>
      <w:kern w:val="2"/>
      <w:sz w:val="21"/>
      <w:szCs w:val="24"/>
    </w:rPr>
  </w:style>
  <w:style w:type="character" w:customStyle="1" w:styleId="60">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1">
    <w:name w:val="纯文本 Char1"/>
    <w:qFormat/>
    <w:uiPriority w:val="0"/>
    <w:rPr>
      <w:rFonts w:ascii="宋体" w:hAnsi="Courier New" w:eastAsia="宋体" w:cs="Courier New"/>
      <w:szCs w:val="21"/>
    </w:rPr>
  </w:style>
  <w:style w:type="character" w:customStyle="1" w:styleId="62">
    <w:name w:val="批注文字 Char2"/>
    <w:qFormat/>
    <w:uiPriority w:val="0"/>
    <w:rPr>
      <w:rFonts w:ascii="Times New Roman" w:hAnsi="Times New Roman"/>
      <w:kern w:val="2"/>
      <w:sz w:val="21"/>
      <w:szCs w:val="24"/>
    </w:rPr>
  </w:style>
  <w:style w:type="character" w:customStyle="1" w:styleId="63">
    <w:name w:val="font11"/>
    <w:basedOn w:val="30"/>
    <w:qFormat/>
    <w:uiPriority w:val="0"/>
    <w:rPr>
      <w:rFonts w:hint="eastAsia" w:ascii="宋体" w:hAnsi="宋体" w:eastAsia="宋体" w:cs="宋体"/>
      <w:color w:val="000000"/>
      <w:sz w:val="20"/>
      <w:szCs w:val="20"/>
      <w:u w:val="none"/>
    </w:rPr>
  </w:style>
  <w:style w:type="character" w:customStyle="1" w:styleId="64">
    <w:name w:val="font41"/>
    <w:qFormat/>
    <w:uiPriority w:val="0"/>
    <w:rPr>
      <w:rFonts w:ascii="宋体" w:hAnsi="宋体" w:eastAsia="宋体" w:cs="宋体"/>
      <w:color w:val="000000"/>
      <w:sz w:val="20"/>
      <w:szCs w:val="20"/>
      <w:u w:val="none"/>
    </w:rPr>
  </w:style>
  <w:style w:type="character" w:customStyle="1" w:styleId="65">
    <w:name w:val="font31"/>
    <w:qFormat/>
    <w:uiPriority w:val="0"/>
    <w:rPr>
      <w:rFonts w:ascii="方正书宋_GBK" w:hAnsi="方正书宋_GBK" w:eastAsia="方正书宋_GBK" w:cs="方正书宋_GBK"/>
      <w:color w:val="000000"/>
      <w:sz w:val="21"/>
      <w:szCs w:val="21"/>
      <w:u w:val="none"/>
    </w:rPr>
  </w:style>
  <w:style w:type="character" w:customStyle="1" w:styleId="66">
    <w:name w:val="font61"/>
    <w:basedOn w:val="30"/>
    <w:qFormat/>
    <w:uiPriority w:val="0"/>
    <w:rPr>
      <w:rFonts w:hint="default" w:ascii="Times New Roman" w:hAnsi="Times New Roman" w:cs="Times New Roman"/>
      <w:color w:val="000000"/>
      <w:sz w:val="21"/>
      <w:szCs w:val="21"/>
      <w:u w:val="none"/>
    </w:rPr>
  </w:style>
  <w:style w:type="character" w:customStyle="1" w:styleId="67">
    <w:name w:val="font71"/>
    <w:basedOn w:val="30"/>
    <w:qFormat/>
    <w:uiPriority w:val="0"/>
    <w:rPr>
      <w:rFonts w:hint="eastAsia" w:ascii="宋体" w:hAnsi="宋体" w:eastAsia="宋体" w:cs="宋体"/>
      <w:b/>
      <w:bCs/>
      <w:color w:val="000000"/>
      <w:sz w:val="18"/>
      <w:szCs w:val="18"/>
      <w:u w:val="none"/>
    </w:rPr>
  </w:style>
  <w:style w:type="character" w:customStyle="1" w:styleId="68">
    <w:name w:val="font81"/>
    <w:basedOn w:val="30"/>
    <w:qFormat/>
    <w:uiPriority w:val="0"/>
    <w:rPr>
      <w:rFonts w:hint="eastAsia" w:ascii="宋体" w:hAnsi="宋体" w:eastAsia="宋体" w:cs="宋体"/>
      <w:color w:val="000000"/>
      <w:sz w:val="18"/>
      <w:szCs w:val="18"/>
      <w:u w:val="none"/>
    </w:rPr>
  </w:style>
  <w:style w:type="character" w:customStyle="1" w:styleId="69">
    <w:name w:val="font01"/>
    <w:basedOn w:val="30"/>
    <w:qFormat/>
    <w:uiPriority w:val="0"/>
    <w:rPr>
      <w:rFonts w:hint="default" w:ascii="Arial" w:hAnsi="Arial" w:cs="Arial"/>
      <w:color w:val="000000"/>
      <w:sz w:val="18"/>
      <w:szCs w:val="18"/>
      <w:u w:val="none"/>
    </w:rPr>
  </w:style>
  <w:style w:type="character" w:customStyle="1" w:styleId="70">
    <w:name w:val="font91"/>
    <w:basedOn w:val="30"/>
    <w:qFormat/>
    <w:uiPriority w:val="0"/>
    <w:rPr>
      <w:rFonts w:hint="eastAsia" w:ascii="宋体" w:hAnsi="宋体" w:eastAsia="宋体" w:cs="宋体"/>
      <w:color w:val="000000"/>
      <w:sz w:val="18"/>
      <w:szCs w:val="18"/>
      <w:u w:val="none"/>
    </w:rPr>
  </w:style>
  <w:style w:type="character" w:customStyle="1" w:styleId="71">
    <w:name w:val="font51"/>
    <w:qFormat/>
    <w:uiPriority w:val="0"/>
    <w:rPr>
      <w:rFonts w:hint="default" w:ascii="Times New Roman" w:hAnsi="Times New Roman" w:cs="Times New Roman"/>
      <w:b/>
      <w:color w:val="000000"/>
      <w:sz w:val="18"/>
      <w:szCs w:val="18"/>
      <w:u w:val="none"/>
    </w:rPr>
  </w:style>
  <w:style w:type="paragraph" w:styleId="72">
    <w:name w:val="List Paragraph"/>
    <w:basedOn w:val="1"/>
    <w:qFormat/>
    <w:uiPriority w:val="34"/>
    <w:pPr>
      <w:ind w:firstLine="420" w:firstLineChars="200"/>
    </w:pPr>
  </w:style>
  <w:style w:type="paragraph" w:customStyle="1" w:styleId="7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4">
    <w:name w:val="Title1"/>
    <w:basedOn w:val="1"/>
    <w:next w:val="1"/>
    <w:qFormat/>
    <w:uiPriority w:val="0"/>
    <w:pPr>
      <w:jc w:val="center"/>
      <w:outlineLvl w:val="0"/>
    </w:pPr>
    <w:rPr>
      <w:rFonts w:ascii="Calibri Light" w:hAnsi="Calibri Light" w:eastAsia="Arial Unicode MS"/>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79</Pages>
  <Words>8152</Words>
  <Characters>46467</Characters>
  <Lines>387</Lines>
  <Paragraphs>109</Paragraphs>
  <TotalTime>3</TotalTime>
  <ScaleCrop>false</ScaleCrop>
  <LinksUpToDate>false</LinksUpToDate>
  <CharactersWithSpaces>54510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2022-12-07T09:08:00Z</dcterms:created>
  <dc:creator>KWZB</dc:creator>
  <cp:lastModifiedBy>Administrator</cp:lastModifiedBy>
  <cp:lastPrinted>2020-04-03T00:20:00Z</cp:lastPrinted>
  <dcterms:modified xsi:type="dcterms:W3CDTF">2023-11-30T02:09:06Z</dcterms:modified>
  <dc:title>竞争性谈判文件规范</dc:title>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3C2B59CDAB394A779AFC800F849B4E7A</vt:lpwstr>
  </property>
</Properties>
</file>